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92"/>
        <w:jc w:val="center"/>
        <w:spacing w:line="360" w:lineRule="auto"/>
        <w:rPr>
          <w:rFonts w:ascii="方正小标宋_GBK" w:hAnsi="方正小标宋_GBK" w:eastAsia="方正小标宋_GBK" w:cs="方正小标宋_GBK"/>
          <w:bCs/>
          <w:sz w:val="84"/>
        </w:rPr>
      </w:pPr>
      <w:r>
        <w:rPr>
          <w:rFonts w:ascii="方正小标宋_GBK" w:hAnsi="方正小标宋_GBK" w:eastAsia="方正小标宋_GBK" w:cs="方正小标宋_GBK"/>
          <w:bCs/>
          <w:sz w:val="84"/>
        </w:rPr>
      </w:r>
      <w:r/>
    </w:p>
    <w:p>
      <w:pPr>
        <w:ind w:right="-92"/>
        <w:jc w:val="center"/>
        <w:spacing w:line="360" w:lineRule="auto"/>
        <w:rPr>
          <w:rFonts w:ascii="方正小标宋_GBK" w:hAnsi="方正小标宋_GBK" w:eastAsia="方正小标宋_GBK" w:cs="方正小标宋_GBK"/>
          <w:bCs/>
          <w:sz w:val="84"/>
        </w:rPr>
      </w:pPr>
      <w:r>
        <w:rPr>
          <w:rFonts w:ascii="方正小标宋_GBK" w:hAnsi="方正小标宋_GBK" w:eastAsia="方正小标宋_GBK" w:cs="方正小标宋_GBK"/>
          <w:bCs/>
          <w:sz w:val="84"/>
        </w:rPr>
      </w:r>
      <w:r/>
    </w:p>
    <w:p>
      <w:pPr>
        <w:jc w:val="center"/>
        <w:spacing w:line="360" w:lineRule="auto"/>
        <w:rPr>
          <w:rFonts w:ascii="宋体" w:hAnsi="宋体" w:cs="方正小标宋_GBK"/>
          <w:bCs/>
          <w:sz w:val="84"/>
        </w:rPr>
      </w:pPr>
      <w:r>
        <w:rPr>
          <w:rFonts w:hint="eastAsia" w:ascii="宋体" w:hAnsi="宋体" w:cs="方正小标宋_GBK"/>
          <w:bCs/>
          <w:sz w:val="84"/>
        </w:rPr>
        <w:t xml:space="preserve">招 标 文 件</w:t>
      </w:r>
      <w:r/>
    </w:p>
    <w:p>
      <w:pPr>
        <w:ind w:right="-92"/>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ind w:right="-92"/>
        <w:jc w:val="center"/>
        <w:spacing w:line="360" w:lineRule="auto"/>
        <w:rPr>
          <w:rFonts w:ascii="宋体" w:hAnsi="宋体"/>
          <w:sz w:val="32"/>
        </w:rPr>
      </w:pPr>
      <w:r>
        <w:rPr>
          <w:rFonts w:ascii="宋体" w:hAnsi="宋体"/>
          <w:sz w:val="32"/>
        </w:rPr>
      </w:r>
      <w:r/>
    </w:p>
    <w:p>
      <w:pPr>
        <w:pStyle w:val="1015"/>
        <w:ind w:left="0"/>
        <w:jc w:val="center"/>
        <w:rPr>
          <w:sz w:val="44"/>
        </w:rPr>
      </w:pPr>
      <w:r>
        <w:rPr>
          <w:sz w:val="44"/>
        </w:rPr>
      </w:r>
      <w:r/>
    </w:p>
    <w:p>
      <w:pPr>
        <w:ind w:right="-92"/>
        <w:jc w:val="center"/>
        <w:spacing w:line="360" w:lineRule="auto"/>
        <w:rPr>
          <w:rFonts w:ascii="宋体" w:hAnsi="宋体"/>
          <w:b/>
          <w:sz w:val="32"/>
        </w:rPr>
      </w:pPr>
      <w:r>
        <w:rPr>
          <w:rFonts w:ascii="宋体" w:hAnsi="宋体"/>
          <w:b/>
          <w:sz w:val="32"/>
        </w:rPr>
      </w:r>
      <w:r/>
    </w:p>
    <w:p>
      <w:pPr>
        <w:pStyle w:val="1015"/>
      </w:pPr>
      <w:r/>
      <w:r/>
    </w:p>
    <w:p>
      <w:pPr>
        <w:ind w:right="-92"/>
        <w:jc w:val="center"/>
        <w:spacing w:line="360" w:lineRule="auto"/>
        <w:rPr>
          <w:rFonts w:ascii="宋体" w:hAnsi="宋体" w:cs="宋体"/>
          <w:sz w:val="40"/>
          <w:szCs w:val="36"/>
        </w:rPr>
      </w:pPr>
      <w:r>
        <w:rPr>
          <w:rFonts w:hint="eastAsia" w:ascii="宋体" w:hAnsi="宋体"/>
          <w:sz w:val="40"/>
          <w:szCs w:val="36"/>
        </w:rPr>
        <w:t xml:space="preserve">项</w:t>
      </w:r>
      <w:r>
        <w:rPr>
          <w:rFonts w:hint="eastAsia" w:ascii="宋体" w:hAnsi="宋体" w:cs="宋体"/>
          <w:sz w:val="40"/>
          <w:szCs w:val="36"/>
        </w:rPr>
        <w:t xml:space="preserve">目名称：</w:t>
      </w:r>
      <w:r/>
    </w:p>
    <w:p>
      <w:pPr>
        <w:ind w:right="-92"/>
        <w:jc w:val="center"/>
        <w:spacing w:line="360" w:lineRule="auto"/>
        <w:rPr>
          <w:rFonts w:ascii="宋体" w:hAnsi="宋体"/>
          <w:sz w:val="40"/>
          <w:szCs w:val="30"/>
        </w:rPr>
      </w:pPr>
      <w:r>
        <w:rPr>
          <w:rFonts w:hint="eastAsia" w:ascii="宋体" w:hAnsi="宋体"/>
          <w:sz w:val="40"/>
          <w:szCs w:val="30"/>
        </w:rPr>
        <w:t xml:space="preserve">农村道路“三口”隐患治理提升智能科技设施采购项目</w:t>
      </w:r>
      <w:r/>
    </w:p>
    <w:p>
      <w:pPr>
        <w:ind w:right="-92"/>
        <w:spacing w:line="360" w:lineRule="auto"/>
        <w:rPr>
          <w:rFonts w:ascii="宋体" w:hAnsi="宋体"/>
          <w:b/>
          <w:sz w:val="32"/>
        </w:rPr>
      </w:pPr>
      <w:r>
        <w:rPr>
          <w:rFonts w:ascii="宋体" w:hAnsi="宋体"/>
          <w:b/>
          <w:sz w:val="32"/>
        </w:rPr>
      </w:r>
      <w:r/>
    </w:p>
    <w:p>
      <w:pPr>
        <w:ind w:right="-92"/>
        <w:spacing w:line="360" w:lineRule="auto"/>
        <w:rPr>
          <w:rFonts w:ascii="宋体" w:hAnsi="宋体"/>
          <w:b/>
          <w:sz w:val="32"/>
        </w:rPr>
      </w:pPr>
      <w:r>
        <w:rPr>
          <w:rFonts w:ascii="宋体" w:hAnsi="宋体"/>
          <w:b/>
          <w:sz w:val="32"/>
        </w:rPr>
      </w:r>
      <w:r/>
    </w:p>
    <w:p>
      <w:pPr>
        <w:ind w:right="-92"/>
        <w:jc w:val="center"/>
        <w:spacing w:line="360" w:lineRule="auto"/>
        <w:rPr>
          <w:rFonts w:ascii="宋体" w:hAnsi="宋体"/>
          <w:bCs/>
          <w:sz w:val="36"/>
          <w:szCs w:val="36"/>
        </w:rPr>
      </w:pPr>
      <w:r>
        <w:rPr>
          <w:rFonts w:hint="eastAsia" w:ascii="宋体" w:hAnsi="宋体" w:cs="黑体"/>
          <w:bCs/>
          <w:spacing w:val="15"/>
          <w:sz w:val="36"/>
          <w:szCs w:val="36"/>
        </w:rPr>
        <w:t xml:space="preserve">（盐城市大丰区公安局）</w:t>
      </w:r>
      <w:r/>
    </w:p>
    <w:p>
      <w:pPr>
        <w:ind w:right="-92"/>
        <w:jc w:val="center"/>
        <w:spacing w:line="360" w:lineRule="auto"/>
        <w:rPr>
          <w:rFonts w:ascii="宋体" w:hAnsi="宋体"/>
          <w:sz w:val="36"/>
          <w:szCs w:val="36"/>
        </w:rPr>
      </w:pPr>
      <w:r>
        <w:rPr>
          <w:rFonts w:hint="eastAsia" w:ascii="宋体" w:hAnsi="宋体"/>
          <w:sz w:val="36"/>
          <w:szCs w:val="36"/>
        </w:rPr>
        <w:t xml:space="preserve">202</w:t>
      </w:r>
      <w:r>
        <w:rPr>
          <w:rFonts w:ascii="宋体" w:hAnsi="宋体"/>
          <w:sz w:val="36"/>
          <w:szCs w:val="36"/>
        </w:rPr>
        <w:t xml:space="preserve">4</w:t>
      </w:r>
      <w:r>
        <w:rPr>
          <w:rFonts w:hint="eastAsia" w:ascii="宋体" w:hAnsi="宋体"/>
          <w:sz w:val="36"/>
          <w:szCs w:val="36"/>
        </w:rPr>
        <w:t xml:space="preserve">年</w:t>
      </w:r>
      <w:r>
        <w:rPr>
          <w:rFonts w:ascii="宋体" w:hAnsi="宋体"/>
          <w:sz w:val="36"/>
          <w:szCs w:val="36"/>
        </w:rPr>
        <w:t xml:space="preserve">10</w:t>
      </w:r>
      <w:r>
        <w:rPr>
          <w:rFonts w:hint="eastAsia" w:ascii="宋体" w:hAnsi="宋体"/>
          <w:sz w:val="36"/>
          <w:szCs w:val="36"/>
        </w:rPr>
        <w:t xml:space="preserve">月</w:t>
      </w:r>
      <w:r/>
    </w:p>
    <w:p>
      <w:pPr>
        <w:ind w:right="-92"/>
        <w:jc w:val="center"/>
        <w:spacing w:line="360" w:lineRule="auto"/>
        <w:rPr>
          <w:rFonts w:ascii="宋体" w:hAnsi="宋体"/>
          <w:b/>
          <w:color w:val="000000"/>
          <w:sz w:val="44"/>
          <w:szCs w:val="44"/>
        </w:rPr>
      </w:pPr>
      <w:r>
        <w:rPr>
          <w:rFonts w:hint="eastAsia" w:ascii="黑体" w:eastAsia="黑体"/>
          <w:sz w:val="36"/>
          <w:szCs w:val="36"/>
        </w:rPr>
        <w:br w:type="page" w:clear="all"/>
      </w:r>
      <w:r>
        <w:rPr>
          <w:rFonts w:hint="eastAsia" w:ascii="宋体" w:hAnsi="宋体"/>
          <w:b/>
          <w:color w:val="000000"/>
          <w:sz w:val="44"/>
          <w:szCs w:val="44"/>
        </w:rPr>
        <w:t xml:space="preserve">第一章  招标公告</w:t>
      </w:r>
      <w:r/>
    </w:p>
    <w:p>
      <w:pPr>
        <w:ind w:right="-92" w:firstLine="480"/>
        <w:jc w:val="left"/>
        <w:spacing w:line="560" w:lineRule="exact"/>
        <w:rPr>
          <w:rFonts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rPr>
        <w:t xml:space="preserve">项目概况</w:t>
      </w:r>
      <w:r/>
    </w:p>
    <w:p>
      <w:pPr>
        <w:ind w:right="-92" w:firstLine="480"/>
        <w:spacing w:line="560" w:lineRule="exact"/>
        <w:rPr>
          <w:rFonts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u w:val="single"/>
        </w:rPr>
        <w:t xml:space="preserve">农村道路“三口”隐患治理提升智能科技设施采购项目</w:t>
      </w:r>
      <w:r>
        <w:rPr>
          <w:rFonts w:hint="eastAsia" w:ascii="宋体" w:hAnsi="宋体" w:cs="宋体"/>
          <w:sz w:val="24"/>
          <w:szCs w:val="24"/>
        </w:rPr>
        <w:t xml:space="preserve">的潜在投标人应在“政府采购一体化平台（苏采云）”</w:t>
      </w:r>
      <w:hyperlink r:id="rId24" w:tooltip="http://czj.yancheng.gov.cn/col/col2383/index.html）获取招标文件，并于2024年11月7日" w:history="1">
        <w:r>
          <w:rPr>
            <w:rStyle w:val="1028"/>
            <w:rFonts w:hint="eastAsia" w:ascii="宋体" w:hAnsi="宋体" w:eastAsia="宋体" w:cs="宋体"/>
            <w:sz w:val="24"/>
            <w:szCs w:val="24"/>
          </w:rPr>
          <w:t xml:space="preserve">获取招标文件，并于202</w:t>
        </w:r>
        <w:r>
          <w:rPr>
            <w:rStyle w:val="1028"/>
            <w:rFonts w:ascii="宋体" w:hAnsi="宋体" w:eastAsia="宋体" w:cs="宋体"/>
            <w:sz w:val="24"/>
            <w:szCs w:val="24"/>
          </w:rPr>
          <w:t xml:space="preserve">4</w:t>
        </w:r>
        <w:r>
          <w:rPr>
            <w:rStyle w:val="1028"/>
            <w:rFonts w:hint="eastAsia" w:ascii="宋体" w:hAnsi="宋体" w:eastAsia="宋体" w:cs="宋体"/>
            <w:sz w:val="24"/>
            <w:szCs w:val="24"/>
          </w:rPr>
          <w:t xml:space="preserve">年</w:t>
        </w:r>
        <w:r>
          <w:rPr>
            <w:rStyle w:val="1028"/>
            <w:rFonts w:ascii="宋体" w:hAnsi="宋体" w:eastAsia="宋体" w:cs="宋体"/>
            <w:sz w:val="24"/>
            <w:szCs w:val="24"/>
          </w:rPr>
          <w:t xml:space="preserve">11</w:t>
        </w:r>
        <w:r>
          <w:rPr>
            <w:rStyle w:val="1028"/>
            <w:rFonts w:hint="eastAsia" w:ascii="宋体" w:hAnsi="宋体" w:eastAsia="宋体" w:cs="宋体"/>
            <w:sz w:val="24"/>
            <w:szCs w:val="24"/>
          </w:rPr>
          <w:t xml:space="preserve">月</w:t>
        </w:r>
        <w:r>
          <w:rPr>
            <w:rStyle w:val="1028"/>
            <w:rFonts w:ascii="宋体" w:hAnsi="宋体" w:eastAsia="宋体" w:cs="宋体"/>
            <w:sz w:val="24"/>
            <w:szCs w:val="24"/>
            <w:u w:val="single"/>
          </w:rPr>
          <w:t xml:space="preserve">25</w:t>
        </w:r>
        <w:r>
          <w:rPr>
            <w:rStyle w:val="1028"/>
            <w:rFonts w:hint="eastAsia" w:ascii="宋体" w:hAnsi="宋体" w:eastAsia="宋体" w:cs="宋体"/>
            <w:sz w:val="24"/>
            <w:szCs w:val="24"/>
          </w:rPr>
          <w:t xml:space="preserve">日</w:t>
        </w:r>
      </w:hyperlink>
      <w:r>
        <w:rPr>
          <w:rFonts w:ascii="宋体" w:hAnsi="宋体" w:cs="宋体"/>
          <w:sz w:val="24"/>
          <w:szCs w:val="24"/>
          <w:u w:val="single"/>
        </w:rPr>
        <w:t xml:space="preserve">9</w:t>
      </w:r>
      <w:r>
        <w:rPr>
          <w:rFonts w:hint="eastAsia" w:ascii="宋体" w:hAnsi="宋体" w:cs="宋体"/>
          <w:sz w:val="24"/>
          <w:szCs w:val="24"/>
        </w:rPr>
        <w:t xml:space="preserve">时</w:t>
      </w:r>
      <w:r>
        <w:rPr>
          <w:rFonts w:ascii="宋体" w:hAnsi="宋体" w:cs="宋体"/>
          <w:sz w:val="24"/>
          <w:szCs w:val="24"/>
          <w:u w:val="single"/>
        </w:rPr>
        <w:t xml:space="preserve">00</w:t>
      </w:r>
      <w:r>
        <w:rPr>
          <w:rFonts w:hint="eastAsia" w:ascii="宋体" w:hAnsi="宋体" w:cs="宋体"/>
          <w:sz w:val="24"/>
          <w:szCs w:val="24"/>
        </w:rPr>
        <w:t xml:space="preserve">分00秒</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bookmarkStart w:id="0" w:name="_GoBack"/>
      <w:r/>
      <w:bookmarkEnd w:id="0"/>
      <w:r/>
      <w:r/>
    </w:p>
    <w:p>
      <w:pPr>
        <w:pStyle w:val="995"/>
        <w:ind w:firstLine="480"/>
        <w:jc w:val="left"/>
        <w:spacing w:line="560" w:lineRule="exact"/>
        <w:tabs>
          <w:tab w:val="left" w:pos="0" w:leader="none"/>
          <w:tab w:val="left" w:pos="3165" w:leader="none"/>
          <w:tab w:val="center" w:pos="4153" w:leader="none"/>
        </w:tabs>
        <w:rPr>
          <w:rFonts w:ascii="宋体" w:eastAsia="宋体"/>
          <w:sz w:val="24"/>
          <w:szCs w:val="24"/>
        </w:rPr>
      </w:pPr>
      <w:r/>
      <w:bookmarkStart w:id="1" w:name="_Toc28203"/>
      <w:r/>
      <w:bookmarkStart w:id="2" w:name="_Toc28359002"/>
      <w:r/>
      <w:bookmarkStart w:id="3" w:name="_Toc28359079"/>
      <w:r/>
      <w:bookmarkStart w:id="4" w:name="_Toc35393621"/>
      <w:r/>
      <w:bookmarkStart w:id="5" w:name="_Toc332"/>
      <w:r/>
      <w:bookmarkStart w:id="6" w:name="_Toc35393790"/>
      <w:r/>
      <w:bookmarkStart w:id="7" w:name="_Hlk24379207"/>
      <w:r>
        <w:rPr>
          <w:rFonts w:hint="eastAsia" w:ascii="宋体" w:eastAsia="宋体"/>
          <w:sz w:val="24"/>
          <w:szCs w:val="24"/>
        </w:rPr>
        <w:t xml:space="preserve">一、项目基本情况</w:t>
      </w:r>
      <w:bookmarkEnd w:id="1"/>
      <w:r/>
      <w:bookmarkEnd w:id="2"/>
      <w:r/>
      <w:bookmarkEnd w:id="3"/>
      <w:r/>
      <w:bookmarkEnd w:id="4"/>
      <w:r/>
      <w:bookmarkEnd w:id="5"/>
      <w:r/>
      <w:bookmarkEnd w:id="6"/>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1、项目编号：</w:t>
      </w:r>
      <w:r>
        <w:rPr>
          <w:rFonts w:ascii="宋体" w:hAnsi="宋体" w:cs="宋体"/>
          <w:sz w:val="24"/>
          <w:szCs w:val="24"/>
        </w:rPr>
        <w:t xml:space="preserve">JSZC-320904-JZCG-G2024-0064</w:t>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2、项目名称：农村道路“三口”隐患治理提升智能科技设施采购项目</w:t>
      </w:r>
      <w:bookmarkEnd w:id="7"/>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3、预算金额：</w:t>
      </w:r>
      <w:r>
        <w:rPr>
          <w:rFonts w:ascii="宋体" w:hAnsi="宋体" w:cs="宋体"/>
          <w:sz w:val="24"/>
          <w:szCs w:val="24"/>
        </w:rPr>
        <w:t xml:space="preserve">900</w:t>
      </w:r>
      <w:r>
        <w:rPr>
          <w:rFonts w:hint="eastAsia" w:ascii="宋体" w:hAnsi="宋体" w:cs="宋体"/>
          <w:sz w:val="24"/>
          <w:szCs w:val="24"/>
        </w:rPr>
        <w:t xml:space="preserve">万元</w:t>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4、最高限价：</w:t>
      </w:r>
      <w:r>
        <w:rPr>
          <w:rFonts w:ascii="宋体" w:hAnsi="宋体" w:cs="宋体"/>
          <w:sz w:val="24"/>
          <w:szCs w:val="24"/>
        </w:rPr>
        <w:t xml:space="preserve">900</w:t>
      </w:r>
      <w:r>
        <w:rPr>
          <w:rFonts w:hint="eastAsia" w:ascii="宋体" w:hAnsi="宋体" w:cs="宋体"/>
          <w:sz w:val="24"/>
          <w:szCs w:val="24"/>
        </w:rPr>
        <w:t xml:space="preserve">万元</w:t>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5、采购需求：</w:t>
      </w:r>
      <w:r>
        <w:rPr>
          <w:rFonts w:hint="eastAsia" w:ascii="宋体" w:hAnsi="宋体" w:cs="宋体"/>
          <w:color w:val="000000"/>
          <w:sz w:val="24"/>
          <w:szCs w:val="24"/>
        </w:rPr>
        <w:t xml:space="preserve">包含</w:t>
      </w:r>
      <w:r>
        <w:rPr>
          <w:rFonts w:hint="eastAsia" w:ascii="宋体" w:hAnsi="宋体"/>
          <w:sz w:val="24"/>
          <w:szCs w:val="24"/>
        </w:rPr>
        <w:t xml:space="preserve">农村路口交通信号灯建设、智能信号机建设与联网、电子警察及卡口补盲与改造、农村路口违停抓拍系统建设及改造、货车不靠右行驶抓拍、牵引货车、半挂货车等车长超过9.6米以上的货车闯红灯抓拍、区间测速、农村道路三口优化、标志标牌和标线的补盲、安装及校园周边路口交安设施的升级改造</w:t>
      </w:r>
      <w:r>
        <w:rPr>
          <w:rFonts w:hint="eastAsia" w:ascii="宋体" w:hAnsi="宋体" w:cs="宋体"/>
          <w:color w:val="000000"/>
          <w:sz w:val="24"/>
          <w:szCs w:val="24"/>
        </w:rPr>
        <w:t xml:space="preserve">等采购、包装、运输保险、安装布置就位、调试、验收，质保期内的维保服务，配套光纤服务和其他服务，还包括但不限于提供各项资料等伴随服务,具体详见本项目招标文件采购需求。</w:t>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6、项目完成期限：合同签订后90日历天全部完成并经采购人验收合格。</w:t>
      </w:r>
      <w:r/>
    </w:p>
    <w:p>
      <w:pPr>
        <w:ind w:firstLine="480"/>
        <w:jc w:val="left"/>
        <w:spacing w:line="560" w:lineRule="exact"/>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、资金来源：财政资金</w:t>
      </w:r>
      <w:r/>
    </w:p>
    <w:p>
      <w:pPr>
        <w:ind w:firstLine="480"/>
        <w:jc w:val="left"/>
        <w:spacing w:line="560" w:lineRule="exact"/>
        <w:rPr>
          <w:rFonts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、本项目不接受联合体投标</w:t>
      </w:r>
      <w:r/>
    </w:p>
    <w:p>
      <w:pPr>
        <w:pStyle w:val="995"/>
        <w:ind w:firstLine="480"/>
        <w:jc w:val="left"/>
        <w:spacing w:line="560" w:lineRule="exact"/>
        <w:tabs>
          <w:tab w:val="left" w:pos="0" w:leader="none"/>
          <w:tab w:val="left" w:pos="3165" w:leader="none"/>
          <w:tab w:val="center" w:pos="4153" w:leader="none"/>
        </w:tabs>
        <w:rPr>
          <w:rFonts w:ascii="宋体" w:eastAsia="宋体"/>
          <w:sz w:val="24"/>
          <w:szCs w:val="24"/>
        </w:rPr>
      </w:pPr>
      <w:r/>
      <w:bookmarkStart w:id="8" w:name="_Toc35393791"/>
      <w:r/>
      <w:bookmarkStart w:id="9" w:name="_Toc28359003"/>
      <w:r/>
      <w:bookmarkStart w:id="10" w:name="_Toc30894"/>
      <w:r/>
      <w:bookmarkStart w:id="11" w:name="_Toc28359080"/>
      <w:r/>
      <w:bookmarkStart w:id="12" w:name="_Toc2757"/>
      <w:r/>
      <w:bookmarkStart w:id="13" w:name="_Toc35393622"/>
      <w:r>
        <w:rPr>
          <w:rFonts w:hint="eastAsia" w:ascii="宋体" w:eastAsia="宋体"/>
          <w:sz w:val="24"/>
          <w:szCs w:val="24"/>
        </w:rPr>
        <w:t xml:space="preserve">二、申请人的资格要求：</w:t>
      </w:r>
      <w:bookmarkEnd w:id="8"/>
      <w:r/>
      <w:bookmarkEnd w:id="9"/>
      <w:r/>
      <w:bookmarkEnd w:id="10"/>
      <w:r/>
      <w:bookmarkEnd w:id="11"/>
      <w:r/>
      <w:bookmarkEnd w:id="12"/>
      <w:r/>
      <w:bookmarkEnd w:id="13"/>
      <w:r/>
      <w:r/>
    </w:p>
    <w:p>
      <w:pPr>
        <w:ind w:firstLine="480"/>
        <w:jc w:val="left"/>
        <w:spacing w:line="560" w:lineRule="exact"/>
        <w:rPr>
          <w:rFonts w:ascii="宋体" w:hAnsi="宋体" w:cs="宋体"/>
          <w:sz w:val="24"/>
          <w:szCs w:val="24"/>
        </w:rPr>
      </w:pPr>
      <w:r/>
      <w:bookmarkStart w:id="14" w:name="_Toc28359081"/>
      <w:r/>
      <w:bookmarkStart w:id="15" w:name="_Toc35393623"/>
      <w:r/>
      <w:bookmarkStart w:id="16" w:name="_Toc28359004"/>
      <w:r/>
      <w:bookmarkStart w:id="17" w:name="_Toc35393792"/>
      <w:r>
        <w:rPr>
          <w:rFonts w:hint="eastAsia" w:ascii="宋体" w:hAnsi="宋体" w:cs="宋体"/>
          <w:sz w:val="24"/>
          <w:szCs w:val="24"/>
        </w:rPr>
        <w:t xml:space="preserve">1、满足《中华人民共和国政府采购法》第二十二条规定，投标时提供下列材料：</w:t>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（1）法人或者其他组织的营业执照等证明文件。</w:t>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color w:val="000000"/>
          <w:sz w:val="24"/>
          <w:szCs w:val="24"/>
        </w:rPr>
        <w:t xml:space="preserve">上一年度的财务状况报表（成立不满一年无需提供）</w:t>
      </w:r>
      <w:r>
        <w:rPr>
          <w:rFonts w:hint="eastAsia" w:ascii="宋体" w:hAnsi="宋体" w:cs="宋体"/>
          <w:sz w:val="24"/>
          <w:szCs w:val="24"/>
        </w:rPr>
        <w:t xml:space="preserve">。</w:t>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（3）依法缴纳税收和社会保障资金的相关材料（投标时提供投标截止时间前一年内至少一个月依法缴纳税收及缴纳社会保障资金的证明材料。供应商依法享受缓缴、免缴税收、社会保障资金的提供证明材料）。</w:t>
      </w:r>
      <w:r/>
    </w:p>
    <w:p>
      <w:pPr>
        <w:ind w:firstLine="480"/>
        <w:jc w:val="left"/>
        <w:spacing w:line="560" w:lineRule="exact"/>
        <w:rPr>
          <w:rFonts w:ascii="宋体" w:hAnsi="宋体" w:cs="宋体"/>
          <w:iCs/>
          <w:sz w:val="24"/>
          <w:szCs w:val="24"/>
        </w:rPr>
      </w:pPr>
      <w:r>
        <w:rPr>
          <w:rFonts w:hint="eastAsia" w:ascii="宋体" w:hAnsi="宋体" w:cs="宋体"/>
          <w:sz w:val="24"/>
          <w:szCs w:val="24"/>
        </w:rPr>
        <w:t xml:space="preserve">（4）参加政府采购活动前3年内在经营活动中没有重大违法记录的书面声</w:t>
      </w:r>
      <w:r>
        <w:rPr>
          <w:rFonts w:hint="eastAsia" w:ascii="宋体" w:hAnsi="宋体" w:cs="宋体"/>
          <w:iCs/>
          <w:sz w:val="24"/>
          <w:szCs w:val="24"/>
        </w:rPr>
        <w:t xml:space="preserve">明。</w:t>
      </w:r>
      <w:r/>
    </w:p>
    <w:p>
      <w:pPr>
        <w:ind w:firstLine="480"/>
        <w:jc w:val="left"/>
        <w:spacing w:line="560" w:lineRule="exact"/>
        <w:rPr>
          <w:rFonts w:ascii="宋体" w:hAnsi="宋体" w:cs="宋体"/>
          <w:iCs/>
          <w:sz w:val="24"/>
          <w:szCs w:val="24"/>
        </w:rPr>
      </w:pPr>
      <w:r>
        <w:rPr>
          <w:rFonts w:hint="eastAsia" w:ascii="宋体" w:hAnsi="宋体" w:cs="宋体"/>
          <w:iCs/>
          <w:sz w:val="24"/>
          <w:szCs w:val="24"/>
        </w:rPr>
        <w:t xml:space="preserve">（5）招标文件中规定要求提供的证明材料和投标人认为需要提供的其他材料。</w:t>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2、落实政府采购政策需满足的资格要求：</w:t>
      </w:r>
      <w:r/>
    </w:p>
    <w:tbl>
      <w:tblPr>
        <w:tblW w:w="8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8"/>
        <w:gridCol w:w="3902"/>
        <w:gridCol w:w="4249"/>
      </w:tblGrid>
      <w:tr>
        <w:trPr>
          <w:jc w:val="center"/>
          <w:trHeight w:val="312"/>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right="-92"/>
              <w:jc w:val="center"/>
              <w:spacing w:line="560" w:lineRule="exact"/>
              <w:rPr>
                <w:rFonts w:ascii="宋体" w:hAnsi="宋体" w:cs="宋体"/>
                <w:sz w:val="24"/>
                <w:szCs w:val="24"/>
              </w:rP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902" w:type="dxa"/>
            <w:vAlign w:val="center"/>
            <w:textDirection w:val="lrTb"/>
            <w:noWrap w:val="false"/>
          </w:tcPr>
          <w:p>
            <w:pPr>
              <w:ind w:right="-92"/>
              <w:jc w:val="center"/>
              <w:spacing w:line="560" w:lineRule="exact"/>
              <w:rPr>
                <w:rFonts w:ascii="宋体" w:hAnsi="宋体" w:cs="宋体"/>
                <w:sz w:val="24"/>
                <w:szCs w:val="24"/>
              </w:rPr>
            </w:pPr>
            <w:r>
              <w:rPr>
                <w:rFonts w:hint="eastAsia" w:ascii="宋体" w:hAnsi="宋体" w:cs="宋体"/>
                <w:sz w:val="24"/>
                <w:szCs w:val="24"/>
              </w:rPr>
              <w:t xml:space="preserve">政策名称</w:t>
            </w:r>
            <w:r/>
          </w:p>
        </w:tc>
        <w:tc>
          <w:tcPr>
            <w:tcBorders>
              <w:top w:val="single" w:color="auto" w:sz="4" w:space="0"/>
              <w:left w:val="single" w:color="auto" w:sz="4" w:space="0"/>
              <w:bottom w:val="single" w:color="auto" w:sz="4" w:space="0"/>
              <w:right w:val="single" w:color="auto" w:sz="4" w:space="0"/>
            </w:tcBorders>
            <w:tcW w:w="4249" w:type="dxa"/>
            <w:vAlign w:val="center"/>
            <w:textDirection w:val="lrTb"/>
            <w:noWrap w:val="false"/>
          </w:tcPr>
          <w:p>
            <w:pPr>
              <w:ind w:right="-92"/>
              <w:jc w:val="center"/>
              <w:spacing w:line="560" w:lineRule="exact"/>
              <w:rPr>
                <w:rFonts w:ascii="宋体" w:hAnsi="宋体" w:cs="宋体"/>
                <w:sz w:val="24"/>
                <w:szCs w:val="24"/>
              </w:rPr>
            </w:pPr>
            <w:r>
              <w:rPr>
                <w:rFonts w:hint="eastAsia" w:ascii="宋体" w:hAnsi="宋体" w:cs="宋体"/>
                <w:sz w:val="24"/>
                <w:szCs w:val="24"/>
              </w:rPr>
              <w:t xml:space="preserve">内容</w:t>
            </w:r>
            <w:r/>
          </w:p>
        </w:tc>
      </w:tr>
      <w:tr>
        <w:trPr>
          <w:jc w:val="center"/>
          <w:trHeight w:val="312"/>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right="-92"/>
              <w:jc w:val="center"/>
              <w:spacing w:line="560" w:lineRule="exact"/>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3902" w:type="dxa"/>
            <w:vAlign w:val="center"/>
            <w:textDirection w:val="lrTb"/>
            <w:noWrap w:val="false"/>
          </w:tcPr>
          <w:p>
            <w:pPr>
              <w:ind w:right="-92"/>
              <w:jc w:val="center"/>
              <w:spacing w:line="560" w:lineRule="exact"/>
              <w:rPr>
                <w:rFonts w:ascii="宋体" w:hAnsi="宋体" w:cs="宋体"/>
                <w:sz w:val="24"/>
                <w:szCs w:val="24"/>
              </w:rPr>
            </w:pPr>
            <w:r>
              <w:rPr>
                <w:rFonts w:hint="eastAsia" w:ascii="宋体" w:hAnsi="宋体" w:cs="宋体"/>
                <w:sz w:val="24"/>
                <w:szCs w:val="24"/>
              </w:rPr>
              <w:t xml:space="preserve">政府采购促进中小企业发展</w:t>
            </w:r>
            <w:r/>
          </w:p>
        </w:tc>
        <w:tc>
          <w:tcPr>
            <w:tcBorders>
              <w:top w:val="single" w:color="auto" w:sz="4" w:space="0"/>
              <w:left w:val="single" w:color="auto" w:sz="4" w:space="0"/>
              <w:bottom w:val="single" w:color="auto" w:sz="4" w:space="0"/>
              <w:right w:val="single" w:color="auto" w:sz="4" w:space="0"/>
            </w:tcBorders>
            <w:tcW w:w="4249" w:type="dxa"/>
            <w:vAlign w:val="center"/>
            <w:textDirection w:val="lrTb"/>
            <w:noWrap w:val="false"/>
          </w:tcPr>
          <w:p>
            <w:pPr>
              <w:ind w:right="-92"/>
              <w:jc w:val="center"/>
              <w:spacing w:line="560" w:lineRule="exact"/>
              <w:rPr>
                <w:rFonts w:ascii="宋体" w:hAnsi="宋体" w:cs="宋体"/>
                <w:sz w:val="24"/>
                <w:szCs w:val="24"/>
              </w:rPr>
            </w:pPr>
            <w:r>
              <w:rPr>
                <w:rFonts w:hint="eastAsia" w:ascii="宋体" w:hAnsi="宋体" w:cs="宋体"/>
                <w:sz w:val="24"/>
                <w:szCs w:val="24"/>
              </w:rPr>
              <w:t xml:space="preserve">提供材料详见招标文件</w:t>
            </w:r>
            <w:r/>
          </w:p>
        </w:tc>
      </w:tr>
      <w:tr>
        <w:trPr>
          <w:jc w:val="center"/>
          <w:trHeight w:val="312"/>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right="-92"/>
              <w:jc w:val="center"/>
              <w:spacing w:line="560" w:lineRule="exact"/>
              <w:rPr>
                <w:rFonts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3902" w:type="dxa"/>
            <w:vAlign w:val="center"/>
            <w:textDirection w:val="lrTb"/>
            <w:noWrap w:val="false"/>
          </w:tcPr>
          <w:p>
            <w:pPr>
              <w:ind w:right="-92"/>
              <w:jc w:val="center"/>
              <w:spacing w:line="560" w:lineRule="exact"/>
              <w:rPr>
                <w:rFonts w:ascii="宋体" w:hAnsi="宋体" w:cs="宋体"/>
                <w:sz w:val="24"/>
                <w:szCs w:val="24"/>
              </w:rPr>
            </w:pPr>
            <w:r>
              <w:rPr>
                <w:rFonts w:hint="eastAsia" w:ascii="宋体" w:hAnsi="宋体" w:cs="宋体"/>
                <w:sz w:val="24"/>
                <w:szCs w:val="24"/>
              </w:rPr>
              <w:t xml:space="preserve">政府采购支持监狱企业发展</w:t>
            </w:r>
            <w:r/>
          </w:p>
        </w:tc>
        <w:tc>
          <w:tcPr>
            <w:tcBorders>
              <w:top w:val="single" w:color="auto" w:sz="4" w:space="0"/>
              <w:left w:val="single" w:color="auto" w:sz="4" w:space="0"/>
              <w:bottom w:val="single" w:color="auto" w:sz="4" w:space="0"/>
              <w:right w:val="single" w:color="auto" w:sz="4" w:space="0"/>
            </w:tcBorders>
            <w:tcW w:w="4249" w:type="dxa"/>
            <w:vAlign w:val="center"/>
            <w:textDirection w:val="lrTb"/>
            <w:noWrap w:val="false"/>
          </w:tcPr>
          <w:p>
            <w:pPr>
              <w:ind w:right="-92"/>
              <w:jc w:val="center"/>
              <w:spacing w:line="560" w:lineRule="exact"/>
              <w:rPr>
                <w:rFonts w:ascii="宋体" w:hAnsi="宋体" w:cs="宋体"/>
                <w:sz w:val="24"/>
                <w:szCs w:val="24"/>
              </w:rPr>
            </w:pPr>
            <w:r>
              <w:rPr>
                <w:rFonts w:hint="eastAsia" w:ascii="宋体" w:hAnsi="宋体" w:cs="宋体"/>
                <w:sz w:val="24"/>
                <w:szCs w:val="24"/>
              </w:rPr>
              <w:t xml:space="preserve">提供材料详见招标文件</w:t>
            </w:r>
            <w:r/>
          </w:p>
        </w:tc>
      </w:tr>
      <w:tr>
        <w:trPr>
          <w:jc w:val="center"/>
          <w:trHeight w:val="312"/>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right="-92"/>
              <w:jc w:val="center"/>
              <w:spacing w:line="560" w:lineRule="exact"/>
              <w:rPr>
                <w:rFonts w:ascii="宋体" w:hAnsi="宋体" w:cs="宋体"/>
                <w:sz w:val="24"/>
                <w:szCs w:val="24"/>
              </w:rP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3902" w:type="dxa"/>
            <w:vAlign w:val="center"/>
            <w:textDirection w:val="lrTb"/>
            <w:noWrap w:val="false"/>
          </w:tcPr>
          <w:p>
            <w:pPr>
              <w:ind w:right="-92"/>
              <w:jc w:val="center"/>
              <w:spacing w:line="560" w:lineRule="exact"/>
              <w:rPr>
                <w:rFonts w:ascii="宋体" w:hAnsi="宋体" w:cs="宋体"/>
                <w:sz w:val="24"/>
                <w:szCs w:val="24"/>
              </w:rPr>
            </w:pPr>
            <w:r>
              <w:rPr>
                <w:rFonts w:hint="eastAsia" w:ascii="宋体" w:hAnsi="宋体" w:cs="宋体"/>
                <w:sz w:val="24"/>
                <w:szCs w:val="24"/>
              </w:rPr>
              <w:t xml:space="preserve">政府采购促进残疾人就业</w:t>
            </w:r>
            <w:r/>
          </w:p>
        </w:tc>
        <w:tc>
          <w:tcPr>
            <w:tcBorders>
              <w:top w:val="single" w:color="auto" w:sz="4" w:space="0"/>
              <w:left w:val="single" w:color="auto" w:sz="4" w:space="0"/>
              <w:bottom w:val="single" w:color="auto" w:sz="4" w:space="0"/>
              <w:right w:val="single" w:color="auto" w:sz="4" w:space="0"/>
            </w:tcBorders>
            <w:tcW w:w="4249" w:type="dxa"/>
            <w:vAlign w:val="center"/>
            <w:textDirection w:val="lrTb"/>
            <w:noWrap w:val="false"/>
          </w:tcPr>
          <w:p>
            <w:pPr>
              <w:ind w:right="-92"/>
              <w:jc w:val="center"/>
              <w:spacing w:line="560" w:lineRule="exact"/>
              <w:rPr>
                <w:rFonts w:ascii="宋体" w:hAnsi="宋体" w:cs="宋体"/>
                <w:sz w:val="24"/>
                <w:szCs w:val="24"/>
              </w:rPr>
            </w:pPr>
            <w:r>
              <w:rPr>
                <w:rFonts w:hint="eastAsia" w:ascii="宋体" w:hAnsi="宋体" w:cs="宋体"/>
                <w:sz w:val="24"/>
                <w:szCs w:val="24"/>
              </w:rPr>
              <w:t xml:space="preserve">提供材料详见招标文件</w:t>
            </w:r>
            <w:r/>
          </w:p>
        </w:tc>
      </w:tr>
    </w:tbl>
    <w:p>
      <w:pPr>
        <w:ind w:firstLine="480"/>
        <w:jc w:val="left"/>
        <w:spacing w:line="520" w:lineRule="exact"/>
        <w:rPr>
          <w:rFonts w:ascii="宋体" w:hAnsi="宋体" w:cs="宋体"/>
          <w:iCs/>
          <w:sz w:val="24"/>
          <w:szCs w:val="24"/>
        </w:rPr>
      </w:pPr>
      <w:r>
        <w:rPr>
          <w:rFonts w:hint="eastAsia" w:ascii="宋体" w:hAnsi="宋体" w:cs="宋体"/>
          <w:iCs/>
          <w:sz w:val="24"/>
          <w:szCs w:val="24"/>
        </w:rPr>
        <w:t xml:space="preserve">3、本项目的特定资格要求：</w:t>
      </w:r>
      <w:r/>
    </w:p>
    <w:p>
      <w:pPr>
        <w:ind w:firstLine="480"/>
        <w:jc w:val="left"/>
        <w:spacing w:line="520" w:lineRule="exact"/>
        <w:shd w:val="clear" w:color="auto" w:fill="ffffff"/>
        <w:widowControl/>
        <w:rPr>
          <w:rFonts w:ascii="宋体" w:hAnsi="宋体" w:cs="宋体"/>
          <w:color w:val="444444"/>
          <w:sz w:val="24"/>
          <w:szCs w:val="24"/>
        </w:rPr>
      </w:pPr>
      <w:r/>
      <w:bookmarkStart w:id="18" w:name="_Toc7098"/>
      <w:r/>
      <w:bookmarkStart w:id="19" w:name="_Toc20702"/>
      <w:r>
        <w:rPr>
          <w:rFonts w:hint="eastAsia" w:ascii="宋体" w:hAnsi="宋体" w:cs="宋体"/>
          <w:sz w:val="24"/>
          <w:szCs w:val="24"/>
          <w:shd w:val="clear" w:color="auto" w:fill="ffffff"/>
        </w:rPr>
        <w:t xml:space="preserve">（</w:t>
      </w:r>
      <w:r>
        <w:rPr>
          <w:rFonts w:ascii="宋体" w:hAnsi="宋体" w:cs="宋体"/>
          <w:sz w:val="24"/>
          <w:szCs w:val="24"/>
          <w:shd w:val="clear" w:color="auto" w:fill="ffffff"/>
        </w:rPr>
        <w:t xml:space="preserve">1</w:t>
      </w:r>
      <w:r>
        <w:rPr>
          <w:rFonts w:hint="eastAsia" w:ascii="宋体" w:hAnsi="宋体" w:cs="宋体"/>
          <w:sz w:val="24"/>
          <w:szCs w:val="24"/>
          <w:shd w:val="clear" w:color="auto" w:fill="ffffff"/>
        </w:rPr>
        <w:t xml:space="preserve">）采购人谢绝联合体和杜</w:t>
      </w:r>
      <w:r>
        <w:rPr>
          <w:rFonts w:hint="eastAsia" w:ascii="宋体" w:hAnsi="宋体" w:cs="宋体"/>
          <w:color w:val="444444"/>
          <w:sz w:val="24"/>
          <w:szCs w:val="24"/>
          <w:shd w:val="clear" w:color="auto" w:fill="ffffff"/>
        </w:rPr>
        <w:t xml:space="preserve">绝挂靠单位参与本项目的投标，中标后不得以任何方式进行转包；</w:t>
      </w:r>
      <w:r/>
    </w:p>
    <w:p>
      <w:pPr>
        <w:ind w:firstLine="480"/>
        <w:jc w:val="left"/>
        <w:spacing w:line="520" w:lineRule="exact"/>
        <w:shd w:val="clear" w:color="auto" w:fill="ffffff"/>
        <w:widowControl/>
        <w:rPr>
          <w:rFonts w:ascii="宋体" w:hAnsi="宋体" w:cs="宋体"/>
          <w:color w:val="444444"/>
          <w:sz w:val="24"/>
          <w:szCs w:val="24"/>
        </w:rPr>
      </w:pPr>
      <w:r>
        <w:rPr>
          <w:rFonts w:hint="eastAsia" w:ascii="宋体" w:hAnsi="宋体" w:cs="宋体"/>
          <w:color w:val="444444"/>
          <w:sz w:val="24"/>
          <w:szCs w:val="24"/>
          <w:shd w:val="clear" w:color="auto" w:fill="ffffff"/>
        </w:rPr>
        <w:t xml:space="preserve">（</w:t>
      </w:r>
      <w:r>
        <w:rPr>
          <w:rFonts w:ascii="宋体" w:hAnsi="宋体" w:cs="宋体"/>
          <w:color w:val="444444"/>
          <w:sz w:val="24"/>
          <w:szCs w:val="24"/>
          <w:shd w:val="clear" w:color="auto" w:fill="ffffff"/>
        </w:rPr>
        <w:t xml:space="preserve">2</w:t>
      </w:r>
      <w:r>
        <w:rPr>
          <w:rFonts w:hint="eastAsia" w:ascii="宋体" w:hAnsi="宋体" w:cs="宋体"/>
          <w:color w:val="444444"/>
          <w:sz w:val="24"/>
          <w:szCs w:val="24"/>
          <w:shd w:val="clear" w:color="auto" w:fill="ffffff"/>
        </w:rPr>
        <w:t xml:space="preserve">）投标人单位负责人为同一人或者存在直接控股、管理关系的不同投标人，不得参加同一标段投标活动；</w:t>
      </w:r>
      <w:r/>
    </w:p>
    <w:p>
      <w:pPr>
        <w:ind w:firstLine="480"/>
        <w:jc w:val="left"/>
        <w:spacing w:line="520" w:lineRule="exact"/>
        <w:shd w:val="clear" w:color="auto" w:fill="ffffff"/>
        <w:widowControl/>
        <w:rPr>
          <w:rFonts w:ascii="宋体" w:hAnsi="宋体" w:cs="宋体"/>
          <w:color w:val="444444"/>
          <w:sz w:val="24"/>
          <w:szCs w:val="24"/>
        </w:rPr>
      </w:pPr>
      <w:r>
        <w:rPr>
          <w:rFonts w:hint="eastAsia" w:ascii="宋体" w:hAnsi="宋体" w:cs="宋体"/>
          <w:color w:val="444444"/>
          <w:sz w:val="24"/>
          <w:szCs w:val="24"/>
          <w:shd w:val="clear" w:color="auto" w:fill="ffffff"/>
        </w:rPr>
        <w:t xml:space="preserve">（</w:t>
      </w:r>
      <w:r>
        <w:rPr>
          <w:rFonts w:ascii="宋体" w:hAnsi="宋体" w:cs="宋体"/>
          <w:color w:val="444444"/>
          <w:sz w:val="24"/>
          <w:szCs w:val="24"/>
          <w:shd w:val="clear" w:color="auto" w:fill="ffffff"/>
        </w:rPr>
        <w:t xml:space="preserve">3</w:t>
      </w:r>
      <w:r>
        <w:rPr>
          <w:rFonts w:hint="eastAsia" w:ascii="宋体" w:hAnsi="宋体" w:cs="宋体"/>
          <w:color w:val="444444"/>
          <w:sz w:val="24"/>
          <w:szCs w:val="24"/>
          <w:shd w:val="clear" w:color="auto" w:fill="ffffff"/>
        </w:rPr>
        <w:t xml:space="preserve">）未被列入“信用中国”网站（www.creditchina.gov.cn）失信被执行人名单、重大税收违法案件当事人名单和中国政府采购网（www.ccgp.gov.cn）政府采购严重违法失信行为记录名单（投标文件中无需提供证明材料）。</w:t>
      </w:r>
      <w:r/>
    </w:p>
    <w:p>
      <w:pPr>
        <w:pStyle w:val="995"/>
        <w:ind w:firstLine="480"/>
        <w:jc w:val="left"/>
        <w:spacing w:line="520" w:lineRule="exact"/>
        <w:tabs>
          <w:tab w:val="left" w:pos="0" w:leader="none"/>
          <w:tab w:val="left" w:pos="3165" w:leader="none"/>
          <w:tab w:val="center" w:pos="4153" w:leader="none"/>
        </w:tabs>
        <w:rPr>
          <w:rFonts w:ascii="宋体" w:eastAsia="宋体"/>
          <w:sz w:val="24"/>
          <w:szCs w:val="24"/>
        </w:rPr>
      </w:pPr>
      <w:r>
        <w:rPr>
          <w:rFonts w:hint="eastAsia" w:ascii="宋体" w:eastAsia="宋体"/>
          <w:sz w:val="24"/>
          <w:szCs w:val="24"/>
        </w:rPr>
        <w:t xml:space="preserve">三、获取招标文件</w:t>
      </w:r>
      <w:bookmarkEnd w:id="14"/>
      <w:r/>
      <w:bookmarkEnd w:id="15"/>
      <w:r/>
      <w:bookmarkEnd w:id="16"/>
      <w:r/>
      <w:bookmarkEnd w:id="17"/>
      <w:r/>
      <w:bookmarkEnd w:id="18"/>
      <w:r/>
      <w:bookmarkEnd w:id="19"/>
      <w:r/>
      <w:r/>
    </w:p>
    <w:p>
      <w:pPr>
        <w:ind w:firstLine="480"/>
        <w:jc w:val="left"/>
        <w:spacing w:line="520" w:lineRule="exact"/>
        <w:rPr>
          <w:rFonts w:ascii="宋体" w:hAnsi="宋体"/>
          <w:sz w:val="24"/>
          <w:szCs w:val="24"/>
        </w:rPr>
      </w:pPr>
      <w:r>
        <w:rPr>
          <w:rFonts w:hint="eastAsia" w:ascii="宋体" w:hAnsi="宋体" w:cs="宋体"/>
          <w:sz w:val="24"/>
          <w:szCs w:val="24"/>
        </w:rPr>
        <w:t xml:space="preserve">1、时间：</w:t>
      </w:r>
      <w:r>
        <w:rPr>
          <w:rFonts w:hint="eastAsia" w:ascii="宋体" w:hAnsi="宋体" w:cs="宋体"/>
          <w:iCs/>
          <w:sz w:val="24"/>
          <w:szCs w:val="24"/>
        </w:rPr>
        <w:t xml:space="preserve">至自招标公告发布之日起5个工作日，</w:t>
      </w:r>
      <w:r>
        <w:rPr>
          <w:rFonts w:hint="eastAsia" w:ascii="宋体" w:hAnsi="宋体"/>
          <w:sz w:val="24"/>
          <w:szCs w:val="24"/>
        </w:rPr>
        <w:t xml:space="preserve">即202</w:t>
      </w:r>
      <w:r>
        <w:rPr>
          <w:rFonts w:ascii="宋体" w:hAnsi="宋体"/>
          <w:sz w:val="24"/>
          <w:szCs w:val="24"/>
        </w:rPr>
        <w:t xml:space="preserve">4</w:t>
      </w:r>
      <w:r>
        <w:rPr>
          <w:rFonts w:hint="eastAsia" w:ascii="宋体" w:hAnsi="宋体"/>
          <w:sz w:val="24"/>
          <w:szCs w:val="24"/>
        </w:rPr>
        <w:t xml:space="preserve">年</w:t>
      </w:r>
      <w:r>
        <w:rPr>
          <w:rFonts w:ascii="宋体" w:hAnsi="宋体"/>
          <w:sz w:val="24"/>
          <w:szCs w:val="24"/>
          <w:u w:val="single"/>
        </w:rPr>
        <w:t xml:space="preserve">11</w:t>
      </w:r>
      <w:r>
        <w:rPr>
          <w:rFonts w:hint="eastAsia" w:ascii="宋体" w:hAnsi="宋体"/>
          <w:sz w:val="24"/>
          <w:szCs w:val="24"/>
        </w:rPr>
        <w:t xml:space="preserve">月</w:t>
      </w:r>
      <w:r>
        <w:rPr>
          <w:rFonts w:ascii="宋体" w:hAnsi="宋体"/>
          <w:sz w:val="24"/>
          <w:szCs w:val="24"/>
          <w:u w:val="single"/>
        </w:rPr>
        <w:t xml:space="preserve">7</w:t>
      </w:r>
      <w:r>
        <w:rPr>
          <w:rFonts w:hint="eastAsia" w:ascii="宋体" w:hAnsi="宋体"/>
          <w:sz w:val="24"/>
          <w:szCs w:val="24"/>
        </w:rPr>
        <w:t xml:space="preserve">日截止</w:t>
      </w:r>
      <w:r/>
    </w:p>
    <w:p>
      <w:pPr>
        <w:ind w:firstLine="480"/>
        <w:jc w:val="left"/>
        <w:spacing w:line="520" w:lineRule="exact"/>
        <w:rPr>
          <w:rFonts w:ascii="宋体" w:hAnsi="宋体" w:cs="宋体"/>
          <w:sz w:val="24"/>
          <w:szCs w:val="24"/>
          <w:u w:val="single"/>
        </w:rPr>
      </w:pPr>
      <w:r>
        <w:rPr>
          <w:rFonts w:hint="eastAsia" w:ascii="宋体" w:hAnsi="宋体" w:cs="宋体"/>
          <w:sz w:val="24"/>
          <w:szCs w:val="24"/>
        </w:rPr>
        <w:t xml:space="preserve">2、地点：</w:t>
      </w:r>
      <w:r>
        <w:rPr>
          <w:rFonts w:hint="eastAsia" w:ascii="宋体" w:hAnsi="宋体" w:cs="宋体"/>
          <w:bCs/>
          <w:sz w:val="24"/>
          <w:szCs w:val="24"/>
        </w:rPr>
        <w:t xml:space="preserve">网上获取（</w:t>
      </w:r>
      <w:r>
        <w:rPr>
          <w:rFonts w:ascii="宋体" w:hAnsi="宋体" w:cs="宋体"/>
          <w:bCs/>
          <w:sz w:val="24"/>
          <w:szCs w:val="24"/>
        </w:rPr>
        <w:t xml:space="preserve">http://jszfcg.jsczt.cn/</w:t>
      </w:r>
      <w:r>
        <w:rPr>
          <w:rFonts w:hint="eastAsia" w:ascii="宋体" w:hAnsi="宋体" w:cs="宋体"/>
          <w:bCs/>
          <w:sz w:val="24"/>
          <w:szCs w:val="24"/>
        </w:rPr>
        <w:t xml:space="preserve">）</w:t>
      </w:r>
      <w:r/>
    </w:p>
    <w:p>
      <w:pPr>
        <w:ind w:firstLine="480"/>
        <w:jc w:val="left"/>
        <w:spacing w:line="520" w:lineRule="exact"/>
        <w:shd w:val="clear" w:color="auto" w:fill="ffffff"/>
        <w:widowControl/>
        <w:rPr>
          <w:rFonts w:ascii="宋体" w:hAnsi="宋体" w:cs="宋体"/>
          <w:sz w:val="24"/>
          <w:szCs w:val="24"/>
        </w:rPr>
      </w:pPr>
      <w:r>
        <w:rPr>
          <w:rFonts w:hint="eastAsia" w:ascii="宋体" w:hAnsi="宋体" w:cs="宋体"/>
          <w:sz w:val="24"/>
          <w:szCs w:val="24"/>
        </w:rPr>
        <w:t xml:space="preserve">3、方式：网上注册登记成功后系统内免费下载</w:t>
      </w:r>
      <w:r/>
    </w:p>
    <w:p>
      <w:pPr>
        <w:ind w:firstLine="480"/>
        <w:jc w:val="left"/>
        <w:spacing w:line="520" w:lineRule="exact"/>
        <w:shd w:val="clear" w:color="auto" w:fill="ffffff"/>
        <w:widowControl/>
        <w:rPr>
          <w:rFonts w:ascii="宋体" w:hAnsi="宋体" w:cs="宋体"/>
          <w:sz w:val="24"/>
          <w:szCs w:val="24"/>
        </w:rPr>
      </w:pPr>
      <w:r>
        <w:rPr>
          <w:rFonts w:hint="eastAsia" w:ascii="宋体" w:hAnsi="宋体" w:cs="宋体"/>
          <w:sz w:val="24"/>
          <w:szCs w:val="24"/>
        </w:rPr>
        <w:t xml:space="preserve">4、售价：0元</w:t>
      </w:r>
      <w:r/>
    </w:p>
    <w:p>
      <w:pPr>
        <w:ind w:firstLine="480"/>
        <w:jc w:val="left"/>
        <w:spacing w:line="520" w:lineRule="exact"/>
        <w:shd w:val="clear" w:color="auto" w:fill="ffffff"/>
        <w:widowControl/>
        <w:rPr>
          <w:rFonts w:ascii="宋体" w:hAnsi="宋体" w:cs="宋体"/>
          <w:sz w:val="24"/>
          <w:szCs w:val="24"/>
        </w:rPr>
      </w:pPr>
      <w:r/>
      <w:bookmarkStart w:id="20" w:name="_Toc42249844"/>
      <w:r/>
      <w:bookmarkStart w:id="21" w:name="QLCZYSX_1"/>
      <w:r/>
      <w:bookmarkStart w:id="22" w:name="_Toc42249797"/>
      <w:r>
        <w:rPr>
          <w:rFonts w:hint="eastAsia" w:ascii="宋体" w:hAnsi="宋体" w:cs="宋体"/>
          <w:sz w:val="24"/>
          <w:szCs w:val="24"/>
        </w:rPr>
        <w:t xml:space="preserve">5、注意事项：</w:t>
      </w:r>
      <w:r/>
    </w:p>
    <w:p>
      <w:pPr>
        <w:ind w:firstLine="480"/>
        <w:jc w:val="left"/>
        <w:spacing w:line="520" w:lineRule="exact"/>
        <w:shd w:val="clear" w:color="auto" w:fill="ffffff"/>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）有关本次招标的事项若存在变动或修改，敬请及时关注江苏政府采购网、盐城市政府采购网发布的更正公告。</w:t>
      </w:r>
      <w:r/>
    </w:p>
    <w:p>
      <w:pPr>
        <w:ind w:firstLine="480"/>
        <w:jc w:val="left"/>
        <w:spacing w:line="520" w:lineRule="exact"/>
        <w:shd w:val="clear" w:color="auto" w:fill="ffffff"/>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w:t>
      </w:r>
      <w:bookmarkStart w:id="23" w:name="_Toc35393646"/>
      <w:r>
        <w:rPr>
          <w:rFonts w:hint="eastAsia" w:ascii="宋体" w:hAnsi="宋体" w:cs="宋体"/>
          <w:sz w:val="24"/>
          <w:szCs w:val="24"/>
        </w:rPr>
        <w:t xml:space="preserve">本项目采取“全流程电子化不见面”开标模式，开标当日无需投标单位授权代表到达开标现场。</w:t>
      </w:r>
      <w:bookmarkEnd w:id="23"/>
      <w:r/>
      <w:r/>
    </w:p>
    <w:p>
      <w:pPr>
        <w:ind w:firstLine="480"/>
        <w:jc w:val="left"/>
        <w:spacing w:line="520" w:lineRule="exact"/>
        <w:shd w:val="clear" w:color="auto" w:fill="ffffff"/>
        <w:widowControl/>
        <w:rPr>
          <w:rFonts w:ascii="宋体" w:hAnsi="宋体" w:cs="宋体"/>
          <w:sz w:val="24"/>
          <w:szCs w:val="24"/>
        </w:rPr>
      </w:pPr>
      <w:r>
        <w:rPr>
          <w:rFonts w:hint="eastAsia" w:ascii="宋体" w:hAnsi="宋体" w:cs="宋体"/>
          <w:sz w:val="24"/>
          <w:szCs w:val="24"/>
        </w:rPr>
        <w:t xml:space="preserve">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ind w:firstLine="480"/>
        <w:jc w:val="left"/>
        <w:spacing w:line="520" w:lineRule="exact"/>
        <w:shd w:val="clear" w:color="auto" w:fill="ffffff"/>
        <w:widowControl/>
        <w:rPr>
          <w:rFonts w:ascii="宋体" w:hAnsi="宋体" w:cs="宋体"/>
          <w:sz w:val="24"/>
          <w:szCs w:val="24"/>
        </w:rPr>
      </w:pPr>
      <w:r>
        <w:rPr>
          <w:rFonts w:hint="eastAsia" w:ascii="宋体" w:hAnsi="宋体" w:cs="宋体"/>
          <w:sz w:val="24"/>
          <w:szCs w:val="24"/>
        </w:rPr>
        <w:t xml:space="preserve">如潜在投标人未按上述要求操作，将自行承担所产生的风险。</w:t>
      </w:r>
      <w:bookmarkEnd w:id="20"/>
      <w:r/>
      <w:bookmarkEnd w:id="21"/>
      <w:r/>
      <w:bookmarkEnd w:id="22"/>
      <w:r/>
      <w:r/>
    </w:p>
    <w:p>
      <w:pPr>
        <w:pStyle w:val="995"/>
        <w:ind w:firstLine="480"/>
        <w:jc w:val="left"/>
        <w:spacing w:line="520" w:lineRule="exact"/>
        <w:tabs>
          <w:tab w:val="left" w:pos="0" w:leader="none"/>
          <w:tab w:val="left" w:pos="3165" w:leader="none"/>
          <w:tab w:val="center" w:pos="4153" w:leader="none"/>
        </w:tabs>
        <w:rPr>
          <w:rFonts w:ascii="宋体" w:eastAsia="宋体"/>
          <w:sz w:val="24"/>
          <w:szCs w:val="24"/>
        </w:rPr>
      </w:pPr>
      <w:r/>
      <w:bookmarkStart w:id="24" w:name="_Toc28359082"/>
      <w:r/>
      <w:bookmarkStart w:id="25" w:name="_Toc28359005"/>
      <w:r/>
      <w:bookmarkStart w:id="26" w:name="_Toc35393793"/>
      <w:r/>
      <w:bookmarkStart w:id="27" w:name="_Toc5556"/>
      <w:r/>
      <w:bookmarkStart w:id="28" w:name="_Toc20333"/>
      <w:r/>
      <w:bookmarkStart w:id="29" w:name="_Toc35393624"/>
      <w:r>
        <w:rPr>
          <w:rFonts w:hint="eastAsia" w:ascii="宋体" w:eastAsia="宋体"/>
          <w:sz w:val="24"/>
          <w:szCs w:val="24"/>
        </w:rPr>
        <w:t xml:space="preserve">四、提交投标文件</w:t>
      </w:r>
      <w:bookmarkEnd w:id="24"/>
      <w:r/>
      <w:bookmarkEnd w:id="25"/>
      <w:r>
        <w:rPr>
          <w:rFonts w:hint="eastAsia" w:ascii="宋体" w:eastAsia="宋体"/>
          <w:sz w:val="24"/>
          <w:szCs w:val="24"/>
        </w:rPr>
        <w:t xml:space="preserve">截止时间、开标时间和地点</w:t>
      </w:r>
      <w:bookmarkEnd w:id="26"/>
      <w:r/>
      <w:bookmarkEnd w:id="27"/>
      <w:r/>
      <w:bookmarkEnd w:id="28"/>
      <w:r/>
      <w:bookmarkEnd w:id="29"/>
      <w:r/>
      <w:r/>
    </w:p>
    <w:p>
      <w:pPr>
        <w:ind w:firstLine="480"/>
        <w:jc w:val="left"/>
        <w:spacing w:line="520" w:lineRule="exact"/>
        <w:rPr>
          <w:rFonts w:ascii="宋体" w:hAnsi="宋体" w:cs="宋体"/>
          <w:bCs/>
          <w:sz w:val="24"/>
          <w:szCs w:val="24"/>
          <w:u w:val="single"/>
        </w:rPr>
      </w:pPr>
      <w:r>
        <w:rPr>
          <w:rFonts w:hint="eastAsia" w:ascii="宋体" w:hAnsi="宋体" w:cs="宋体"/>
          <w:bCs/>
          <w:sz w:val="24"/>
          <w:szCs w:val="24"/>
        </w:rPr>
        <w:t xml:space="preserve">1、提交投标文件截止时间、开标时间：202</w:t>
      </w:r>
      <w:r>
        <w:rPr>
          <w:rFonts w:ascii="宋体" w:hAnsi="宋体" w:cs="宋体"/>
          <w:bCs/>
          <w:sz w:val="24"/>
          <w:szCs w:val="24"/>
        </w:rPr>
        <w:t xml:space="preserve">4</w:t>
      </w:r>
      <w:r>
        <w:rPr>
          <w:rFonts w:hint="eastAsia" w:ascii="宋体" w:hAnsi="宋体" w:cs="宋体"/>
          <w:bCs/>
          <w:sz w:val="24"/>
          <w:szCs w:val="24"/>
        </w:rPr>
        <w:t xml:space="preserve">年</w:t>
      </w:r>
      <w:r>
        <w:rPr>
          <w:rFonts w:ascii="宋体" w:hAnsi="宋体" w:cs="宋体"/>
          <w:bCs/>
          <w:sz w:val="24"/>
          <w:szCs w:val="24"/>
        </w:rPr>
        <w:t xml:space="preserve">11</w:t>
      </w:r>
      <w:r>
        <w:rPr>
          <w:rFonts w:hint="eastAsia" w:ascii="宋体" w:hAnsi="宋体" w:cs="宋体"/>
          <w:bCs/>
          <w:sz w:val="24"/>
          <w:szCs w:val="24"/>
        </w:rPr>
        <w:t xml:space="preserve">月</w:t>
      </w:r>
      <w:r>
        <w:rPr>
          <w:rFonts w:ascii="宋体" w:hAnsi="宋体" w:cs="宋体"/>
          <w:bCs/>
          <w:sz w:val="24"/>
          <w:szCs w:val="24"/>
          <w:u w:val="single"/>
        </w:rPr>
        <w:t xml:space="preserve">25</w:t>
      </w:r>
      <w:r>
        <w:rPr>
          <w:rFonts w:hint="eastAsia" w:ascii="宋体" w:hAnsi="宋体" w:cs="宋体"/>
          <w:bCs/>
          <w:sz w:val="24"/>
          <w:szCs w:val="24"/>
        </w:rPr>
        <w:t xml:space="preserve">日</w:t>
      </w:r>
      <w:r>
        <w:rPr>
          <w:rFonts w:ascii="宋体" w:hAnsi="宋体" w:cs="宋体"/>
          <w:sz w:val="24"/>
          <w:szCs w:val="24"/>
          <w:u w:val="single"/>
        </w:rPr>
        <w:t xml:space="preserve">9</w:t>
      </w:r>
      <w:r>
        <w:rPr>
          <w:rFonts w:hint="eastAsia" w:ascii="宋体" w:hAnsi="宋体" w:cs="宋体"/>
          <w:sz w:val="24"/>
          <w:szCs w:val="24"/>
        </w:rPr>
        <w:t xml:space="preserve">时</w:t>
      </w:r>
      <w:r>
        <w:rPr>
          <w:rFonts w:ascii="宋体" w:hAnsi="宋体" w:cs="宋体"/>
          <w:sz w:val="24"/>
          <w:szCs w:val="24"/>
          <w:u w:val="single"/>
        </w:rPr>
        <w:t xml:space="preserve">00</w:t>
      </w:r>
      <w:r>
        <w:rPr>
          <w:rFonts w:hint="eastAsia" w:ascii="宋体" w:hAnsi="宋体" w:cs="宋体"/>
          <w:sz w:val="24"/>
          <w:szCs w:val="24"/>
        </w:rPr>
        <w:t xml:space="preserve">分00秒</w:t>
      </w:r>
      <w:r>
        <w:rPr>
          <w:rFonts w:hint="eastAsia" w:ascii="宋体" w:hAnsi="宋体" w:cs="宋体"/>
          <w:bCs/>
          <w:sz w:val="24"/>
          <w:szCs w:val="24"/>
        </w:rPr>
        <w:t xml:space="preserve">（北京时间）</w:t>
      </w:r>
      <w:r/>
    </w:p>
    <w:p>
      <w:pPr>
        <w:ind w:firstLine="480"/>
        <w:jc w:val="left"/>
        <w:spacing w:line="520" w:lineRule="exact"/>
        <w:shd w:val="clear" w:color="auto" w:fill="ffffff"/>
        <w:widowControl/>
        <w:rPr>
          <w:rFonts w:ascii="宋体" w:hAnsi="宋体" w:cs="宋体"/>
          <w:bCs/>
          <w:sz w:val="24"/>
          <w:szCs w:val="24"/>
          <w:u w:val="single"/>
        </w:rPr>
      </w:pPr>
      <w:r>
        <w:rPr>
          <w:rFonts w:hint="eastAsia" w:ascii="宋体" w:hAnsi="宋体" w:cs="宋体"/>
          <w:sz w:val="24"/>
          <w:szCs w:val="24"/>
        </w:rPr>
        <w:t xml:space="preserve">2、地点：“苏采云”政府采购交易系统网上开标大厅。</w:t>
      </w:r>
      <w:r/>
    </w:p>
    <w:p>
      <w:pPr>
        <w:pStyle w:val="995"/>
        <w:ind w:firstLine="480"/>
        <w:jc w:val="left"/>
        <w:spacing w:line="520" w:lineRule="exact"/>
        <w:tabs>
          <w:tab w:val="left" w:pos="0" w:leader="none"/>
          <w:tab w:val="left" w:pos="3165" w:leader="none"/>
          <w:tab w:val="center" w:pos="4153" w:leader="none"/>
        </w:tabs>
        <w:rPr>
          <w:rFonts w:ascii="宋体" w:eastAsia="宋体"/>
          <w:sz w:val="24"/>
          <w:szCs w:val="24"/>
        </w:rPr>
      </w:pPr>
      <w:r/>
      <w:bookmarkStart w:id="30" w:name="_Toc35393625"/>
      <w:r/>
      <w:bookmarkStart w:id="31" w:name="_Toc35393794"/>
      <w:r/>
      <w:bookmarkStart w:id="32" w:name="_Toc28359007"/>
      <w:r/>
      <w:bookmarkStart w:id="33" w:name="_Toc29825"/>
      <w:r/>
      <w:bookmarkStart w:id="34" w:name="_Toc28359084"/>
      <w:r/>
      <w:bookmarkStart w:id="35" w:name="_Toc14527"/>
      <w:r>
        <w:rPr>
          <w:rFonts w:hint="eastAsia" w:ascii="宋体" w:eastAsia="宋体"/>
          <w:sz w:val="24"/>
          <w:szCs w:val="24"/>
        </w:rPr>
        <w:t xml:space="preserve">五、公告期限</w:t>
      </w:r>
      <w:bookmarkEnd w:id="30"/>
      <w:r/>
      <w:bookmarkEnd w:id="31"/>
      <w:r/>
      <w:bookmarkEnd w:id="32"/>
      <w:r/>
      <w:bookmarkEnd w:id="33"/>
      <w:r/>
      <w:bookmarkEnd w:id="34"/>
      <w:r/>
      <w:bookmarkEnd w:id="35"/>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自本公告发布之日起5个工作日。</w:t>
      </w:r>
      <w:r/>
    </w:p>
    <w:p>
      <w:pPr>
        <w:pStyle w:val="995"/>
        <w:ind w:firstLine="480"/>
        <w:jc w:val="left"/>
        <w:spacing w:line="520" w:lineRule="exact"/>
        <w:tabs>
          <w:tab w:val="left" w:pos="0" w:leader="none"/>
          <w:tab w:val="left" w:pos="3165" w:leader="none"/>
          <w:tab w:val="center" w:pos="4153" w:leader="none"/>
        </w:tabs>
        <w:rPr>
          <w:rFonts w:ascii="宋体" w:eastAsia="宋体"/>
          <w:sz w:val="24"/>
          <w:szCs w:val="24"/>
        </w:rPr>
      </w:pPr>
      <w:r/>
      <w:bookmarkStart w:id="36" w:name="_Toc5671"/>
      <w:r/>
      <w:bookmarkStart w:id="37" w:name="_Toc35393795"/>
      <w:r/>
      <w:bookmarkStart w:id="38" w:name="_Toc35393626"/>
      <w:r/>
      <w:bookmarkStart w:id="39" w:name="_Toc16554"/>
      <w:r>
        <w:rPr>
          <w:rFonts w:hint="eastAsia" w:ascii="宋体" w:eastAsia="宋体"/>
          <w:sz w:val="24"/>
          <w:szCs w:val="24"/>
        </w:rPr>
        <w:t xml:space="preserve">六、其他补充事宜</w:t>
      </w:r>
      <w:bookmarkEnd w:id="36"/>
      <w:r/>
      <w:bookmarkEnd w:id="37"/>
      <w:r/>
      <w:bookmarkEnd w:id="38"/>
      <w:r/>
      <w:bookmarkEnd w:id="39"/>
      <w:r/>
      <w:r/>
    </w:p>
    <w:p>
      <w:pPr>
        <w:ind w:firstLine="480"/>
        <w:jc w:val="left"/>
        <w:spacing w:line="520" w:lineRule="exact"/>
        <w:shd w:val="clear" w:color="auto" w:fill="ffffff"/>
        <w:widowControl/>
        <w:rPr>
          <w:rFonts w:ascii="宋体" w:hAnsi="宋体" w:cs="宋体"/>
          <w:sz w:val="24"/>
          <w:szCs w:val="24"/>
        </w:rPr>
      </w:pPr>
      <w:r>
        <w:rPr>
          <w:rFonts w:hint="eastAsia" w:ascii="宋体" w:hAnsi="宋体" w:cs="宋体"/>
          <w:sz w:val="24"/>
          <w:szCs w:val="24"/>
        </w:rPr>
        <w:t xml:space="preserve">1、电子投标文件一份(通过系统提交)；纸质投标文件正本一份，副本四份（评审结束后由中标候选人邮寄至采购人，未中标单位不需要提供）。</w:t>
      </w:r>
      <w:r/>
    </w:p>
    <w:p>
      <w:pPr>
        <w:ind w:firstLine="480"/>
        <w:jc w:val="left"/>
        <w:spacing w:line="520" w:lineRule="exact"/>
        <w:shd w:val="clear" w:color="auto" w:fill="ffffff"/>
        <w:widowControl/>
        <w:rPr>
          <w:rFonts w:ascii="宋体" w:hAnsi="宋体" w:cs="宋体"/>
          <w:sz w:val="24"/>
          <w:szCs w:val="24"/>
        </w:rPr>
      </w:pPr>
      <w:r>
        <w:rPr>
          <w:rFonts w:hint="eastAsia" w:ascii="宋体" w:hAnsi="宋体" w:cs="宋体"/>
          <w:sz w:val="24"/>
          <w:szCs w:val="24"/>
        </w:rPr>
        <w:t xml:space="preserve">2、根据省财政厅《关</w:t>
      </w:r>
      <w:r>
        <w:rPr>
          <w:rFonts w:hint="eastAsia" w:ascii="宋体" w:hAnsi="宋体" w:cs="宋体"/>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spacing w:line="520" w:lineRule="exact"/>
        <w:shd w:val="clear" w:color="auto" w:fill="ffffff"/>
        <w:widowControl/>
        <w:rPr>
          <w:rFonts w:ascii="宋体" w:hAnsi="宋体" w:cs="宋体"/>
          <w:sz w:val="24"/>
          <w:szCs w:val="24"/>
        </w:rPr>
      </w:pPr>
      <w:r>
        <w:rPr>
          <w:rFonts w:hint="eastAsia" w:ascii="宋体" w:hAnsi="宋体" w:cs="宋体"/>
          <w:sz w:val="24"/>
          <w:szCs w:val="24"/>
        </w:rPr>
        <w:t xml:space="preserve">领取CA和办理电子签章(请至盐城市亭湖区政务服务中心二楼226窗口办理（联系电话：15051556883），具体联系方式见《苏采云系统供应商操作手册》（以下简称《操作手册》））、进行注册并按《操作手册》要求制作、上传电子投标文件。</w:t>
      </w:r>
      <w:r/>
    </w:p>
    <w:p>
      <w:pPr>
        <w:ind w:firstLine="480"/>
        <w:jc w:val="left"/>
        <w:spacing w:line="520" w:lineRule="exact"/>
        <w:shd w:val="clear" w:color="auto" w:fill="ffffff"/>
        <w:widowControl/>
        <w:rPr>
          <w:rFonts w:ascii="宋体" w:hAnsi="宋体" w:cs="宋体"/>
          <w:sz w:val="24"/>
          <w:szCs w:val="24"/>
        </w:rPr>
      </w:pPr>
      <w:r>
        <w:rPr>
          <w:rFonts w:hint="eastAsia" w:ascii="宋体" w:hAnsi="宋体" w:cs="宋体"/>
          <w:sz w:val="24"/>
          <w:szCs w:val="24"/>
        </w:rPr>
        <w:t xml:space="preserve">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r/>
    </w:p>
    <w:p>
      <w:pPr>
        <w:ind w:firstLine="480"/>
        <w:jc w:val="left"/>
        <w:spacing w:line="520" w:lineRule="exact"/>
        <w:shd w:val="clear" w:color="auto" w:fill="ffffff"/>
        <w:widowControl/>
        <w:rPr>
          <w:rFonts w:ascii="宋体" w:hAnsi="宋体" w:cs="宋体"/>
          <w:sz w:val="24"/>
          <w:szCs w:val="24"/>
        </w:rPr>
      </w:pPr>
      <w:r>
        <w:rPr>
          <w:rFonts w:hint="eastAsia" w:ascii="宋体" w:hAnsi="宋体" w:cs="宋体"/>
          <w:sz w:val="24"/>
          <w:szCs w:val="24"/>
        </w:rPr>
        <w:t xml:space="preserve">3、本项目不收取投标保证金。</w:t>
      </w:r>
      <w:bookmarkStart w:id="40" w:name="_Toc28359085"/>
      <w:r/>
      <w:bookmarkStart w:id="41" w:name="_Toc28359008"/>
      <w:r/>
      <w:bookmarkStart w:id="42" w:name="_Toc35393796"/>
      <w:r/>
      <w:bookmarkStart w:id="43" w:name="_Toc35393627"/>
      <w:r/>
      <w:r/>
    </w:p>
    <w:p>
      <w:pPr>
        <w:ind w:firstLine="480"/>
        <w:jc w:val="left"/>
        <w:spacing w:line="520" w:lineRule="exact"/>
        <w:shd w:val="clear" w:color="auto" w:fill="ffffff"/>
        <w:widowControl/>
        <w:rPr>
          <w:rFonts w:ascii="宋体" w:hAnsi="宋体" w:cs="宋体"/>
          <w:sz w:val="24"/>
          <w:szCs w:val="24"/>
        </w:rPr>
      </w:pPr>
      <w:r>
        <w:rPr>
          <w:rFonts w:hint="eastAsia" w:ascii="宋体" w:hAnsi="宋体" w:cs="宋体"/>
          <w:sz w:val="24"/>
          <w:szCs w:val="24"/>
        </w:rPr>
        <w:t xml:space="preserve">七、对本次招标提出询问，请按以下方式联系。</w:t>
      </w:r>
      <w:bookmarkStart w:id="44" w:name="_Toc28359019"/>
      <w:r/>
      <w:bookmarkStart w:id="45" w:name="_Toc35393806"/>
      <w:r/>
      <w:bookmarkStart w:id="46" w:name="_Toc35393637"/>
      <w:r/>
      <w:bookmarkStart w:id="47" w:name="_Toc28359096"/>
      <w:r/>
      <w:bookmarkEnd w:id="40"/>
      <w:r/>
      <w:bookmarkEnd w:id="41"/>
      <w:r/>
      <w:bookmarkEnd w:id="42"/>
      <w:r/>
      <w:bookmarkEnd w:id="43"/>
      <w:r/>
      <w:bookmarkEnd w:id="44"/>
      <w:r/>
      <w:bookmarkEnd w:id="45"/>
      <w:r/>
      <w:bookmarkEnd w:id="46"/>
      <w:r/>
      <w:bookmarkEnd w:id="47"/>
      <w:r/>
      <w:r/>
    </w:p>
    <w:p>
      <w:pPr>
        <w:ind w:firstLine="480"/>
        <w:jc w:val="left"/>
        <w:spacing w:line="520" w:lineRule="exact"/>
        <w:shd w:val="clear" w:color="auto" w:fill="ffffff"/>
        <w:widowControl/>
        <w:rPr>
          <w:rFonts w:ascii="宋体" w:hAnsi="宋体" w:cs="宋体"/>
          <w:sz w:val="24"/>
          <w:szCs w:val="24"/>
        </w:rPr>
      </w:pPr>
      <w:r>
        <w:rPr>
          <w:rFonts w:hint="eastAsia" w:ascii="宋体" w:hAnsi="宋体" w:cs="宋体"/>
          <w:sz w:val="24"/>
          <w:szCs w:val="24"/>
        </w:rPr>
        <w:t xml:space="preserve">1、采购人信息</w:t>
      </w:r>
      <w:r/>
    </w:p>
    <w:p>
      <w:pPr>
        <w:pStyle w:val="1021"/>
        <w:ind w:firstLine="482"/>
        <w:jc w:val="both"/>
        <w:spacing w:before="0" w:beforeAutospacing="0" w:after="0" w:afterAutospacing="0" w:line="520" w:lineRule="exact"/>
        <w:rPr>
          <w:color w:val="000000"/>
        </w:rPr>
      </w:pPr>
      <w:r/>
      <w:bookmarkStart w:id="48" w:name="_Toc35393639"/>
      <w:r/>
      <w:bookmarkStart w:id="49" w:name="_Toc35393808"/>
      <w:r/>
      <w:bookmarkStart w:id="50" w:name="_Toc28359098"/>
      <w:r/>
      <w:bookmarkStart w:id="51" w:name="_Toc28359021"/>
      <w:r>
        <w:rPr>
          <w:rFonts w:hint="eastAsia"/>
          <w:color w:val="000000"/>
        </w:rPr>
        <w:t xml:space="preserve">名    称：盐城市大丰区公安局</w:t>
      </w:r>
      <w:r/>
    </w:p>
    <w:p>
      <w:pPr>
        <w:pStyle w:val="1021"/>
        <w:ind w:firstLine="482"/>
        <w:jc w:val="both"/>
        <w:spacing w:before="0" w:beforeAutospacing="0" w:after="0" w:afterAutospacing="0" w:line="520" w:lineRule="exact"/>
        <w:rPr>
          <w:color w:val="000000"/>
        </w:rPr>
      </w:pPr>
      <w:r>
        <w:rPr>
          <w:rFonts w:hint="eastAsia"/>
          <w:color w:val="000000"/>
        </w:rPr>
        <w:t xml:space="preserve">地    址：</w:t>
      </w:r>
      <w:bookmarkStart w:id="52" w:name="_Hlk130225944"/>
      <w:r>
        <w:rPr>
          <w:rFonts w:hint="eastAsia"/>
          <w:color w:val="000000"/>
        </w:rPr>
        <w:t xml:space="preserve">盐城市大丰市区健康西路21号</w:t>
      </w:r>
      <w:bookmarkEnd w:id="52"/>
      <w:r/>
      <w:r/>
    </w:p>
    <w:p>
      <w:pPr>
        <w:pStyle w:val="1021"/>
        <w:ind w:firstLine="482"/>
        <w:jc w:val="both"/>
        <w:spacing w:before="0" w:beforeAutospacing="0" w:after="0" w:afterAutospacing="0" w:line="520" w:lineRule="exact"/>
        <w:rPr>
          <w:color w:val="000000"/>
        </w:rPr>
      </w:pPr>
      <w:r>
        <w:rPr>
          <w:rFonts w:hint="eastAsia"/>
          <w:color w:val="000000"/>
        </w:rPr>
        <w:t xml:space="preserve">联 系 人：沈鸣熙              </w:t>
      </w:r>
      <w:r/>
    </w:p>
    <w:p>
      <w:pPr>
        <w:pStyle w:val="1021"/>
        <w:ind w:firstLine="482"/>
        <w:jc w:val="both"/>
        <w:spacing w:before="0" w:beforeAutospacing="0" w:after="0" w:afterAutospacing="0" w:line="520" w:lineRule="exact"/>
        <w:rPr>
          <w:color w:val="000000"/>
        </w:rPr>
      </w:pPr>
      <w:r>
        <w:rPr>
          <w:rFonts w:hint="eastAsia"/>
          <w:color w:val="000000"/>
        </w:rPr>
        <w:t xml:space="preserve">联系电话：18862030899</w:t>
      </w:r>
      <w:r/>
    </w:p>
    <w:p>
      <w:pPr>
        <w:pStyle w:val="1021"/>
        <w:ind w:firstLine="482"/>
        <w:jc w:val="both"/>
        <w:spacing w:before="0" w:beforeAutospacing="0" w:after="0" w:afterAutospacing="0" w:line="520" w:lineRule="exact"/>
        <w:rPr>
          <w:color w:val="000000"/>
        </w:rPr>
      </w:pPr>
      <w:r>
        <w:rPr>
          <w:rFonts w:hint="eastAsia"/>
          <w:color w:val="000000"/>
        </w:rPr>
        <w:t xml:space="preserve">2.采购代理机构（如有）</w:t>
      </w:r>
      <w:r/>
    </w:p>
    <w:p>
      <w:pPr>
        <w:pStyle w:val="1021"/>
        <w:ind w:firstLine="482"/>
        <w:jc w:val="both"/>
        <w:spacing w:before="0" w:beforeAutospacing="0" w:after="0" w:afterAutospacing="0" w:line="520" w:lineRule="exact"/>
        <w:rPr>
          <w:color w:val="000000"/>
        </w:rPr>
      </w:pPr>
      <w:r>
        <w:rPr>
          <w:rFonts w:hint="eastAsia"/>
          <w:color w:val="000000"/>
        </w:rPr>
        <w:t xml:space="preserve">单位名称：盐城市大丰区公共资源交易中心</w:t>
      </w:r>
      <w:r/>
    </w:p>
    <w:p>
      <w:pPr>
        <w:pStyle w:val="1021"/>
        <w:ind w:firstLine="482"/>
        <w:jc w:val="both"/>
        <w:spacing w:before="0" w:beforeAutospacing="0" w:after="0" w:afterAutospacing="0" w:line="520" w:lineRule="exact"/>
        <w:rPr>
          <w:color w:val="000000"/>
        </w:rPr>
      </w:pPr>
      <w:r>
        <w:rPr>
          <w:rFonts w:hint="eastAsia"/>
          <w:color w:val="000000"/>
        </w:rPr>
        <w:t xml:space="preserve">单位地址：盐城市大丰区飞达东路100号（丰华国际大厦5楼）</w:t>
      </w:r>
      <w:r/>
    </w:p>
    <w:p>
      <w:pPr>
        <w:pStyle w:val="1014"/>
      </w:pPr>
      <w:r>
        <w:rPr>
          <w:rFonts w:hint="eastAsia"/>
        </w:rPr>
        <w:t xml:space="preserve">联系人：邹海君</w:t>
      </w:r>
      <w:r/>
    </w:p>
    <w:p>
      <w:pPr>
        <w:ind w:firstLine="480"/>
        <w:spacing w:line="520" w:lineRule="exact"/>
        <w:rPr>
          <w:rFonts w:ascii="宋体" w:hAnsi="宋体" w:cs="宋体"/>
          <w:sz w:val="24"/>
          <w:szCs w:val="24"/>
        </w:rPr>
      </w:pPr>
      <w:r>
        <w:rPr>
          <w:rFonts w:hint="eastAsia" w:ascii="宋体" w:hAnsi="宋体" w:cs="宋体"/>
          <w:sz w:val="24"/>
          <w:szCs w:val="24"/>
        </w:rPr>
        <w:t xml:space="preserve">电　　话：</w:t>
      </w:r>
      <w:r>
        <w:rPr>
          <w:rFonts w:ascii="宋体" w:hAnsi="宋体" w:cs="宋体"/>
          <w:sz w:val="24"/>
          <w:szCs w:val="24"/>
        </w:rPr>
        <w:t xml:space="preserve">13921826080</w:t>
      </w:r>
      <w:r/>
    </w:p>
    <w:p>
      <w:pPr>
        <w:pStyle w:val="996"/>
        <w:ind w:firstLine="480"/>
        <w:jc w:val="left"/>
        <w:spacing w:before="0" w:after="0" w:line="520" w:lineRule="exact"/>
        <w:rPr>
          <w:rFonts w:ascii="宋体" w:hAnsi="宋体" w:eastAsia="宋体" w:cs="宋体"/>
          <w:b w:val="0"/>
          <w:sz w:val="24"/>
          <w:szCs w:val="24"/>
        </w:rPr>
      </w:pPr>
      <w:r>
        <w:rPr>
          <w:rFonts w:hint="eastAsia" w:ascii="宋体" w:hAnsi="宋体" w:eastAsia="宋体" w:cs="宋体"/>
          <w:b w:val="0"/>
          <w:sz w:val="24"/>
          <w:szCs w:val="24"/>
        </w:rPr>
        <w:t xml:space="preserve">2、项目联系方式</w:t>
      </w:r>
      <w:bookmarkEnd w:id="48"/>
      <w:r/>
      <w:bookmarkEnd w:id="49"/>
      <w:r/>
      <w:bookmarkEnd w:id="50"/>
      <w:r/>
      <w:bookmarkEnd w:id="51"/>
      <w:r/>
      <w:r/>
    </w:p>
    <w:p>
      <w:pPr>
        <w:pStyle w:val="1014"/>
      </w:pPr>
      <w:r>
        <w:rPr>
          <w:rFonts w:hint="eastAsia"/>
        </w:rPr>
        <w:t xml:space="preserve">项目联系人：邹海君</w:t>
      </w:r>
      <w:r/>
    </w:p>
    <w:p>
      <w:pPr>
        <w:ind w:firstLine="480"/>
        <w:spacing w:line="520" w:lineRule="exact"/>
        <w:rPr>
          <w:rFonts w:ascii="宋体" w:hAnsi="宋体" w:cs="宋体"/>
          <w:sz w:val="24"/>
          <w:szCs w:val="24"/>
        </w:rPr>
      </w:pPr>
      <w:r>
        <w:rPr>
          <w:rFonts w:hint="eastAsia" w:ascii="宋体" w:hAnsi="宋体" w:cs="宋体"/>
          <w:sz w:val="24"/>
          <w:szCs w:val="24"/>
        </w:rPr>
        <w:t xml:space="preserve">电　　话：</w:t>
      </w:r>
      <w:r>
        <w:rPr>
          <w:rFonts w:ascii="宋体" w:hAnsi="宋体" w:cs="宋体"/>
          <w:sz w:val="24"/>
          <w:szCs w:val="24"/>
        </w:rPr>
        <w:t xml:space="preserve">13921826080</w:t>
      </w:r>
      <w:r/>
    </w:p>
    <w:p>
      <w:pPr>
        <w:pStyle w:val="996"/>
        <w:ind w:right="-92"/>
        <w:spacing w:line="500" w:lineRule="atLeast"/>
        <w:rPr>
          <w:rFonts w:ascii="宋体" w:hAnsi="宋体" w:eastAsia="宋体"/>
          <w:b w:val="0"/>
          <w:bCs w:val="0"/>
        </w:rPr>
      </w:pPr>
      <w:r>
        <w:rPr>
          <w:rFonts w:ascii="宋体" w:hAnsi="宋体" w:eastAsia="宋体"/>
        </w:rPr>
        <w:br w:type="page" w:clear="all"/>
      </w:r>
      <w:r>
        <w:rPr>
          <w:rFonts w:hint="eastAsia" w:ascii="宋体" w:hAnsi="宋体" w:eastAsia="宋体"/>
        </w:rPr>
        <w:t xml:space="preserve">第二章  投标人须知</w:t>
      </w:r>
      <w:r/>
    </w:p>
    <w:p>
      <w:pPr>
        <w:pStyle w:val="997"/>
        <w:ind w:firstLine="482"/>
        <w:spacing w:before="0" w:after="0" w:line="480" w:lineRule="exact"/>
        <w:rPr>
          <w:rFonts w:ascii="宋体" w:hAnsi="宋体" w:eastAsia="宋体"/>
          <w:sz w:val="24"/>
          <w:szCs w:val="24"/>
        </w:rPr>
      </w:pPr>
      <w:r>
        <w:rPr>
          <w:rFonts w:hint="eastAsia" w:ascii="宋体" w:hAnsi="宋体" w:eastAsia="宋体"/>
          <w:sz w:val="24"/>
          <w:szCs w:val="24"/>
        </w:rPr>
        <w:t xml:space="preserve">一、总则</w:t>
      </w:r>
      <w:r/>
    </w:p>
    <w:p>
      <w:pPr>
        <w:pStyle w:val="998"/>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1、招标方式</w:t>
      </w:r>
      <w:r/>
    </w:p>
    <w:p>
      <w:pPr>
        <w:ind w:firstLine="480"/>
        <w:spacing w:line="480" w:lineRule="exact"/>
        <w:rPr>
          <w:rFonts w:ascii="宋体" w:hAnsi="宋体"/>
          <w:sz w:val="24"/>
          <w:szCs w:val="24"/>
        </w:rPr>
      </w:pPr>
      <w:r>
        <w:rPr>
          <w:rFonts w:hint="eastAsia" w:ascii="宋体" w:hAnsi="宋体"/>
          <w:sz w:val="24"/>
          <w:szCs w:val="24"/>
        </w:rPr>
        <w:t xml:space="preserve">1.1 本次招标采取公开招标方式，本招标文件仅适用于招标公告中所述项目。</w:t>
      </w:r>
      <w:r/>
    </w:p>
    <w:p>
      <w:pPr>
        <w:pStyle w:val="998"/>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2、合格的投标人</w:t>
      </w:r>
      <w:r/>
    </w:p>
    <w:p>
      <w:pPr>
        <w:ind w:firstLine="480"/>
        <w:spacing w:line="48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80" w:lineRule="exact"/>
        <w:rPr>
          <w:rFonts w:ascii="宋体" w:hAnsi="宋体"/>
          <w:sz w:val="24"/>
          <w:szCs w:val="24"/>
        </w:rPr>
      </w:pPr>
      <w:r>
        <w:rPr>
          <w:rFonts w:hint="eastAsia" w:ascii="宋体" w:hAnsi="宋体"/>
          <w:sz w:val="24"/>
          <w:szCs w:val="24"/>
        </w:rPr>
        <w:t xml:space="preserve">2.2 满足本文件实质性条款的规定。</w:t>
      </w:r>
      <w:r/>
    </w:p>
    <w:p>
      <w:pPr>
        <w:pStyle w:val="998"/>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3、适用法律</w:t>
      </w:r>
      <w:r/>
    </w:p>
    <w:p>
      <w:pPr>
        <w:ind w:firstLine="480"/>
        <w:spacing w:line="480" w:lineRule="exact"/>
        <w:rPr>
          <w:rFonts w:ascii="宋体" w:hAnsi="宋体"/>
          <w:sz w:val="24"/>
          <w:szCs w:val="24"/>
        </w:rPr>
      </w:pPr>
      <w:r>
        <w:rPr>
          <w:rFonts w:hint="eastAsia" w:ascii="宋体" w:hAnsi="宋体"/>
          <w:sz w:val="24"/>
          <w:szCs w:val="24"/>
        </w:rPr>
        <w:t xml:space="preserve">3.1 本次招标及由此产生的合同受中华人民共和国有关的法律法规制约和保护。</w:t>
      </w:r>
      <w:r/>
    </w:p>
    <w:p>
      <w:pPr>
        <w:pStyle w:val="998"/>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4、投标费用</w:t>
      </w:r>
      <w:r/>
    </w:p>
    <w:p>
      <w:pPr>
        <w:ind w:firstLine="480"/>
        <w:spacing w:line="480" w:lineRule="exact"/>
        <w:rPr>
          <w:rFonts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 投标人应自行承担所有与参加投标有关的费用，无论投标过程中的做法和结果如何，盐城市大丰区政府采购中心（以下简称采购中心）在任何情况下均无义务和责任承担这些费用。</w:t>
      </w:r>
      <w:r/>
    </w:p>
    <w:p>
      <w:pPr>
        <w:ind w:firstLine="480"/>
        <w:spacing w:line="480" w:lineRule="exact"/>
        <w:rPr>
          <w:rFonts w:ascii="宋体" w:hAnsi="宋体"/>
          <w:sz w:val="24"/>
          <w:szCs w:val="24"/>
        </w:rPr>
      </w:pPr>
      <w:r>
        <w:rPr>
          <w:rFonts w:hint="eastAsia" w:ascii="宋体" w:hAnsi="宋体"/>
          <w:sz w:val="24"/>
          <w:szCs w:val="24"/>
        </w:rPr>
        <w:t xml:space="preserve">4.2本次招标采购中心和采购人不收取标书工本费。</w:t>
      </w:r>
      <w:r/>
    </w:p>
    <w:p>
      <w:pPr>
        <w:pStyle w:val="998"/>
        <w:ind w:firstLine="480"/>
        <w:spacing w:before="0" w:after="0" w:line="480" w:lineRule="exact"/>
        <w:rPr>
          <w:rFonts w:ascii="宋体" w:hAnsi="宋体" w:eastAsia="宋体"/>
          <w:b w:val="0"/>
          <w:bCs w:val="0"/>
          <w:sz w:val="24"/>
          <w:szCs w:val="24"/>
        </w:rPr>
      </w:pPr>
      <w:r>
        <w:rPr>
          <w:rFonts w:hint="eastAsia" w:ascii="宋体" w:hAnsi="宋体" w:eastAsia="宋体"/>
          <w:b w:val="0"/>
          <w:sz w:val="24"/>
          <w:szCs w:val="24"/>
        </w:rPr>
        <w:t xml:space="preserve">5、</w:t>
      </w:r>
      <w:r>
        <w:rPr>
          <w:rFonts w:hint="eastAsia" w:ascii="宋体" w:hAnsi="宋体" w:eastAsia="宋体"/>
          <w:b w:val="0"/>
          <w:bCs w:val="0"/>
          <w:sz w:val="24"/>
          <w:szCs w:val="24"/>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投标人一旦参加本项目采购活动，即被认为接受了本招标文件的规定和约束，并且视为自招标公告期限届满之日起知道或应当知道自身权益是否受到了损害。</w:t>
      </w:r>
      <w:r/>
    </w:p>
    <w:p>
      <w:pPr>
        <w:pStyle w:val="998"/>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6、招标文件的解释</w:t>
      </w:r>
      <w:r/>
    </w:p>
    <w:p>
      <w:pPr>
        <w:ind w:firstLine="480"/>
        <w:spacing w:line="480" w:lineRule="exact"/>
        <w:rPr>
          <w:rFonts w:ascii="宋体" w:hAnsi="宋体"/>
          <w:bCs/>
          <w:sz w:val="24"/>
          <w:szCs w:val="24"/>
        </w:rPr>
      </w:pPr>
      <w:r>
        <w:rPr>
          <w:rFonts w:hint="eastAsia" w:ascii="宋体" w:hAnsi="宋体"/>
          <w:bCs/>
          <w:sz w:val="24"/>
          <w:szCs w:val="24"/>
        </w:rPr>
        <w:t xml:space="preserve">6.1 本招标文件由采购人负责解释。</w:t>
      </w:r>
      <w:r/>
    </w:p>
    <w:p>
      <w:pPr>
        <w:pStyle w:val="997"/>
        <w:ind w:firstLine="482"/>
        <w:spacing w:before="0" w:after="0" w:line="480" w:lineRule="exact"/>
        <w:rPr>
          <w:rFonts w:ascii="宋体" w:hAnsi="宋体" w:eastAsia="宋体"/>
          <w:sz w:val="24"/>
          <w:szCs w:val="24"/>
        </w:rPr>
      </w:pPr>
      <w:r>
        <w:rPr>
          <w:rFonts w:hint="eastAsia" w:ascii="宋体" w:hAnsi="宋体" w:eastAsia="宋体"/>
          <w:sz w:val="24"/>
          <w:szCs w:val="24"/>
        </w:rPr>
        <w:t xml:space="preserve">二、招标文件</w:t>
      </w:r>
      <w:r/>
    </w:p>
    <w:p>
      <w:pPr>
        <w:pStyle w:val="998"/>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7、招标文件构成</w:t>
      </w:r>
      <w:r/>
    </w:p>
    <w:p>
      <w:pPr>
        <w:ind w:firstLine="480"/>
        <w:spacing w:line="480" w:lineRule="exact"/>
        <w:rPr>
          <w:rFonts w:ascii="宋体" w:hAnsi="宋体"/>
          <w:sz w:val="24"/>
          <w:szCs w:val="24"/>
        </w:rPr>
      </w:pPr>
      <w:r>
        <w:rPr>
          <w:rFonts w:hint="eastAsia" w:ascii="宋体" w:hAnsi="宋体"/>
          <w:bCs/>
          <w:sz w:val="24"/>
          <w:szCs w:val="24"/>
        </w:rPr>
        <w:t xml:space="preserve">7.1</w:t>
      </w:r>
      <w:r>
        <w:rPr>
          <w:rFonts w:hint="eastAsia" w:ascii="宋体" w:hAnsi="宋体"/>
          <w:sz w:val="24"/>
          <w:szCs w:val="24"/>
        </w:rPr>
        <w:t xml:space="preserve"> 招标文件有以下部分组成：</w:t>
      </w:r>
      <w:r/>
    </w:p>
    <w:p>
      <w:pPr>
        <w:ind w:firstLine="480"/>
        <w:spacing w:line="48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.1.1</w:t>
      </w:r>
      <w:r>
        <w:rPr>
          <w:rFonts w:hint="eastAsia" w:ascii="宋体" w:hAnsi="宋体"/>
          <w:sz w:val="24"/>
          <w:szCs w:val="24"/>
        </w:rPr>
        <w:t xml:space="preserve">招标公告</w:t>
      </w:r>
      <w:r/>
    </w:p>
    <w:p>
      <w:pPr>
        <w:ind w:firstLine="480"/>
        <w:spacing w:line="48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.1.2</w:t>
      </w:r>
      <w:r>
        <w:rPr>
          <w:rFonts w:hint="eastAsia" w:ascii="宋体" w:hAnsi="宋体"/>
          <w:sz w:val="24"/>
          <w:szCs w:val="24"/>
        </w:rPr>
        <w:t xml:space="preserve">投标人须知</w:t>
      </w:r>
      <w:r/>
    </w:p>
    <w:p>
      <w:pPr>
        <w:ind w:firstLine="480"/>
        <w:spacing w:line="48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.1.3</w:t>
      </w:r>
      <w:r>
        <w:rPr>
          <w:rFonts w:hint="eastAsia" w:ascii="宋体" w:hAnsi="宋体"/>
          <w:sz w:val="24"/>
          <w:szCs w:val="24"/>
        </w:rPr>
        <w:t xml:space="preserve">合同条款及格式</w:t>
      </w:r>
      <w:r/>
    </w:p>
    <w:p>
      <w:pPr>
        <w:ind w:firstLine="480"/>
        <w:spacing w:line="48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.1.4</w:t>
      </w:r>
      <w:r>
        <w:rPr>
          <w:rFonts w:hint="eastAsia" w:ascii="宋体" w:hAnsi="宋体"/>
          <w:sz w:val="24"/>
          <w:szCs w:val="24"/>
        </w:rPr>
        <w:t xml:space="preserve">项目需求</w:t>
      </w:r>
      <w:r/>
    </w:p>
    <w:p>
      <w:pPr>
        <w:ind w:firstLine="480"/>
        <w:spacing w:line="48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.1.5</w:t>
      </w:r>
      <w:r>
        <w:rPr>
          <w:rFonts w:hint="eastAsia" w:ascii="宋体" w:hAnsi="宋体"/>
          <w:sz w:val="24"/>
          <w:szCs w:val="24"/>
        </w:rPr>
        <w:t xml:space="preserve">定标原则与评标标准</w:t>
      </w:r>
      <w:r/>
    </w:p>
    <w:p>
      <w:pPr>
        <w:ind w:firstLine="480"/>
        <w:spacing w:line="48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.1.6</w:t>
      </w:r>
      <w:r>
        <w:rPr>
          <w:rFonts w:hint="eastAsia" w:ascii="宋体" w:hAnsi="宋体"/>
          <w:sz w:val="24"/>
          <w:szCs w:val="24"/>
        </w:rPr>
        <w:t xml:space="preserve">投标文件格式</w:t>
      </w:r>
      <w:r/>
    </w:p>
    <w:p>
      <w:pPr>
        <w:ind w:firstLine="480"/>
        <w:spacing w:line="480" w:lineRule="exact"/>
        <w:rPr>
          <w:rFonts w:ascii="宋体" w:hAnsi="宋体"/>
          <w:sz w:val="24"/>
          <w:szCs w:val="24"/>
        </w:rPr>
      </w:pPr>
      <w:r>
        <w:rPr>
          <w:rFonts w:hint="eastAsia" w:ascii="宋体" w:hAnsi="宋体"/>
          <w:sz w:val="24"/>
          <w:szCs w:val="24"/>
        </w:rPr>
        <w:t xml:space="preserve">请仔细检查招标文件是否齐全，如有缺漏请立即与代理机构联系解决。</w:t>
      </w:r>
      <w:r/>
    </w:p>
    <w:p>
      <w:pPr>
        <w:ind w:firstLine="480"/>
        <w:spacing w:line="480" w:lineRule="exact"/>
        <w:rPr>
          <w:rFonts w:ascii="宋体" w:hAnsi="宋体"/>
          <w:sz w:val="24"/>
          <w:szCs w:val="24"/>
        </w:rPr>
      </w:pPr>
      <w:r>
        <w:rPr>
          <w:rFonts w:hint="eastAsia" w:ascii="宋体" w:hAnsi="宋体"/>
          <w:bCs/>
          <w:sz w:val="24"/>
          <w:szCs w:val="24"/>
        </w:rPr>
        <w:t xml:space="preserve">7.2</w:t>
      </w:r>
      <w:r>
        <w:rPr>
          <w:rFonts w:hint="eastAsia" w:ascii="宋体" w:hAnsi="宋体"/>
          <w:sz w:val="24"/>
          <w:szCs w:val="24"/>
        </w:rPr>
        <w:t xml:space="preserve"> 投标人应认真阅读招标文件中所有的事项、格式、条款和规范等要求。按招标文件要求和规定编制投标文件。须保证所提供的全部资料的真实性，以使其投标文件对招标文件作出实质性响应，否则其风险由投标人自行承担。</w:t>
      </w:r>
      <w:r/>
    </w:p>
    <w:p>
      <w:pPr>
        <w:pStyle w:val="998"/>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8、招标文件的询问</w:t>
      </w:r>
      <w:r/>
    </w:p>
    <w:p>
      <w:pPr>
        <w:ind w:firstLine="480"/>
        <w:spacing w:line="480" w:lineRule="exact"/>
        <w:rPr>
          <w:rFonts w:ascii="宋体" w:hAnsi="宋体"/>
          <w:sz w:val="24"/>
          <w:szCs w:val="24"/>
        </w:rPr>
      </w:pPr>
      <w:r>
        <w:rPr>
          <w:rFonts w:hint="eastAsia" w:ascii="宋体" w:hAnsi="宋体"/>
          <w:bCs/>
          <w:sz w:val="24"/>
          <w:szCs w:val="24"/>
        </w:rPr>
        <w:t xml:space="preserve">8.1</w:t>
      </w:r>
      <w:r>
        <w:rPr>
          <w:rFonts w:hint="eastAsia" w:ascii="宋体" w:hAnsi="宋体"/>
          <w:sz w:val="24"/>
          <w:szCs w:val="24"/>
        </w:rPr>
        <w:t xml:space="preserve"> 任何要求对招标文件进行询问的投标人，应在投标截止日期十日前按招标公告中的通讯地址，向采购人书面提出。</w:t>
      </w:r>
      <w:r/>
    </w:p>
    <w:p>
      <w:pPr>
        <w:pStyle w:val="998"/>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9、招标文件的修改</w:t>
      </w:r>
      <w:r/>
    </w:p>
    <w:p>
      <w:pPr>
        <w:ind w:firstLine="480"/>
        <w:spacing w:line="480" w:lineRule="exact"/>
        <w:rPr>
          <w:rFonts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 在投标截止时间前，采购人可以对招标文件进行修改。</w:t>
      </w:r>
      <w:r/>
    </w:p>
    <w:p>
      <w:pPr>
        <w:ind w:firstLine="480"/>
        <w:spacing w:line="480" w:lineRule="exact"/>
        <w:rPr>
          <w:rFonts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采购人有权依法推迟投标截止日期和开标日期。</w:t>
      </w:r>
      <w:r/>
    </w:p>
    <w:p>
      <w:pPr>
        <w:ind w:firstLine="480"/>
        <w:spacing w:line="480" w:lineRule="exact"/>
        <w:rPr>
          <w:rFonts w:ascii="宋体" w:hAnsi="宋体"/>
          <w:sz w:val="24"/>
          <w:szCs w:val="24"/>
        </w:rPr>
      </w:pPr>
      <w:r>
        <w:rPr>
          <w:rFonts w:hint="eastAsia" w:ascii="宋体" w:hAnsi="宋体"/>
          <w:bCs/>
          <w:sz w:val="24"/>
          <w:szCs w:val="24"/>
        </w:rPr>
        <w:t xml:space="preserve">9.3</w:t>
      </w:r>
      <w:r>
        <w:rPr>
          <w:rFonts w:hint="eastAsia" w:ascii="宋体" w:hAnsi="宋体"/>
          <w:sz w:val="24"/>
          <w:szCs w:val="24"/>
        </w:rPr>
        <w:t xml:space="preserve">招标文件的澄清或者修改的内容将在江苏政府采购网、盐城市政府采购网公布，澄清或者修改的内容将作为招标文件的组成部分，并对投标人具有约束力。</w:t>
      </w:r>
      <w:r/>
    </w:p>
    <w:p>
      <w:pPr>
        <w:pStyle w:val="997"/>
        <w:ind w:firstLine="482"/>
        <w:spacing w:before="0" w:after="0" w:line="480" w:lineRule="exact"/>
        <w:rPr>
          <w:rFonts w:ascii="宋体" w:hAnsi="宋体" w:eastAsia="宋体"/>
          <w:sz w:val="24"/>
          <w:szCs w:val="24"/>
        </w:rPr>
      </w:pPr>
      <w:r>
        <w:rPr>
          <w:rFonts w:hint="eastAsia" w:ascii="宋体" w:hAnsi="宋体" w:eastAsia="宋体"/>
          <w:sz w:val="24"/>
          <w:szCs w:val="24"/>
        </w:rPr>
        <w:t xml:space="preserve">三、投标文件的编制</w:t>
      </w:r>
      <w:r/>
    </w:p>
    <w:p>
      <w:pPr>
        <w:pStyle w:val="998"/>
        <w:ind w:firstLine="480"/>
        <w:spacing w:before="0" w:after="0" w:line="480" w:lineRule="exact"/>
        <w:rPr>
          <w:rFonts w:ascii="宋体" w:hAnsi="宋体" w:eastAsia="宋体"/>
          <w:bCs w:val="0"/>
          <w:sz w:val="24"/>
          <w:szCs w:val="24"/>
        </w:rPr>
      </w:pPr>
      <w:r>
        <w:rPr>
          <w:rFonts w:hint="eastAsia" w:ascii="宋体" w:hAnsi="宋体" w:eastAsia="宋体"/>
          <w:b w:val="0"/>
          <w:bCs w:val="0"/>
          <w:sz w:val="24"/>
          <w:szCs w:val="24"/>
        </w:rPr>
        <w:t xml:space="preserve">10、投标文件的语言及度量衡单位</w:t>
      </w:r>
      <w:r/>
    </w:p>
    <w:p>
      <w:pPr>
        <w:ind w:firstLine="480"/>
        <w:spacing w:line="480" w:lineRule="exact"/>
        <w:rPr>
          <w:rFonts w:ascii="宋体" w:hAnsi="宋体"/>
          <w:sz w:val="24"/>
          <w:szCs w:val="24"/>
        </w:rPr>
      </w:pPr>
      <w:r>
        <w:rPr>
          <w:rFonts w:hint="eastAsia" w:ascii="宋体" w:hAnsi="宋体"/>
          <w:bCs/>
          <w:sz w:val="24"/>
          <w:szCs w:val="24"/>
        </w:rPr>
        <w:t xml:space="preserve">10.1</w:t>
      </w:r>
      <w:r>
        <w:rPr>
          <w:rFonts w:hint="eastAsia" w:ascii="宋体" w:hAnsi="宋体"/>
          <w:sz w:val="24"/>
          <w:szCs w:val="24"/>
        </w:rPr>
        <w:t xml:space="preserve"> 投标人提交的投标文件以及投标人与采购人就有关投标的所有来往通知、函件和文件均应使用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bCs/>
          <w:sz w:val="24"/>
          <w:szCs w:val="24"/>
        </w:rPr>
        <w:t xml:space="preserve">10.2</w:t>
      </w:r>
      <w:r>
        <w:rPr>
          <w:rFonts w:hint="eastAsia" w:ascii="宋体" w:hAnsi="宋体"/>
          <w:sz w:val="24"/>
          <w:szCs w:val="24"/>
        </w:rPr>
        <w:t xml:space="preserve"> 除技术性能另有规定外，投标文件所使用的度量衡单位，均须采用国家法定计量单位。</w:t>
      </w:r>
      <w:r/>
    </w:p>
    <w:p>
      <w:pPr>
        <w:pStyle w:val="998"/>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11、投标文件构成</w:t>
      </w:r>
      <w:r/>
    </w:p>
    <w:p>
      <w:pPr>
        <w:ind w:firstLine="480"/>
        <w:spacing w:line="480" w:lineRule="exact"/>
        <w:rPr>
          <w:rFonts w:ascii="宋体" w:hAnsi="宋体"/>
          <w:sz w:val="24"/>
          <w:szCs w:val="24"/>
        </w:rPr>
      </w:pPr>
      <w:r>
        <w:rPr>
          <w:rFonts w:hint="eastAsia" w:ascii="宋体" w:hAnsi="宋体"/>
          <w:sz w:val="24"/>
          <w:szCs w:val="24"/>
        </w:rPr>
        <w:t xml:space="preserve">11.1 投标文件正、副本至少应提交（包含并不限于）以下投标材料：(请各单位根据实际情况进行调整)</w:t>
      </w:r>
      <w:r/>
    </w:p>
    <w:p>
      <w:pPr>
        <w:ind w:firstLine="480"/>
        <w:spacing w:line="480" w:lineRule="exact"/>
        <w:rPr>
          <w:rFonts w:ascii="宋体" w:hAnsi="宋体"/>
          <w:sz w:val="24"/>
          <w:szCs w:val="24"/>
        </w:rPr>
      </w:pPr>
      <w:r>
        <w:rPr>
          <w:rFonts w:hint="eastAsia" w:ascii="宋体" w:hAnsi="宋体"/>
          <w:sz w:val="24"/>
          <w:szCs w:val="24"/>
        </w:rPr>
        <w:t xml:space="preserve">投标文件的组成</w:t>
      </w:r>
      <w:r/>
    </w:p>
    <w:p>
      <w:pPr>
        <w:ind w:firstLine="480"/>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1.1.1</w:t>
      </w:r>
      <w:r>
        <w:rPr>
          <w:rFonts w:hint="eastAsia" w:ascii="宋体" w:hAnsi="宋体"/>
          <w:sz w:val="24"/>
          <w:szCs w:val="24"/>
        </w:rPr>
        <w:t xml:space="preserve">资信证明文件</w:t>
      </w:r>
      <w:r/>
    </w:p>
    <w:p>
      <w:pPr>
        <w:ind w:firstLine="480"/>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1.1.2</w:t>
      </w:r>
      <w:r>
        <w:rPr>
          <w:rFonts w:hint="eastAsia" w:ascii="宋体" w:hAnsi="宋体"/>
          <w:sz w:val="24"/>
          <w:szCs w:val="24"/>
        </w:rPr>
        <w:t xml:space="preserve">资格性审查响应对照表</w:t>
      </w:r>
      <w:r/>
    </w:p>
    <w:p>
      <w:pPr>
        <w:ind w:firstLine="480"/>
        <w:spacing w:line="480" w:lineRule="exact"/>
        <w:rPr>
          <w:rFonts w:ascii="宋体" w:hAnsi="宋体"/>
          <w:bCs/>
          <w:sz w:val="24"/>
          <w:szCs w:val="24"/>
        </w:rPr>
      </w:pPr>
      <w:r>
        <w:rPr>
          <w:rFonts w:hint="eastAsia" w:ascii="宋体" w:hAnsi="宋体"/>
          <w:sz w:val="24"/>
          <w:szCs w:val="24"/>
        </w:rPr>
        <w:t xml:space="preserve">1</w:t>
      </w:r>
      <w:r>
        <w:rPr>
          <w:rFonts w:ascii="宋体" w:hAnsi="宋体"/>
          <w:sz w:val="24"/>
          <w:szCs w:val="24"/>
        </w:rPr>
        <w:t xml:space="preserve">1.1.3</w:t>
      </w:r>
      <w:r>
        <w:rPr>
          <w:rFonts w:hint="eastAsia" w:ascii="宋体" w:hAnsi="宋体"/>
          <w:sz w:val="24"/>
          <w:szCs w:val="24"/>
        </w:rPr>
        <w:t xml:space="preserve">符合性检查响应对照表</w:t>
      </w:r>
      <w:r/>
    </w:p>
    <w:p>
      <w:pPr>
        <w:ind w:firstLine="480"/>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1.1.4</w:t>
      </w:r>
      <w:r>
        <w:rPr>
          <w:rFonts w:hint="eastAsia" w:ascii="宋体" w:hAnsi="宋体"/>
          <w:sz w:val="24"/>
          <w:szCs w:val="24"/>
        </w:rPr>
        <w:t xml:space="preserve"> 投标函</w:t>
      </w:r>
      <w:r/>
    </w:p>
    <w:p>
      <w:pPr>
        <w:ind w:firstLine="480"/>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1.1.5</w:t>
      </w:r>
      <w:r>
        <w:rPr>
          <w:rFonts w:hint="eastAsia" w:ascii="宋体" w:hAnsi="宋体"/>
          <w:sz w:val="24"/>
          <w:szCs w:val="24"/>
        </w:rPr>
        <w:t xml:space="preserve">开标一览表（详见投标文件格式）</w:t>
      </w:r>
      <w:r/>
    </w:p>
    <w:p>
      <w:pPr>
        <w:ind w:firstLine="480"/>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1.1.6</w:t>
      </w:r>
      <w:r>
        <w:rPr>
          <w:rFonts w:hint="eastAsia" w:ascii="宋体" w:hAnsi="宋体"/>
          <w:sz w:val="24"/>
          <w:szCs w:val="24"/>
        </w:rPr>
        <w:t xml:space="preserve">投标报价明细表（详见招标文件格式）</w:t>
      </w:r>
      <w:r/>
    </w:p>
    <w:p>
      <w:pPr>
        <w:ind w:firstLine="480"/>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1.1.7</w:t>
      </w:r>
      <w:r>
        <w:rPr>
          <w:rFonts w:hint="eastAsia" w:ascii="宋体" w:hAnsi="宋体"/>
          <w:sz w:val="24"/>
          <w:szCs w:val="24"/>
        </w:rPr>
        <w:t xml:space="preserve">技术参数响应及偏离表</w:t>
      </w:r>
      <w:r/>
    </w:p>
    <w:p>
      <w:pPr>
        <w:ind w:firstLine="480"/>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1.1.8</w:t>
      </w:r>
      <w:r>
        <w:rPr>
          <w:rFonts w:hint="eastAsia" w:ascii="宋体" w:hAnsi="宋体"/>
          <w:sz w:val="24"/>
          <w:szCs w:val="24"/>
        </w:rPr>
        <w:t xml:space="preserve">商务条款响应及偏离表</w:t>
      </w:r>
      <w:r/>
    </w:p>
    <w:p>
      <w:pPr>
        <w:ind w:firstLine="480"/>
        <w:spacing w:line="480" w:lineRule="exact"/>
        <w:rPr>
          <w:rFonts w:ascii="宋体" w:hAnsi="宋体"/>
          <w:color w:val="ff0000"/>
          <w:sz w:val="24"/>
          <w:szCs w:val="24"/>
        </w:rPr>
        <w:outlineLvl w:val="0"/>
      </w:pPr>
      <w:r>
        <w:rPr>
          <w:rFonts w:hint="eastAsia" w:ascii="宋体" w:hAnsi="宋体"/>
          <w:sz w:val="24"/>
          <w:szCs w:val="24"/>
        </w:rPr>
        <w:t xml:space="preserve">1</w:t>
      </w:r>
      <w:r>
        <w:rPr>
          <w:rFonts w:ascii="宋体" w:hAnsi="宋体"/>
          <w:sz w:val="24"/>
          <w:szCs w:val="24"/>
        </w:rPr>
        <w:t xml:space="preserve">1.1.9</w:t>
      </w:r>
      <w:r>
        <w:rPr>
          <w:rFonts w:hint="eastAsia" w:ascii="宋体" w:hAnsi="宋体"/>
          <w:sz w:val="24"/>
          <w:szCs w:val="24"/>
        </w:rPr>
        <w:t xml:space="preserve">项目技术方案等</w:t>
      </w:r>
      <w:r/>
    </w:p>
    <w:p>
      <w:pPr>
        <w:ind w:firstLine="480"/>
        <w:spacing w:line="480" w:lineRule="exact"/>
        <w:rPr>
          <w:rFonts w:ascii="宋体" w:hAnsi="宋体"/>
          <w:sz w:val="24"/>
          <w:szCs w:val="24"/>
        </w:rPr>
        <w:outlineLvl w:val="0"/>
      </w:pPr>
      <w:r>
        <w:rPr>
          <w:rFonts w:hint="eastAsia" w:ascii="宋体" w:hAnsi="宋体"/>
          <w:sz w:val="24"/>
          <w:szCs w:val="24"/>
        </w:rPr>
        <w:t xml:space="preserve">1</w:t>
      </w:r>
      <w:r>
        <w:rPr>
          <w:rFonts w:ascii="宋体" w:hAnsi="宋体"/>
          <w:sz w:val="24"/>
          <w:szCs w:val="24"/>
        </w:rPr>
        <w:t xml:space="preserve">1.1.10</w:t>
      </w:r>
      <w:r>
        <w:rPr>
          <w:rFonts w:hint="eastAsia" w:ascii="宋体" w:hAnsi="宋体"/>
          <w:sz w:val="24"/>
          <w:szCs w:val="24"/>
        </w:rPr>
        <w:t xml:space="preserve">招标文件中规定要求提供的证明材料和投标人认为需要提供的其他材料</w:t>
      </w:r>
      <w:r/>
    </w:p>
    <w:p>
      <w:pPr>
        <w:ind w:firstLine="480"/>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1.1.11</w:t>
      </w:r>
      <w:r>
        <w:rPr>
          <w:rFonts w:hint="eastAsia" w:ascii="宋体" w:hAnsi="宋体"/>
          <w:sz w:val="24"/>
          <w:szCs w:val="24"/>
        </w:rPr>
        <w:t xml:space="preserve">盐城市大丰区政府招标采购供应商承诺书</w:t>
      </w:r>
      <w:r/>
    </w:p>
    <w:p>
      <w:pPr>
        <w:pStyle w:val="998"/>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12、证明投标人资格及符合招标文件规定的文件</w:t>
      </w:r>
      <w:r/>
    </w:p>
    <w:p>
      <w:pPr>
        <w:ind w:firstLine="480"/>
        <w:spacing w:line="480" w:lineRule="exact"/>
        <w:rPr>
          <w:rFonts w:ascii="宋体" w:hAnsi="宋体"/>
          <w:sz w:val="24"/>
          <w:szCs w:val="24"/>
        </w:rPr>
      </w:pPr>
      <w:r>
        <w:rPr>
          <w:rFonts w:hint="eastAsia" w:ascii="宋体" w:hAnsi="宋体"/>
          <w:sz w:val="24"/>
          <w:szCs w:val="24"/>
        </w:rPr>
        <w:t xml:space="preserve">12.1投标人应按要求提交资格证明文件及符合招标文件规定的文件。</w:t>
      </w:r>
      <w:r/>
    </w:p>
    <w:p>
      <w:pPr>
        <w:ind w:firstLine="480"/>
        <w:spacing w:line="480" w:lineRule="exact"/>
        <w:rPr>
          <w:rFonts w:ascii="宋体" w:hAnsi="宋体"/>
          <w:sz w:val="24"/>
          <w:szCs w:val="24"/>
        </w:rPr>
      </w:pPr>
      <w:r>
        <w:rPr>
          <w:rFonts w:hint="eastAsia" w:ascii="宋体" w:hAnsi="宋体"/>
          <w:sz w:val="24"/>
          <w:szCs w:val="24"/>
        </w:rPr>
        <w:t xml:space="preserve">12.2投标人应提交证明其有资格参加投标和中标后有能力独立履行合同的文件。</w:t>
      </w:r>
      <w:r/>
    </w:p>
    <w:p>
      <w:pPr>
        <w:ind w:firstLine="480"/>
        <w:spacing w:line="480" w:lineRule="exact"/>
        <w:rPr>
          <w:rFonts w:ascii="宋体" w:hAnsi="宋体"/>
          <w:sz w:val="24"/>
          <w:szCs w:val="24"/>
        </w:rPr>
      </w:pPr>
      <w:r>
        <w:rPr>
          <w:rFonts w:hint="eastAsia" w:ascii="宋体" w:hAnsi="宋体"/>
          <w:sz w:val="24"/>
          <w:szCs w:val="24"/>
        </w:rPr>
        <w:t xml:space="preserve">12.3投标人除必须具有履行合同所需提供的服务的能力外，还必须具备相应的财务、技术方面的能力。</w:t>
      </w:r>
      <w:r/>
    </w:p>
    <w:p>
      <w:pPr>
        <w:ind w:firstLine="480"/>
        <w:spacing w:line="480" w:lineRule="exact"/>
        <w:rPr>
          <w:rFonts w:ascii="宋体" w:hAnsi="宋体"/>
          <w:sz w:val="24"/>
          <w:szCs w:val="24"/>
        </w:rPr>
      </w:pPr>
      <w:r>
        <w:rPr>
          <w:rFonts w:hint="eastAsia" w:ascii="宋体" w:hAnsi="宋体"/>
          <w:sz w:val="24"/>
          <w:szCs w:val="24"/>
        </w:rPr>
        <w:t xml:space="preserve">12.</w:t>
      </w:r>
      <w:r>
        <w:rPr>
          <w:rFonts w:ascii="宋体" w:hAnsi="宋体"/>
          <w:sz w:val="24"/>
          <w:szCs w:val="24"/>
        </w:rPr>
        <w:t xml:space="preserve">4</w:t>
      </w:r>
      <w:r>
        <w:rPr>
          <w:rFonts w:hint="eastAsia" w:ascii="宋体" w:hAnsi="宋体"/>
          <w:sz w:val="24"/>
          <w:szCs w:val="24"/>
        </w:rPr>
        <w:t xml:space="preserve">证明投标人所提供服务与招标文件的要求相一致的文件可以是手册、图纸、文字资料和数据</w:t>
      </w:r>
      <w:r>
        <w:rPr>
          <w:rFonts w:hint="eastAsia" w:ascii="宋体" w:hAnsi="宋体"/>
          <w:bCs/>
          <w:sz w:val="24"/>
          <w:szCs w:val="24"/>
        </w:rPr>
        <w:t xml:space="preserve">。</w:t>
      </w:r>
      <w:r/>
    </w:p>
    <w:p>
      <w:pPr>
        <w:pStyle w:val="998"/>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13、报价表</w:t>
      </w:r>
      <w:r/>
    </w:p>
    <w:p>
      <w:pPr>
        <w:ind w:firstLine="480"/>
        <w:spacing w:line="480" w:lineRule="exact"/>
        <w:rPr>
          <w:rFonts w:ascii="宋体" w:hAnsi="宋体"/>
          <w:sz w:val="24"/>
          <w:szCs w:val="24"/>
        </w:rPr>
      </w:pPr>
      <w:r>
        <w:rPr>
          <w:rFonts w:hint="eastAsia" w:ascii="宋体" w:hAnsi="宋体"/>
          <w:sz w:val="24"/>
          <w:szCs w:val="24"/>
        </w:rPr>
        <w:t xml:space="preserve">13.1</w:t>
      </w:r>
      <w:r>
        <w:rPr>
          <w:rFonts w:hint="eastAsia" w:ascii="宋体" w:hAnsi="宋体"/>
          <w:b/>
          <w:sz w:val="24"/>
          <w:szCs w:val="24"/>
        </w:rPr>
        <w:t xml:space="preserve">采购人将拒绝高于最高限价的投标报价。</w:t>
      </w:r>
      <w:r/>
    </w:p>
    <w:p>
      <w:pPr>
        <w:ind w:firstLine="480"/>
        <w:spacing w:line="480" w:lineRule="exact"/>
        <w:rPr>
          <w:rFonts w:ascii="宋体" w:hAnsi="宋体"/>
          <w:sz w:val="24"/>
          <w:szCs w:val="24"/>
        </w:rPr>
      </w:pPr>
      <w:r>
        <w:rPr>
          <w:rFonts w:hint="eastAsia" w:ascii="宋体" w:hAnsi="宋体"/>
          <w:sz w:val="24"/>
          <w:szCs w:val="24"/>
        </w:rPr>
        <w:t xml:space="preserve">13.2招标报价采用固定单价报价方式，投标人的报价应包括投标文件所承诺的合同履行期限内并达到投标人所承诺的质量标准为完成招标文件所确定的招标</w:t>
      </w:r>
      <w:r>
        <w:rPr>
          <w:rFonts w:hint="eastAsia" w:ascii="宋体" w:hAnsi="宋体"/>
          <w:sz w:val="24"/>
          <w:szCs w:val="24"/>
        </w:rPr>
        <w:t xml:space="preserve">范围的全部内容所需费用的全部价格体现。包括但不限于软件费用、硬件设备费、运输费、上下力资、安装调试费、备品备件费、专用器具费、服务器等设备升级费、运维服务费（含运维人员、设备全部费用）、软件升级费用、光纤网络建设及使用费用、售后服务费、培训费、管理费、前期咨询费、验收服务费、与原有平台对接及融合费、利润及税金、总承包服务费等全部费用），招标文件中另有规定的除外。投标所报单价为最终结算单价，投标人不得再要求追加任何费用。同时，除非合同条款中另有规定，否则，投标单位所报单价在合同实施期间不因市场变化因素而变动。</w:t>
      </w:r>
      <w:r/>
    </w:p>
    <w:p>
      <w:pPr>
        <w:pStyle w:val="1015"/>
        <w:ind w:left="0" w:firstLine="482"/>
        <w:spacing w:after="0" w:line="480" w:lineRule="exact"/>
        <w:rPr>
          <w:rFonts w:ascii="宋体" w:hAnsi="宋体"/>
          <w:b/>
          <w:sz w:val="24"/>
          <w:szCs w:val="24"/>
        </w:rPr>
      </w:pPr>
      <w:r>
        <w:rPr>
          <w:rFonts w:hint="eastAsia" w:ascii="宋体" w:hAnsi="宋体"/>
          <w:b/>
          <w:sz w:val="24"/>
          <w:szCs w:val="24"/>
        </w:rPr>
        <w:t xml:space="preserve">投标人须充分考虑各种影响报价的因素包括但不限于充分了解采购人现有平台及网络架构的与本项目融合对接费用，进行合理化报价。</w:t>
      </w:r>
      <w:r/>
    </w:p>
    <w:p>
      <w:pPr>
        <w:pStyle w:val="1015"/>
        <w:ind w:left="0" w:firstLine="480"/>
        <w:spacing w:after="0" w:line="480" w:lineRule="exact"/>
        <w:rPr>
          <w:rFonts w:ascii="宋体" w:hAnsi="宋体"/>
          <w:sz w:val="24"/>
          <w:szCs w:val="24"/>
        </w:rPr>
      </w:pPr>
      <w:r>
        <w:rPr>
          <w:rFonts w:hint="eastAsia" w:ascii="宋体" w:hAnsi="宋体"/>
          <w:sz w:val="24"/>
          <w:szCs w:val="24"/>
        </w:rPr>
        <w:t xml:space="preserve">为保证本项目的正常运行所必须的所有费用，未列入的清单或技术参数（若有缺失项）投标人须自行补充完整，采购人认为参加本项目投标的潜在供应商应是具有足够经</w:t>
      </w:r>
      <w:r>
        <w:rPr>
          <w:rFonts w:hint="eastAsia" w:ascii="宋体" w:hAnsi="宋体"/>
          <w:sz w:val="24"/>
          <w:szCs w:val="24"/>
        </w:rPr>
        <w:t xml:space="preserve">验、供货或服务能力的供应商，采购人在验收时要求成交供应商所供货物具有完整性与成套性，投标人因自身原因考虑不周并不影响合同的履行及最终质量的验收，采购人不因投标人投标时考虑不周而额外补偿任何费用。</w:t>
      </w:r>
      <w:r/>
    </w:p>
    <w:p>
      <w:pPr>
        <w:ind w:firstLine="480"/>
        <w:spacing w:line="480" w:lineRule="exact"/>
        <w:rPr>
          <w:rFonts w:ascii="宋体" w:hAnsi="宋体"/>
          <w:sz w:val="24"/>
          <w:szCs w:val="24"/>
        </w:rPr>
      </w:pPr>
      <w:r>
        <w:rPr>
          <w:rFonts w:hint="eastAsia" w:ascii="宋体" w:hAnsi="宋体"/>
          <w:sz w:val="24"/>
          <w:szCs w:val="24"/>
        </w:rPr>
        <w:t xml:space="preserve">13.3 投标人根据招标内容的要求准确报价，一经报出，不得更改。</w:t>
      </w:r>
      <w:r/>
    </w:p>
    <w:p>
      <w:pPr>
        <w:ind w:firstLine="480"/>
        <w:spacing w:line="480" w:lineRule="exact"/>
        <w:rPr>
          <w:rFonts w:ascii="宋体" w:hAnsi="宋体"/>
          <w:sz w:val="24"/>
          <w:szCs w:val="24"/>
        </w:rPr>
      </w:pPr>
      <w:r>
        <w:rPr>
          <w:rFonts w:hint="eastAsia" w:ascii="宋体" w:hAnsi="宋体"/>
          <w:sz w:val="24"/>
          <w:szCs w:val="24"/>
        </w:rPr>
        <w:t xml:space="preserve">13.4 如出现不合理的报价，经评标委员会评审其报价明显高于其市场价或低于其企业成本的，均可作废标处理。</w:t>
      </w:r>
      <w:r/>
    </w:p>
    <w:p>
      <w:pPr>
        <w:ind w:firstLine="480"/>
        <w:spacing w:line="480" w:lineRule="exact"/>
        <w:rPr>
          <w:rFonts w:ascii="宋体" w:hAnsi="宋体"/>
          <w:sz w:val="24"/>
          <w:szCs w:val="24"/>
        </w:rPr>
      </w:pPr>
      <w:r>
        <w:rPr>
          <w:rFonts w:hint="eastAsia" w:ascii="宋体" w:hAnsi="宋体"/>
          <w:sz w:val="24"/>
          <w:szCs w:val="24"/>
        </w:rPr>
        <w:t xml:space="preserve">13.5投标报价的单位为人民币。如果未能按合同、招标投标文件履约的，中止合同，履约保证金不予退还，并不支付未支付的合同价款。招标方有权终止合同的履行，受托单位应承担相应的完全责任，包括赔偿因此而给本单位及第三人带来的相应损失。 </w:t>
      </w:r>
      <w:r/>
    </w:p>
    <w:p>
      <w:pPr>
        <w:ind w:firstLine="480"/>
        <w:spacing w:line="480" w:lineRule="exact"/>
        <w:rPr>
          <w:rFonts w:ascii="宋体" w:hAnsi="宋体"/>
          <w:sz w:val="24"/>
          <w:szCs w:val="24"/>
        </w:rPr>
      </w:pPr>
      <w:r>
        <w:rPr>
          <w:rFonts w:hint="eastAsia" w:ascii="宋体" w:hAnsi="宋体"/>
          <w:sz w:val="24"/>
          <w:szCs w:val="24"/>
        </w:rPr>
        <w:t xml:space="preserve">13.6投标配置与分项报价表上的价格应按下列方式分开填写：</w:t>
      </w:r>
      <w:r/>
    </w:p>
    <w:p>
      <w:pPr>
        <w:ind w:firstLine="480"/>
        <w:spacing w:line="480" w:lineRule="exact"/>
        <w:rPr>
          <w:rFonts w:ascii="宋体" w:hAnsi="宋体"/>
          <w:sz w:val="24"/>
          <w:szCs w:val="24"/>
        </w:rPr>
      </w:pPr>
      <w:r>
        <w:rPr>
          <w:rFonts w:hint="eastAsia" w:ascii="宋体" w:hAnsi="宋体"/>
          <w:sz w:val="24"/>
          <w:szCs w:val="24"/>
        </w:rPr>
        <w:t xml:space="preserve">13.6.1</w:t>
      </w:r>
      <w:r>
        <w:rPr>
          <w:rFonts w:hint="eastAsia" w:ascii="宋体" w:hAnsi="宋体"/>
          <w:b/>
          <w:sz w:val="24"/>
          <w:szCs w:val="24"/>
        </w:rPr>
        <w:t xml:space="preserve">投标人认为报价组成不明确的请于投标截止时间前向采购人或项目联系人提出，中标后采购人不因投标人投标时考虑不周而额外补偿任何费用。</w:t>
      </w:r>
      <w:r/>
    </w:p>
    <w:p>
      <w:pPr>
        <w:ind w:firstLine="480"/>
        <w:spacing w:line="480" w:lineRule="exact"/>
        <w:rPr>
          <w:rFonts w:ascii="宋体" w:hAnsi="宋体"/>
          <w:sz w:val="24"/>
          <w:szCs w:val="24"/>
        </w:rPr>
      </w:pPr>
      <w:r>
        <w:rPr>
          <w:rFonts w:hint="eastAsia" w:ascii="宋体" w:hAnsi="宋体"/>
          <w:sz w:val="24"/>
          <w:szCs w:val="24"/>
        </w:rPr>
        <w:t xml:space="preserve">13.6.2项目单价按投标配置及分项报价表中要求填报。</w:t>
      </w:r>
      <w:r/>
    </w:p>
    <w:p>
      <w:pPr>
        <w:ind w:firstLine="480"/>
        <w:spacing w:line="480" w:lineRule="exact"/>
        <w:rPr>
          <w:rFonts w:ascii="宋体" w:hAnsi="宋体"/>
          <w:sz w:val="24"/>
          <w:szCs w:val="24"/>
        </w:rPr>
      </w:pPr>
      <w:r>
        <w:rPr>
          <w:rFonts w:hint="eastAsia" w:ascii="宋体" w:hAnsi="宋体"/>
          <w:sz w:val="24"/>
          <w:szCs w:val="24"/>
        </w:rPr>
        <w:t xml:space="preserve">13.7开标时，当投标文件中开标一览表内容与分项明细报价表内容不一致时，以开标一览表为准。</w:t>
      </w:r>
      <w:r/>
    </w:p>
    <w:p>
      <w:pPr>
        <w:ind w:firstLine="480"/>
        <w:spacing w:line="480" w:lineRule="exact"/>
        <w:rPr>
          <w:rFonts w:ascii="宋体" w:hAnsi="宋体"/>
          <w:sz w:val="24"/>
          <w:szCs w:val="24"/>
        </w:rPr>
      </w:pPr>
      <w:r>
        <w:rPr>
          <w:rFonts w:hint="eastAsia" w:ascii="宋体" w:hAnsi="宋体"/>
          <w:sz w:val="24"/>
          <w:szCs w:val="24"/>
        </w:rPr>
        <w:t xml:space="preserve">投标文件的大写金额和小写金额不一致的，以大写金额为准；对不同文字文本投标的解释发生异议的，以中文文本为准。</w:t>
      </w:r>
      <w:r/>
    </w:p>
    <w:p>
      <w:pPr>
        <w:pStyle w:val="1010"/>
        <w:ind w:firstLine="480"/>
        <w:spacing w:line="480" w:lineRule="exact"/>
        <w:rPr>
          <w:rFonts w:ascii="宋体" w:hAnsi="宋体" w:eastAsia="宋体"/>
          <w:sz w:val="24"/>
          <w:szCs w:val="24"/>
        </w:rPr>
      </w:pPr>
      <w:r>
        <w:rPr>
          <w:rFonts w:hint="eastAsia" w:ascii="宋体" w:hAnsi="宋体" w:eastAsia="宋体"/>
          <w:sz w:val="24"/>
          <w:szCs w:val="24"/>
        </w:rPr>
        <w:t xml:space="preserve">13.8投标人在报价时，价格包含一切税费，未作说明的情况下，视同包含一切税费。</w:t>
      </w:r>
      <w:r/>
    </w:p>
    <w:p>
      <w:pPr>
        <w:pStyle w:val="1010"/>
        <w:ind w:firstLine="480"/>
        <w:spacing w:line="480" w:lineRule="exact"/>
        <w:rPr>
          <w:rFonts w:ascii="宋体" w:hAnsi="宋体" w:eastAsia="宋体"/>
          <w:sz w:val="24"/>
          <w:szCs w:val="24"/>
        </w:rPr>
      </w:pPr>
      <w:r>
        <w:rPr>
          <w:rFonts w:hint="eastAsia" w:ascii="宋体" w:hAnsi="宋体" w:eastAsia="宋体"/>
          <w:sz w:val="24"/>
          <w:szCs w:val="24"/>
        </w:rPr>
        <w:t xml:space="preserve">13.9未宣读的投标价格信息评标时不予承认。</w:t>
      </w:r>
      <w:r/>
    </w:p>
    <w:p>
      <w:pPr>
        <w:pStyle w:val="1010"/>
        <w:ind w:firstLine="480"/>
        <w:spacing w:line="480" w:lineRule="exact"/>
        <w:rPr>
          <w:rFonts w:ascii="宋体" w:hAnsi="宋体" w:eastAsia="宋体"/>
          <w:sz w:val="24"/>
          <w:szCs w:val="24"/>
        </w:rPr>
      </w:pPr>
      <w:r>
        <w:rPr>
          <w:rFonts w:hint="eastAsia" w:ascii="宋体" w:hAnsi="宋体" w:eastAsia="宋体"/>
          <w:sz w:val="24"/>
          <w:szCs w:val="24"/>
        </w:rPr>
        <w:t xml:space="preserve">以下14-16条，如有则提供，如已在13条中提供，则不用重复提供。</w:t>
      </w:r>
      <w:r/>
    </w:p>
    <w:p>
      <w:pPr>
        <w:pStyle w:val="998"/>
        <w:ind w:firstLine="480"/>
        <w:spacing w:before="0" w:after="0" w:line="480" w:lineRule="exact"/>
        <w:rPr>
          <w:rFonts w:ascii="宋体" w:hAnsi="宋体" w:eastAsia="宋体"/>
          <w:b w:val="0"/>
          <w:sz w:val="24"/>
          <w:szCs w:val="24"/>
        </w:rPr>
      </w:pPr>
      <w:r>
        <w:rPr>
          <w:rFonts w:hint="eastAsia" w:ascii="宋体" w:hAnsi="宋体" w:eastAsia="宋体"/>
          <w:b w:val="0"/>
          <w:sz w:val="24"/>
          <w:szCs w:val="24"/>
        </w:rPr>
        <w:t xml:space="preserve">14、技术参数响应及偏离表、商务条款响应及偏离表及投标说明</w:t>
      </w:r>
      <w:r/>
    </w:p>
    <w:p>
      <w:pPr>
        <w:ind w:firstLine="480"/>
        <w:spacing w:line="480" w:lineRule="exact"/>
        <w:rPr>
          <w:rFonts w:ascii="宋体" w:hAnsi="宋体" w:cs="宋体"/>
          <w:sz w:val="24"/>
          <w:szCs w:val="24"/>
          <w:lang w:val="zh-CN"/>
        </w:rPr>
      </w:pPr>
      <w:r>
        <w:rPr>
          <w:rFonts w:hint="eastAsia" w:ascii="宋体" w:hAnsi="宋体" w:cs="宋体"/>
          <w:bCs/>
          <w:sz w:val="24"/>
          <w:szCs w:val="24"/>
          <w:lang w:val="zh-CN"/>
        </w:rPr>
        <w:t xml:space="preserve">14.1</w:t>
      </w:r>
      <w:r>
        <w:rPr>
          <w:rFonts w:hint="eastAsia" w:ascii="宋体" w:hAnsi="宋体" w:cs="宋体"/>
          <w:sz w:val="24"/>
          <w:szCs w:val="24"/>
          <w:lang w:val="zh-CN"/>
        </w:rPr>
        <w:t xml:space="preserve"> 对招标文件中的技术与商务条款要求逐项作出响应或偏离，并说明原因；</w:t>
      </w:r>
      <w:r/>
    </w:p>
    <w:p>
      <w:pPr>
        <w:ind w:firstLine="480"/>
        <w:spacing w:line="480" w:lineRule="exact"/>
        <w:tabs>
          <w:tab w:val="left" w:pos="1035" w:leader="none"/>
        </w:tabs>
        <w:rPr>
          <w:rFonts w:ascii="宋体" w:hAnsi="宋体" w:cs="宋体"/>
          <w:sz w:val="24"/>
          <w:szCs w:val="24"/>
          <w:lang w:val="zh-CN"/>
        </w:rPr>
      </w:pPr>
      <w:r>
        <w:rPr>
          <w:rFonts w:hint="eastAsia" w:ascii="宋体" w:hAnsi="宋体" w:cs="宋体"/>
          <w:sz w:val="24"/>
          <w:szCs w:val="24"/>
          <w:lang w:val="zh-CN"/>
        </w:rPr>
        <w:t xml:space="preserve">14.2 提供参加本项目类似案例简介；</w:t>
      </w:r>
      <w:r/>
    </w:p>
    <w:p>
      <w:pPr>
        <w:ind w:firstLine="480"/>
        <w:spacing w:line="480" w:lineRule="exact"/>
        <w:tabs>
          <w:tab w:val="left" w:pos="1035" w:leader="none"/>
        </w:tabs>
        <w:rPr>
          <w:rFonts w:ascii="宋体" w:hAnsi="宋体" w:cs="宋体"/>
          <w:sz w:val="24"/>
          <w:szCs w:val="24"/>
          <w:lang w:val="zh-CN"/>
        </w:rPr>
      </w:pPr>
      <w:r>
        <w:rPr>
          <w:rFonts w:hint="eastAsia" w:ascii="宋体" w:hAnsi="宋体" w:cs="宋体"/>
          <w:sz w:val="24"/>
          <w:szCs w:val="24"/>
          <w:lang w:val="zh-CN"/>
        </w:rPr>
        <w:t xml:space="preserve">14.3 项目的实施方案培训计划；</w:t>
      </w:r>
      <w:r/>
    </w:p>
    <w:p>
      <w:pPr>
        <w:ind w:firstLine="480"/>
        <w:spacing w:line="480" w:lineRule="exact"/>
        <w:tabs>
          <w:tab w:val="left" w:pos="1035" w:leader="none"/>
        </w:tabs>
        <w:rPr>
          <w:rFonts w:ascii="宋体" w:hAnsi="宋体" w:cs="宋体"/>
          <w:sz w:val="24"/>
          <w:szCs w:val="24"/>
          <w:lang w:val="zh-CN"/>
        </w:rPr>
      </w:pPr>
      <w:r>
        <w:rPr>
          <w:rFonts w:hint="eastAsia" w:ascii="宋体" w:hAnsi="宋体" w:cs="宋体"/>
          <w:sz w:val="24"/>
          <w:szCs w:val="24"/>
          <w:lang w:val="zh-CN"/>
        </w:rPr>
        <w:t xml:space="preserve">14.4 详细阐述所投本项目的主要组成部分、功能设计、实现思路及关键技术；</w:t>
      </w:r>
      <w:r/>
    </w:p>
    <w:p>
      <w:pPr>
        <w:ind w:firstLine="480"/>
        <w:spacing w:line="480" w:lineRule="exact"/>
        <w:tabs>
          <w:tab w:val="left" w:pos="1035" w:leader="none"/>
        </w:tabs>
        <w:rPr>
          <w:rFonts w:ascii="宋体" w:hAnsi="宋体" w:cs="宋体"/>
          <w:sz w:val="24"/>
          <w:szCs w:val="24"/>
          <w:lang w:val="zh-CN"/>
        </w:rPr>
      </w:pPr>
      <w:r>
        <w:rPr>
          <w:rFonts w:hint="eastAsia" w:ascii="宋体" w:hAnsi="宋体" w:cs="宋体"/>
          <w:sz w:val="24"/>
          <w:szCs w:val="24"/>
          <w:lang w:val="zh-CN"/>
        </w:rPr>
        <w:t xml:space="preserve">14.5 投标人认为需要的其他技术文件或说明。</w:t>
      </w:r>
      <w:r/>
    </w:p>
    <w:p>
      <w:pPr>
        <w:ind w:firstLine="480"/>
        <w:spacing w:line="480" w:lineRule="exact"/>
        <w:tabs>
          <w:tab w:val="left" w:pos="1035" w:leader="none"/>
        </w:tabs>
        <w:rPr>
          <w:rFonts w:ascii="宋体" w:hAnsi="宋体" w:cs="宋体"/>
          <w:bCs/>
          <w:sz w:val="24"/>
          <w:szCs w:val="24"/>
          <w:lang w:val="zh-CN"/>
        </w:rPr>
      </w:pPr>
      <w:r>
        <w:rPr>
          <w:rFonts w:hint="eastAsia" w:ascii="宋体" w:hAnsi="宋体"/>
          <w:bCs/>
          <w:sz w:val="24"/>
          <w:szCs w:val="24"/>
        </w:rPr>
        <w:t xml:space="preserve">15、服务承诺及售后服务机构、人员的情况介绍</w:t>
      </w:r>
      <w:r/>
    </w:p>
    <w:p>
      <w:pPr>
        <w:ind w:firstLine="480"/>
        <w:spacing w:line="480" w:lineRule="exact"/>
        <w:tabs>
          <w:tab w:val="left" w:pos="1035" w:leader="none"/>
        </w:tabs>
        <w:rPr>
          <w:rFonts w:ascii="宋体" w:hAnsi="宋体" w:cs="宋体"/>
          <w:sz w:val="24"/>
          <w:szCs w:val="24"/>
          <w:lang w:val="zh-CN"/>
        </w:rPr>
      </w:pPr>
      <w:r>
        <w:rPr>
          <w:rFonts w:hint="eastAsia" w:ascii="宋体" w:hAnsi="宋体"/>
          <w:bCs/>
          <w:sz w:val="24"/>
          <w:szCs w:val="24"/>
        </w:rPr>
        <w:t xml:space="preserve">15</w:t>
      </w:r>
      <w:r>
        <w:rPr>
          <w:rFonts w:hint="eastAsia" w:ascii="宋体" w:hAnsi="宋体" w:cs="宋体"/>
          <w:bCs/>
          <w:sz w:val="24"/>
          <w:szCs w:val="24"/>
          <w:lang w:val="zh-CN"/>
        </w:rPr>
        <w:t xml:space="preserve">.1</w:t>
      </w:r>
      <w:r>
        <w:rPr>
          <w:rFonts w:hint="eastAsia" w:ascii="宋体" w:hAnsi="宋体"/>
          <w:sz w:val="24"/>
          <w:szCs w:val="24"/>
        </w:rPr>
        <w:t xml:space="preserve">投标人的服务承诺应按不低于招标文件中商务要求的标准。</w:t>
      </w:r>
      <w:r/>
    </w:p>
    <w:p>
      <w:pPr>
        <w:ind w:firstLine="480"/>
        <w:spacing w:line="480" w:lineRule="exact"/>
        <w:rPr>
          <w:rFonts w:ascii="宋体" w:hAnsi="宋体"/>
          <w:sz w:val="24"/>
          <w:szCs w:val="24"/>
        </w:rPr>
      </w:pPr>
      <w:r>
        <w:rPr>
          <w:rFonts w:hint="eastAsia" w:ascii="宋体" w:hAnsi="宋体"/>
          <w:bCs/>
          <w:sz w:val="24"/>
          <w:szCs w:val="24"/>
        </w:rPr>
        <w:t xml:space="preserve">15</w:t>
      </w:r>
      <w:r>
        <w:rPr>
          <w:rFonts w:hint="eastAsia" w:ascii="宋体" w:hAnsi="宋体" w:cs="宋体"/>
          <w:bCs/>
          <w:sz w:val="24"/>
          <w:szCs w:val="24"/>
          <w:lang w:val="zh-CN"/>
        </w:rPr>
        <w:t xml:space="preserve">.2</w:t>
      </w:r>
      <w:r>
        <w:rPr>
          <w:rFonts w:hint="eastAsia" w:ascii="宋体" w:hAnsi="宋体"/>
          <w:sz w:val="24"/>
          <w:szCs w:val="24"/>
        </w:rPr>
        <w:t xml:space="preserve">提供投标人有关售后服务的管理制度、售后服务机构的分布情况、售后服务人员的数量、素质、技术水平及售后服务的反应能力。</w:t>
      </w:r>
      <w:r/>
    </w:p>
    <w:p>
      <w:pPr>
        <w:pStyle w:val="998"/>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16、投标函和开标一览表</w:t>
      </w:r>
      <w:r/>
    </w:p>
    <w:p>
      <w:pPr>
        <w:ind w:firstLine="480"/>
        <w:spacing w:line="480" w:lineRule="exact"/>
        <w:rPr>
          <w:rFonts w:ascii="宋体" w:hAnsi="宋体"/>
          <w:sz w:val="24"/>
          <w:szCs w:val="24"/>
        </w:rPr>
      </w:pPr>
      <w:r>
        <w:rPr>
          <w:rFonts w:hint="eastAsia" w:ascii="宋体" w:hAnsi="宋体"/>
          <w:bCs/>
          <w:sz w:val="24"/>
          <w:szCs w:val="24"/>
        </w:rPr>
        <w:t xml:space="preserve">16.1</w:t>
      </w:r>
      <w:r>
        <w:rPr>
          <w:rFonts w:hint="eastAsia" w:ascii="宋体" w:hAnsi="宋体"/>
          <w:sz w:val="24"/>
          <w:szCs w:val="24"/>
        </w:rPr>
        <w:t xml:space="preserve"> 投标人应按照招标文件中提供的格式完整、正确填写投标函、开标一览表。</w:t>
      </w:r>
      <w:r/>
    </w:p>
    <w:p>
      <w:pPr>
        <w:ind w:firstLine="480"/>
        <w:spacing w:line="480" w:lineRule="exact"/>
        <w:rPr>
          <w:rFonts w:ascii="宋体" w:hAnsi="宋体"/>
          <w:sz w:val="24"/>
          <w:szCs w:val="24"/>
        </w:rPr>
      </w:pPr>
      <w:r>
        <w:rPr>
          <w:rFonts w:hint="eastAsia" w:ascii="宋体" w:hAnsi="宋体"/>
          <w:bCs/>
          <w:sz w:val="24"/>
          <w:szCs w:val="24"/>
        </w:rPr>
        <w:t xml:space="preserve">16.2开标一览表中的价格应与投标文件中投标配置与分项报价表中的价格一致，如不一致，</w:t>
      </w:r>
      <w:r>
        <w:rPr>
          <w:rFonts w:hint="eastAsia" w:ascii="宋体" w:hAnsi="宋体"/>
          <w:sz w:val="24"/>
          <w:szCs w:val="24"/>
        </w:rPr>
        <w:t xml:space="preserve">不作为无效投标处理</w:t>
      </w:r>
      <w:r>
        <w:rPr>
          <w:rFonts w:hint="eastAsia" w:ascii="宋体" w:hAnsi="宋体"/>
          <w:bCs/>
          <w:sz w:val="24"/>
          <w:szCs w:val="24"/>
        </w:rPr>
        <w:t xml:space="preserve">，但评标时按开标一览表中价格为准</w:t>
      </w:r>
      <w:r>
        <w:rPr>
          <w:rFonts w:hint="eastAsia" w:ascii="宋体" w:hAnsi="宋体"/>
          <w:b/>
          <w:bCs/>
          <w:sz w:val="24"/>
          <w:szCs w:val="24"/>
        </w:rPr>
        <w:t xml:space="preserve">。</w:t>
      </w:r>
      <w:r/>
    </w:p>
    <w:p>
      <w:pPr>
        <w:pStyle w:val="998"/>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17、投标有效期</w:t>
      </w:r>
      <w:r/>
    </w:p>
    <w:p>
      <w:pPr>
        <w:ind w:firstLine="480"/>
        <w:spacing w:line="480" w:lineRule="exact"/>
        <w:rPr>
          <w:rFonts w:ascii="宋体" w:hAnsi="宋体"/>
          <w:bCs/>
          <w:sz w:val="24"/>
          <w:szCs w:val="24"/>
        </w:rPr>
      </w:pPr>
      <w:r>
        <w:rPr>
          <w:rFonts w:hint="eastAsia" w:ascii="宋体" w:hAnsi="宋体"/>
          <w:sz w:val="24"/>
          <w:szCs w:val="24"/>
        </w:rPr>
        <w:t xml:space="preserve">17.1</w:t>
      </w:r>
      <w:r>
        <w:rPr>
          <w:rFonts w:hint="eastAsia" w:ascii="宋体" w:hAnsi="宋体"/>
          <w:bCs/>
          <w:sz w:val="24"/>
          <w:szCs w:val="24"/>
        </w:rPr>
        <w:t xml:space="preserve"> 投标有效期为开标之日后六十（60）天。投标有效期比规定短的将被视为非响应性投标而予以拒绝。</w:t>
      </w:r>
      <w:r/>
    </w:p>
    <w:p>
      <w:pPr>
        <w:ind w:firstLine="480"/>
        <w:spacing w:line="480" w:lineRule="exact"/>
        <w:rPr>
          <w:rFonts w:ascii="宋体" w:hAnsi="宋体"/>
          <w:bCs/>
          <w:sz w:val="24"/>
          <w:szCs w:val="24"/>
        </w:rPr>
      </w:pPr>
      <w:r>
        <w:rPr>
          <w:rFonts w:hint="eastAsia" w:ascii="宋体" w:hAnsi="宋体"/>
          <w:sz w:val="24"/>
          <w:szCs w:val="24"/>
        </w:rPr>
        <w:t xml:space="preserve">17.2</w:t>
      </w:r>
      <w:r>
        <w:rPr>
          <w:rFonts w:hint="eastAsia" w:ascii="宋体" w:hAnsi="宋体"/>
          <w:bCs/>
          <w:sz w:val="24"/>
          <w:szCs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sz w:val="24"/>
          <w:szCs w:val="24"/>
        </w:rPr>
        <w:t xml:space="preserve">。</w:t>
      </w:r>
      <w:r>
        <w:rPr>
          <w:rFonts w:hint="eastAsia" w:ascii="宋体" w:hAnsi="宋体"/>
          <w:bCs/>
          <w:sz w:val="24"/>
          <w:szCs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szCs w:val="24"/>
        </w:rPr>
        <w:t xml:space="preserve">。</w:t>
      </w:r>
      <w:r/>
    </w:p>
    <w:p>
      <w:pPr>
        <w:pStyle w:val="998"/>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18、投标文件份数和签署</w:t>
      </w:r>
      <w:r/>
    </w:p>
    <w:p>
      <w:pPr>
        <w:ind w:firstLine="480"/>
        <w:spacing w:line="480" w:lineRule="exact"/>
        <w:rPr>
          <w:rFonts w:ascii="宋体" w:hAnsi="宋体"/>
          <w:bCs/>
          <w:sz w:val="24"/>
          <w:szCs w:val="24"/>
        </w:rPr>
      </w:pPr>
      <w:r>
        <w:rPr>
          <w:rFonts w:hint="eastAsia" w:ascii="宋体" w:hAnsi="宋体"/>
          <w:sz w:val="24"/>
          <w:szCs w:val="24"/>
        </w:rPr>
        <w:t xml:space="preserve">18.1</w:t>
      </w:r>
      <w:r>
        <w:rPr>
          <w:rFonts w:hint="eastAsia" w:ascii="宋体" w:hAnsi="宋体"/>
          <w:bCs/>
          <w:sz w:val="24"/>
          <w:szCs w:val="24"/>
        </w:rPr>
        <w:t xml:space="preserve"> 除投标人对错处做必要修改外，投标文件不得行间插字、涂改或增删。如有修改错漏处，必须由投标文件签署人签字或盖章。</w:t>
      </w:r>
      <w:r/>
    </w:p>
    <w:p>
      <w:pPr>
        <w:ind w:firstLine="480"/>
        <w:spacing w:line="480" w:lineRule="exact"/>
        <w:rPr>
          <w:rFonts w:ascii="宋体" w:hAnsi="宋体"/>
          <w:sz w:val="24"/>
          <w:szCs w:val="24"/>
        </w:rPr>
      </w:pPr>
      <w:r>
        <w:rPr>
          <w:rFonts w:hint="eastAsia" w:ascii="宋体" w:hAnsi="宋体"/>
          <w:bCs/>
          <w:sz w:val="24"/>
          <w:szCs w:val="24"/>
        </w:rPr>
        <w:t xml:space="preserve">18.2</w:t>
      </w:r>
      <w:r>
        <w:rPr>
          <w:rFonts w:hint="eastAsia" w:ascii="宋体" w:hAnsi="宋体"/>
          <w:sz w:val="24"/>
          <w:szCs w:val="24"/>
        </w:rPr>
        <w:t xml:space="preserve">电子投标文件应当使用“盐城政府采购交易管理系统投标文件制作客户端”制作，在线通过系统提交,详见《盐城市政府交易管理系统供应商操作手册》，客户端和操作手册自行到“盐城市政府采购网”“协议供货及资料下载”栏目下载。以电子投标文件为准。</w:t>
      </w:r>
      <w:r/>
    </w:p>
    <w:p>
      <w:pPr>
        <w:pStyle w:val="997"/>
        <w:ind w:firstLine="482"/>
        <w:spacing w:before="0" w:after="0" w:line="480" w:lineRule="exact"/>
        <w:rPr>
          <w:rFonts w:ascii="宋体" w:hAnsi="宋体" w:eastAsia="宋体"/>
          <w:sz w:val="24"/>
          <w:szCs w:val="24"/>
        </w:rPr>
      </w:pPr>
      <w:r>
        <w:rPr>
          <w:rFonts w:hint="eastAsia" w:ascii="宋体" w:hAnsi="宋体" w:eastAsia="宋体"/>
          <w:sz w:val="24"/>
          <w:szCs w:val="24"/>
        </w:rPr>
        <w:t xml:space="preserve">四、投标文件的递交</w:t>
      </w:r>
      <w:r/>
    </w:p>
    <w:p>
      <w:pPr>
        <w:pStyle w:val="998"/>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19、电子投标文件的递交</w:t>
      </w:r>
      <w:r/>
    </w:p>
    <w:p>
      <w:pPr>
        <w:ind w:firstLine="480"/>
        <w:spacing w:line="480" w:lineRule="exact"/>
        <w:rPr>
          <w:rFonts w:ascii="宋体" w:hAnsi="宋体"/>
          <w:bCs/>
          <w:sz w:val="24"/>
          <w:szCs w:val="24"/>
        </w:rPr>
      </w:pPr>
      <w:r>
        <w:rPr>
          <w:rFonts w:hint="eastAsia" w:ascii="宋体" w:hAnsi="宋体"/>
          <w:bCs/>
          <w:sz w:val="24"/>
          <w:szCs w:val="24"/>
        </w:rPr>
        <w:t xml:space="preserve">19.1电子投标文件的递交</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投标人应当按照</w:t>
      </w:r>
      <w:r>
        <w:rPr>
          <w:rFonts w:hint="eastAsia" w:ascii="宋体" w:hAnsi="宋体"/>
          <w:sz w:val="24"/>
          <w:szCs w:val="24"/>
        </w:rPr>
        <w:t xml:space="preserve">盐城政府采购交易管理</w:t>
      </w:r>
      <w:r>
        <w:rPr>
          <w:rFonts w:hint="eastAsia" w:ascii="宋体" w:hAnsi="宋体"/>
          <w:bCs/>
          <w:sz w:val="24"/>
          <w:szCs w:val="24"/>
        </w:rPr>
        <w:t xml:space="preserve">系统要求，在投标截止时间前制作并上传电子投标文件。</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19.2</w:t>
      </w:r>
      <w:r>
        <w:rPr>
          <w:rFonts w:hint="eastAsia" w:ascii="宋体" w:hAnsi="宋体"/>
          <w:sz w:val="24"/>
          <w:szCs w:val="24"/>
        </w:rPr>
        <w:t xml:space="preserve">投标人未在规定解密时间内解密电子投标文件的，作为无效投标，不予参加开标和评审。</w:t>
      </w:r>
      <w:r/>
    </w:p>
    <w:p>
      <w:pPr>
        <w:pStyle w:val="998"/>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20、投标截止日期</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sz w:val="24"/>
          <w:szCs w:val="24"/>
        </w:rPr>
        <w:t xml:space="preserve">20.1</w:t>
      </w:r>
      <w:r>
        <w:rPr>
          <w:rFonts w:hint="eastAsia" w:ascii="宋体" w:hAnsi="宋体"/>
          <w:bCs/>
          <w:sz w:val="24"/>
          <w:szCs w:val="24"/>
        </w:rPr>
        <w:t xml:space="preserve">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80"/>
        <w:spacing w:line="480" w:lineRule="exact"/>
        <w:rPr>
          <w:rFonts w:ascii="宋体" w:hAnsi="宋体"/>
          <w:bCs/>
          <w:sz w:val="24"/>
          <w:szCs w:val="24"/>
        </w:rPr>
      </w:pPr>
      <w:r>
        <w:rPr>
          <w:rFonts w:hint="eastAsia" w:ascii="宋体" w:hAnsi="宋体"/>
          <w:sz w:val="24"/>
          <w:szCs w:val="24"/>
        </w:rPr>
        <w:t xml:space="preserve">20.2</w:t>
      </w:r>
      <w:r>
        <w:rPr>
          <w:rFonts w:hint="eastAsia" w:ascii="宋体" w:hAnsi="宋体"/>
          <w:bCs/>
          <w:sz w:val="24"/>
          <w:szCs w:val="24"/>
        </w:rPr>
        <w:t xml:space="preserve"> 采购人有权通过修改招标文件酌情延长投标截止日期，在此情况下，投标人的所有权利和义务以及投标人受制的截止日期均应以延长后新的截止日期为准。</w:t>
      </w:r>
      <w:r/>
    </w:p>
    <w:p>
      <w:pPr>
        <w:pStyle w:val="998"/>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21、迟交的投标文件</w:t>
      </w:r>
      <w:r/>
    </w:p>
    <w:p>
      <w:pPr>
        <w:ind w:firstLine="480"/>
        <w:spacing w:line="480" w:lineRule="exact"/>
        <w:rPr>
          <w:rFonts w:ascii="宋体" w:hAnsi="宋体"/>
          <w:bCs/>
          <w:sz w:val="24"/>
          <w:szCs w:val="24"/>
        </w:rPr>
      </w:pPr>
      <w:r>
        <w:rPr>
          <w:rFonts w:hint="eastAsia" w:ascii="宋体" w:hAnsi="宋体"/>
          <w:sz w:val="24"/>
          <w:szCs w:val="24"/>
        </w:rPr>
        <w:t xml:space="preserve">21.1</w:t>
      </w:r>
      <w:r>
        <w:rPr>
          <w:rFonts w:hint="eastAsia" w:ascii="宋体" w:hAnsi="宋体"/>
          <w:bCs/>
          <w:sz w:val="24"/>
          <w:szCs w:val="24"/>
        </w:rPr>
        <w:t xml:space="preserve"> 采购人拒绝接收在其规定的投标截止时间后递交的任何投标文件。</w:t>
      </w:r>
      <w:r/>
    </w:p>
    <w:p>
      <w:pPr>
        <w:pStyle w:val="998"/>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22、投标文件的修改和撤回</w:t>
      </w:r>
      <w:r/>
    </w:p>
    <w:p>
      <w:pPr>
        <w:ind w:firstLine="480"/>
        <w:spacing w:line="480" w:lineRule="exact"/>
        <w:rPr>
          <w:rFonts w:ascii="宋体" w:hAnsi="宋体"/>
          <w:bCs/>
          <w:sz w:val="24"/>
          <w:szCs w:val="24"/>
        </w:rPr>
      </w:pPr>
      <w:r>
        <w:rPr>
          <w:rFonts w:hint="eastAsia" w:ascii="宋体" w:hAnsi="宋体"/>
          <w:sz w:val="24"/>
          <w:szCs w:val="24"/>
        </w:rPr>
        <w:t xml:space="preserve">22.1</w:t>
      </w:r>
      <w:r>
        <w:rPr>
          <w:rFonts w:hint="eastAsia" w:ascii="宋体" w:hAnsi="宋体"/>
          <w:bCs/>
          <w:sz w:val="24"/>
          <w:szCs w:val="24"/>
        </w:rPr>
        <w:t xml:space="preserve">投标文件的撤回</w:t>
      </w:r>
      <w:r/>
    </w:p>
    <w:p>
      <w:pPr>
        <w:ind w:firstLine="480"/>
        <w:spacing w:line="480" w:lineRule="exact"/>
        <w:rPr>
          <w:rFonts w:ascii="宋体" w:hAnsi="宋体"/>
          <w:bCs/>
          <w:sz w:val="24"/>
          <w:szCs w:val="24"/>
        </w:rPr>
      </w:pPr>
      <w:r>
        <w:rPr>
          <w:rFonts w:hint="eastAsia" w:ascii="宋体" w:hAnsi="宋体"/>
          <w:bCs/>
          <w:sz w:val="24"/>
          <w:szCs w:val="24"/>
        </w:rPr>
        <w:t xml:space="preserve">22.1.1电子投标文件的撤回</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投标人可在投标截止时间前，撤回其电子投标文件，具体操作方法见《盐城市政府采购交易管理系统供应商操作手册》。</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22.1.2投标人撤回电子投标文件，则认为其不再参与本项目投标活动。</w:t>
      </w:r>
      <w:r/>
    </w:p>
    <w:p>
      <w:pPr>
        <w:ind w:firstLine="480"/>
        <w:spacing w:line="480" w:lineRule="exact"/>
        <w:rPr>
          <w:rFonts w:ascii="宋体" w:hAnsi="宋体"/>
          <w:bCs/>
          <w:sz w:val="24"/>
          <w:szCs w:val="24"/>
        </w:rPr>
      </w:pPr>
      <w:r>
        <w:rPr>
          <w:rFonts w:hint="eastAsia" w:ascii="宋体" w:hAnsi="宋体"/>
          <w:sz w:val="24"/>
          <w:szCs w:val="24"/>
        </w:rPr>
        <w:t xml:space="preserve">22.2</w:t>
      </w:r>
      <w:r>
        <w:rPr>
          <w:rFonts w:hint="eastAsia" w:ascii="宋体" w:hAnsi="宋体"/>
          <w:bCs/>
          <w:sz w:val="24"/>
          <w:szCs w:val="24"/>
        </w:rPr>
        <w:t xml:space="preserve"> 投标文件的修改</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投标人可在投标截止时间前，对其电子投标文件进行修改，具体操作方法见《盐城市政府采购交易管理系统供应商操作手册》。</w:t>
      </w:r>
      <w:r/>
    </w:p>
    <w:p>
      <w:pPr>
        <w:ind w:firstLine="480"/>
        <w:spacing w:line="480" w:lineRule="exact"/>
        <w:rPr>
          <w:rFonts w:ascii="宋体" w:hAnsi="宋体"/>
          <w:bCs/>
          <w:sz w:val="24"/>
          <w:szCs w:val="24"/>
        </w:rPr>
      </w:pPr>
      <w:r>
        <w:rPr>
          <w:rFonts w:hint="eastAsia" w:ascii="宋体" w:hAnsi="宋体"/>
          <w:sz w:val="24"/>
          <w:szCs w:val="24"/>
        </w:rPr>
        <w:t xml:space="preserve">22.3</w:t>
      </w:r>
      <w:r>
        <w:rPr>
          <w:rFonts w:hint="eastAsia" w:ascii="宋体" w:hAnsi="宋体"/>
          <w:bCs/>
          <w:sz w:val="24"/>
          <w:szCs w:val="24"/>
        </w:rPr>
        <w:t xml:space="preserve"> 在投标截止时间之后，投标人不得对其电子投标文件作任何修改。</w:t>
      </w:r>
      <w:r/>
    </w:p>
    <w:p>
      <w:pPr>
        <w:ind w:firstLine="480"/>
        <w:spacing w:line="480" w:lineRule="exact"/>
        <w:rPr>
          <w:rFonts w:ascii="宋体" w:hAnsi="宋体"/>
          <w:bCs/>
          <w:sz w:val="24"/>
          <w:szCs w:val="24"/>
        </w:rPr>
      </w:pPr>
      <w:r>
        <w:rPr>
          <w:rFonts w:hint="eastAsia" w:ascii="宋体" w:hAnsi="宋体"/>
          <w:sz w:val="24"/>
          <w:szCs w:val="24"/>
        </w:rPr>
        <w:t xml:space="preserve">22.4</w:t>
      </w:r>
      <w:r>
        <w:rPr>
          <w:rFonts w:hint="eastAsia" w:ascii="宋体" w:hAnsi="宋体"/>
          <w:bCs/>
          <w:sz w:val="24"/>
          <w:szCs w:val="24"/>
        </w:rPr>
        <w:t xml:space="preserve"> 在投标截止时间至招标文件中规定的投标有效期满之间的这段时间内，投标人不得撤回其投标。</w:t>
      </w:r>
      <w:r/>
    </w:p>
    <w:p>
      <w:pPr>
        <w:pStyle w:val="997"/>
        <w:ind w:firstLine="482"/>
        <w:spacing w:before="0" w:after="0" w:line="480" w:lineRule="exact"/>
        <w:rPr>
          <w:rFonts w:ascii="宋体" w:hAnsi="宋体" w:eastAsia="宋体"/>
          <w:sz w:val="24"/>
          <w:szCs w:val="24"/>
        </w:rPr>
      </w:pPr>
      <w:r>
        <w:rPr>
          <w:rFonts w:hint="eastAsia" w:ascii="宋体" w:hAnsi="宋体" w:eastAsia="宋体"/>
          <w:sz w:val="24"/>
          <w:szCs w:val="24"/>
        </w:rPr>
        <w:t xml:space="preserve">五、开标与评标</w:t>
      </w:r>
      <w:r/>
    </w:p>
    <w:p>
      <w:pPr>
        <w:pStyle w:val="998"/>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23、开标</w:t>
      </w:r>
      <w:r/>
    </w:p>
    <w:p>
      <w:pPr>
        <w:ind w:firstLine="480"/>
        <w:spacing w:line="480" w:lineRule="exact"/>
        <w:rPr>
          <w:rFonts w:ascii="宋体" w:hAnsi="宋体"/>
          <w:sz w:val="24"/>
          <w:szCs w:val="24"/>
        </w:rPr>
      </w:pPr>
      <w:r>
        <w:rPr>
          <w:rFonts w:hint="eastAsia" w:ascii="宋体" w:hAnsi="宋体"/>
          <w:sz w:val="24"/>
          <w:szCs w:val="24"/>
        </w:rPr>
        <w:t xml:space="preserve">23.1 采购人将在招标公告中规定的时间和地点组织公开开标。投标人应当按照《操作手册》规定，参加开标活动和在苏采云系统规定的时间内对投标文件进行解密。</w:t>
      </w:r>
      <w:r/>
    </w:p>
    <w:p>
      <w:pPr>
        <w:ind w:firstLine="480"/>
        <w:spacing w:line="480" w:lineRule="exact"/>
        <w:rPr>
          <w:rFonts w:ascii="宋体" w:hAnsi="宋体"/>
          <w:sz w:val="24"/>
          <w:szCs w:val="24"/>
        </w:rPr>
      </w:pPr>
      <w:r>
        <w:rPr>
          <w:rFonts w:hint="eastAsia" w:ascii="宋体" w:hAnsi="宋体"/>
          <w:sz w:val="24"/>
          <w:szCs w:val="24"/>
        </w:rPr>
        <w:t xml:space="preserve">23.2开标仪式由采购人组织。苏采云系统将自动对项目进行开标，并宣布各投标人名称和投标价格。</w:t>
      </w:r>
      <w:r/>
    </w:p>
    <w:p>
      <w:pPr>
        <w:ind w:firstLine="480"/>
        <w:spacing w:line="480" w:lineRule="exact"/>
        <w:rPr>
          <w:rFonts w:ascii="宋体" w:hAnsi="宋体"/>
          <w:sz w:val="24"/>
          <w:szCs w:val="24"/>
        </w:rPr>
      </w:pPr>
      <w:r>
        <w:rPr>
          <w:rFonts w:hint="eastAsia" w:ascii="宋体" w:hAnsi="宋体"/>
          <w:sz w:val="24"/>
          <w:szCs w:val="24"/>
        </w:rPr>
        <w:t xml:space="preserve">23.3投标人在开标过程中涉及到的投标文件解密、开标结果确认等工作，应按照《操作手册》规定执行。</w:t>
      </w:r>
      <w:r/>
    </w:p>
    <w:p>
      <w:pPr>
        <w:ind w:firstLine="480"/>
        <w:spacing w:line="480" w:lineRule="exact"/>
        <w:rPr>
          <w:rFonts w:ascii="宋体" w:hAnsi="宋体"/>
          <w:sz w:val="24"/>
          <w:szCs w:val="24"/>
        </w:rPr>
      </w:pPr>
      <w:r>
        <w:rPr>
          <w:rFonts w:hint="eastAsia" w:ascii="宋体" w:hAnsi="宋体"/>
          <w:sz w:val="24"/>
          <w:szCs w:val="24"/>
        </w:rPr>
        <w:t xml:space="preserve">23.4投标人如果对开标过程和开标记录有疑义，应当根据《操作手册》规定提出，如苏采云系统中《开标记录表》宣布后5分钟内未提出的，视同认可开标结果。</w:t>
      </w:r>
      <w:r/>
    </w:p>
    <w:p>
      <w:pPr>
        <w:ind w:firstLine="480"/>
        <w:spacing w:line="480" w:lineRule="exact"/>
        <w:rPr>
          <w:rFonts w:ascii="宋体" w:hAnsi="宋体"/>
          <w:sz w:val="24"/>
          <w:szCs w:val="24"/>
        </w:rPr>
      </w:pPr>
      <w:r>
        <w:rPr>
          <w:rFonts w:hint="eastAsia" w:ascii="宋体" w:hAnsi="宋体"/>
          <w:sz w:val="24"/>
          <w:szCs w:val="24"/>
        </w:rPr>
        <w:t xml:space="preserve">23.5 </w:t>
      </w:r>
      <w:r>
        <w:rPr>
          <w:rFonts w:hint="eastAsia" w:ascii="宋体" w:hAnsi="宋体"/>
          <w:bCs/>
          <w:sz w:val="24"/>
          <w:szCs w:val="24"/>
        </w:rPr>
        <w:t xml:space="preserve">投标人未参加开标的，视同认可开标结果。</w:t>
      </w:r>
      <w:r/>
    </w:p>
    <w:p>
      <w:pPr>
        <w:pStyle w:val="998"/>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24、资格审查</w:t>
      </w:r>
      <w:r/>
    </w:p>
    <w:p>
      <w:pPr>
        <w:ind w:firstLine="480"/>
        <w:spacing w:line="480" w:lineRule="exact"/>
        <w:rPr>
          <w:rFonts w:ascii="宋体" w:hAnsi="宋体"/>
          <w:sz w:val="24"/>
          <w:szCs w:val="24"/>
        </w:rPr>
      </w:pPr>
      <w:r>
        <w:rPr>
          <w:rFonts w:hint="eastAsia" w:ascii="宋体" w:hAnsi="宋体"/>
          <w:sz w:val="24"/>
          <w:szCs w:val="24"/>
        </w:rPr>
        <w:t xml:space="preserve">24.1依据法律法规和招标文件的规定，开标结束后，由采购人对投标文件中的资格证明文件进行审查。资格审查的结论，采购人以书面形式向评标委员会进行反馈。未通过资格审查的投标人，由采购人告知未通过资格审查的原因。</w:t>
      </w:r>
      <w:r/>
    </w:p>
    <w:p>
      <w:pPr>
        <w:ind w:firstLine="480"/>
        <w:spacing w:line="480" w:lineRule="exact"/>
        <w:rPr>
          <w:rFonts w:ascii="宋体" w:hAnsi="宋体"/>
          <w:sz w:val="24"/>
          <w:szCs w:val="24"/>
        </w:rPr>
      </w:pPr>
      <w:r>
        <w:rPr>
          <w:rFonts w:hint="eastAsia" w:ascii="宋体" w:hAnsi="宋体"/>
          <w:sz w:val="24"/>
          <w:szCs w:val="24"/>
        </w:rPr>
        <w:t xml:space="preserve">采购人在进行资格性审查的同时，将在“信用中国”网站（www.creditchina.gov.cn）对投标人是否被列入失信被执行人、重大税收违法案件当事人名单、政府采购严重失信行为记录名单情况进行查询，以确定投标人是否具备投标资格，投标文件中无需提供证明材料。</w:t>
      </w:r>
      <w:r/>
    </w:p>
    <w:p>
      <w:pPr>
        <w:ind w:firstLine="480"/>
        <w:spacing w:line="480" w:lineRule="exact"/>
        <w:rPr>
          <w:rFonts w:ascii="宋体" w:hAnsi="宋体"/>
          <w:sz w:val="24"/>
          <w:szCs w:val="24"/>
        </w:rPr>
      </w:pPr>
      <w:r>
        <w:rPr>
          <w:rFonts w:hint="eastAsia" w:ascii="宋体" w:hAnsi="宋体"/>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98"/>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25、评标委员会</w:t>
      </w:r>
      <w:r/>
    </w:p>
    <w:p>
      <w:pPr>
        <w:ind w:firstLine="480"/>
        <w:spacing w:line="480" w:lineRule="exact"/>
        <w:rPr>
          <w:rFonts w:ascii="宋体" w:hAnsi="宋体"/>
          <w:b/>
          <w:sz w:val="24"/>
          <w:szCs w:val="24"/>
        </w:rPr>
      </w:pPr>
      <w:r>
        <w:rPr>
          <w:rFonts w:hint="eastAsia" w:ascii="宋体" w:hAnsi="宋体"/>
          <w:sz w:val="24"/>
          <w:szCs w:val="24"/>
        </w:rPr>
        <w:t xml:space="preserve">25.1资格审查通过后，采购人将组织评标委员会（以下简称评委会）进行评标。</w:t>
      </w:r>
      <w:r/>
    </w:p>
    <w:p>
      <w:pPr>
        <w:ind w:firstLine="480"/>
        <w:spacing w:line="480" w:lineRule="exact"/>
        <w:rPr>
          <w:rFonts w:ascii="宋体" w:hAnsi="宋体"/>
          <w:sz w:val="24"/>
          <w:szCs w:val="24"/>
        </w:rPr>
      </w:pPr>
      <w:r>
        <w:rPr>
          <w:rFonts w:hint="eastAsia" w:ascii="宋体" w:hAnsi="宋体"/>
          <w:sz w:val="24"/>
          <w:szCs w:val="24"/>
        </w:rPr>
        <w:t xml:space="preserve">25.2 评委会由采购人代表和评审专家组成，且人员构成符合政府采购有关规定。</w:t>
      </w:r>
      <w:r/>
    </w:p>
    <w:p>
      <w:pPr>
        <w:ind w:firstLine="480"/>
        <w:spacing w:line="480" w:lineRule="exact"/>
        <w:rPr>
          <w:rFonts w:ascii="宋体" w:hAnsi="宋体"/>
          <w:sz w:val="24"/>
          <w:szCs w:val="24"/>
        </w:rPr>
      </w:pPr>
      <w:r>
        <w:rPr>
          <w:rFonts w:hint="eastAsia" w:ascii="宋体" w:hAnsi="宋体"/>
          <w:sz w:val="24"/>
          <w:szCs w:val="24"/>
        </w:rPr>
        <w:t xml:space="preserve">25.3评委会独立工作，负责评审所有投标文件并确定中标侯选人。</w:t>
      </w:r>
      <w:r/>
    </w:p>
    <w:p>
      <w:pPr>
        <w:pStyle w:val="998"/>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26、评标过程的保密与公正</w:t>
      </w:r>
      <w:r/>
    </w:p>
    <w:p>
      <w:pPr>
        <w:ind w:firstLine="480"/>
        <w:spacing w:line="480" w:lineRule="exact"/>
        <w:rPr>
          <w:rFonts w:ascii="宋体" w:hAnsi="宋体"/>
          <w:bCs/>
          <w:sz w:val="24"/>
          <w:szCs w:val="24"/>
        </w:rPr>
      </w:pPr>
      <w:r>
        <w:rPr>
          <w:rFonts w:hint="eastAsia" w:ascii="宋体" w:hAnsi="宋体"/>
          <w:sz w:val="24"/>
          <w:szCs w:val="24"/>
        </w:rPr>
        <w:t xml:space="preserve">26.1</w:t>
      </w:r>
      <w:r>
        <w:rPr>
          <w:rFonts w:hint="eastAsia" w:ascii="宋体" w:hAnsi="宋体"/>
          <w:bCs/>
          <w:sz w:val="24"/>
          <w:szCs w:val="24"/>
        </w:rPr>
        <w:t xml:space="preserve">公开开标后，直至签订合同之日止，凡是与审查、澄清、评价和比较投标的有关资料以及授标建议等，采购人、评委、代理机构均不得向投标人或与评标无关的其他人员透露。</w:t>
      </w:r>
      <w:r/>
    </w:p>
    <w:p>
      <w:pPr>
        <w:ind w:firstLine="480"/>
        <w:spacing w:line="480" w:lineRule="exact"/>
        <w:rPr>
          <w:rFonts w:ascii="宋体" w:hAnsi="宋体"/>
          <w:sz w:val="24"/>
          <w:szCs w:val="24"/>
        </w:rPr>
      </w:pPr>
      <w:r>
        <w:rPr>
          <w:rFonts w:hint="eastAsia" w:ascii="宋体" w:hAnsi="宋体"/>
          <w:sz w:val="24"/>
          <w:szCs w:val="24"/>
        </w:rPr>
        <w:t xml:space="preserve">26.2在评标过程中，投标人不得以任何行为影响评标过程，否则其投标文件将被作为无效投标文件。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szCs w:val="24"/>
        </w:rPr>
        <w:t xml:space="preserve">26.3在评标期间，采购中心将设专门人员与投标人联系。</w:t>
      </w:r>
      <w:r/>
    </w:p>
    <w:p>
      <w:pPr>
        <w:ind w:firstLine="480"/>
        <w:spacing w:line="480" w:lineRule="exact"/>
        <w:rPr>
          <w:rFonts w:ascii="宋体" w:hAnsi="宋体"/>
          <w:sz w:val="24"/>
          <w:szCs w:val="24"/>
        </w:rPr>
      </w:pPr>
      <w:r>
        <w:rPr>
          <w:rFonts w:hint="eastAsia" w:ascii="宋体" w:hAnsi="宋体"/>
          <w:sz w:val="24"/>
          <w:szCs w:val="24"/>
        </w:rPr>
        <w:t xml:space="preserve">26.4 采购人和评标委员会不向落标的投标人解释未中标原因，也不公布评标过程中的相关细节。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26.5 采用综合评分法的项目，未中标的投标人可于中标结果公告期限届满之日起</w:t>
      </w:r>
      <w:r>
        <w:rPr>
          <w:rFonts w:hint="eastAsia" w:ascii="宋体" w:hAnsi="宋体"/>
          <w:sz w:val="24"/>
          <w:szCs w:val="24"/>
        </w:rPr>
        <w:t xml:space="preserve">通过苏采云系统查看自己的评审得分及排序情况。</w:t>
      </w:r>
      <w:r/>
    </w:p>
    <w:p>
      <w:pPr>
        <w:pStyle w:val="998"/>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27、投标的澄清</w:t>
      </w:r>
      <w:r/>
    </w:p>
    <w:p>
      <w:pPr>
        <w:ind w:firstLine="480"/>
        <w:spacing w:line="480" w:lineRule="exact"/>
        <w:rPr>
          <w:rFonts w:ascii="宋体" w:hAnsi="宋体"/>
          <w:sz w:val="24"/>
          <w:szCs w:val="24"/>
        </w:rPr>
      </w:pPr>
      <w:r>
        <w:rPr>
          <w:rFonts w:hint="eastAsia" w:ascii="宋体" w:hAnsi="宋体"/>
          <w:sz w:val="24"/>
          <w:szCs w:val="24"/>
        </w:rPr>
        <w:t xml:space="preserve">27.1评标期间，为有助于对投标文件的审查、评价和比较，评委会有权以书面形式要求投标人对其投标文件进行澄清，但并非对每个投标人都作澄清要求。</w:t>
      </w:r>
      <w:r/>
    </w:p>
    <w:p>
      <w:pPr>
        <w:ind w:firstLine="480"/>
        <w:spacing w:line="480" w:lineRule="exact"/>
        <w:rPr>
          <w:rFonts w:ascii="宋体" w:hAnsi="宋体"/>
          <w:sz w:val="24"/>
          <w:szCs w:val="24"/>
        </w:rPr>
      </w:pPr>
      <w:r>
        <w:rPr>
          <w:rFonts w:hint="eastAsia" w:ascii="宋体" w:hAnsi="宋体"/>
          <w:sz w:val="24"/>
          <w:szCs w:val="24"/>
        </w:rPr>
        <w:t xml:space="preserve">27.2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80" w:lineRule="exact"/>
        <w:rPr>
          <w:rFonts w:ascii="宋体" w:hAnsi="宋体"/>
          <w:sz w:val="24"/>
          <w:szCs w:val="24"/>
        </w:rPr>
      </w:pPr>
      <w:r>
        <w:rPr>
          <w:rFonts w:hint="eastAsia" w:ascii="宋体" w:hAnsi="宋体"/>
          <w:sz w:val="24"/>
          <w:szCs w:val="24"/>
        </w:rPr>
        <w:t xml:space="preserve">27.3 接到评委会澄清要求的投标人如未按规定做出澄清，其风险由投标人自行承担。</w:t>
      </w:r>
      <w:r/>
    </w:p>
    <w:p>
      <w:pPr>
        <w:pStyle w:val="998"/>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28、对投标文件的评审</w:t>
      </w:r>
      <w:r/>
    </w:p>
    <w:p>
      <w:pPr>
        <w:ind w:firstLine="480"/>
        <w:spacing w:line="480" w:lineRule="exact"/>
        <w:rPr>
          <w:rFonts w:ascii="宋体" w:hAnsi="宋体"/>
          <w:bCs/>
          <w:sz w:val="24"/>
          <w:szCs w:val="24"/>
        </w:rPr>
      </w:pPr>
      <w:r>
        <w:rPr>
          <w:rFonts w:hint="eastAsia" w:ascii="宋体" w:hAnsi="宋体"/>
          <w:sz w:val="24"/>
          <w:szCs w:val="24"/>
        </w:rPr>
        <w:t xml:space="preserve">28.1</w:t>
      </w:r>
      <w:r>
        <w:rPr>
          <w:rFonts w:hint="eastAsia" w:ascii="宋体" w:hAnsi="宋体"/>
          <w:bCs/>
          <w:sz w:val="24"/>
          <w:szCs w:val="24"/>
        </w:rPr>
        <w:t xml:space="preserve">符合性检查：依据招标文件的规定，从投标文件的有效性、完整性和对招标文件的响应程度进行审查，以确定是否对招标文件的实质性要求作出响应。</w:t>
      </w:r>
      <w:r/>
    </w:p>
    <w:p>
      <w:pPr>
        <w:ind w:firstLine="480"/>
        <w:spacing w:line="480" w:lineRule="exact"/>
        <w:rPr>
          <w:rFonts w:ascii="宋体" w:hAnsi="宋体"/>
          <w:sz w:val="24"/>
          <w:szCs w:val="24"/>
        </w:rPr>
      </w:pPr>
      <w:r>
        <w:rPr>
          <w:rFonts w:hint="eastAsia" w:ascii="宋体" w:hAnsi="宋体"/>
          <w:sz w:val="24"/>
          <w:szCs w:val="24"/>
        </w:rPr>
        <w:t xml:space="preserve">28.2在详细评标之前，评委会将首先审查每份投标文件是否实质性响应了招标文件的要求。实质性响应的投标应该是与招标文件要求的全部条款、条件和规格相符，没有重大偏离或保留的投标。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80" w:lineRule="exact"/>
        <w:rPr>
          <w:rFonts w:ascii="宋体" w:hAnsi="宋体"/>
          <w:bCs/>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w:t>
      </w:r>
      <w:r>
        <w:rPr>
          <w:rFonts w:hint="eastAsia" w:ascii="宋体" w:hAnsi="宋体"/>
          <w:bCs/>
          <w:sz w:val="24"/>
          <w:szCs w:val="24"/>
        </w:rPr>
        <w:t xml:space="preserve">评委决定投标文件的响应性只根据投标文件本身的内容，而不寻求外部的证据。</w:t>
      </w:r>
      <w:r/>
    </w:p>
    <w:p>
      <w:pPr>
        <w:ind w:firstLine="480"/>
        <w:spacing w:line="480" w:lineRule="exact"/>
        <w:rPr>
          <w:rFonts w:ascii="宋体" w:hAnsi="宋体"/>
          <w:bCs/>
          <w:sz w:val="24"/>
          <w:szCs w:val="24"/>
        </w:rPr>
      </w:pPr>
      <w:r>
        <w:rPr>
          <w:rFonts w:hint="eastAsia" w:ascii="宋体" w:hAnsi="宋体"/>
          <w:sz w:val="24"/>
          <w:szCs w:val="24"/>
        </w:rPr>
        <w:t xml:space="preserve">28.3</w:t>
      </w:r>
      <w:r>
        <w:rPr>
          <w:rFonts w:hint="eastAsia" w:ascii="宋体" w:hAnsi="宋体"/>
          <w:bCs/>
          <w:sz w:val="24"/>
          <w:szCs w:val="24"/>
        </w:rPr>
        <w:t xml:space="preserve">如果投标文件实质上没有响应招标文件的要求，评委会将按无效投标处理，投标人不得通过修改或撤销不合要求的偏离或保留而使其投标成为实质性响应的投标。</w:t>
      </w:r>
      <w:r/>
    </w:p>
    <w:p>
      <w:pPr>
        <w:ind w:firstLine="480"/>
        <w:spacing w:line="480" w:lineRule="exact"/>
        <w:rPr>
          <w:rFonts w:ascii="宋体" w:hAnsi="宋体"/>
          <w:bCs/>
          <w:sz w:val="24"/>
          <w:szCs w:val="24"/>
        </w:rPr>
      </w:pPr>
      <w:r>
        <w:rPr>
          <w:rFonts w:hint="eastAsia" w:ascii="宋体" w:hAnsi="宋体"/>
          <w:bCs/>
          <w:sz w:val="24"/>
          <w:szCs w:val="24"/>
        </w:rPr>
        <w:t xml:space="preserve">28.4评委会将对确定为实质性响应的投标进行进一步审核，看其是否有计算上或累加上的算术错误，修正错误的原则如下：</w:t>
      </w:r>
      <w:r/>
    </w:p>
    <w:p>
      <w:pPr>
        <w:ind w:firstLine="480"/>
        <w:spacing w:line="48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8.4.1</w:t>
      </w:r>
      <w:r>
        <w:rPr>
          <w:rFonts w:hint="eastAsia" w:ascii="宋体" w:hAnsi="宋体"/>
          <w:bCs/>
          <w:sz w:val="24"/>
          <w:szCs w:val="24"/>
        </w:rPr>
        <w:t xml:space="preserve">投标文件中开标一览表内容与投标文件中相应内容不一致的，以开标一览表为准。</w:t>
      </w:r>
      <w:r/>
    </w:p>
    <w:p>
      <w:pPr>
        <w:ind w:firstLine="480"/>
        <w:spacing w:line="48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8.4.2</w:t>
      </w:r>
      <w:r>
        <w:rPr>
          <w:rFonts w:hint="eastAsia" w:ascii="宋体" w:hAnsi="宋体"/>
          <w:bCs/>
          <w:sz w:val="24"/>
          <w:szCs w:val="24"/>
        </w:rPr>
        <w:t xml:space="preserve">大写金额和小写金额不一致的，以大写金额为准。</w:t>
      </w:r>
      <w:r/>
    </w:p>
    <w:p>
      <w:pPr>
        <w:ind w:firstLine="480"/>
        <w:spacing w:line="48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8.4.3</w:t>
      </w:r>
      <w:r>
        <w:rPr>
          <w:rFonts w:hint="eastAsia" w:ascii="宋体" w:hAnsi="宋体"/>
          <w:bCs/>
          <w:sz w:val="24"/>
          <w:szCs w:val="24"/>
        </w:rPr>
        <w:t xml:space="preserve">单价金额小数点或者百分比有明显错位的，以开标一览表的总价为准，并修改单价。</w:t>
      </w:r>
      <w:r/>
    </w:p>
    <w:p>
      <w:pPr>
        <w:ind w:firstLine="480"/>
        <w:spacing w:line="48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8.4.4</w:t>
      </w:r>
      <w:r>
        <w:rPr>
          <w:rFonts w:hint="eastAsia" w:ascii="宋体" w:hAnsi="宋体"/>
          <w:bCs/>
          <w:sz w:val="24"/>
          <w:szCs w:val="24"/>
        </w:rPr>
        <w:t xml:space="preserve">总价金额与按单价汇总金额不一致的，以单价金额计算结果为准。</w:t>
      </w:r>
      <w:r/>
    </w:p>
    <w:p>
      <w:pPr>
        <w:ind w:firstLine="480"/>
        <w:spacing w:line="480" w:lineRule="exact"/>
        <w:rPr>
          <w:rFonts w:ascii="宋体" w:hAnsi="宋体"/>
          <w:bCs/>
          <w:sz w:val="24"/>
          <w:szCs w:val="24"/>
        </w:rPr>
      </w:pPr>
      <w:r>
        <w:rPr>
          <w:rFonts w:hint="eastAsia" w:ascii="宋体" w:hAnsi="宋体"/>
          <w:bCs/>
          <w:sz w:val="24"/>
          <w:szCs w:val="24"/>
        </w:rPr>
        <w:t xml:space="preserve">同时出现两种以上错误的，按照前款规定的顺序修正。</w:t>
      </w:r>
      <w:r/>
    </w:p>
    <w:p>
      <w:pPr>
        <w:ind w:firstLine="480"/>
        <w:spacing w:line="480" w:lineRule="exact"/>
        <w:rPr>
          <w:rFonts w:ascii="宋体" w:hAnsi="宋体"/>
          <w:bCs/>
          <w:sz w:val="24"/>
          <w:szCs w:val="24"/>
        </w:rPr>
      </w:pPr>
      <w:r>
        <w:rPr>
          <w:rFonts w:hint="eastAsia" w:ascii="宋体" w:hAnsi="宋体"/>
          <w:sz w:val="24"/>
          <w:szCs w:val="24"/>
        </w:rPr>
        <w:t xml:space="preserve">28.5</w:t>
      </w:r>
      <w:r>
        <w:rPr>
          <w:rFonts w:hint="eastAsia" w:ascii="宋体" w:hAnsi="宋体"/>
          <w:bCs/>
          <w:sz w:val="24"/>
          <w:szCs w:val="24"/>
        </w:rPr>
        <w:t xml:space="preserve">评委会将按上述修正错误的方法调整投标文件中的投标报价，调整后的价格应对投标人具有约束力。如果投标人不接受修正后的价格，则其投标将被拒绝。</w:t>
      </w:r>
      <w:r/>
    </w:p>
    <w:p>
      <w:pPr>
        <w:ind w:firstLine="480"/>
        <w:spacing w:line="480" w:lineRule="exact"/>
        <w:rPr>
          <w:rFonts w:ascii="宋体" w:hAnsi="宋体"/>
          <w:bCs/>
          <w:sz w:val="24"/>
          <w:szCs w:val="24"/>
        </w:rPr>
      </w:pPr>
      <w:r>
        <w:rPr>
          <w:rFonts w:hint="eastAsia" w:ascii="宋体" w:hAnsi="宋体"/>
          <w:bCs/>
          <w:sz w:val="24"/>
          <w:szCs w:val="24"/>
        </w:rPr>
        <w:t xml:space="preserve">28.6评委会将允许修正投标文件中不构成重大偏离的、微小的、非正规的、不一致的或不规则的地方，但这些修改不能影响任何投标人相应的名次排列。</w:t>
      </w:r>
      <w:r/>
    </w:p>
    <w:p>
      <w:pPr>
        <w:pStyle w:val="998"/>
        <w:ind w:firstLine="480"/>
        <w:spacing w:before="0" w:after="0" w:line="480" w:lineRule="exact"/>
        <w:rPr>
          <w:rFonts w:ascii="宋体" w:hAnsi="宋体" w:eastAsia="宋体"/>
          <w:b w:val="0"/>
          <w:bCs w:val="0"/>
          <w:sz w:val="24"/>
          <w:szCs w:val="24"/>
        </w:rPr>
      </w:pPr>
      <w:r>
        <w:rPr>
          <w:rFonts w:hint="eastAsia" w:ascii="宋体" w:hAnsi="宋体" w:eastAsia="宋体"/>
          <w:b w:val="0"/>
          <w:bCs w:val="0"/>
          <w:sz w:val="24"/>
          <w:szCs w:val="24"/>
        </w:rPr>
        <w:t xml:space="preserve">29、无效投标条款和废标条款</w:t>
      </w:r>
      <w:r/>
    </w:p>
    <w:p>
      <w:pPr>
        <w:ind w:firstLine="480"/>
        <w:spacing w:line="480" w:lineRule="exact"/>
        <w:rPr>
          <w:rFonts w:ascii="宋体" w:hAnsi="宋体"/>
          <w:sz w:val="24"/>
          <w:szCs w:val="24"/>
        </w:rPr>
      </w:pPr>
      <w:r>
        <w:rPr>
          <w:rFonts w:hint="eastAsia" w:ascii="宋体" w:hAnsi="宋体"/>
          <w:sz w:val="24"/>
          <w:szCs w:val="24"/>
        </w:rPr>
        <w:t xml:space="preserve">29.1无效投标条款</w:t>
      </w:r>
      <w:r/>
    </w:p>
    <w:p>
      <w:pPr>
        <w:ind w:firstLine="480"/>
        <w:spacing w:line="480" w:lineRule="exact"/>
        <w:rPr>
          <w:rFonts w:ascii="宋体" w:hAnsi="宋体"/>
          <w:sz w:val="24"/>
          <w:szCs w:val="24"/>
        </w:rPr>
      </w:pPr>
      <w:r>
        <w:rPr>
          <w:rFonts w:hint="eastAsia" w:ascii="宋体" w:hAnsi="宋体"/>
          <w:sz w:val="24"/>
          <w:szCs w:val="24"/>
        </w:rPr>
        <w:t xml:space="preserve">29.1.1投标人未按照招标文件要求上传电子投标文件的；</w:t>
      </w:r>
      <w:r/>
    </w:p>
    <w:p>
      <w:pPr>
        <w:ind w:firstLine="480"/>
        <w:spacing w:line="480" w:lineRule="exact"/>
        <w:rPr>
          <w:rFonts w:ascii="宋体" w:hAnsi="宋体"/>
          <w:sz w:val="24"/>
          <w:szCs w:val="24"/>
        </w:rPr>
      </w:pPr>
      <w:r>
        <w:rPr>
          <w:rFonts w:hint="eastAsia" w:ascii="宋体" w:hAnsi="宋体"/>
          <w:sz w:val="24"/>
          <w:szCs w:val="24"/>
        </w:rPr>
        <w:t xml:space="preserve">29.1.2投标人在苏采云系统规定的时间内未成功解密电子投标文件的；</w:t>
      </w:r>
      <w:r/>
    </w:p>
    <w:p>
      <w:pPr>
        <w:ind w:firstLine="480"/>
        <w:spacing w:line="480" w:lineRule="exact"/>
        <w:rPr>
          <w:rFonts w:ascii="宋体" w:hAnsi="宋体"/>
          <w:sz w:val="24"/>
          <w:szCs w:val="24"/>
        </w:rPr>
      </w:pPr>
      <w:r>
        <w:rPr>
          <w:rFonts w:hint="eastAsia" w:ascii="宋体" w:hAnsi="宋体"/>
          <w:sz w:val="24"/>
          <w:szCs w:val="24"/>
        </w:rPr>
        <w:t xml:space="preserve">29.1.3投标人在报价时采用选择性报价；</w:t>
      </w:r>
      <w:r/>
    </w:p>
    <w:p>
      <w:pPr>
        <w:ind w:firstLine="480"/>
        <w:spacing w:line="480" w:lineRule="exact"/>
        <w:rPr>
          <w:rFonts w:ascii="宋体" w:hAnsi="宋体"/>
          <w:sz w:val="24"/>
          <w:szCs w:val="24"/>
        </w:rPr>
      </w:pPr>
      <w:r>
        <w:rPr>
          <w:rFonts w:hint="eastAsia" w:ascii="宋体" w:hAnsi="宋体"/>
          <w:sz w:val="24"/>
          <w:szCs w:val="24"/>
        </w:rPr>
        <w:t xml:space="preserve">29.1.4投标人不具备招标文件中规定资格要求的；</w:t>
      </w:r>
      <w:r/>
    </w:p>
    <w:p>
      <w:pPr>
        <w:ind w:firstLine="480"/>
        <w:spacing w:line="480" w:lineRule="exact"/>
        <w:rPr>
          <w:rFonts w:ascii="宋体" w:hAnsi="宋体"/>
          <w:sz w:val="24"/>
          <w:szCs w:val="24"/>
        </w:rPr>
      </w:pPr>
      <w:r>
        <w:rPr>
          <w:rFonts w:hint="eastAsia" w:ascii="宋体" w:hAnsi="宋体"/>
          <w:sz w:val="24"/>
          <w:szCs w:val="24"/>
        </w:rPr>
        <w:t xml:space="preserve">29.1.5投标人的报价超过了采购预算或最高限价的；</w:t>
      </w:r>
      <w:r/>
    </w:p>
    <w:p>
      <w:pPr>
        <w:ind w:firstLine="480"/>
        <w:spacing w:line="480" w:lineRule="exact"/>
        <w:rPr>
          <w:rFonts w:ascii="宋体" w:hAnsi="宋体"/>
          <w:sz w:val="24"/>
          <w:szCs w:val="24"/>
        </w:rPr>
      </w:pPr>
      <w:r>
        <w:rPr>
          <w:rFonts w:hint="eastAsia" w:ascii="宋体" w:hAnsi="宋体"/>
          <w:sz w:val="24"/>
          <w:szCs w:val="24"/>
        </w:rPr>
        <w:t xml:space="preserve">29.1.6未通过符合性检查的；</w:t>
      </w:r>
      <w:r/>
    </w:p>
    <w:p>
      <w:pPr>
        <w:ind w:firstLine="480"/>
        <w:spacing w:line="480" w:lineRule="exact"/>
        <w:rPr>
          <w:rFonts w:ascii="宋体" w:hAnsi="宋体"/>
          <w:sz w:val="24"/>
          <w:szCs w:val="24"/>
        </w:rPr>
      </w:pPr>
      <w:r>
        <w:rPr>
          <w:rFonts w:hint="eastAsia" w:ascii="宋体" w:hAnsi="宋体"/>
          <w:sz w:val="24"/>
          <w:szCs w:val="24"/>
        </w:rPr>
        <w:t xml:space="preserve">29.1.7不符合招标文件中规定的其他实质性要求和条件的；</w:t>
      </w:r>
      <w:r/>
    </w:p>
    <w:p>
      <w:pPr>
        <w:ind w:firstLine="480"/>
        <w:spacing w:line="480" w:lineRule="exact"/>
        <w:rPr>
          <w:rFonts w:ascii="宋体" w:hAnsi="宋体"/>
          <w:sz w:val="24"/>
          <w:szCs w:val="24"/>
        </w:rPr>
      </w:pPr>
      <w:r>
        <w:rPr>
          <w:rFonts w:hint="eastAsia" w:ascii="宋体" w:hAnsi="宋体"/>
          <w:sz w:val="24"/>
          <w:szCs w:val="24"/>
        </w:rPr>
        <w:t xml:space="preserve">29.1.8投标人串通投标；</w:t>
      </w:r>
      <w:r/>
    </w:p>
    <w:p>
      <w:pPr>
        <w:ind w:firstLine="480"/>
        <w:spacing w:line="480" w:lineRule="exact"/>
        <w:rPr>
          <w:rFonts w:ascii="宋体" w:hAnsi="宋体"/>
          <w:sz w:val="24"/>
          <w:szCs w:val="24"/>
        </w:rPr>
      </w:pPr>
      <w:r>
        <w:rPr>
          <w:rFonts w:hint="eastAsia" w:ascii="宋体" w:hAnsi="宋体"/>
          <w:sz w:val="24"/>
          <w:szCs w:val="24"/>
        </w:rPr>
        <w:t xml:space="preserve">29.1.9投标文件含有采购人不能接受的附加条件的。</w:t>
      </w:r>
      <w:r/>
    </w:p>
    <w:p>
      <w:pPr>
        <w:ind w:firstLine="480"/>
        <w:spacing w:line="480" w:lineRule="exact"/>
        <w:rPr>
          <w:rFonts w:ascii="宋体" w:hAnsi="宋体"/>
          <w:sz w:val="24"/>
          <w:szCs w:val="24"/>
        </w:rPr>
      </w:pPr>
      <w:r>
        <w:rPr>
          <w:rFonts w:hint="eastAsia" w:ascii="宋体" w:hAnsi="宋体"/>
          <w:sz w:val="24"/>
          <w:szCs w:val="24"/>
        </w:rPr>
        <w:t xml:space="preserve">29.1.10 评标委员会认为投标人的报价明显低于其他通过资格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480" w:lineRule="exact"/>
        <w:rPr>
          <w:rFonts w:ascii="宋体" w:hAnsi="宋体"/>
          <w:sz w:val="24"/>
          <w:szCs w:val="24"/>
        </w:rPr>
      </w:pPr>
      <w:r>
        <w:rPr>
          <w:rFonts w:hint="eastAsia" w:ascii="宋体" w:hAnsi="宋体"/>
          <w:sz w:val="24"/>
          <w:szCs w:val="24"/>
        </w:rPr>
        <w:t xml:space="preserve">29.1.11投标文件未按照招标文件要求加盖电子公章。</w:t>
      </w:r>
      <w:r/>
    </w:p>
    <w:p>
      <w:pPr>
        <w:ind w:firstLine="480"/>
        <w:spacing w:line="480" w:lineRule="exact"/>
        <w:rPr>
          <w:rFonts w:ascii="宋体" w:hAnsi="宋体"/>
          <w:sz w:val="24"/>
          <w:szCs w:val="24"/>
        </w:rPr>
      </w:pPr>
      <w:r>
        <w:rPr>
          <w:rFonts w:hint="eastAsia" w:ascii="宋体" w:hAnsi="宋体"/>
          <w:sz w:val="24"/>
          <w:szCs w:val="24"/>
        </w:rPr>
        <w:t xml:space="preserve">29.1.12其他法律、法规及本招标文件规定的属无效投标的情形。</w:t>
      </w:r>
      <w:r/>
    </w:p>
    <w:p>
      <w:pPr>
        <w:ind w:firstLine="480"/>
        <w:spacing w:line="480" w:lineRule="exact"/>
        <w:rPr>
          <w:rFonts w:ascii="宋体" w:hAnsi="宋体"/>
          <w:bCs/>
          <w:sz w:val="24"/>
          <w:szCs w:val="24"/>
        </w:rPr>
      </w:pPr>
      <w:r>
        <w:rPr>
          <w:rFonts w:hint="eastAsia" w:ascii="宋体" w:hAnsi="宋体"/>
          <w:bCs/>
          <w:sz w:val="24"/>
          <w:szCs w:val="24"/>
        </w:rPr>
        <w:t xml:space="preserve">29.2废标条款：</w:t>
      </w:r>
      <w:r/>
    </w:p>
    <w:p>
      <w:pPr>
        <w:ind w:firstLine="480"/>
        <w:spacing w:line="480" w:lineRule="exact"/>
        <w:rPr>
          <w:rFonts w:ascii="宋体" w:hAnsi="宋体"/>
          <w:bCs/>
          <w:sz w:val="24"/>
          <w:szCs w:val="24"/>
        </w:rPr>
      </w:pPr>
      <w:r>
        <w:rPr>
          <w:rFonts w:hint="eastAsia" w:ascii="宋体" w:hAnsi="宋体"/>
          <w:bCs/>
          <w:sz w:val="24"/>
          <w:szCs w:val="24"/>
        </w:rPr>
        <w:t xml:space="preserve">29.2.1符合专业条件的供应商或者对招标文件作实质响应的供应商不足三家的；</w:t>
      </w:r>
      <w:r/>
    </w:p>
    <w:p>
      <w:pPr>
        <w:ind w:firstLine="480"/>
        <w:spacing w:line="480" w:lineRule="exact"/>
        <w:rPr>
          <w:rFonts w:ascii="宋体" w:hAnsi="宋体"/>
          <w:bCs/>
          <w:sz w:val="24"/>
          <w:szCs w:val="24"/>
        </w:rPr>
      </w:pPr>
      <w:r>
        <w:rPr>
          <w:rFonts w:hint="eastAsia" w:ascii="宋体" w:hAnsi="宋体"/>
          <w:bCs/>
          <w:sz w:val="24"/>
          <w:szCs w:val="24"/>
        </w:rPr>
        <w:t xml:space="preserve">29.2.2出现影响采购公正的违法、违规行为的；</w:t>
      </w:r>
      <w:r/>
    </w:p>
    <w:p>
      <w:pPr>
        <w:ind w:firstLine="480"/>
        <w:spacing w:line="480" w:lineRule="exact"/>
        <w:rPr>
          <w:rFonts w:ascii="宋体" w:hAnsi="宋体"/>
          <w:bCs/>
          <w:sz w:val="24"/>
          <w:szCs w:val="24"/>
        </w:rPr>
      </w:pPr>
      <w:r>
        <w:rPr>
          <w:rFonts w:hint="eastAsia" w:ascii="宋体" w:hAnsi="宋体"/>
          <w:bCs/>
          <w:sz w:val="24"/>
          <w:szCs w:val="24"/>
        </w:rPr>
        <w:t xml:space="preserve">29.2.3因重大变故，采购任务取消的；</w:t>
      </w:r>
      <w:r/>
    </w:p>
    <w:p>
      <w:pPr>
        <w:ind w:firstLine="480"/>
        <w:spacing w:line="480" w:lineRule="exact"/>
        <w:rPr>
          <w:rFonts w:ascii="宋体" w:hAnsi="宋体"/>
          <w:bCs/>
          <w:sz w:val="24"/>
          <w:szCs w:val="24"/>
        </w:rPr>
      </w:pPr>
      <w:r>
        <w:rPr>
          <w:rFonts w:hint="eastAsia" w:ascii="宋体" w:hAnsi="宋体"/>
          <w:bCs/>
          <w:sz w:val="24"/>
          <w:szCs w:val="24"/>
        </w:rPr>
        <w:t xml:space="preserve">29.2.4评标委员会认定招标文件存在歧义、 重大缺陷导致评审工作无法进行。</w:t>
      </w:r>
      <w:r/>
    </w:p>
    <w:p>
      <w:pPr>
        <w:ind w:firstLine="480"/>
        <w:spacing w:line="480" w:lineRule="exact"/>
        <w:rPr>
          <w:rFonts w:ascii="宋体" w:hAnsi="宋体"/>
          <w:bCs/>
          <w:sz w:val="24"/>
          <w:szCs w:val="24"/>
        </w:rPr>
      </w:pPr>
      <w:r>
        <w:rPr>
          <w:rFonts w:hint="eastAsia" w:ascii="宋体" w:hAnsi="宋体"/>
          <w:bCs/>
          <w:sz w:val="24"/>
          <w:szCs w:val="24"/>
        </w:rPr>
        <w:t xml:space="preserve">29.2.5 投标截止时间结束后参加投标的供应商不足三家的处理：</w:t>
      </w:r>
      <w:r/>
    </w:p>
    <w:p>
      <w:pPr>
        <w:ind w:firstLine="480"/>
        <w:spacing w:line="480" w:lineRule="exact"/>
        <w:rPr>
          <w:rFonts w:ascii="宋体" w:hAnsi="宋体"/>
          <w:bCs/>
          <w:sz w:val="24"/>
          <w:szCs w:val="24"/>
        </w:rPr>
      </w:pPr>
      <w:r>
        <w:rPr>
          <w:rFonts w:hint="eastAsia" w:ascii="宋体" w:hAnsi="宋体"/>
          <w:bCs/>
          <w:sz w:val="24"/>
          <w:szCs w:val="24"/>
        </w:rPr>
        <w:t xml:space="preserve">29.2.6如出现投标截止时间结束后参加投标的供应商或者在评标期间对招标文件做出实质响应的供应商不足三家情况，按财政部第八十七号令第四十三条的规定执行。</w:t>
      </w:r>
      <w:r/>
    </w:p>
    <w:p>
      <w:pPr>
        <w:pStyle w:val="997"/>
        <w:ind w:firstLine="482"/>
        <w:spacing w:before="0" w:after="0" w:line="480" w:lineRule="exact"/>
        <w:rPr>
          <w:rFonts w:ascii="宋体" w:hAnsi="宋体" w:eastAsia="宋体"/>
          <w:sz w:val="24"/>
          <w:szCs w:val="24"/>
        </w:rPr>
      </w:pPr>
      <w:r>
        <w:rPr>
          <w:rFonts w:hint="eastAsia" w:ascii="宋体" w:hAnsi="宋体" w:eastAsia="宋体"/>
          <w:sz w:val="24"/>
          <w:szCs w:val="24"/>
        </w:rPr>
        <w:t xml:space="preserve">六、定标</w:t>
      </w:r>
      <w:r/>
    </w:p>
    <w:p>
      <w:pPr>
        <w:pStyle w:val="998"/>
        <w:ind w:firstLine="480"/>
        <w:spacing w:before="0" w:after="0" w:line="480" w:lineRule="exact"/>
        <w:rPr>
          <w:rFonts w:ascii="宋体" w:hAnsi="宋体" w:eastAsia="宋体"/>
          <w:b w:val="0"/>
          <w:sz w:val="24"/>
          <w:szCs w:val="24"/>
        </w:rPr>
      </w:pPr>
      <w:r>
        <w:rPr>
          <w:rFonts w:hint="eastAsia" w:ascii="宋体" w:hAnsi="宋体" w:eastAsia="宋体"/>
          <w:b w:val="0"/>
          <w:sz w:val="24"/>
          <w:szCs w:val="24"/>
        </w:rPr>
        <w:t xml:space="preserve">30、确定中标单位</w:t>
      </w:r>
      <w:r/>
    </w:p>
    <w:p>
      <w:pPr>
        <w:ind w:firstLine="480"/>
        <w:spacing w:line="480" w:lineRule="exact"/>
        <w:rPr>
          <w:rFonts w:ascii="宋体" w:hAnsi="宋体"/>
          <w:bCs/>
          <w:sz w:val="24"/>
          <w:szCs w:val="24"/>
        </w:rPr>
      </w:pPr>
      <w:r>
        <w:rPr>
          <w:rFonts w:hint="eastAsia" w:ascii="宋体" w:hAnsi="宋体"/>
          <w:bCs/>
          <w:sz w:val="24"/>
          <w:szCs w:val="24"/>
        </w:rPr>
        <w:t xml:space="preserve">30.1评委会根据本招标文件规定评标方法与评标标准向采购人推荐出中标候选人。</w:t>
      </w:r>
      <w:r/>
    </w:p>
    <w:p>
      <w:pPr>
        <w:ind w:firstLine="480"/>
        <w:spacing w:line="480" w:lineRule="exact"/>
        <w:rPr>
          <w:rFonts w:ascii="宋体" w:hAnsi="宋体"/>
          <w:bCs/>
          <w:sz w:val="24"/>
          <w:szCs w:val="24"/>
        </w:rPr>
      </w:pPr>
      <w:r>
        <w:rPr>
          <w:rFonts w:hint="eastAsia" w:ascii="宋体" w:hAnsi="宋体"/>
          <w:bCs/>
          <w:sz w:val="24"/>
          <w:szCs w:val="24"/>
        </w:rPr>
        <w:t xml:space="preserve">30.2 采购人应根据评委会推荐的中标候选人确定中标人。</w:t>
      </w:r>
      <w:r/>
    </w:p>
    <w:p>
      <w:pPr>
        <w:ind w:firstLine="480"/>
        <w:spacing w:line="480" w:lineRule="exact"/>
        <w:rPr>
          <w:rFonts w:ascii="宋体" w:hAnsi="宋体"/>
          <w:sz w:val="24"/>
          <w:szCs w:val="24"/>
        </w:rPr>
      </w:pPr>
      <w:r>
        <w:rPr>
          <w:rFonts w:hint="eastAsia" w:ascii="宋体" w:hAnsi="宋体"/>
          <w:bCs/>
          <w:sz w:val="24"/>
          <w:szCs w:val="24"/>
        </w:rPr>
        <w:t xml:space="preserve">30.3</w:t>
      </w:r>
      <w:r>
        <w:rPr>
          <w:rFonts w:hint="eastAsia" w:ascii="宋体" w:hAnsi="宋体"/>
          <w:sz w:val="24"/>
          <w:szCs w:val="24"/>
        </w:rPr>
        <w:t xml:space="preserve">采购人将在“江苏政府采购网”、“盐城市政府采购网”发布中标公告，公告期限为1个工作日。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30.4若有充分证据证明，中标人出现下列情况之一的，一经查实，将被取消中标资格：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30.4.1提供虚假材料谋取中标的；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30.4.2向采购人、代理机构行贿或者提供其他不正当利益的；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30.4.3恶意竞争，投标总报价明显低于其自身合理成本且又无法提供证明的；</w:t>
      </w:r>
      <w:r/>
    </w:p>
    <w:p>
      <w:pPr>
        <w:ind w:firstLine="480"/>
        <w:spacing w:line="480" w:lineRule="exact"/>
        <w:rPr>
          <w:rFonts w:ascii="宋体" w:hAnsi="宋体"/>
          <w:sz w:val="24"/>
          <w:szCs w:val="24"/>
        </w:rPr>
      </w:pPr>
      <w:r>
        <w:rPr>
          <w:rFonts w:hint="eastAsia" w:ascii="宋体" w:hAnsi="宋体"/>
          <w:sz w:val="24"/>
          <w:szCs w:val="24"/>
        </w:rPr>
        <w:t xml:space="preserve">30.4.4属于本文件规定的无效条件，但在评标过程中又未被评委会发现的；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30.4.5与采购人或者其他供应商恶意串通的；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30.4.6采取不正当手段诋毁、排挤其他供应商的；</w:t>
      </w:r>
      <w:r/>
    </w:p>
    <w:p>
      <w:pPr>
        <w:ind w:firstLine="480"/>
        <w:spacing w:line="480" w:lineRule="exact"/>
        <w:rPr>
          <w:rFonts w:ascii="宋体" w:hAnsi="宋体"/>
          <w:sz w:val="24"/>
          <w:szCs w:val="24"/>
        </w:rPr>
      </w:pPr>
      <w:r>
        <w:rPr>
          <w:rFonts w:hint="eastAsia" w:ascii="宋体" w:hAnsi="宋体"/>
          <w:sz w:val="24"/>
          <w:szCs w:val="24"/>
        </w:rPr>
        <w:t xml:space="preserve">30.4.7不符合法律、法规的规定的。</w:t>
      </w:r>
      <w:r/>
    </w:p>
    <w:p>
      <w:pPr>
        <w:ind w:firstLine="480"/>
        <w:spacing w:line="480" w:lineRule="exact"/>
        <w:rPr>
          <w:rFonts w:ascii="宋体" w:hAnsi="宋体"/>
          <w:sz w:val="24"/>
          <w:szCs w:val="24"/>
        </w:rPr>
      </w:pPr>
      <w:r>
        <w:rPr>
          <w:rFonts w:hint="eastAsia" w:ascii="宋体" w:hAnsi="宋体"/>
          <w:sz w:val="24"/>
          <w:szCs w:val="24"/>
        </w:rPr>
        <w:t xml:space="preserve">30.5. 有下列情形之一的，视为投标人串通投标，投标无效：</w:t>
      </w:r>
      <w:r/>
    </w:p>
    <w:p>
      <w:pPr>
        <w:ind w:firstLine="480"/>
        <w:spacing w:line="480" w:lineRule="exact"/>
        <w:rPr>
          <w:rFonts w:ascii="宋体" w:hAnsi="宋体"/>
          <w:sz w:val="24"/>
          <w:szCs w:val="24"/>
        </w:rPr>
      </w:pPr>
      <w:r>
        <w:rPr>
          <w:rFonts w:hint="eastAsia" w:ascii="宋体" w:hAnsi="宋体"/>
          <w:sz w:val="24"/>
          <w:szCs w:val="24"/>
        </w:rPr>
        <w:t xml:space="preserve">30.5.1不同投标人的投标文件由同一单位或者个人编制。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30.5.2不同投标人委托同一单位或者个人办理投标事宜。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30.5.3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30.5.4不同投标人的投标文件异常一致或者投标报价呈规律性差异。</w:t>
      </w:r>
      <w:r/>
    </w:p>
    <w:p>
      <w:pPr>
        <w:pStyle w:val="998"/>
        <w:ind w:firstLine="480"/>
        <w:spacing w:before="0" w:after="0" w:line="480" w:lineRule="exact"/>
        <w:rPr>
          <w:rFonts w:ascii="宋体" w:hAnsi="宋体" w:eastAsia="宋体"/>
          <w:b w:val="0"/>
          <w:sz w:val="24"/>
          <w:szCs w:val="24"/>
        </w:rPr>
      </w:pPr>
      <w:r>
        <w:rPr>
          <w:rFonts w:hint="eastAsia" w:ascii="宋体" w:hAnsi="宋体" w:eastAsia="宋体"/>
          <w:b w:val="0"/>
          <w:sz w:val="24"/>
          <w:szCs w:val="24"/>
        </w:rPr>
        <w:t xml:space="preserve">31、质疑处理</w:t>
      </w:r>
      <w:r/>
    </w:p>
    <w:p>
      <w:pPr>
        <w:ind w:firstLine="480"/>
        <w:spacing w:line="480" w:lineRule="exact"/>
        <w:rPr>
          <w:rFonts w:ascii="宋体" w:hAnsi="宋体"/>
          <w:sz w:val="24"/>
          <w:szCs w:val="24"/>
        </w:rPr>
      </w:pPr>
      <w:r>
        <w:rPr>
          <w:rFonts w:hint="eastAsia" w:ascii="宋体" w:hAnsi="宋体"/>
          <w:sz w:val="24"/>
          <w:szCs w:val="24"/>
        </w:rPr>
        <w:t xml:space="preserve">31.1提出质疑的供应商应当是参与所质疑项目采购活动的供应商。潜在供应商依法获取其可质疑的采购文件的，可以对采购文件提出质疑。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参加投标供应商认为招标文件、采购过程和中标结果使自己的权益受到损害的，可以在知道或应知其权益受到损害之日起七个工作日内，以书面形式根据下述31.9规定向采购人一次性提出针对同一采购程序环节的质疑，供应商如在法定期限内对同一采购程序环节提出多次质疑的，采购中心、采购人将只对供应商第一次质疑作出答复。上述应知其权益受到损害之日，是指：</w:t>
      </w:r>
      <w:r/>
    </w:p>
    <w:p>
      <w:pPr>
        <w:ind w:firstLine="480"/>
        <w:spacing w:line="480" w:lineRule="exact"/>
        <w:rPr>
          <w:rFonts w:ascii="宋体" w:hAnsi="宋体" w:cs="宋体"/>
          <w:sz w:val="24"/>
          <w:szCs w:val="24"/>
        </w:rPr>
      </w:pPr>
      <w:r>
        <w:rPr>
          <w:rFonts w:hint="eastAsia" w:ascii="宋体" w:hAnsi="宋体"/>
          <w:sz w:val="24"/>
          <w:szCs w:val="24"/>
        </w:rPr>
        <w:t xml:space="preserve">31.1.1</w:t>
      </w:r>
      <w:r>
        <w:rPr>
          <w:rFonts w:hint="eastAsia" w:ascii="宋体" w:hAnsi="宋体" w:cs="宋体"/>
          <w:sz w:val="24"/>
          <w:szCs w:val="24"/>
        </w:rPr>
        <w:t xml:space="preserve">对可以质疑的招标文件提出质疑的，为收到招标文件之日或者招标文件公告期限届满之日；</w:t>
      </w:r>
      <w:r/>
    </w:p>
    <w:p>
      <w:pPr>
        <w:ind w:firstLine="480"/>
        <w:spacing w:line="480" w:lineRule="exact"/>
        <w:rPr>
          <w:rFonts w:ascii="宋体" w:hAnsi="宋体" w:cs="宋体"/>
          <w:sz w:val="24"/>
          <w:szCs w:val="24"/>
        </w:rPr>
      </w:pPr>
      <w:r>
        <w:rPr>
          <w:rFonts w:hint="eastAsia" w:ascii="宋体" w:hAnsi="宋体"/>
          <w:sz w:val="24"/>
          <w:szCs w:val="24"/>
        </w:rPr>
        <w:t xml:space="preserve">31.1.2</w:t>
      </w:r>
      <w:r>
        <w:rPr>
          <w:rFonts w:hint="eastAsia" w:ascii="宋体" w:hAnsi="宋体" w:cs="宋体"/>
          <w:sz w:val="24"/>
          <w:szCs w:val="24"/>
        </w:rPr>
        <w:t xml:space="preserve">对采购过程提出质疑的，为各采购程序环节结束之日；</w:t>
      </w:r>
      <w:r/>
    </w:p>
    <w:p>
      <w:pPr>
        <w:ind w:firstLine="480"/>
        <w:spacing w:line="480" w:lineRule="exact"/>
        <w:rPr>
          <w:rFonts w:ascii="宋体" w:hAnsi="宋体"/>
          <w:sz w:val="24"/>
          <w:szCs w:val="24"/>
        </w:rPr>
      </w:pPr>
      <w:r>
        <w:rPr>
          <w:rFonts w:hint="eastAsia" w:ascii="宋体" w:hAnsi="宋体"/>
          <w:sz w:val="24"/>
          <w:szCs w:val="24"/>
        </w:rPr>
        <w:t xml:space="preserve">31.1.3</w:t>
      </w:r>
      <w:r>
        <w:rPr>
          <w:rFonts w:hint="eastAsia" w:ascii="宋体" w:hAnsi="宋体" w:cs="宋体"/>
          <w:sz w:val="24"/>
          <w:szCs w:val="24"/>
        </w:rPr>
        <w:t xml:space="preserve">对中标结果提出质疑的，为中标结果公告期限届满之日。</w:t>
      </w:r>
      <w:r/>
    </w:p>
    <w:p>
      <w:pPr>
        <w:ind w:firstLine="480"/>
        <w:spacing w:line="480" w:lineRule="exact"/>
        <w:rPr>
          <w:rFonts w:ascii="宋体" w:hAnsi="宋体"/>
          <w:sz w:val="24"/>
          <w:szCs w:val="24"/>
        </w:rPr>
      </w:pPr>
      <w:r>
        <w:rPr>
          <w:rFonts w:hint="eastAsia" w:ascii="宋体" w:hAnsi="宋体"/>
          <w:sz w:val="24"/>
          <w:szCs w:val="24"/>
        </w:rPr>
        <w:t xml:space="preserve">31.2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sz w:val="24"/>
          <w:szCs w:val="24"/>
        </w:rPr>
      </w:pPr>
      <w:r>
        <w:rPr>
          <w:rFonts w:hint="eastAsia" w:ascii="宋体" w:hAnsi="宋体"/>
          <w:sz w:val="24"/>
          <w:szCs w:val="24"/>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ind w:firstLine="480"/>
        <w:spacing w:line="480" w:lineRule="exact"/>
        <w:rPr>
          <w:rFonts w:ascii="宋体" w:hAnsi="宋体"/>
          <w:sz w:val="24"/>
          <w:szCs w:val="24"/>
        </w:rPr>
      </w:pPr>
      <w:r>
        <w:rPr>
          <w:rFonts w:hint="eastAsia" w:ascii="宋体" w:hAnsi="宋体"/>
          <w:sz w:val="24"/>
          <w:szCs w:val="24"/>
        </w:rPr>
        <w:t xml:space="preserve">采购人及采购中心只接收以纸质原件形式送达的质疑,采购人和采购中心不接受未填写快递运单的快件。质疑接收部门为盐城市大丰区公共资源交易中心业务受理处。</w:t>
      </w:r>
      <w:r/>
    </w:p>
    <w:p>
      <w:pPr>
        <w:ind w:firstLine="480"/>
        <w:spacing w:line="480" w:lineRule="exact"/>
        <w:rPr>
          <w:rFonts w:ascii="宋体" w:hAnsi="宋体"/>
          <w:sz w:val="24"/>
          <w:szCs w:val="24"/>
        </w:rPr>
      </w:pPr>
      <w:r>
        <w:rPr>
          <w:rFonts w:hint="eastAsia" w:ascii="宋体" w:hAnsi="宋体"/>
          <w:sz w:val="24"/>
          <w:szCs w:val="24"/>
        </w:rPr>
        <w:t xml:space="preserve">31.3以下情形的质疑不予受理</w:t>
      </w:r>
      <w:r/>
    </w:p>
    <w:p>
      <w:pPr>
        <w:ind w:firstLine="480"/>
        <w:spacing w:line="480" w:lineRule="exact"/>
        <w:rPr>
          <w:rFonts w:ascii="宋体" w:hAnsi="宋体"/>
          <w:sz w:val="24"/>
          <w:szCs w:val="24"/>
        </w:rPr>
      </w:pPr>
      <w:r>
        <w:rPr>
          <w:rFonts w:ascii="宋体" w:hAnsi="宋体"/>
          <w:sz w:val="24"/>
          <w:szCs w:val="24"/>
        </w:rPr>
        <w:t xml:space="preserve">31.3</w:t>
      </w:r>
      <w:r>
        <w:rPr>
          <w:rFonts w:hint="eastAsia" w:ascii="宋体" w:hAnsi="宋体"/>
          <w:sz w:val="24"/>
          <w:szCs w:val="24"/>
        </w:rPr>
        <w:t xml:space="preserve">.1 内容不符合《政府采购质疑和投诉办法》第十二条规定的质疑。</w:t>
      </w:r>
      <w:r/>
    </w:p>
    <w:p>
      <w:pPr>
        <w:ind w:firstLine="480"/>
        <w:spacing w:line="480" w:lineRule="exact"/>
        <w:rPr>
          <w:rFonts w:ascii="宋体" w:hAnsi="宋体"/>
          <w:sz w:val="24"/>
          <w:szCs w:val="24"/>
        </w:rPr>
      </w:pPr>
      <w:r>
        <w:rPr>
          <w:rFonts w:ascii="宋体" w:hAnsi="宋体"/>
          <w:sz w:val="24"/>
          <w:szCs w:val="24"/>
        </w:rPr>
        <w:t xml:space="preserve">31.3</w:t>
      </w:r>
      <w:r>
        <w:rPr>
          <w:rFonts w:hint="eastAsia" w:ascii="宋体" w:hAnsi="宋体"/>
          <w:sz w:val="24"/>
          <w:szCs w:val="24"/>
        </w:rPr>
        <w:t xml:space="preserve">.2 超出政府采购法定期限的质疑。</w:t>
      </w:r>
      <w:r/>
    </w:p>
    <w:p>
      <w:pPr>
        <w:ind w:firstLine="480"/>
        <w:spacing w:line="480" w:lineRule="exact"/>
        <w:rPr>
          <w:rFonts w:ascii="宋体" w:hAnsi="宋体"/>
          <w:sz w:val="24"/>
          <w:szCs w:val="24"/>
        </w:rPr>
      </w:pPr>
      <w:r>
        <w:rPr>
          <w:rFonts w:ascii="宋体" w:hAnsi="宋体"/>
          <w:sz w:val="24"/>
          <w:szCs w:val="24"/>
        </w:rPr>
        <w:t xml:space="preserve">31.3</w:t>
      </w:r>
      <w:r>
        <w:rPr>
          <w:rFonts w:hint="eastAsia" w:ascii="宋体" w:hAnsi="宋体"/>
          <w:sz w:val="24"/>
          <w:szCs w:val="24"/>
        </w:rPr>
        <w:t xml:space="preserve">.3 以传真、电子邮件等方式递交的非原件形式的质疑。</w:t>
      </w:r>
      <w:r/>
    </w:p>
    <w:p>
      <w:pPr>
        <w:ind w:firstLine="480"/>
        <w:spacing w:line="480" w:lineRule="exact"/>
        <w:rPr>
          <w:rFonts w:ascii="宋体" w:hAnsi="宋体"/>
          <w:sz w:val="24"/>
          <w:szCs w:val="24"/>
        </w:rPr>
      </w:pPr>
      <w:r>
        <w:rPr>
          <w:rFonts w:ascii="宋体" w:hAnsi="宋体"/>
          <w:sz w:val="24"/>
          <w:szCs w:val="24"/>
        </w:rPr>
        <w:t xml:space="preserve">31.3</w:t>
      </w:r>
      <w:r>
        <w:rPr>
          <w:rFonts w:hint="eastAsia" w:ascii="宋体" w:hAnsi="宋体"/>
          <w:sz w:val="24"/>
          <w:szCs w:val="24"/>
        </w:rPr>
        <w:t xml:space="preserve">.4 未参加投标活动的供应商或在投标活动中自身权益未受到损害的供应商所提出的质疑。</w:t>
      </w:r>
      <w:r/>
    </w:p>
    <w:p>
      <w:pPr>
        <w:ind w:firstLine="480"/>
        <w:spacing w:line="480" w:lineRule="exact"/>
        <w:rPr>
          <w:rFonts w:ascii="宋体" w:hAnsi="宋体"/>
          <w:sz w:val="24"/>
          <w:szCs w:val="24"/>
        </w:rPr>
      </w:pPr>
      <w:r>
        <w:rPr>
          <w:rFonts w:ascii="宋体" w:hAnsi="宋体"/>
          <w:sz w:val="24"/>
          <w:szCs w:val="24"/>
        </w:rPr>
        <w:t xml:space="preserve">31.3</w:t>
      </w:r>
      <w:r>
        <w:rPr>
          <w:rFonts w:hint="eastAsia" w:ascii="宋体" w:hAnsi="宋体"/>
          <w:sz w:val="24"/>
          <w:szCs w:val="24"/>
        </w:rPr>
        <w:t xml:space="preserve">.5供应商组成联合体参加投标，联合体中任何一方或多方未按要求签字、盖章、加盖公章的质疑。</w:t>
      </w:r>
      <w:r/>
    </w:p>
    <w:p>
      <w:pPr>
        <w:ind w:firstLine="480"/>
        <w:spacing w:line="480" w:lineRule="exact"/>
        <w:rPr>
          <w:rFonts w:ascii="宋体" w:hAnsi="宋体"/>
          <w:sz w:val="24"/>
          <w:szCs w:val="24"/>
        </w:rPr>
      </w:pPr>
      <w:r>
        <w:rPr>
          <w:rFonts w:hint="eastAsia" w:ascii="宋体" w:hAnsi="宋体"/>
          <w:sz w:val="24"/>
          <w:szCs w:val="24"/>
        </w:rPr>
        <w:t xml:space="preserve">31.4质疑函应当包括下列内容：</w:t>
      </w:r>
      <w:r/>
    </w:p>
    <w:p>
      <w:pPr>
        <w:ind w:firstLine="480"/>
        <w:spacing w:line="480" w:lineRule="exact"/>
        <w:rPr>
          <w:rFonts w:ascii="宋体" w:hAnsi="宋体"/>
          <w:sz w:val="24"/>
          <w:szCs w:val="24"/>
        </w:rPr>
      </w:pPr>
      <w:r>
        <w:rPr>
          <w:rFonts w:hint="eastAsia" w:ascii="宋体" w:hAnsi="宋体"/>
          <w:sz w:val="24"/>
          <w:szCs w:val="24"/>
        </w:rPr>
        <w:t xml:space="preserve">31.4.1质疑投标人的名称、地址、邮编、联系人、联系电话；</w:t>
      </w:r>
      <w:r/>
    </w:p>
    <w:p>
      <w:pPr>
        <w:ind w:firstLine="480"/>
        <w:spacing w:line="480" w:lineRule="exact"/>
        <w:rPr>
          <w:rFonts w:ascii="宋体" w:hAnsi="宋体"/>
          <w:sz w:val="24"/>
          <w:szCs w:val="24"/>
        </w:rPr>
      </w:pPr>
      <w:r>
        <w:rPr>
          <w:rFonts w:hint="eastAsia" w:ascii="宋体" w:hAnsi="宋体"/>
          <w:sz w:val="24"/>
          <w:szCs w:val="24"/>
        </w:rPr>
        <w:t xml:space="preserve">31.4.2具体的质疑事项及明确的请求；</w:t>
      </w:r>
      <w:r/>
    </w:p>
    <w:p>
      <w:pPr>
        <w:ind w:firstLine="480"/>
        <w:spacing w:line="480" w:lineRule="exact"/>
        <w:rPr>
          <w:rFonts w:ascii="宋体" w:hAnsi="宋体"/>
          <w:sz w:val="24"/>
          <w:szCs w:val="24"/>
        </w:rPr>
      </w:pPr>
      <w:r>
        <w:rPr>
          <w:rFonts w:hint="eastAsia" w:ascii="宋体" w:hAnsi="宋体"/>
          <w:sz w:val="24"/>
          <w:szCs w:val="24"/>
        </w:rPr>
        <w:t xml:space="preserve">31.4.3认为自己合法权益受到损害或可能受到损害的相关证据材料；</w:t>
      </w:r>
      <w:r/>
    </w:p>
    <w:p>
      <w:pPr>
        <w:ind w:firstLine="480"/>
        <w:spacing w:line="480" w:lineRule="exact"/>
        <w:rPr>
          <w:rFonts w:ascii="宋体" w:hAnsi="宋体"/>
          <w:sz w:val="24"/>
          <w:szCs w:val="24"/>
        </w:rPr>
      </w:pPr>
      <w:r>
        <w:rPr>
          <w:rFonts w:hint="eastAsia" w:ascii="宋体" w:hAnsi="宋体"/>
          <w:sz w:val="24"/>
          <w:szCs w:val="24"/>
        </w:rPr>
        <w:t xml:space="preserve">31.4.4提起质疑的日期；</w:t>
      </w:r>
      <w:r/>
    </w:p>
    <w:p>
      <w:pPr>
        <w:ind w:firstLine="480"/>
        <w:spacing w:line="480" w:lineRule="exact"/>
        <w:rPr>
          <w:rFonts w:ascii="宋体" w:hAnsi="宋体"/>
          <w:sz w:val="24"/>
          <w:szCs w:val="24"/>
        </w:rPr>
      </w:pPr>
      <w:r>
        <w:rPr>
          <w:rFonts w:hint="eastAsia" w:ascii="宋体" w:hAnsi="宋体"/>
          <w:sz w:val="24"/>
          <w:szCs w:val="24"/>
        </w:rPr>
        <w:t xml:space="preserve">31.4.5质疑函应当署名：质疑人为自然人的，应当由本人签字并附有效身份证明；质疑人为法人或其他组织的，应当由法定代表人（或负责人）签字并加盖单位公章。（质疑人为联合体的，则联合体各方法定代表人（或负责人）均须签字并加盖单位公章），未按要求签字和盖章的为无效质疑，采购人不予受理。质疑人委托代理质疑的，应当向采购人交授权委托书，并载明委托代理的具体权限和事项。</w:t>
      </w:r>
      <w:r/>
    </w:p>
    <w:p>
      <w:pPr>
        <w:ind w:firstLine="480"/>
        <w:spacing w:line="480" w:lineRule="exact"/>
        <w:rPr>
          <w:rFonts w:ascii="宋体" w:hAnsi="宋体"/>
          <w:sz w:val="24"/>
          <w:szCs w:val="24"/>
        </w:rPr>
      </w:pPr>
      <w:r>
        <w:rPr>
          <w:rFonts w:hint="eastAsia" w:ascii="宋体" w:hAnsi="宋体"/>
          <w:sz w:val="24"/>
          <w:szCs w:val="24"/>
        </w:rPr>
        <w:t xml:space="preserve">31.5采购人收到质疑函后，将对质疑的形式和内容进行审查，如质疑函内容、格式不符合规定，采购人将告知质疑人进行补正。</w:t>
      </w:r>
      <w:r/>
    </w:p>
    <w:p>
      <w:pPr>
        <w:ind w:firstLine="480"/>
        <w:spacing w:line="480" w:lineRule="exact"/>
        <w:rPr>
          <w:rFonts w:ascii="宋体" w:hAnsi="宋体"/>
          <w:sz w:val="24"/>
          <w:szCs w:val="24"/>
        </w:rPr>
      </w:pPr>
      <w:r>
        <w:rPr>
          <w:rFonts w:hint="eastAsia" w:ascii="宋体" w:hAnsi="宋体"/>
          <w:sz w:val="24"/>
          <w:szCs w:val="24"/>
        </w:rPr>
        <w:t xml:space="preserve">31.6质疑人应当在法定质疑期限内进行补正并重新提交质疑函，拒不补正或者在法定期限内未重新提交质疑函的，为无效质疑，采购人将不予受理。</w:t>
      </w:r>
      <w:r/>
    </w:p>
    <w:p>
      <w:pPr>
        <w:ind w:firstLine="480"/>
        <w:spacing w:line="480" w:lineRule="exact"/>
        <w:rPr>
          <w:rFonts w:ascii="宋体" w:hAnsi="宋体"/>
          <w:sz w:val="24"/>
          <w:szCs w:val="24"/>
        </w:rPr>
      </w:pPr>
      <w:r>
        <w:rPr>
          <w:rFonts w:hint="eastAsia" w:ascii="宋体" w:hAnsi="宋体"/>
          <w:sz w:val="24"/>
          <w:szCs w:val="24"/>
        </w:rPr>
        <w:t xml:space="preserve">31.7对于内容、格式符合规定的质疑函，采购人应当在收到投标供应商的书面质疑后七个工作日内作出答复，并以书面形式通知质疑供应商和其他有关供应商，但答复的内容不得涉及商业秘密。</w:t>
      </w:r>
      <w:r/>
    </w:p>
    <w:p>
      <w:pPr>
        <w:ind w:firstLine="480"/>
        <w:spacing w:line="480" w:lineRule="exact"/>
        <w:rPr>
          <w:rFonts w:ascii="宋体" w:hAnsi="宋体"/>
          <w:sz w:val="24"/>
          <w:szCs w:val="24"/>
        </w:rPr>
      </w:pPr>
      <w:r>
        <w:rPr>
          <w:rFonts w:hint="eastAsia" w:ascii="宋体" w:hAnsi="宋体"/>
          <w:sz w:val="24"/>
          <w:szCs w:val="24"/>
        </w:rPr>
        <w:t xml:space="preserve">31.8供应商提出书面质疑必须有理、有据，不得恶意质疑或提交虚假质疑。否则，一经查实，采购人有权依据政府采购的有关规定，报请政府采购监管部门对该投标人进行相应的行政处罚，并扣减其诚信记录分。</w:t>
      </w:r>
      <w:r/>
    </w:p>
    <w:p>
      <w:pPr>
        <w:ind w:firstLine="482"/>
        <w:spacing w:line="480" w:lineRule="exact"/>
        <w:rPr>
          <w:rFonts w:ascii="宋体" w:hAnsi="宋体"/>
          <w:b/>
          <w:sz w:val="24"/>
          <w:szCs w:val="24"/>
        </w:rPr>
      </w:pPr>
      <w:r>
        <w:rPr>
          <w:rFonts w:hint="eastAsia" w:ascii="宋体" w:hAnsi="宋体"/>
          <w:b/>
          <w:sz w:val="24"/>
          <w:szCs w:val="24"/>
        </w:rPr>
        <w:t xml:space="preserve">31.9供应商（含潜在供应商）对采购方式、项目需求、供应商资格条件及审查结果、评标方法和评标标准、合同文本的询问、质疑请向采购人提出，由采购人负责答复。</w:t>
      </w:r>
      <w:r/>
    </w:p>
    <w:p>
      <w:pPr>
        <w:ind w:firstLine="482"/>
        <w:spacing w:line="480" w:lineRule="exact"/>
        <w:rPr>
          <w:rFonts w:ascii="宋体" w:hAnsi="宋体"/>
          <w:b/>
          <w:sz w:val="24"/>
          <w:szCs w:val="24"/>
        </w:rPr>
      </w:pPr>
      <w:r>
        <w:rPr>
          <w:rFonts w:hint="eastAsia" w:ascii="宋体" w:hAnsi="宋体"/>
          <w:b/>
          <w:sz w:val="24"/>
          <w:szCs w:val="24"/>
        </w:rPr>
        <w:t xml:space="preserve">31.10 投诉：质疑供应商对采购人、采购代理机构的答复不满意的，或者采购人、采购代理机构未在规定时间内作出答复的，可以在答复期满后15个工作日内向上级主管部门提起投诉。提起投诉应当符合财政部令第94号《政府采购质疑和投诉办法》相关规定。</w:t>
      </w:r>
      <w:r/>
    </w:p>
    <w:p>
      <w:pPr>
        <w:pStyle w:val="998"/>
        <w:ind w:firstLine="480"/>
        <w:spacing w:before="0" w:after="0" w:line="480" w:lineRule="exact"/>
        <w:rPr>
          <w:rFonts w:ascii="宋体" w:hAnsi="宋体" w:eastAsia="宋体"/>
          <w:b w:val="0"/>
          <w:sz w:val="24"/>
          <w:szCs w:val="24"/>
        </w:rPr>
      </w:pPr>
      <w:r>
        <w:rPr>
          <w:rFonts w:hint="eastAsia" w:ascii="宋体" w:hAnsi="宋体" w:eastAsia="宋体"/>
          <w:b w:val="0"/>
          <w:sz w:val="24"/>
          <w:szCs w:val="24"/>
        </w:rPr>
        <w:t xml:space="preserve">32、中标通知书</w:t>
      </w:r>
      <w:r/>
    </w:p>
    <w:p>
      <w:pPr>
        <w:ind w:firstLine="480"/>
        <w:spacing w:line="480" w:lineRule="exact"/>
        <w:rPr>
          <w:rFonts w:ascii="宋体" w:hAnsi="宋体"/>
          <w:sz w:val="24"/>
          <w:szCs w:val="24"/>
        </w:rPr>
      </w:pPr>
      <w:r>
        <w:rPr>
          <w:rFonts w:hint="eastAsia" w:ascii="宋体" w:hAnsi="宋体"/>
          <w:sz w:val="24"/>
          <w:szCs w:val="24"/>
        </w:rPr>
        <w:t xml:space="preserve">32.l中标结果确定后，采购人将向中标供应商发出中标通知书。</w:t>
      </w:r>
      <w:r/>
    </w:p>
    <w:p>
      <w:pPr>
        <w:ind w:firstLine="480"/>
        <w:spacing w:line="480" w:lineRule="exact"/>
        <w:rPr>
          <w:rFonts w:ascii="宋体" w:hAnsi="宋体"/>
          <w:sz w:val="24"/>
          <w:szCs w:val="24"/>
        </w:rPr>
      </w:pPr>
      <w:r>
        <w:rPr>
          <w:rFonts w:hint="eastAsia" w:ascii="宋体" w:hAnsi="宋体"/>
          <w:sz w:val="24"/>
          <w:szCs w:val="24"/>
        </w:rPr>
        <w:t xml:space="preserve">32.2中标通知书将是合同的一个组成部分。对采购人和中标人均具有法律效力。中标通知书发出后，采购人改变中标结果的，或者中标人放弃中标项目的，应当依法承担法律责任。</w:t>
      </w:r>
      <w:r/>
    </w:p>
    <w:p>
      <w:pPr>
        <w:pStyle w:val="997"/>
        <w:ind w:firstLine="482"/>
        <w:spacing w:before="0" w:after="0" w:line="480" w:lineRule="exact"/>
        <w:rPr>
          <w:rFonts w:ascii="宋体" w:hAnsi="宋体" w:eastAsia="宋体"/>
          <w:sz w:val="24"/>
          <w:szCs w:val="24"/>
        </w:rPr>
      </w:pPr>
      <w:r>
        <w:rPr>
          <w:rFonts w:hint="eastAsia" w:ascii="宋体" w:hAnsi="宋体" w:eastAsia="宋体"/>
          <w:sz w:val="24"/>
          <w:szCs w:val="24"/>
        </w:rPr>
        <w:t xml:space="preserve">七、合同签订相关事项</w:t>
      </w:r>
      <w:r/>
    </w:p>
    <w:p>
      <w:pPr>
        <w:pStyle w:val="998"/>
        <w:ind w:firstLine="480"/>
        <w:spacing w:before="0" w:after="0" w:line="480" w:lineRule="exact"/>
        <w:rPr>
          <w:rFonts w:ascii="宋体" w:hAnsi="宋体" w:eastAsia="宋体"/>
          <w:b w:val="0"/>
          <w:sz w:val="24"/>
          <w:szCs w:val="24"/>
        </w:rPr>
      </w:pPr>
      <w:r>
        <w:rPr>
          <w:rFonts w:hint="eastAsia" w:ascii="宋体" w:hAnsi="宋体" w:eastAsia="宋体"/>
          <w:b w:val="0"/>
          <w:sz w:val="24"/>
          <w:szCs w:val="24"/>
        </w:rPr>
        <w:t xml:space="preserve">33、签订合同</w:t>
      </w:r>
      <w:r/>
    </w:p>
    <w:p>
      <w:pPr>
        <w:ind w:firstLine="480"/>
        <w:spacing w:line="480" w:lineRule="exact"/>
        <w:rPr>
          <w:rFonts w:ascii="宋体" w:hAnsi="宋体"/>
          <w:sz w:val="24"/>
          <w:szCs w:val="24"/>
        </w:rPr>
      </w:pPr>
      <w:r>
        <w:rPr>
          <w:rFonts w:hint="eastAsia" w:ascii="宋体" w:hAnsi="宋体"/>
          <w:bCs/>
          <w:sz w:val="24"/>
          <w:szCs w:val="24"/>
        </w:rPr>
        <w:t xml:space="preserve">33.l</w:t>
      </w:r>
      <w:r>
        <w:rPr>
          <w:rFonts w:hint="eastAsia" w:ascii="宋体" w:hAnsi="宋体"/>
          <w:sz w:val="24"/>
          <w:szCs w:val="24"/>
        </w:rPr>
        <w:t xml:space="preserve">中标人应按中标通知书规定的时间、地点,按照招标文件确定的事项与采购人签订政府采购合同，且不得迟于中标通知书发出之日起三十日，由此给采购人造成损失的，中标人还应承担赔偿责任。</w:t>
      </w:r>
      <w:r/>
    </w:p>
    <w:p>
      <w:pPr>
        <w:ind w:firstLine="480"/>
        <w:spacing w:line="480" w:lineRule="exact"/>
        <w:rPr>
          <w:rFonts w:ascii="宋体" w:hAnsi="宋体"/>
          <w:sz w:val="24"/>
          <w:szCs w:val="24"/>
        </w:rPr>
      </w:pPr>
      <w:r>
        <w:rPr>
          <w:rFonts w:hint="eastAsia" w:ascii="宋体" w:hAnsi="宋体"/>
          <w:sz w:val="24"/>
          <w:szCs w:val="24"/>
        </w:rPr>
        <w:t xml:space="preserve">33.2招标文件、中标人的投标文件及招标过程中有关澄清、承诺文件均应作为合同附件。</w:t>
      </w:r>
      <w:r/>
    </w:p>
    <w:p>
      <w:pPr>
        <w:ind w:firstLine="480"/>
        <w:spacing w:line="480" w:lineRule="exact"/>
        <w:rPr>
          <w:rFonts w:ascii="宋体" w:hAnsi="宋体"/>
          <w:sz w:val="24"/>
          <w:szCs w:val="24"/>
        </w:rPr>
      </w:pPr>
      <w:r>
        <w:rPr>
          <w:rFonts w:hint="eastAsia" w:ascii="宋体" w:hAnsi="宋体"/>
          <w:sz w:val="24"/>
          <w:szCs w:val="24"/>
        </w:rPr>
        <w:t xml:space="preserve">33.3 签订合同后，中标人不得将相关服务进行转包。未经采购人同意，中标人也不得采用分包的形式履行合同，否则采购人有权终止合同，中标人的履约保证金将不予退还。转包或分包造成采购人损失的，中标人应承担相应赔偿责任。</w:t>
      </w:r>
      <w:r/>
    </w:p>
    <w:p>
      <w:pPr>
        <w:ind w:firstLine="482"/>
        <w:spacing w:line="480" w:lineRule="exact"/>
        <w:rPr>
          <w:rFonts w:ascii="宋体" w:hAnsi="宋体"/>
          <w:sz w:val="24"/>
          <w:szCs w:val="24"/>
        </w:rPr>
      </w:pPr>
      <w:r>
        <w:rPr>
          <w:rFonts w:hint="eastAsia" w:ascii="宋体" w:hAnsi="宋体"/>
          <w:b/>
          <w:bCs/>
          <w:sz w:val="24"/>
          <w:szCs w:val="24"/>
        </w:rPr>
        <w:t xml:space="preserve">33.4中标或者成交后无正当理由拒不与采购人签订政府采购合同的，将被列入不良行为记录名单，在一至三年内禁止参加政府采购活动。</w:t>
      </w:r>
      <w:r/>
    </w:p>
    <w:p>
      <w:pPr>
        <w:pStyle w:val="998"/>
        <w:ind w:firstLine="480"/>
        <w:spacing w:before="0" w:after="0" w:line="480" w:lineRule="exact"/>
        <w:rPr>
          <w:rFonts w:ascii="宋体" w:hAnsi="宋体" w:eastAsia="宋体"/>
          <w:b w:val="0"/>
          <w:sz w:val="24"/>
          <w:szCs w:val="24"/>
        </w:rPr>
      </w:pPr>
      <w:r>
        <w:rPr>
          <w:rFonts w:hint="eastAsia" w:ascii="宋体" w:hAnsi="宋体" w:eastAsia="宋体"/>
          <w:b w:val="0"/>
          <w:sz w:val="24"/>
          <w:szCs w:val="24"/>
        </w:rPr>
        <w:t xml:space="preserve">34、服务的追加、减少和添购。</w:t>
      </w:r>
      <w:r/>
    </w:p>
    <w:p>
      <w:pPr>
        <w:ind w:firstLine="480"/>
        <w:spacing w:line="480" w:lineRule="exact"/>
        <w:rPr>
          <w:rFonts w:ascii="宋体" w:hAnsi="宋体"/>
          <w:sz w:val="24"/>
          <w:szCs w:val="24"/>
        </w:rPr>
      </w:pPr>
      <w:r>
        <w:rPr>
          <w:rFonts w:hint="eastAsia" w:ascii="宋体" w:hAnsi="宋体"/>
          <w:sz w:val="24"/>
          <w:szCs w:val="24"/>
        </w:rPr>
        <w:t xml:space="preserve">34.1政府采购合同履行中，采购人需追加与合同标的相同的服务的，在不改变合同其他条款的前提下，可以与中标人协商签订补充合同，但所有补充合同的采购金额不超过原合同金额10%。</w:t>
      </w:r>
      <w:r/>
    </w:p>
    <w:p>
      <w:pPr>
        <w:ind w:firstLine="480"/>
        <w:spacing w:line="480" w:lineRule="exact"/>
        <w:rPr>
          <w:rFonts w:ascii="宋体" w:hAnsi="宋体"/>
          <w:b/>
          <w:sz w:val="24"/>
          <w:szCs w:val="24"/>
        </w:rPr>
      </w:pPr>
      <w:r>
        <w:rPr>
          <w:rFonts w:hint="eastAsia" w:ascii="宋体" w:hAnsi="宋体"/>
          <w:sz w:val="24"/>
          <w:szCs w:val="24"/>
        </w:rPr>
        <w:t xml:space="preserve">34.2采购结束后，采购人若由于各种客观原因，必须对采购项目所牵涉的服务进行适当的减少时，在双方协商一致的前提下，可以按照招标采购时的价格水平做相应的调减，并据此签订补充合同。</w:t>
      </w:r>
      <w:r/>
    </w:p>
    <w:p>
      <w:pPr>
        <w:ind w:firstLine="480"/>
        <w:spacing w:line="480" w:lineRule="exact"/>
        <w:tabs>
          <w:tab w:val="left" w:pos="900" w:leader="none"/>
        </w:tabs>
        <w:rPr>
          <w:rFonts w:ascii="宋体" w:hAnsi="宋体"/>
          <w:bCs/>
          <w:sz w:val="24"/>
          <w:szCs w:val="24"/>
        </w:rPr>
      </w:pPr>
      <w:r>
        <w:rPr>
          <w:rFonts w:hint="eastAsia" w:ascii="宋体" w:hAnsi="宋体"/>
          <w:bCs/>
          <w:sz w:val="24"/>
          <w:szCs w:val="24"/>
        </w:rPr>
        <w:t xml:space="preserve">35、履约保证金</w:t>
      </w:r>
      <w:r/>
    </w:p>
    <w:p>
      <w:pPr>
        <w:ind w:firstLine="480"/>
        <w:spacing w:line="480" w:lineRule="exact"/>
        <w:rPr>
          <w:rFonts w:ascii="宋体" w:hAnsi="宋体"/>
          <w:sz w:val="24"/>
          <w:szCs w:val="24"/>
        </w:rPr>
      </w:pPr>
      <w:r>
        <w:rPr>
          <w:rFonts w:hint="eastAsia" w:ascii="宋体" w:hAnsi="宋体"/>
          <w:sz w:val="24"/>
          <w:szCs w:val="24"/>
        </w:rPr>
        <w:t xml:space="preserve">在签订合同时，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80" w:lineRule="exact"/>
        <w:rPr>
          <w:rFonts w:ascii="宋体" w:hAnsi="宋体"/>
          <w:sz w:val="24"/>
          <w:szCs w:val="24"/>
        </w:rPr>
      </w:pPr>
      <w:r>
        <w:rPr>
          <w:rFonts w:hint="eastAsia" w:ascii="宋体" w:hAnsi="宋体"/>
          <w:sz w:val="24"/>
          <w:szCs w:val="24"/>
        </w:rPr>
        <w:t xml:space="preserve"> 如以履约保函（保险）形式缴纳履约保证金，供应商可通过政府采购电子履约保函（保险）平台（www.jsdzbh.com）在线申请履约保函（保险）。</w:t>
      </w:r>
      <w:r/>
    </w:p>
    <w:p>
      <w:pPr>
        <w:ind w:firstLine="480"/>
        <w:spacing w:line="480" w:lineRule="exact"/>
        <w:rPr>
          <w:rFonts w:ascii="宋体" w:hAnsi="宋体"/>
          <w:sz w:val="24"/>
          <w:szCs w:val="24"/>
        </w:rPr>
      </w:pPr>
      <w:r>
        <w:rPr>
          <w:rFonts w:hint="eastAsia" w:ascii="宋体" w:hAnsi="宋体"/>
          <w:sz w:val="24"/>
          <w:szCs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部门备案的第三方信用报告，且信用报告通过“信用盐城网”可查实），降低履约保证金缴</w:t>
      </w:r>
      <w:r>
        <w:rPr>
          <w:rFonts w:hint="eastAsia" w:ascii="宋体" w:hAnsi="宋体"/>
          <w:sz w:val="24"/>
          <w:szCs w:val="24"/>
        </w:rPr>
        <w:t xml:space="preserve">纳比例为5</w:t>
      </w:r>
      <w:r>
        <w:rPr>
          <w:rFonts w:ascii="宋体" w:hAnsi="宋体"/>
          <w:sz w:val="24"/>
          <w:szCs w:val="24"/>
        </w:rPr>
        <w:t xml:space="preserve">%</w:t>
      </w:r>
      <w:r>
        <w:rPr>
          <w:rFonts w:hint="eastAsia" w:ascii="宋体" w:hAnsi="宋体"/>
          <w:sz w:val="24"/>
          <w:szCs w:val="24"/>
        </w:rPr>
        <w:t xml:space="preserve">。</w:t>
      </w:r>
      <w:r/>
    </w:p>
    <w:p>
      <w:pPr>
        <w:pStyle w:val="1023"/>
        <w:ind w:firstLine="480"/>
        <w:spacing w:after="0" w:line="48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6</w:t>
      </w:r>
      <w:r>
        <w:rPr>
          <w:rFonts w:hint="eastAsia" w:ascii="宋体" w:hAnsi="宋体"/>
          <w:sz w:val="24"/>
          <w:szCs w:val="24"/>
        </w:rPr>
        <w:t xml:space="preserve">、其他</w:t>
      </w:r>
      <w:r/>
    </w:p>
    <w:p>
      <w:pPr>
        <w:pStyle w:val="1023"/>
        <w:ind w:firstLine="480"/>
        <w:spacing w:after="0" w:line="480" w:lineRule="exact"/>
        <w:rPr>
          <w:rFonts w:ascii="宋体" w:hAnsi="宋体" w:cs="宋体"/>
          <w:sz w:val="24"/>
          <w:szCs w:val="24"/>
        </w:rPr>
      </w:pPr>
      <w:r>
        <w:rPr>
          <w:rFonts w:hint="eastAsia" w:ascii="宋体" w:hAnsi="宋体" w:cs="宋体"/>
          <w:sz w:val="24"/>
          <w:szCs w:val="24"/>
        </w:rPr>
        <w:t xml:space="preserve">本项目落实预付款制度，预付款比例为30%。在签订合同时，中标、成交供应商明确书面表示无需预付款或者主动要求降低预付款比例的，采购人可就预付款比例作相应调整。</w:t>
      </w:r>
      <w:r/>
    </w:p>
    <w:p>
      <w:pPr>
        <w:pStyle w:val="1023"/>
        <w:ind w:firstLine="480"/>
        <w:spacing w:after="0" w:line="480" w:lineRule="exact"/>
        <w:rPr>
          <w:rFonts w:ascii="宋体" w:hAnsi="宋体"/>
          <w:sz w:val="24"/>
          <w:szCs w:val="24"/>
        </w:rPr>
      </w:pPr>
      <w:r>
        <w:rPr>
          <w:rFonts w:hint="eastAsia" w:ascii="宋体" w:hAnsi="宋体" w:cs="宋体"/>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ind w:right="-92"/>
      </w:pPr>
      <w:r/>
      <w:r/>
    </w:p>
    <w:p>
      <w:pPr>
        <w:pStyle w:val="995"/>
        <w:ind w:right="-92"/>
        <w:spacing w:line="360" w:lineRule="auto"/>
        <w:rPr>
          <w:rFonts w:ascii="黑体" w:hAnsi="Times New Roman" w:eastAsia="黑体"/>
          <w:bCs/>
          <w:sz w:val="44"/>
        </w:rPr>
      </w:pPr>
      <w:r>
        <w:rPr>
          <w:rFonts w:hint="eastAsia" w:ascii="黑体" w:hAnsi="Times New Roman" w:eastAsia="黑体"/>
          <w:bCs/>
          <w:sz w:val="44"/>
        </w:rPr>
        <w:br w:type="page" w:clear="all"/>
      </w:r>
      <w:r>
        <w:rPr>
          <w:rFonts w:hint="eastAsia" w:ascii="宋体" w:eastAsia="宋体"/>
          <w:b/>
          <w:bCs/>
          <w:sz w:val="44"/>
          <w:szCs w:val="44"/>
        </w:rPr>
        <w:t xml:space="preserve">第三章  合同条款及格式</w:t>
      </w:r>
      <w:r/>
    </w:p>
    <w:p>
      <w:r/>
      <w:r/>
    </w:p>
    <w:p>
      <w:pPr>
        <w:pStyle w:val="1014"/>
        <w:rPr>
          <w:u w:val="single"/>
        </w:rPr>
      </w:pPr>
      <w:r>
        <w:rPr>
          <w:rFonts w:hint="eastAsia"/>
        </w:rPr>
        <w:t xml:space="preserve">甲方：（买方）</w:t>
      </w:r>
      <w:r>
        <w:rPr>
          <w:rFonts w:hint="eastAsia"/>
          <w:u w:val="single"/>
        </w:rPr>
        <w:t xml:space="preserve"> </w:t>
      </w:r>
      <w:r>
        <w:rPr>
          <w:u w:val="single"/>
        </w:rPr>
        <w:t xml:space="preserve">             </w:t>
      </w:r>
      <w:r/>
    </w:p>
    <w:p>
      <w:pPr>
        <w:pStyle w:val="1014"/>
        <w:rPr>
          <w:i/>
          <w:u w:val="single"/>
        </w:rPr>
      </w:pPr>
      <w:r>
        <w:rPr>
          <w:rFonts w:hint="eastAsia"/>
        </w:rPr>
        <w:t xml:space="preserve">乙方：（卖方）</w:t>
      </w:r>
      <w:r>
        <w:rPr>
          <w:rFonts w:hint="eastAsia"/>
          <w:i/>
          <w:u w:val="single"/>
        </w:rPr>
        <w:t xml:space="preserve"> </w:t>
      </w:r>
      <w:r>
        <w:rPr>
          <w:i/>
          <w:u w:val="single"/>
        </w:rPr>
        <w:t xml:space="preserve">            </w:t>
      </w:r>
      <w:r>
        <w:rPr>
          <w:u w:val="single"/>
        </w:rPr>
        <w:t xml:space="preserve"> </w:t>
      </w:r>
      <w:r/>
    </w:p>
    <w:p>
      <w:pPr>
        <w:pStyle w:val="1014"/>
      </w:pPr>
      <w:r>
        <w:rPr>
          <w:rFonts w:hint="eastAsia"/>
        </w:rPr>
        <w:t xml:space="preserve">甲、乙双方根据</w:t>
      </w:r>
      <w:r>
        <w:rPr>
          <w:rFonts w:hint="eastAsia"/>
          <w:u w:val="single"/>
        </w:rPr>
        <w:t xml:space="preserve"> </w:t>
      </w:r>
      <w:r>
        <w:rPr>
          <w:u w:val="single"/>
        </w:rPr>
        <w:t xml:space="preserve">                   </w:t>
      </w:r>
      <w:r>
        <w:rPr>
          <w:rFonts w:hint="eastAsia"/>
        </w:rPr>
        <w:t xml:space="preserve">（项目名称）公开招标的中标结果及中标通知书，</w:t>
      </w:r>
      <w:r>
        <w:rPr>
          <w:rFonts w:hint="eastAsia" w:cs="宋体"/>
        </w:rPr>
        <w:t xml:space="preserve">经协商一致后</w:t>
      </w:r>
      <w:r>
        <w:rPr>
          <w:rFonts w:hint="eastAsia"/>
        </w:rPr>
        <w:t xml:space="preserve">签署本合同。</w:t>
      </w:r>
      <w:r/>
    </w:p>
    <w:p>
      <w:pPr>
        <w:pStyle w:val="1014"/>
      </w:pPr>
      <w:r>
        <w:rPr>
          <w:rFonts w:hint="eastAsia"/>
        </w:rPr>
        <w:t xml:space="preserve">一、采购内容</w:t>
      </w:r>
      <w:r/>
    </w:p>
    <w:p>
      <w:pPr>
        <w:ind w:firstLine="480"/>
        <w:spacing w:line="520" w:lineRule="exact"/>
        <w:rPr>
          <w:rFonts w:ascii="宋体" w:hAnsi="宋体"/>
          <w:sz w:val="24"/>
          <w:szCs w:val="24"/>
        </w:rPr>
      </w:pPr>
      <w:r>
        <w:rPr>
          <w:rFonts w:hint="eastAsia" w:ascii="宋体" w:hAnsi="宋体"/>
          <w:sz w:val="24"/>
          <w:szCs w:val="24"/>
        </w:rPr>
        <w:t xml:space="preserve">详见招标文件</w:t>
      </w:r>
      <w:r/>
    </w:p>
    <w:p>
      <w:pPr>
        <w:ind w:firstLine="482"/>
        <w:spacing w:line="520" w:lineRule="exact"/>
        <w:rPr>
          <w:rFonts w:ascii="宋体" w:hAnsi="宋体"/>
          <w:b/>
          <w:sz w:val="24"/>
          <w:szCs w:val="24"/>
        </w:rPr>
      </w:pPr>
      <w:r>
        <w:rPr>
          <w:rFonts w:hint="eastAsia" w:ascii="宋体" w:hAnsi="宋体"/>
          <w:b/>
          <w:sz w:val="24"/>
          <w:szCs w:val="24"/>
        </w:rPr>
        <w:t xml:space="preserve">二、合同金额</w:t>
      </w:r>
      <w:r/>
    </w:p>
    <w:p>
      <w:pPr>
        <w:ind w:firstLine="480"/>
        <w:spacing w:line="520" w:lineRule="exact"/>
        <w:rPr>
          <w:rFonts w:ascii="宋体" w:hAnsi="宋体" w:cs="宋体"/>
          <w:sz w:val="24"/>
          <w:szCs w:val="24"/>
        </w:rPr>
      </w:pPr>
      <w:r>
        <w:rPr>
          <w:rFonts w:hint="eastAsia" w:ascii="宋体" w:hAnsi="宋体"/>
          <w:sz w:val="24"/>
          <w:szCs w:val="24"/>
        </w:rPr>
        <w:t xml:space="preserve">本合同金额含税为（大写）：______________元（</w:t>
      </w:r>
      <w:r>
        <w:rPr>
          <w:rFonts w:ascii="宋体" w:hAnsi="宋体" w:cs="Arial"/>
          <w:sz w:val="24"/>
          <w:szCs w:val="24"/>
        </w:rPr>
        <w:t xml:space="preserve">¥</w:t>
      </w:r>
      <w:r>
        <w:rPr>
          <w:rFonts w:hint="eastAsia" w:ascii="宋体" w:hAnsi="宋体" w:cs="Arial"/>
          <w:sz w:val="24"/>
          <w:szCs w:val="24"/>
        </w:rPr>
        <w:t xml:space="preserve">：</w:t>
      </w:r>
      <w:r>
        <w:rPr>
          <w:rFonts w:hint="eastAsia" w:ascii="宋体" w:hAnsi="宋体"/>
          <w:sz w:val="24"/>
          <w:szCs w:val="24"/>
        </w:rPr>
        <w:t xml:space="preserve">_______元）人民币。</w:t>
      </w:r>
      <w:r>
        <w:rPr>
          <w:rFonts w:hint="eastAsia" w:ascii="宋体" w:hAnsi="宋体" w:cs="宋体"/>
          <w:sz w:val="24"/>
          <w:szCs w:val="24"/>
        </w:rPr>
        <w:t xml:space="preserve">乙方已充分考虑为完成上述全部招标内容并进行相关服务所必需的所有费用，各类风险和政策性调整等风险已包括在合同金额中，其一切风险均由乙方自行负责。</w:t>
      </w:r>
      <w:r/>
    </w:p>
    <w:p>
      <w:pPr>
        <w:pStyle w:val="1014"/>
        <w:rPr>
          <w:b/>
        </w:rPr>
      </w:pPr>
      <w:r>
        <w:rPr>
          <w:rFonts w:hint="eastAsia"/>
          <w:b/>
        </w:rPr>
        <w:t xml:space="preserve">三、技术资料</w:t>
      </w:r>
      <w:r/>
    </w:p>
    <w:p>
      <w:pPr>
        <w:pStyle w:val="1014"/>
      </w:pPr>
      <w:r>
        <w:rPr>
          <w:rFonts w:hint="eastAsia"/>
        </w:rPr>
        <w:t xml:space="preserve">1、乙方应按招标文件规定的时间向甲方提供实现合同目的所需的有关技术资料。</w:t>
      </w:r>
      <w:r/>
    </w:p>
    <w:p>
      <w:pPr>
        <w:pStyle w:val="1014"/>
      </w:pPr>
      <w:r>
        <w:rPr>
          <w:rFonts w:hint="eastAsia"/>
        </w:rPr>
        <w:t xml:space="preserve">2、没有甲方事先书面同意，乙方不得将由甲方提供的有关合同或任何合同条文、规格、计划或资料提供给与履行本合同无关的任何其他人。即使向履行本合同有关的人员提供，也应注意保密并限于履行合同的必需范围。乙方若违反本合同约定的保密义务，甲方有权单方解除本合同，同时乙方应赔偿甲方的损失。</w:t>
      </w:r>
      <w:r/>
    </w:p>
    <w:p>
      <w:pPr>
        <w:pStyle w:val="1014"/>
        <w:rPr>
          <w:b/>
        </w:rPr>
      </w:pPr>
      <w:r>
        <w:rPr>
          <w:rFonts w:hint="eastAsia"/>
          <w:b/>
        </w:rPr>
        <w:t xml:space="preserve">四、知识产权</w:t>
      </w:r>
      <w:r/>
    </w:p>
    <w:p>
      <w:pPr>
        <w:pStyle w:val="1014"/>
        <w:rPr>
          <w:bCs/>
        </w:rPr>
      </w:pPr>
      <w:r>
        <w:rPr>
          <w:rFonts w:hint="eastAsia"/>
        </w:rPr>
        <w:t xml:space="preserve">甲方提供给乙方的任何计划、方案或资料等以及乙方向甲方交付的方案等服务成果的知识产权属于甲方。乙方应保证所提供的服务或其任何一部分均不会侵犯任何第三方的知识产权</w:t>
      </w:r>
      <w:r>
        <w:rPr>
          <w:rFonts w:hint="eastAsia"/>
          <w:bCs/>
        </w:rPr>
        <w:t xml:space="preserve">。一旦出现侵权，由乙方承担全部责任。</w:t>
      </w:r>
      <w:r/>
    </w:p>
    <w:p>
      <w:pPr>
        <w:pStyle w:val="1014"/>
        <w:rPr>
          <w:b/>
        </w:rPr>
      </w:pPr>
      <w:r>
        <w:rPr>
          <w:rFonts w:hint="eastAsia"/>
          <w:b/>
        </w:rPr>
        <w:t xml:space="preserve">五、产权担保</w:t>
      </w:r>
      <w:r/>
    </w:p>
    <w:p>
      <w:pPr>
        <w:pStyle w:val="1014"/>
      </w:pPr>
      <w:r>
        <w:rPr>
          <w:rFonts w:hint="eastAsia"/>
        </w:rPr>
        <w:t xml:space="preserve">乙方保证所交付的货物的所有权完全属于乙方且无任何抵押、查封等产权瑕疵。</w:t>
      </w:r>
      <w:r/>
    </w:p>
    <w:p>
      <w:pPr>
        <w:pStyle w:val="1014"/>
        <w:rPr>
          <w:b/>
        </w:rPr>
      </w:pPr>
      <w:r>
        <w:rPr>
          <w:rFonts w:hint="eastAsia"/>
          <w:b/>
        </w:rPr>
        <w:t xml:space="preserve">六、履约保证金</w:t>
      </w:r>
      <w:r/>
    </w:p>
    <w:p>
      <w:pPr>
        <w:pStyle w:val="1014"/>
      </w:pPr>
      <w:r>
        <w:t xml:space="preserve">1</w:t>
      </w:r>
      <w:r>
        <w:rPr>
          <w:rFonts w:hint="eastAsia"/>
        </w:rPr>
        <w:t xml:space="preserve">、乙方交纳人民币_________元作为本合同的履约保证金。</w:t>
      </w:r>
      <w:r/>
    </w:p>
    <w:p>
      <w:pPr>
        <w:pStyle w:val="1014"/>
      </w:pPr>
      <w:r>
        <w:rPr>
          <w:rFonts w:hint="eastAsia"/>
        </w:rPr>
        <w:t xml:space="preserve">[备注：合同金额的10%，鼓励采购人对AA评级及以上政府采购供应商（需提供信用管理部门备案的第三方信用报告）降低为缴纳合同金额5%履约保证金。依据《关于在全省政府采购领域推行电子履约保函（保险）的通知》，鼓励供应商自愿使用履约保函（保险）代替缴纳履约保证金，可以通过政府采购电子履约保函（保险）平台（www.jsdzbh.com）在线申请履约保函（保险）]</w:t>
      </w:r>
      <w:r/>
    </w:p>
    <w:p>
      <w:pPr>
        <w:pStyle w:val="1014"/>
      </w:pPr>
      <w:r>
        <w:t xml:space="preserve">2</w:t>
      </w:r>
      <w:r>
        <w:rPr>
          <w:rFonts w:hint="eastAsia"/>
        </w:rPr>
        <w:t xml:space="preserve">、合同履行结束后，甲方应及时退还交纳的履约保证金。</w:t>
      </w:r>
      <w:r/>
    </w:p>
    <w:p>
      <w:pPr>
        <w:pStyle w:val="1014"/>
      </w:pPr>
      <w:r>
        <w:t xml:space="preserve">3</w:t>
      </w:r>
      <w:r>
        <w:rPr>
          <w:rFonts w:hint="eastAsia"/>
        </w:rPr>
        <w:t xml:space="preserve">、履约保证金的退还：</w:t>
      </w:r>
      <w:r/>
    </w:p>
    <w:p>
      <w:pPr>
        <w:pStyle w:val="1014"/>
      </w:pPr>
      <w:r>
        <w:rPr>
          <w:rFonts w:hint="eastAsia"/>
        </w:rPr>
        <w:t xml:space="preserve">3.1方式：无息退还至投标人缴纳履约保证金的账户。如为保函，在到期时自行失效。</w:t>
      </w:r>
      <w:r/>
    </w:p>
    <w:p>
      <w:pPr>
        <w:pStyle w:val="1014"/>
      </w:pPr>
      <w:r>
        <w:rPr>
          <w:rFonts w:hint="eastAsia"/>
        </w:rPr>
        <w:t xml:space="preserve">3.2时间：验收合格且采购人收到发票后30日内。</w:t>
      </w:r>
      <w:r/>
    </w:p>
    <w:p>
      <w:pPr>
        <w:pStyle w:val="1014"/>
      </w:pPr>
      <w:r>
        <w:rPr>
          <w:rFonts w:hint="eastAsia"/>
        </w:rPr>
        <w:t xml:space="preserve">3.3条件：按合同要求全部履约完成并经采购人验收合格，且采购人收到中标人出具的发票。</w:t>
      </w:r>
      <w:r/>
    </w:p>
    <w:p>
      <w:pPr>
        <w:pStyle w:val="1014"/>
      </w:pPr>
      <w:r>
        <w:rPr>
          <w:rFonts w:hint="eastAsia"/>
        </w:rPr>
        <w:t xml:space="preserve">3.4不予退还情形：</w:t>
      </w:r>
      <w:r/>
    </w:p>
    <w:p>
      <w:pPr>
        <w:pStyle w:val="1014"/>
      </w:pPr>
      <w:r>
        <w:rPr>
          <w:rFonts w:hint="eastAsia"/>
        </w:rPr>
        <w:t xml:space="preserve">除不可抗力情况外，投标人出现下列情形之一的，其履约保证金，采购人将视情节决定不予退还或部分不予退还。</w:t>
      </w:r>
      <w:r/>
    </w:p>
    <w:p>
      <w:pPr>
        <w:pStyle w:val="1014"/>
      </w:pPr>
      <w:r>
        <w:rPr>
          <w:rFonts w:hint="eastAsia"/>
        </w:rPr>
        <w:t xml:space="preserve">（1）中标人无正当理由拒绝签订合同的，或者在签订合同时向采购人提出附加条件或者更改合同实质性内容要求的；</w:t>
      </w:r>
      <w:r/>
    </w:p>
    <w:p>
      <w:pPr>
        <w:pStyle w:val="1014"/>
      </w:pPr>
      <w:r>
        <w:rPr>
          <w:rFonts w:hint="eastAsia"/>
        </w:rPr>
        <w:t xml:space="preserve">（2）中标人不履行与采购人订立的合同的；</w:t>
      </w:r>
      <w:r/>
    </w:p>
    <w:p>
      <w:pPr>
        <w:pStyle w:val="1014"/>
      </w:pPr>
      <w:r>
        <w:rPr>
          <w:rFonts w:hint="eastAsia"/>
        </w:rPr>
        <w:t xml:space="preserve">（3）中标人所供货物或服务不符合招标文件规定要求的；</w:t>
      </w:r>
      <w:r/>
    </w:p>
    <w:p>
      <w:pPr>
        <w:pStyle w:val="1014"/>
      </w:pPr>
      <w:r>
        <w:rPr>
          <w:rFonts w:hint="eastAsia"/>
        </w:rPr>
        <w:t xml:space="preserve">（4）中标人采取欺骗、弄虚作假方式投标的或与其它投标人串通投标的；</w:t>
      </w:r>
      <w:r/>
    </w:p>
    <w:p>
      <w:pPr>
        <w:pStyle w:val="1014"/>
      </w:pPr>
      <w:r>
        <w:rPr>
          <w:rFonts w:hint="eastAsia"/>
        </w:rPr>
        <w:t xml:space="preserve">（5）中标人将合同内容转包、违法分包的；</w:t>
      </w:r>
      <w:r/>
    </w:p>
    <w:p>
      <w:pPr>
        <w:pStyle w:val="1014"/>
      </w:pPr>
      <w:r>
        <w:rPr>
          <w:rFonts w:hint="eastAsia"/>
        </w:rPr>
        <w:t xml:space="preserve">（6）中标人故意捏造事实或伪造证明材料，进行虚假恶意投诉或反映的。</w:t>
      </w:r>
      <w:r/>
    </w:p>
    <w:p>
      <w:pPr>
        <w:pStyle w:val="1014"/>
      </w:pPr>
      <w:r>
        <w:rPr>
          <w:rFonts w:hint="eastAsia"/>
        </w:rPr>
        <w:t xml:space="preserve">3.5逾期退还的违约责任：采购人逾期无故未退还履约保证金的，按中国人民银行同期贷款基准利率上浮20%后的利率支付超期资金占用费，但因供应商自身原因导致无法及时退还的除外。</w:t>
      </w:r>
      <w:r/>
    </w:p>
    <w:p>
      <w:pPr>
        <w:pStyle w:val="1014"/>
        <w:rPr>
          <w:b/>
        </w:rPr>
      </w:pPr>
      <w:r>
        <w:rPr>
          <w:rFonts w:hint="eastAsia"/>
          <w:b/>
        </w:rPr>
        <w:t xml:space="preserve">七、转包或分包</w:t>
      </w:r>
      <w:r/>
    </w:p>
    <w:p>
      <w:pPr>
        <w:ind w:firstLine="420"/>
        <w:spacing w:line="520" w:lineRule="exact"/>
        <w:rPr>
          <w:rFonts w:ascii="宋体" w:hAnsi="宋体"/>
          <w:sz w:val="24"/>
          <w:szCs w:val="24"/>
        </w:rPr>
      </w:pPr>
      <w:r>
        <w:rPr>
          <w:rFonts w:hint="eastAsia" w:ascii="宋体" w:hAnsi="宋体"/>
          <w:sz w:val="24"/>
          <w:szCs w:val="24"/>
        </w:rPr>
        <w:t xml:space="preserve">1、本合同范围的货物，应由乙方直接供应，不得转让他人供应；</w:t>
      </w:r>
      <w:r/>
    </w:p>
    <w:p>
      <w:pPr>
        <w:ind w:firstLine="420"/>
        <w:spacing w:line="520" w:lineRule="exact"/>
        <w:rPr>
          <w:rFonts w:ascii="宋体" w:hAnsi="宋体"/>
          <w:sz w:val="24"/>
          <w:szCs w:val="24"/>
        </w:rPr>
      </w:pPr>
      <w:r>
        <w:rPr>
          <w:rFonts w:hint="eastAsia" w:ascii="宋体" w:hAnsi="宋体"/>
          <w:sz w:val="24"/>
          <w:szCs w:val="24"/>
        </w:rPr>
        <w:t xml:space="preserve">2、除非得到甲方的书面同意，乙方不得全部或部分分包给他人供应；</w:t>
      </w:r>
      <w:r/>
    </w:p>
    <w:p>
      <w:pPr>
        <w:ind w:firstLine="420"/>
        <w:spacing w:line="520" w:lineRule="exact"/>
        <w:rPr>
          <w:rFonts w:ascii="宋体" w:hAnsi="宋体"/>
          <w:sz w:val="24"/>
          <w:szCs w:val="24"/>
        </w:rPr>
      </w:pPr>
      <w:r>
        <w:rPr>
          <w:rFonts w:hint="eastAsia" w:ascii="宋体" w:hAnsi="宋体"/>
          <w:sz w:val="24"/>
          <w:szCs w:val="24"/>
        </w:rPr>
        <w:t xml:space="preserve">3、如有转让和未经甲方同意的分包行为，甲方有权解除合同，没收履约保证金并追究乙方的违约责任。</w:t>
      </w:r>
      <w:r/>
    </w:p>
    <w:p>
      <w:pPr>
        <w:pStyle w:val="1014"/>
        <w:rPr>
          <w:b/>
        </w:rPr>
      </w:pPr>
      <w:r>
        <w:rPr>
          <w:rFonts w:hint="eastAsia"/>
          <w:b/>
        </w:rPr>
        <w:t xml:space="preserve">八、质保期</w:t>
      </w:r>
      <w:r/>
    </w:p>
    <w:p>
      <w:pPr>
        <w:pStyle w:val="1014"/>
      </w:pPr>
      <w:r>
        <w:rPr>
          <w:rFonts w:hint="eastAsia"/>
        </w:rPr>
        <w:t xml:space="preserve">质保期</w:t>
      </w:r>
      <w:r>
        <w:rPr>
          <w:rFonts w:hint="eastAsia"/>
          <w:u w:val="single"/>
        </w:rPr>
        <w:t xml:space="preserve"> 五 </w:t>
      </w:r>
      <w:r>
        <w:rPr>
          <w:rFonts w:hint="eastAsia"/>
        </w:rPr>
        <w:t xml:space="preserve">年。自整体项目验收合格之日起计，质保期内的设备等其他损害货物均由乙方在甲方要求时间内整修完毕，保证道路、设备安全，由第三方人为因素造成的损坏，由乙方自行处理索赔事务，与甲方无关。</w:t>
      </w:r>
      <w:r/>
    </w:p>
    <w:p>
      <w:pPr>
        <w:pStyle w:val="1014"/>
        <w:rPr>
          <w:b/>
        </w:rPr>
      </w:pPr>
      <w:r>
        <w:rPr>
          <w:rFonts w:hint="eastAsia"/>
          <w:b/>
        </w:rPr>
        <w:t xml:space="preserve">九、项目完成期限、</w:t>
      </w:r>
      <w:r>
        <w:rPr>
          <w:b/>
        </w:rPr>
        <w:t xml:space="preserve">交货方式及交货地点</w:t>
      </w:r>
      <w:r/>
    </w:p>
    <w:p>
      <w:pPr>
        <w:pStyle w:val="1014"/>
      </w:pPr>
      <w:r>
        <w:rPr>
          <w:rFonts w:hint="eastAsia" w:cs="宋体"/>
        </w:rPr>
        <w:t xml:space="preserve">合同签订后</w:t>
      </w:r>
      <w:r>
        <w:rPr>
          <w:rFonts w:cs="宋体"/>
          <w:u w:val="single"/>
        </w:rPr>
        <w:t xml:space="preserve">        </w:t>
      </w:r>
      <w:r>
        <w:rPr>
          <w:rFonts w:hint="eastAsia" w:cs="宋体"/>
        </w:rPr>
        <w:t xml:space="preserve">日历天全部完成并经采购人验收合格</w:t>
      </w:r>
      <w:r>
        <w:rPr>
          <w:rFonts w:hint="eastAsia"/>
        </w:rPr>
        <w:t xml:space="preserve">。</w:t>
      </w:r>
      <w:r/>
    </w:p>
    <w:p>
      <w:pPr>
        <w:pStyle w:val="1014"/>
      </w:pPr>
      <w:r>
        <w:rPr>
          <w:rFonts w:hint="eastAsia"/>
        </w:rPr>
        <w:t xml:space="preserve">交货方式：_________</w:t>
      </w:r>
      <w:r/>
    </w:p>
    <w:p>
      <w:pPr>
        <w:pStyle w:val="1014"/>
      </w:pPr>
      <w:r>
        <w:rPr>
          <w:rFonts w:hint="eastAsia"/>
        </w:rPr>
        <w:t xml:space="preserve">交货地点：_________</w:t>
      </w:r>
      <w:r/>
    </w:p>
    <w:p>
      <w:pPr>
        <w:pStyle w:val="1014"/>
        <w:rPr>
          <w:b/>
        </w:rPr>
      </w:pPr>
      <w:r>
        <w:rPr>
          <w:rFonts w:hint="eastAsia"/>
          <w:b/>
        </w:rPr>
        <w:t xml:space="preserve">十、合同价款支付</w:t>
      </w:r>
      <w:r/>
    </w:p>
    <w:p>
      <w:pPr>
        <w:ind w:firstLine="482"/>
        <w:spacing w:line="520" w:lineRule="exact"/>
        <w:rPr>
          <w:rFonts w:ascii="宋体" w:hAnsi="宋体"/>
          <w:b/>
          <w:sz w:val="24"/>
          <w:szCs w:val="24"/>
        </w:rPr>
      </w:pPr>
      <w:r>
        <w:rPr>
          <w:rFonts w:hint="eastAsia" w:ascii="宋体" w:hAnsi="宋体"/>
          <w:b/>
          <w:sz w:val="24"/>
          <w:szCs w:val="24"/>
        </w:rPr>
        <w:t xml:space="preserve">合同签订后付30%预付款，项目验收合格后付至合同价款的50%，验收合格满一年后付至审核价款的60%，验收合格满二年后付至审核价款的70%，验收合格满三年后付至审核价款的80%，验收合格满四年后付至审核价款的90%，验收合格满五年后一次性无息结清，</w:t>
      </w:r>
      <w:r/>
    </w:p>
    <w:p>
      <w:pPr>
        <w:ind w:firstLine="480"/>
        <w:spacing w:line="520" w:lineRule="exact"/>
        <w:rPr>
          <w:rFonts w:ascii="宋体" w:hAnsi="宋体"/>
          <w:sz w:val="24"/>
          <w:szCs w:val="24"/>
        </w:rPr>
      </w:pPr>
      <w:r>
        <w:rPr>
          <w:rFonts w:hint="eastAsia" w:ascii="宋体" w:hAnsi="宋体"/>
          <w:sz w:val="24"/>
          <w:szCs w:val="24"/>
        </w:rPr>
        <w:t xml:space="preserve">本项目结算须经甲方委托的审核单位审核。甲方按合同约定付款前，乙方应向甲方出具正式、合法的发票，否则甲方有权延迟付款，并不产生违约责任。待合同签订生效后，对满足合同支付条件的，自收到发票后</w:t>
      </w:r>
      <w:r>
        <w:rPr>
          <w:rFonts w:ascii="宋体" w:hAnsi="宋体"/>
          <w:sz w:val="24"/>
          <w:szCs w:val="24"/>
        </w:rPr>
        <w:t xml:space="preserve">10</w:t>
      </w:r>
      <w:r>
        <w:rPr>
          <w:rFonts w:hint="eastAsia" w:ascii="宋体" w:hAnsi="宋体"/>
          <w:sz w:val="24"/>
          <w:szCs w:val="24"/>
        </w:rPr>
        <w:t xml:space="preserve">个工作日内支付资金。具体实际按财政保障资金的情况拨付。</w:t>
      </w:r>
      <w:r/>
    </w:p>
    <w:p>
      <w:pPr>
        <w:ind w:firstLine="480"/>
        <w:spacing w:line="520" w:lineRule="exact"/>
        <w:rPr>
          <w:rFonts w:ascii="宋体" w:hAnsi="宋体"/>
          <w:sz w:val="24"/>
          <w:szCs w:val="24"/>
        </w:rPr>
      </w:pPr>
      <w:r>
        <w:rPr>
          <w:rFonts w:ascii="宋体" w:hAnsi="宋体"/>
          <w:sz w:val="24"/>
          <w:szCs w:val="24"/>
        </w:rPr>
        <w:t xml:space="preserve">当采购数量与实际使用数量不一致时，</w:t>
      </w:r>
      <w:r>
        <w:rPr>
          <w:rFonts w:hint="eastAsia" w:ascii="宋体" w:hAnsi="宋体"/>
          <w:sz w:val="24"/>
          <w:szCs w:val="24"/>
        </w:rPr>
        <w:t xml:space="preserve">乙方</w:t>
      </w:r>
      <w:r>
        <w:rPr>
          <w:rFonts w:ascii="宋体" w:hAnsi="宋体"/>
          <w:sz w:val="24"/>
          <w:szCs w:val="24"/>
        </w:rPr>
        <w:t xml:space="preserve">应根据实际使用量供货，合同的最终结算金额按实际使用量乘以</w:t>
      </w:r>
      <w:r>
        <w:rPr>
          <w:rFonts w:hint="eastAsia" w:ascii="宋体" w:hAnsi="宋体"/>
          <w:sz w:val="24"/>
          <w:szCs w:val="24"/>
        </w:rPr>
        <w:t xml:space="preserve">中标</w:t>
      </w:r>
      <w:r>
        <w:rPr>
          <w:rFonts w:ascii="宋体" w:hAnsi="宋体"/>
          <w:sz w:val="24"/>
          <w:szCs w:val="24"/>
        </w:rPr>
        <w:t xml:space="preserve">单价进行计算。</w:t>
      </w:r>
      <w:r/>
    </w:p>
    <w:p>
      <w:pPr>
        <w:ind w:firstLine="480"/>
        <w:spacing w:line="520" w:lineRule="exact"/>
        <w:rPr>
          <w:rFonts w:ascii="宋体" w:hAnsi="宋体"/>
          <w:sz w:val="24"/>
          <w:szCs w:val="24"/>
        </w:rPr>
      </w:pPr>
      <w:r>
        <w:rPr>
          <w:rFonts w:hint="eastAsia" w:ascii="宋体" w:hAnsi="宋体"/>
          <w:sz w:val="24"/>
          <w:szCs w:val="24"/>
        </w:rPr>
        <w:t xml:space="preserve">合同款一律通过银行非现金结算，结算方式：转账。</w:t>
      </w:r>
      <w:r/>
    </w:p>
    <w:p>
      <w:pPr>
        <w:ind w:firstLine="482"/>
        <w:spacing w:line="520" w:lineRule="exact"/>
        <w:rPr>
          <w:rFonts w:ascii="宋体" w:hAnsi="宋体"/>
          <w:sz w:val="24"/>
          <w:szCs w:val="24"/>
        </w:rPr>
      </w:pPr>
      <w:r>
        <w:rPr>
          <w:rFonts w:hint="eastAsia" w:ascii="宋体" w:hAnsi="宋体"/>
          <w:b/>
          <w:sz w:val="24"/>
          <w:szCs w:val="24"/>
        </w:rPr>
        <w:t xml:space="preserve">十一、税费</w:t>
      </w:r>
      <w:r/>
    </w:p>
    <w:p>
      <w:pPr>
        <w:ind w:firstLine="480"/>
        <w:spacing w:line="520" w:lineRule="exact"/>
        <w:rPr>
          <w:rFonts w:ascii="宋体" w:hAnsi="宋体"/>
          <w:sz w:val="24"/>
          <w:szCs w:val="24"/>
        </w:rPr>
      </w:pPr>
      <w:r>
        <w:rPr>
          <w:rFonts w:hint="eastAsia" w:ascii="宋体" w:hAnsi="宋体"/>
          <w:sz w:val="24"/>
          <w:szCs w:val="24"/>
        </w:rPr>
        <w:t xml:space="preserve">本合同执行中相关的一切税费均由乙方负担。</w:t>
      </w:r>
      <w:r/>
    </w:p>
    <w:p>
      <w:pPr>
        <w:ind w:firstLine="482"/>
        <w:spacing w:line="520" w:lineRule="exact"/>
        <w:rPr>
          <w:rFonts w:ascii="宋体" w:hAnsi="宋体"/>
          <w:b/>
          <w:sz w:val="24"/>
          <w:szCs w:val="24"/>
        </w:rPr>
      </w:pPr>
      <w:r>
        <w:rPr>
          <w:rFonts w:hint="eastAsia" w:ascii="宋体" w:hAnsi="宋体"/>
          <w:b/>
          <w:sz w:val="24"/>
          <w:szCs w:val="24"/>
        </w:rPr>
        <w:t xml:space="preserve">十二、质量保证及售后服务</w:t>
      </w:r>
      <w:r/>
    </w:p>
    <w:p>
      <w:pPr>
        <w:ind w:firstLine="480"/>
        <w:spacing w:line="52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、乙方应按招标文件规定的货物性能、技术要求、质量标准向甲方提供未经使用的全新产品。</w:t>
      </w:r>
      <w:r/>
    </w:p>
    <w:p>
      <w:pPr>
        <w:ind w:firstLine="480"/>
        <w:spacing w:line="52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、乙方提供的货物在质量期内因货物本身的质量问题发生故障，乙方应负责免费更换。对达不到技术要求者，根据实际情况，经双方协商，可按以下办法处理：</w:t>
      </w:r>
      <w:r/>
    </w:p>
    <w:p>
      <w:pPr>
        <w:ind w:firstLine="480"/>
        <w:spacing w:line="520" w:lineRule="exact"/>
        <w:rPr>
          <w:rFonts w:ascii="宋体" w:hAnsi="宋体"/>
          <w:sz w:val="24"/>
          <w:szCs w:val="24"/>
        </w:rPr>
      </w:pPr>
      <w:r>
        <w:rPr>
          <w:rFonts w:hint="eastAsia" w:ascii="宋体" w:hAnsi="宋体"/>
          <w:sz w:val="24"/>
          <w:szCs w:val="24"/>
        </w:rPr>
        <w:t xml:space="preserve">（1）更换：由乙方承担所发生的全部费用。</w:t>
      </w:r>
      <w:r/>
    </w:p>
    <w:p>
      <w:pPr>
        <w:ind w:firstLine="480"/>
        <w:spacing w:line="520" w:lineRule="exact"/>
        <w:rPr>
          <w:rFonts w:ascii="宋体" w:hAnsi="宋体"/>
          <w:sz w:val="24"/>
          <w:szCs w:val="24"/>
        </w:rPr>
      </w:pPr>
      <w:r>
        <w:rPr>
          <w:rFonts w:hint="eastAsia" w:ascii="宋体" w:hAnsi="宋体"/>
          <w:sz w:val="24"/>
          <w:szCs w:val="24"/>
        </w:rPr>
        <w:t xml:space="preserve">（2）贬值处理：由甲乙双方合议定价。</w:t>
      </w:r>
      <w:r/>
    </w:p>
    <w:p>
      <w:pPr>
        <w:ind w:firstLine="480"/>
        <w:spacing w:line="520" w:lineRule="exact"/>
        <w:rPr>
          <w:rFonts w:ascii="宋体" w:hAnsi="宋体"/>
          <w:sz w:val="24"/>
          <w:szCs w:val="24"/>
        </w:rPr>
      </w:pPr>
      <w:r>
        <w:rPr>
          <w:rFonts w:hint="eastAsia" w:ascii="宋体" w:hAnsi="宋体"/>
          <w:sz w:val="24"/>
          <w:szCs w:val="24"/>
        </w:rPr>
        <w:t xml:space="preserve">（3）退货处理：乙方应退还甲方支付的合同款，同时应承担该货物的直接费用（运输、保险、检验、货款利息及银行手续费等）。</w:t>
      </w:r>
      <w:r/>
    </w:p>
    <w:p>
      <w:pPr>
        <w:ind w:firstLine="480"/>
        <w:spacing w:line="52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、如在使用过程中发生质量问题，乙方在接到电话后须在3小时内响应，24小时内到达现场解</w:t>
      </w:r>
      <w:r>
        <w:rPr>
          <w:rFonts w:hint="eastAsia" w:ascii="宋体" w:hAnsi="宋体"/>
          <w:sz w:val="24"/>
          <w:szCs w:val="24"/>
        </w:rPr>
        <w:t xml:space="preserve">决问题（如遇特殊情况不能在规定时间内解决的须向甲方提出书面申请，经甲方同意后方可延长维修时间，否则按合同价的万分一/天作为逾期违约处罚，违约金直接从结算价款中扣除），如果需要更换货物或配件，需保证所换货物或配件不低于原配置。如在上述规定时间内不能到位的，甲方有权自行维修或更换，其费用在乙方合同价款中扣除，甲方自行维修后的设备仍享有乙方的质保承诺。如设备、配套设施、管线等出现意外（包括自然灾害等）或任何人为等因素造成损坏的，乙方需先无条件维修复原，维修完成后再由乙方（甲方配合）向人为因素造成损坏的责任人追偿。</w:t>
      </w:r>
      <w:r/>
    </w:p>
    <w:p>
      <w:pPr>
        <w:ind w:firstLine="480"/>
        <w:spacing w:line="52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本项目实施过程中禁止采用“飞线”施工。每发现一处，处以1万元的违约处罚，直接从当期应付合同款项中扣除，同时乙方还须整改到位。如甲方多次通知整改仍拒不整改的，甲方有权终止合同并追究乙方因此造成的损失。</w:t>
      </w:r>
      <w:r/>
    </w:p>
    <w:p>
      <w:pPr>
        <w:ind w:firstLine="480"/>
        <w:spacing w:line="52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、在质保期内，乙方应确保每月（以每月的23日统计数据为准，注：23日为节假日的，延后到下一个工作日）的监控在线率达</w:t>
      </w:r>
      <w:r>
        <w:rPr>
          <w:rFonts w:ascii="宋体" w:hAnsi="宋体"/>
          <w:sz w:val="24"/>
          <w:szCs w:val="24"/>
          <w:u w:val="single"/>
        </w:rPr>
        <w:t xml:space="preserve">    </w:t>
      </w:r>
      <w:r>
        <w:rPr>
          <w:rFonts w:hint="eastAsia" w:ascii="宋体" w:hAnsi="宋体"/>
          <w:sz w:val="24"/>
          <w:szCs w:val="24"/>
        </w:rPr>
        <w:t xml:space="preserve">%及以上，未达到，每低1个百分点，扣除合同价款的万分之一，扣款每月进行累计。</w:t>
      </w:r>
      <w:r/>
    </w:p>
    <w:p>
      <w:pPr>
        <w:ind w:firstLine="480"/>
        <w:spacing w:line="520" w:lineRule="exact"/>
        <w:rPr>
          <w:rFonts w:ascii="宋体" w:hAnsi="宋体"/>
          <w:sz w:val="24"/>
          <w:szCs w:val="24"/>
        </w:rPr>
      </w:pPr>
      <w:r>
        <w:rPr>
          <w:rFonts w:ascii="宋体" w:hAnsi="宋体"/>
          <w:sz w:val="24"/>
          <w:szCs w:val="24"/>
        </w:rPr>
        <w:t xml:space="preserve">6</w:t>
      </w:r>
      <w:r>
        <w:rPr>
          <w:rFonts w:hint="eastAsia" w:ascii="宋体" w:hAnsi="宋体"/>
          <w:sz w:val="24"/>
          <w:szCs w:val="24"/>
        </w:rPr>
        <w:t xml:space="preserve">、在质保期内，乙方应对货物出现的质量及安全问题负责处理解决并承担一切费用。</w:t>
      </w:r>
      <w:r/>
    </w:p>
    <w:p>
      <w:pPr>
        <w:ind w:firstLine="482"/>
        <w:spacing w:line="520" w:lineRule="exact"/>
        <w:rPr>
          <w:rFonts w:ascii="宋体" w:hAnsi="宋体"/>
          <w:b/>
          <w:sz w:val="24"/>
          <w:szCs w:val="24"/>
        </w:rPr>
      </w:pPr>
      <w:r>
        <w:rPr>
          <w:rFonts w:hint="eastAsia" w:ascii="宋体" w:hAnsi="宋体"/>
          <w:b/>
          <w:sz w:val="24"/>
          <w:szCs w:val="24"/>
        </w:rPr>
        <w:t xml:space="preserve">十三、调试和验收</w:t>
      </w:r>
      <w:r/>
    </w:p>
    <w:p>
      <w:pPr>
        <w:ind w:firstLine="480"/>
        <w:spacing w:line="52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ind w:firstLine="480"/>
        <w:spacing w:line="52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、乙方交货前应对产品作出全面检查和对验收文件进行整理，并列出清单，作为甲方收货验收和使用的技术条件依据，检验的结果应随货物交甲方。</w:t>
      </w:r>
      <w:r/>
    </w:p>
    <w:p>
      <w:pPr>
        <w:ind w:firstLine="480"/>
        <w:spacing w:line="52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、甲方对乙方提供的货物在使用前进行调试时，乙方需负责安装并培训甲方的使用操作人员，并协助甲方一起调试，直到符合技术要求，甲方才做最终验收。</w:t>
      </w:r>
      <w:r/>
    </w:p>
    <w:p>
      <w:pPr>
        <w:ind w:firstLine="480"/>
        <w:spacing w:line="52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、对技术复杂的货物，甲方可请国家认可的专业检测机构参与初步验收及最终验收，并由其出具质量检测报告。检测费用由乙方负责。</w:t>
      </w:r>
      <w:r/>
    </w:p>
    <w:p>
      <w:pPr>
        <w:ind w:firstLine="480"/>
        <w:spacing w:line="52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、验收时乙方必须在现场，验收完毕后作出验收结果报告；验收费用由乙方支付。</w:t>
      </w:r>
      <w:r/>
    </w:p>
    <w:p>
      <w:pPr>
        <w:ind w:firstLine="482"/>
        <w:spacing w:line="520" w:lineRule="exact"/>
        <w:rPr>
          <w:rFonts w:ascii="宋体" w:hAnsi="宋体"/>
          <w:b/>
          <w:sz w:val="24"/>
          <w:szCs w:val="24"/>
        </w:rPr>
      </w:pPr>
      <w:r>
        <w:rPr>
          <w:rFonts w:hint="eastAsia" w:ascii="宋体" w:hAnsi="宋体"/>
          <w:b/>
          <w:sz w:val="24"/>
          <w:szCs w:val="24"/>
        </w:rPr>
        <w:t xml:space="preserve">十四、货物包装、发运及运输</w:t>
      </w:r>
      <w:r/>
    </w:p>
    <w:p>
      <w:pPr>
        <w:ind w:firstLine="480"/>
        <w:spacing w:line="52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、乙方应在货物发运前对其进行满足运输距离、防潮、防震、防锈和防破损装卸等要求包装，以保证货物安全运达甲方指定地点。</w:t>
      </w:r>
      <w:r/>
    </w:p>
    <w:p>
      <w:pPr>
        <w:ind w:firstLine="480"/>
        <w:spacing w:line="52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、使用说明书、质量检验证明书、随配附件和工具以及清单一并附于货物内。</w:t>
      </w:r>
      <w:r/>
    </w:p>
    <w:p>
      <w:pPr>
        <w:ind w:firstLine="480"/>
        <w:spacing w:line="52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、乙方在货物发运手续办理完毕后24小时内或货到甲方48小时前通知甲方，以准备接货。</w:t>
      </w:r>
      <w:r/>
    </w:p>
    <w:p>
      <w:pPr>
        <w:ind w:firstLine="480"/>
        <w:spacing w:line="52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、货物在交付甲方前发生的风险均由乙方负责。</w:t>
      </w:r>
      <w:r/>
    </w:p>
    <w:p>
      <w:pPr>
        <w:ind w:firstLine="480"/>
        <w:spacing w:line="52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、货物在规定的交付期限内由乙方送达甲方指定的地点视为交付，乙方同时需通知甲方货物已送达。</w:t>
      </w:r>
      <w:r/>
    </w:p>
    <w:p>
      <w:pPr>
        <w:ind w:firstLine="482"/>
        <w:spacing w:line="520" w:lineRule="exact"/>
        <w:rPr>
          <w:rFonts w:ascii="宋体" w:hAnsi="宋体"/>
          <w:b/>
          <w:sz w:val="24"/>
          <w:szCs w:val="24"/>
        </w:rPr>
      </w:pPr>
      <w:r>
        <w:rPr>
          <w:rFonts w:hint="eastAsia" w:ascii="宋体" w:hAnsi="宋体"/>
          <w:b/>
          <w:sz w:val="24"/>
          <w:szCs w:val="24"/>
        </w:rPr>
        <w:t xml:space="preserve">十五、违约责任</w:t>
      </w:r>
      <w:r/>
    </w:p>
    <w:p>
      <w:pPr>
        <w:ind w:firstLine="480"/>
        <w:spacing w:line="52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、甲方无正当理由拒收货物的，甲方向乙方偿付拒收货款总值的百分之五违约金。</w:t>
      </w:r>
      <w:r/>
    </w:p>
    <w:p>
      <w:pPr>
        <w:ind w:firstLine="480"/>
        <w:spacing w:line="52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、甲方无故逾期验收和办理货款支付手续的,甲方应按逾期付款总额每日万分之五向乙方支付违约金。</w:t>
      </w:r>
      <w:r/>
    </w:p>
    <w:p>
      <w:pPr>
        <w:ind w:firstLine="480"/>
        <w:spacing w:line="52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w:t>
      </w:r>
      <w:r>
        <w:rPr>
          <w:rFonts w:hint="eastAsia" w:ascii="宋体" w:hAnsi="宋体"/>
          <w:sz w:val="24"/>
          <w:szCs w:val="24"/>
        </w:rPr>
        <w:t xml:space="preserve">总值5%的违约金，如造成甲方损失超过违约金的，超出部分由乙方继续承担赔偿责任。 </w:t>
      </w:r>
      <w:r/>
    </w:p>
    <w:p>
      <w:pPr>
        <w:ind w:firstLine="480"/>
        <w:spacing w:line="52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spacing w:line="52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、甲方根据上级规范性文件、政策措施及上级行政主管部门要求，变更合同内容、项目实施及解除合同的，乙方承诺予以理解、认可。甲方不承担由此产生的违约责任，但应赔偿乙方实际损失。</w:t>
      </w:r>
      <w:r/>
    </w:p>
    <w:p>
      <w:pPr>
        <w:ind w:firstLine="482"/>
        <w:spacing w:line="520" w:lineRule="exact"/>
        <w:rPr>
          <w:rFonts w:ascii="宋体" w:hAnsi="宋体"/>
          <w:b/>
          <w:sz w:val="24"/>
          <w:szCs w:val="24"/>
        </w:rPr>
      </w:pPr>
      <w:r>
        <w:rPr>
          <w:rFonts w:hint="eastAsia" w:ascii="宋体" w:hAnsi="宋体"/>
          <w:b/>
          <w:sz w:val="24"/>
          <w:szCs w:val="24"/>
        </w:rPr>
        <w:t xml:space="preserve">十六、不可抗力事件处理</w:t>
      </w:r>
      <w:r/>
    </w:p>
    <w:p>
      <w:pPr>
        <w:ind w:firstLine="480"/>
        <w:spacing w:line="520" w:lineRule="exact"/>
        <w:rPr>
          <w:rFonts w:ascii="宋体" w:hAnsi="宋体"/>
          <w:sz w:val="24"/>
          <w:szCs w:val="24"/>
        </w:rPr>
      </w:pPr>
      <w:r>
        <w:rPr>
          <w:rFonts w:hint="eastAsia" w:ascii="宋体" w:hAnsi="宋体"/>
          <w:sz w:val="24"/>
          <w:szCs w:val="24"/>
        </w:rPr>
        <w:t xml:space="preserve">1、在合同有效期内，任何一方因不可抗力事件导致不能履行合同，则合同履行期可延长，其延长期与不可抗力影响期相同。</w:t>
      </w:r>
      <w:r/>
    </w:p>
    <w:p>
      <w:pPr>
        <w:ind w:firstLine="480"/>
        <w:spacing w:line="520" w:lineRule="exact"/>
        <w:rPr>
          <w:rFonts w:ascii="宋体" w:hAnsi="宋体"/>
          <w:sz w:val="24"/>
          <w:szCs w:val="24"/>
        </w:rPr>
      </w:pPr>
      <w:r>
        <w:rPr>
          <w:rFonts w:hint="eastAsia" w:ascii="宋体" w:hAnsi="宋体"/>
          <w:sz w:val="24"/>
          <w:szCs w:val="24"/>
        </w:rPr>
        <w:t xml:space="preserve">2、不可抗力事件发生后，应立即通知对方，并寄送有关权威机构出具的证明。</w:t>
      </w:r>
      <w:r/>
    </w:p>
    <w:p>
      <w:pPr>
        <w:ind w:firstLine="480"/>
        <w:spacing w:line="520" w:lineRule="exact"/>
        <w:rPr>
          <w:rFonts w:ascii="宋体" w:hAnsi="宋体"/>
          <w:sz w:val="24"/>
          <w:szCs w:val="24"/>
        </w:rPr>
      </w:pPr>
      <w:r>
        <w:rPr>
          <w:rFonts w:hint="eastAsia" w:ascii="宋体" w:hAnsi="宋体"/>
          <w:sz w:val="24"/>
          <w:szCs w:val="24"/>
        </w:rPr>
        <w:t xml:space="preserve">3、不可抗力事件延续120天以上，双方应通过友好协商，确定是否继续履行合同。</w:t>
      </w:r>
      <w:r/>
    </w:p>
    <w:p>
      <w:pPr>
        <w:ind w:firstLine="482"/>
        <w:spacing w:line="520" w:lineRule="exact"/>
        <w:rPr>
          <w:rFonts w:ascii="宋体" w:hAnsi="宋体"/>
          <w:b/>
          <w:sz w:val="24"/>
          <w:szCs w:val="24"/>
        </w:rPr>
      </w:pPr>
      <w:r>
        <w:rPr>
          <w:rFonts w:hint="eastAsia" w:ascii="宋体" w:hAnsi="宋体"/>
          <w:b/>
          <w:sz w:val="24"/>
          <w:szCs w:val="24"/>
        </w:rPr>
        <w:t xml:space="preserve">十七、诉讼</w:t>
      </w:r>
      <w:r/>
    </w:p>
    <w:p>
      <w:pPr>
        <w:ind w:firstLine="480"/>
        <w:spacing w:line="520" w:lineRule="exact"/>
        <w:rPr>
          <w:rFonts w:ascii="宋体" w:hAnsi="宋体"/>
          <w:sz w:val="24"/>
          <w:szCs w:val="24"/>
        </w:rPr>
      </w:pPr>
      <w:r>
        <w:rPr>
          <w:rFonts w:hint="eastAsia" w:ascii="宋体" w:hAnsi="宋体"/>
          <w:sz w:val="24"/>
          <w:szCs w:val="24"/>
        </w:rPr>
        <w:t xml:space="preserve">双方在执行合同中所发生的一切争议，应通过协商解决。如协商不成，可向盐城市大丰区人民法院起诉。</w:t>
      </w:r>
      <w:r/>
    </w:p>
    <w:p>
      <w:pPr>
        <w:ind w:firstLine="482"/>
        <w:spacing w:line="520" w:lineRule="exact"/>
        <w:rPr>
          <w:rFonts w:ascii="宋体" w:hAnsi="宋体"/>
          <w:b/>
          <w:sz w:val="24"/>
          <w:szCs w:val="24"/>
        </w:rPr>
      </w:pPr>
      <w:r>
        <w:rPr>
          <w:rFonts w:hint="eastAsia" w:ascii="宋体" w:hAnsi="宋体"/>
          <w:b/>
          <w:sz w:val="24"/>
          <w:szCs w:val="24"/>
        </w:rPr>
        <w:t xml:space="preserve">十八、合同生效及其它</w:t>
      </w:r>
      <w:r/>
    </w:p>
    <w:p>
      <w:pPr>
        <w:ind w:firstLine="480"/>
        <w:spacing w:line="520" w:lineRule="exact"/>
        <w:rPr>
          <w:rFonts w:ascii="宋体" w:hAnsi="宋体"/>
          <w:sz w:val="24"/>
          <w:szCs w:val="24"/>
        </w:rPr>
      </w:pPr>
      <w:r>
        <w:rPr>
          <w:rFonts w:hint="eastAsia" w:ascii="宋体" w:hAnsi="宋体"/>
          <w:sz w:val="24"/>
          <w:szCs w:val="24"/>
        </w:rPr>
        <w:t xml:space="preserve">1、合同经双方法定代表人（或负责人）或授权代表签字并加盖单位公章后生效。</w:t>
      </w:r>
      <w:r/>
    </w:p>
    <w:p>
      <w:pPr>
        <w:ind w:firstLine="480"/>
        <w:spacing w:line="520" w:lineRule="exact"/>
        <w:rPr>
          <w:rFonts w:ascii="宋体" w:hAnsi="宋体"/>
          <w:sz w:val="24"/>
          <w:szCs w:val="24"/>
        </w:rPr>
      </w:pPr>
      <w:r>
        <w:rPr>
          <w:rFonts w:hint="eastAsia" w:ascii="宋体" w:hAnsi="宋体"/>
          <w:sz w:val="24"/>
          <w:szCs w:val="24"/>
        </w:rPr>
        <w:t xml:space="preserve">2、合同执行中涉及采购资金和采购内容修改或补充的，须经有关部门审批，并签书面补充协议，方可作为主合同不可分割的一部分。</w:t>
      </w:r>
      <w:r/>
    </w:p>
    <w:p>
      <w:pPr>
        <w:ind w:firstLine="480"/>
        <w:spacing w:line="520" w:lineRule="exact"/>
        <w:rPr>
          <w:rFonts w:ascii="宋体" w:hAnsi="宋体"/>
          <w:sz w:val="24"/>
          <w:szCs w:val="24"/>
        </w:rPr>
      </w:pPr>
      <w:r>
        <w:rPr>
          <w:rFonts w:hint="eastAsia" w:ascii="宋体" w:hAnsi="宋体"/>
          <w:sz w:val="24"/>
          <w:szCs w:val="24"/>
        </w:rPr>
        <w:t xml:space="preserve">3、本合同未尽事宜，遵照《民法典》有关条文执行。</w:t>
      </w:r>
      <w:r/>
    </w:p>
    <w:p>
      <w:pPr>
        <w:ind w:firstLine="480"/>
        <w:spacing w:line="520" w:lineRule="exact"/>
        <w:rPr>
          <w:rFonts w:ascii="宋体" w:hAnsi="宋体"/>
          <w:sz w:val="24"/>
          <w:szCs w:val="24"/>
        </w:rPr>
      </w:pPr>
      <w:r>
        <w:rPr>
          <w:rFonts w:hint="eastAsia" w:ascii="宋体" w:hAnsi="宋体"/>
          <w:sz w:val="24"/>
          <w:szCs w:val="24"/>
        </w:rPr>
        <w:t xml:space="preserve">4、本合同正本一式两份，具有同等法律效力，甲乙双方各执一份；副本</w:t>
      </w:r>
      <w:r>
        <w:rPr>
          <w:rFonts w:hint="eastAsia" w:ascii="宋体" w:hAnsi="宋体"/>
          <w:b/>
          <w:sz w:val="24"/>
          <w:szCs w:val="24"/>
        </w:rPr>
        <w:t xml:space="preserve">二</w:t>
      </w:r>
      <w:r>
        <w:rPr>
          <w:rFonts w:hint="eastAsia" w:ascii="宋体" w:hAnsi="宋体"/>
          <w:sz w:val="24"/>
          <w:szCs w:val="24"/>
        </w:rPr>
        <w:t xml:space="preserve">份(用于备案及存档)。</w:t>
      </w:r>
      <w:r/>
    </w:p>
    <w:p>
      <w:pPr>
        <w:pStyle w:val="1014"/>
      </w:pPr>
      <w:r>
        <w:rPr>
          <w:rFonts w:hint="eastAsia"/>
        </w:rPr>
        <w:t xml:space="preserve">甲方：                                      乙方： </w:t>
      </w:r>
      <w:r/>
    </w:p>
    <w:p>
      <w:pPr>
        <w:pStyle w:val="1014"/>
      </w:pPr>
      <w:r>
        <w:rPr>
          <w:rFonts w:hint="eastAsia"/>
        </w:rPr>
        <w:t xml:space="preserve">地址：                                      地址： </w:t>
      </w:r>
      <w:r/>
    </w:p>
    <w:p>
      <w:pPr>
        <w:pStyle w:val="1014"/>
      </w:pPr>
      <w:r>
        <w:rPr>
          <w:rFonts w:hint="eastAsia"/>
        </w:rPr>
        <w:t xml:space="preserve">法定（授权）代表人或负责人：                法定（授权）代表人或负责人：</w:t>
      </w:r>
      <w:r/>
    </w:p>
    <w:p>
      <w:pPr>
        <w:pStyle w:val="1014"/>
      </w:pPr>
      <w:r>
        <w:rPr>
          <w:rFonts w:hint="eastAsia"/>
        </w:rPr>
        <w:t xml:space="preserve">签字日期：      年  月  日                  签字日期：      年  月  日</w:t>
      </w:r>
      <w:r/>
    </w:p>
    <w:p>
      <w:pPr>
        <w:ind w:firstLine="200"/>
        <w:jc w:val="center"/>
        <w:rPr>
          <w:rFonts w:ascii="宋体" w:hAnsi="宋体"/>
          <w:b/>
          <w:sz w:val="28"/>
          <w:szCs w:val="28"/>
        </w:rPr>
      </w:pPr>
      <w:r>
        <w:rPr>
          <w:rFonts w:hint="eastAsia" w:ascii="宋体" w:hAnsi="宋体"/>
          <w:b/>
          <w:sz w:val="28"/>
          <w:szCs w:val="28"/>
        </w:rPr>
        <w:t xml:space="preserve">安全合同</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为在</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cs="宋体"/>
          <w:sz w:val="24"/>
          <w:szCs w:val="24"/>
        </w:rPr>
        <w:t xml:space="preserve">合同的实施过程中创造安全、高效的环境，切实搞好本项目的安全管理工作，本项目 </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（以下简称“甲方”）与</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（以下简称“乙方”）特此签订安全合同：</w:t>
      </w:r>
      <w:r/>
    </w:p>
    <w:p>
      <w:pPr>
        <w:ind w:firstLine="422"/>
        <w:jc w:val="left"/>
        <w:spacing w:line="480" w:lineRule="exact"/>
        <w:widowControl/>
        <w:rPr>
          <w:rFonts w:ascii="宋体" w:hAnsi="宋体" w:cs="宋体"/>
          <w:sz w:val="24"/>
          <w:szCs w:val="24"/>
        </w:rPr>
      </w:pPr>
      <w:r>
        <w:rPr>
          <w:rFonts w:hint="eastAsia" w:ascii="宋体" w:hAnsi="宋体" w:cs="宋体"/>
          <w:b/>
          <w:bCs/>
          <w:sz w:val="24"/>
          <w:szCs w:val="24"/>
        </w:rPr>
        <w:t xml:space="preserve">一、甲方职责</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1、严格遵守国家有关安全生产的法律法规，认真执行合同中的有关安全要求。</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2、按照“安全第一、预防为主”的原则进行安全管理。</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3、组织对乙方项目服务现场安全检查，监督乙方及时发现并处理各种安全隐患。</w:t>
      </w:r>
      <w:r/>
    </w:p>
    <w:p>
      <w:pPr>
        <w:ind w:firstLine="422"/>
        <w:jc w:val="left"/>
        <w:spacing w:line="480" w:lineRule="exact"/>
        <w:widowControl/>
        <w:rPr>
          <w:rFonts w:ascii="宋体" w:hAnsi="宋体" w:cs="宋体"/>
          <w:sz w:val="24"/>
          <w:szCs w:val="24"/>
        </w:rPr>
      </w:pPr>
      <w:r>
        <w:rPr>
          <w:rFonts w:hint="eastAsia" w:ascii="宋体" w:hAnsi="宋体" w:cs="宋体"/>
          <w:b/>
          <w:bCs/>
          <w:sz w:val="24"/>
          <w:szCs w:val="24"/>
        </w:rPr>
        <w:t xml:space="preserve">二、乙方职责</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1、严格遵守国家有关安全生产的法律法规、相关部门颁发的有关安全生产的规定，认真执行项目服务合同中的有关安全要求。</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2、坚持“安全第一、预防为主”的原则，加强安全宣传教育，增强全员安全意识，建立健全的安全管理机构和安全管理制度，配备专职及兼职安全检查人员，有组织有领导地开展活动。各级领导和具体服务人员，必须熟悉和遵守本条款的各项规定，做到服务与安全工作同时计划、布置、检查、总结和评比。</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3、建立健全安全责任制。从派往项目实施的</w:t>
      </w:r>
      <w:r>
        <w:rPr>
          <w:rFonts w:hint="eastAsia" w:ascii="宋体" w:hAnsi="宋体"/>
          <w:sz w:val="24"/>
          <w:szCs w:val="24"/>
        </w:rPr>
        <w:t xml:space="preserve">项目经理、现场管理人员</w:t>
      </w:r>
      <w:r>
        <w:rPr>
          <w:rFonts w:hint="eastAsia" w:ascii="宋体" w:hAnsi="宋体" w:cs="宋体"/>
          <w:sz w:val="24"/>
          <w:szCs w:val="24"/>
        </w:rPr>
        <w:t xml:space="preserve">到服务人员的安全生产管理系统必须做到纵向到底，一环不漏；各职能部门、人员的安全生产责任制做到横向到边，人人有责。项目经理是安全的第一责任人。</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4、乙方在任何时候都应采取各种合理的预防措施，防止其员工发生任何违法、违禁、暴力或防碍治安的行为。</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5、服务人员上岗，必须按规定穿戴防护用品。项目经理和现场管理人员应随时检查劳动防护用品的穿戴情况，不按规定穿戴防护用品的人员不得上岗。</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6、所有机具设备均应定期检查，并有签字记录，保证其经常处于完好状态；不合格的机具、设备和劳动保护用品严禁使用。</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7、乙方应对安全技术资料建立档案，安全技术资料应当真实、完整齐全。</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8、乙方应当接受甲方及政府安全监督机构对其安全生产的监督检查。对于检查单位下达的整改意见通知，乙方要立即予以整改，由此发生的费用乙方自负。</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9、乙方必须按照本项目特点，组织制定本项目实施中的安全事故应急救援预案；如果发生安全事故，应按照《国务院关于特大安全事故行政责任追究的规定》以及其它有关规定，及时上报有关部门，并坚持“三不放过”的原则，严肃处理相关责任人。</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10、发生重大伤亡及其他安全事故，乙方应按有关规定立即上报有关部门并通知甲方，同时按政府有关部门要求处理。</w:t>
      </w:r>
      <w:r/>
    </w:p>
    <w:p>
      <w:pPr>
        <w:ind w:firstLine="422"/>
        <w:jc w:val="left"/>
        <w:spacing w:line="480" w:lineRule="exact"/>
        <w:widowControl/>
        <w:rPr>
          <w:rFonts w:ascii="宋体" w:hAnsi="宋体" w:cs="宋体"/>
          <w:b/>
          <w:bCs/>
          <w:sz w:val="24"/>
          <w:szCs w:val="24"/>
        </w:rPr>
      </w:pPr>
      <w:r>
        <w:rPr>
          <w:rFonts w:hint="eastAsia" w:ascii="宋体" w:hAnsi="宋体" w:cs="宋体"/>
          <w:b/>
          <w:bCs/>
          <w:sz w:val="24"/>
          <w:szCs w:val="24"/>
        </w:rPr>
        <w:t xml:space="preserve">三、违约责任</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1、乙方应对发生在本项目服务期间的交通安全、安全事故（包括人损）负全部法律责任，并承担由此而产生的一切经济损失。</w:t>
      </w:r>
      <w:r/>
    </w:p>
    <w:p>
      <w:pPr>
        <w:ind w:firstLine="420"/>
        <w:jc w:val="left"/>
        <w:spacing w:line="480" w:lineRule="exact"/>
        <w:widowControl/>
        <w:rPr>
          <w:rFonts w:ascii="宋体" w:hAnsi="宋体" w:cs="宋体"/>
          <w:sz w:val="24"/>
          <w:szCs w:val="24"/>
        </w:rPr>
      </w:pPr>
      <w:r>
        <w:rPr>
          <w:rFonts w:hint="eastAsia" w:ascii="宋体" w:hAnsi="宋体" w:cs="宋体"/>
          <w:sz w:val="24"/>
          <w:szCs w:val="24"/>
        </w:rPr>
        <w:t xml:space="preserve">2、如乙方发生安全事故不及时妥善处理，引起纠纷或诉讼，甲方有权扣留其履约保证金和未付合同款用于支付事故处理费用。</w:t>
      </w:r>
      <w:r/>
    </w:p>
    <w:p>
      <w:pPr>
        <w:ind w:firstLine="420"/>
        <w:spacing w:line="480" w:lineRule="exact"/>
        <w:rPr>
          <w:rFonts w:ascii="宋体" w:hAnsi="宋体" w:cs="宋体"/>
          <w:sz w:val="24"/>
          <w:szCs w:val="24"/>
        </w:rPr>
      </w:pPr>
      <w:r>
        <w:rPr>
          <w:rFonts w:hint="eastAsia" w:ascii="宋体" w:hAnsi="宋体" w:cs="宋体"/>
          <w:sz w:val="24"/>
          <w:szCs w:val="24"/>
        </w:rPr>
        <w:t xml:space="preserve">3、本合同一式四份，正本二份、副本二份，甲、乙双方各执二份。由双方法定代表人（或负责人）或其授权的代理人签署与加盖公章后生效，</w:t>
      </w:r>
      <w:r>
        <w:rPr>
          <w:rFonts w:hint="eastAsia" w:hAnsi="宋体"/>
          <w:bCs/>
          <w:sz w:val="24"/>
          <w:szCs w:val="24"/>
        </w:rPr>
        <w:t xml:space="preserve">甲、乙双方所签定的安全合同的时效与服务合同时效等同</w:t>
      </w:r>
      <w:r>
        <w:rPr>
          <w:rFonts w:hint="eastAsia" w:ascii="宋体" w:hAnsi="宋体" w:cs="宋体"/>
          <w:sz w:val="24"/>
          <w:szCs w:val="24"/>
        </w:rPr>
        <w:t xml:space="preserve">。</w:t>
      </w:r>
      <w:r/>
    </w:p>
    <w:p>
      <w:pPr>
        <w:ind w:firstLine="840"/>
        <w:spacing w:line="500" w:lineRule="exact"/>
        <w:rPr>
          <w:rFonts w:ascii="宋体" w:hAnsi="宋体" w:cs="宋体"/>
          <w:sz w:val="24"/>
          <w:szCs w:val="24"/>
        </w:rPr>
      </w:pPr>
      <w:r>
        <w:rPr>
          <w:rFonts w:ascii="宋体" w:hAnsi="宋体" w:cs="宋体"/>
          <w:sz w:val="24"/>
          <w:szCs w:val="24"/>
        </w:rPr>
      </w:r>
      <w:r/>
    </w:p>
    <w:p>
      <w:pPr>
        <w:ind w:firstLine="480"/>
        <w:spacing w:line="500" w:lineRule="exact"/>
        <w:rPr>
          <w:rFonts w:ascii="宋体" w:hAnsi="宋体" w:cs="宋体"/>
          <w:sz w:val="24"/>
          <w:szCs w:val="24"/>
        </w:rPr>
      </w:pPr>
      <w:r>
        <w:rPr>
          <w:rFonts w:hint="eastAsia" w:ascii="宋体" w:hAnsi="宋体" w:cs="宋体"/>
          <w:sz w:val="24"/>
          <w:szCs w:val="24"/>
        </w:rPr>
        <w:t xml:space="preserve">甲方：（盖章）                               乙方：（盖章）</w:t>
      </w:r>
      <w:r/>
    </w:p>
    <w:p>
      <w:pPr>
        <w:ind w:firstLine="480"/>
        <w:spacing w:line="500" w:lineRule="exact"/>
        <w:rPr>
          <w:rFonts w:ascii="宋体" w:hAnsi="宋体" w:cs="宋体"/>
          <w:sz w:val="24"/>
          <w:szCs w:val="24"/>
        </w:rPr>
      </w:pPr>
      <w:r>
        <w:rPr>
          <w:rFonts w:hint="eastAsia" w:ascii="宋体" w:hAnsi="宋体" w:cs="宋体"/>
          <w:sz w:val="24"/>
          <w:szCs w:val="24"/>
        </w:rPr>
        <w:t xml:space="preserve">法定代表人（或负责人）  　　　　　　　　     法定代表人（或负责人）</w:t>
      </w:r>
      <w:r/>
    </w:p>
    <w:p>
      <w:pPr>
        <w:ind w:firstLine="480"/>
        <w:spacing w:line="500" w:lineRule="exact"/>
        <w:rPr>
          <w:rFonts w:ascii="宋体" w:hAnsi="宋体" w:cs="宋体"/>
          <w:sz w:val="24"/>
          <w:szCs w:val="24"/>
        </w:rPr>
      </w:pPr>
      <w:r>
        <w:rPr>
          <w:rFonts w:hint="eastAsia" w:ascii="宋体" w:hAnsi="宋体" w:cs="宋体"/>
          <w:sz w:val="24"/>
          <w:szCs w:val="24"/>
        </w:rPr>
        <w:t xml:space="preserve">或授权委托人：　　　　　　　　　　           或授权委托人：</w:t>
      </w:r>
      <w:r/>
    </w:p>
    <w:p>
      <w:pPr>
        <w:ind w:firstLine="480"/>
        <w:spacing w:line="500" w:lineRule="exact"/>
        <w:rPr>
          <w:rFonts w:ascii="宋体" w:hAnsi="宋体" w:cs="宋体"/>
          <w:sz w:val="24"/>
          <w:szCs w:val="24"/>
        </w:rPr>
      </w:pPr>
      <w:r>
        <w:rPr>
          <w:rFonts w:hint="eastAsia" w:ascii="宋体" w:hAnsi="宋体" w:cs="宋体"/>
          <w:sz w:val="24"/>
          <w:szCs w:val="24"/>
        </w:rPr>
        <w:t xml:space="preserve">签订日期：　　年　 月　 日                   签订日期： 　年　 月　 日</w:t>
      </w:r>
      <w:r/>
    </w:p>
    <w:p>
      <w:pPr>
        <w:jc w:val="center"/>
        <w:spacing w:line="360" w:lineRule="exact"/>
        <w:rPr>
          <w:rFonts w:ascii="宋体" w:hAnsi="宋体" w:cs="宋体"/>
          <w:b/>
          <w:color w:val="000000"/>
          <w:sz w:val="30"/>
          <w:szCs w:val="30"/>
        </w:rPr>
      </w:pPr>
      <w:r>
        <w:br w:type="page" w:clear="all"/>
      </w:r>
      <w:r>
        <w:rPr>
          <w:rFonts w:hint="eastAsia" w:ascii="宋体" w:hAnsi="宋体" w:cs="宋体"/>
          <w:b/>
          <w:color w:val="000000"/>
          <w:sz w:val="30"/>
          <w:szCs w:val="30"/>
        </w:rPr>
        <w:t xml:space="preserve">廉 政 合 同</w:t>
      </w:r>
      <w:r/>
    </w:p>
    <w:p>
      <w:pPr>
        <w:ind w:firstLine="482"/>
        <w:spacing w:line="480" w:lineRule="exact"/>
        <w:widowControl/>
        <w:rPr>
          <w:rFonts w:ascii="宋体" w:hAnsi="宋体" w:cs="宋体"/>
          <w:color w:val="000000"/>
          <w:sz w:val="24"/>
          <w:szCs w:val="24"/>
        </w:rPr>
      </w:pPr>
      <w:r>
        <w:rPr>
          <w:rFonts w:hint="eastAsia" w:ascii="宋体" w:hAnsi="宋体" w:cs="宋体"/>
          <w:b/>
          <w:color w:val="000000"/>
          <w:sz w:val="24"/>
          <w:szCs w:val="24"/>
        </w:rPr>
        <w:t xml:space="preserve">采购方：</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rPr>
        <w:t xml:space="preserve">（以下简称甲方）</w:t>
      </w:r>
      <w:r/>
    </w:p>
    <w:p>
      <w:pPr>
        <w:ind w:firstLine="482"/>
        <w:spacing w:line="480" w:lineRule="exact"/>
        <w:widowControl/>
        <w:rPr>
          <w:rFonts w:ascii="宋体" w:hAnsi="宋体" w:cs="宋体"/>
          <w:color w:val="000000"/>
          <w:sz w:val="24"/>
          <w:szCs w:val="24"/>
        </w:rPr>
      </w:pPr>
      <w:r>
        <w:rPr>
          <w:rFonts w:hint="eastAsia" w:ascii="宋体" w:hAnsi="宋体" w:cs="宋体"/>
          <w:b/>
          <w:color w:val="000000"/>
          <w:sz w:val="24"/>
          <w:szCs w:val="24"/>
        </w:rPr>
        <w:t xml:space="preserve">供应方：</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rPr>
        <w:t xml:space="preserve">（以下简称乙方）</w:t>
      </w:r>
      <w:r/>
    </w:p>
    <w:p>
      <w:pPr>
        <w:ind w:firstLine="480"/>
        <w:spacing w:line="480" w:lineRule="exact"/>
        <w:rPr>
          <w:rFonts w:ascii="宋体" w:hAnsi="宋体" w:cs="宋体"/>
          <w:sz w:val="24"/>
          <w:szCs w:val="24"/>
        </w:rPr>
      </w:pPr>
      <w:r>
        <w:rPr>
          <w:rFonts w:hint="eastAsia" w:ascii="宋体" w:hAnsi="宋体" w:cs="宋体"/>
          <w:sz w:val="24"/>
          <w:szCs w:val="24"/>
        </w:rPr>
        <w:t xml:space="preserve">为贯彻执行党风廉政法规，加强</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sz w:val="24"/>
          <w:szCs w:val="24"/>
        </w:rPr>
        <w:t xml:space="preserve">中的党风廉政建设，特订立本廉政合同。</w:t>
      </w:r>
      <w:r/>
    </w:p>
    <w:p>
      <w:pPr>
        <w:ind w:firstLine="480"/>
        <w:spacing w:line="480" w:lineRule="exact"/>
        <w:rPr>
          <w:rFonts w:ascii="宋体" w:hAnsi="宋体" w:cs="宋体"/>
          <w:sz w:val="24"/>
          <w:szCs w:val="24"/>
        </w:rPr>
      </w:pPr>
      <w:r>
        <w:rPr>
          <w:rFonts w:hint="eastAsia" w:ascii="宋体" w:hAnsi="宋体" w:cs="宋体"/>
          <w:sz w:val="24"/>
          <w:szCs w:val="24"/>
        </w:rPr>
        <w:t xml:space="preserve">一、甲乙双方约定</w:t>
      </w:r>
      <w:r/>
    </w:p>
    <w:p>
      <w:pPr>
        <w:ind w:firstLine="480"/>
        <w:spacing w:line="480" w:lineRule="exact"/>
        <w:rPr>
          <w:rFonts w:ascii="宋体" w:hAnsi="宋体" w:cs="宋体"/>
          <w:sz w:val="24"/>
          <w:szCs w:val="24"/>
        </w:rPr>
      </w:pPr>
      <w:r>
        <w:rPr>
          <w:rFonts w:hint="eastAsia" w:ascii="宋体" w:hAnsi="宋体" w:cs="宋体"/>
          <w:sz w:val="24"/>
          <w:szCs w:val="24"/>
        </w:rPr>
        <w:t xml:space="preserve">1、强化廉政意识，共同遵守《盐城市市场廉政准入规定（试行）》等党风廉政建设的各项规定。</w:t>
      </w:r>
      <w:r/>
    </w:p>
    <w:p>
      <w:pPr>
        <w:ind w:firstLine="480"/>
        <w:spacing w:line="480" w:lineRule="exact"/>
        <w:rPr>
          <w:rFonts w:ascii="宋体" w:hAnsi="宋体" w:cs="宋体"/>
          <w:color w:val="000000"/>
          <w:sz w:val="24"/>
          <w:szCs w:val="24"/>
        </w:rPr>
      </w:pPr>
      <w:r>
        <w:rPr>
          <w:rFonts w:hint="eastAsia" w:ascii="宋体" w:hAnsi="宋体" w:cs="宋体"/>
          <w:sz w:val="24"/>
          <w:szCs w:val="24"/>
        </w:rPr>
        <w:t xml:space="preserve">2、认真执行</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rPr>
        <w:t xml:space="preserve">合同文件，自觉按合同办事。</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3、除法定的商业秘密和合同文件另有规定之外，甲、乙双方的业务活动应坚持公开、公正、透明的原则，严谨损害国家和集体利益，以及违反法律、制度规定的不正当交易。</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4、加强本方人员的廉政监督，建立和健全廉政制度，认真查处违法违纪行为。</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5、对本方人员开展廉政告知、廉政教育和职业道德教育。</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6、如发现对方在业务活动中有违反廉政制度的行为，甲乙双方有及时提醒对方并督促其纠正的权利和义务。</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二、甲方在廉政建设方面的责任</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1、不得以任何形式向乙方索要和收受回扣。</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2、不得接受乙方礼金、礼品、有价证券和贵重物品，不得在乙方报销任何应由个人支付的费用。对无法推辞的礼金、礼品、有价证券和贵重物品应交见证部门登记。</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3、不得参加可能对公正执行公务有影响的宴请和娱乐、旅游活动。</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4、不得要求或者接受乙方为其住宅装修、婚丧嫁娶、家属子女的工作安排以及外出旅行等提供方便。</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5、不得在家接待乙方有关招投标和采购供应事项等涉及公务的询访。</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6、不得有其他违反廉政规定的行为。</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三、乙方在廉政建设方面的责任</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1、不得以任何理由向甲方人员行贿或馈赠礼品、礼金和有价证券。</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2、不得以甲方人员报支应由其支付的任何费用。</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3、不得邀请甲方工作人员外出旅游和参加由公款支付的各项高消费娱乐性活动。</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4、不得为甲方单位和个人购置或者提供通讯工具、交通工具、家电和高档办公用品。</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5、不得到甲方人员家里询访有关招标和采购事项。</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6、不得谋取私利擅自与甲方人员就项目承包、物资采购、设备供应项目的费用等问题私下商谈或达成默契。</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7、不得有其他违反廉政规定行为。</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四、违约责任</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1、甲方有违反本合同第一条第1至第5款和第二条的，除按党风廉政建设规定进行责任追究和执行主管部门有关处罚规定外，另外支付违约金</w:t>
      </w:r>
      <w:r>
        <w:rPr>
          <w:rFonts w:hint="eastAsia" w:ascii="宋体" w:hAnsi="宋体" w:cs="宋体"/>
          <w:color w:val="000000"/>
          <w:sz w:val="24"/>
          <w:szCs w:val="24"/>
          <w:u w:val="single"/>
        </w:rPr>
        <w:t xml:space="preserve">2000</w:t>
      </w:r>
      <w:r>
        <w:rPr>
          <w:rFonts w:hint="eastAsia" w:ascii="宋体" w:hAnsi="宋体" w:cs="宋体"/>
          <w:color w:val="000000"/>
          <w:sz w:val="24"/>
          <w:szCs w:val="24"/>
        </w:rPr>
        <w:t xml:space="preserve">元；给乙方造成损失的应于赔偿。</w:t>
      </w:r>
      <w:r/>
    </w:p>
    <w:p>
      <w:pPr>
        <w:ind w:firstLine="480"/>
        <w:spacing w:line="480" w:lineRule="exact"/>
        <w:rPr>
          <w:rFonts w:ascii="宋体" w:hAnsi="宋体" w:cs="宋体"/>
          <w:sz w:val="24"/>
          <w:szCs w:val="24"/>
        </w:rPr>
      </w:pPr>
      <w:r>
        <w:rPr>
          <w:rFonts w:hint="eastAsia" w:ascii="宋体" w:hAnsi="宋体" w:cs="宋体"/>
          <w:color w:val="000000"/>
          <w:sz w:val="24"/>
          <w:szCs w:val="24"/>
        </w:rPr>
        <w:t xml:space="preserve">2、乙方有违反本合同第一条第1至第5款和第三条的，</w:t>
      </w:r>
      <w:r>
        <w:rPr>
          <w:rFonts w:hint="eastAsia" w:ascii="宋体" w:hAnsi="宋体" w:cs="宋体"/>
          <w:sz w:val="24"/>
          <w:szCs w:val="24"/>
        </w:rPr>
        <w:t xml:space="preserve">除按《盐城市市场廉政准入规定（试行）》和行政主管部门有关规定处罚外，视情节轻重给与项目总价的</w:t>
      </w:r>
      <w:r>
        <w:rPr>
          <w:rFonts w:hint="eastAsia" w:ascii="宋体" w:hAnsi="宋体" w:cs="宋体"/>
          <w:sz w:val="24"/>
          <w:szCs w:val="24"/>
          <w:u w:val="single"/>
        </w:rPr>
        <w:t xml:space="preserve">5%</w:t>
      </w:r>
      <w:r>
        <w:rPr>
          <w:rFonts w:hint="eastAsia" w:ascii="宋体" w:hAnsi="宋体" w:cs="宋体"/>
          <w:sz w:val="24"/>
          <w:szCs w:val="24"/>
        </w:rPr>
        <w:t xml:space="preserve">违约处罚，并承担由此造成的损失。</w:t>
      </w:r>
      <w:r/>
    </w:p>
    <w:p>
      <w:pPr>
        <w:ind w:firstLine="480"/>
        <w:spacing w:line="480" w:lineRule="exact"/>
        <w:rPr>
          <w:rFonts w:ascii="宋体" w:hAnsi="宋体" w:cs="宋体"/>
          <w:sz w:val="24"/>
          <w:szCs w:val="24"/>
        </w:rPr>
      </w:pPr>
      <w:r>
        <w:rPr>
          <w:rFonts w:hint="eastAsia" w:ascii="宋体" w:hAnsi="宋体" w:cs="宋体"/>
          <w:sz w:val="24"/>
          <w:szCs w:val="24"/>
        </w:rPr>
        <w:t xml:space="preserve">3、甲方双方凡违反本合同规定的均要视情节追究纪律责任，情节严重的已经移送司法机关处理。</w:t>
      </w:r>
      <w:r/>
    </w:p>
    <w:p>
      <w:pPr>
        <w:ind w:firstLine="480"/>
        <w:spacing w:line="480" w:lineRule="exact"/>
        <w:rPr>
          <w:rFonts w:ascii="宋体" w:hAnsi="宋体" w:cs="宋体"/>
          <w:sz w:val="24"/>
          <w:szCs w:val="24"/>
        </w:rPr>
      </w:pPr>
      <w:r>
        <w:rPr>
          <w:rFonts w:hint="eastAsia" w:ascii="宋体" w:hAnsi="宋体" w:cs="宋体"/>
          <w:sz w:val="24"/>
          <w:szCs w:val="24"/>
        </w:rPr>
        <w:t xml:space="preserve">五、见证单位的约定和授权</w:t>
      </w:r>
      <w:r/>
    </w:p>
    <w:p>
      <w:pPr>
        <w:ind w:firstLine="480"/>
        <w:spacing w:line="480" w:lineRule="exact"/>
        <w:rPr>
          <w:rFonts w:ascii="宋体" w:hAnsi="宋体" w:cs="宋体"/>
          <w:sz w:val="24"/>
          <w:szCs w:val="24"/>
        </w:rPr>
      </w:pPr>
      <w:r>
        <w:rPr>
          <w:rFonts w:hint="eastAsia" w:ascii="宋体" w:hAnsi="宋体" w:cs="宋体"/>
          <w:sz w:val="24"/>
          <w:szCs w:val="24"/>
        </w:rPr>
        <w:t xml:space="preserve">1、双方约定：本合同的见证单位为各单位的内设纪检组织、市纪委派驻纪检组或纪检监察机关和检查机关。双方授权见证单位组织 本合同执行情况的检查，提出在本合同在规定范围内的意见。</w:t>
      </w:r>
      <w:r/>
    </w:p>
    <w:p>
      <w:pPr>
        <w:ind w:firstLine="480"/>
        <w:spacing w:line="480" w:lineRule="exact"/>
        <w:rPr>
          <w:rFonts w:ascii="宋体" w:hAnsi="宋体" w:cs="宋体"/>
          <w:sz w:val="24"/>
          <w:szCs w:val="24"/>
        </w:rPr>
      </w:pPr>
      <w:r>
        <w:rPr>
          <w:rFonts w:hint="eastAsia" w:ascii="宋体" w:hAnsi="宋体" w:cs="宋体"/>
          <w:sz w:val="24"/>
          <w:szCs w:val="24"/>
        </w:rPr>
        <w:t xml:space="preserve">六、检查方式</w:t>
      </w:r>
      <w:r/>
    </w:p>
    <w:p>
      <w:pPr>
        <w:ind w:firstLine="480"/>
        <w:spacing w:line="480" w:lineRule="exact"/>
        <w:rPr>
          <w:rFonts w:ascii="宋体" w:hAnsi="宋体" w:cs="宋体"/>
          <w:sz w:val="24"/>
          <w:szCs w:val="24"/>
        </w:rPr>
      </w:pPr>
      <w:r>
        <w:rPr>
          <w:rFonts w:hint="eastAsia" w:ascii="宋体" w:hAnsi="宋体" w:cs="宋体"/>
          <w:sz w:val="24"/>
          <w:szCs w:val="24"/>
        </w:rPr>
        <w:t xml:space="preserve">本合同的履约情况检查由甲乙双方共同派人参加。检查方式为座谈、问卷、调查、查阅资料或其他约定方式。检查时间、次数、检查方式和检查结论、处罚意见由见证单位依据事实确定或裁定。</w:t>
      </w:r>
      <w:r/>
    </w:p>
    <w:p>
      <w:pPr>
        <w:ind w:firstLine="480"/>
        <w:spacing w:line="480" w:lineRule="exact"/>
        <w:rPr>
          <w:rFonts w:ascii="宋体" w:hAnsi="宋体" w:cs="宋体"/>
          <w:sz w:val="24"/>
          <w:szCs w:val="24"/>
        </w:rPr>
      </w:pPr>
      <w:r>
        <w:rPr>
          <w:rFonts w:hint="eastAsia" w:ascii="宋体" w:hAnsi="宋体" w:cs="宋体"/>
          <w:sz w:val="24"/>
          <w:szCs w:val="24"/>
        </w:rPr>
        <w:t xml:space="preserve">七、本合同有效期自甲、乙双方签署之日起至该项目验收合格后合同价款付清时止。</w:t>
      </w:r>
      <w:r/>
    </w:p>
    <w:p>
      <w:pPr>
        <w:ind w:firstLine="480"/>
        <w:spacing w:line="480" w:lineRule="exact"/>
        <w:rPr>
          <w:rFonts w:ascii="宋体" w:hAnsi="宋体" w:cs="宋体"/>
          <w:sz w:val="24"/>
          <w:szCs w:val="24"/>
        </w:rPr>
      </w:pPr>
      <w:r>
        <w:rPr>
          <w:rFonts w:hint="eastAsia" w:ascii="宋体" w:hAnsi="宋体" w:cs="宋体"/>
          <w:sz w:val="24"/>
          <w:szCs w:val="24"/>
        </w:rPr>
        <w:t xml:space="preserve">八、本合同作为</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合同的附件，于本合同具有同等法律效力。</w:t>
      </w:r>
      <w:r/>
    </w:p>
    <w:p>
      <w:pPr>
        <w:ind w:firstLine="480"/>
        <w:spacing w:line="480" w:lineRule="exact"/>
        <w:rPr>
          <w:rFonts w:ascii="宋体" w:hAnsi="宋体" w:cs="宋体"/>
          <w:sz w:val="24"/>
          <w:szCs w:val="24"/>
        </w:rPr>
      </w:pPr>
      <w:r>
        <w:rPr>
          <w:rFonts w:hint="eastAsia" w:ascii="宋体" w:hAnsi="宋体" w:cs="宋体"/>
          <w:sz w:val="24"/>
          <w:szCs w:val="24"/>
        </w:rPr>
        <w:t xml:space="preserve">九、</w:t>
      </w:r>
      <w:r>
        <w:rPr>
          <w:rFonts w:ascii="宋体" w:hAnsi="宋体"/>
          <w:color w:val="000000"/>
          <w:sz w:val="24"/>
          <w:szCs w:val="24"/>
        </w:rPr>
        <w:t xml:space="preserve">本合同</w:t>
      </w:r>
      <w:r>
        <w:rPr>
          <w:rFonts w:hint="eastAsia" w:ascii="宋体" w:hAnsi="宋体"/>
          <w:color w:val="000000"/>
          <w:sz w:val="24"/>
          <w:szCs w:val="24"/>
        </w:rPr>
        <w:t xml:space="preserve">一式四份，正本二份、副本二份</w:t>
      </w:r>
      <w:r>
        <w:rPr>
          <w:rFonts w:ascii="宋体" w:hAnsi="宋体"/>
          <w:color w:val="000000"/>
          <w:sz w:val="24"/>
          <w:szCs w:val="24"/>
        </w:rPr>
        <w:t xml:space="preserve">，甲、乙双方各执</w:t>
      </w:r>
      <w:r>
        <w:rPr>
          <w:rFonts w:hint="eastAsia" w:ascii="宋体" w:hAnsi="宋体"/>
          <w:color w:val="000000"/>
          <w:sz w:val="24"/>
          <w:szCs w:val="24"/>
        </w:rPr>
        <w:t xml:space="preserve">二</w:t>
      </w:r>
      <w:r>
        <w:rPr>
          <w:rFonts w:ascii="宋体" w:hAnsi="宋体"/>
          <w:color w:val="000000"/>
          <w:sz w:val="24"/>
          <w:szCs w:val="24"/>
        </w:rPr>
        <w:t xml:space="preserve">份</w:t>
      </w:r>
      <w:r>
        <w:rPr>
          <w:rFonts w:hint="eastAsia" w:ascii="宋体" w:hAnsi="宋体" w:cs="宋体"/>
          <w:sz w:val="24"/>
          <w:szCs w:val="24"/>
        </w:rPr>
        <w:t xml:space="preserve">。</w:t>
      </w:r>
      <w:r/>
    </w:p>
    <w:p>
      <w:pPr>
        <w:ind w:firstLine="480"/>
        <w:spacing w:line="400" w:lineRule="exact"/>
        <w:rPr>
          <w:rFonts w:ascii="宋体" w:hAnsi="宋体" w:cs="宋体"/>
          <w:sz w:val="24"/>
          <w:szCs w:val="24"/>
        </w:rPr>
      </w:pPr>
      <w:r>
        <w:rPr>
          <w:rFonts w:ascii="宋体" w:hAnsi="宋体" w:cs="宋体"/>
          <w:sz w:val="24"/>
          <w:szCs w:val="24"/>
        </w:rPr>
      </w:r>
      <w:r/>
    </w:p>
    <w:p>
      <w:pPr>
        <w:ind w:firstLine="480"/>
        <w:spacing w:line="500" w:lineRule="exact"/>
        <w:rPr>
          <w:rFonts w:ascii="宋体" w:hAnsi="宋体" w:cs="宋体"/>
          <w:sz w:val="24"/>
          <w:szCs w:val="24"/>
        </w:rPr>
      </w:pPr>
      <w:r>
        <w:rPr>
          <w:rFonts w:hint="eastAsia" w:ascii="宋体" w:hAnsi="宋体" w:cs="宋体"/>
          <w:sz w:val="24"/>
          <w:szCs w:val="24"/>
        </w:rPr>
        <w:t xml:space="preserve">甲方：（盖章）                               </w:t>
      </w:r>
      <w:r>
        <w:rPr>
          <w:rFonts w:ascii="宋体" w:hAnsi="宋体" w:cs="宋体"/>
          <w:sz w:val="24"/>
          <w:szCs w:val="24"/>
        </w:rPr>
        <w:t xml:space="preserve"> </w:t>
      </w:r>
      <w:r>
        <w:rPr>
          <w:rFonts w:hint="eastAsia" w:ascii="宋体" w:hAnsi="宋体" w:cs="宋体"/>
          <w:sz w:val="24"/>
          <w:szCs w:val="24"/>
        </w:rPr>
        <w:t xml:space="preserve">乙方：（盖章）</w:t>
      </w:r>
      <w:r/>
    </w:p>
    <w:p>
      <w:pPr>
        <w:ind w:firstLine="480"/>
        <w:spacing w:line="500" w:lineRule="exact"/>
        <w:rPr>
          <w:rFonts w:ascii="宋体" w:hAnsi="宋体" w:cs="宋体"/>
          <w:sz w:val="24"/>
          <w:szCs w:val="24"/>
        </w:rPr>
      </w:pPr>
      <w:r>
        <w:rPr>
          <w:rFonts w:hint="eastAsia" w:ascii="宋体" w:hAnsi="宋体" w:cs="宋体"/>
          <w:sz w:val="24"/>
          <w:szCs w:val="24"/>
        </w:rPr>
        <w:t xml:space="preserve">法定代表人（或负责人）  　　　　　　　　      法定代表人（或负责人）</w:t>
      </w:r>
      <w:r/>
    </w:p>
    <w:p>
      <w:pPr>
        <w:ind w:firstLine="480"/>
        <w:spacing w:line="500" w:lineRule="exact"/>
        <w:rPr>
          <w:rFonts w:ascii="宋体" w:hAnsi="宋体" w:cs="宋体"/>
          <w:sz w:val="24"/>
          <w:szCs w:val="24"/>
        </w:rPr>
      </w:pPr>
      <w:r>
        <w:rPr>
          <w:rFonts w:hint="eastAsia" w:ascii="宋体" w:hAnsi="宋体" w:cs="宋体"/>
          <w:sz w:val="24"/>
          <w:szCs w:val="24"/>
        </w:rPr>
        <w:t xml:space="preserve">或授权委托人：　　　　　　　　　　           </w:t>
      </w:r>
      <w:r>
        <w:rPr>
          <w:rFonts w:ascii="宋体" w:hAnsi="宋体" w:cs="宋体"/>
          <w:sz w:val="24"/>
          <w:szCs w:val="24"/>
        </w:rPr>
        <w:t xml:space="preserve"> </w:t>
      </w:r>
      <w:r>
        <w:rPr>
          <w:rFonts w:hint="eastAsia" w:ascii="宋体" w:hAnsi="宋体" w:cs="宋体"/>
          <w:sz w:val="24"/>
          <w:szCs w:val="24"/>
        </w:rPr>
        <w:t xml:space="preserve">或授权委托人：</w:t>
      </w:r>
      <w:r/>
    </w:p>
    <w:p>
      <w:pPr>
        <w:ind w:firstLine="480"/>
        <w:spacing w:line="500" w:lineRule="exact"/>
        <w:rPr>
          <w:rFonts w:ascii="宋体" w:hAnsi="宋体" w:cs="宋体"/>
          <w:sz w:val="24"/>
          <w:szCs w:val="24"/>
        </w:rPr>
      </w:pPr>
      <w:r>
        <w:rPr>
          <w:rFonts w:hint="eastAsia" w:ascii="宋体" w:hAnsi="宋体" w:cs="宋体"/>
          <w:sz w:val="24"/>
          <w:szCs w:val="24"/>
        </w:rPr>
        <w:t xml:space="preserve">签订日期：　　年　 月　 日                   </w:t>
      </w:r>
      <w:r>
        <w:rPr>
          <w:rFonts w:ascii="宋体" w:hAnsi="宋体" w:cs="宋体"/>
          <w:sz w:val="24"/>
          <w:szCs w:val="24"/>
        </w:rPr>
        <w:t xml:space="preserve"> </w:t>
      </w:r>
      <w:r>
        <w:rPr>
          <w:rFonts w:hint="eastAsia" w:ascii="宋体" w:hAnsi="宋体" w:cs="宋体"/>
          <w:sz w:val="24"/>
          <w:szCs w:val="24"/>
        </w:rPr>
        <w:t xml:space="preserve">签订日期： 　年　 月　 日</w:t>
      </w:r>
      <w:r/>
    </w:p>
    <w:p>
      <w:pPr>
        <w:pStyle w:val="1030"/>
        <w:rPr>
          <w:rFonts w:ascii="宋体" w:hAnsi="宋体" w:eastAsia="宋体"/>
          <w:sz w:val="21"/>
          <w:szCs w:val="21"/>
        </w:rPr>
      </w:pPr>
      <w:r>
        <w:br w:type="page" w:clear="all"/>
      </w:r>
      <w:r>
        <w:rPr>
          <w:rFonts w:hint="eastAsia" w:ascii="宋体" w:hAnsi="宋体" w:eastAsia="宋体"/>
          <w:sz w:val="21"/>
          <w:szCs w:val="21"/>
        </w:rPr>
        <w:t xml:space="preserve">附件：</w:t>
      </w:r>
      <w:r/>
    </w:p>
    <w:p>
      <w:pPr>
        <w:ind w:firstLine="420"/>
        <w:jc w:val="left"/>
        <w:spacing w:line="480" w:lineRule="exact"/>
        <w:rPr>
          <w:rFonts w:ascii="宋体" w:hAnsi="宋体" w:cs="Courier New"/>
        </w:rPr>
      </w:pPr>
      <w:r>
        <w:rPr>
          <w:rFonts w:ascii="宋体" w:hAnsi="宋体" w:cs="Courier New"/>
        </w:rPr>
      </w:r>
      <w:r/>
    </w:p>
    <w:p>
      <w:pPr>
        <w:jc w:val="center"/>
        <w:rPr>
          <w:rFonts w:ascii="宋体" w:hAnsi="宋体"/>
          <w:color w:val="000000"/>
          <w:sz w:val="36"/>
        </w:rPr>
      </w:pPr>
      <w:r/>
      <w:bookmarkStart w:id="53" w:name="MOFFICE_OUTDOC_NTDOC__TITLE"/>
      <w:r>
        <w:rPr>
          <w:rFonts w:ascii="宋体" w:hAnsi="宋体"/>
          <w:color w:val="000000"/>
          <w:sz w:val="36"/>
        </w:rPr>
        <w:t xml:space="preserve">政府采购合同履约验收书（参考格式）</w:t>
      </w:r>
      <w:r/>
    </w:p>
    <w:p>
      <w:pPr>
        <w:ind w:firstLine="480"/>
        <w:jc w:val="left"/>
        <w:spacing w:line="560" w:lineRule="exact"/>
        <w:rPr>
          <w:rFonts w:ascii="宋体" w:hAnsi="宋体"/>
          <w:color w:val="505050"/>
          <w:sz w:val="24"/>
          <w:szCs w:val="24"/>
        </w:rPr>
      </w:pPr>
      <w:r>
        <w:rPr>
          <w:rFonts w:ascii="宋体" w:hAnsi="宋体"/>
          <w:color w:val="000000"/>
          <w:sz w:val="24"/>
          <w:szCs w:val="24"/>
        </w:rPr>
        <w:t xml:space="preserve">根据政府采购合同（编号：</w:t>
      </w:r>
      <w:r>
        <w:rPr>
          <w:rFonts w:ascii="宋体" w:hAnsi="宋体"/>
          <w:color w:val="000000"/>
          <w:sz w:val="24"/>
          <w:szCs w:val="24"/>
          <w:u w:val="single"/>
        </w:rPr>
        <w:t xml:space="preserve">          </w:t>
      </w:r>
      <w:r>
        <w:rPr>
          <w:rFonts w:ascii="宋体" w:hAnsi="宋体"/>
          <w:color w:val="000000"/>
          <w:sz w:val="24"/>
          <w:szCs w:val="24"/>
        </w:rPr>
        <w:t xml:space="preserve">）的约定，我单位组织对</w:t>
      </w:r>
      <w:r>
        <w:rPr>
          <w:rFonts w:ascii="宋体" w:hAnsi="宋体"/>
          <w:color w:val="000000"/>
          <w:sz w:val="24"/>
          <w:szCs w:val="24"/>
          <w:u w:val="single"/>
        </w:rPr>
        <w:t xml:space="preserve">（项目名称）</w:t>
      </w:r>
      <w:r>
        <w:rPr>
          <w:rFonts w:ascii="宋体" w:hAnsi="宋体"/>
          <w:color w:val="000000"/>
          <w:sz w:val="24"/>
          <w:szCs w:val="24"/>
        </w:rPr>
        <w:t xml:space="preserve">项目中标（成交）供应商</w:t>
      </w:r>
      <w:r>
        <w:rPr>
          <w:rFonts w:ascii="宋体" w:hAnsi="宋体"/>
          <w:color w:val="000000"/>
          <w:sz w:val="24"/>
          <w:szCs w:val="24"/>
          <w:u w:val="single"/>
        </w:rPr>
        <w:t xml:space="preserve">（公司名称）</w:t>
      </w:r>
      <w:r>
        <w:rPr>
          <w:rFonts w:ascii="宋体" w:hAnsi="宋体"/>
          <w:color w:val="000000"/>
          <w:sz w:val="24"/>
          <w:szCs w:val="24"/>
        </w:rPr>
        <w:t xml:space="preserve">提供的货物（工程、服务）进行了履约验收，验收情况如下：</w:t>
      </w:r>
      <w:bookmarkEnd w:id="53"/>
      <w:r/>
      <w:r/>
    </w:p>
    <w:tbl>
      <w:tblPr>
        <w:tblW w:w="9554" w:type="dxa"/>
        <w:jc w:val="center"/>
        <w:tblLayout w:type="fixed"/>
        <w:tblLook w:val="04A0" w:firstRow="1" w:lastRow="0" w:firstColumn="1" w:lastColumn="0" w:noHBand="0" w:noVBand="1"/>
      </w:tblPr>
      <w:tblGrid>
        <w:gridCol w:w="1712"/>
        <w:gridCol w:w="2719"/>
        <w:gridCol w:w="1750"/>
        <w:gridCol w:w="3373"/>
      </w:tblGrid>
      <w:tr>
        <w:trPr>
          <w:jc w:val="center"/>
          <w:trHeight w:val="855"/>
        </w:trPr>
        <w:tc>
          <w:tcPr>
            <w:tcBorders>
              <w:top w:val="single" w:color="auto" w:sz="8" w:space="0"/>
              <w:left w:val="single" w:color="auto" w:sz="8" w:space="0"/>
              <w:bottom w:val="single" w:color="auto" w:sz="4" w:space="0"/>
              <w:right w:val="single" w:color="auto" w:sz="4" w:space="0"/>
            </w:tcBorders>
            <w:tcW w:w="1712" w:type="dxa"/>
            <w:vAlign w:val="center"/>
            <w:textDirection w:val="lrTb"/>
            <w:noWrap w:val="false"/>
          </w:tcPr>
          <w:p>
            <w:pPr>
              <w:jc w:val="center"/>
              <w:spacing w:line="360" w:lineRule="exact"/>
              <w:rPr>
                <w:rFonts w:ascii="宋体" w:hAnsi="宋体"/>
                <w:color w:val="000000"/>
                <w:sz w:val="24"/>
                <w:szCs w:val="24"/>
              </w:rPr>
            </w:pPr>
            <w:r>
              <w:rPr>
                <w:rFonts w:ascii="宋体" w:hAnsi="宋体"/>
                <w:color w:val="000000"/>
                <w:sz w:val="24"/>
                <w:szCs w:val="24"/>
              </w:rPr>
              <w:t xml:space="preserve">项目名称</w:t>
            </w:r>
            <w:r/>
          </w:p>
        </w:tc>
        <w:tc>
          <w:tcPr>
            <w:tcBorders>
              <w:top w:val="single" w:color="auto" w:sz="8" w:space="0"/>
              <w:left w:val="none" w:color="000000" w:sz="4" w:space="0"/>
              <w:bottom w:val="single" w:color="auto" w:sz="4" w:space="0"/>
              <w:right w:val="single" w:color="auto" w:sz="4" w:space="0"/>
            </w:tcBorders>
            <w:tcW w:w="2719" w:type="dxa"/>
            <w:vAlign w:val="center"/>
            <w:textDirection w:val="lrTb"/>
            <w:noWrap w:val="false"/>
          </w:tcPr>
          <w:p>
            <w:pPr>
              <w:jc w:val="center"/>
              <w:spacing w:line="360" w:lineRule="exact"/>
              <w:rPr>
                <w:rFonts w:ascii="宋体" w:hAnsi="宋体"/>
                <w:color w:val="000000"/>
                <w:sz w:val="24"/>
                <w:szCs w:val="24"/>
              </w:rPr>
            </w:pPr>
            <w:r>
              <w:rPr>
                <w:rFonts w:ascii="宋体" w:hAnsi="宋体"/>
                <w:color w:val="000000"/>
                <w:sz w:val="24"/>
                <w:szCs w:val="24"/>
              </w:rPr>
            </w:r>
            <w:r/>
          </w:p>
        </w:tc>
        <w:tc>
          <w:tcPr>
            <w:tcBorders>
              <w:top w:val="single" w:color="auto" w:sz="8" w:space="0"/>
              <w:left w:val="none" w:color="000000" w:sz="4" w:space="0"/>
              <w:bottom w:val="single" w:color="auto" w:sz="4" w:space="0"/>
              <w:right w:val="single" w:color="auto" w:sz="4" w:space="0"/>
            </w:tcBorders>
            <w:tcW w:w="1750" w:type="dxa"/>
            <w:vAlign w:val="center"/>
            <w:textDirection w:val="lrTb"/>
            <w:noWrap w:val="false"/>
          </w:tcPr>
          <w:p>
            <w:pPr>
              <w:jc w:val="center"/>
              <w:spacing w:line="360" w:lineRule="exact"/>
              <w:rPr>
                <w:rFonts w:ascii="宋体" w:hAnsi="宋体"/>
                <w:color w:val="000000"/>
                <w:sz w:val="24"/>
                <w:szCs w:val="24"/>
              </w:rPr>
            </w:pPr>
            <w:r>
              <w:rPr>
                <w:rFonts w:ascii="宋体" w:hAnsi="宋体"/>
                <w:color w:val="000000"/>
                <w:sz w:val="24"/>
                <w:szCs w:val="24"/>
              </w:rPr>
              <w:t xml:space="preserve">项目地点</w:t>
            </w:r>
            <w:r/>
          </w:p>
        </w:tc>
        <w:tc>
          <w:tcPr>
            <w:tcBorders>
              <w:top w:val="single" w:color="auto" w:sz="8" w:space="0"/>
              <w:left w:val="none" w:color="000000" w:sz="4" w:space="0"/>
              <w:bottom w:val="single" w:color="auto" w:sz="4" w:space="0"/>
              <w:right w:val="single" w:color="auto" w:sz="8" w:space="0"/>
            </w:tcBorders>
            <w:tcW w:w="3373" w:type="dxa"/>
            <w:vAlign w:val="center"/>
            <w:textDirection w:val="lrTb"/>
            <w:noWrap w:val="false"/>
          </w:tcPr>
          <w:p>
            <w:pPr>
              <w:jc w:val="center"/>
              <w:spacing w:line="360" w:lineRule="exact"/>
              <w:rPr>
                <w:rFonts w:ascii="宋体" w:hAnsi="宋体"/>
                <w:color w:val="000000"/>
                <w:sz w:val="24"/>
                <w:szCs w:val="24"/>
              </w:rPr>
            </w:pPr>
            <w:r>
              <w:rPr>
                <w:rFonts w:ascii="宋体" w:hAnsi="宋体"/>
                <w:color w:val="000000"/>
                <w:sz w:val="24"/>
                <w:szCs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1712" w:type="dxa"/>
            <w:vAlign w:val="center"/>
            <w:textDirection w:val="lrTb"/>
            <w:noWrap w:val="false"/>
          </w:tcPr>
          <w:p>
            <w:pPr>
              <w:jc w:val="center"/>
              <w:spacing w:line="360" w:lineRule="exact"/>
              <w:rPr>
                <w:rFonts w:ascii="宋体" w:hAnsi="宋体"/>
                <w:color w:val="000000"/>
                <w:sz w:val="24"/>
                <w:szCs w:val="24"/>
              </w:rPr>
            </w:pPr>
            <w:r>
              <w:rPr>
                <w:rFonts w:ascii="宋体" w:hAnsi="宋体"/>
                <w:color w:val="000000"/>
                <w:sz w:val="24"/>
                <w:szCs w:val="24"/>
              </w:rPr>
              <w:t xml:space="preserve">预算金额</w:t>
            </w:r>
            <w:r/>
          </w:p>
        </w:tc>
        <w:tc>
          <w:tcPr>
            <w:tcBorders>
              <w:top w:val="single" w:color="auto" w:sz="4" w:space="0"/>
              <w:left w:val="none" w:color="000000" w:sz="4" w:space="0"/>
              <w:bottom w:val="single" w:color="auto" w:sz="4" w:space="0"/>
              <w:right w:val="single" w:color="auto" w:sz="4" w:space="0"/>
            </w:tcBorders>
            <w:tcW w:w="2719" w:type="dxa"/>
            <w:vAlign w:val="center"/>
            <w:textDirection w:val="lrTb"/>
            <w:noWrap w:val="false"/>
          </w:tcPr>
          <w:p>
            <w:pPr>
              <w:jc w:val="center"/>
              <w:spacing w:line="360" w:lineRule="exact"/>
              <w:rPr>
                <w:rFonts w:ascii="宋体" w:hAnsi="宋体"/>
                <w:color w:val="000000"/>
                <w:sz w:val="24"/>
                <w:szCs w:val="24"/>
              </w:rPr>
            </w:pPr>
            <w:r>
              <w:rPr>
                <w:rFonts w:ascii="宋体" w:hAnsi="宋体"/>
                <w:color w:val="000000"/>
                <w:sz w:val="24"/>
                <w:szCs w:val="24"/>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jc w:val="center"/>
              <w:spacing w:line="360" w:lineRule="exact"/>
              <w:rPr>
                <w:rFonts w:ascii="宋体" w:hAnsi="宋体"/>
                <w:color w:val="000000"/>
                <w:sz w:val="24"/>
                <w:szCs w:val="24"/>
              </w:rPr>
            </w:pPr>
            <w:r>
              <w:rPr>
                <w:rFonts w:ascii="宋体" w:hAnsi="宋体"/>
                <w:color w:val="000000"/>
                <w:sz w:val="24"/>
                <w:szCs w:val="24"/>
              </w:rPr>
              <w:t xml:space="preserve">承接单位</w:t>
            </w:r>
            <w:r/>
          </w:p>
        </w:tc>
        <w:tc>
          <w:tcPr>
            <w:tcBorders>
              <w:top w:val="none" w:color="000000" w:sz="4" w:space="0"/>
              <w:left w:val="single" w:color="auto" w:sz="4" w:space="0"/>
              <w:bottom w:val="single" w:color="auto" w:sz="4" w:space="0"/>
              <w:right w:val="single" w:color="auto" w:sz="8" w:space="0"/>
            </w:tcBorders>
            <w:tcW w:w="3373" w:type="dxa"/>
            <w:vAlign w:val="center"/>
            <w:textDirection w:val="lrTb"/>
            <w:noWrap w:val="false"/>
          </w:tcPr>
          <w:p>
            <w:pPr>
              <w:jc w:val="left"/>
              <w:spacing w:line="360" w:lineRule="exact"/>
              <w:rPr>
                <w:rFonts w:ascii="宋体" w:hAnsi="宋体"/>
                <w:color w:val="000000"/>
                <w:sz w:val="24"/>
                <w:szCs w:val="24"/>
              </w:rPr>
            </w:pPr>
            <w:r>
              <w:rPr>
                <w:rFonts w:ascii="宋体" w:hAnsi="宋体"/>
                <w:color w:val="000000"/>
                <w:sz w:val="24"/>
                <w:szCs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1712" w:type="dxa"/>
            <w:vAlign w:val="center"/>
            <w:textDirection w:val="lrTb"/>
            <w:noWrap w:val="false"/>
          </w:tcPr>
          <w:p>
            <w:pPr>
              <w:jc w:val="center"/>
              <w:spacing w:line="360" w:lineRule="exact"/>
              <w:rPr>
                <w:rFonts w:ascii="宋体" w:hAnsi="宋体"/>
                <w:color w:val="000000"/>
                <w:sz w:val="24"/>
                <w:szCs w:val="24"/>
              </w:rPr>
            </w:pPr>
            <w:r>
              <w:rPr>
                <w:rFonts w:ascii="宋体" w:hAnsi="宋体"/>
                <w:color w:val="000000"/>
                <w:sz w:val="24"/>
                <w:szCs w:val="24"/>
              </w:rPr>
              <w:t xml:space="preserve">合同时间</w:t>
            </w:r>
            <w:r/>
          </w:p>
        </w:tc>
        <w:tc>
          <w:tcPr>
            <w:tcBorders>
              <w:top w:val="single" w:color="auto" w:sz="4" w:space="0"/>
              <w:left w:val="none" w:color="000000" w:sz="4" w:space="0"/>
              <w:bottom w:val="single" w:color="auto" w:sz="4" w:space="0"/>
              <w:right w:val="single" w:color="auto" w:sz="4" w:space="0"/>
            </w:tcBorders>
            <w:tcW w:w="2719" w:type="dxa"/>
            <w:vAlign w:val="center"/>
            <w:textDirection w:val="lrTb"/>
            <w:noWrap w:val="false"/>
          </w:tcPr>
          <w:p>
            <w:pPr>
              <w:jc w:val="center"/>
              <w:spacing w:line="360" w:lineRule="exact"/>
              <w:rPr>
                <w:rFonts w:ascii="宋体" w:hAnsi="宋体"/>
                <w:color w:val="000000"/>
                <w:sz w:val="24"/>
                <w:szCs w:val="24"/>
              </w:rPr>
            </w:pPr>
            <w:r>
              <w:rPr>
                <w:rFonts w:ascii="宋体" w:hAnsi="宋体"/>
                <w:color w:val="000000"/>
                <w:sz w:val="24"/>
                <w:szCs w:val="24"/>
              </w:rPr>
            </w:r>
            <w:r/>
          </w:p>
        </w:tc>
        <w:tc>
          <w:tcPr>
            <w:tcBorders>
              <w:top w:val="single" w:color="auto" w:sz="4" w:space="0"/>
              <w:left w:val="none" w:color="000000" w:sz="4" w:space="0"/>
              <w:bottom w:val="single" w:color="auto" w:sz="4" w:space="0"/>
              <w:right w:val="single" w:color="auto" w:sz="4" w:space="0"/>
            </w:tcBorders>
            <w:tcW w:w="1750" w:type="dxa"/>
            <w:vAlign w:val="center"/>
            <w:textDirection w:val="lrTb"/>
            <w:noWrap w:val="false"/>
          </w:tcPr>
          <w:p>
            <w:pPr>
              <w:jc w:val="center"/>
              <w:spacing w:line="360" w:lineRule="exact"/>
              <w:rPr>
                <w:rFonts w:ascii="宋体" w:hAnsi="宋体"/>
                <w:color w:val="000000"/>
                <w:sz w:val="24"/>
                <w:szCs w:val="24"/>
              </w:rPr>
            </w:pPr>
            <w:r>
              <w:rPr>
                <w:rFonts w:ascii="宋体" w:hAnsi="宋体"/>
                <w:color w:val="000000"/>
                <w:sz w:val="24"/>
                <w:szCs w:val="24"/>
              </w:rPr>
              <w:t xml:space="preserve">项目开始时间</w:t>
            </w:r>
            <w:r/>
          </w:p>
        </w:tc>
        <w:tc>
          <w:tcPr>
            <w:tcBorders>
              <w:top w:val="none" w:color="000000" w:sz="4" w:space="0"/>
              <w:left w:val="none" w:color="000000" w:sz="4" w:space="0"/>
              <w:bottom w:val="single" w:color="auto" w:sz="4" w:space="0"/>
              <w:right w:val="single" w:color="auto" w:sz="8" w:space="0"/>
            </w:tcBorders>
            <w:tcW w:w="3373" w:type="dxa"/>
            <w:vAlign w:val="center"/>
            <w:textDirection w:val="lrTb"/>
            <w:noWrap w:val="false"/>
          </w:tcPr>
          <w:p>
            <w:pPr>
              <w:jc w:val="center"/>
              <w:spacing w:line="360" w:lineRule="exact"/>
              <w:rPr>
                <w:rFonts w:ascii="宋体" w:hAnsi="宋体"/>
                <w:color w:val="000000"/>
                <w:sz w:val="24"/>
                <w:szCs w:val="24"/>
              </w:rPr>
            </w:pPr>
            <w:r>
              <w:rPr>
                <w:rFonts w:ascii="宋体" w:hAnsi="宋体"/>
                <w:color w:val="000000"/>
                <w:sz w:val="24"/>
                <w:szCs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1712" w:type="dxa"/>
            <w:vAlign w:val="center"/>
            <w:textDirection w:val="lrTb"/>
            <w:noWrap w:val="false"/>
          </w:tcPr>
          <w:p>
            <w:pPr>
              <w:jc w:val="center"/>
              <w:spacing w:line="360" w:lineRule="exact"/>
              <w:rPr>
                <w:rFonts w:ascii="宋体" w:hAnsi="宋体"/>
                <w:color w:val="000000"/>
                <w:sz w:val="24"/>
                <w:szCs w:val="24"/>
              </w:rPr>
            </w:pPr>
            <w:r>
              <w:rPr>
                <w:rFonts w:ascii="宋体" w:hAnsi="宋体"/>
                <w:color w:val="000000"/>
                <w:sz w:val="24"/>
                <w:szCs w:val="24"/>
              </w:rPr>
              <w:t xml:space="preserve">项目结束时间</w:t>
            </w:r>
            <w:r/>
          </w:p>
        </w:tc>
        <w:tc>
          <w:tcPr>
            <w:tcBorders>
              <w:top w:val="single" w:color="auto" w:sz="4" w:space="0"/>
              <w:left w:val="none" w:color="000000" w:sz="4" w:space="0"/>
              <w:bottom w:val="single" w:color="auto" w:sz="4" w:space="0"/>
              <w:right w:val="single" w:color="auto" w:sz="4" w:space="0"/>
            </w:tcBorders>
            <w:tcW w:w="2719" w:type="dxa"/>
            <w:vAlign w:val="center"/>
            <w:textDirection w:val="lrTb"/>
            <w:noWrap w:val="false"/>
          </w:tcPr>
          <w:p>
            <w:pPr>
              <w:jc w:val="center"/>
              <w:spacing w:line="360" w:lineRule="exact"/>
              <w:rPr>
                <w:rFonts w:ascii="宋体" w:hAnsi="宋体"/>
                <w:color w:val="000000"/>
                <w:sz w:val="24"/>
                <w:szCs w:val="24"/>
              </w:rPr>
            </w:pPr>
            <w:r>
              <w:rPr>
                <w:rFonts w:ascii="宋体" w:hAnsi="宋体"/>
                <w:color w:val="000000"/>
                <w:sz w:val="24"/>
                <w:szCs w:val="24"/>
              </w:rPr>
            </w:r>
            <w:r/>
          </w:p>
        </w:tc>
        <w:tc>
          <w:tcPr>
            <w:tcBorders>
              <w:top w:val="none" w:color="000000" w:sz="4" w:space="0"/>
              <w:left w:val="none" w:color="000000" w:sz="4" w:space="0"/>
              <w:bottom w:val="single" w:color="auto" w:sz="4" w:space="0"/>
              <w:right w:val="single" w:color="auto" w:sz="4" w:space="0"/>
            </w:tcBorders>
            <w:tcW w:w="1750" w:type="dxa"/>
            <w:vAlign w:val="center"/>
            <w:textDirection w:val="lrTb"/>
            <w:noWrap w:val="false"/>
          </w:tcPr>
          <w:p>
            <w:pPr>
              <w:jc w:val="center"/>
              <w:spacing w:line="360" w:lineRule="exact"/>
              <w:rPr>
                <w:rFonts w:ascii="宋体" w:hAnsi="宋体"/>
                <w:color w:val="000000"/>
                <w:sz w:val="24"/>
                <w:szCs w:val="24"/>
              </w:rPr>
            </w:pPr>
            <w:r>
              <w:rPr>
                <w:rFonts w:ascii="宋体" w:hAnsi="宋体"/>
                <w:color w:val="000000"/>
                <w:sz w:val="24"/>
                <w:szCs w:val="24"/>
              </w:rPr>
              <w:t xml:space="preserve">项目联系人</w:t>
            </w:r>
            <w:r/>
          </w:p>
        </w:tc>
        <w:tc>
          <w:tcPr>
            <w:tcBorders>
              <w:top w:val="none" w:color="000000" w:sz="4" w:space="0"/>
              <w:left w:val="none" w:color="000000" w:sz="4" w:space="0"/>
              <w:bottom w:val="single" w:color="auto" w:sz="4" w:space="0"/>
              <w:right w:val="single" w:color="auto" w:sz="8" w:space="0"/>
            </w:tcBorders>
            <w:tcW w:w="3373" w:type="dxa"/>
            <w:vAlign w:val="center"/>
            <w:textDirection w:val="lrTb"/>
            <w:noWrap w:val="false"/>
          </w:tcPr>
          <w:p>
            <w:pPr>
              <w:jc w:val="center"/>
              <w:spacing w:line="360" w:lineRule="exact"/>
              <w:rPr>
                <w:rFonts w:ascii="宋体" w:hAnsi="宋体"/>
                <w:color w:val="000000"/>
                <w:sz w:val="24"/>
                <w:szCs w:val="24"/>
              </w:rPr>
            </w:pPr>
            <w:r>
              <w:rPr>
                <w:rFonts w:ascii="宋体" w:hAnsi="宋体"/>
                <w:color w:val="000000"/>
                <w:sz w:val="24"/>
                <w:szCs w:val="24"/>
              </w:rPr>
            </w:r>
            <w:r/>
          </w:p>
        </w:tc>
      </w:tr>
      <w:tr>
        <w:trPr>
          <w:jc w:val="center"/>
          <w:trHeight w:val="1861"/>
        </w:trPr>
        <w:tc>
          <w:tcPr>
            <w:gridSpan w:val="4"/>
            <w:tcBorders>
              <w:top w:val="single" w:color="auto" w:sz="4" w:space="0"/>
              <w:left w:val="single" w:color="auto" w:sz="8" w:space="0"/>
              <w:bottom w:val="single" w:color="auto" w:sz="4" w:space="0"/>
              <w:right w:val="single" w:color="000000" w:sz="8" w:space="0"/>
            </w:tcBorders>
            <w:tcW w:w="9554" w:type="dxa"/>
            <w:textDirection w:val="lrTb"/>
            <w:noWrap w:val="false"/>
          </w:tcPr>
          <w:p>
            <w:pPr>
              <w:jc w:val="center"/>
              <w:rPr>
                <w:rFonts w:ascii="宋体" w:hAnsi="宋体"/>
                <w:b/>
                <w:bCs/>
                <w:color w:val="000000"/>
                <w:sz w:val="24"/>
                <w:szCs w:val="24"/>
              </w:rPr>
            </w:pPr>
            <w:r>
              <w:rPr>
                <w:rFonts w:ascii="宋体" w:hAnsi="宋体"/>
                <w:b/>
                <w:bCs/>
                <w:color w:val="000000"/>
                <w:sz w:val="24"/>
                <w:szCs w:val="24"/>
              </w:rPr>
              <w:t xml:space="preserve">验收情况和验收意见</w:t>
            </w:r>
            <w:r/>
          </w:p>
          <w:p>
            <w:pPr>
              <w:rPr>
                <w:rFonts w:ascii="宋体" w:hAnsi="宋体"/>
                <w:color w:val="000000"/>
                <w:sz w:val="24"/>
                <w:szCs w:val="24"/>
              </w:rPr>
            </w:pPr>
            <w:r>
              <w:rPr>
                <w:rFonts w:ascii="宋体" w:hAnsi="宋体"/>
                <w:color w:val="000000"/>
                <w:sz w:val="24"/>
                <w:szCs w:val="24"/>
              </w:rPr>
              <w:t xml:space="preserve">（可另附）</w:t>
            </w:r>
            <w:r/>
          </w:p>
          <w:p>
            <w:pPr>
              <w:ind w:firstLine="480"/>
              <w:rPr>
                <w:rFonts w:ascii="宋体" w:hAnsi="宋体"/>
                <w:color w:val="000000"/>
                <w:sz w:val="24"/>
                <w:szCs w:val="24"/>
              </w:rPr>
            </w:pPr>
            <w:r>
              <w:rPr>
                <w:rFonts w:ascii="宋体" w:hAnsi="宋体"/>
                <w:color w:val="000000"/>
                <w:sz w:val="24"/>
                <w:szCs w:val="24"/>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554" w:type="dxa"/>
            <w:textDirection w:val="lrTb"/>
            <w:noWrap w:val="false"/>
          </w:tcPr>
          <w:p>
            <w:pPr>
              <w:jc w:val="left"/>
              <w:rPr>
                <w:rFonts w:ascii="宋体" w:hAnsi="宋体"/>
                <w:sz w:val="24"/>
                <w:szCs w:val="24"/>
              </w:rPr>
            </w:pPr>
            <w:r>
              <w:rPr>
                <w:rFonts w:ascii="宋体" w:hAnsi="宋体"/>
                <w:sz w:val="24"/>
                <w:szCs w:val="24"/>
              </w:rPr>
              <w:t xml:space="preserve">验收小组（签</w:t>
            </w:r>
            <w:r>
              <w:rPr>
                <w:rFonts w:hint="eastAsia" w:ascii="宋体" w:hAnsi="宋体"/>
                <w:sz w:val="24"/>
                <w:szCs w:val="24"/>
              </w:rPr>
              <w:t xml:space="preserve">名</w:t>
            </w:r>
            <w:r>
              <w:rPr>
                <w:rFonts w:ascii="宋体" w:hAnsi="宋体"/>
                <w:sz w:val="24"/>
                <w:szCs w:val="24"/>
              </w:rPr>
              <w:t xml:space="preserve">）：</w:t>
            </w:r>
            <w:r/>
          </w:p>
          <w:p>
            <w:pPr>
              <w:jc w:val="left"/>
              <w:rPr>
                <w:rFonts w:ascii="宋体" w:hAnsi="宋体"/>
                <w:color w:val="000000"/>
                <w:sz w:val="24"/>
                <w:szCs w:val="24"/>
              </w:rPr>
            </w:pPr>
            <w:r>
              <w:rPr>
                <w:rFonts w:ascii="宋体" w:hAnsi="宋体"/>
                <w:color w:val="000000"/>
                <w:sz w:val="24"/>
                <w:szCs w:val="24"/>
              </w:rPr>
            </w:r>
            <w:r/>
          </w:p>
          <w:p>
            <w:pPr>
              <w:jc w:val="left"/>
              <w:rPr>
                <w:rFonts w:ascii="宋体" w:hAnsi="宋体"/>
                <w:color w:val="000000"/>
                <w:sz w:val="24"/>
                <w:szCs w:val="24"/>
              </w:rPr>
            </w:pPr>
            <w:r>
              <w:rPr>
                <w:rFonts w:ascii="宋体" w:hAnsi="宋体"/>
                <w:color w:val="000000"/>
                <w:sz w:val="24"/>
                <w:szCs w:val="24"/>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554" w:type="dxa"/>
            <w:textDirection w:val="lrTb"/>
            <w:noWrap w:val="false"/>
          </w:tcPr>
          <w:p>
            <w:pPr>
              <w:jc w:val="left"/>
              <w:rPr>
                <w:rFonts w:ascii="宋体" w:hAnsi="宋体"/>
                <w:color w:val="000000"/>
                <w:sz w:val="24"/>
                <w:szCs w:val="24"/>
              </w:rPr>
            </w:pPr>
            <w:r>
              <w:rPr>
                <w:rFonts w:ascii="宋体" w:hAnsi="宋体"/>
                <w:color w:val="000000"/>
                <w:sz w:val="24"/>
                <w:szCs w:val="24"/>
              </w:rPr>
              <w:t xml:space="preserve">供应商确认意见（签章）：</w:t>
            </w:r>
            <w:r/>
          </w:p>
          <w:p>
            <w:pPr>
              <w:jc w:val="left"/>
              <w:rPr>
                <w:rFonts w:ascii="宋体" w:hAnsi="宋体"/>
                <w:color w:val="000000"/>
                <w:sz w:val="24"/>
                <w:szCs w:val="24"/>
              </w:rPr>
            </w:pPr>
            <w:r>
              <w:rPr>
                <w:rFonts w:ascii="宋体" w:hAnsi="宋体"/>
                <w:color w:val="000000"/>
                <w:sz w:val="24"/>
                <w:szCs w:val="24"/>
              </w:rPr>
            </w:r>
            <w:r/>
          </w:p>
          <w:p>
            <w:pPr>
              <w:jc w:val="left"/>
              <w:rPr>
                <w:rFonts w:ascii="宋体" w:hAnsi="宋体"/>
                <w:color w:val="000000"/>
                <w:sz w:val="24"/>
                <w:szCs w:val="24"/>
              </w:rPr>
            </w:pPr>
            <w:r>
              <w:rPr>
                <w:rFonts w:ascii="宋体" w:hAnsi="宋体"/>
                <w:color w:val="000000"/>
                <w:sz w:val="24"/>
                <w:szCs w:val="24"/>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554" w:type="dxa"/>
            <w:textDirection w:val="lrTb"/>
            <w:noWrap w:val="false"/>
          </w:tcPr>
          <w:p>
            <w:pPr>
              <w:jc w:val="left"/>
              <w:rPr>
                <w:rFonts w:ascii="宋体" w:hAnsi="宋体"/>
                <w:color w:val="000000"/>
                <w:sz w:val="24"/>
                <w:szCs w:val="24"/>
              </w:rPr>
            </w:pPr>
            <w:r>
              <w:rPr>
                <w:rFonts w:ascii="宋体" w:hAnsi="宋体"/>
                <w:color w:val="000000"/>
                <w:sz w:val="24"/>
                <w:szCs w:val="24"/>
              </w:rPr>
              <w:t xml:space="preserve">采购人确认意见（签章）：</w:t>
            </w:r>
            <w:r/>
          </w:p>
          <w:p>
            <w:pPr>
              <w:jc w:val="left"/>
              <w:rPr>
                <w:rFonts w:ascii="宋体" w:hAnsi="宋体"/>
                <w:color w:val="000000"/>
                <w:sz w:val="24"/>
                <w:szCs w:val="24"/>
              </w:rPr>
            </w:pPr>
            <w:r>
              <w:rPr>
                <w:rFonts w:ascii="宋体" w:hAnsi="宋体"/>
                <w:color w:val="000000"/>
                <w:sz w:val="24"/>
                <w:szCs w:val="24"/>
              </w:rPr>
            </w:r>
            <w:r/>
          </w:p>
          <w:p>
            <w:pPr>
              <w:jc w:val="left"/>
              <w:rPr>
                <w:rFonts w:ascii="宋体" w:hAnsi="宋体"/>
                <w:color w:val="000000"/>
                <w:sz w:val="24"/>
                <w:szCs w:val="24"/>
              </w:rPr>
            </w:pPr>
            <w:r>
              <w:rPr>
                <w:rFonts w:ascii="宋体" w:hAnsi="宋体"/>
                <w:color w:val="000000"/>
                <w:sz w:val="24"/>
                <w:szCs w:val="24"/>
              </w:rPr>
              <w:t xml:space="preserve">　　　　　                                  年    月    日</w:t>
            </w:r>
            <w:r/>
          </w:p>
        </w:tc>
      </w:tr>
    </w:tbl>
    <w:p>
      <w:pPr>
        <w:pStyle w:val="1011"/>
        <w:ind w:left="1470" w:right="1470"/>
      </w:pPr>
      <w:r/>
      <w:r/>
    </w:p>
    <w:p>
      <w:pPr>
        <w:ind w:firstLine="840"/>
        <w:spacing w:line="500" w:lineRule="exact"/>
        <w:rPr>
          <w:rFonts w:ascii="宋体" w:hAnsi="宋体" w:cs="宋体"/>
          <w:sz w:val="24"/>
          <w:szCs w:val="24"/>
        </w:rPr>
      </w:pPr>
      <w:r>
        <w:rPr>
          <w:rFonts w:ascii="宋体" w:hAnsi="宋体" w:cs="宋体"/>
          <w:sz w:val="24"/>
          <w:szCs w:val="24"/>
        </w:rPr>
      </w:r>
      <w:r/>
    </w:p>
    <w:p>
      <w:pPr>
        <w:pStyle w:val="995"/>
        <w:ind w:right="-92"/>
        <w:spacing w:line="360" w:lineRule="auto"/>
        <w:rPr>
          <w:rFonts w:ascii="宋体" w:eastAsia="宋体"/>
          <w:b/>
          <w:bCs/>
          <w:sz w:val="44"/>
          <w:szCs w:val="44"/>
        </w:rPr>
      </w:pPr>
      <w:r>
        <w:rPr>
          <w:rFonts w:hint="eastAsia" w:ascii="黑体" w:hAnsi="Times New Roman" w:eastAsia="黑体"/>
          <w:bCs/>
          <w:sz w:val="44"/>
        </w:rPr>
        <w:br w:type="page" w:clear="all"/>
      </w:r>
      <w:r>
        <w:rPr>
          <w:rFonts w:hint="eastAsia" w:ascii="宋体" w:eastAsia="宋体"/>
          <w:b/>
          <w:bCs/>
          <w:sz w:val="44"/>
          <w:szCs w:val="44"/>
        </w:rPr>
        <w:t xml:space="preserve">第四章 项目需求</w:t>
      </w:r>
      <w:r/>
    </w:p>
    <w:p>
      <w:pPr>
        <w:pStyle w:val="995"/>
        <w:ind w:firstLine="482"/>
        <w:jc w:val="left"/>
        <w:spacing w:line="480" w:lineRule="exact"/>
        <w:tabs>
          <w:tab w:val="left" w:pos="3165" w:leader="none"/>
          <w:tab w:val="center" w:pos="4594" w:leader="none"/>
        </w:tabs>
        <w:rPr>
          <w:rFonts w:ascii="宋体" w:eastAsia="宋体"/>
          <w:b/>
          <w:sz w:val="24"/>
          <w:szCs w:val="24"/>
        </w:rPr>
      </w:pPr>
      <w:r/>
      <w:bookmarkStart w:id="54" w:name="_Toc29791"/>
      <w:r>
        <w:rPr>
          <w:rFonts w:ascii="宋体" w:eastAsia="宋体"/>
          <w:b/>
          <w:sz w:val="24"/>
          <w:szCs w:val="24"/>
        </w:rPr>
        <w:t xml:space="preserve">一、项目概述</w:t>
      </w:r>
      <w:bookmarkEnd w:id="54"/>
      <w:r/>
      <w:r/>
    </w:p>
    <w:p>
      <w:pPr>
        <w:pStyle w:val="996"/>
        <w:ind w:firstLine="482"/>
        <w:jc w:val="left"/>
        <w:spacing w:before="0" w:after="0" w:line="480" w:lineRule="exact"/>
        <w:rPr>
          <w:rFonts w:ascii="宋体" w:hAnsi="宋体" w:eastAsia="宋体"/>
          <w:sz w:val="24"/>
          <w:szCs w:val="24"/>
        </w:rPr>
      </w:pPr>
      <w:r/>
      <w:bookmarkStart w:id="55" w:name="_Toc12989"/>
      <w:r/>
      <w:bookmarkStart w:id="56" w:name="_Toc148"/>
      <w:r/>
      <w:bookmarkStart w:id="57" w:name="_Toc27114"/>
      <w:r/>
      <w:bookmarkStart w:id="58" w:name="_Toc20493"/>
      <w:r>
        <w:rPr>
          <w:rFonts w:hint="eastAsia" w:ascii="宋体" w:hAnsi="宋体" w:eastAsia="宋体"/>
          <w:sz w:val="24"/>
          <w:szCs w:val="24"/>
        </w:rPr>
        <w:t xml:space="preserve">1</w:t>
      </w:r>
      <w:r>
        <w:rPr>
          <w:rFonts w:ascii="宋体" w:hAnsi="宋体" w:eastAsia="宋体"/>
          <w:sz w:val="24"/>
          <w:szCs w:val="24"/>
        </w:rPr>
        <w:t xml:space="preserve">.1 </w:t>
      </w:r>
      <w:r>
        <w:rPr>
          <w:rFonts w:hint="eastAsia" w:ascii="宋体" w:hAnsi="宋体" w:eastAsia="宋体"/>
          <w:sz w:val="24"/>
          <w:szCs w:val="24"/>
        </w:rPr>
        <w:t xml:space="preserve">项目名称</w:t>
      </w:r>
      <w:bookmarkEnd w:id="55"/>
      <w:r/>
      <w:bookmarkEnd w:id="56"/>
      <w:r/>
      <w:bookmarkEnd w:id="57"/>
      <w:r/>
      <w:bookmarkEnd w:id="58"/>
      <w:r/>
      <w:r/>
    </w:p>
    <w:p>
      <w:pPr>
        <w:ind w:firstLine="480"/>
        <w:jc w:val="left"/>
        <w:spacing w:line="480" w:lineRule="exact"/>
        <w:rPr>
          <w:rFonts w:ascii="宋体" w:hAnsi="宋体"/>
          <w:sz w:val="24"/>
          <w:szCs w:val="24"/>
        </w:rPr>
      </w:pPr>
      <w:r>
        <w:rPr>
          <w:rFonts w:hint="eastAsia" w:ascii="宋体" w:hAnsi="宋体"/>
          <w:sz w:val="24"/>
          <w:szCs w:val="24"/>
        </w:rPr>
        <w:t xml:space="preserve">农村道路“三口”隐患治理提升项目</w:t>
      </w:r>
      <w:r/>
    </w:p>
    <w:p>
      <w:pPr>
        <w:pStyle w:val="996"/>
        <w:ind w:firstLine="482"/>
        <w:jc w:val="left"/>
        <w:spacing w:before="0" w:after="0" w:line="480" w:lineRule="exact"/>
        <w:rPr>
          <w:rFonts w:ascii="宋体" w:hAnsi="宋体" w:eastAsia="宋体"/>
          <w:sz w:val="24"/>
          <w:szCs w:val="24"/>
        </w:rPr>
      </w:pPr>
      <w:r/>
      <w:bookmarkStart w:id="59" w:name="_Toc12210"/>
      <w:r>
        <w:rPr>
          <w:rFonts w:hint="eastAsia" w:ascii="宋体" w:hAnsi="宋体" w:eastAsia="宋体"/>
          <w:sz w:val="24"/>
          <w:szCs w:val="24"/>
        </w:rPr>
        <w:t xml:space="preserve">1</w:t>
      </w:r>
      <w:r>
        <w:rPr>
          <w:rFonts w:ascii="宋体" w:hAnsi="宋体" w:eastAsia="宋体"/>
          <w:sz w:val="24"/>
          <w:szCs w:val="24"/>
        </w:rPr>
        <w:t xml:space="preserve">.2 </w:t>
      </w:r>
      <w:r>
        <w:rPr>
          <w:rFonts w:hint="eastAsia" w:ascii="宋体" w:hAnsi="宋体" w:eastAsia="宋体"/>
          <w:sz w:val="24"/>
          <w:szCs w:val="24"/>
        </w:rPr>
        <w:t xml:space="preserve">项目建设单位</w:t>
      </w:r>
      <w:bookmarkEnd w:id="59"/>
      <w:r/>
      <w:r/>
    </w:p>
    <w:p>
      <w:pPr>
        <w:ind w:firstLine="480"/>
        <w:jc w:val="left"/>
        <w:spacing w:line="480" w:lineRule="exact"/>
        <w:rPr>
          <w:rFonts w:ascii="宋体" w:hAnsi="宋体"/>
          <w:sz w:val="24"/>
          <w:szCs w:val="24"/>
        </w:rPr>
      </w:pPr>
      <w:r>
        <w:rPr>
          <w:rFonts w:hint="eastAsia" w:ascii="宋体" w:hAnsi="宋体"/>
          <w:sz w:val="24"/>
          <w:szCs w:val="24"/>
        </w:rPr>
        <w:t xml:space="preserve">盐城市大丰区公安局</w:t>
      </w:r>
      <w:r/>
    </w:p>
    <w:p>
      <w:pPr>
        <w:pStyle w:val="996"/>
        <w:ind w:firstLine="482"/>
        <w:jc w:val="left"/>
        <w:spacing w:before="0" w:after="0" w:line="480" w:lineRule="exact"/>
        <w:rPr>
          <w:rFonts w:ascii="宋体" w:hAnsi="宋体" w:eastAsia="宋体"/>
          <w:sz w:val="24"/>
          <w:szCs w:val="24"/>
        </w:rPr>
      </w:pPr>
      <w:r/>
      <w:bookmarkStart w:id="60" w:name="_Toc16810"/>
      <w:r>
        <w:rPr>
          <w:rFonts w:hint="eastAsia" w:ascii="宋体" w:hAnsi="宋体" w:eastAsia="宋体"/>
          <w:sz w:val="24"/>
          <w:szCs w:val="24"/>
        </w:rPr>
        <w:t xml:space="preserve">1</w:t>
      </w:r>
      <w:r>
        <w:rPr>
          <w:rFonts w:ascii="宋体" w:hAnsi="宋体" w:eastAsia="宋体"/>
          <w:sz w:val="24"/>
          <w:szCs w:val="24"/>
        </w:rPr>
        <w:t xml:space="preserve">.3 </w:t>
      </w:r>
      <w:r>
        <w:rPr>
          <w:rFonts w:hint="eastAsia" w:ascii="宋体" w:hAnsi="宋体" w:eastAsia="宋体"/>
          <w:sz w:val="24"/>
          <w:szCs w:val="24"/>
        </w:rPr>
        <w:t xml:space="preserve">设计方案和投资概算编制单位</w:t>
      </w:r>
      <w:bookmarkEnd w:id="60"/>
      <w:r/>
      <w:r/>
    </w:p>
    <w:p>
      <w:pPr>
        <w:ind w:firstLine="480"/>
        <w:jc w:val="left"/>
        <w:spacing w:line="480" w:lineRule="exact"/>
        <w:rPr>
          <w:rFonts w:ascii="宋体" w:hAnsi="宋体"/>
          <w:sz w:val="24"/>
          <w:szCs w:val="24"/>
        </w:rPr>
      </w:pPr>
      <w:r/>
      <w:bookmarkStart w:id="61" w:name="_Toc7120"/>
      <w:r/>
      <w:bookmarkStart w:id="62" w:name="_Toc21595"/>
      <w:r/>
      <w:bookmarkStart w:id="63" w:name="_Toc23282"/>
      <w:r>
        <w:rPr>
          <w:rFonts w:hint="eastAsia" w:ascii="宋体" w:hAnsi="宋体"/>
          <w:sz w:val="24"/>
          <w:szCs w:val="24"/>
        </w:rPr>
        <w:t xml:space="preserve">中通服咨询设计研究院有限</w:t>
      </w:r>
      <w:r>
        <w:rPr>
          <w:rFonts w:ascii="宋体" w:hAnsi="宋体"/>
          <w:sz w:val="24"/>
          <w:szCs w:val="24"/>
        </w:rPr>
        <w:t xml:space="preserve">公司</w:t>
      </w:r>
      <w:r/>
    </w:p>
    <w:p>
      <w:pPr>
        <w:pStyle w:val="996"/>
        <w:ind w:firstLine="482"/>
        <w:jc w:val="left"/>
        <w:spacing w:before="0" w:after="0" w:line="480" w:lineRule="exact"/>
        <w:rPr>
          <w:rFonts w:ascii="宋体" w:hAnsi="宋体" w:eastAsia="宋体"/>
          <w:sz w:val="24"/>
          <w:szCs w:val="24"/>
        </w:rPr>
      </w:pPr>
      <w:r/>
      <w:bookmarkStart w:id="64" w:name="_Toc7739"/>
      <w:r>
        <w:rPr>
          <w:rFonts w:hint="eastAsia" w:ascii="宋体" w:hAnsi="宋体" w:eastAsia="宋体"/>
          <w:sz w:val="24"/>
          <w:szCs w:val="24"/>
        </w:rPr>
        <w:t xml:space="preserve">1</w:t>
      </w:r>
      <w:r>
        <w:rPr>
          <w:rFonts w:ascii="宋体" w:hAnsi="宋体" w:eastAsia="宋体"/>
          <w:sz w:val="24"/>
          <w:szCs w:val="24"/>
        </w:rPr>
        <w:t xml:space="preserve">.4 </w:t>
      </w:r>
      <w:r>
        <w:rPr>
          <w:rFonts w:hint="eastAsia" w:ascii="宋体" w:hAnsi="宋体" w:eastAsia="宋体"/>
          <w:sz w:val="24"/>
          <w:szCs w:val="24"/>
        </w:rPr>
        <w:t xml:space="preserve">设计方案及投资概算编制依据</w:t>
      </w:r>
      <w:bookmarkEnd w:id="61"/>
      <w:r/>
      <w:bookmarkEnd w:id="62"/>
      <w:r/>
      <w:bookmarkEnd w:id="63"/>
      <w:r/>
      <w:bookmarkEnd w:id="64"/>
      <w:r/>
      <w:r/>
    </w:p>
    <w:p>
      <w:pPr>
        <w:pStyle w:val="997"/>
        <w:ind w:firstLine="482"/>
        <w:spacing w:before="0" w:after="0" w:line="480" w:lineRule="exact"/>
        <w:rPr>
          <w:rFonts w:ascii="宋体" w:hAnsi="宋体" w:eastAsia="宋体"/>
          <w:sz w:val="24"/>
          <w:szCs w:val="24"/>
        </w:rPr>
      </w:pPr>
      <w:r/>
      <w:bookmarkStart w:id="65" w:name="_Toc27917"/>
      <w:r/>
      <w:bookmarkStart w:id="66" w:name="_Toc15442"/>
      <w:r/>
      <w:bookmarkStart w:id="67" w:name="_Toc10384"/>
      <w:r/>
      <w:bookmarkStart w:id="68" w:name="_Toc8589"/>
      <w:r>
        <w:rPr>
          <w:rFonts w:ascii="宋体" w:hAnsi="宋体" w:eastAsia="宋体"/>
          <w:sz w:val="24"/>
          <w:szCs w:val="24"/>
        </w:rPr>
        <w:t xml:space="preserve">1.4.1</w:t>
      </w:r>
      <w:r>
        <w:rPr>
          <w:rFonts w:hint="eastAsia" w:ascii="宋体" w:hAnsi="宋体" w:eastAsia="宋体"/>
          <w:sz w:val="24"/>
          <w:szCs w:val="24"/>
        </w:rPr>
        <w:t xml:space="preserve">设计编制依据</w:t>
      </w:r>
      <w:bookmarkEnd w:id="65"/>
      <w:r/>
      <w:bookmarkEnd w:id="66"/>
      <w:r/>
      <w:bookmarkEnd w:id="67"/>
      <w:r/>
      <w:bookmarkEnd w:id="68"/>
      <w:r/>
      <w:r/>
    </w:p>
    <w:p>
      <w:pPr>
        <w:ind w:firstLine="480"/>
        <w:spacing w:line="480" w:lineRule="exact"/>
        <w:rPr>
          <w:rFonts w:ascii="宋体" w:hAnsi="宋体"/>
          <w:sz w:val="24"/>
          <w:szCs w:val="24"/>
        </w:rPr>
      </w:pPr>
      <w:r>
        <w:rPr>
          <w:rFonts w:hint="eastAsia" w:ascii="宋体" w:hAnsi="宋体"/>
          <w:sz w:val="24"/>
          <w:szCs w:val="24"/>
        </w:rPr>
        <w:t xml:space="preserve">依据国家相关法律规章、国家和行业相关标准、相关研究成果等资料进行本设计，具体如下：</w:t>
      </w:r>
      <w:r/>
    </w:p>
    <w:p>
      <w:pPr>
        <w:ind w:firstLine="480"/>
        <w:spacing w:line="480" w:lineRule="exact"/>
        <w:rPr>
          <w:rFonts w:ascii="宋体" w:hAnsi="宋体"/>
          <w:sz w:val="24"/>
          <w:szCs w:val="24"/>
        </w:rPr>
      </w:pPr>
      <w:r>
        <w:rPr>
          <w:rFonts w:hint="eastAsia" w:ascii="宋体" w:hAnsi="宋体"/>
          <w:sz w:val="24"/>
          <w:szCs w:val="24"/>
        </w:rPr>
        <w:t xml:space="preserve">《全国主干公路交通安全防控体系三年规划》</w:t>
      </w:r>
      <w:r/>
    </w:p>
    <w:p>
      <w:pPr>
        <w:ind w:firstLine="480"/>
        <w:spacing w:line="480" w:lineRule="exact"/>
        <w:rPr>
          <w:rFonts w:ascii="宋体" w:hAnsi="宋体"/>
          <w:sz w:val="24"/>
          <w:szCs w:val="24"/>
        </w:rPr>
      </w:pPr>
      <w:r>
        <w:rPr>
          <w:rFonts w:hint="eastAsia" w:ascii="宋体" w:hAnsi="宋体"/>
          <w:sz w:val="24"/>
          <w:szCs w:val="24"/>
        </w:rPr>
        <w:t xml:space="preserve">《中华人民共和国道路交通安全法》2011年5月1日</w:t>
      </w:r>
      <w:r/>
    </w:p>
    <w:p>
      <w:pPr>
        <w:ind w:firstLine="480"/>
        <w:spacing w:line="480" w:lineRule="exact"/>
        <w:rPr>
          <w:rFonts w:ascii="宋体" w:hAnsi="宋体"/>
          <w:sz w:val="24"/>
          <w:szCs w:val="24"/>
        </w:rPr>
      </w:pPr>
      <w:r>
        <w:rPr>
          <w:rFonts w:hint="eastAsia" w:ascii="宋体" w:hAnsi="宋体"/>
          <w:sz w:val="24"/>
          <w:szCs w:val="24"/>
        </w:rPr>
        <w:t xml:space="preserve">《交通技术监控成像补光装置通用技术条件》（GA/T 1202-2022）；</w:t>
      </w:r>
      <w:r/>
    </w:p>
    <w:p>
      <w:pPr>
        <w:ind w:firstLine="480"/>
        <w:spacing w:line="480" w:lineRule="exact"/>
        <w:rPr>
          <w:rFonts w:ascii="宋体" w:hAnsi="宋体"/>
          <w:sz w:val="24"/>
          <w:szCs w:val="24"/>
        </w:rPr>
      </w:pPr>
      <w:r>
        <w:rPr>
          <w:rFonts w:hint="eastAsia" w:ascii="宋体" w:hAnsi="宋体"/>
          <w:sz w:val="24"/>
          <w:szCs w:val="24"/>
        </w:rPr>
        <w:t xml:space="preserve">《中华人民共和国公路法》2016年11月7日</w:t>
      </w:r>
      <w:r/>
    </w:p>
    <w:p>
      <w:pPr>
        <w:ind w:firstLine="480"/>
        <w:spacing w:line="480" w:lineRule="exact"/>
        <w:rPr>
          <w:rFonts w:ascii="宋体" w:hAnsi="宋体"/>
          <w:sz w:val="24"/>
          <w:szCs w:val="24"/>
        </w:rPr>
      </w:pPr>
      <w:r>
        <w:rPr>
          <w:rFonts w:hint="eastAsia" w:ascii="宋体" w:hAnsi="宋体"/>
          <w:sz w:val="24"/>
          <w:szCs w:val="24"/>
        </w:rPr>
        <w:t xml:space="preserve">《道路危险货物运输管理规定》交通运输部令2016年第36号</w:t>
      </w:r>
      <w:r/>
    </w:p>
    <w:p>
      <w:pPr>
        <w:ind w:firstLine="480"/>
        <w:spacing w:line="480" w:lineRule="exact"/>
        <w:rPr>
          <w:rFonts w:ascii="宋体" w:hAnsi="宋体"/>
          <w:sz w:val="24"/>
          <w:szCs w:val="24"/>
        </w:rPr>
      </w:pPr>
      <w:r>
        <w:rPr>
          <w:rFonts w:hint="eastAsia" w:ascii="宋体" w:hAnsi="宋体"/>
          <w:sz w:val="24"/>
          <w:szCs w:val="24"/>
        </w:rPr>
        <w:t xml:space="preserve">《道路运输车辆动态监督管理办法》交通运输部令2016年第55号</w:t>
      </w:r>
      <w:r/>
    </w:p>
    <w:p>
      <w:pPr>
        <w:ind w:firstLine="480"/>
        <w:spacing w:line="480" w:lineRule="exact"/>
        <w:rPr>
          <w:rFonts w:ascii="宋体" w:hAnsi="宋体"/>
          <w:sz w:val="24"/>
          <w:szCs w:val="24"/>
        </w:rPr>
      </w:pPr>
      <w:r>
        <w:rPr>
          <w:rFonts w:hint="eastAsia" w:ascii="宋体" w:hAnsi="宋体"/>
          <w:sz w:val="24"/>
          <w:szCs w:val="24"/>
        </w:rPr>
        <w:t xml:space="preserve">《全国公安机关图像信息联网总体技术方案》</w:t>
      </w:r>
      <w:r/>
    </w:p>
    <w:p>
      <w:pPr>
        <w:ind w:firstLine="480"/>
        <w:spacing w:line="480" w:lineRule="exact"/>
        <w:rPr>
          <w:rFonts w:ascii="宋体" w:hAnsi="宋体"/>
          <w:sz w:val="24"/>
          <w:szCs w:val="24"/>
        </w:rPr>
      </w:pPr>
      <w:r>
        <w:rPr>
          <w:rFonts w:hint="eastAsia" w:ascii="宋体" w:hAnsi="宋体"/>
          <w:sz w:val="24"/>
          <w:szCs w:val="24"/>
        </w:rPr>
        <w:t xml:space="preserve">《公安交通集成指挥平台结构和功能》(GA/T1146)</w:t>
      </w:r>
      <w:r/>
    </w:p>
    <w:p>
      <w:pPr>
        <w:ind w:firstLine="480"/>
        <w:spacing w:line="480" w:lineRule="exact"/>
        <w:rPr>
          <w:rFonts w:ascii="宋体" w:hAnsi="宋体"/>
          <w:sz w:val="24"/>
          <w:szCs w:val="24"/>
        </w:rPr>
      </w:pPr>
      <w:r>
        <w:rPr>
          <w:rFonts w:hint="eastAsia" w:ascii="宋体" w:hAnsi="宋体"/>
          <w:sz w:val="24"/>
          <w:szCs w:val="24"/>
        </w:rPr>
        <w:t xml:space="preserve">《公安交通集成指挥平台通讯协议》(GA/T1049)</w:t>
      </w:r>
      <w:r/>
    </w:p>
    <w:p>
      <w:pPr>
        <w:ind w:firstLine="480"/>
        <w:spacing w:line="480" w:lineRule="exact"/>
        <w:rPr>
          <w:rFonts w:ascii="宋体" w:hAnsi="宋体"/>
          <w:sz w:val="24"/>
          <w:szCs w:val="24"/>
        </w:rPr>
      </w:pPr>
      <w:r>
        <w:rPr>
          <w:rFonts w:hint="eastAsia" w:ascii="宋体" w:hAnsi="宋体"/>
          <w:sz w:val="24"/>
          <w:szCs w:val="24"/>
        </w:rPr>
        <w:t xml:space="preserve">《公安交通指挥系统建设技术规范》(GA/T445)</w:t>
      </w:r>
      <w:r/>
    </w:p>
    <w:p>
      <w:pPr>
        <w:ind w:firstLine="480"/>
        <w:spacing w:line="480" w:lineRule="exact"/>
        <w:rPr>
          <w:rFonts w:ascii="宋体" w:hAnsi="宋体"/>
          <w:sz w:val="24"/>
          <w:szCs w:val="24"/>
        </w:rPr>
      </w:pPr>
      <w:r>
        <w:rPr>
          <w:rFonts w:hint="eastAsia" w:ascii="宋体" w:hAnsi="宋体"/>
          <w:sz w:val="24"/>
          <w:szCs w:val="24"/>
        </w:rPr>
        <w:t xml:space="preserve">《公安交通指挥系统工程建设通用程序和要求》(GA/T651)</w:t>
      </w:r>
      <w:r/>
    </w:p>
    <w:p>
      <w:pPr>
        <w:ind w:firstLine="480"/>
        <w:spacing w:line="480" w:lineRule="exact"/>
        <w:rPr>
          <w:rFonts w:ascii="宋体" w:hAnsi="宋体"/>
          <w:sz w:val="24"/>
          <w:szCs w:val="24"/>
        </w:rPr>
      </w:pPr>
      <w:r>
        <w:rPr>
          <w:rFonts w:hint="eastAsia" w:ascii="宋体" w:hAnsi="宋体"/>
          <w:sz w:val="24"/>
          <w:szCs w:val="24"/>
        </w:rPr>
        <w:t xml:space="preserve">《安全防范视频监控联网系统传输、交换、控制技术要求》(GB/T28181-2011)</w:t>
      </w:r>
      <w:r/>
    </w:p>
    <w:p>
      <w:pPr>
        <w:ind w:firstLine="480"/>
        <w:spacing w:line="480" w:lineRule="exact"/>
        <w:rPr>
          <w:rFonts w:ascii="宋体" w:hAnsi="宋体"/>
          <w:sz w:val="24"/>
          <w:szCs w:val="24"/>
        </w:rPr>
      </w:pPr>
      <w:r>
        <w:rPr>
          <w:rFonts w:hint="eastAsia" w:ascii="宋体" w:hAnsi="宋体"/>
          <w:sz w:val="24"/>
          <w:szCs w:val="24"/>
        </w:rPr>
        <w:t xml:space="preserve">《视频安防监控系统技术要求》(GA/T367-2001)</w:t>
      </w:r>
      <w:r/>
    </w:p>
    <w:p>
      <w:pPr>
        <w:ind w:firstLine="480"/>
        <w:spacing w:line="480" w:lineRule="exact"/>
        <w:rPr>
          <w:rFonts w:ascii="宋体" w:hAnsi="宋体"/>
          <w:sz w:val="24"/>
          <w:szCs w:val="24"/>
        </w:rPr>
      </w:pPr>
      <w:r>
        <w:rPr>
          <w:rFonts w:hint="eastAsia" w:ascii="宋体" w:hAnsi="宋体"/>
          <w:sz w:val="24"/>
          <w:szCs w:val="24"/>
        </w:rPr>
        <w:t xml:space="preserve">《道路交通信息监测记录设备设置规范》(GA/T1047)</w:t>
      </w:r>
      <w:r/>
    </w:p>
    <w:p>
      <w:pPr>
        <w:ind w:firstLine="480"/>
        <w:spacing w:line="480" w:lineRule="exact"/>
        <w:rPr>
          <w:rFonts w:ascii="宋体" w:hAnsi="宋体"/>
          <w:sz w:val="24"/>
          <w:szCs w:val="24"/>
        </w:rPr>
      </w:pPr>
      <w:r>
        <w:rPr>
          <w:rFonts w:hint="eastAsia" w:ascii="宋体" w:hAnsi="宋体"/>
          <w:sz w:val="24"/>
          <w:szCs w:val="24"/>
        </w:rPr>
        <w:t xml:space="preserve">《公路车辆智能监测记录系统通用技术条件》(GA/T497)</w:t>
      </w:r>
      <w:r/>
    </w:p>
    <w:p>
      <w:pPr>
        <w:ind w:firstLine="480"/>
        <w:spacing w:line="480" w:lineRule="exact"/>
        <w:rPr>
          <w:rFonts w:ascii="宋体" w:hAnsi="宋体"/>
          <w:sz w:val="24"/>
          <w:szCs w:val="24"/>
        </w:rPr>
      </w:pPr>
      <w:r>
        <w:rPr>
          <w:rFonts w:hint="eastAsia" w:ascii="宋体" w:hAnsi="宋体"/>
          <w:sz w:val="24"/>
          <w:szCs w:val="24"/>
        </w:rPr>
        <w:t xml:space="preserve">《道路通行状态信息发布规范》(GA/T994)</w:t>
      </w:r>
      <w:r/>
    </w:p>
    <w:p>
      <w:pPr>
        <w:ind w:firstLine="480"/>
        <w:spacing w:line="480" w:lineRule="exact"/>
        <w:rPr>
          <w:rFonts w:ascii="宋体" w:hAnsi="宋体"/>
          <w:sz w:val="24"/>
          <w:szCs w:val="24"/>
        </w:rPr>
      </w:pPr>
      <w:r>
        <w:rPr>
          <w:rFonts w:hint="eastAsia" w:ascii="宋体" w:hAnsi="宋体"/>
          <w:sz w:val="24"/>
          <w:szCs w:val="24"/>
        </w:rPr>
        <w:t xml:space="preserve">《公安车载应急通信系统技术规范》(GA/T528)</w:t>
      </w:r>
      <w:r/>
    </w:p>
    <w:p>
      <w:pPr>
        <w:ind w:firstLine="480"/>
        <w:spacing w:line="480" w:lineRule="exact"/>
        <w:rPr>
          <w:rFonts w:ascii="宋体" w:hAnsi="宋体"/>
          <w:sz w:val="24"/>
          <w:szCs w:val="24"/>
        </w:rPr>
      </w:pPr>
      <w:r>
        <w:rPr>
          <w:rFonts w:hint="eastAsia" w:ascii="宋体" w:hAnsi="宋体"/>
          <w:sz w:val="24"/>
          <w:szCs w:val="24"/>
        </w:rPr>
        <w:t xml:space="preserve">《道路交通违法管理信息代码》(GA408)</w:t>
      </w:r>
      <w:r/>
    </w:p>
    <w:p>
      <w:pPr>
        <w:ind w:firstLine="480"/>
        <w:spacing w:line="480" w:lineRule="exact"/>
        <w:rPr>
          <w:rFonts w:ascii="宋体" w:hAnsi="宋体"/>
          <w:sz w:val="24"/>
          <w:szCs w:val="24"/>
        </w:rPr>
      </w:pPr>
      <w:r>
        <w:rPr>
          <w:rFonts w:hint="eastAsia" w:ascii="宋体" w:hAnsi="宋体"/>
          <w:sz w:val="24"/>
          <w:szCs w:val="24"/>
        </w:rPr>
        <w:t xml:space="preserve">《公安交通管理信息系统安全防范体系建设规范》</w:t>
      </w:r>
      <w:r/>
    </w:p>
    <w:p>
      <w:pPr>
        <w:ind w:firstLine="480"/>
        <w:spacing w:line="480" w:lineRule="exact"/>
        <w:rPr>
          <w:rFonts w:ascii="宋体" w:hAnsi="宋体"/>
          <w:sz w:val="24"/>
          <w:szCs w:val="24"/>
        </w:rPr>
      </w:pPr>
      <w:r>
        <w:rPr>
          <w:rFonts w:hint="eastAsia" w:ascii="宋体" w:hAnsi="宋体"/>
          <w:sz w:val="24"/>
          <w:szCs w:val="24"/>
        </w:rPr>
        <w:t xml:space="preserve">《公安信息通信网边界接入平台安全规范》</w:t>
      </w:r>
      <w:r/>
    </w:p>
    <w:p>
      <w:pPr>
        <w:ind w:firstLine="480"/>
        <w:spacing w:line="480" w:lineRule="exact"/>
        <w:rPr>
          <w:rFonts w:ascii="宋体" w:hAnsi="宋体"/>
          <w:sz w:val="24"/>
          <w:szCs w:val="24"/>
        </w:rPr>
      </w:pPr>
      <w:r>
        <w:rPr>
          <w:rFonts w:hint="eastAsia" w:ascii="宋体" w:hAnsi="宋体"/>
          <w:sz w:val="24"/>
          <w:szCs w:val="24"/>
        </w:rPr>
        <w:t xml:space="preserve">《信息安全技术信息系统灾难恢复规范》</w:t>
      </w:r>
      <w:r/>
    </w:p>
    <w:p>
      <w:pPr>
        <w:ind w:firstLine="480"/>
        <w:spacing w:line="480" w:lineRule="exact"/>
        <w:rPr>
          <w:rFonts w:ascii="宋体" w:hAnsi="宋体"/>
          <w:sz w:val="24"/>
          <w:szCs w:val="24"/>
        </w:rPr>
      </w:pPr>
      <w:r>
        <w:rPr>
          <w:rFonts w:hint="eastAsia" w:ascii="宋体" w:hAnsi="宋体"/>
          <w:sz w:val="24"/>
          <w:szCs w:val="24"/>
        </w:rPr>
        <w:t xml:space="preserve">《全国公安交通管理信息系统安全备份建设指导意见》</w:t>
      </w:r>
      <w:r/>
    </w:p>
    <w:p>
      <w:pPr>
        <w:ind w:firstLine="480"/>
        <w:spacing w:line="480" w:lineRule="exact"/>
        <w:rPr>
          <w:rFonts w:ascii="宋体" w:hAnsi="宋体"/>
          <w:sz w:val="24"/>
          <w:szCs w:val="24"/>
        </w:rPr>
      </w:pPr>
      <w:r>
        <w:rPr>
          <w:rFonts w:hint="eastAsia" w:ascii="宋体" w:hAnsi="宋体"/>
          <w:sz w:val="24"/>
          <w:szCs w:val="24"/>
        </w:rPr>
        <w:t xml:space="preserve">《安全防范监控数字视音频编解码技术要求》(GB/T27524-2010)</w:t>
      </w:r>
      <w:r/>
    </w:p>
    <w:p>
      <w:pPr>
        <w:ind w:firstLine="480"/>
        <w:spacing w:line="480" w:lineRule="exact"/>
        <w:rPr>
          <w:rFonts w:ascii="宋体" w:hAnsi="宋体"/>
          <w:sz w:val="24"/>
          <w:szCs w:val="24"/>
        </w:rPr>
      </w:pPr>
      <w:r>
        <w:rPr>
          <w:rFonts w:hint="eastAsia" w:ascii="宋体" w:hAnsi="宋体"/>
          <w:sz w:val="24"/>
          <w:szCs w:val="24"/>
        </w:rPr>
        <w:t xml:space="preserve">《安全防范视频监控联网系统信息传输、交换、控制技术要求》（GB/T28181-2011）</w:t>
      </w:r>
      <w:r/>
    </w:p>
    <w:p>
      <w:pPr>
        <w:ind w:firstLine="480"/>
        <w:spacing w:line="480" w:lineRule="exact"/>
        <w:rPr>
          <w:rFonts w:ascii="宋体" w:hAnsi="宋体"/>
          <w:sz w:val="24"/>
          <w:szCs w:val="24"/>
        </w:rPr>
      </w:pPr>
      <w:r>
        <w:rPr>
          <w:rFonts w:hint="eastAsia" w:ascii="宋体" w:hAnsi="宋体"/>
          <w:sz w:val="24"/>
          <w:szCs w:val="24"/>
        </w:rPr>
        <w:t xml:space="preserve">《城市道路交通规划设计规范》（GB50220-2005）</w:t>
      </w:r>
      <w:r/>
    </w:p>
    <w:p>
      <w:pPr>
        <w:ind w:firstLine="480"/>
        <w:spacing w:line="480" w:lineRule="exact"/>
        <w:rPr>
          <w:rFonts w:ascii="宋体" w:hAnsi="宋体"/>
          <w:sz w:val="24"/>
          <w:szCs w:val="24"/>
        </w:rPr>
      </w:pPr>
      <w:r>
        <w:rPr>
          <w:rFonts w:hint="eastAsia" w:ascii="宋体" w:hAnsi="宋体"/>
          <w:sz w:val="24"/>
          <w:szCs w:val="24"/>
        </w:rPr>
        <w:t xml:space="preserve">《城镇道路路面设计规范》（CJJ 169-2012）；</w:t>
      </w:r>
      <w:r/>
    </w:p>
    <w:p>
      <w:pPr>
        <w:ind w:firstLine="480"/>
        <w:spacing w:line="480" w:lineRule="exact"/>
        <w:rPr>
          <w:rFonts w:ascii="宋体" w:hAnsi="宋体"/>
          <w:sz w:val="24"/>
          <w:szCs w:val="24"/>
        </w:rPr>
      </w:pPr>
      <w:r>
        <w:rPr>
          <w:rFonts w:hint="eastAsia" w:ascii="宋体" w:hAnsi="宋体"/>
          <w:sz w:val="24"/>
          <w:szCs w:val="24"/>
        </w:rPr>
        <w:t xml:space="preserve">《城市道路交通设施设计规范》（GB50688-2011）；</w:t>
      </w:r>
      <w:r/>
    </w:p>
    <w:p>
      <w:pPr>
        <w:ind w:firstLine="480"/>
        <w:spacing w:line="480" w:lineRule="exact"/>
        <w:rPr>
          <w:rFonts w:ascii="宋体" w:hAnsi="宋体"/>
          <w:sz w:val="24"/>
          <w:szCs w:val="24"/>
        </w:rPr>
      </w:pPr>
      <w:r>
        <w:rPr>
          <w:rFonts w:hint="eastAsia" w:ascii="宋体" w:hAnsi="宋体"/>
          <w:sz w:val="24"/>
          <w:szCs w:val="24"/>
        </w:rPr>
        <w:t xml:space="preserve">《电气装置安装工程电缆线路施工及验收规范》（GB501168-92）</w:t>
      </w:r>
      <w:r/>
    </w:p>
    <w:p>
      <w:pPr>
        <w:ind w:firstLine="480"/>
        <w:spacing w:line="480" w:lineRule="exact"/>
        <w:rPr>
          <w:rFonts w:ascii="宋体" w:hAnsi="宋体"/>
          <w:sz w:val="24"/>
          <w:szCs w:val="24"/>
        </w:rPr>
      </w:pPr>
      <w:r>
        <w:rPr>
          <w:rFonts w:hint="eastAsia" w:ascii="宋体" w:hAnsi="宋体"/>
          <w:sz w:val="24"/>
          <w:szCs w:val="24"/>
        </w:rPr>
        <w:t xml:space="preserve">《低压配电装置及线路设计规范》（GB50054-2011）</w:t>
      </w:r>
      <w:r/>
    </w:p>
    <w:p>
      <w:pPr>
        <w:ind w:firstLine="480"/>
        <w:spacing w:line="480" w:lineRule="exact"/>
        <w:rPr>
          <w:rFonts w:ascii="宋体" w:hAnsi="宋体"/>
          <w:sz w:val="24"/>
          <w:szCs w:val="24"/>
        </w:rPr>
      </w:pPr>
      <w:r>
        <w:rPr>
          <w:rFonts w:hint="eastAsia" w:ascii="宋体" w:hAnsi="宋体"/>
          <w:sz w:val="24"/>
          <w:szCs w:val="24"/>
        </w:rPr>
        <w:t xml:space="preserve">《电器装置安装工程电缆线路施工及验收规范》（GB50168-2002）</w:t>
      </w:r>
      <w:r/>
    </w:p>
    <w:p>
      <w:pPr>
        <w:ind w:firstLine="480"/>
        <w:spacing w:line="480" w:lineRule="exact"/>
        <w:rPr>
          <w:rFonts w:ascii="宋体" w:hAnsi="宋体"/>
          <w:sz w:val="24"/>
          <w:szCs w:val="24"/>
        </w:rPr>
      </w:pPr>
      <w:r>
        <w:rPr>
          <w:rFonts w:hint="eastAsia" w:ascii="宋体" w:hAnsi="宋体"/>
          <w:sz w:val="24"/>
          <w:szCs w:val="24"/>
        </w:rPr>
        <w:t xml:space="preserve">《电器装置安装工程接地装置施工及验收规范》（GB50169-2002）</w:t>
      </w:r>
      <w:r/>
    </w:p>
    <w:p>
      <w:pPr>
        <w:ind w:firstLine="480"/>
        <w:spacing w:line="480" w:lineRule="exact"/>
        <w:rPr>
          <w:rFonts w:ascii="宋体" w:hAnsi="宋体"/>
          <w:sz w:val="24"/>
          <w:szCs w:val="24"/>
        </w:rPr>
      </w:pPr>
      <w:r>
        <w:rPr>
          <w:rFonts w:hint="eastAsia" w:ascii="宋体" w:hAnsi="宋体"/>
          <w:sz w:val="24"/>
          <w:szCs w:val="24"/>
        </w:rPr>
        <w:t xml:space="preserve">《安全防范工作工作技术》GB50348-2004</w:t>
      </w:r>
      <w:r/>
    </w:p>
    <w:p>
      <w:pPr>
        <w:ind w:firstLine="480"/>
        <w:spacing w:line="480" w:lineRule="exact"/>
        <w:rPr>
          <w:rFonts w:ascii="宋体" w:hAnsi="宋体"/>
          <w:sz w:val="24"/>
          <w:szCs w:val="24"/>
        </w:rPr>
      </w:pPr>
      <w:r>
        <w:rPr>
          <w:rFonts w:hint="eastAsia" w:ascii="宋体" w:hAnsi="宋体"/>
          <w:sz w:val="24"/>
          <w:szCs w:val="24"/>
        </w:rPr>
        <w:t xml:space="preserve">《智能运输系统通用术语》（GB/T20839-2007）</w:t>
      </w:r>
      <w:r/>
    </w:p>
    <w:p>
      <w:pPr>
        <w:ind w:firstLine="480"/>
        <w:spacing w:line="480" w:lineRule="exact"/>
        <w:rPr>
          <w:rFonts w:ascii="宋体" w:hAnsi="宋体"/>
          <w:sz w:val="24"/>
          <w:szCs w:val="24"/>
        </w:rPr>
      </w:pPr>
      <w:r>
        <w:rPr>
          <w:rFonts w:hint="eastAsia" w:ascii="宋体" w:hAnsi="宋体"/>
          <w:sz w:val="24"/>
          <w:szCs w:val="24"/>
        </w:rPr>
        <w:t xml:space="preserve">《智能运输系统数据字典要求》（GB/T20606-2006）</w:t>
      </w:r>
      <w:r/>
    </w:p>
    <w:p>
      <w:pPr>
        <w:ind w:firstLine="480"/>
        <w:spacing w:line="480" w:lineRule="exact"/>
        <w:rPr>
          <w:rFonts w:ascii="宋体" w:hAnsi="宋体"/>
          <w:sz w:val="24"/>
          <w:szCs w:val="24"/>
        </w:rPr>
      </w:pPr>
      <w:r>
        <w:rPr>
          <w:rFonts w:hint="eastAsia" w:ascii="宋体" w:hAnsi="宋体"/>
          <w:sz w:val="24"/>
          <w:szCs w:val="24"/>
        </w:rPr>
        <w:t xml:space="preserve">《智能运输系统体系结构服务》（GB/T20607-2006）</w:t>
      </w:r>
      <w:r/>
    </w:p>
    <w:p>
      <w:pPr>
        <w:ind w:firstLine="480"/>
        <w:spacing w:line="480" w:lineRule="exact"/>
        <w:rPr>
          <w:rFonts w:ascii="宋体" w:hAnsi="宋体"/>
          <w:sz w:val="24"/>
          <w:szCs w:val="24"/>
        </w:rPr>
      </w:pPr>
      <w:r>
        <w:rPr>
          <w:rFonts w:hint="eastAsia" w:ascii="宋体" w:hAnsi="宋体"/>
          <w:sz w:val="24"/>
          <w:szCs w:val="24"/>
        </w:rPr>
        <w:t xml:space="preserve">《机动车测速仪》（</w:t>
      </w:r>
      <w:r>
        <w:rPr>
          <w:rFonts w:ascii="宋体" w:hAnsi="宋体"/>
          <w:sz w:val="24"/>
          <w:szCs w:val="24"/>
        </w:rPr>
        <w:t xml:space="preserve">GB/T 21255-2007 ）</w:t>
      </w:r>
      <w:r/>
    </w:p>
    <w:p>
      <w:pPr>
        <w:ind w:firstLine="480"/>
        <w:spacing w:line="480" w:lineRule="exact"/>
        <w:rPr>
          <w:rFonts w:ascii="宋体" w:hAnsi="宋体"/>
          <w:sz w:val="24"/>
          <w:szCs w:val="24"/>
        </w:rPr>
      </w:pPr>
      <w:r>
        <w:rPr>
          <w:rFonts w:hint="eastAsia" w:ascii="宋体" w:hAnsi="宋体"/>
          <w:sz w:val="24"/>
          <w:szCs w:val="24"/>
        </w:rPr>
        <w:t xml:space="preserve">《机动车区间测速技术规范》（</w:t>
      </w:r>
      <w:r>
        <w:rPr>
          <w:rFonts w:ascii="宋体" w:hAnsi="宋体"/>
          <w:sz w:val="24"/>
          <w:szCs w:val="24"/>
        </w:rPr>
        <w:t xml:space="preserve">GA/T 959-2011） </w:t>
      </w:r>
      <w:r/>
    </w:p>
    <w:p>
      <w:pPr>
        <w:ind w:firstLine="480"/>
        <w:spacing w:line="480" w:lineRule="exact"/>
        <w:rPr>
          <w:rFonts w:ascii="宋体" w:hAnsi="宋体"/>
          <w:sz w:val="24"/>
          <w:szCs w:val="24"/>
        </w:rPr>
      </w:pPr>
      <w:r>
        <w:rPr>
          <w:rFonts w:hint="eastAsia" w:ascii="宋体" w:hAnsi="宋体"/>
          <w:sz w:val="24"/>
          <w:szCs w:val="24"/>
        </w:rPr>
        <w:t xml:space="preserve">《道路交通信息采集信息分类与编码》（GB/T20133-2006）</w:t>
      </w:r>
      <w:r/>
    </w:p>
    <w:p>
      <w:pPr>
        <w:ind w:firstLine="480"/>
        <w:spacing w:line="480" w:lineRule="exact"/>
        <w:rPr>
          <w:rFonts w:ascii="宋体" w:hAnsi="宋体"/>
          <w:sz w:val="24"/>
          <w:szCs w:val="24"/>
        </w:rPr>
      </w:pPr>
      <w:r>
        <w:rPr>
          <w:rFonts w:hint="eastAsia" w:ascii="宋体" w:hAnsi="宋体"/>
          <w:sz w:val="24"/>
          <w:szCs w:val="24"/>
        </w:rPr>
        <w:t xml:space="preserve">《道路交通信息采集事件信息集》（GB/T20134-2006）</w:t>
      </w:r>
      <w:r/>
    </w:p>
    <w:p>
      <w:pPr>
        <w:ind w:firstLine="480"/>
        <w:spacing w:line="480" w:lineRule="exact"/>
        <w:rPr>
          <w:rFonts w:ascii="宋体" w:hAnsi="宋体"/>
          <w:sz w:val="24"/>
          <w:szCs w:val="24"/>
        </w:rPr>
      </w:pPr>
      <w:r>
        <w:rPr>
          <w:rFonts w:hint="eastAsia" w:ascii="宋体" w:hAnsi="宋体"/>
          <w:sz w:val="24"/>
          <w:szCs w:val="24"/>
        </w:rPr>
        <w:t xml:space="preserve">《软件包质量要求和测试》（GB/T－17511）；</w:t>
      </w:r>
      <w:r/>
    </w:p>
    <w:p>
      <w:pPr>
        <w:ind w:firstLine="480"/>
        <w:spacing w:line="480" w:lineRule="exact"/>
        <w:rPr>
          <w:rFonts w:ascii="宋体" w:hAnsi="宋体"/>
          <w:sz w:val="24"/>
          <w:szCs w:val="24"/>
        </w:rPr>
      </w:pPr>
      <w:r>
        <w:rPr>
          <w:rFonts w:hint="eastAsia" w:ascii="宋体" w:hAnsi="宋体"/>
          <w:sz w:val="24"/>
          <w:szCs w:val="24"/>
        </w:rPr>
        <w:t xml:space="preserve">《计算机信息系统安全保护等级划分准则》（GB 17859-1999）</w:t>
      </w:r>
      <w:r/>
    </w:p>
    <w:p>
      <w:pPr>
        <w:ind w:firstLine="480"/>
        <w:spacing w:line="480" w:lineRule="exact"/>
        <w:rPr>
          <w:rFonts w:ascii="宋体" w:hAnsi="宋体"/>
          <w:sz w:val="24"/>
          <w:szCs w:val="24"/>
        </w:rPr>
      </w:pPr>
      <w:r>
        <w:rPr>
          <w:rFonts w:hint="eastAsia" w:ascii="宋体" w:hAnsi="宋体"/>
          <w:sz w:val="24"/>
          <w:szCs w:val="24"/>
        </w:rPr>
        <w:t xml:space="preserve">《公安交通指挥系统建设技术规范》（GA/T445-2010）</w:t>
      </w:r>
      <w:r/>
    </w:p>
    <w:p>
      <w:pPr>
        <w:ind w:firstLine="480"/>
        <w:spacing w:line="480" w:lineRule="exact"/>
        <w:rPr>
          <w:rFonts w:ascii="宋体" w:hAnsi="宋体"/>
          <w:sz w:val="24"/>
          <w:szCs w:val="24"/>
        </w:rPr>
      </w:pPr>
      <w:r>
        <w:rPr>
          <w:rFonts w:hint="eastAsia" w:ascii="宋体" w:hAnsi="宋体"/>
          <w:sz w:val="24"/>
          <w:szCs w:val="24"/>
        </w:rPr>
        <w:t xml:space="preserve">《城市警用地理信息系统分类与代码》（GA/T491）</w:t>
      </w:r>
      <w:r/>
    </w:p>
    <w:p>
      <w:pPr>
        <w:ind w:firstLine="480"/>
        <w:spacing w:line="480" w:lineRule="exact"/>
        <w:rPr>
          <w:rFonts w:ascii="宋体" w:hAnsi="宋体"/>
          <w:sz w:val="24"/>
          <w:szCs w:val="24"/>
        </w:rPr>
      </w:pPr>
      <w:r>
        <w:rPr>
          <w:rFonts w:hint="eastAsia" w:ascii="宋体" w:hAnsi="宋体"/>
          <w:sz w:val="24"/>
          <w:szCs w:val="24"/>
        </w:rPr>
        <w:t xml:space="preserve">《城市警用地理信息系统图形符号》（GA/T492）</w:t>
      </w:r>
      <w:r/>
    </w:p>
    <w:p>
      <w:pPr>
        <w:ind w:firstLine="480"/>
        <w:spacing w:line="480" w:lineRule="exact"/>
        <w:rPr>
          <w:rFonts w:ascii="宋体" w:hAnsi="宋体"/>
          <w:sz w:val="24"/>
          <w:szCs w:val="24"/>
        </w:rPr>
      </w:pPr>
      <w:r>
        <w:rPr>
          <w:rFonts w:hint="eastAsia" w:ascii="宋体" w:hAnsi="宋体"/>
          <w:sz w:val="24"/>
          <w:szCs w:val="24"/>
        </w:rPr>
        <w:t xml:space="preserve">《城市警用地理信息系统建设规范》（GA/T493）</w:t>
      </w:r>
      <w:r/>
    </w:p>
    <w:p>
      <w:pPr>
        <w:ind w:firstLine="480"/>
        <w:spacing w:line="480" w:lineRule="exact"/>
        <w:rPr>
          <w:rFonts w:ascii="宋体" w:hAnsi="宋体"/>
          <w:sz w:val="24"/>
          <w:szCs w:val="24"/>
        </w:rPr>
      </w:pPr>
      <w:r>
        <w:rPr>
          <w:rFonts w:hint="eastAsia" w:ascii="宋体" w:hAnsi="宋体"/>
          <w:sz w:val="24"/>
          <w:szCs w:val="24"/>
        </w:rPr>
        <w:t xml:space="preserve">《道路交通安全违法行为图像取证技术规范》（GA/T832-2014）</w:t>
      </w:r>
      <w:r/>
    </w:p>
    <w:p>
      <w:pPr>
        <w:ind w:firstLine="480"/>
        <w:spacing w:line="480" w:lineRule="exact"/>
        <w:rPr>
          <w:rFonts w:ascii="宋体" w:hAnsi="宋体"/>
          <w:sz w:val="24"/>
          <w:szCs w:val="24"/>
        </w:rPr>
      </w:pPr>
      <w:r>
        <w:rPr>
          <w:rFonts w:hint="eastAsia" w:ascii="宋体" w:hAnsi="宋体"/>
          <w:sz w:val="24"/>
          <w:szCs w:val="24"/>
        </w:rPr>
        <w:t xml:space="preserve">《机动车号牌图像自动识别技术规范》（GA/T833—2009）</w:t>
      </w:r>
      <w:r/>
    </w:p>
    <w:p>
      <w:pPr>
        <w:ind w:firstLine="480"/>
        <w:spacing w:line="480" w:lineRule="exact"/>
        <w:rPr>
          <w:rFonts w:ascii="宋体" w:hAnsi="宋体"/>
          <w:sz w:val="24"/>
          <w:szCs w:val="24"/>
        </w:rPr>
      </w:pPr>
      <w:r>
        <w:rPr>
          <w:rFonts w:hint="eastAsia" w:ascii="宋体" w:hAnsi="宋体"/>
          <w:sz w:val="24"/>
          <w:szCs w:val="24"/>
        </w:rPr>
        <w:t xml:space="preserve">《安全防范系统验收规范》GA308-2001</w:t>
      </w:r>
      <w:r/>
    </w:p>
    <w:p>
      <w:pPr>
        <w:ind w:firstLine="480"/>
        <w:spacing w:line="480" w:lineRule="exact"/>
        <w:rPr>
          <w:rFonts w:ascii="宋体" w:hAnsi="宋体"/>
          <w:sz w:val="24"/>
          <w:szCs w:val="24"/>
        </w:rPr>
      </w:pPr>
      <w:r>
        <w:rPr>
          <w:rFonts w:hint="eastAsia" w:ascii="宋体" w:hAnsi="宋体"/>
          <w:sz w:val="24"/>
          <w:szCs w:val="24"/>
        </w:rPr>
        <w:t xml:space="preserve">《安全防范系统通用图形符号》GA\T74-2000</w:t>
      </w:r>
      <w:r/>
    </w:p>
    <w:p>
      <w:pPr>
        <w:ind w:firstLine="480"/>
        <w:spacing w:line="480" w:lineRule="exact"/>
        <w:rPr>
          <w:rFonts w:ascii="宋体" w:hAnsi="宋体"/>
          <w:sz w:val="24"/>
          <w:szCs w:val="24"/>
        </w:rPr>
      </w:pPr>
      <w:r>
        <w:rPr>
          <w:rFonts w:hint="eastAsia" w:ascii="宋体" w:hAnsi="宋体"/>
          <w:sz w:val="24"/>
          <w:szCs w:val="24"/>
        </w:rPr>
        <w:t xml:space="preserve">《安全防范工程程序与要求》 GA\T74-1994</w:t>
      </w:r>
      <w:r/>
    </w:p>
    <w:p>
      <w:pPr>
        <w:ind w:firstLine="480"/>
        <w:spacing w:line="480" w:lineRule="exact"/>
        <w:rPr>
          <w:rFonts w:ascii="宋体" w:hAnsi="宋体"/>
          <w:sz w:val="24"/>
          <w:szCs w:val="24"/>
        </w:rPr>
      </w:pPr>
      <w:r>
        <w:rPr>
          <w:rFonts w:hint="eastAsia" w:ascii="宋体" w:hAnsi="宋体"/>
          <w:sz w:val="24"/>
          <w:szCs w:val="24"/>
        </w:rPr>
        <w:t xml:space="preserve">《安全防范工程费用预算编制办法》 GA\T70-2004</w:t>
      </w:r>
      <w:r/>
    </w:p>
    <w:p>
      <w:pPr>
        <w:ind w:firstLine="480"/>
        <w:spacing w:line="480" w:lineRule="exact"/>
        <w:rPr>
          <w:rFonts w:ascii="宋体" w:hAnsi="宋体"/>
          <w:sz w:val="24"/>
          <w:szCs w:val="24"/>
        </w:rPr>
      </w:pPr>
      <w:r>
        <w:rPr>
          <w:rFonts w:hint="eastAsia" w:ascii="宋体" w:hAnsi="宋体"/>
          <w:sz w:val="24"/>
          <w:szCs w:val="24"/>
        </w:rPr>
        <w:t xml:space="preserve">《城市监控报警联网系统通用技术要求》GA/T669-2006</w:t>
      </w:r>
      <w:r/>
    </w:p>
    <w:p>
      <w:pPr>
        <w:ind w:firstLine="480"/>
        <w:spacing w:line="480" w:lineRule="exact"/>
        <w:rPr>
          <w:rFonts w:ascii="宋体" w:hAnsi="宋体"/>
          <w:sz w:val="24"/>
          <w:szCs w:val="24"/>
        </w:rPr>
      </w:pPr>
      <w:r>
        <w:rPr>
          <w:rFonts w:hint="eastAsia" w:ascii="宋体" w:hAnsi="宋体"/>
          <w:sz w:val="24"/>
          <w:szCs w:val="24"/>
        </w:rPr>
        <w:t xml:space="preserve">《安全防范系统雷电浪涌防护技术要求》GA/T670-2006</w:t>
      </w:r>
      <w:r/>
    </w:p>
    <w:p>
      <w:pPr>
        <w:ind w:firstLine="480"/>
        <w:spacing w:line="480" w:lineRule="exact"/>
        <w:rPr>
          <w:rFonts w:ascii="宋体" w:hAnsi="宋体"/>
          <w:sz w:val="24"/>
          <w:szCs w:val="24"/>
        </w:rPr>
      </w:pPr>
      <w:r>
        <w:rPr>
          <w:rFonts w:hint="eastAsia" w:ascii="宋体" w:hAnsi="宋体"/>
          <w:sz w:val="24"/>
          <w:szCs w:val="24"/>
        </w:rPr>
        <w:t xml:space="preserve">《城市交通信号控制系统术语》（GA/T509-2004）</w:t>
      </w:r>
      <w:r/>
    </w:p>
    <w:p>
      <w:pPr>
        <w:ind w:firstLine="480"/>
        <w:spacing w:line="480" w:lineRule="exact"/>
        <w:rPr>
          <w:rFonts w:ascii="宋体" w:hAnsi="宋体"/>
          <w:sz w:val="24"/>
          <w:szCs w:val="24"/>
        </w:rPr>
      </w:pPr>
      <w:r>
        <w:rPr>
          <w:rFonts w:hint="eastAsia" w:ascii="宋体" w:hAnsi="宋体"/>
          <w:sz w:val="24"/>
          <w:szCs w:val="24"/>
        </w:rPr>
        <w:t xml:space="preserve">《公安交通指挥系统设计规范》（GA/T515-2011）</w:t>
      </w:r>
      <w:r/>
    </w:p>
    <w:p>
      <w:pPr>
        <w:ind w:firstLine="480"/>
        <w:spacing w:line="480" w:lineRule="exact"/>
        <w:rPr>
          <w:rFonts w:ascii="宋体" w:hAnsi="宋体"/>
          <w:sz w:val="24"/>
          <w:szCs w:val="24"/>
        </w:rPr>
      </w:pPr>
      <w:r>
        <w:rPr>
          <w:rFonts w:hint="eastAsia" w:ascii="宋体" w:hAnsi="宋体"/>
          <w:sz w:val="24"/>
          <w:szCs w:val="24"/>
        </w:rPr>
        <w:t xml:space="preserve">《警用电子地图坐标系与比例尺》（GA/T629-2006）</w:t>
      </w:r>
      <w:r/>
    </w:p>
    <w:p>
      <w:pPr>
        <w:ind w:firstLine="480"/>
        <w:spacing w:line="480" w:lineRule="exact"/>
        <w:rPr>
          <w:rFonts w:ascii="宋体" w:hAnsi="宋体"/>
          <w:sz w:val="24"/>
          <w:szCs w:val="24"/>
        </w:rPr>
      </w:pPr>
      <w:r>
        <w:rPr>
          <w:rFonts w:hint="eastAsia" w:ascii="宋体" w:hAnsi="宋体"/>
          <w:sz w:val="24"/>
          <w:szCs w:val="24"/>
        </w:rPr>
        <w:t xml:space="preserve">《城市警用地理信息空间数据质量》（GA/T628-2006）</w:t>
      </w:r>
      <w:r/>
    </w:p>
    <w:p>
      <w:pPr>
        <w:ind w:firstLine="480"/>
        <w:spacing w:line="480" w:lineRule="exact"/>
        <w:rPr>
          <w:rFonts w:ascii="宋体" w:hAnsi="宋体"/>
          <w:sz w:val="24"/>
          <w:szCs w:val="24"/>
        </w:rPr>
      </w:pPr>
      <w:r>
        <w:rPr>
          <w:rFonts w:hint="eastAsia" w:ascii="宋体" w:hAnsi="宋体"/>
          <w:sz w:val="24"/>
          <w:szCs w:val="24"/>
        </w:rPr>
        <w:t xml:space="preserve">《城市警用地理信息数据采集与更新规范》（GA/T627-2006）</w:t>
      </w:r>
      <w:r/>
    </w:p>
    <w:p>
      <w:pPr>
        <w:ind w:firstLine="480"/>
        <w:spacing w:line="480" w:lineRule="exact"/>
        <w:rPr>
          <w:rFonts w:ascii="宋体" w:hAnsi="宋体"/>
          <w:sz w:val="24"/>
          <w:szCs w:val="24"/>
        </w:rPr>
      </w:pPr>
      <w:r>
        <w:rPr>
          <w:rFonts w:hint="eastAsia" w:ascii="宋体" w:hAnsi="宋体"/>
          <w:sz w:val="24"/>
          <w:szCs w:val="24"/>
        </w:rPr>
        <w:t xml:space="preserve">《信息安全管理实用规则》（ISO/IEC17799）</w:t>
      </w:r>
      <w:r/>
    </w:p>
    <w:p>
      <w:pPr>
        <w:ind w:firstLine="480"/>
        <w:spacing w:line="480" w:lineRule="exact"/>
        <w:rPr>
          <w:rFonts w:ascii="宋体" w:hAnsi="宋体"/>
          <w:sz w:val="24"/>
          <w:szCs w:val="24"/>
        </w:rPr>
      </w:pPr>
      <w:r>
        <w:rPr>
          <w:rFonts w:hint="eastAsia" w:ascii="宋体" w:hAnsi="宋体"/>
          <w:sz w:val="24"/>
          <w:szCs w:val="24"/>
        </w:rPr>
        <w:t xml:space="preserve">《计算机软件开发规范》（GB8566-88）</w:t>
      </w:r>
      <w:r/>
    </w:p>
    <w:p>
      <w:pPr>
        <w:ind w:firstLine="480"/>
        <w:spacing w:line="480" w:lineRule="exact"/>
        <w:rPr>
          <w:rFonts w:ascii="宋体" w:hAnsi="宋体"/>
          <w:sz w:val="24"/>
          <w:szCs w:val="24"/>
        </w:rPr>
      </w:pPr>
      <w:r>
        <w:rPr>
          <w:rFonts w:hint="eastAsia" w:ascii="宋体" w:hAnsi="宋体"/>
          <w:sz w:val="24"/>
          <w:szCs w:val="24"/>
        </w:rPr>
        <w:t xml:space="preserve">《信息技术开放系统互连网络层安全协议》（GB/T17963）</w:t>
      </w:r>
      <w:r/>
    </w:p>
    <w:p>
      <w:pPr>
        <w:ind w:firstLine="480"/>
        <w:spacing w:line="480" w:lineRule="exact"/>
        <w:rPr>
          <w:rFonts w:ascii="宋体" w:hAnsi="宋体"/>
          <w:sz w:val="24"/>
          <w:szCs w:val="24"/>
        </w:rPr>
      </w:pPr>
      <w:r>
        <w:rPr>
          <w:rFonts w:hint="eastAsia" w:ascii="宋体" w:hAnsi="宋体"/>
          <w:sz w:val="24"/>
          <w:szCs w:val="24"/>
        </w:rPr>
        <w:t xml:space="preserve">《电子计算机机房设计规范》(GB50174-2007)</w:t>
      </w:r>
      <w:r/>
    </w:p>
    <w:p>
      <w:pPr>
        <w:ind w:firstLine="480"/>
        <w:spacing w:line="480" w:lineRule="exact"/>
        <w:rPr>
          <w:rFonts w:ascii="宋体" w:hAnsi="宋体"/>
          <w:sz w:val="24"/>
          <w:szCs w:val="24"/>
        </w:rPr>
      </w:pPr>
      <w:r>
        <w:rPr>
          <w:rFonts w:hint="eastAsia" w:ascii="宋体" w:hAnsi="宋体"/>
          <w:sz w:val="24"/>
          <w:szCs w:val="24"/>
        </w:rPr>
        <w:t xml:space="preserve">《视频安防监控系统技术要求》（GA/T367）</w:t>
      </w:r>
      <w:r/>
    </w:p>
    <w:p>
      <w:pPr>
        <w:ind w:firstLine="480"/>
        <w:spacing w:line="480" w:lineRule="exact"/>
        <w:rPr>
          <w:rFonts w:ascii="宋体" w:hAnsi="宋体"/>
          <w:sz w:val="24"/>
          <w:szCs w:val="24"/>
        </w:rPr>
      </w:pPr>
      <w:r>
        <w:rPr>
          <w:rFonts w:hint="eastAsia" w:ascii="宋体" w:hAnsi="宋体"/>
          <w:sz w:val="24"/>
          <w:szCs w:val="24"/>
        </w:rPr>
        <w:t xml:space="preserve">《社会治安动态视频监控系统技术规范》（DB33/T502—2004）</w:t>
      </w:r>
      <w:r/>
    </w:p>
    <w:p>
      <w:pPr>
        <w:ind w:firstLine="480"/>
        <w:spacing w:line="480" w:lineRule="exact"/>
        <w:rPr>
          <w:rFonts w:ascii="宋体" w:hAnsi="宋体"/>
          <w:sz w:val="24"/>
          <w:szCs w:val="24"/>
        </w:rPr>
      </w:pPr>
      <w:r>
        <w:rPr>
          <w:rFonts w:hint="eastAsia" w:ascii="宋体" w:hAnsi="宋体"/>
          <w:sz w:val="24"/>
          <w:szCs w:val="24"/>
        </w:rPr>
        <w:t xml:space="preserve">《信息标准-计算机信息系统安全等》(GA216.1—1999)</w:t>
      </w:r>
      <w:r/>
    </w:p>
    <w:p>
      <w:pPr>
        <w:ind w:firstLine="480"/>
        <w:spacing w:line="480" w:lineRule="exact"/>
        <w:rPr>
          <w:rFonts w:ascii="宋体" w:hAnsi="宋体"/>
          <w:sz w:val="24"/>
          <w:szCs w:val="24"/>
        </w:rPr>
      </w:pPr>
      <w:r>
        <w:rPr>
          <w:rFonts w:hint="eastAsia" w:ascii="宋体" w:hAnsi="宋体"/>
          <w:sz w:val="24"/>
          <w:szCs w:val="24"/>
        </w:rPr>
        <w:t xml:space="preserve">《城市交通信号控制系统术语》（GA/T 509-2004）</w:t>
      </w:r>
      <w:r/>
    </w:p>
    <w:p>
      <w:pPr>
        <w:ind w:firstLine="480"/>
        <w:spacing w:line="480" w:lineRule="exact"/>
        <w:rPr>
          <w:rFonts w:ascii="宋体" w:hAnsi="宋体"/>
          <w:sz w:val="24"/>
          <w:szCs w:val="24"/>
        </w:rPr>
      </w:pPr>
      <w:r>
        <w:rPr>
          <w:rFonts w:hint="eastAsia" w:ascii="宋体" w:hAnsi="宋体"/>
          <w:sz w:val="24"/>
          <w:szCs w:val="24"/>
        </w:rPr>
        <w:t xml:space="preserve">《公安视频图像信息应用系统第1部分：通用技术要求》（GAT 1400.1-2017）</w:t>
      </w:r>
      <w:r/>
    </w:p>
    <w:p>
      <w:pPr>
        <w:ind w:firstLine="480"/>
        <w:spacing w:line="480" w:lineRule="exact"/>
        <w:rPr>
          <w:rFonts w:ascii="宋体" w:hAnsi="宋体"/>
          <w:sz w:val="24"/>
          <w:szCs w:val="24"/>
        </w:rPr>
      </w:pPr>
      <w:r>
        <w:rPr>
          <w:rFonts w:hint="eastAsia" w:ascii="宋体" w:hAnsi="宋体"/>
          <w:sz w:val="24"/>
          <w:szCs w:val="24"/>
        </w:rPr>
        <w:t xml:space="preserve">《公安视频图像信息应用系统第2部分：应用平台技术要求》（GAT 1400.2-2017）</w:t>
      </w:r>
      <w:r/>
    </w:p>
    <w:p>
      <w:pPr>
        <w:ind w:firstLine="480"/>
        <w:spacing w:line="480" w:lineRule="exact"/>
        <w:rPr>
          <w:rFonts w:ascii="宋体" w:hAnsi="宋体"/>
          <w:sz w:val="24"/>
          <w:szCs w:val="24"/>
        </w:rPr>
      </w:pPr>
      <w:r>
        <w:rPr>
          <w:rFonts w:hint="eastAsia" w:ascii="宋体" w:hAnsi="宋体"/>
          <w:sz w:val="24"/>
          <w:szCs w:val="24"/>
        </w:rPr>
        <w:t xml:space="preserve">《公安视频图像信息应用系统第3部分：数据库技术要求》（GAT 1400.3-2017）</w:t>
      </w:r>
      <w:r/>
    </w:p>
    <w:p>
      <w:pPr>
        <w:ind w:firstLine="480"/>
        <w:spacing w:line="480" w:lineRule="exact"/>
        <w:rPr>
          <w:rFonts w:ascii="宋体" w:hAnsi="宋体"/>
          <w:sz w:val="24"/>
          <w:szCs w:val="24"/>
        </w:rPr>
      </w:pPr>
      <w:r>
        <w:rPr>
          <w:rFonts w:hint="eastAsia" w:ascii="宋体" w:hAnsi="宋体"/>
          <w:sz w:val="24"/>
          <w:szCs w:val="24"/>
        </w:rPr>
        <w:t xml:space="preserve">《公安视频图像信息应用系统第4部分：接口协议要求》（GAT 1400.4-2017）</w:t>
      </w:r>
      <w:r/>
    </w:p>
    <w:p>
      <w:pPr>
        <w:ind w:firstLine="480"/>
        <w:spacing w:line="480" w:lineRule="exact"/>
        <w:rPr>
          <w:rFonts w:ascii="宋体" w:hAnsi="宋体"/>
          <w:sz w:val="24"/>
          <w:szCs w:val="24"/>
        </w:rPr>
      </w:pPr>
      <w:r>
        <w:rPr>
          <w:rFonts w:hint="eastAsia" w:ascii="宋体" w:hAnsi="宋体"/>
          <w:sz w:val="24"/>
          <w:szCs w:val="24"/>
        </w:rPr>
        <w:t xml:space="preserve">《公安视频图像分析系统第1部分通用技术要求》（GAT1399.1-2017）</w:t>
      </w:r>
      <w:r/>
    </w:p>
    <w:p>
      <w:pPr>
        <w:ind w:firstLine="480"/>
        <w:spacing w:line="480" w:lineRule="exact"/>
        <w:rPr>
          <w:rFonts w:ascii="宋体" w:hAnsi="宋体"/>
          <w:sz w:val="24"/>
          <w:szCs w:val="24"/>
        </w:rPr>
      </w:pPr>
      <w:r>
        <w:rPr>
          <w:rFonts w:hint="eastAsia" w:ascii="宋体" w:hAnsi="宋体"/>
          <w:sz w:val="24"/>
          <w:szCs w:val="24"/>
        </w:rPr>
        <w:t xml:space="preserve">《公安视频图像分析系统第2部分视频图像内容分析及描述技术要求》（GAT </w:t>
      </w:r>
      <w:r>
        <w:rPr>
          <w:rFonts w:hint="eastAsia" w:ascii="宋体" w:hAnsi="宋体"/>
          <w:sz w:val="24"/>
          <w:szCs w:val="24"/>
        </w:rPr>
        <w:t xml:space="preserve">1399.2-2017）</w:t>
      </w:r>
      <w:r/>
    </w:p>
    <w:p>
      <w:pPr>
        <w:ind w:firstLine="480"/>
        <w:spacing w:line="480" w:lineRule="exact"/>
        <w:rPr>
          <w:rFonts w:ascii="宋体" w:hAnsi="宋体"/>
          <w:sz w:val="24"/>
          <w:szCs w:val="24"/>
        </w:rPr>
      </w:pPr>
      <w:r>
        <w:rPr>
          <w:rFonts w:ascii="宋体" w:hAnsi="宋体"/>
          <w:sz w:val="24"/>
          <w:szCs w:val="24"/>
        </w:rPr>
        <w:t xml:space="preserve">公路工程技术标准</w:t>
      </w:r>
      <w:r>
        <w:rPr>
          <w:rFonts w:hint="eastAsia" w:ascii="宋体" w:hAnsi="宋体"/>
          <w:sz w:val="24"/>
          <w:szCs w:val="24"/>
        </w:rPr>
        <w:t xml:space="preserve">（</w:t>
      </w:r>
      <w:r>
        <w:rPr>
          <w:rFonts w:ascii="宋体" w:hAnsi="宋体"/>
          <w:sz w:val="24"/>
          <w:szCs w:val="24"/>
        </w:rPr>
        <w:t xml:space="preserve">JTGB01—2014）</w:t>
      </w:r>
      <w:r/>
    </w:p>
    <w:p>
      <w:pPr>
        <w:ind w:firstLine="480"/>
        <w:spacing w:line="480" w:lineRule="exact"/>
        <w:rPr>
          <w:rFonts w:ascii="宋体" w:hAnsi="宋体"/>
          <w:sz w:val="24"/>
          <w:szCs w:val="24"/>
        </w:rPr>
      </w:pPr>
      <w:r>
        <w:rPr>
          <w:rFonts w:ascii="宋体" w:hAnsi="宋体"/>
          <w:sz w:val="24"/>
          <w:szCs w:val="24"/>
        </w:rPr>
        <w:t xml:space="preserve">公路路线设计规范</w:t>
      </w:r>
      <w:r>
        <w:rPr>
          <w:rFonts w:hint="eastAsia" w:ascii="宋体" w:hAnsi="宋体"/>
          <w:sz w:val="24"/>
          <w:szCs w:val="24"/>
        </w:rPr>
        <w:t xml:space="preserve">（</w:t>
      </w:r>
      <w:r>
        <w:rPr>
          <w:rFonts w:ascii="宋体" w:hAnsi="宋体"/>
          <w:sz w:val="24"/>
          <w:szCs w:val="24"/>
        </w:rPr>
        <w:t xml:space="preserve">JTGD20-2017）</w:t>
      </w:r>
      <w:r/>
    </w:p>
    <w:p>
      <w:pPr>
        <w:ind w:firstLine="480"/>
        <w:spacing w:line="480" w:lineRule="exact"/>
        <w:rPr>
          <w:rFonts w:ascii="宋体" w:hAnsi="宋体"/>
          <w:sz w:val="24"/>
          <w:szCs w:val="24"/>
        </w:rPr>
      </w:pPr>
      <w:r>
        <w:rPr>
          <w:rFonts w:ascii="宋体" w:hAnsi="宋体"/>
          <w:sz w:val="24"/>
          <w:szCs w:val="24"/>
        </w:rPr>
        <w:t xml:space="preserve">公路交通安全设施设计规范</w:t>
      </w:r>
      <w:r>
        <w:rPr>
          <w:rFonts w:hint="eastAsia" w:ascii="宋体" w:hAnsi="宋体"/>
          <w:sz w:val="24"/>
          <w:szCs w:val="24"/>
        </w:rPr>
        <w:t xml:space="preserve">（</w:t>
      </w:r>
      <w:r>
        <w:rPr>
          <w:rFonts w:ascii="宋体" w:hAnsi="宋体"/>
          <w:sz w:val="24"/>
          <w:szCs w:val="24"/>
        </w:rPr>
        <w:t xml:space="preserve">JTGD81-2017）</w:t>
      </w:r>
      <w:r/>
    </w:p>
    <w:p>
      <w:pPr>
        <w:ind w:firstLine="480"/>
        <w:spacing w:line="480" w:lineRule="exact"/>
        <w:rPr>
          <w:rFonts w:ascii="宋体" w:hAnsi="宋体"/>
          <w:sz w:val="24"/>
          <w:szCs w:val="24"/>
        </w:rPr>
      </w:pPr>
      <w:r>
        <w:rPr>
          <w:rFonts w:ascii="宋体" w:hAnsi="宋体"/>
          <w:sz w:val="24"/>
          <w:szCs w:val="24"/>
        </w:rPr>
        <w:t xml:space="preserve">公路交通安全设施设计细则</w:t>
      </w:r>
      <w:r>
        <w:rPr>
          <w:rFonts w:hint="eastAsia" w:ascii="宋体" w:hAnsi="宋体"/>
          <w:sz w:val="24"/>
          <w:szCs w:val="24"/>
        </w:rPr>
        <w:t xml:space="preserve">（</w:t>
      </w:r>
      <w:r>
        <w:rPr>
          <w:rFonts w:ascii="宋体" w:hAnsi="宋体"/>
          <w:sz w:val="24"/>
          <w:szCs w:val="24"/>
        </w:rPr>
        <w:t xml:space="preserve">JTG/TD81-2017）</w:t>
      </w:r>
      <w:r/>
    </w:p>
    <w:p>
      <w:pPr>
        <w:ind w:firstLine="480"/>
        <w:spacing w:line="480" w:lineRule="exact"/>
        <w:rPr>
          <w:rFonts w:ascii="宋体" w:hAnsi="宋体"/>
          <w:sz w:val="24"/>
          <w:szCs w:val="24"/>
        </w:rPr>
      </w:pPr>
      <w:r>
        <w:rPr>
          <w:rFonts w:ascii="宋体" w:hAnsi="宋体"/>
          <w:sz w:val="24"/>
          <w:szCs w:val="24"/>
        </w:rPr>
        <w:t xml:space="preserve">公路护栏安全性能评价标准</w:t>
      </w:r>
      <w:r>
        <w:rPr>
          <w:rFonts w:hint="eastAsia" w:ascii="宋体" w:hAnsi="宋体"/>
          <w:sz w:val="24"/>
          <w:szCs w:val="24"/>
        </w:rPr>
        <w:t xml:space="preserve">（</w:t>
      </w:r>
      <w:r>
        <w:rPr>
          <w:rFonts w:ascii="宋体" w:hAnsi="宋体"/>
          <w:sz w:val="24"/>
          <w:szCs w:val="24"/>
        </w:rPr>
        <w:t xml:space="preserve">JTGB05-01-2013）</w:t>
      </w:r>
      <w:r/>
    </w:p>
    <w:p>
      <w:pPr>
        <w:ind w:firstLine="480"/>
        <w:spacing w:line="480" w:lineRule="exact"/>
        <w:rPr>
          <w:rFonts w:ascii="宋体" w:hAnsi="宋体"/>
          <w:sz w:val="24"/>
          <w:szCs w:val="24"/>
        </w:rPr>
      </w:pPr>
      <w:r>
        <w:rPr>
          <w:rFonts w:ascii="宋体" w:hAnsi="宋体"/>
          <w:sz w:val="24"/>
          <w:szCs w:val="24"/>
        </w:rPr>
        <w:t xml:space="preserve">小交通量农村公路工程技术标准</w:t>
      </w:r>
      <w:r>
        <w:rPr>
          <w:rFonts w:hint="eastAsia" w:ascii="宋体" w:hAnsi="宋体"/>
          <w:sz w:val="24"/>
          <w:szCs w:val="24"/>
        </w:rPr>
        <w:t xml:space="preserve">（</w:t>
      </w:r>
      <w:r>
        <w:rPr>
          <w:rFonts w:ascii="宋体" w:hAnsi="宋体"/>
          <w:sz w:val="24"/>
          <w:szCs w:val="24"/>
        </w:rPr>
        <w:t xml:space="preserve">JTG 2111—2019）</w:t>
      </w:r>
      <w:r/>
    </w:p>
    <w:p>
      <w:pPr>
        <w:ind w:firstLine="480"/>
        <w:spacing w:line="480" w:lineRule="exact"/>
        <w:rPr>
          <w:rFonts w:ascii="宋体" w:hAnsi="宋体"/>
          <w:sz w:val="24"/>
          <w:szCs w:val="24"/>
        </w:rPr>
      </w:pPr>
      <w:r>
        <w:rPr>
          <w:rFonts w:ascii="宋体" w:hAnsi="宋体"/>
          <w:sz w:val="24"/>
          <w:szCs w:val="24"/>
        </w:rPr>
        <w:t xml:space="preserve">小交通量农村公路工程设计规范（JTG/T3311-2021） </w:t>
      </w:r>
      <w:r/>
    </w:p>
    <w:p>
      <w:pPr>
        <w:ind w:firstLine="480"/>
        <w:spacing w:line="480" w:lineRule="exact"/>
        <w:rPr>
          <w:rFonts w:ascii="宋体" w:hAnsi="宋体"/>
          <w:sz w:val="24"/>
          <w:szCs w:val="24"/>
        </w:rPr>
      </w:pPr>
      <w:r>
        <w:rPr>
          <w:rFonts w:ascii="宋体" w:hAnsi="宋体"/>
          <w:sz w:val="24"/>
          <w:szCs w:val="24"/>
        </w:rPr>
        <w:t xml:space="preserve">《公路安全设施和交通秩序管理精细化提升行动方案》（交办公路〔2022〕14号）</w:t>
      </w:r>
      <w:r/>
    </w:p>
    <w:p>
      <w:pPr>
        <w:ind w:firstLine="480"/>
        <w:spacing w:line="480" w:lineRule="exact"/>
        <w:rPr>
          <w:rFonts w:ascii="宋体" w:hAnsi="宋体"/>
          <w:sz w:val="24"/>
          <w:szCs w:val="24"/>
        </w:rPr>
      </w:pPr>
      <w:r>
        <w:rPr>
          <w:rFonts w:ascii="宋体" w:hAnsi="宋体"/>
          <w:sz w:val="24"/>
          <w:szCs w:val="24"/>
        </w:rPr>
        <w:t xml:space="preserve">《江苏省农村公路安全生命防护工程实施技术指南》（江苏省交通运输厅公路局2016年）</w:t>
      </w:r>
      <w:r/>
    </w:p>
    <w:p>
      <w:pPr>
        <w:ind w:firstLine="480"/>
        <w:spacing w:line="480" w:lineRule="exact"/>
        <w:rPr>
          <w:rFonts w:ascii="宋体" w:hAnsi="宋体"/>
          <w:sz w:val="24"/>
          <w:szCs w:val="24"/>
        </w:rPr>
      </w:pPr>
      <w:r>
        <w:rPr>
          <w:rFonts w:ascii="宋体" w:hAnsi="宋体"/>
          <w:sz w:val="24"/>
          <w:szCs w:val="24"/>
        </w:rPr>
        <w:t xml:space="preserve">《江苏省普通公路安全生命防护工程路段排查手册》（江苏省交通运输厅公路事业发展中心2020年）</w:t>
      </w:r>
      <w:r/>
    </w:p>
    <w:p>
      <w:pPr>
        <w:pStyle w:val="1052"/>
        <w:ind w:firstLine="480"/>
        <w:spacing w:line="480" w:lineRule="exact"/>
        <w:rPr>
          <w:rFonts w:ascii="宋体" w:hAnsi="宋体"/>
          <w:sz w:val="24"/>
          <w:szCs w:val="24"/>
        </w:rPr>
      </w:pPr>
      <w:r>
        <w:rPr>
          <w:rFonts w:hint="eastAsia" w:ascii="宋体" w:hAnsi="宋体"/>
          <w:sz w:val="24"/>
          <w:szCs w:val="24"/>
        </w:rPr>
        <w:t xml:space="preserve">限于篇幅，此处列举部分依据，除上述规范以外，遵循国家现行的规范和标准要求</w:t>
      </w:r>
      <w:r/>
    </w:p>
    <w:p>
      <w:pPr>
        <w:pStyle w:val="997"/>
        <w:ind w:firstLine="482"/>
        <w:spacing w:before="0" w:after="0" w:line="480" w:lineRule="exact"/>
        <w:rPr>
          <w:rFonts w:ascii="宋体" w:hAnsi="宋体" w:eastAsia="宋体"/>
          <w:sz w:val="24"/>
          <w:szCs w:val="24"/>
        </w:rPr>
      </w:pPr>
      <w:r/>
      <w:bookmarkStart w:id="69" w:name="_Toc2467"/>
      <w:r/>
      <w:bookmarkStart w:id="70" w:name="_Toc16043"/>
      <w:r/>
      <w:bookmarkStart w:id="71" w:name="_Toc6971"/>
      <w:r/>
      <w:bookmarkStart w:id="72" w:name="_Toc23925"/>
      <w:r>
        <w:rPr>
          <w:rFonts w:hint="eastAsia" w:ascii="宋体" w:hAnsi="宋体" w:eastAsia="宋体"/>
          <w:sz w:val="24"/>
          <w:szCs w:val="24"/>
        </w:rPr>
        <w:t xml:space="preserve">1</w:t>
      </w:r>
      <w:r>
        <w:rPr>
          <w:rFonts w:ascii="宋体" w:hAnsi="宋体" w:eastAsia="宋体"/>
          <w:sz w:val="24"/>
          <w:szCs w:val="24"/>
        </w:rPr>
        <w:t xml:space="preserve">.4.2</w:t>
      </w:r>
      <w:r>
        <w:rPr>
          <w:rFonts w:hint="eastAsia" w:ascii="宋体" w:hAnsi="宋体" w:eastAsia="宋体"/>
          <w:sz w:val="24"/>
          <w:szCs w:val="24"/>
        </w:rPr>
        <w:t xml:space="preserve">概算编制依据</w:t>
      </w:r>
      <w:bookmarkEnd w:id="69"/>
      <w:r/>
      <w:bookmarkEnd w:id="70"/>
      <w:r/>
      <w:bookmarkEnd w:id="71"/>
      <w:r/>
      <w:bookmarkEnd w:id="72"/>
      <w:r/>
      <w:r/>
    </w:p>
    <w:p>
      <w:pPr>
        <w:ind w:firstLine="480"/>
        <w:spacing w:line="480" w:lineRule="exact"/>
        <w:rPr>
          <w:rFonts w:ascii="宋体" w:hAnsi="宋体"/>
          <w:sz w:val="24"/>
          <w:szCs w:val="24"/>
        </w:rPr>
      </w:pPr>
      <w:r>
        <w:rPr>
          <w:rFonts w:ascii="宋体" w:hAnsi="宋体"/>
          <w:sz w:val="24"/>
          <w:szCs w:val="24"/>
        </w:rPr>
        <w:t xml:space="preserve">（1）江苏省住房和城乡建设厅《江苏省建设工程费用定额（2014年）》（苏建价【2014】299号）。</w:t>
      </w:r>
      <w:r/>
    </w:p>
    <w:p>
      <w:pPr>
        <w:ind w:firstLine="480"/>
        <w:spacing w:line="480" w:lineRule="exact"/>
        <w:rPr>
          <w:rFonts w:ascii="宋体" w:hAnsi="宋体"/>
          <w:sz w:val="24"/>
          <w:szCs w:val="24"/>
        </w:rPr>
      </w:pPr>
      <w:r>
        <w:rPr>
          <w:rFonts w:ascii="宋体" w:hAnsi="宋体"/>
          <w:sz w:val="24"/>
          <w:szCs w:val="24"/>
        </w:rPr>
        <w:t xml:space="preserve">（2）住房和城乡建设部办公厅《关于做好建筑业营改增建设工程计价依据调整准备工作的通知》（建办标【2016】4号）。</w:t>
      </w:r>
      <w:r/>
    </w:p>
    <w:p>
      <w:pPr>
        <w:ind w:firstLine="480"/>
        <w:spacing w:line="480" w:lineRule="exact"/>
        <w:rPr>
          <w:rFonts w:ascii="宋体" w:hAnsi="宋体"/>
          <w:sz w:val="24"/>
          <w:szCs w:val="24"/>
        </w:rPr>
      </w:pPr>
      <w:r>
        <w:rPr>
          <w:rFonts w:ascii="宋体" w:hAnsi="宋体"/>
          <w:sz w:val="24"/>
          <w:szCs w:val="24"/>
        </w:rPr>
        <w:t xml:space="preserve">（3）江苏省住房和城乡建设厅《关于建筑业实施营改增后江苏省建设工程计价依据调整的通知》（苏建价【2016】154号）。</w:t>
      </w:r>
      <w:r/>
    </w:p>
    <w:p>
      <w:pPr>
        <w:ind w:firstLine="480"/>
        <w:spacing w:line="480" w:lineRule="exact"/>
        <w:rPr>
          <w:rFonts w:ascii="宋体" w:hAnsi="宋体"/>
          <w:sz w:val="24"/>
          <w:szCs w:val="24"/>
        </w:rPr>
      </w:pPr>
      <w:r>
        <w:rPr>
          <w:rFonts w:ascii="宋体" w:hAnsi="宋体"/>
          <w:sz w:val="24"/>
          <w:szCs w:val="24"/>
        </w:rPr>
        <w:t xml:space="preserve">（4）江苏省住房和城乡建设厅《关于发布建设工程人工工资指导价的通知》（苏建函价【2019】142号）</w:t>
      </w:r>
      <w:r/>
    </w:p>
    <w:p>
      <w:pPr>
        <w:ind w:firstLine="480"/>
        <w:spacing w:line="480" w:lineRule="exact"/>
        <w:rPr>
          <w:rFonts w:ascii="宋体" w:hAnsi="宋体"/>
          <w:sz w:val="24"/>
          <w:szCs w:val="24"/>
        </w:rPr>
      </w:pPr>
      <w:r>
        <w:rPr>
          <w:rFonts w:ascii="宋体" w:hAnsi="宋体"/>
          <w:sz w:val="24"/>
          <w:szCs w:val="24"/>
        </w:rPr>
        <w:t xml:space="preserve">（5）财政部、国家安全生产监督管理总局《企业安全生产费用提取和使用管理办法》（财企【2012】16号）</w:t>
      </w:r>
      <w:r/>
    </w:p>
    <w:p>
      <w:pPr>
        <w:ind w:firstLine="480"/>
        <w:spacing w:line="480" w:lineRule="exact"/>
        <w:rPr>
          <w:rFonts w:ascii="宋体" w:hAnsi="宋体"/>
          <w:sz w:val="24"/>
          <w:szCs w:val="24"/>
        </w:rPr>
      </w:pPr>
      <w:r>
        <w:rPr>
          <w:rFonts w:ascii="宋体" w:hAnsi="宋体"/>
          <w:sz w:val="24"/>
          <w:szCs w:val="24"/>
        </w:rPr>
        <w:t xml:space="preserve">（6）财政部《基本建设项目建设成本规定》（财建【2016年】504号）。</w:t>
      </w:r>
      <w:r/>
    </w:p>
    <w:p>
      <w:pPr>
        <w:ind w:firstLine="480"/>
        <w:spacing w:line="480" w:lineRule="exact"/>
        <w:rPr>
          <w:rFonts w:ascii="宋体" w:hAnsi="宋体"/>
          <w:sz w:val="24"/>
          <w:szCs w:val="24"/>
        </w:rPr>
      </w:pPr>
      <w:r>
        <w:rPr>
          <w:rFonts w:ascii="宋体" w:hAnsi="宋体"/>
          <w:sz w:val="24"/>
          <w:szCs w:val="24"/>
        </w:rPr>
        <w:t xml:space="preserve">（7）建设单位下发的关于本工程的概算编制的意见。</w:t>
      </w:r>
      <w:r/>
    </w:p>
    <w:p>
      <w:pPr>
        <w:pStyle w:val="996"/>
        <w:ind w:firstLine="482"/>
        <w:jc w:val="left"/>
        <w:spacing w:before="0" w:after="0" w:line="480" w:lineRule="exact"/>
        <w:rPr>
          <w:rFonts w:ascii="宋体" w:hAnsi="宋体" w:eastAsia="宋体"/>
          <w:sz w:val="24"/>
          <w:szCs w:val="24"/>
        </w:rPr>
      </w:pPr>
      <w:r/>
      <w:bookmarkStart w:id="73" w:name="_Toc30514"/>
      <w:r>
        <w:rPr>
          <w:rFonts w:hint="eastAsia" w:ascii="宋体" w:hAnsi="宋体" w:eastAsia="宋体"/>
          <w:sz w:val="24"/>
          <w:szCs w:val="24"/>
        </w:rPr>
        <w:t xml:space="preserve">1</w:t>
      </w:r>
      <w:r>
        <w:rPr>
          <w:rFonts w:ascii="宋体" w:hAnsi="宋体" w:eastAsia="宋体"/>
          <w:sz w:val="24"/>
          <w:szCs w:val="24"/>
        </w:rPr>
        <w:t xml:space="preserve">.5</w:t>
      </w:r>
      <w:r>
        <w:rPr>
          <w:rFonts w:hint="eastAsia" w:ascii="宋体" w:hAnsi="宋体" w:eastAsia="宋体"/>
          <w:sz w:val="24"/>
          <w:szCs w:val="24"/>
        </w:rPr>
        <w:t xml:space="preserve">项目建设目标、规模、内容、工程合理使用年限</w:t>
      </w:r>
      <w:bookmarkEnd w:id="73"/>
      <w:r/>
      <w:r/>
    </w:p>
    <w:p>
      <w:pPr>
        <w:pStyle w:val="997"/>
        <w:ind w:firstLine="482"/>
        <w:spacing w:before="0" w:after="0" w:line="480" w:lineRule="exact"/>
        <w:rPr>
          <w:rFonts w:ascii="宋体" w:hAnsi="宋体" w:eastAsia="宋体"/>
          <w:sz w:val="24"/>
          <w:szCs w:val="24"/>
        </w:rPr>
      </w:pPr>
      <w:r/>
      <w:bookmarkStart w:id="74" w:name="_Toc19573"/>
      <w:r>
        <w:rPr>
          <w:rFonts w:hint="eastAsia" w:ascii="宋体" w:hAnsi="宋体" w:eastAsia="宋体"/>
          <w:sz w:val="24"/>
          <w:szCs w:val="24"/>
        </w:rPr>
        <w:t xml:space="preserve">1</w:t>
      </w:r>
      <w:r>
        <w:rPr>
          <w:rFonts w:ascii="宋体" w:hAnsi="宋体" w:eastAsia="宋体"/>
          <w:sz w:val="24"/>
          <w:szCs w:val="24"/>
        </w:rPr>
        <w:t xml:space="preserve">.5.1</w:t>
      </w:r>
      <w:r>
        <w:rPr>
          <w:rFonts w:hint="eastAsia" w:ascii="宋体" w:hAnsi="宋体" w:eastAsia="宋体"/>
          <w:sz w:val="24"/>
          <w:szCs w:val="24"/>
        </w:rPr>
        <w:t xml:space="preserve">建设目标</w:t>
      </w:r>
      <w:bookmarkEnd w:id="74"/>
      <w:r/>
      <w:r/>
    </w:p>
    <w:p>
      <w:pPr>
        <w:ind w:firstLine="480"/>
        <w:spacing w:line="480" w:lineRule="exact"/>
        <w:rPr>
          <w:rFonts w:ascii="宋体" w:hAnsi="宋体"/>
          <w:sz w:val="24"/>
          <w:szCs w:val="24"/>
        </w:rPr>
      </w:pPr>
      <w:r>
        <w:rPr>
          <w:rFonts w:ascii="宋体" w:hAnsi="宋体"/>
          <w:sz w:val="24"/>
          <w:szCs w:val="24"/>
        </w:rPr>
        <w:t xml:space="preserve">随着城镇化和农业现代化的快速发展，农村地区道路机动化水平不断提高，由此带来的交通安全隐患也日益突出</w:t>
      </w:r>
      <w:r>
        <w:rPr>
          <w:rFonts w:hint="eastAsia" w:ascii="宋体" w:hAnsi="宋体"/>
          <w:sz w:val="24"/>
          <w:szCs w:val="24"/>
        </w:rPr>
        <w:t xml:space="preserve">，尤其是交叉口、路侧搭接口、道路开口交通事故高发</w:t>
      </w:r>
      <w:r>
        <w:rPr>
          <w:rFonts w:ascii="宋体" w:hAnsi="宋体"/>
          <w:sz w:val="24"/>
          <w:szCs w:val="24"/>
        </w:rPr>
        <w:t xml:space="preserve">。为改善农村地区道路出行条件，提高农村地区道路交通安全水平，积极防范和减少道路交通事故，本次重点针对农村道路交叉口</w:t>
      </w:r>
      <w:r>
        <w:rPr>
          <w:rFonts w:hint="eastAsia" w:ascii="宋体" w:hAnsi="宋体"/>
          <w:sz w:val="24"/>
          <w:szCs w:val="24"/>
        </w:rPr>
        <w:t xml:space="preserve">、路侧搭接口、道路开口</w:t>
      </w:r>
      <w:r>
        <w:rPr>
          <w:rFonts w:ascii="宋体" w:hAnsi="宋体"/>
          <w:sz w:val="24"/>
          <w:szCs w:val="24"/>
        </w:rPr>
        <w:t xml:space="preserve">的道路安全隐患，制定了治理对策。</w:t>
      </w:r>
      <w:bookmarkStart w:id="75" w:name="_Toc427250416"/>
      <w:r/>
      <w:bookmarkEnd w:id="75"/>
      <w:r/>
      <w:r/>
    </w:p>
    <w:p>
      <w:pPr>
        <w:ind w:firstLine="480"/>
        <w:spacing w:line="480" w:lineRule="exact"/>
        <w:rPr>
          <w:rFonts w:ascii="宋体" w:hAnsi="宋体"/>
          <w:sz w:val="24"/>
          <w:szCs w:val="24"/>
        </w:rPr>
      </w:pPr>
      <w:r>
        <w:rPr>
          <w:rFonts w:ascii="宋体" w:hAnsi="宋体"/>
          <w:sz w:val="24"/>
          <w:szCs w:val="24"/>
        </w:rPr>
        <w:t xml:space="preserve">农村地区“三口”交通隐患治理工作是今年</w:t>
      </w:r>
      <w:r>
        <w:rPr>
          <w:rFonts w:hint="eastAsia" w:ascii="宋体" w:hAnsi="宋体"/>
          <w:sz w:val="24"/>
          <w:szCs w:val="24"/>
        </w:rPr>
        <w:t xml:space="preserve">区</w:t>
      </w:r>
      <w:r>
        <w:rPr>
          <w:rFonts w:ascii="宋体" w:hAnsi="宋体"/>
          <w:sz w:val="24"/>
          <w:szCs w:val="24"/>
        </w:rPr>
        <w:t xml:space="preserve">政府为民办实事项目“农村道路交通安全提质工程”的重点项目，各</w:t>
      </w:r>
      <w:r>
        <w:rPr>
          <w:rFonts w:hint="eastAsia" w:ascii="宋体" w:hAnsi="宋体"/>
          <w:sz w:val="24"/>
          <w:szCs w:val="24"/>
        </w:rPr>
        <w:t xml:space="preserve">板块及相关职能部门</w:t>
      </w:r>
      <w:r>
        <w:rPr>
          <w:rFonts w:ascii="宋体" w:hAnsi="宋体"/>
          <w:sz w:val="24"/>
          <w:szCs w:val="24"/>
        </w:rPr>
        <w:t xml:space="preserve">要高度重视，深入开展农村地区“三口”交通隐患</w:t>
      </w:r>
      <w:r>
        <w:rPr>
          <w:rFonts w:hint="eastAsia" w:ascii="宋体" w:hAnsi="宋体"/>
          <w:sz w:val="24"/>
          <w:szCs w:val="24"/>
        </w:rPr>
        <w:t xml:space="preserve">治理</w:t>
      </w:r>
      <w:r>
        <w:rPr>
          <w:rFonts w:ascii="宋体" w:hAnsi="宋体"/>
          <w:sz w:val="24"/>
          <w:szCs w:val="24"/>
        </w:rPr>
        <w:t xml:space="preserve">工作，确保隐患</w:t>
      </w:r>
      <w:r>
        <w:rPr>
          <w:rFonts w:hint="eastAsia" w:ascii="宋体" w:hAnsi="宋体"/>
          <w:sz w:val="24"/>
          <w:szCs w:val="24"/>
        </w:rPr>
        <w:t xml:space="preserve">得到全面、有效的治理</w:t>
      </w:r>
      <w:r>
        <w:rPr>
          <w:rFonts w:ascii="宋体" w:hAnsi="宋体"/>
          <w:sz w:val="24"/>
          <w:szCs w:val="24"/>
        </w:rPr>
        <w:t xml:space="preserve">。</w:t>
      </w:r>
      <w:r/>
    </w:p>
    <w:p>
      <w:pPr>
        <w:pStyle w:val="997"/>
        <w:ind w:firstLine="482"/>
        <w:spacing w:before="0" w:after="0" w:line="480" w:lineRule="exact"/>
        <w:rPr>
          <w:rFonts w:ascii="宋体" w:hAnsi="宋体" w:eastAsia="宋体"/>
          <w:sz w:val="24"/>
          <w:szCs w:val="24"/>
        </w:rPr>
      </w:pPr>
      <w:r/>
      <w:bookmarkStart w:id="76" w:name="_Toc1194"/>
      <w:r>
        <w:rPr>
          <w:rFonts w:hint="eastAsia" w:ascii="宋体" w:hAnsi="宋体" w:eastAsia="宋体"/>
          <w:sz w:val="24"/>
          <w:szCs w:val="24"/>
        </w:rPr>
        <w:t xml:space="preserve">1</w:t>
      </w:r>
      <w:r>
        <w:rPr>
          <w:rFonts w:ascii="宋体" w:hAnsi="宋体" w:eastAsia="宋体"/>
          <w:sz w:val="24"/>
          <w:szCs w:val="24"/>
        </w:rPr>
        <w:t xml:space="preserve">.5.2</w:t>
      </w:r>
      <w:r>
        <w:rPr>
          <w:rFonts w:hint="eastAsia" w:ascii="宋体" w:hAnsi="宋体" w:eastAsia="宋体"/>
          <w:sz w:val="24"/>
          <w:szCs w:val="24"/>
        </w:rPr>
        <w:t xml:space="preserve">建设规模、内容</w:t>
      </w:r>
      <w:bookmarkEnd w:id="76"/>
      <w:r/>
      <w:r/>
    </w:p>
    <w:p>
      <w:pPr>
        <w:ind w:firstLine="480"/>
        <w:spacing w:line="480" w:lineRule="exact"/>
        <w:rPr>
          <w:rFonts w:ascii="宋体" w:hAnsi="宋体"/>
          <w:sz w:val="24"/>
          <w:szCs w:val="24"/>
        </w:rPr>
      </w:pPr>
      <w:r>
        <w:rPr>
          <w:rFonts w:hint="eastAsia" w:ascii="宋体" w:hAnsi="宋体"/>
          <w:sz w:val="24"/>
          <w:szCs w:val="24"/>
        </w:rPr>
        <w:t xml:space="preserve">在盐城市大丰区各乡镇组织实施智能科技设施类项目：农村路口交通信号灯建设、智能信号机建设与联网、电子警察及卡口补盲与改造、农村路口违停抓拍系统建设及改造、货车不靠右行驶抓拍、牵引货车、半挂货车等车长超过9.6米以上的货车闯红灯抓拍、区间测速等。交安设施类项目：农村道路三口优化、标志标牌和标线的补盲、安装及校园周边路口交安设施的升级改造等。</w:t>
      </w:r>
      <w:r/>
    </w:p>
    <w:p>
      <w:pPr>
        <w:pStyle w:val="995"/>
        <w:ind w:firstLine="482"/>
        <w:jc w:val="left"/>
        <w:keepLines/>
        <w:spacing w:line="480" w:lineRule="exact"/>
        <w:tabs>
          <w:tab w:val="left" w:pos="3165" w:leader="none"/>
          <w:tab w:val="center" w:pos="4594" w:leader="none"/>
        </w:tabs>
        <w:rPr>
          <w:rFonts w:ascii="宋体" w:eastAsia="宋体"/>
          <w:b/>
          <w:sz w:val="24"/>
          <w:szCs w:val="24"/>
        </w:rPr>
      </w:pPr>
      <w:r/>
      <w:bookmarkStart w:id="77" w:name="_Toc6592"/>
      <w:r>
        <w:rPr>
          <w:rFonts w:hint="eastAsia" w:ascii="宋体" w:eastAsia="宋体"/>
          <w:b/>
          <w:sz w:val="24"/>
          <w:szCs w:val="24"/>
        </w:rPr>
        <w:t xml:space="preserve">二、需求分析</w:t>
      </w:r>
      <w:bookmarkEnd w:id="77"/>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基本情况</w:t>
      </w:r>
      <w:r/>
    </w:p>
    <w:p>
      <w:pPr>
        <w:ind w:firstLine="480"/>
        <w:spacing w:line="480" w:lineRule="exact"/>
        <w:rPr>
          <w:rFonts w:ascii="宋体" w:hAnsi="宋体"/>
          <w:sz w:val="24"/>
          <w:szCs w:val="24"/>
        </w:rPr>
      </w:pPr>
      <w:r>
        <w:rPr>
          <w:rFonts w:hint="eastAsia" w:ascii="宋体" w:hAnsi="宋体"/>
          <w:sz w:val="24"/>
          <w:szCs w:val="24"/>
        </w:rPr>
        <w:t xml:space="preserve">大丰区，隶属江苏省盐城市，位于江苏省东部，盐城市东南，北与盐城市亭湖区交界，南与东台市接壤，西与兴化市毗邻，东濒黄海，总面积3059平方千米。截止至2022年3月，大丰区常住人口64.56万人。截至2022年3月，大丰区下辖2个街道、11个镇、2个省级开发区，江苏省属农场3家、上海市属农场1家。 </w:t>
      </w:r>
      <w:r/>
    </w:p>
    <w:p>
      <w:pPr>
        <w:ind w:firstLine="480"/>
        <w:spacing w:line="480" w:lineRule="exact"/>
        <w:rPr>
          <w:rFonts w:ascii="宋体" w:hAnsi="宋体"/>
          <w:sz w:val="24"/>
          <w:szCs w:val="24"/>
        </w:rPr>
      </w:pPr>
      <w:r>
        <w:rPr>
          <w:rFonts w:hint="eastAsia" w:ascii="宋体" w:hAnsi="宋体"/>
          <w:sz w:val="24"/>
          <w:szCs w:val="24"/>
        </w:rPr>
        <w:t xml:space="preserve">“大丰”之名，源于境内有大中、新丰两镇，各取一字而得名。民国31年（1942），建台北县。1951年，台北县改为大丰县。1996年，撤销大丰县，设立大丰市。2015年，撤销县级大丰市，设立盐城市大丰区。</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地理环境</w:t>
      </w:r>
      <w:r/>
    </w:p>
    <w:p>
      <w:pPr>
        <w:ind w:firstLine="480"/>
        <w:spacing w:line="480" w:lineRule="exact"/>
        <w:rPr>
          <w:rFonts w:ascii="宋体" w:hAnsi="宋体"/>
          <w:sz w:val="24"/>
          <w:szCs w:val="24"/>
        </w:rPr>
      </w:pPr>
      <w:r>
        <w:rPr>
          <w:rFonts w:ascii="宋体" w:hAnsi="宋体"/>
          <w:sz w:val="24"/>
          <w:szCs w:val="24"/>
        </w:rPr>
        <w:t xml:space="preserve">2.2.1</w:t>
      </w:r>
      <w:r>
        <w:rPr>
          <w:rFonts w:hint="eastAsia" w:ascii="宋体" w:hAnsi="宋体"/>
          <w:sz w:val="24"/>
          <w:szCs w:val="24"/>
        </w:rPr>
        <w:t xml:space="preserve">位置境域</w:t>
      </w:r>
      <w:r/>
    </w:p>
    <w:p>
      <w:pPr>
        <w:ind w:firstLine="480"/>
        <w:spacing w:line="480" w:lineRule="exact"/>
        <w:rPr>
          <w:rFonts w:ascii="宋体" w:hAnsi="宋体"/>
          <w:sz w:val="24"/>
          <w:szCs w:val="24"/>
        </w:rPr>
      </w:pPr>
      <w:r>
        <w:rPr>
          <w:rFonts w:hint="eastAsia" w:ascii="宋体" w:hAnsi="宋体"/>
          <w:sz w:val="24"/>
          <w:szCs w:val="24"/>
        </w:rPr>
        <w:t xml:space="preserve">大丰区，位于江苏省东部，盐城市东南，介于北纬32°56’~3336'、东经120°13’</w:t>
      </w:r>
      <w:r>
        <w:rPr>
          <w:rFonts w:hint="eastAsia" w:ascii="宋体" w:hAnsi="宋体"/>
          <w:sz w:val="24"/>
          <w:szCs w:val="24"/>
        </w:rPr>
        <w:t xml:space="preserve">~120°56'之间，海岸线长112千米。北与盐城市亭湖区交界，南与东台市接壤，西与兴化市毗邻，东濒黄海，总面积3008平方千米。</w:t>
      </w:r>
      <w:r/>
    </w:p>
    <w:p>
      <w:pPr>
        <w:ind w:firstLine="480"/>
        <w:spacing w:line="480" w:lineRule="exact"/>
        <w:rPr>
          <w:rFonts w:ascii="宋体" w:hAnsi="宋体"/>
          <w:sz w:val="24"/>
          <w:szCs w:val="24"/>
        </w:rPr>
      </w:pPr>
      <w:r>
        <w:rPr>
          <w:rFonts w:ascii="宋体" w:hAnsi="宋体"/>
          <w:sz w:val="24"/>
          <w:szCs w:val="24"/>
        </w:rPr>
        <w:t xml:space="preserve">2.2.2</w:t>
      </w:r>
      <w:r>
        <w:rPr>
          <w:rFonts w:hint="eastAsia" w:ascii="宋体" w:hAnsi="宋体"/>
          <w:sz w:val="24"/>
          <w:szCs w:val="24"/>
        </w:rPr>
        <w:t xml:space="preserve">地形地貌</w:t>
      </w:r>
      <w:r/>
    </w:p>
    <w:p>
      <w:pPr>
        <w:ind w:firstLine="480"/>
        <w:spacing w:line="480" w:lineRule="exact"/>
        <w:rPr>
          <w:rFonts w:ascii="宋体" w:hAnsi="宋体"/>
          <w:sz w:val="24"/>
          <w:szCs w:val="24"/>
        </w:rPr>
      </w:pPr>
      <w:r>
        <w:rPr>
          <w:rFonts w:hint="eastAsia" w:ascii="宋体" w:hAnsi="宋体"/>
          <w:sz w:val="24"/>
          <w:szCs w:val="24"/>
        </w:rPr>
        <w:t xml:space="preserve">大丰区，是长江和黄河东流入海泥沙长期淤积而成的滨海平原，地形南宽北窄，呈不规则三角形。东西宽44千米，南北长63千米，地面高程1.8米~4.5米。除沿海滩涂外，全区地势东高、西低、南高、北低。</w:t>
      </w:r>
      <w:r/>
    </w:p>
    <w:p>
      <w:pPr>
        <w:ind w:firstLine="480"/>
        <w:spacing w:line="480" w:lineRule="exact"/>
        <w:rPr>
          <w:rFonts w:ascii="宋体" w:hAnsi="宋体"/>
          <w:sz w:val="24"/>
          <w:szCs w:val="24"/>
        </w:rPr>
      </w:pPr>
      <w:r>
        <w:rPr>
          <w:rFonts w:ascii="宋体" w:hAnsi="宋体"/>
          <w:sz w:val="24"/>
          <w:szCs w:val="24"/>
        </w:rPr>
        <w:t xml:space="preserve">2.2.3</w:t>
      </w:r>
      <w:r>
        <w:rPr>
          <w:rFonts w:hint="eastAsia" w:ascii="宋体" w:hAnsi="宋体"/>
          <w:sz w:val="24"/>
          <w:szCs w:val="24"/>
        </w:rPr>
        <w:t xml:space="preserve">气候</w:t>
      </w:r>
      <w:r/>
    </w:p>
    <w:p>
      <w:pPr>
        <w:ind w:firstLine="480"/>
        <w:spacing w:line="480" w:lineRule="exact"/>
        <w:rPr>
          <w:rFonts w:ascii="宋体" w:hAnsi="宋体"/>
          <w:sz w:val="24"/>
          <w:szCs w:val="24"/>
        </w:rPr>
      </w:pPr>
      <w:r>
        <w:rPr>
          <w:rFonts w:hint="eastAsia" w:ascii="宋体" w:hAnsi="宋体"/>
          <w:sz w:val="24"/>
          <w:szCs w:val="24"/>
        </w:rPr>
        <w:t xml:space="preserve">大丰区属于亚热带与暖温带的过渡地带，适宜喜温作物的生长。常年平均气温14.4℃，无霜期203.8天，常年降水量1066.7毫米，日照2214.4小时。 </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运输条件</w:t>
      </w:r>
      <w:r/>
    </w:p>
    <w:p>
      <w:pPr>
        <w:ind w:firstLine="480"/>
        <w:spacing w:line="48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运输条件</w:t>
      </w:r>
      <w:r/>
    </w:p>
    <w:p>
      <w:pPr>
        <w:ind w:firstLine="480"/>
        <w:spacing w:line="480" w:lineRule="exact"/>
        <w:rPr>
          <w:rFonts w:ascii="宋体" w:hAnsi="宋体"/>
          <w:sz w:val="24"/>
          <w:szCs w:val="24"/>
        </w:rPr>
      </w:pPr>
      <w:r>
        <w:rPr>
          <w:rFonts w:hint="eastAsia" w:ascii="宋体" w:hAnsi="宋体"/>
          <w:sz w:val="24"/>
          <w:szCs w:val="24"/>
        </w:rPr>
        <w:t xml:space="preserve">筑路条件主要采用公路运输。可以满足本项目建设期间材料长短途运输要求。</w:t>
      </w:r>
      <w:r/>
    </w:p>
    <w:p>
      <w:pPr>
        <w:ind w:firstLine="480"/>
        <w:spacing w:line="480" w:lineRule="exact"/>
        <w:rPr>
          <w:rFonts w:ascii="宋体" w:hAnsi="宋体"/>
          <w:sz w:val="24"/>
          <w:szCs w:val="24"/>
        </w:rPr>
      </w:pPr>
      <w:r>
        <w:rPr>
          <w:rFonts w:ascii="宋体" w:hAnsi="宋体"/>
          <w:sz w:val="24"/>
          <w:szCs w:val="24"/>
        </w:rPr>
        <w:t xml:space="preserve">2.3.2</w:t>
      </w:r>
      <w:r>
        <w:rPr>
          <w:rFonts w:hint="eastAsia" w:ascii="宋体" w:hAnsi="宋体"/>
          <w:sz w:val="24"/>
          <w:szCs w:val="24"/>
        </w:rPr>
        <w:t xml:space="preserve">社会环境</w:t>
      </w:r>
      <w:r/>
    </w:p>
    <w:p>
      <w:pPr>
        <w:ind w:firstLine="480"/>
        <w:spacing w:line="480" w:lineRule="exact"/>
        <w:rPr>
          <w:rFonts w:ascii="宋体" w:hAnsi="宋体"/>
          <w:sz w:val="24"/>
          <w:szCs w:val="24"/>
        </w:rPr>
      </w:pPr>
      <w:r>
        <w:rPr>
          <w:rFonts w:hint="eastAsia" w:ascii="宋体" w:hAnsi="宋体"/>
          <w:sz w:val="24"/>
          <w:szCs w:val="24"/>
        </w:rPr>
        <w:t xml:space="preserve">本项目的建设受到了地方政府部门的大力支持，为设计组人员提供了一个十分宽松的社会环境；本项目对改善区域建设条件，促进区域经济发展有着积极的作用，附近百姓对本项目的建设持支持态度，热情很高，有利于设计工作的顺利开展。</w:t>
      </w:r>
      <w:r/>
    </w:p>
    <w:p>
      <w:pPr>
        <w:pStyle w:val="995"/>
        <w:ind w:firstLine="482"/>
        <w:jc w:val="left"/>
        <w:spacing w:line="480" w:lineRule="exact"/>
        <w:tabs>
          <w:tab w:val="left" w:pos="3165" w:leader="none"/>
          <w:tab w:val="center" w:pos="4594" w:leader="none"/>
        </w:tabs>
        <w:rPr>
          <w:rFonts w:ascii="宋体" w:eastAsia="宋体"/>
          <w:b/>
          <w:sz w:val="24"/>
          <w:szCs w:val="24"/>
        </w:rPr>
      </w:pPr>
      <w:r/>
      <w:bookmarkStart w:id="78" w:name="_Toc12361"/>
      <w:r>
        <w:rPr>
          <w:rFonts w:hint="eastAsia" w:ascii="宋体" w:eastAsia="宋体"/>
          <w:b/>
          <w:sz w:val="24"/>
          <w:szCs w:val="24"/>
        </w:rPr>
        <w:t xml:space="preserve">三、本期项目设计方案</w:t>
      </w:r>
      <w:bookmarkEnd w:id="78"/>
      <w:r/>
      <w:r/>
    </w:p>
    <w:p>
      <w:pPr>
        <w:pStyle w:val="996"/>
        <w:ind w:firstLine="482"/>
        <w:jc w:val="left"/>
        <w:spacing w:before="0" w:after="0" w:line="480" w:lineRule="exact"/>
        <w:rPr>
          <w:rFonts w:ascii="宋体" w:hAnsi="宋体" w:eastAsia="宋体"/>
          <w:sz w:val="24"/>
          <w:szCs w:val="24"/>
        </w:rPr>
      </w:pPr>
      <w:r/>
      <w:bookmarkStart w:id="79" w:name="_Toc32381"/>
      <w:r>
        <w:rPr>
          <w:rFonts w:hint="eastAsia" w:ascii="宋体" w:hAnsi="宋体" w:eastAsia="宋体"/>
          <w:sz w:val="24"/>
          <w:szCs w:val="24"/>
        </w:rPr>
        <w:t xml:space="preserve">3</w:t>
      </w:r>
      <w:r>
        <w:rPr>
          <w:rFonts w:ascii="宋体" w:hAnsi="宋体" w:eastAsia="宋体"/>
          <w:sz w:val="24"/>
          <w:szCs w:val="24"/>
        </w:rPr>
        <w:t xml:space="preserve">.1</w:t>
      </w:r>
      <w:bookmarkStart w:id="80" w:name="_Toc91064096"/>
      <w:r/>
      <w:bookmarkStart w:id="81" w:name="_Toc110456625"/>
      <w:r>
        <w:rPr>
          <w:rFonts w:hint="eastAsia" w:ascii="宋体" w:hAnsi="宋体" w:eastAsia="宋体"/>
          <w:sz w:val="24"/>
          <w:szCs w:val="24"/>
        </w:rPr>
        <w:t xml:space="preserve">设计思路</w:t>
      </w:r>
      <w:bookmarkEnd w:id="79"/>
      <w:r/>
      <w:bookmarkEnd w:id="80"/>
      <w:r/>
      <w:bookmarkEnd w:id="81"/>
      <w:r/>
      <w:r/>
    </w:p>
    <w:p>
      <w:pPr>
        <w:ind w:firstLine="480"/>
        <w:jc w:val="left"/>
        <w:spacing w:line="480" w:lineRule="exact"/>
        <w:rPr>
          <w:rFonts w:ascii="宋体" w:hAnsi="宋体"/>
          <w:sz w:val="24"/>
          <w:szCs w:val="24"/>
        </w:rPr>
      </w:pPr>
      <w:r>
        <w:rPr>
          <w:rFonts w:ascii="宋体" w:hAnsi="宋体"/>
          <w:sz w:val="24"/>
          <w:szCs w:val="24"/>
        </w:rPr>
        <w:t xml:space="preserve">在当前社会发展的背景下，农村道路交通安全已成为一个不容忽视的重要议题。根据《国务院安委会办公室关于切实加强农村道路交通安全工作的通知》以及《2024年盐城市政府为民办实事项目实施方案》的精神，结合《2024年全市农村道路交通安全提升工程建设实施方案》，我们明确了道路智能化科技设备建设作为交通管理基础性项目的重要性。</w:t>
      </w:r>
      <w:r/>
    </w:p>
    <w:p>
      <w:pPr>
        <w:ind w:firstLine="480"/>
        <w:jc w:val="left"/>
        <w:spacing w:line="480" w:lineRule="exact"/>
        <w:rPr>
          <w:rFonts w:ascii="宋体" w:hAnsi="宋体"/>
          <w:sz w:val="24"/>
          <w:szCs w:val="24"/>
        </w:rPr>
      </w:pPr>
      <w:r>
        <w:rPr>
          <w:rFonts w:ascii="宋体" w:hAnsi="宋体"/>
          <w:sz w:val="24"/>
          <w:szCs w:val="24"/>
        </w:rPr>
        <w:t xml:space="preserve">实现交通管理的基础功能是核心目标。这包括通过多渠道、大范围的交通信息采集、处理和发布，有效组织调度交通流，以及监测管辖区内的交通行为等，从而提高道路服务水平。</w:t>
      </w:r>
      <w:r/>
    </w:p>
    <w:p>
      <w:pPr>
        <w:ind w:firstLine="480"/>
        <w:jc w:val="left"/>
        <w:spacing w:line="480" w:lineRule="exact"/>
        <w:rPr>
          <w:rFonts w:ascii="宋体" w:hAnsi="宋体"/>
          <w:sz w:val="24"/>
          <w:szCs w:val="24"/>
        </w:rPr>
      </w:pPr>
      <w:r>
        <w:rPr>
          <w:rFonts w:hint="eastAsia" w:ascii="宋体" w:hAnsi="宋体"/>
          <w:sz w:val="24"/>
          <w:szCs w:val="24"/>
        </w:rPr>
        <w:t xml:space="preserve">为</w:t>
      </w:r>
      <w:r>
        <w:rPr>
          <w:rFonts w:ascii="宋体" w:hAnsi="宋体"/>
          <w:sz w:val="24"/>
          <w:szCs w:val="24"/>
        </w:rPr>
        <w:t xml:space="preserve">提高城市交通安全水平，保障道路畅通是我们不懈追求的目标。通过降低事故发生率，确保交通安全和道路畅通，我们可以为市民创造一个更加安全、顺畅的交通</w:t>
      </w:r>
      <w:r>
        <w:rPr>
          <w:rFonts w:ascii="宋体" w:hAnsi="宋体"/>
          <w:sz w:val="24"/>
          <w:szCs w:val="24"/>
        </w:rPr>
        <w:t xml:space="preserve">环境。这需要我们在交通管理中不断探索和实践，以科技创新为支撑，不断提升交通管理的科学化、精细化水平。</w:t>
      </w:r>
      <w:r/>
    </w:p>
    <w:p>
      <w:pPr>
        <w:pStyle w:val="996"/>
        <w:ind w:firstLine="482"/>
        <w:jc w:val="left"/>
        <w:spacing w:before="0" w:after="0" w:line="480" w:lineRule="exact"/>
        <w:rPr>
          <w:rFonts w:ascii="宋体" w:hAnsi="宋体" w:eastAsia="宋体"/>
          <w:sz w:val="24"/>
          <w:szCs w:val="24"/>
        </w:rPr>
      </w:pPr>
      <w:r/>
      <w:bookmarkStart w:id="82" w:name="_Toc25829"/>
      <w:r>
        <w:rPr>
          <w:rFonts w:hint="eastAsia" w:ascii="宋体" w:hAnsi="宋体" w:eastAsia="宋体"/>
          <w:sz w:val="24"/>
          <w:szCs w:val="24"/>
        </w:rPr>
        <w:t xml:space="preserve">3</w:t>
      </w:r>
      <w:r>
        <w:rPr>
          <w:rFonts w:ascii="宋体" w:hAnsi="宋体" w:eastAsia="宋体"/>
          <w:sz w:val="24"/>
          <w:szCs w:val="24"/>
        </w:rPr>
        <w:t xml:space="preserve">.2</w:t>
      </w:r>
      <w:bookmarkStart w:id="83" w:name="_Toc110456626"/>
      <w:r/>
      <w:bookmarkStart w:id="84" w:name="_Toc91064097"/>
      <w:r>
        <w:rPr>
          <w:rFonts w:hint="eastAsia" w:ascii="宋体" w:hAnsi="宋体" w:eastAsia="宋体"/>
          <w:sz w:val="24"/>
          <w:szCs w:val="24"/>
        </w:rPr>
        <w:t xml:space="preserve">设计原则</w:t>
      </w:r>
      <w:bookmarkEnd w:id="82"/>
      <w:r/>
      <w:bookmarkEnd w:id="83"/>
      <w:r/>
      <w:bookmarkEnd w:id="84"/>
      <w:r/>
      <w:r/>
    </w:p>
    <w:p>
      <w:pPr>
        <w:ind w:firstLine="480"/>
        <w:spacing w:line="480" w:lineRule="exact"/>
        <w:rPr>
          <w:rFonts w:ascii="宋体" w:hAnsi="宋体"/>
          <w:sz w:val="24"/>
          <w:szCs w:val="24"/>
        </w:rPr>
      </w:pPr>
      <w:r>
        <w:rPr>
          <w:rFonts w:hint="eastAsia" w:ascii="宋体" w:hAnsi="宋体"/>
          <w:sz w:val="24"/>
          <w:szCs w:val="24"/>
        </w:rPr>
        <w:t xml:space="preserve">本项目严格控制造价，节约投资，将功能需要与立面处理相结合，做到功能在实用经济的基础上适当体现现代感，整体设计具备一定可扩展性。设计力求体现“功能合理、技术先进、成本核准、品质高尚”的设计原则及思想。设计既要满足甲方的要求，又要节省投资、加快建设速度。建筑充分体现甲方文化。</w:t>
      </w:r>
      <w:r/>
    </w:p>
    <w:p>
      <w:pPr>
        <w:pStyle w:val="996"/>
        <w:ind w:firstLine="482"/>
        <w:jc w:val="left"/>
        <w:spacing w:before="0" w:after="0" w:line="480" w:lineRule="exact"/>
        <w:rPr>
          <w:rFonts w:ascii="宋体" w:hAnsi="宋体" w:eastAsia="宋体"/>
          <w:sz w:val="24"/>
          <w:szCs w:val="24"/>
        </w:rPr>
      </w:pPr>
      <w:r/>
      <w:bookmarkStart w:id="85" w:name="_Toc27474"/>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5 农村道路“三口”隐患治理提升项目</w:t>
      </w:r>
      <w:bookmarkEnd w:id="85"/>
      <w:r/>
      <w:r/>
    </w:p>
    <w:p>
      <w:pPr>
        <w:pStyle w:val="997"/>
        <w:ind w:firstLine="482"/>
        <w:spacing w:before="0" w:after="0" w:line="480" w:lineRule="exact"/>
        <w:rPr>
          <w:rFonts w:ascii="宋体" w:hAnsi="宋体" w:eastAsia="宋体"/>
          <w:sz w:val="24"/>
          <w:szCs w:val="24"/>
        </w:rPr>
      </w:pPr>
      <w:r/>
      <w:bookmarkStart w:id="86" w:name="_Toc25867"/>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5</w:t>
      </w:r>
      <w:r>
        <w:rPr>
          <w:rFonts w:ascii="宋体" w:hAnsi="宋体" w:eastAsia="宋体"/>
          <w:sz w:val="24"/>
          <w:szCs w:val="24"/>
        </w:rPr>
        <w:t xml:space="preserve">.1</w:t>
      </w:r>
      <w:r>
        <w:rPr>
          <w:rFonts w:hint="eastAsia" w:ascii="宋体" w:hAnsi="宋体" w:eastAsia="宋体"/>
          <w:sz w:val="24"/>
          <w:szCs w:val="24"/>
        </w:rPr>
        <w:t xml:space="preserve">系统概述</w:t>
      </w:r>
      <w:bookmarkEnd w:id="86"/>
      <w:r/>
      <w:r/>
    </w:p>
    <w:p>
      <w:pPr>
        <w:ind w:firstLine="480"/>
        <w:spacing w:line="480" w:lineRule="exact"/>
        <w:rPr>
          <w:rFonts w:ascii="宋体" w:hAnsi="宋体"/>
          <w:sz w:val="24"/>
          <w:szCs w:val="24"/>
        </w:rPr>
      </w:pPr>
      <w:r>
        <w:rPr>
          <w:rFonts w:hint="eastAsia" w:ascii="宋体" w:hAnsi="宋体"/>
          <w:sz w:val="24"/>
          <w:szCs w:val="24"/>
        </w:rPr>
        <w:t xml:space="preserve">为加强路交通安全管理工作，最大限度消除交通安全隐患，压降道路交通事故，交通以营造“智慧、平安、畅通、文明”的道路交通环境为总目标，运用科技手段，全面推进农村道路“三口”隐患治理提升项建设，创新国省道现代管理机制，转变传统交管模式，建立一个科学高效、覆盖广泛、防控严密、服务便捷的智能交通安全系统，满足交通管理部门对国省道交通进行管理、控制、组织、规划和公众信息服务的需求。</w:t>
      </w:r>
      <w:r/>
    </w:p>
    <w:p>
      <w:pPr>
        <w:pStyle w:val="997"/>
        <w:ind w:firstLine="482"/>
        <w:spacing w:before="0" w:after="0" w:line="480" w:lineRule="exact"/>
        <w:rPr>
          <w:rFonts w:ascii="宋体" w:hAnsi="宋体" w:eastAsia="宋体"/>
          <w:sz w:val="24"/>
          <w:szCs w:val="24"/>
        </w:rPr>
      </w:pPr>
      <w:r/>
      <w:bookmarkStart w:id="87" w:name="_Toc25364"/>
      <w:r>
        <w:rPr>
          <w:rFonts w:ascii="宋体" w:hAnsi="宋体" w:eastAsia="宋体"/>
          <w:sz w:val="24"/>
          <w:szCs w:val="24"/>
        </w:rPr>
        <w:t xml:space="preserve">3.</w:t>
      </w:r>
      <w:r>
        <w:rPr>
          <w:rFonts w:hint="eastAsia" w:ascii="宋体" w:hAnsi="宋体" w:eastAsia="宋体"/>
          <w:sz w:val="24"/>
          <w:szCs w:val="24"/>
        </w:rPr>
        <w:t xml:space="preserve">5</w:t>
      </w:r>
      <w:r>
        <w:rPr>
          <w:rFonts w:ascii="宋体" w:hAnsi="宋体" w:eastAsia="宋体"/>
          <w:sz w:val="24"/>
          <w:szCs w:val="24"/>
        </w:rPr>
        <w:t xml:space="preserve">.2</w:t>
      </w:r>
      <w:r>
        <w:rPr>
          <w:rFonts w:hint="eastAsia" w:ascii="宋体" w:hAnsi="宋体" w:eastAsia="宋体"/>
          <w:sz w:val="24"/>
          <w:szCs w:val="24"/>
        </w:rPr>
        <w:t xml:space="preserve">系统功能</w:t>
      </w:r>
      <w:bookmarkEnd w:id="87"/>
      <w:r/>
      <w:r/>
    </w:p>
    <w:p>
      <w:pPr>
        <w:ind w:firstLine="480"/>
        <w:spacing w:line="480" w:lineRule="exact"/>
        <w:rPr>
          <w:rFonts w:ascii="宋体" w:hAnsi="宋体"/>
          <w:sz w:val="24"/>
          <w:szCs w:val="24"/>
        </w:rPr>
      </w:pPr>
      <w:r>
        <w:rPr>
          <w:rFonts w:hint="eastAsia" w:ascii="宋体" w:hAnsi="宋体"/>
          <w:sz w:val="24"/>
          <w:szCs w:val="24"/>
        </w:rPr>
        <w:t xml:space="preserve">为进一步提高盐城大丰区交通安全设施系统建设，实现对农村道路的交通安全及道路信息全方位动态监控，落实切实有效的交通安全秩序。</w:t>
      </w:r>
      <w:r>
        <w:rPr>
          <w:rFonts w:ascii="宋体" w:hAnsi="宋体"/>
          <w:sz w:val="24"/>
          <w:szCs w:val="24"/>
        </w:rPr>
        <w:t xml:space="preserve"> </w:t>
      </w:r>
      <w:r>
        <w:rPr>
          <w:rFonts w:hint="eastAsia" w:ascii="宋体" w:hAnsi="宋体"/>
          <w:sz w:val="24"/>
          <w:szCs w:val="24"/>
        </w:rPr>
        <w:t xml:space="preserve">本项目</w:t>
      </w:r>
      <w:r>
        <w:rPr>
          <w:rFonts w:ascii="宋体" w:hAnsi="宋体"/>
          <w:sz w:val="24"/>
          <w:szCs w:val="24"/>
        </w:rPr>
        <w:t xml:space="preserve">旨在</w:t>
      </w:r>
      <w:r>
        <w:rPr>
          <w:rFonts w:hint="eastAsia" w:ascii="宋体" w:hAnsi="宋体"/>
          <w:sz w:val="24"/>
          <w:szCs w:val="24"/>
        </w:rPr>
        <w:t xml:space="preserve">以视频监控、车辆抓拍、人脸抓拍、人脸识别、交安设施等等先进的技术为基础，对车辆、行人</w:t>
      </w:r>
      <w:r>
        <w:rPr>
          <w:rFonts w:ascii="宋体" w:hAnsi="宋体"/>
          <w:sz w:val="24"/>
          <w:szCs w:val="24"/>
        </w:rPr>
        <w:t xml:space="preserve">抓取数据</w:t>
      </w:r>
      <w:r>
        <w:rPr>
          <w:rFonts w:hint="eastAsia" w:ascii="宋体" w:hAnsi="宋体"/>
          <w:sz w:val="24"/>
          <w:szCs w:val="24"/>
        </w:rPr>
        <w:t xml:space="preserve">，满足交通管理部门对机动车道交通进行管理、控制、组织、规划的需求。</w:t>
      </w:r>
      <w:r/>
    </w:p>
    <w:p>
      <w:pPr>
        <w:ind w:firstLine="480"/>
        <w:spacing w:line="480" w:lineRule="exact"/>
        <w:rPr>
          <w:rFonts w:ascii="宋体" w:hAnsi="宋体"/>
          <w:sz w:val="24"/>
          <w:szCs w:val="24"/>
        </w:rPr>
      </w:pPr>
      <w:r>
        <w:rPr>
          <w:rFonts w:hint="eastAsia" w:ascii="宋体" w:hAnsi="宋体"/>
          <w:sz w:val="24"/>
          <w:szCs w:val="24"/>
        </w:rPr>
        <w:t xml:space="preserve">为深入贯彻落实全国公安机关社会治安防控体系标准化城市和示范城市创建活动的要求,推动大丰区辖区内的国道、省道、县道等出入口进行红绿灯、卡口（电子警察）建设，形成全局管控，形成一个封闭的外围防控圈。同时运用科技手段,创新城市道路现代管理机制,转变传统交管模式,建立一个科学高效、覆盖广泛、防控严密、服务便捷的智能交通安全系统,满足交通管理部门对城市道路交通进行管理、控制、组织、规划和公众信息服务的需求。</w:t>
      </w:r>
      <w:r/>
    </w:p>
    <w:p>
      <w:pPr>
        <w:ind w:firstLine="480"/>
        <w:spacing w:line="480" w:lineRule="exact"/>
        <w:rPr>
          <w:rFonts w:ascii="宋体" w:hAnsi="宋体"/>
          <w:sz w:val="24"/>
          <w:szCs w:val="24"/>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40" w:right="1440" w:bottom="1797" w:left="1440" w:header="851" w:footer="851" w:gutter="0"/>
          <w:cols w:num="1" w:sep="0" w:space="425" w:equalWidth="1"/>
          <w:docGrid w:linePitch="360"/>
          <w:titlePg/>
        </w:sectPr>
      </w:pPr>
      <w:r>
        <w:rPr>
          <w:rFonts w:hint="eastAsia" w:ascii="宋体" w:hAnsi="宋体"/>
          <w:b/>
          <w:bCs/>
          <w:sz w:val="24"/>
          <w:szCs w:val="24"/>
        </w:rPr>
        <w:t xml:space="preserve">本次采购项目核心产品为：900W电警抓拍单元、900W环保卡口抓拍单元、四合一环保爆闪灯。</w:t>
      </w:r>
      <w:r/>
    </w:p>
    <w:p>
      <w:pPr>
        <w:pStyle w:val="997"/>
        <w:ind w:firstLine="482"/>
        <w:rPr>
          <w:rFonts w:ascii="宋体" w:hAnsi="宋体" w:eastAsia="宋体"/>
          <w:sz w:val="24"/>
          <w:szCs w:val="24"/>
        </w:rPr>
      </w:pPr>
      <w:r/>
      <w:bookmarkStart w:id="88" w:name="_Toc12492"/>
      <w:r>
        <w:rPr>
          <w:rFonts w:hint="eastAsia" w:ascii="宋体" w:hAnsi="宋体" w:eastAsia="宋体"/>
          <w:sz w:val="24"/>
          <w:szCs w:val="24"/>
        </w:rPr>
        <w:t xml:space="preserve">3.5.3现场点位部署</w:t>
      </w:r>
      <w:bookmarkEnd w:id="88"/>
      <w:r/>
      <w:r/>
    </w:p>
    <w:p>
      <w:pPr>
        <w:pStyle w:val="998"/>
        <w:ind w:firstLine="482"/>
        <w:rPr>
          <w:rFonts w:ascii="宋体" w:hAnsi="宋体" w:eastAsia="宋体"/>
          <w:sz w:val="24"/>
          <w:szCs w:val="24"/>
        </w:rPr>
      </w:pPr>
      <w:r>
        <w:rPr>
          <w:rFonts w:hint="eastAsia" w:ascii="宋体" w:hAnsi="宋体" w:eastAsia="宋体"/>
          <w:sz w:val="24"/>
          <w:szCs w:val="24"/>
        </w:rPr>
        <w:t xml:space="preserve">农村三口智能化点位</w:t>
      </w:r>
      <w:r/>
    </w:p>
    <w:tbl>
      <w:tblPr>
        <w:tblW w:w="0" w:type="auto"/>
        <w:tblLayout w:type="fixed"/>
        <w:tblLook w:val="04A0" w:firstRow="1" w:lastRow="0" w:firstColumn="1" w:lastColumn="0" w:noHBand="0" w:noVBand="1"/>
      </w:tblPr>
      <w:tblGrid>
        <w:gridCol w:w="456"/>
        <w:gridCol w:w="1245"/>
        <w:gridCol w:w="1418"/>
        <w:gridCol w:w="1069"/>
        <w:gridCol w:w="609"/>
        <w:gridCol w:w="670"/>
        <w:gridCol w:w="770"/>
        <w:gridCol w:w="851"/>
        <w:gridCol w:w="850"/>
        <w:gridCol w:w="851"/>
        <w:gridCol w:w="850"/>
        <w:gridCol w:w="752"/>
        <w:gridCol w:w="744"/>
        <w:gridCol w:w="746"/>
        <w:gridCol w:w="1720"/>
      </w:tblGrid>
      <w:tr>
        <w:trPr>
          <w:trHeight w:val="620"/>
        </w:trPr>
        <w:tc>
          <w:tcPr>
            <w:gridSpan w:val="15"/>
            <w:shd w:val="clear" w:color="auto" w:fill="auto"/>
            <w:tcBorders>
              <w:top w:val="none" w:color="000000" w:sz="4" w:space="0"/>
              <w:left w:val="none" w:color="000000" w:sz="4" w:space="0"/>
              <w:bottom w:val="none" w:color="000000" w:sz="4" w:space="0"/>
              <w:right w:val="none" w:color="000000" w:sz="4" w:space="0"/>
            </w:tcBorders>
            <w:tcW w:w="1360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农村道路“三口”隐患治理提升项目</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路口名称</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经度</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维度</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方向</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900万电警相机</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500万电警相机</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900万环保卡口相机</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500万环保卡口相机</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800W结构化相机</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400W双镜头球机</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800W球机</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高空球机</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违停球</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备注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阜北村（东宁路与纬一路）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120.475205</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33.22668993</w:t>
            </w:r>
            <w:r/>
          </w:p>
        </w:tc>
        <w:tc>
          <w:tcPr>
            <w:shd w:val="clear" w:color="auto"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东口900W卡口用于炸街</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泰丰村（东宁路与细水路）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120.4789259</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33.17848494</w:t>
            </w:r>
            <w:r/>
          </w:p>
        </w:tc>
        <w:tc>
          <w:tcPr>
            <w:shd w:val="clear" w:color="auto"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sz w:val="24"/>
                <w:szCs w:val="24"/>
              </w:rPr>
            </w:pP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sz w:val="24"/>
                <w:szCs w:val="24"/>
              </w:rPr>
            </w:pP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sz w:val="24"/>
                <w:szCs w:val="24"/>
              </w:rPr>
            </w:pP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sz w:val="24"/>
                <w:szCs w:val="24"/>
              </w:rPr>
            </w:pPr>
            <w:r>
              <w:rPr>
                <w:rFonts w:ascii="宋体" w:hAnsi="宋体"/>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泰丰村（东宁路与南环路）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120.4511963</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33.16624811</w:t>
            </w:r>
            <w:r/>
          </w:p>
        </w:tc>
        <w:tc>
          <w:tcPr>
            <w:shd w:val="clear" w:color="auto"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sz w:val="24"/>
                <w:szCs w:val="24"/>
              </w:rPr>
            </w:pP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sz w:val="24"/>
                <w:szCs w:val="24"/>
              </w:rPr>
            </w:pP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sz w:val="24"/>
                <w:szCs w:val="24"/>
              </w:rPr>
            </w:pP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sz w:val="24"/>
                <w:szCs w:val="24"/>
              </w:rPr>
            </w:pPr>
            <w:r>
              <w:rPr>
                <w:rFonts w:ascii="宋体" w:hAnsi="宋体"/>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泰丰村（张謇路</w:t>
            </w:r>
            <w:r>
              <w:rPr>
                <w:rFonts w:hint="eastAsia" w:ascii="宋体" w:hAnsi="宋体" w:cs="宋体"/>
                <w:color w:val="000000"/>
                <w:sz w:val="24"/>
                <w:szCs w:val="24"/>
              </w:rPr>
              <w:t xml:space="preserve">与春柳路）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120.4874253</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33.17430563</w:t>
            </w:r>
            <w:r/>
          </w:p>
        </w:tc>
        <w:tc>
          <w:tcPr>
            <w:shd w:val="clear" w:color="auto"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sz w:val="24"/>
                <w:szCs w:val="24"/>
              </w:rPr>
            </w:pP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sz w:val="24"/>
                <w:szCs w:val="24"/>
              </w:rPr>
            </w:pP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西向杆件移位至停止线25米处</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sz w:val="24"/>
                <w:szCs w:val="24"/>
              </w:rPr>
            </w:pPr>
            <w:r>
              <w:rPr>
                <w:rFonts w:ascii="宋体" w:hAnsi="宋体"/>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恒北村（恒北路与春柳路）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120.4888254</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33.15893028</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tcPr>
          <w:p>
            <w:pPr>
              <w:jc w:val="center"/>
              <w:widowControl/>
              <w:rPr>
                <w:rFonts w:ascii="宋体" w:hAnsi="宋体"/>
                <w:sz w:val="24"/>
                <w:szCs w:val="24"/>
              </w:rPr>
            </w:pP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新民村（张謇路与西康路）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120.4390812</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33.17243774</w:t>
            </w:r>
            <w:r/>
          </w:p>
        </w:tc>
        <w:tc>
          <w:tcPr>
            <w:shd w:val="clear" w:color="auto"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sz w:val="24"/>
                <w:szCs w:val="24"/>
              </w:rPr>
            </w:pP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sz w:val="24"/>
                <w:szCs w:val="24"/>
              </w:rPr>
            </w:pP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sz w:val="24"/>
                <w:szCs w:val="24"/>
              </w:rPr>
            </w:pP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sz w:val="24"/>
                <w:szCs w:val="24"/>
              </w:rPr>
            </w:pPr>
            <w:r>
              <w:rPr>
                <w:rFonts w:ascii="宋体" w:hAnsi="宋体"/>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红花村（南翔路与常新路）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120.4500407</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33.18179924</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val="false"/>
          </w:tcPr>
          <w:p>
            <w:pPr>
              <w:jc w:val="center"/>
              <w:widowControl/>
              <w:rPr>
                <w:rFonts w:ascii="宋体" w:hAnsi="宋体"/>
                <w:sz w:val="24"/>
                <w:szCs w:val="24"/>
              </w:rPr>
            </w:pP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刚强村（恒北大道与方大线）</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120.4663823</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33.15826788</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sz w:val="24"/>
                <w:szCs w:val="24"/>
              </w:rPr>
            </w:pPr>
            <w:r>
              <w:rPr>
                <w:rFonts w:ascii="宋体" w:hAnsi="宋体"/>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阜北村（上川路与纬一路）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120.4680322</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33.2229263</w:t>
            </w:r>
            <w:r/>
          </w:p>
        </w:tc>
        <w:tc>
          <w:tcPr>
            <w:shd w:val="clear" w:color="auto"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信号机更换主线缆</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阜北村（东宁路与纬二路）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120.475205</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33.22668993</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tcPr>
          <w:p>
            <w:pPr>
              <w:jc w:val="center"/>
              <w:widowControl/>
              <w:rPr>
                <w:rFonts w:ascii="宋体" w:hAnsi="宋体"/>
                <w:sz w:val="24"/>
                <w:szCs w:val="24"/>
              </w:rPr>
            </w:pP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阜北村（方大线与纬一路）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120.4616332</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33.22262342</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原杆件加装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纬一路东违停球</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120.4713321</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33.22321578</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杆件走春柳与恒北大道西口拆过来</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大新村（新时代大道与纬二路）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120.447278</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33.22515438</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更换红绿灯主线缆，大中街道</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同德村（丰和路与丰悦路）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120.4514462</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33.21344581</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东向和南向分别在路顶头分别立杆安装违停球，广场东侧道路与南侧道路中间绿化带安装违停球，南侧用T形杆装两个违停</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丰裕村（新村路与裕丰路）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120.5194831</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33.2148371</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改造，新增卡口，无汇聚机箱，信号机在东南角</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丰裕村（飞达路</w:t>
            </w:r>
            <w:r>
              <w:rPr>
                <w:rFonts w:hint="eastAsia" w:ascii="宋体" w:hAnsi="宋体" w:cs="宋体"/>
                <w:color w:val="000000"/>
                <w:sz w:val="24"/>
                <w:szCs w:val="24"/>
              </w:rPr>
              <w:t xml:space="preserve">与裕丰路）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120.5197513</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33.21175828</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新建，南，北，西立杆7米，</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丰裕村（幸福路与裕丰路）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120.5201376</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33.2083158</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改造，改造电警，新增卡口，无汇聚机箱，新增机箱3台，改造管网</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丰裕村（幸福路与福成路）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120.5276048</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33.20881849</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改造，已有汇聚机箱（西南角），东，南，西新增卡口</w:t>
            </w:r>
            <w:r>
              <w:rPr>
                <w:rFonts w:ascii="宋体" w:hAnsi="宋体" w:cs="宋体"/>
                <w:color w:val="000000"/>
                <w:sz w:val="24"/>
                <w:szCs w:val="24"/>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丰裕村（大华路与福成路）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120.5281735</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33.20202294</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新建，东向杆件利旧，西5米，北8米</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丰裕村（新北路与万丰路）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120.5130243</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33.21746253</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改造，新增卡口，无汇聚机箱，信号机在西南角绿化带，派出所取电</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丰裕村（新北路与裕丰路）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120.5192471</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33.21778566</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改造，新增卡口，与汇聚机箱，信号机在东北角</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丰裕村（北兴路与万丰路）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120.5127561</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33.22101685</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新建，东向杆件利旧，南北新增杆件12米，信号机在东南角，人民路上移位两个球机安装在该路口东、南向</w:t>
            </w:r>
            <w:r>
              <w:rPr>
                <w:rFonts w:ascii="宋体" w:hAnsi="宋体" w:cs="宋体"/>
                <w:color w:val="000000"/>
                <w:sz w:val="24"/>
                <w:szCs w:val="24"/>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丰裕村一组1（新村路交陈李线）</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120.5406272</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33.21646476</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东向西与信号灯，信号机在西北角，人民路上移位两个球机安装在该路口东、南向</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丰裕村一组2（幸福路交陈李线）</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120.5409937</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33.20995323</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西向杆件利旧，南向7米，北门5米，将信号机联网，人民路上移位两个球机安装在该路口东、南向</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同丰村（同丰路交新区大道）</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120.4485118</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33.2516623</w:t>
            </w:r>
            <w:r/>
          </w:p>
        </w:tc>
        <w:tc>
          <w:tcPr>
            <w:shd w:val="clear" w:color="auto"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将原有抱杆箱内的设备移至新抱杆箱并将原有设备调试接通至交警现有平台</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同丰村（同丰路交南环大道）</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120.4495311</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33.23941438</w:t>
            </w:r>
            <w:r/>
          </w:p>
        </w:tc>
        <w:tc>
          <w:tcPr>
            <w:shd w:val="clear" w:color="auto"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将原有抱杆箱内的设备移至新抱杆箱并将原有设备调试接通至交警现有平台</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同丰村（新时代大道与新区大道）</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120.4446606</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33.25146051</w:t>
            </w:r>
            <w:r/>
          </w:p>
        </w:tc>
        <w:tc>
          <w:tcPr>
            <w:shd w:val="clear" w:color="auto"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信号机更换主线缆</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同丰村（新时代大道与温泉大道）</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120.4441636</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33.25832339</w:t>
            </w:r>
            <w:r/>
          </w:p>
        </w:tc>
        <w:tc>
          <w:tcPr>
            <w:shd w:val="clear" w:color="auto"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信号机更换主线缆</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同丰村（同丰路与淮海大道）</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120.4475391</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33.26316524</w:t>
            </w:r>
            <w:r/>
          </w:p>
        </w:tc>
        <w:tc>
          <w:tcPr>
            <w:shd w:val="clear" w:color="auto"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将原有设备调试接通至交警现有平台</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太兴村（新龙路交森林大道）</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120.405618</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33.26694063</w:t>
            </w:r>
            <w:r/>
          </w:p>
        </w:tc>
        <w:tc>
          <w:tcPr>
            <w:shd w:val="clear" w:color="auto"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将原有设备调试接通至交警现有平台</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赤旗村（X206交友谊路）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120.3781414</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33.25562793</w:t>
            </w:r>
            <w:r/>
          </w:p>
        </w:tc>
        <w:tc>
          <w:tcPr>
            <w:shd w:val="clear" w:color="auto"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将原有设备调试接通至交警现有平台</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方强村（方强小街）</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120.4304977</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33.3774198</w:t>
            </w:r>
            <w:r/>
          </w:p>
        </w:tc>
        <w:tc>
          <w:tcPr>
            <w:shd w:val="clear" w:color="auto"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将原有设备调试接通至交警现有平台</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镇南村（920门口）</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120.4569877</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33.26662078</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原杆加装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镇南村（920北1）</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120.4569344</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33.26833088</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镇南村（920北2）</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120.4567207</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33.27128892</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原杆加装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镇南村（920北3）</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120.4566058</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33.27260860 </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原杆加装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全心村（新时代大道与新龙路）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120.4430144</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33.27244975</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sz w:val="24"/>
                <w:szCs w:val="24"/>
              </w:rPr>
            </w:pPr>
            <w:r>
              <w:rPr>
                <w:rFonts w:ascii="宋体" w:hAnsi="宋体"/>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裕北村（新阵线与五一路）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120.4994478</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33.26634125</w:t>
            </w:r>
            <w:r/>
          </w:p>
        </w:tc>
        <w:tc>
          <w:tcPr>
            <w:shd w:val="clear" w:color="auto"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东向、南向反向安装电警杆，信号机进行联网，对接平台</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长安村（南翔路与祥丰路）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120.4175484</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33.17994498</w:t>
            </w:r>
            <w:r/>
          </w:p>
        </w:tc>
        <w:tc>
          <w:tcPr>
            <w:shd w:val="clear" w:color="auto"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4个方向监控管道线缆重新布放</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长安村（南翔路与锦丰路）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120.3936982</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33.17621838</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路口电压不稳需重新开户</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sz w:val="24"/>
                <w:szCs w:val="24"/>
              </w:rPr>
            </w:pPr>
            <w:r>
              <w:rPr>
                <w:rFonts w:ascii="宋体" w:hAnsi="宋体"/>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长安村（南翔路与大奇路）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120.3993416</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33.1775474</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sz w:val="24"/>
                <w:szCs w:val="24"/>
              </w:rPr>
            </w:pP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sz w:val="24"/>
                <w:szCs w:val="24"/>
              </w:rPr>
            </w:pPr>
            <w:r>
              <w:rPr>
                <w:rFonts w:ascii="宋体" w:hAnsi="宋体"/>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新民村（南翔路与昌平路）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120.4343605</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33.18109435</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sz w:val="24"/>
                <w:szCs w:val="24"/>
              </w:rPr>
            </w:pP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sz w:val="24"/>
                <w:szCs w:val="24"/>
              </w:rPr>
            </w:pPr>
            <w:r>
              <w:rPr>
                <w:rFonts w:ascii="宋体" w:hAnsi="宋体"/>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灶圩村（新村路与灶圩小区西北门）</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120.4069805</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33.20795673</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更换红绿灯线缆</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和瑞村（常新路与南环路）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120.4511963</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33.16624811</w:t>
            </w:r>
            <w:r/>
          </w:p>
        </w:tc>
        <w:tc>
          <w:tcPr>
            <w:shd w:val="clear" w:color="auto"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重新取电</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和瑞村（龙城大道与鸿腾路）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120.4081821</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33.13852145</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信号机进行联网，对接平台</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和瑞村（新226</w:t>
            </w:r>
            <w:r>
              <w:rPr>
                <w:rFonts w:hint="eastAsia" w:ascii="宋体" w:hAnsi="宋体" w:cs="宋体"/>
                <w:color w:val="000000"/>
                <w:sz w:val="24"/>
                <w:szCs w:val="24"/>
              </w:rPr>
              <w:t xml:space="preserve">与鸿腾路）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120.4188521</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33.14165089</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信号机进行联网，对接平台</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56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西渣村（新草线交丁成线）</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120.4194796</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32.9462107</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sz w:val="24"/>
                <w:szCs w:val="24"/>
              </w:rPr>
            </w:pP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sz w:val="24"/>
                <w:szCs w:val="24"/>
              </w:rPr>
            </w:pPr>
            <w:r>
              <w:rPr>
                <w:rFonts w:ascii="宋体" w:hAnsi="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sz w:val="24"/>
                <w:szCs w:val="24"/>
              </w:rPr>
            </w:pPr>
            <w:r>
              <w:rPr>
                <w:rFonts w:ascii="宋体" w:hAnsi="宋体"/>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双垛村（双草线双垛十字路口）</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120.3592131</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32.96344309</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sz w:val="24"/>
                <w:szCs w:val="24"/>
              </w:rPr>
            </w:pPr>
            <w:r>
              <w:rPr>
                <w:rFonts w:ascii="宋体" w:hAnsi="宋体"/>
                <w:sz w:val="24"/>
                <w:szCs w:val="24"/>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进步村（351省道与双草线）</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120.3750024</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32.96941097</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T型杆南侧反向安装，抓拍逆行，施划地面标线</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大桥村（226与民建街）</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120.6376398</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32.99245377</w:t>
            </w:r>
            <w:r/>
          </w:p>
        </w:tc>
        <w:tc>
          <w:tcPr>
            <w:shd w:val="clear" w:color="auto"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可以拆除原有监控</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大东村（大洋线与X354）</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120.6504166</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32.98935579</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sz w:val="24"/>
                <w:szCs w:val="24"/>
              </w:rPr>
            </w:pPr>
            <w:r>
              <w:rPr>
                <w:rFonts w:ascii="宋体" w:hAnsi="宋体"/>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海东村（兴海路与园业路）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120.4843692</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33.03453262</w:t>
            </w:r>
            <w:r/>
          </w:p>
        </w:tc>
        <w:tc>
          <w:tcPr>
            <w:shd w:val="clear" w:color="auto"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派出所取电，信号机进行联网，对接平台</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海东村（兴海路</w:t>
            </w:r>
            <w:r>
              <w:rPr>
                <w:rFonts w:hint="eastAsia" w:ascii="宋体" w:hAnsi="宋体" w:cs="宋体"/>
                <w:color w:val="000000"/>
                <w:sz w:val="24"/>
                <w:szCs w:val="24"/>
              </w:rPr>
              <w:t xml:space="preserve">与园海路）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120.4910703</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33.03635833</w:t>
            </w:r>
            <w:r/>
          </w:p>
        </w:tc>
        <w:tc>
          <w:tcPr>
            <w:shd w:val="clear" w:color="auto"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信号机进行联网，对接平台</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江北村（226与立新河桥）</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120.4997635</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33.07841720 </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东西向电警走人民路拆</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新团村（沪丰大道交343国道）</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120.3656883</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33.17200405</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原杆加装，东口桥上安装辅助信号灯</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祥北村（X305线与226省道）</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120.551985</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33.12283917</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原杆件加装，红绿灯箱取电（南向杆件拆走，新杆件装在西向）</w:t>
            </w:r>
            <w:r/>
          </w:p>
        </w:tc>
      </w:tr>
      <w:tr>
        <w:trPr>
          <w:trHeight w:val="58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盐城港大道（343国道北侧路口）</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120.6990966</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33.24640039</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路对面立杆加装2球机，原有相机取电取网</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永为路与众合路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120.4040623</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33.19675311</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信号机进行联网，对接平台</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广州港路与南港大道</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120.8293748</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33.21601743</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信号机进行联网，对接平台</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上海港路与泰晤士港路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120.7378578</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33.24839636</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tcPr>
          <w:p>
            <w:pPr>
              <w:jc w:val="center"/>
              <w:widowControl/>
              <w:rPr>
                <w:rFonts w:ascii="宋体" w:hAnsi="宋体"/>
                <w:sz w:val="24"/>
                <w:szCs w:val="24"/>
              </w:rPr>
            </w:pP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博汇小区门口</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120.7375145</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33.25117780 </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上海港路与中港大道</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120.7373415</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33.25472513</w:t>
            </w:r>
            <w:r/>
          </w:p>
        </w:tc>
        <w:tc>
          <w:tcPr>
            <w:shd w:val="clear" w:color="000000"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更换红绿灯主线缆</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钱塘江路与珠江路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120.7336159</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33.24821354</w:t>
            </w:r>
            <w:r/>
          </w:p>
        </w:tc>
        <w:tc>
          <w:tcPr>
            <w:shd w:val="clear" w:color="000000"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更换各方向红绿灯线缆</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中港大道与日月湖大道</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120.7258952</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33.25386944</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东向电警位置安装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日月湖大道与泰晤士港路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120.7247029</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33.24827523</w:t>
            </w:r>
            <w:r/>
          </w:p>
        </w:tc>
        <w:tc>
          <w:tcPr>
            <w:shd w:val="clear" w:color="000000"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原有电警杆件向后移位</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盐城港大道与日月湖大道</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120.6973672</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33.23854395</w:t>
            </w:r>
            <w:r/>
          </w:p>
        </w:tc>
        <w:tc>
          <w:tcPr>
            <w:shd w:val="clear" w:color="000000"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tcPr>
          <w:p>
            <w:pPr>
              <w:jc w:val="center"/>
              <w:widowControl/>
              <w:rPr>
                <w:rFonts w:ascii="宋体" w:hAnsi="宋体"/>
                <w:sz w:val="24"/>
                <w:szCs w:val="24"/>
              </w:rPr>
            </w:pP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南港大道与大丰海堤</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120.7415058</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33.20150991</w:t>
            </w:r>
            <w:r/>
          </w:p>
        </w:tc>
        <w:tc>
          <w:tcPr>
            <w:shd w:val="clear" w:color="000000" w:fill="ffffff"/>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南向原杆件加装</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博汇厂门口违停</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120.766182</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33.22619547</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画黄线</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草庙镇东灶村</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120.8100068</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32.99149971</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高路灯杆上，加装不低于20米</w:t>
            </w:r>
            <w:r>
              <w:rPr>
                <w:rFonts w:hint="eastAsia" w:ascii="宋体" w:hAnsi="宋体" w:cs="宋体"/>
                <w:color w:val="000000"/>
                <w:sz w:val="24"/>
                <w:szCs w:val="24"/>
              </w:rPr>
              <w:br/>
              <w:t xml:space="preserve">加装球机  西向</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草庙镇东灶村1</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120.8051454</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32.99214257</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原有杆件加装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新场村上（川线与行政路）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120.6777704</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33.04430242</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原杆件加装</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竹港村（草庙初级中学）</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120.6699432</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33.04347752</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X205交陈李线南口杆件移位至此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草庙镇东灶村1</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120.8051454</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32.99214257</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原有杆件加装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351-大中农场路口</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120.692723</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33.08497625</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红绿灯取电，东、南、西三个方向监控杆移位至标准电警位</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30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204国道与351省道</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120.3038009</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32.97150099</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南向</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离停止线30米左右安装辅助信号灯</w:t>
            </w:r>
            <w:r/>
          </w:p>
        </w:tc>
      </w:tr>
      <w:tr>
        <w:trPr>
          <w:trHeight w:val="5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北向</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离停止线30米左右安装辅助信号灯</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204国道与大白公路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120.3064927</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33.07047759</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南向</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离停止线30米左右安装辅助信号灯</w:t>
            </w:r>
            <w:r/>
          </w:p>
        </w:tc>
      </w:tr>
      <w:tr>
        <w:trPr>
          <w:trHeight w:val="5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北向</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离停止线30米左右安装辅助信号灯</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204国道与刘高线</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120.2835476</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33.19351519</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南向</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离停止线30米左右安装辅助信号灯</w:t>
            </w:r>
            <w:r/>
          </w:p>
        </w:tc>
      </w:tr>
      <w:tr>
        <w:trPr>
          <w:trHeight w:val="5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北向</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离停止线30米左右安装辅助信号灯</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金海路与幸福路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120.4082212</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33.19834626</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南向</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离停止线30米左右安装辅助信号灯</w:t>
            </w:r>
            <w:r/>
          </w:p>
        </w:tc>
      </w:tr>
      <w:tr>
        <w:trPr>
          <w:trHeight w:val="5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北向</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离停止线30米左右安装辅助信号灯</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金海路与新村路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120.4038951</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33.20695644</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南向</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离停止线30米左右安装辅助信号灯</w:t>
            </w:r>
            <w:r/>
          </w:p>
        </w:tc>
      </w:tr>
      <w:tr>
        <w:trPr>
          <w:trHeight w:val="5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北向</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离停止线30米左右安装辅助信号灯</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五一路与343国道</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120.5044767</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33.2197504</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东向</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离停止线30米左右安装辅助信号灯</w:t>
            </w:r>
            <w:r/>
          </w:p>
        </w:tc>
      </w:tr>
      <w:tr>
        <w:trPr>
          <w:trHeight w:val="5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西向</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离停止线30米左右安装辅助信号灯</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226省道与展望路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120.4332989</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33.24269652</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南向</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离停止线30米左右安装辅助信号灯</w:t>
            </w:r>
            <w:r/>
          </w:p>
        </w:tc>
      </w:tr>
      <w:tr>
        <w:trPr>
          <w:trHeight w:val="5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北向</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离停止线30米左右安装辅助信号灯</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226省道与淮海大道</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120.4253214</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33.2618857</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南向</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离停止线30米左右安装辅助信号灯</w:t>
            </w:r>
            <w:r/>
          </w:p>
        </w:tc>
      </w:tr>
      <w:tr>
        <w:trPr>
          <w:trHeight w:val="5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北向</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离停止线30米左右安装辅助信号灯</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226省道与港便线</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120.4219714</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33.26876192</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南向</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离停止线30米左右安装辅助信号灯</w:t>
            </w:r>
            <w:r/>
          </w:p>
        </w:tc>
      </w:tr>
      <w:tr>
        <w:trPr>
          <w:trHeight w:val="57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北向</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离停止线30米左右安装辅助信号灯</w:t>
            </w:r>
            <w:r/>
          </w:p>
        </w:tc>
      </w:tr>
      <w:tr>
        <w:trPr>
          <w:trHeight w:val="285"/>
        </w:trPr>
        <w:tc>
          <w:tcPr>
            <w:shd w:val="clear" w:color="auto" w:fill="auto"/>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G343-五一路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120.504511</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33.21961668</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北向安装辅助信号灯</w:t>
            </w:r>
            <w:r/>
          </w:p>
        </w:tc>
      </w:tr>
      <w:tr>
        <w:trPr>
          <w:trHeight w:val="285"/>
        </w:trPr>
        <w:tc>
          <w:tcPr>
            <w:shd w:val="clear" w:color="auto" w:fill="auto"/>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川东闸测速点1</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120.8039475</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33.05097558</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开通链路</w:t>
            </w:r>
            <w:r/>
          </w:p>
        </w:tc>
      </w:tr>
      <w:tr>
        <w:trPr>
          <w:trHeight w:val="285"/>
        </w:trPr>
        <w:tc>
          <w:tcPr>
            <w:shd w:val="clear" w:color="auto" w:fill="auto"/>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川东闸测速点2</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120.8517551</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33.05424888</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开通链路</w:t>
            </w:r>
            <w:r/>
          </w:p>
        </w:tc>
      </w:tr>
      <w:tr>
        <w:trPr>
          <w:trHeight w:val="285"/>
        </w:trPr>
        <w:tc>
          <w:tcPr>
            <w:shd w:val="clear" w:color="auto" w:fill="auto"/>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川东闸测速点3</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120.8653164</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33.06536282</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开通链路</w:t>
            </w:r>
            <w:r/>
          </w:p>
        </w:tc>
      </w:tr>
      <w:tr>
        <w:trPr>
          <w:trHeight w:val="285"/>
        </w:trPr>
        <w:tc>
          <w:tcPr>
            <w:shd w:val="clear" w:color="auto" w:fill="auto"/>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川东闸测速点4</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120.8591366</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33.10872609</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开通链路</w:t>
            </w:r>
            <w:r/>
          </w:p>
        </w:tc>
      </w:tr>
      <w:tr>
        <w:trPr>
          <w:trHeight w:val="285"/>
        </w:trPr>
        <w:tc>
          <w:tcPr>
            <w:shd w:val="clear" w:color="auto" w:fill="auto"/>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大刘路交申丰路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120.4008919</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33.18757727</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信号机进行联网，对接平台</w:t>
            </w:r>
            <w:r/>
          </w:p>
        </w:tc>
      </w:tr>
      <w:tr>
        <w:trPr>
          <w:trHeight w:val="300"/>
        </w:trPr>
        <w:tc>
          <w:tcPr>
            <w:shd w:val="clear" w:color="auto" w:fill="auto"/>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幸福路交花园路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120.5089045</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33.20547913</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信号机进行联网，对接平台</w:t>
            </w:r>
            <w:r/>
          </w:p>
        </w:tc>
      </w:tr>
      <w:tr>
        <w:trPr>
          <w:trHeight w:val="300"/>
        </w:trPr>
        <w:tc>
          <w:tcPr>
            <w:shd w:val="clear" w:color="auto" w:fill="auto"/>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人民路（健康路-工农路）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120.4632425</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33.19783044</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可以拆除原有监控，，抱杆箱颜色须与现场杆件一样</w:t>
            </w:r>
            <w:r/>
          </w:p>
        </w:tc>
      </w:tr>
      <w:tr>
        <w:trPr>
          <w:trHeight w:val="300"/>
        </w:trPr>
        <w:tc>
          <w:tcPr>
            <w:shd w:val="clear" w:color="auto" w:fill="auto"/>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人民路（飞达路-新村路）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120.4622018</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33.20947378</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可以拆除原有监控，，抱杆箱颜色须与现场杆件一样</w:t>
            </w:r>
            <w:r/>
          </w:p>
        </w:tc>
      </w:tr>
      <w:tr>
        <w:trPr>
          <w:trHeight w:val="300"/>
        </w:trPr>
        <w:tc>
          <w:tcPr>
            <w:shd w:val="clear" w:color="auto" w:fill="auto"/>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人民路（幸福路-健康路）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120.4629207</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33.20108032</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可以拆除原有监控，，抱杆箱颜色须与现场杆件一样</w:t>
            </w:r>
            <w:r/>
          </w:p>
        </w:tc>
      </w:tr>
      <w:tr>
        <w:trPr>
          <w:trHeight w:val="300"/>
        </w:trPr>
        <w:tc>
          <w:tcPr>
            <w:shd w:val="clear" w:color="auto" w:fill="auto"/>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331中重型货车不靠右抓拍、区间测速</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120.4951286</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33.42370499</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原杆加装</w:t>
            </w:r>
            <w:r/>
          </w:p>
        </w:tc>
      </w:tr>
      <w:tr>
        <w:trPr>
          <w:trHeight w:val="300"/>
        </w:trPr>
        <w:tc>
          <w:tcPr>
            <w:shd w:val="clear" w:color="auto" w:fill="auto"/>
            <w:tcBorders>
              <w:top w:val="none" w:color="000000" w:sz="4" w:space="0"/>
              <w:left w:val="single" w:color="000000" w:sz="4" w:space="0"/>
              <w:bottom w:val="non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331中重型货车不靠右抓</w:t>
            </w:r>
            <w:r>
              <w:rPr>
                <w:rFonts w:hint="eastAsia" w:ascii="宋体" w:hAnsi="宋体" w:cs="宋体"/>
                <w:color w:val="000000"/>
                <w:sz w:val="24"/>
                <w:szCs w:val="24"/>
              </w:rPr>
              <w:t xml:space="preserve">拍、区间测速</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120.4451752</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33.4027131</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sz w:val="24"/>
                <w:szCs w:val="24"/>
              </w:rPr>
            </w:pPr>
            <w:r>
              <w:rPr>
                <w:rFonts w:ascii="宋体" w:hAnsi="宋体"/>
                <w:sz w:val="24"/>
                <w:szCs w:val="24"/>
              </w:rPr>
            </w:r>
            <w:r/>
          </w:p>
        </w:tc>
      </w:tr>
      <w:tr>
        <w:trPr>
          <w:trHeight w:val="300"/>
        </w:trPr>
        <w:tc>
          <w:tcPr>
            <w:shd w:val="clear" w:color="auto" w:fill="auto"/>
            <w:tcBorders>
              <w:top w:val="none" w:color="000000" w:sz="4" w:space="0"/>
              <w:left w:val="single" w:color="000000" w:sz="4" w:space="0"/>
              <w:bottom w:val="non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黄海路交金海路</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120.41250587</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33.18981296</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sz w:val="24"/>
                <w:szCs w:val="24"/>
              </w:rPr>
            </w:pPr>
            <w:r>
              <w:rPr>
                <w:rFonts w:hint="eastAsia" w:ascii="宋体" w:hAnsi="宋体"/>
                <w:sz w:val="24"/>
                <w:szCs w:val="24"/>
              </w:rPr>
              <w:t xml:space="preserve">南向杆件移位至标准电警位</w:t>
            </w:r>
            <w:r/>
          </w:p>
        </w:tc>
      </w:tr>
      <w:tr>
        <w:trPr>
          <w:trHeight w:val="300"/>
        </w:trPr>
        <w:tc>
          <w:tcPr>
            <w:shd w:val="clear" w:color="auto" w:fill="auto"/>
            <w:tcBorders>
              <w:top w:val="none" w:color="000000" w:sz="4" w:space="0"/>
              <w:left w:val="single" w:color="000000" w:sz="4" w:space="0"/>
              <w:bottom w:val="non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新草线交东塘线</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120.39272189</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33.10885191</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sz w:val="24"/>
                <w:szCs w:val="24"/>
              </w:rPr>
            </w:pPr>
            <w:r>
              <w:rPr>
                <w:rFonts w:hint="eastAsia" w:ascii="宋体" w:hAnsi="宋体"/>
                <w:sz w:val="24"/>
                <w:szCs w:val="24"/>
              </w:rPr>
              <w:t xml:space="preserve">南向杆件移位至标准电警位</w:t>
            </w:r>
            <w:r/>
          </w:p>
        </w:tc>
      </w:tr>
      <w:tr>
        <w:trPr>
          <w:trHeight w:val="300"/>
        </w:trPr>
        <w:tc>
          <w:tcPr>
            <w:shd w:val="clear" w:color="auto" w:fill="auto"/>
            <w:tcBorders>
              <w:top w:val="none" w:color="000000" w:sz="4" w:space="0"/>
              <w:left w:val="single" w:color="000000" w:sz="4" w:space="0"/>
              <w:bottom w:val="single" w:color="000000" w:sz="4" w:space="0"/>
              <w:right w:val="single" w:color="000000" w:sz="4" w:space="0"/>
            </w:tcBorders>
            <w:tcW w:w="45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人民路育红路西</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left"/>
              <w:widowControl/>
              <w:tabs>
                <w:tab w:val="left" w:pos="518" w:leader="none"/>
              </w:tabs>
              <w:rPr>
                <w:rFonts w:ascii="宋体" w:hAnsi="宋体" w:cs="宋体"/>
                <w:color w:val="000000"/>
                <w:sz w:val="24"/>
                <w:szCs w:val="24"/>
              </w:rPr>
            </w:pPr>
            <w:r>
              <w:rPr>
                <w:rFonts w:hint="eastAsia" w:ascii="宋体" w:hAnsi="宋体" w:cs="宋体"/>
                <w:color w:val="000000"/>
                <w:sz w:val="24"/>
                <w:szCs w:val="24"/>
              </w:rPr>
              <w:t xml:space="preserve">120.46366096</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33.19253791</w:t>
            </w:r>
            <w:r/>
          </w:p>
        </w:tc>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jc w:val="center"/>
              <w:widowControl/>
              <w:rPr>
                <w:rFonts w:ascii="宋体" w:hAnsi="宋体"/>
                <w:sz w:val="24"/>
                <w:szCs w:val="24"/>
              </w:rPr>
            </w:pPr>
            <w:r>
              <w:rPr>
                <w:rFonts w:ascii="宋体" w:hAns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sz w:val="24"/>
                <w:szCs w:val="24"/>
              </w:rPr>
            </w:pPr>
            <w:r>
              <w:rPr>
                <w:rFonts w:hint="eastAsia" w:ascii="宋体" w:hAnsi="宋体"/>
                <w:sz w:val="24"/>
                <w:szCs w:val="24"/>
              </w:rPr>
              <w:t xml:space="preserve">西向杆件向西移位至标准电警位</w:t>
            </w:r>
            <w:r/>
          </w:p>
        </w:tc>
      </w:tr>
    </w:tbl>
    <w:p>
      <w:pPr>
        <w:ind w:firstLine="480"/>
        <w:rPr>
          <w:rFonts w:ascii="宋体" w:hAnsi="宋体"/>
          <w:sz w:val="24"/>
          <w:szCs w:val="24"/>
        </w:rPr>
      </w:pPr>
      <w:r>
        <w:rPr>
          <w:rFonts w:ascii="宋体" w:hAnsi="宋体"/>
          <w:sz w:val="24"/>
          <w:szCs w:val="24"/>
        </w:rPr>
      </w:r>
      <w:r/>
    </w:p>
    <w:p>
      <w:pPr>
        <w:pStyle w:val="998"/>
        <w:ind w:firstLine="482"/>
        <w:rPr>
          <w:rFonts w:ascii="宋体" w:hAnsi="宋体" w:eastAsia="宋体"/>
          <w:sz w:val="24"/>
          <w:szCs w:val="24"/>
        </w:rPr>
      </w:pPr>
      <w:r>
        <w:rPr>
          <w:rFonts w:hint="eastAsia" w:ascii="宋体" w:hAnsi="宋体" w:eastAsia="宋体"/>
          <w:sz w:val="24"/>
          <w:szCs w:val="24"/>
        </w:rPr>
        <w:t xml:space="preserve">交安设施点位</w:t>
      </w:r>
      <w:r/>
    </w:p>
    <w:p>
      <w:pPr>
        <w:ind w:firstLine="480"/>
        <w:rPr>
          <w:rFonts w:ascii="宋体" w:hAnsi="宋体"/>
          <w:sz w:val="24"/>
          <w:szCs w:val="24"/>
        </w:rPr>
      </w:pPr>
      <w:r>
        <w:rPr>
          <w:rFonts w:ascii="宋体" w:hAnsi="宋体"/>
          <w:sz w:val="24"/>
          <w:szCs w:val="24"/>
        </w:rPr>
      </w:r>
      <w:r/>
    </w:p>
    <w:tbl>
      <w:tblPr>
        <w:tblW w:w="5000" w:type="pct"/>
        <w:tblLook w:val="04A0" w:firstRow="1" w:lastRow="0" w:firstColumn="1" w:lastColumn="0" w:noHBand="0" w:noVBand="1"/>
      </w:tblPr>
      <w:tblGrid>
        <w:gridCol w:w="725"/>
        <w:gridCol w:w="4360"/>
        <w:gridCol w:w="1226"/>
        <w:gridCol w:w="1226"/>
        <w:gridCol w:w="2346"/>
        <w:gridCol w:w="1226"/>
        <w:gridCol w:w="2482"/>
      </w:tblGrid>
      <w:tr>
        <w:trPr>
          <w:trHeight w:val="405"/>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标志标牌标线点位</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vMerge w:val="restart"/>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04" w:type="pct"/>
            <w:vAlign w:val="center"/>
            <w:vMerge w:val="restart"/>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隐患地点</w:t>
            </w:r>
            <w:r>
              <w:rPr>
                <w:rFonts w:hint="eastAsia" w:ascii="宋体" w:hAnsi="宋体" w:cs="宋体"/>
                <w:b/>
                <w:bCs/>
                <w:color w:val="000000"/>
                <w:sz w:val="24"/>
                <w:szCs w:val="24"/>
              </w:rPr>
              <w:br/>
              <w:t xml:space="preserve">（具体到路名村/组/户或路口经纬度)</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预警标牌</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抓拍标牌</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禁停标志牌及辅助标</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校园标志</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vMerge w:val="restart"/>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备注</w:t>
            </w:r>
            <w:r/>
          </w:p>
        </w:tc>
      </w:tr>
      <w:tr>
        <w:trPr>
          <w:trHeight w:val="225"/>
        </w:trPr>
        <w:tc>
          <w:tcPr>
            <w:tcBorders>
              <w:top w:val="single" w:color="000000" w:sz="4" w:space="0"/>
              <w:left w:val="single" w:color="000000" w:sz="4" w:space="0"/>
              <w:bottom w:val="single" w:color="000000" w:sz="4" w:space="0"/>
              <w:right w:val="single" w:color="000000" w:sz="4" w:space="0"/>
            </w:tcBorders>
            <w:tcW w:w="267" w:type="pct"/>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604" w:type="pct"/>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jc w:val="center"/>
              <w:widowControl/>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911" w:type="pct"/>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阜北村（东宁路-方大线）</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预警标牌，监控抓拍标牌、边黄线</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同德村（丰和路与丰悦路）</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预警标牌，监控抓拍标牌、边黄线</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方强村（方强小街）</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预警标牌，监控抓拍标牌、边黄线</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镇南村（920门口）</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预警标牌，监控抓拍标牌、边黄线</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博汇小区门口</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预警标牌，监控抓拍标牌、边黄线</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0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博汇厂门口违停</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预警标牌，监控抓拍标牌、边黄线</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0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健康路城东实验初中南门</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违停标牌，监控抓拍标牌、边黄线</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0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幸福路外国语学校南门</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违停标牌，监控抓拍标牌、边黄线</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0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东方路城东实验小学南门</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违停标牌，监控抓拍标牌、边黄线</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0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公园路新丰中学南门</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违停标牌，监控抓拍标牌、边黄线</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0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鹿鸣路城东实验幼儿园西门</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违停标牌，监控抓拍标牌、边黄线</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0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人民路（健康路-工农路）</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违停标牌，监控抓拍标牌、边黄线</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0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人民路（飞达路-新村路）</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违停标牌，监控抓拍标牌、边黄线</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0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人民路（幸福路-健康路）</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违停标牌，监控抓拍标牌、边黄线</w:t>
            </w:r>
            <w:r/>
          </w:p>
        </w:tc>
      </w:tr>
    </w:tbl>
    <w:p>
      <w:pPr>
        <w:pStyle w:val="998"/>
        <w:ind w:firstLine="482"/>
        <w:rPr>
          <w:rFonts w:ascii="宋体" w:hAnsi="宋体" w:eastAsia="宋体"/>
          <w:sz w:val="24"/>
          <w:szCs w:val="24"/>
        </w:rPr>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6838" w:h="11906" w:orient="landscape"/>
          <w:pgMar w:top="1440" w:right="1797" w:bottom="1440" w:left="1440" w:header="851" w:footer="851" w:gutter="0"/>
          <w:cols w:num="1" w:sep="0" w:space="425" w:equalWidth="1"/>
          <w:docGrid w:linePitch="360"/>
        </w:sectPr>
      </w:pPr>
      <w:r>
        <w:rPr>
          <w:rFonts w:ascii="宋体" w:hAnsi="宋体" w:eastAsia="宋体"/>
          <w:sz w:val="24"/>
          <w:szCs w:val="24"/>
        </w:rPr>
      </w:r>
      <w:r/>
    </w:p>
    <w:p>
      <w:pPr>
        <w:pStyle w:val="996"/>
        <w:ind w:firstLine="482"/>
        <w:jc w:val="left"/>
        <w:spacing w:before="0" w:after="0" w:line="480" w:lineRule="exact"/>
        <w:rPr>
          <w:rFonts w:ascii="宋体" w:hAnsi="宋体" w:eastAsia="宋体"/>
          <w:sz w:val="24"/>
          <w:szCs w:val="24"/>
        </w:rPr>
      </w:pPr>
      <w:r/>
      <w:bookmarkStart w:id="89" w:name="_Toc5077"/>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6主要设备参数要求</w:t>
      </w:r>
      <w:bookmarkEnd w:id="89"/>
      <w:r/>
      <w:r/>
    </w:p>
    <w:p>
      <w:pPr>
        <w:pStyle w:val="998"/>
        <w:ind w:firstLine="482"/>
        <w:spacing w:before="0" w:after="0" w:line="480" w:lineRule="exact"/>
        <w:rPr>
          <w:rFonts w:ascii="宋体" w:hAnsi="宋体" w:eastAsia="宋体"/>
          <w:sz w:val="24"/>
          <w:szCs w:val="24"/>
        </w:rPr>
      </w:pPr>
      <w:r>
        <w:rPr>
          <w:rFonts w:hint="eastAsia" w:ascii="宋体" w:hAnsi="宋体" w:eastAsia="宋体"/>
          <w:sz w:val="24"/>
          <w:szCs w:val="24"/>
        </w:rPr>
        <w:t xml:space="preserve">主要设备参数</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500W电警抓拍单元</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包含高清智能摄像机、高清镜头、单元防护罩、内置LED补光灯、相机内置网络防雷器、电源适配器等。</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★图像传感器不小于2/3英寸。</w:t>
      </w:r>
      <w:r>
        <w:rPr>
          <w:rFonts w:ascii="宋体" w:hAnsi="宋体"/>
          <w:sz w:val="24"/>
          <w:szCs w:val="24"/>
        </w:rPr>
        <w:t xml:space="preserve">（提供公安部</w:t>
      </w:r>
      <w:r>
        <w:rPr>
          <w:rFonts w:hint="eastAsia" w:ascii="宋体" w:hAnsi="宋体"/>
          <w:sz w:val="24"/>
          <w:szCs w:val="24"/>
        </w:rPr>
        <w:t xml:space="preserve">权威机构</w:t>
      </w:r>
      <w:r>
        <w:rPr>
          <w:rFonts w:ascii="宋体" w:hAnsi="宋体"/>
          <w:sz w:val="24"/>
          <w:szCs w:val="24"/>
        </w:rPr>
        <w:t xml:space="preserve">检测报告原件扫描件证明并加盖投标人公章）</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★最大图像尺寸≥2448×2048像素。</w:t>
      </w:r>
      <w:r>
        <w:rPr>
          <w:rFonts w:ascii="宋体" w:hAnsi="宋体"/>
          <w:sz w:val="24"/>
          <w:szCs w:val="24"/>
        </w:rPr>
        <w:t xml:space="preserve">（提供公安部</w:t>
      </w:r>
      <w:r>
        <w:rPr>
          <w:rFonts w:hint="eastAsia" w:ascii="宋体" w:hAnsi="宋体"/>
          <w:sz w:val="24"/>
          <w:szCs w:val="24"/>
        </w:rPr>
        <w:t xml:space="preserve">权威机构</w:t>
      </w:r>
      <w:r>
        <w:rPr>
          <w:rFonts w:ascii="宋体" w:hAnsi="宋体"/>
          <w:sz w:val="24"/>
          <w:szCs w:val="24"/>
        </w:rPr>
        <w:t xml:space="preserve">检测报告原件扫描件证明并加盖投标人公章）</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视频压缩支持H.265、H.264、M-JPEG。</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支持车辆捕获抓拍功能，在天气晴朗无雾，号牌无遮挡、无污损，白天环境光照度不低于200lx，晚上辅助光照度不高于30lx的条件下测试，白天和晚上的捕获率均≥99%。</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支持车牌识别功能（含新能源），在白天环境光照度不低于200lx，晚上辅助光照度不高于30lx的条件下测试，白天和晚上的识别率均≥99%。</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支持车辆闯红灯捕获抓拍功能，在天气晴朗无雾，号牌无遮挡，无污损，白天环境光照度不低于200lx，晚上辅助照明光照度不高于30lx的条件下进行测试，白天车辆闯红灯行为捕获率≥99%；晚上车辆闯红灯行为捕获率≥99%。</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支持车辆子品牌识别并显示相应的年款，车头≥7500种，车尾≥3900种。</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支持对摩托车闯红灯、逆行、载人、未戴头盔行为进行检测并抓拍图片； 在天气晴朗无雾，车辆无遮挡，白天环境光照度不低于200lx的情况下进行测试；捕获率≥99%；检测准确率≥99%。</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支持大型货车闯红灯抓拍功能，包括拖车、挂车、罐车、平板货车、集装箱牵引车、渣土车等货车类型。</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支持识别车标类型≥450种；在天气晴朗无雾，车辆无遮挡，白天环境光照度不低于200lx，夜晚辅助光照度不高于30lx的情况下进行测试；白天车标识别准确率≥99%；晚上车标识别准确率≥99%。</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支持分别对11种车型（大货车、中货车、小货车、客车、小轿车、中客车、危险品运输车、校车、面包车、环卫车、其他车型）进行不同超速比设置，可设置18个超速比区间。在</w:t>
      </w:r>
      <w:r>
        <w:rPr>
          <w:rFonts w:hint="eastAsia" w:ascii="宋体" w:hAnsi="宋体" w:cs="宋体"/>
          <w:sz w:val="24"/>
          <w:szCs w:val="24"/>
          <w:lang w:bidi="ar"/>
        </w:rPr>
        <w:t xml:space="preserve">相同道路上，设备支持根据不同的超速比设置对不同车型进行超速抓拍，并输出不同的超速抓拍结果及违法代码。防护等级不低于IP66。</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支持35114 A级加密；</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工作电压：220VAC±20%；频率：50HZ±2%。</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本项目采购设备采集的各类数据需无缝对接各类平台包括【大丰公安视频图象信息应用平台（抓拍数据汇聚至视图库），抓拍数据需同时实现交通违法综合管理应用平台、公安部集成指挥等平台深度应用】，并提供无缝对接承诺函加盖投标单位公章。</w:t>
      </w:r>
      <w:r/>
    </w:p>
    <w:p>
      <w:pPr>
        <w:ind w:firstLine="480"/>
        <w:spacing w:line="480" w:lineRule="exact"/>
        <w:rPr>
          <w:rFonts w:ascii="宋体" w:hAnsi="宋体"/>
          <w:sz w:val="24"/>
          <w:szCs w:val="24"/>
          <w:lang w:bidi="ar"/>
        </w:rPr>
      </w:pPr>
      <w:r>
        <w:rPr>
          <w:rFonts w:ascii="宋体" w:hAnsi="宋体"/>
          <w:sz w:val="24"/>
          <w:szCs w:val="24"/>
          <w:lang w:bidi="ar"/>
        </w:rPr>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900W电警抓拍单元</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包含高清智能摄像机、高清镜头、单元防护罩、内置LED补光灯、相机内置网络防雷器、电源适配器等。</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图像传感器不小于1英寸。</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★最大图像尺寸≥4096×2160像素。</w:t>
      </w:r>
      <w:r>
        <w:rPr>
          <w:rFonts w:ascii="宋体" w:hAnsi="宋体"/>
          <w:sz w:val="24"/>
          <w:szCs w:val="24"/>
        </w:rPr>
        <w:t xml:space="preserve">（提供公安部</w:t>
      </w:r>
      <w:r>
        <w:rPr>
          <w:rFonts w:hint="eastAsia" w:ascii="宋体" w:hAnsi="宋体"/>
          <w:sz w:val="24"/>
          <w:szCs w:val="24"/>
        </w:rPr>
        <w:t xml:space="preserve">权威机构</w:t>
      </w:r>
      <w:r>
        <w:rPr>
          <w:rFonts w:ascii="宋体" w:hAnsi="宋体"/>
          <w:sz w:val="24"/>
          <w:szCs w:val="24"/>
        </w:rPr>
        <w:t xml:space="preserve">检测报告原件扫描件证明并加盖投标人公章）</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字符叠加时最大可支持4096×2800。</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视频压缩支持H.265、H.264、M-JPEG。</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支持机动车、二轮车（摩托车、自行车、电动二轮车）、三轮车和行人分类检测。</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支持车辆捕获抓拍功能，在天气晴朗无雾，号牌无遮挡、无污损，白天环境光照度不低于200lx，晚上辅助光照度不高于30lx的条件下测试，白天和晚上的捕获率均≥99%。</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支持车牌识别功能，在天气晴朗无雾，号牌无遮挡、无污损，白天环境光照度不低于200lx，晚上辅助光照度不高于30lx的条件下测试，白天和晚上的识别准确率均≥99%。</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支持异常车牌检测功能，可对故意遮挡及污损车牌进行判断和识别。</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支持对不按导向行驶的车辆进行违法检测抓拍，在天气晴朗无雾，号牌无遮挡、无污损，白天环境光照度不低于200lx，晚上辅助光照度不高于30lx的条件下测试，白天和晚上的捕获率准确均≥98%，白天和晚上的识别准确率均≥98%。</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支持闯红灯抓拍功能，在天气晴朗无雾，号牌无遮挡、无污损，白天环境光照度不低于200lx，晚上辅助光照度不高于30lx的条件下测试，白天和晚上闯红灯的捕获率均≥99%。</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支持禁左、禁右、禁止掉头违章抓拍；支持禁货、禁拖拉机、禁农用车、禁大客车、禁拖</w:t>
      </w:r>
      <w:r>
        <w:rPr>
          <w:rFonts w:hint="eastAsia" w:ascii="宋体" w:hAnsi="宋体" w:cs="宋体"/>
          <w:sz w:val="24"/>
          <w:szCs w:val="24"/>
          <w:lang w:bidi="ar"/>
        </w:rPr>
        <w:t xml:space="preserve">/挂车通行等违章抓拍。</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支持对摩托车闯红灯、逆行、载人、未戴头盔行为进行检测并抓拍图片； 在天气晴朗无雾，车辆无遮挡，白天环境光照度不低于200lx的情况下进行测试；捕获率≥99%；检测准确率≥99%。</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支持压线（压实线、压单黄线、压双黄线）、逆行、占用应急车道、黄网格违停、加塞等违章检测。</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支持车标识别功能，数据库中包含410种车标信息，白天和晚上的识别率均不低于99%。</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支持车辆子品牌识别功能，通过车头可识别7100种，通过车尾可识别3800种，全天识别准确率不低于99%。</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具有抓拍黄牌车、蓝牌车、绿牌车、渐变绿牌车、黑牌车、白牌车、黄绿双拼牌车和不启用抓拍八个设置选项，可对蓝色、黄色、绿色、渐变绿色、黑色、白色、黄绿双拼色以及其他不同颜色车牌的车辆进行选择抓拍。</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支持对25×10 像素～1100×3000 像素的机动车车牌进行抓拍并识别,支持识别并抓拍垂直倾斜角度≤55°、水平倾斜角度≤35°、俯仰角度≤40°的机动车车牌。</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支持分别对11种车型（大货车、中货车、小货车、客车、小轿车、中客车、危险品运输车、校车、面包车、环卫车、其他车型）进行不同超速比设置，可设置18个超速比区间。在相同道路上，设备支持根据不同的超速比设置对不同车型进行超速抓拍，并输出不同的超速抓拍结果及违法代码。</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支持35114 A级加密；</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防护等级不低于IP66。</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工作电压：220VAC±20%；频率：50HZ±2%。</w:t>
      </w:r>
      <w:r/>
    </w:p>
    <w:p>
      <w:pPr>
        <w:ind w:firstLine="480"/>
        <w:spacing w:line="480" w:lineRule="exact"/>
        <w:tabs>
          <w:tab w:val="left" w:pos="0" w:leader="none"/>
        </w:tabs>
        <w:rPr>
          <w:rFonts w:ascii="宋体" w:hAnsi="宋体"/>
          <w:sz w:val="24"/>
          <w:szCs w:val="24"/>
        </w:rPr>
      </w:pPr>
      <w:r>
        <w:rPr>
          <w:rFonts w:hint="eastAsia" w:ascii="宋体" w:hAnsi="宋体" w:cs="宋体"/>
          <w:sz w:val="24"/>
          <w:szCs w:val="24"/>
          <w:lang w:bidi="ar"/>
        </w:rPr>
        <w:t xml:space="preserve">本项目采购设备采集的各类数据需无缝对接各类平台包括【大丰公安视频图象信息应用平台（抓拍数据汇聚至视图库），抓拍数据需同时实现交通违法综合管理应用平台、公安部集成指挥等平台深度应用】，并提供无缝对接承诺函加盖投标单位公章。</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500W环保卡口抓拍单元</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包含高清一体化嵌入式摄像机、高清镜头、室外防护罩、相机内置网络信号防雷器、电源适配器等。</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★最大图像尺寸≥2448×2048像素。</w:t>
      </w:r>
      <w:r>
        <w:rPr>
          <w:rFonts w:ascii="宋体" w:hAnsi="宋体"/>
          <w:sz w:val="24"/>
          <w:szCs w:val="24"/>
        </w:rPr>
        <w:t xml:space="preserve">（提供公安部</w:t>
      </w:r>
      <w:r>
        <w:rPr>
          <w:rFonts w:hint="eastAsia" w:ascii="宋体" w:hAnsi="宋体"/>
          <w:sz w:val="24"/>
          <w:szCs w:val="24"/>
        </w:rPr>
        <w:t xml:space="preserve">权威机构</w:t>
      </w:r>
      <w:r>
        <w:rPr>
          <w:rFonts w:ascii="宋体" w:hAnsi="宋体"/>
          <w:sz w:val="24"/>
          <w:szCs w:val="24"/>
        </w:rPr>
        <w:t xml:space="preserve">检测报告原件扫描件证明并</w:t>
      </w:r>
      <w:r>
        <w:rPr>
          <w:rFonts w:ascii="宋体" w:hAnsi="宋体"/>
          <w:sz w:val="24"/>
          <w:szCs w:val="24"/>
        </w:rPr>
        <w:t xml:space="preserve">加盖投标人公章）</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抓拍支持输出三张同时刻目标图片，包括可见光路图片（全彩），红外路图片（黑白）和融合图片（全彩），三张图片抓拍时间为同一时刻，抓拍运动目标，三张图片中目标位置相同无位移</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视频压缩支持H.265、H.264、M-JPEG。</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支持车辆捕获抓拍功能，在天气晴朗无雾，号牌无遮挡、无污损，白天环境光照度不低于200lx，晚上辅助光照度不高于30lx的条件下测试，白天和晚上的捕获率均≥99%。</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支持车牌识别功能（含新能源），在白天环境光照度不低于200lx，晚上辅助光照度不高于30lx的条件下测试，白天和晚上的识别率均≥99%。</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开启混合抓拍模式后，支持对骑自行车、骑三轮车、骑电动车、骑车带人等非机动车的抓拍；支持对轿车、客车、面包车、货车、卡车、摩托车等机动车的抓拍。</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设备支持人脸区域自动曝光，可根据人脸区域和光照变化自动调节人脸区域曝光参数；可通过IE浏览器设置人脸自动曝光的参考亮度、最短持续时间和人脸过滤时间。</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支持对行人和非机动车的人脸进行检测与抠图，高像素状态下，抓拍人脸像素点约为150*150；可对人脸抠图的像素大小、亮度、边框放大倍数进行调节，抠图准确率≥99%。</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支持检测并跟踪指定区域内不少于200个目标,目标包括机动车、非机动车以及行人等。</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具有抓拍黄牌车、蓝牌车、绿牌车、渐变绿牌车、黑牌车、白牌车、黄绿双拼牌车和不启用抓拍八个设置选项。可对蓝色、黄色、绿色、渐变绿色、黑色、白色、黄绿双拼色以及其他不同颜色车牌的车辆进行选择抓拍。</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rPr>
        <w:t xml:space="preserve">支持35114 A级加密；</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防护等级不低于IP66。</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工作电压：220VAC±20%；频率：50HZ±2%。</w:t>
      </w:r>
      <w:r/>
    </w:p>
    <w:p>
      <w:pPr>
        <w:ind w:firstLine="480"/>
        <w:spacing w:line="480" w:lineRule="exact"/>
        <w:tabs>
          <w:tab w:val="left" w:pos="0" w:leader="none"/>
        </w:tabs>
        <w:rPr>
          <w:rFonts w:ascii="宋体" w:hAnsi="宋体"/>
          <w:sz w:val="24"/>
          <w:szCs w:val="24"/>
        </w:rPr>
      </w:pPr>
      <w:r>
        <w:rPr>
          <w:rFonts w:hint="eastAsia" w:ascii="宋体" w:hAnsi="宋体" w:cs="宋体"/>
          <w:sz w:val="24"/>
          <w:szCs w:val="24"/>
          <w:lang w:bidi="ar"/>
        </w:rPr>
        <w:t xml:space="preserve">本项目采购设备采集的各类数据需无缝对接各类平台包括【大丰公安视频图象信息应用平台（抓拍数据汇聚至视图库），抓拍数据需同时实现交通违法综合管理应用平台、公安部集成指挥等平台深度应用】，并提供无缝对接承诺函加盖投标单位公章。</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900W环保卡口抓拍单元</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包含高清一体化嵌入式摄像机、高清镜头、室外防护罩、相机内置网络信号防雷器、电源适配器等。</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图像传感器不小于1英寸，镜头焦距不小于50mm。</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抓拍支持输出三张同时刻目标图片，包括可见光路图片（全彩），红外路图片（黑白）和融合图片（全彩），三张图片抓拍时间为同一时刻，抓拍运动目标，三张图片中目标位置相同无位移</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★最大图像尺寸≥4096×2160像素。</w:t>
      </w:r>
      <w:r>
        <w:rPr>
          <w:rFonts w:ascii="宋体" w:hAnsi="宋体"/>
          <w:sz w:val="24"/>
          <w:szCs w:val="24"/>
        </w:rPr>
        <w:t xml:space="preserve">（提供公安部</w:t>
      </w:r>
      <w:r>
        <w:rPr>
          <w:rFonts w:hint="eastAsia" w:ascii="宋体" w:hAnsi="宋体"/>
          <w:sz w:val="24"/>
          <w:szCs w:val="24"/>
        </w:rPr>
        <w:t xml:space="preserve">权威机构</w:t>
      </w:r>
      <w:r>
        <w:rPr>
          <w:rFonts w:ascii="宋体" w:hAnsi="宋体"/>
          <w:sz w:val="24"/>
          <w:szCs w:val="24"/>
        </w:rPr>
        <w:t xml:space="preserve">检测报告原件扫描件证明并加盖投标人公章）</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字符叠加时最大可支持4096×2800。</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视频压缩支持H.265、H.264、M-JPEG。</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支持机动车、二轮车（摩托车、自行车、电动二轮车）、三轮车和行人分类检测。</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支持抽烟、驾驶员人脸识别、驾驶室人脸抠图、识别等检测功能。</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支持检测并跟踪指定区域内不少于200个目标,目标包括机动车、非机动车以及行人等。</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支持车辆捕获抓拍功能，在天气晴朗无雾，号牌无遮挡、无污损，白天环境光照度不低于200lx，晚上辅助光照度不高于30lx的条件下测试，白天和晚上的捕获率均≥99%。</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支持车牌识别功能（含新能源），在天气晴朗无雾，号牌无遮挡、无污损，白天环境光照度不低于200lx，晚上辅助光照度不高于30lx的条件下测试，白天和晚上的识别准确率均≥99%。</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支持异常车牌检测功能，可对故意遮挡及污损车牌进行判断和识别。</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支持车辆子品牌识别功能，通过车头可识别7100种，通过车尾可识别3800种，全天识别准确率不低于99%。</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支持不少于14种车身颜色识别，包括黑、白、灰、红、绿、蓝、黄、粉、紫、棕、青、金、橙、银灰。</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支持人脸检测、跟踪、抓拍功能；支持在同一视频画面中，可检测、跟踪不小于 110 个运动人体目标，且抓拍不小于80个运动人脸目标。</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支持对30米处的行人进行人脸抓拍，并可生成分辨率不小于110像素×120像素的人脸图片,图片中人脸两眼瞳距应≥40像素。</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支持驾驶人脸部特征信息大于50×50个像素点、夜间环境照度在10lx~30lx范围的情况下，配合LED补光与红外爆闪补光，输出高清人脸抠图。</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具有抓拍黄牌车、蓝牌车、绿牌车、渐变绿牌车、黑牌车、白牌车、黄绿双拼牌车和不</w:t>
      </w:r>
      <w:r>
        <w:rPr>
          <w:rFonts w:hint="eastAsia" w:ascii="宋体" w:hAnsi="宋体" w:cs="宋体"/>
          <w:sz w:val="24"/>
          <w:szCs w:val="24"/>
          <w:lang w:bidi="ar"/>
        </w:rPr>
        <w:t xml:space="preserve">启用抓拍八个设置选项。可对蓝色、黄色、绿色、渐变绿色、黑色、白色、黄绿双拼色以及其他不同颜色车牌的车辆进行选择抓拍。</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支持识别车标类型≥450种；在天气晴朗无雾，车辆无遮挡，白天环境光照度不低于200lx，夜晚辅助光照度不高于30lx的情况下进行测试；白天车标识别准确率≥99%；晚上车标识别准确率≥99%。</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支持分别对9种车型（大货车、中货车、小货车、客车、小轿车、中客车、危险品运输车、校车、其他车型等）进行不同超速比设置，可设置16个超速比区间。在相同道路上，设备支持根据不同的超速比设置对不同车型进行超速抓拍，并输出不同的超速抓拍结果及违法代码。</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rPr>
        <w:t xml:space="preserve">支持35114 A级加密；</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外壳防护等级应不低于IP66。</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工作电压：100VAC～240VAC；频率：48Hz～52Hz。</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本项目采购设备采集的各类数据需无缝对接各类平台包括【大丰公安视频图象信息应用平台（抓拍数据汇聚至视图库），抓拍数据需同时实现交通违法综合管理应用平台、公安部集成指挥等平台深度应用】，并提供无缝对接承诺函加盖投标单位公章。</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400W球机</w:t>
      </w:r>
      <w:r/>
    </w:p>
    <w:p>
      <w:pPr>
        <w:ind w:firstLine="480"/>
        <w:spacing w:line="480" w:lineRule="exact"/>
        <w:rPr>
          <w:rFonts w:ascii="宋体" w:hAnsi="宋体"/>
          <w:sz w:val="24"/>
          <w:szCs w:val="24"/>
        </w:rPr>
      </w:pPr>
      <w:r>
        <w:rPr>
          <w:rFonts w:hint="eastAsia" w:ascii="宋体" w:hAnsi="宋体" w:cs="宋体"/>
          <w:sz w:val="24"/>
          <w:szCs w:val="24"/>
          <w:lang w:bidi="ar"/>
        </w:rPr>
        <w:t xml:space="preserve">★</w:t>
      </w:r>
      <w:r>
        <w:rPr>
          <w:rFonts w:hint="eastAsia" w:ascii="宋体" w:hAnsi="宋体"/>
          <w:sz w:val="24"/>
          <w:szCs w:val="24"/>
          <w:lang w:bidi="ar"/>
        </w:rPr>
        <w:t xml:space="preserve">具有不小于1/2.8"靶面尺寸，视频输出分辨率不小于2560×1440。</w:t>
      </w:r>
      <w:r>
        <w:rPr>
          <w:rFonts w:ascii="宋体" w:hAnsi="宋体"/>
          <w:sz w:val="24"/>
          <w:szCs w:val="24"/>
        </w:rPr>
        <w:t xml:space="preserve">（提供公安部</w:t>
      </w:r>
      <w:r>
        <w:rPr>
          <w:rFonts w:hint="eastAsia" w:ascii="宋体" w:hAnsi="宋体"/>
          <w:sz w:val="24"/>
          <w:szCs w:val="24"/>
        </w:rPr>
        <w:t xml:space="preserve">权威机构</w:t>
      </w:r>
      <w:r>
        <w:rPr>
          <w:rFonts w:ascii="宋体" w:hAnsi="宋体"/>
          <w:sz w:val="24"/>
          <w:szCs w:val="24"/>
        </w:rPr>
        <w:t xml:space="preserve">检测报告原件扫描件证明并加盖投标人公章）</w:t>
      </w:r>
      <w:r/>
    </w:p>
    <w:p>
      <w:pPr>
        <w:ind w:firstLine="480"/>
        <w:spacing w:line="480" w:lineRule="exact"/>
        <w:rPr>
          <w:rFonts w:ascii="宋体" w:hAnsi="宋体"/>
          <w:sz w:val="24"/>
          <w:szCs w:val="24"/>
        </w:rPr>
      </w:pPr>
      <w:r>
        <w:rPr>
          <w:rFonts w:hint="eastAsia" w:ascii="宋体" w:hAnsi="宋体"/>
          <w:sz w:val="24"/>
          <w:szCs w:val="24"/>
          <w:lang w:bidi="ar"/>
        </w:rPr>
        <w:t xml:space="preserve">支持采用H.265、H.264视频编码标准。</w:t>
      </w:r>
      <w:r/>
    </w:p>
    <w:p>
      <w:pPr>
        <w:ind w:firstLine="480"/>
        <w:spacing w:line="480" w:lineRule="exact"/>
        <w:rPr>
          <w:rFonts w:ascii="宋体" w:hAnsi="宋体"/>
          <w:sz w:val="24"/>
          <w:szCs w:val="24"/>
        </w:rPr>
      </w:pPr>
      <w:r>
        <w:rPr>
          <w:rFonts w:hint="eastAsia" w:ascii="宋体" w:hAnsi="宋体"/>
          <w:sz w:val="24"/>
          <w:szCs w:val="24"/>
          <w:lang w:bidi="ar"/>
        </w:rPr>
        <w:t xml:space="preserve">支持不小于23倍光学变焦，焦距不小4.8 mm~110 mm。</w:t>
      </w:r>
      <w:r/>
    </w:p>
    <w:p>
      <w:pPr>
        <w:ind w:firstLine="480"/>
        <w:spacing w:line="480" w:lineRule="exact"/>
        <w:rPr>
          <w:rFonts w:ascii="宋体" w:hAnsi="宋体"/>
          <w:sz w:val="24"/>
          <w:szCs w:val="24"/>
        </w:rPr>
      </w:pPr>
      <w:r>
        <w:rPr>
          <w:rFonts w:hint="eastAsia" w:ascii="宋体" w:hAnsi="宋体"/>
          <w:sz w:val="24"/>
          <w:szCs w:val="24"/>
          <w:lang w:bidi="ar"/>
        </w:rPr>
        <w:t xml:space="preserve">最低照度可达彩色0.0002Lux，黑白0.0001Lux。</w:t>
      </w:r>
      <w:r/>
    </w:p>
    <w:p>
      <w:pPr>
        <w:ind w:firstLine="480"/>
        <w:spacing w:line="480" w:lineRule="exact"/>
        <w:rPr>
          <w:rFonts w:ascii="宋体" w:hAnsi="宋体"/>
          <w:sz w:val="24"/>
          <w:szCs w:val="24"/>
        </w:rPr>
      </w:pPr>
      <w:r>
        <w:rPr>
          <w:rFonts w:hint="eastAsia" w:ascii="宋体" w:hAnsi="宋体"/>
          <w:sz w:val="24"/>
          <w:szCs w:val="24"/>
          <w:lang w:bidi="ar"/>
        </w:rPr>
        <w:t xml:space="preserve">支持水平手控速度不小于160°/S，垂直速度不小于120°/S，云台定位精度小于等于0.1°。</w:t>
      </w:r>
      <w:r/>
    </w:p>
    <w:p>
      <w:pPr>
        <w:ind w:firstLine="480"/>
        <w:spacing w:line="480" w:lineRule="exact"/>
        <w:rPr>
          <w:rFonts w:ascii="宋体" w:hAnsi="宋体"/>
          <w:sz w:val="24"/>
          <w:szCs w:val="24"/>
        </w:rPr>
      </w:pPr>
      <w:r>
        <w:rPr>
          <w:rFonts w:hint="eastAsia" w:ascii="宋体" w:hAnsi="宋体"/>
          <w:sz w:val="24"/>
          <w:szCs w:val="24"/>
          <w:lang w:bidi="ar"/>
        </w:rPr>
        <w:t xml:space="preserve">水平旋转范围为360°连续旋转，垂直旋转范围为-15°~90°。</w:t>
      </w:r>
      <w:r/>
    </w:p>
    <w:p>
      <w:pPr>
        <w:ind w:firstLine="480"/>
        <w:spacing w:line="480" w:lineRule="exact"/>
        <w:rPr>
          <w:rFonts w:ascii="宋体" w:hAnsi="宋体"/>
          <w:sz w:val="24"/>
          <w:szCs w:val="24"/>
        </w:rPr>
      </w:pPr>
      <w:r>
        <w:rPr>
          <w:rFonts w:hint="eastAsia" w:ascii="宋体" w:hAnsi="宋体"/>
          <w:sz w:val="24"/>
          <w:szCs w:val="24"/>
          <w:lang w:bidi="ar"/>
        </w:rPr>
        <w:t xml:space="preserve">支持300个预置位，可按照所设置的预置位完成不小于8条巡航路径，支持不小于4条模式路径设置，支持预置位视频冻结功能；可实现RS485接口优先或RJ45网络接口优先控制功能。</w:t>
      </w:r>
      <w:r/>
    </w:p>
    <w:p>
      <w:pPr>
        <w:ind w:firstLine="480"/>
        <w:spacing w:line="480" w:lineRule="exact"/>
        <w:rPr>
          <w:rFonts w:ascii="宋体" w:hAnsi="宋体"/>
          <w:sz w:val="24"/>
          <w:szCs w:val="24"/>
        </w:rPr>
      </w:pPr>
      <w:r>
        <w:rPr>
          <w:rFonts w:hint="eastAsia" w:ascii="宋体" w:hAnsi="宋体"/>
          <w:sz w:val="24"/>
          <w:szCs w:val="24"/>
          <w:lang w:bidi="ar"/>
        </w:rPr>
        <w:t xml:space="preserve">信噪比≥63dB，网络延时不大于100ms。</w:t>
      </w:r>
      <w:r/>
    </w:p>
    <w:p>
      <w:pPr>
        <w:ind w:firstLine="480"/>
        <w:spacing w:line="480" w:lineRule="exact"/>
        <w:rPr>
          <w:rFonts w:ascii="宋体" w:hAnsi="宋体"/>
          <w:sz w:val="24"/>
          <w:szCs w:val="24"/>
        </w:rPr>
      </w:pPr>
      <w:r>
        <w:rPr>
          <w:rFonts w:hint="eastAsia" w:ascii="宋体" w:hAnsi="宋体"/>
          <w:sz w:val="24"/>
          <w:szCs w:val="24"/>
          <w:lang w:bidi="ar"/>
        </w:rPr>
        <w:t xml:space="preserve">动态范围不小于106dB，照度适应范围不小于138dB，宽动态能力综合得分不小于135。</w:t>
      </w:r>
      <w:r/>
    </w:p>
    <w:p>
      <w:pPr>
        <w:ind w:firstLine="480"/>
        <w:spacing w:line="480" w:lineRule="exact"/>
        <w:rPr>
          <w:rFonts w:ascii="宋体" w:hAnsi="宋体"/>
          <w:sz w:val="24"/>
          <w:szCs w:val="24"/>
        </w:rPr>
      </w:pPr>
      <w:r>
        <w:rPr>
          <w:rFonts w:hint="eastAsia" w:ascii="宋体" w:hAnsi="宋体"/>
          <w:sz w:val="24"/>
          <w:szCs w:val="24"/>
          <w:lang w:bidi="ar"/>
        </w:rPr>
        <w:t xml:space="preserve">具备较强的网络自适应能力，在丢包率为20%的网络环境下，仍可正常显示监视画面。</w:t>
      </w:r>
      <w:r/>
    </w:p>
    <w:p>
      <w:pPr>
        <w:ind w:firstLine="480"/>
        <w:spacing w:line="480" w:lineRule="exact"/>
        <w:rPr>
          <w:rFonts w:ascii="宋体" w:hAnsi="宋体"/>
          <w:sz w:val="24"/>
          <w:szCs w:val="24"/>
        </w:rPr>
      </w:pPr>
      <w:r>
        <w:rPr>
          <w:rFonts w:hint="eastAsia" w:ascii="宋体" w:hAnsi="宋体"/>
          <w:sz w:val="24"/>
          <w:szCs w:val="24"/>
          <w:lang w:bidi="ar"/>
        </w:rPr>
        <w:t xml:space="preserve">支持智能红外、透雾、强光抑制、电子防抖、数字降噪、防红外过曝功能</w:t>
      </w:r>
      <w:r/>
    </w:p>
    <w:p>
      <w:pPr>
        <w:ind w:firstLine="480"/>
        <w:spacing w:line="480" w:lineRule="exact"/>
        <w:rPr>
          <w:rFonts w:ascii="宋体" w:hAnsi="宋体"/>
          <w:sz w:val="24"/>
          <w:szCs w:val="24"/>
        </w:rPr>
      </w:pPr>
      <w:r>
        <w:rPr>
          <w:rFonts w:hint="eastAsia" w:ascii="宋体" w:hAnsi="宋体"/>
          <w:sz w:val="24"/>
          <w:szCs w:val="24"/>
          <w:lang w:bidi="ar"/>
        </w:rPr>
        <w:t xml:space="preserve">支持区域遮盖功能，支持设置不少于24个不规则四边形区域，可设置不同颜色；支持3D定位、断电记忆功能；支持IP地址访问控制功能，支持定时抓图或报警联动抓图上传ftp功能。</w:t>
      </w:r>
      <w:r/>
    </w:p>
    <w:p>
      <w:pPr>
        <w:ind w:firstLine="480"/>
        <w:spacing w:line="480" w:lineRule="exact"/>
        <w:rPr>
          <w:rFonts w:ascii="宋体" w:hAnsi="宋体"/>
          <w:sz w:val="24"/>
          <w:szCs w:val="24"/>
        </w:rPr>
      </w:pPr>
      <w:r>
        <w:rPr>
          <w:rFonts w:hint="eastAsia" w:ascii="宋体" w:hAnsi="宋体"/>
          <w:sz w:val="24"/>
          <w:szCs w:val="24"/>
          <w:lang w:bidi="ar"/>
        </w:rPr>
        <w:t xml:space="preserve">支持SD卡热插拔，最大支持512GB。</w:t>
      </w:r>
      <w:r/>
    </w:p>
    <w:p>
      <w:pPr>
        <w:ind w:firstLine="480"/>
        <w:spacing w:line="480" w:lineRule="exact"/>
        <w:rPr>
          <w:rFonts w:ascii="宋体" w:hAnsi="宋体"/>
          <w:sz w:val="24"/>
          <w:szCs w:val="24"/>
          <w:lang w:bidi="ar"/>
        </w:rPr>
      </w:pPr>
      <w:r>
        <w:rPr>
          <w:rFonts w:hint="eastAsia" w:ascii="宋体" w:hAnsi="宋体"/>
          <w:sz w:val="24"/>
          <w:szCs w:val="24"/>
          <w:lang w:bidi="ar"/>
        </w:rPr>
        <w:t xml:space="preserve">支持不低于IP67，8kV防浪涌。</w:t>
      </w:r>
      <w:r/>
    </w:p>
    <w:p>
      <w:pPr>
        <w:ind w:firstLine="480"/>
        <w:spacing w:line="480" w:lineRule="exact"/>
        <w:rPr>
          <w:rFonts w:ascii="宋体" w:hAnsi="宋体"/>
          <w:sz w:val="24"/>
          <w:szCs w:val="24"/>
        </w:rPr>
      </w:pPr>
      <w:r>
        <w:rPr>
          <w:rFonts w:hint="eastAsia" w:ascii="宋体" w:hAnsi="宋体"/>
          <w:sz w:val="24"/>
          <w:szCs w:val="24"/>
        </w:rPr>
        <w:t xml:space="preserve">支持35114 A级加密；</w:t>
      </w:r>
      <w:r/>
    </w:p>
    <w:p>
      <w:pPr>
        <w:ind w:firstLine="480"/>
        <w:spacing w:line="480" w:lineRule="exact"/>
        <w:rPr>
          <w:rFonts w:ascii="宋体" w:hAnsi="宋体"/>
          <w:sz w:val="24"/>
          <w:szCs w:val="24"/>
          <w:lang w:bidi="ar"/>
        </w:rPr>
      </w:pPr>
      <w:r>
        <w:rPr>
          <w:rFonts w:hint="eastAsia" w:ascii="宋体" w:hAnsi="宋体"/>
          <w:sz w:val="24"/>
          <w:szCs w:val="24"/>
          <w:lang w:bidi="ar"/>
        </w:rPr>
        <w:t xml:space="preserve">工作温度范围可达-45℃-70℃。</w:t>
      </w:r>
      <w:r/>
    </w:p>
    <w:p>
      <w:pPr>
        <w:ind w:firstLine="480"/>
        <w:spacing w:line="480" w:lineRule="exact"/>
        <w:tabs>
          <w:tab w:val="left" w:pos="0" w:leader="none"/>
        </w:tabs>
        <w:rPr>
          <w:rFonts w:ascii="宋体" w:hAnsi="宋体" w:cs="宋体"/>
          <w:sz w:val="24"/>
          <w:szCs w:val="24"/>
          <w:lang w:bidi="ar"/>
        </w:rPr>
      </w:pPr>
      <w:r>
        <w:rPr>
          <w:rFonts w:hint="eastAsia" w:ascii="宋体" w:hAnsi="宋体" w:cs="宋体"/>
          <w:sz w:val="24"/>
          <w:szCs w:val="24"/>
          <w:lang w:bidi="ar"/>
        </w:rPr>
        <w:t xml:space="preserve">本项目采购设备采集的各类数据需无缝对接各类平台包括【大丰公安视频图象信息应用平台（抓拍数据汇聚至视图库），抓拍数据需同时实现交通违法综合管理应用平台、公安部集成指挥等平台深度应用】，并提供无缝对接承诺函加盖投标单位公章。</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800W球机</w:t>
      </w:r>
      <w:r/>
    </w:p>
    <w:p>
      <w:pPr>
        <w:ind w:firstLine="480"/>
        <w:spacing w:line="480" w:lineRule="exact"/>
        <w:tabs>
          <w:tab w:val="left" w:pos="0" w:leader="none"/>
        </w:tabs>
        <w:rPr>
          <w:rFonts w:ascii="宋体" w:hAnsi="宋体" w:cs="宋体"/>
          <w:sz w:val="24"/>
          <w:szCs w:val="24"/>
          <w:lang w:bidi="ar"/>
        </w:rPr>
      </w:pPr>
      <w:r>
        <w:rPr>
          <w:rFonts w:hint="eastAsia" w:ascii="宋体" w:hAnsi="宋体"/>
          <w:sz w:val="24"/>
          <w:szCs w:val="24"/>
        </w:rPr>
        <w:t xml:space="preserve">★摄像机靶面尺寸不小于1/1.8英寸，视频分辨率与帧率不小于3840×2160，内置GPU芯片。</w:t>
      </w:r>
      <w:r>
        <w:rPr>
          <w:rFonts w:ascii="宋体" w:hAnsi="宋体"/>
          <w:sz w:val="24"/>
          <w:szCs w:val="24"/>
        </w:rPr>
        <w:t xml:space="preserve">（提供公安部</w:t>
      </w:r>
      <w:r>
        <w:rPr>
          <w:rFonts w:hint="eastAsia" w:ascii="宋体" w:hAnsi="宋体"/>
          <w:sz w:val="24"/>
          <w:szCs w:val="24"/>
        </w:rPr>
        <w:t xml:space="preserve">权威机构</w:t>
      </w:r>
      <w:r>
        <w:rPr>
          <w:rFonts w:ascii="宋体" w:hAnsi="宋体"/>
          <w:sz w:val="24"/>
          <w:szCs w:val="24"/>
        </w:rPr>
        <w:t xml:space="preserve">检测报告原件扫描件证明并加盖投标人公章）</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摄像机自带雨刷，内置镜头支持不小于40倍光学变倍，镜头最大焦距不小于240mm。</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支持最低照度可达彩色0.0002 lx，黑白0.0001 lx。</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设备支持可从诊断信息中导出云台控制历史记录，包括：手动键控PTZ、3D定位、手动调用预置点、手动调用花扫、手动调用巡航。设备可对监视画面中不小于30个人脸进行检测、跟踪和抓拍。</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开启混合目标检测模式后，可同时对行人、非机动车、机动车进行检测、跟踪及抓拍。</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开启混合目标检测模式后，可同时对行人、非机动车、机动车进行分类计数。</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开启混合目标检测模式，对监视区域中的行人、非机动车和机动车的目标捕获率不低于99%。</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开启混合目标检测模式后，可支持人脸与人体、车牌与车辆的关联显示。</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设备可显示行人、非机动车属性。</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设备支持人脸图片比对功能。</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设备可响应平台下发的获取可视域信息指令，上报设备视场角、可视距离、安装位置、镜头指向方位。其中设备视场角、可视距离能够随着倍率变化。</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具备BDS定位和GPS定位功能，并能够在监控画面叠加设备所在的经纬度信息，可通过内置电子罗盘在监视画面上叠加设备镜头当前指向方位和角度。</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设备支持水平旋转范围为360°连续旋转，垂直旋转范围为-20°~90°</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支持GB35114 A级安全加密。</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防护等级不低于IP67。</w:t>
      </w:r>
      <w:r/>
    </w:p>
    <w:p>
      <w:pPr>
        <w:ind w:firstLine="480"/>
        <w:spacing w:line="480" w:lineRule="exact"/>
        <w:tabs>
          <w:tab w:val="left" w:pos="0" w:leader="none"/>
        </w:tabs>
        <w:rPr>
          <w:rFonts w:ascii="宋体" w:hAnsi="宋体"/>
          <w:sz w:val="24"/>
          <w:szCs w:val="24"/>
        </w:rPr>
      </w:pPr>
      <w:r>
        <w:rPr>
          <w:rFonts w:hint="eastAsia" w:ascii="宋体" w:hAnsi="宋体" w:cs="宋体"/>
          <w:sz w:val="24"/>
          <w:szCs w:val="24"/>
          <w:lang w:bidi="ar"/>
        </w:rPr>
        <w:t xml:space="preserve">本项目采购设备采集的各类数据需无缝对接各类平台包括【大丰公安视频图象信息应用平台（抓拍数据汇聚至视图库），抓拍数据需同时实现交通违法综合管理应用平台、公安部集成指挥等平台深度应用】，并提供无缝对接承诺函加盖投标单位公章。</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高空球机</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摄像机内置不少于3个镜头，可输出至少一路全景视频和一路细节视频，其中全景内置不少于2个镜头，细节内置1个镜头。</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全景内置2个镜头，光圈不小于F1.0，具有不小于1/1.8靶面尺寸，内置不少于4颗补光灯</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细节内置1个镜头，具备不小于1/1.8靶面尺寸，内置不少于10颗红外补光灯及1颗白光灯。</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细节通道内置镜头，支持不小于40倍光学变倍，镜头最大焦距不小于240mm。</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全景通道可输出两个镜头无缝拼接的全景图像，拼接偏差像素不大于4个像素，全景画面水平视场角不小于190°，垂直视场角不小于80°，全景路视频图像分辨率不小于3632 × 1632，细节路视频图像分辨率不小于2560x1440。全景通道可进行垂直旋转，旋转范围不低于12°可调。</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红外距离不小于200米。</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支持水平旋转范围360°连续旋转，垂直旋转范围-20°~90°。</w:t>
      </w:r>
      <w:r/>
    </w:p>
    <w:p>
      <w:pPr>
        <w:ind w:firstLine="480"/>
        <w:spacing w:line="480" w:lineRule="exact"/>
        <w:tabs>
          <w:tab w:val="left" w:pos="0" w:leader="none"/>
        </w:tabs>
        <w:rPr>
          <w:rFonts w:ascii="宋体" w:hAnsi="宋体" w:cs="宋体"/>
          <w:sz w:val="24"/>
          <w:szCs w:val="24"/>
          <w:lang w:bidi="ar"/>
        </w:rPr>
      </w:pPr>
      <w:r>
        <w:rPr>
          <w:rFonts w:hint="eastAsia" w:ascii="宋体" w:hAnsi="宋体"/>
          <w:sz w:val="24"/>
          <w:szCs w:val="24"/>
        </w:rPr>
        <w:t xml:space="preserve">★内置不少于2个GPU芯片</w:t>
      </w:r>
      <w:r>
        <w:rPr>
          <w:rFonts w:ascii="宋体" w:hAnsi="宋体"/>
          <w:sz w:val="24"/>
          <w:szCs w:val="24"/>
        </w:rPr>
        <w:t xml:space="preserve">（提供公安部</w:t>
      </w:r>
      <w:r>
        <w:rPr>
          <w:rFonts w:hint="eastAsia" w:ascii="宋体" w:hAnsi="宋体"/>
          <w:sz w:val="24"/>
          <w:szCs w:val="24"/>
        </w:rPr>
        <w:t xml:space="preserve">权威机构</w:t>
      </w:r>
      <w:r>
        <w:rPr>
          <w:rFonts w:ascii="宋体" w:hAnsi="宋体"/>
          <w:sz w:val="24"/>
          <w:szCs w:val="24"/>
        </w:rPr>
        <w:t xml:space="preserve">检测报告原件扫描件证明并加盖投标人公章）</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全景通道和细节通道镜头支持最低照度可达彩色0.0002 lx，黑白0.0001 lx</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支持同时检测监控场景内出现的不少于30张人脸，并可进行抓拍。</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设备全景通道可对设定区域进行布防，当检测到目标时联动细节摄像机可对目标进行跟踪及报警。全景通道区域入侵检测最远距离为50m</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在设备上方进行喷水操作，水流方向和水平方向夹角不小于42°时，设备视窗应无水流直接接触。</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支持GB35114 A级安全加密。</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防护等级不低于IP67。</w:t>
      </w:r>
      <w:r/>
    </w:p>
    <w:p>
      <w:pPr>
        <w:ind w:firstLine="480"/>
        <w:spacing w:line="480" w:lineRule="exact"/>
        <w:tabs>
          <w:tab w:val="left" w:pos="0" w:leader="none"/>
        </w:tabs>
        <w:rPr>
          <w:rFonts w:ascii="宋体" w:hAnsi="宋体"/>
          <w:sz w:val="24"/>
          <w:szCs w:val="24"/>
        </w:rPr>
      </w:pPr>
      <w:r>
        <w:rPr>
          <w:rFonts w:hint="eastAsia" w:ascii="宋体" w:hAnsi="宋体" w:cs="宋体"/>
          <w:sz w:val="24"/>
          <w:szCs w:val="24"/>
          <w:lang w:bidi="ar"/>
        </w:rPr>
        <w:t xml:space="preserve">本项目采购设备采集的各类数据需无缝对接各类平台包括【大丰公安视频图象信息应用平台（抓拍数据汇聚至视图库），抓拍数据需同时实现交通违法综合管理应用平台、公安部集成指挥等平台深度应用】，并提供无缝对接承诺函加盖投标单位公章。</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800W结构化相机</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设备内置</w:t>
      </w:r>
      <w:r>
        <w:rPr>
          <w:rFonts w:ascii="宋体" w:hAnsi="宋体"/>
          <w:sz w:val="24"/>
          <w:szCs w:val="24"/>
        </w:rPr>
        <w:t xml:space="preserve">GPU芯片，具有不小于1/1.8"英寸传感器，最高分辨率可达800万像素；</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主码流支持</w:t>
      </w:r>
      <w:r>
        <w:rPr>
          <w:rFonts w:ascii="宋体" w:hAnsi="宋体"/>
          <w:sz w:val="24"/>
          <w:szCs w:val="24"/>
        </w:rPr>
        <w:t xml:space="preserve">3840×2160@25fps，子码流支持704×576@25fps，第三码流支持1920×1080@25fps；</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最低照度彩色不大于</w:t>
      </w:r>
      <w:r>
        <w:rPr>
          <w:rFonts w:ascii="宋体" w:hAnsi="宋体"/>
          <w:sz w:val="24"/>
          <w:szCs w:val="24"/>
        </w:rPr>
        <w:t xml:space="preserve">0.0002lx，黑白不大于0.0001 lx；</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内置补光灯，灯珠朝向与设备照射方向不同，灯杯为半弧形网格鳞片状，开启后正面不可见补光灯灯珠；补光灯光均匀，无波纹、麻点状、条纹状及不规则亮斑；</w:t>
      </w:r>
      <w:r>
        <w:rPr>
          <w:rFonts w:ascii="宋体" w:hAnsi="宋体"/>
          <w:sz w:val="24"/>
          <w:szCs w:val="24"/>
        </w:rPr>
        <w:t xml:space="preserve"> </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设备内置电动变焦镜头，焦距</w:t>
      </w:r>
      <w:r>
        <w:rPr>
          <w:rFonts w:ascii="宋体" w:hAnsi="宋体"/>
          <w:sz w:val="24"/>
          <w:szCs w:val="24"/>
        </w:rPr>
        <w:t xml:space="preserve">&amp;视场角：8~32 mm：水平视场角：41.8°-14.9°，垂直视场角：22.9°-8.5°，对角视场角：48.7°~17.1°；</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支持多种智能模式：全结构化、人脸抓拍、人脸比对、道路监控、</w:t>
      </w:r>
      <w:r>
        <w:rPr>
          <w:rFonts w:ascii="宋体" w:hAnsi="宋体"/>
          <w:sz w:val="24"/>
          <w:szCs w:val="24"/>
        </w:rPr>
        <w:t xml:space="preserve">Smart事件、人数统计、热度图，多种智能模式可按需切换；</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全结构化模式：</w:t>
      </w:r>
      <w:r>
        <w:rPr>
          <w:rFonts w:ascii="宋体" w:hAnsi="宋体"/>
          <w:sz w:val="24"/>
          <w:szCs w:val="24"/>
        </w:rPr>
        <w:t xml:space="preserve">1)抓拍人体：支持运动方向、上衣颜色、下装颜色、性别、年龄段、戴眼镜、背包、拎东西、戴帽子、戴口罩、发型、上衣类型、下装类型等属性识别，2)抓拍人脸：支持性别、年龄、年龄段、戴眼镜、戴口罩、表情、戴帽子等属性识别，3)抓拍非机动车：支持上衣颜色、下衣颜色、性别、戴眼镜、年龄段、背包、拎东西、戴帽子、戴口罩、上衣类型、下装类型、戴口罩、发型、非机动车类型，4)抓拍机动车：支持车身颜色、车型识别、车辆行驶方向、车牌颜色、车牌类型等属性识别；</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在环境照度≤</w:t>
      </w:r>
      <w:r>
        <w:rPr>
          <w:rFonts w:ascii="宋体" w:hAnsi="宋体"/>
          <w:sz w:val="24"/>
          <w:szCs w:val="24"/>
        </w:rPr>
        <w:t xml:space="preserve">20lx且关闭设备补光灯情况下，可同时对不同速度、明亮度、反光度的行人、非机动车、机动车分类曝光，可实时检测、跟踪、抓拍行进的行人人脸、人体、非机动车</w:t>
      </w:r>
      <w:r>
        <w:rPr>
          <w:rFonts w:ascii="宋体" w:hAnsi="宋体"/>
          <w:sz w:val="24"/>
          <w:szCs w:val="24"/>
        </w:rPr>
        <w:t xml:space="preserve">及车上人员、机动车车牌、机动车；可识别人脸及车牌号码，同时抓拍的人脸和车牌号码图片应清晰可辨，无过曝、过暗情况；</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同一场景相同图像质量下设备在</w:t>
      </w:r>
      <w:r>
        <w:rPr>
          <w:rFonts w:ascii="宋体" w:hAnsi="宋体"/>
          <w:sz w:val="24"/>
          <w:szCs w:val="24"/>
        </w:rPr>
        <w:t xml:space="preserve">H.264或H.265编码时，开启智能编码和不开启智能编码相比，码率节约≥9/10；</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支持周界防范功能，当区域入侵、越界侦测、进入区域、离开区域报警布防开启后，出现行人、非机动车、机动车目标时能触发报警，当检测区域中篮球滚动、小狗移动、树叶晃动及光线明暗变化时不会触发报警；</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可对检测区域内不低于</w:t>
      </w:r>
      <w:r>
        <w:rPr>
          <w:rFonts w:ascii="宋体" w:hAnsi="宋体"/>
          <w:sz w:val="24"/>
          <w:szCs w:val="24"/>
        </w:rPr>
        <w:t xml:space="preserve">45个目标进行检测、框选跟踪、筛选、抓拍，并可分别显示数量，可将人脸与人体关联显示；</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可对出现在监控场景内的两眼瞳距不小于</w:t>
      </w:r>
      <w:r>
        <w:rPr>
          <w:rFonts w:ascii="宋体" w:hAnsi="宋体"/>
          <w:sz w:val="24"/>
          <w:szCs w:val="24"/>
        </w:rPr>
        <w:t xml:space="preserve">19 像素的人脸进行检验，并叠加目标提示框；可同时检测监控场景内出现的不少于 320张人脸图片；支持侧脸过滤功能，可过滤与设备镜头呈上下、左右角度达到预设值的人脸； </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支持车牌检测、识别、抓拍、存储功能，可识别车型、车身颜色、车辆品牌；可识别通过监视画面中的机动车车牌颜色，包括</w:t>
      </w:r>
      <w:r>
        <w:rPr>
          <w:rFonts w:ascii="宋体" w:hAnsi="宋体"/>
          <w:sz w:val="24"/>
          <w:szCs w:val="24"/>
        </w:rPr>
        <w:t xml:space="preserve">:蓝、黄、黑、白、绿不少于5种； </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支持人数统计功能，可设置最多</w:t>
      </w:r>
      <w:r>
        <w:rPr>
          <w:rFonts w:ascii="宋体" w:hAnsi="宋体"/>
          <w:sz w:val="24"/>
          <w:szCs w:val="24"/>
        </w:rPr>
        <w:t xml:space="preserve">8个人数统计区域，区域名称可自定义；可设置人员密度报警、人数异常报警、停留时间异常报警，每个人数统计区域可设置最多3种报警类型；</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在</w:t>
      </w:r>
      <w:r>
        <w:rPr>
          <w:rFonts w:ascii="宋体" w:hAnsi="宋体"/>
          <w:sz w:val="24"/>
          <w:szCs w:val="24"/>
        </w:rPr>
        <w:t xml:space="preserve">IE浏览器下，具有设备重启和布防动态报警数据感知与记录功能，布防动态报警数据包括异常掉线、历史布防、实时布防3种类型；可记录报警的开始时间、结束时间、布防类型、报警链路地址、端口、链路续传；</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设备具有耀光抑制功能，耀光区域≤</w:t>
      </w:r>
      <w:r>
        <w:rPr>
          <w:rFonts w:ascii="宋体" w:hAnsi="宋体"/>
          <w:sz w:val="24"/>
          <w:szCs w:val="24"/>
        </w:rPr>
        <w:t xml:space="preserve">1%；</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支持标准的</w:t>
      </w:r>
      <w:r>
        <w:rPr>
          <w:rFonts w:ascii="宋体" w:hAnsi="宋体"/>
          <w:sz w:val="24"/>
          <w:szCs w:val="24"/>
        </w:rPr>
        <w:t xml:space="preserve">256 GB MicroSD/MicroSDHC/MicroSDXC卡存储，支持10 M/100 M/1000 M自适应网口；</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支持</w:t>
      </w:r>
      <w:r>
        <w:rPr>
          <w:rFonts w:ascii="宋体" w:hAnsi="宋体"/>
          <w:sz w:val="24"/>
          <w:szCs w:val="24"/>
        </w:rPr>
        <w:t xml:space="preserve">DC12V或POE供电；</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支持GB35114 A级安全加密。</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支持</w:t>
      </w:r>
      <w:r>
        <w:rPr>
          <w:rFonts w:ascii="宋体" w:hAnsi="宋体"/>
          <w:sz w:val="24"/>
          <w:szCs w:val="24"/>
        </w:rPr>
        <w:t xml:space="preserve">IP67防尘防水。</w:t>
      </w:r>
      <w:r/>
    </w:p>
    <w:p>
      <w:pPr>
        <w:ind w:firstLine="480"/>
        <w:spacing w:line="480" w:lineRule="exact"/>
        <w:tabs>
          <w:tab w:val="left" w:pos="0" w:leader="none"/>
        </w:tabs>
        <w:rPr>
          <w:rFonts w:ascii="宋体" w:hAnsi="宋体"/>
          <w:sz w:val="24"/>
          <w:szCs w:val="24"/>
        </w:rPr>
      </w:pPr>
      <w:r>
        <w:rPr>
          <w:rFonts w:hint="eastAsia" w:ascii="宋体" w:hAnsi="宋体" w:cs="宋体"/>
          <w:sz w:val="24"/>
          <w:szCs w:val="24"/>
          <w:lang w:bidi="ar"/>
        </w:rPr>
        <w:t xml:space="preserve">本项目采购设备采集的各类数据需无缝对接各类平台包括【大丰公安视频图象信息应用平台（抓拍数据汇聚至视图库），抓拍数据需同时实现交通违法综合管理应用平台、公安部集成指挥等平台深度应用】，并提供无缝对接承诺函加盖投标单位公章。</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违停球</w:t>
      </w:r>
      <w:r/>
    </w:p>
    <w:p>
      <w:pPr>
        <w:pStyle w:val="1133"/>
        <w:ind w:firstLine="480"/>
        <w:spacing w:line="480" w:lineRule="exact"/>
        <w:widowControl/>
        <w:rPr>
          <w:rFonts w:hint="default" w:ascii="宋体" w:hAnsi="宋体"/>
          <w:szCs w:val="24"/>
        </w:rPr>
      </w:pPr>
      <w:r>
        <w:rPr>
          <w:rFonts w:hint="default" w:ascii="宋体" w:hAnsi="宋体"/>
          <w:szCs w:val="24"/>
        </w:rPr>
        <w:t xml:space="preserve">★摄像机靶面尺寸不小于1/1.8英寸，内置GPU芯片，摄像机内置镜头，支持40倍光学变倍，镜头最大焦距不小于240mm；（提供公安部</w:t>
      </w:r>
      <w:r>
        <w:rPr>
          <w:rFonts w:ascii="宋体" w:hAnsi="宋体"/>
          <w:szCs w:val="24"/>
        </w:rPr>
        <w:t xml:space="preserve">权威机构</w:t>
      </w:r>
      <w:r>
        <w:rPr>
          <w:rFonts w:hint="default" w:ascii="宋体" w:hAnsi="宋体"/>
          <w:szCs w:val="24"/>
        </w:rPr>
        <w:t xml:space="preserve">检测报告原件扫描件证明并加盖投标人公章）</w:t>
      </w:r>
      <w:r/>
    </w:p>
    <w:p>
      <w:pPr>
        <w:pStyle w:val="1133"/>
        <w:ind w:firstLine="480"/>
        <w:spacing w:line="480" w:lineRule="exact"/>
        <w:widowControl/>
        <w:rPr>
          <w:rFonts w:hint="default" w:ascii="宋体" w:hAnsi="宋体"/>
          <w:szCs w:val="24"/>
        </w:rPr>
      </w:pPr>
      <w:r>
        <w:rPr>
          <w:rFonts w:ascii="宋体" w:hAnsi="宋体" w:cs="宋体"/>
          <w:szCs w:val="24"/>
          <w:lang w:bidi="ar"/>
        </w:rPr>
        <w:t xml:space="preserve">▲</w:t>
      </w:r>
      <w:r>
        <w:rPr>
          <w:rFonts w:hint="default" w:ascii="宋体" w:hAnsi="宋体"/>
          <w:szCs w:val="24"/>
        </w:rPr>
        <w:t xml:space="preserve">视频输出支持2560×1440；（提供公安部</w:t>
      </w:r>
      <w:r>
        <w:rPr>
          <w:rFonts w:ascii="宋体" w:hAnsi="宋体"/>
          <w:szCs w:val="24"/>
        </w:rPr>
        <w:t xml:space="preserve">权威机构</w:t>
      </w:r>
      <w:r>
        <w:rPr>
          <w:rFonts w:hint="default" w:ascii="宋体" w:hAnsi="宋体"/>
          <w:szCs w:val="24"/>
        </w:rPr>
        <w:t xml:space="preserve">检测报告原件扫描件证明并加盖投标人公章）</w:t>
      </w:r>
      <w:r/>
    </w:p>
    <w:p>
      <w:pPr>
        <w:pStyle w:val="1133"/>
        <w:ind w:firstLine="480"/>
        <w:spacing w:line="480" w:lineRule="exact"/>
        <w:widowControl/>
        <w:rPr>
          <w:rFonts w:hint="default" w:ascii="宋体" w:hAnsi="宋体"/>
          <w:szCs w:val="24"/>
        </w:rPr>
      </w:pPr>
      <w:r>
        <w:rPr>
          <w:rFonts w:hint="default" w:ascii="宋体" w:hAnsi="宋体"/>
          <w:szCs w:val="24"/>
        </w:rPr>
        <w:t xml:space="preserve">支持最低照度可达彩色0.0002Lux，黑白0.0001Lux；</w:t>
      </w:r>
      <w:r/>
    </w:p>
    <w:p>
      <w:pPr>
        <w:pStyle w:val="1133"/>
        <w:ind w:firstLine="480"/>
        <w:spacing w:line="480" w:lineRule="exact"/>
        <w:widowControl/>
        <w:rPr>
          <w:rFonts w:hint="default" w:ascii="宋体" w:hAnsi="宋体"/>
          <w:szCs w:val="24"/>
        </w:rPr>
      </w:pPr>
      <w:r>
        <w:rPr>
          <w:rFonts w:hint="default" w:ascii="宋体" w:hAnsi="宋体"/>
          <w:szCs w:val="24"/>
        </w:rPr>
        <w:t xml:space="preserve">水平旋转范围为360°连续旋转，垂直旋转范围为-20°~90°；</w:t>
      </w:r>
      <w:r/>
    </w:p>
    <w:p>
      <w:pPr>
        <w:pStyle w:val="1133"/>
        <w:ind w:firstLine="480"/>
        <w:spacing w:line="480" w:lineRule="exact"/>
        <w:widowControl/>
        <w:rPr>
          <w:rFonts w:hint="default" w:ascii="宋体" w:hAnsi="宋体"/>
          <w:szCs w:val="24"/>
        </w:rPr>
      </w:pPr>
      <w:r>
        <w:rPr>
          <w:rFonts w:hint="default" w:ascii="宋体" w:hAnsi="宋体"/>
          <w:szCs w:val="24"/>
        </w:rPr>
        <w:t xml:space="preserve">支持违停、逆行、压线、变道、机占非、掉头等城市道路违章取证；</w:t>
      </w:r>
      <w:r/>
    </w:p>
    <w:p>
      <w:pPr>
        <w:pStyle w:val="1133"/>
        <w:ind w:firstLine="480"/>
        <w:spacing w:line="480" w:lineRule="exact"/>
        <w:widowControl/>
        <w:rPr>
          <w:rFonts w:hint="default" w:ascii="宋体" w:hAnsi="宋体"/>
          <w:szCs w:val="24"/>
        </w:rPr>
      </w:pPr>
      <w:r>
        <w:rPr>
          <w:rFonts w:hint="default" w:ascii="宋体" w:hAnsi="宋体"/>
          <w:szCs w:val="24"/>
        </w:rPr>
        <w:t xml:space="preserve">支持车流量、车道平均速度、车头时距、车头间距、车道时间占有率、车道空间占有率等车流量、车道平均速度、车头时距、车头间距、车道时间占有率、车道空间占有率；</w:t>
      </w:r>
      <w:r/>
    </w:p>
    <w:p>
      <w:pPr>
        <w:pStyle w:val="1133"/>
        <w:ind w:firstLine="480"/>
        <w:spacing w:line="480" w:lineRule="exact"/>
        <w:widowControl/>
        <w:rPr>
          <w:rFonts w:hint="default" w:ascii="宋体" w:hAnsi="宋体"/>
          <w:szCs w:val="24"/>
        </w:rPr>
      </w:pPr>
      <w:r>
        <w:rPr>
          <w:rFonts w:hint="default" w:ascii="宋体" w:hAnsi="宋体"/>
          <w:szCs w:val="24"/>
        </w:rPr>
        <w:t xml:space="preserve">支持多场景巡航检测，并可配置场景巡航自适应功能；</w:t>
      </w:r>
      <w:r/>
    </w:p>
    <w:p>
      <w:pPr>
        <w:pStyle w:val="1133"/>
        <w:ind w:firstLine="480"/>
        <w:spacing w:line="480" w:lineRule="exact"/>
        <w:widowControl/>
        <w:rPr>
          <w:rFonts w:hint="default" w:ascii="宋体" w:hAnsi="宋体"/>
          <w:szCs w:val="24"/>
        </w:rPr>
      </w:pPr>
      <w:r>
        <w:rPr>
          <w:rFonts w:hint="default" w:ascii="宋体" w:hAnsi="宋体"/>
          <w:szCs w:val="24"/>
        </w:rPr>
        <w:t xml:space="preserve">支持对静止或运动车辆的手动取证功能；</w:t>
      </w:r>
      <w:r/>
    </w:p>
    <w:p>
      <w:pPr>
        <w:pStyle w:val="1133"/>
        <w:ind w:firstLine="480"/>
        <w:spacing w:line="480" w:lineRule="exact"/>
        <w:widowControl/>
        <w:rPr>
          <w:rFonts w:hint="default" w:ascii="宋体" w:hAnsi="宋体"/>
          <w:szCs w:val="24"/>
        </w:rPr>
      </w:pPr>
      <w:r>
        <w:rPr>
          <w:rFonts w:hint="default" w:ascii="宋体" w:hAnsi="宋体"/>
          <w:szCs w:val="24"/>
        </w:rPr>
        <w:t xml:space="preserve">支持违法数据的断点续传功能；</w:t>
      </w:r>
      <w:r/>
    </w:p>
    <w:p>
      <w:pPr>
        <w:pStyle w:val="1133"/>
        <w:ind w:firstLine="480"/>
        <w:spacing w:line="480" w:lineRule="exact"/>
        <w:widowControl/>
        <w:rPr>
          <w:rFonts w:hint="default" w:ascii="宋体" w:hAnsi="宋体"/>
          <w:szCs w:val="24"/>
        </w:rPr>
      </w:pPr>
      <w:r>
        <w:rPr>
          <w:rFonts w:hint="default" w:ascii="宋体" w:hAnsi="宋体"/>
          <w:szCs w:val="24"/>
        </w:rPr>
        <w:t xml:space="preserve">支持违法数据上传FTP服务器、交通终端服务器、中心管理系统平台；</w:t>
      </w:r>
      <w:r/>
    </w:p>
    <w:p>
      <w:pPr>
        <w:pStyle w:val="1133"/>
        <w:ind w:firstLine="480"/>
        <w:spacing w:line="480" w:lineRule="exact"/>
        <w:widowControl/>
        <w:rPr>
          <w:rFonts w:hint="default" w:ascii="宋体" w:hAnsi="宋体"/>
          <w:szCs w:val="24"/>
        </w:rPr>
      </w:pPr>
      <w:r>
        <w:rPr>
          <w:rFonts w:hint="default" w:ascii="宋体" w:hAnsi="宋体"/>
          <w:szCs w:val="24"/>
        </w:rPr>
        <w:t xml:space="preserve">支持快速聚焦功能，当设备跟踪行人或机动车等移动目标并录像时，单帧回放录像文件，每1帧画面均应清晰可见；</w:t>
      </w:r>
      <w:r/>
    </w:p>
    <w:p>
      <w:pPr>
        <w:pStyle w:val="1133"/>
        <w:ind w:firstLine="480"/>
        <w:spacing w:line="480" w:lineRule="exact"/>
        <w:widowControl/>
        <w:rPr>
          <w:rFonts w:hint="default" w:ascii="宋体" w:hAnsi="宋体"/>
          <w:szCs w:val="24"/>
        </w:rPr>
      </w:pPr>
      <w:r>
        <w:rPr>
          <w:rFonts w:hint="default" w:ascii="宋体" w:hAnsi="宋体"/>
          <w:szCs w:val="24"/>
        </w:rPr>
        <w:t xml:space="preserve">支持7路报警输入接口，2路报警输出接口，支持1路音频输入和输出接口。最大支持256GB的SD卡；</w:t>
      </w:r>
      <w:r/>
    </w:p>
    <w:p>
      <w:pPr>
        <w:pStyle w:val="1133"/>
        <w:ind w:firstLine="480"/>
        <w:spacing w:line="480" w:lineRule="exact"/>
        <w:widowControl/>
        <w:rPr>
          <w:rFonts w:hint="default" w:ascii="宋体" w:hAnsi="宋体"/>
          <w:szCs w:val="24"/>
        </w:rPr>
      </w:pPr>
      <w:r>
        <w:rPr>
          <w:rFonts w:hint="default" w:ascii="宋体" w:hAnsi="宋体"/>
          <w:szCs w:val="24"/>
        </w:rPr>
        <w:t xml:space="preserve">设备进行违法停车检测时，镜头倍率为1倍，白天有效检测距离最大为150米，其他倍率下，白天有效检测距离最大为300米；支持违法停车抓拍功能，且白天和晚上违法停车捕获率、捕获有效率均大于99%；</w:t>
      </w:r>
      <w:r/>
    </w:p>
    <w:p>
      <w:pPr>
        <w:pStyle w:val="1133"/>
        <w:ind w:firstLine="480"/>
        <w:spacing w:line="480" w:lineRule="exact"/>
        <w:widowControl/>
        <w:rPr>
          <w:rFonts w:hint="default" w:ascii="宋体" w:hAnsi="宋体"/>
          <w:szCs w:val="24"/>
        </w:rPr>
      </w:pPr>
      <w:r>
        <w:rPr>
          <w:rFonts w:hint="default" w:ascii="宋体" w:hAnsi="宋体"/>
          <w:szCs w:val="24"/>
        </w:rPr>
        <w:t xml:space="preserve">可识别不低于300种车辆品牌，车辆品牌识别白天准确率大于99%，晚上准确率大于99%；</w:t>
      </w:r>
      <w:r/>
    </w:p>
    <w:p>
      <w:pPr>
        <w:pStyle w:val="1133"/>
        <w:ind w:firstLine="480"/>
        <w:spacing w:line="480" w:lineRule="exact"/>
        <w:widowControl/>
        <w:rPr>
          <w:rFonts w:hint="default" w:ascii="宋体" w:hAnsi="宋体"/>
          <w:szCs w:val="24"/>
        </w:rPr>
      </w:pPr>
      <w:r>
        <w:rPr>
          <w:rFonts w:hint="default" w:ascii="宋体" w:hAnsi="宋体"/>
          <w:szCs w:val="24"/>
        </w:rPr>
        <w:t xml:space="preserve">可识别不低于5000种车辆子品牌，车辆子品牌识别白天准确率大于99%，晚上准确率大于99%；</w:t>
      </w:r>
      <w:r/>
    </w:p>
    <w:p>
      <w:pPr>
        <w:pStyle w:val="1133"/>
        <w:ind w:firstLine="480"/>
        <w:spacing w:line="480" w:lineRule="exact"/>
        <w:widowControl/>
        <w:rPr>
          <w:rFonts w:hint="default" w:ascii="宋体" w:hAnsi="宋体"/>
          <w:szCs w:val="24"/>
        </w:rPr>
      </w:pPr>
      <w:r>
        <w:rPr>
          <w:rFonts w:hint="default" w:ascii="宋体" w:hAnsi="宋体"/>
          <w:szCs w:val="24"/>
        </w:rPr>
        <w:t xml:space="preserve">可识别15种车辆颜色，车辆车身颜色识别准确率大于99%；</w:t>
      </w:r>
      <w:r/>
    </w:p>
    <w:p>
      <w:pPr>
        <w:pStyle w:val="1133"/>
        <w:ind w:firstLine="480"/>
        <w:spacing w:line="480" w:lineRule="exact"/>
        <w:widowControl/>
        <w:rPr>
          <w:rFonts w:hint="default" w:ascii="宋体" w:hAnsi="宋体"/>
          <w:szCs w:val="24"/>
        </w:rPr>
      </w:pPr>
      <w:r>
        <w:rPr>
          <w:rFonts w:hint="default" w:ascii="宋体" w:hAnsi="宋体"/>
          <w:szCs w:val="24"/>
        </w:rPr>
        <w:t xml:space="preserve">可识别18种车型，包括两厢轿车、三厢轿车、微型轿车、SUV、MPV、大型货车、小型货车、皮卡车、面包车、大型客车、小型客车、集装箱卡车、微卡、栏板卡、渣土卡、油罐车、混凝土搅拌车、轿跑。车型识别白天准确率大于99%，晚上准确率大于99%；</w:t>
      </w:r>
      <w:r/>
    </w:p>
    <w:p>
      <w:pPr>
        <w:pStyle w:val="1133"/>
        <w:ind w:firstLine="480"/>
        <w:spacing w:line="480" w:lineRule="exact"/>
        <w:widowControl/>
        <w:rPr>
          <w:rFonts w:hint="default" w:ascii="宋体" w:hAnsi="宋体"/>
          <w:szCs w:val="24"/>
        </w:rPr>
      </w:pPr>
      <w:r>
        <w:rPr>
          <w:rFonts w:ascii="宋体" w:hAnsi="宋体"/>
          <w:szCs w:val="24"/>
        </w:rPr>
        <w:t xml:space="preserve">支持35114 A级加密；</w:t>
      </w:r>
      <w:r/>
    </w:p>
    <w:p>
      <w:pPr>
        <w:pStyle w:val="1133"/>
        <w:ind w:firstLine="480"/>
        <w:spacing w:line="480" w:lineRule="exact"/>
        <w:widowControl/>
        <w:rPr>
          <w:rFonts w:hint="default" w:ascii="宋体" w:hAnsi="宋体"/>
          <w:szCs w:val="24"/>
        </w:rPr>
      </w:pPr>
      <w:r>
        <w:rPr>
          <w:rFonts w:hint="default" w:ascii="宋体" w:hAnsi="宋体"/>
          <w:szCs w:val="24"/>
        </w:rPr>
        <w:t xml:space="preserve">支持DC36V或AC24V供电；</w:t>
      </w:r>
      <w:r/>
    </w:p>
    <w:p>
      <w:pPr>
        <w:pStyle w:val="1133"/>
        <w:ind w:firstLine="480"/>
        <w:spacing w:line="480" w:lineRule="exact"/>
        <w:widowControl/>
        <w:rPr>
          <w:rFonts w:hint="default" w:ascii="宋体" w:hAnsi="宋体"/>
          <w:szCs w:val="24"/>
        </w:rPr>
      </w:pPr>
      <w:r>
        <w:rPr>
          <w:rFonts w:hint="default" w:ascii="宋体" w:hAnsi="宋体"/>
          <w:szCs w:val="24"/>
        </w:rPr>
        <w:t xml:space="preserve">防护等级不低于IP67; 6000V 防雷、防浪涌、防突波，符合GB/T17626.2/3/4/5/6四级标准。</w:t>
      </w:r>
      <w:r/>
    </w:p>
    <w:p>
      <w:pPr>
        <w:ind w:firstLine="480"/>
        <w:spacing w:line="480" w:lineRule="exact"/>
        <w:tabs>
          <w:tab w:val="left" w:pos="0" w:leader="none"/>
        </w:tabs>
        <w:rPr>
          <w:rFonts w:ascii="宋体" w:hAnsi="宋体"/>
          <w:sz w:val="24"/>
          <w:szCs w:val="24"/>
        </w:rPr>
      </w:pPr>
      <w:r>
        <w:rPr>
          <w:rFonts w:hint="eastAsia" w:ascii="宋体" w:hAnsi="宋体" w:cs="宋体"/>
          <w:sz w:val="24"/>
          <w:szCs w:val="24"/>
          <w:lang w:bidi="ar"/>
        </w:rPr>
        <w:t xml:space="preserve">本项目采购设备采集的各类数据需无缝对接各类平台包括【大丰公安视频图象信息应用平台（抓拍数据汇聚至视图库），抓拍数据需同时实现交通违法综合管理应用平台、公安部集成指挥等平台深度应用】，并提供无缝对接承诺函加盖投标单位公章。</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LED频闪灯</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LED灯珠：16颗原装进口大功率暖光LED灯珠</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光照角度：15/25/40度常规，40度常规</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覆盖范围：单车道</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最的佳补光距离：16米～28米</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触发方式:同时支持电平量触发、开关量触发</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视频补光同步：支持</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抓拍补光同步：支持</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参数配置：支持，支持自闪、跟随、自动频闪（外部摄像机触发）模式</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频闪亮度调节：支持亮度可调，档位由相机随意调整</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环境亮度：相机控制        </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防护等级：IP66；</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▲防眩目功能：支持一键开启/关闭防眩目功能。（投标时须提供公安部检测报告原件扫描件证明并加盖投标单位公章）                                                                                                                                                                  </w:t>
      </w:r>
      <w:r>
        <w:rPr>
          <w:rFonts w:hint="eastAsia" w:ascii="宋体" w:hAnsi="宋体" w:cs="宋体"/>
          <w:sz w:val="24"/>
          <w:szCs w:val="24"/>
          <w:lang w:bidi="ar"/>
        </w:rPr>
        <w:t xml:space="preserve">                                                                                                                                                                                                                                                                </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▲相机控制功能：支持通过相机IO口调节补光灯亮度等级。（投标时须提供公安部检测报告原件扫描件证明并加盖投标单位公章）</w:t>
      </w:r>
      <w:r/>
    </w:p>
    <w:p>
      <w:pPr>
        <w:ind w:firstLine="480"/>
        <w:spacing w:line="480" w:lineRule="exact"/>
        <w:tabs>
          <w:tab w:val="left" w:pos="0" w:leader="none"/>
        </w:tabs>
        <w:rPr>
          <w:rFonts w:ascii="宋体" w:hAnsi="宋体"/>
          <w:sz w:val="24"/>
          <w:szCs w:val="24"/>
        </w:rPr>
      </w:pPr>
      <w:r>
        <w:rPr>
          <w:rFonts w:hint="eastAsia" w:ascii="宋体" w:hAnsi="宋体" w:cs="宋体"/>
          <w:sz w:val="24"/>
          <w:szCs w:val="24"/>
          <w:lang w:bidi="ar"/>
        </w:rPr>
        <w:t xml:space="preserve">★符合GA/T 1202-2022《交通技术监控成像补光装置通用技术条件》中的二级补光装置要求，（投标时须提供公安部检测报告原件扫描件证明并加盖投标单位公章）</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四合一环保爆闪灯</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光源：进口石英灯管+24颗进口原装CREE大功率LED灯珠双光源；            </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闪光指数：GN 73（ISO 100 1M）；</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闪光次数：≥2000万次；                                                                    </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色温：3500-6500K（夜晚红外补光）；</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照射距离：标配18-32m；</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日夜功能：支持环境亮度检测，根据亮度切换光源（白天爆闪补光，夜晚红外+LED补光）；</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触发输入：1路频闪触发输出，1路爆闪触发输入，1路转页触发输入；                   </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供电电源：AC180V-250V(50Hz）              </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工作环境温度：-40℃~+80℃；</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工作环境湿度：10%Rh～95%Rh;    </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光敏控制功能：支持通过RS485或RJ45接口远程调节光敏阈值，阈值多级可调。支持光敏阈值根据环境光照度自动适应调节。支持自适应亮灯，自适应熄灯。（投标时须提供招标前签发的符合GAT1202-2022标准的公安部权威机构检测报告原件扫描件加盖投标人公章）</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▲同步功能：支持与摄像机自适应同步。（投标时须提供招标前签发的符合GAT1202-2022标准的公安部权威机构检测报告原件扫描件加盖投标人公章）</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★符合GA/T 1202-2022《交通技术监控成像补光装置通用技术条件》，（投标时须提供公安部权威机构检测报告原件扫描件证明并加盖投标单位公章）；</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终端服务器（4T）</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支持12路IPC接入，支持新国标电警。</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支持区间测速功能。</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设备具有18个10M/100M/1000M自适应RJ45接口(其中P1~P16与G1处于同一网段、G2处于另一网段)、2个1000M SFP光口(分别与G1、G2处于同一网段)。</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可设置图片的存储空间，在规定的空间内自动循环覆盖，剩余空间为录像存储空间。</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对于在记录过程中出现的系统死机或意外故障，设备能够在规定的时间内自动恢复其正常工作状态并使故障前的信息不丢失。</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设备内的录像、图片文件无法直接删除或者修改，只能通过循环覆盖和硬盘格式化操作。</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支持数据直存，可将视频流直接写入存储；采用自动分段记录格式时，相邻两段间最大</w:t>
      </w:r>
      <w:r>
        <w:rPr>
          <w:rFonts w:hint="eastAsia" w:ascii="宋体" w:hAnsi="宋体"/>
          <w:sz w:val="24"/>
          <w:szCs w:val="24"/>
          <w:lang w:bidi="ar"/>
        </w:rPr>
        <w:t xml:space="preserve">记录间隔时间应≤0.4s；对于记录在存储介质上的视(音)频信息，取出的存储介质应能在向型号的其他设备上正常回放，以保证设备发生故障后记录资料的留存(或复制)。</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设备内的录像、图片文件无法直接删除或者修改，只能通过循环覆盖和硬盘格式化操作。</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设备具有不少于2个RS-232接口、2个RS-485接口、1个USB3.0接口、2路报警输入接口、2路报警输出接口、1个音频输入接口、1个音频输出接口、4个SATA接口、4个状态指示灯、1个接地端子、1个复位按键、1个GPS天线接口、1个4G全网通天线接口。</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最多可添加12路IP摄像机(单路码率10M)，进行录像与图片的实时预览和存储并可将IP摄像机的视频图像通过网络传输至客户端。</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支持4块3.5或2.5英寸硬盘接入，最大兼容6TB硬盘，设备至少内置1块4T硬盘。</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可显示系统已运行时间、主板温度、终端运行状态。</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可通过USB外接存储介质进行数据备份，备份数据类型、存储目录及文件命名可配置。</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支持对视频进行质量诊断并输出报警信息。</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可通过长按复位键恢复系统的出厂默认参数。</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工作温度-40℃～70℃、工作湿度10%～90%。</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满屏信号灯</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1、产品概述</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每套信号灯由红、黄、绿三个几何单元合并组成，灯体外壳颜色为黑色，底壳、前门盖、透光片及密封圈表面平滑,无缺料、开裂、银丝、变形和毛刺等缺陷，表面有牢固的防锈、防腐蚀层。前门盖和底壳采用蝴蝶扣式连接方式，方便徒手开启和关闭。</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2、产品特性</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.灯芯尺寸：392mm，三联体</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.外壳材料：ABS&amp;PC合金塑料</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.透明玻璃面罩：高透光率，阻燃，防紫外线</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.单灯发光强度：红灯≥697cd           </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                黄灯≥613cd        </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                绿灯≥701cd </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.LED光强：红色≥6000mcd</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黄色≥6000mcd</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绿色≥10000mcd</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.LED波长：红623±2nm；黄592±2nm；绿502±2nm</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.单灯功率：红、黄、绿均≤14W </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.以250g±0.5g的钢球从40cm的有效高度自由跌落，落点位于处于工作状态的信号灯面罩的中央。试验后，试样面罩不得碎裂，封接处不得有开裂等缺陷。</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夜间降光功能：以调幅或调相方式降低信号灯供电电源电压，当电压有效值不大于150V时，信号灯应能正常工作，发光单元基准轴上的发光强度应不小于150cd且不大于250cd，亮度应不小于1500cd/m2且不大于2500cd/m2。</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3、性能指标</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1)工作电压：AC220V±20%</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2）工作频率：50Hz±2Hz</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3）功率因数：≥0.91</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4）启动瞬间电流：≤1.2A</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5）启动响应时间：＜10ms</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6）关闭响应时间：＜85ms</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7）绝缘电阻：≥500MΩ</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8)介电强度：耐压1440VAC</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9)泄露电流：≤0.059mA</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10)接地电阻：≤0.1Ω</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11)电源类型：恒压电源</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12)LED电路形式：恒流驱动，单颗LED最大电流＜18mA</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13)工作温度：-40℃～+80℃</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14)湿热性能：温度为40℃时，空气相对湿度≤95％±2％</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15）外壳防护等级：IP55</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16）整灯寿命：超过10年</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17）抗振动、抗风压：＞145km/h</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18).执行标准：GB 14887-2011《道路交通信号灯》</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倒计时</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倒计时显示器是按照行业标准GA/T 508-2014 道路交通信号倒计时显示器的要求，应用自主研发、具有完全知识产权的发光组件技术，结合倒计时显示器的外壳实际使用要求实施开发并取得成功的新款道路交通信号倒计时显示器产品。该倒计时显示器外壳采用ABS&amp;PC合金塑料材料制作，内、外表面光洁、平整，无凹痕、划伤、裂缝、变形和毛刺等缺陷，转动部件活动灵活，紧固部件紧固。</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显示单元与倒计时器箱体连接紧密，无松动。显示单元由防水底壳、PC透光罩、橡皮圈、LED发光面板、控制板、开关电源、密封条等组成，单元密封性好，密封表面平整。</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较传统笔画段式倒计时显示器，单元式倒计时显示器密封性好，防水效果好，结构简单，笔画段和控制板之间连接点少，故障点少，便于维护。</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2.重量和尺寸</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倒计时器的尺寸和重量: </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型号 单字高 单字宽 字间距 笔画宽度 单套质量</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DX-3-T-1-ST802 487mm 261mm 137mm 35mm ＜12kg</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3. 结构性能</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倒计时器的箱体设计满足户外的使用条件，便于安装、使用和维护。</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倒计时器机箱门为双开门结构，开启方便，开启角度&gt;90°，机箱门关闭后无松动、变形。  </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4. 文字、图形和标志符号</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所有标志、文字、图形和符号清晰、醒目。</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5. 接线标志及说明</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接线端子组上的每个端子均依据信号类别进行标识，标识的详细含义在产品说明书中有说明。交流电源线、接地线均用规范的符号或文字标出。</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6. 安全标记</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倒计时器的接地端子有标记，AC220V 在其显著位置设置醒目的警告标志。</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7. 内部电气装置</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倒计时器内部的各种电气装置布局合理，便于安装维护，内部走线清晰、整齐，便于零部件的更换。</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8. 接线端子及导线</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接线端子安装牢固、连接可靠，在进行正常拆、接线操作时无松动。正确接线后在不借助工具的情况下不能将导线松开。</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倒计时器内部的导线有保护，使导线绝缘性不会被其他锐利部件损伤。线束均进行编扎，走线安排合理以便进行接、拆线操作时不会影响其它与该操作无关的线缆。</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倒计时器内部接线均使用线夹、电缆套等专用件，以保证接线的牢固性、及良好的接触性。</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9. 接地</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倒计时器内设置专门的接地端子,保护接地线使用专用绿/黄双色导线。</w:t>
      </w:r>
      <w:r/>
    </w:p>
    <w:p>
      <w:pPr>
        <w:numPr>
          <w:ilvl w:val="0"/>
          <w:numId w:val="6"/>
        </w:numPr>
        <w:ind w:firstLine="480"/>
        <w:spacing w:line="480" w:lineRule="exact"/>
        <w:tabs>
          <w:tab w:val="left" w:pos="0" w:leader="none"/>
          <w:tab w:val="clear" w:pos="312" w:leader="none"/>
        </w:tabs>
        <w:rPr>
          <w:rFonts w:ascii="宋体" w:hAnsi="宋体"/>
          <w:sz w:val="24"/>
          <w:szCs w:val="24"/>
          <w:lang w:bidi="ar"/>
        </w:rPr>
      </w:pPr>
      <w:r>
        <w:rPr>
          <w:rFonts w:hint="eastAsia" w:ascii="宋体" w:hAnsi="宋体"/>
          <w:sz w:val="24"/>
          <w:szCs w:val="24"/>
          <w:lang w:bidi="ar"/>
        </w:rPr>
        <w:t xml:space="preserve">工作方式(支持以下三种工作方式）</w:t>
      </w:r>
      <w:r/>
    </w:p>
    <w:p>
      <w:pPr>
        <w:numPr>
          <w:ilvl w:val="0"/>
          <w:numId w:val="6"/>
        </w:numPr>
        <w:ind w:firstLine="480"/>
        <w:spacing w:line="480" w:lineRule="exact"/>
        <w:tabs>
          <w:tab w:val="left" w:pos="0" w:leader="none"/>
          <w:tab w:val="clear" w:pos="312" w:leader="none"/>
        </w:tabs>
        <w:rPr>
          <w:rFonts w:ascii="宋体" w:hAnsi="宋体"/>
          <w:sz w:val="24"/>
          <w:szCs w:val="24"/>
          <w:lang w:bidi="ar"/>
        </w:rPr>
      </w:pPr>
      <w:r>
        <w:rPr>
          <w:rFonts w:hint="eastAsia" w:ascii="宋体" w:hAnsi="宋体"/>
          <w:sz w:val="24"/>
          <w:szCs w:val="24"/>
          <w:lang w:bidi="ar"/>
        </w:rPr>
        <w:t xml:space="preserve">（1）采用通讯方式控制的倒计时显示器</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a)  根据道路交通信号控制机的指令显示；</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b)  与道路交通信号控制机之间的通讯每秒进行一次</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c)  当通讯中断时， 或者道路交通信号控制机由自动控制转入手动控制时， 倒计时显示器应能在2 s内显示黑屏。</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（2）采用跟随方式控制的倒计时显示器</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a)  当道路交通信号控制机开机、 信号周期发生改变或者道路交通信号控制机由自动控制转入手动控制时，跟随方式倒计时显示器应进入跟随状态，跟随时间不超过 2 个信号周期；</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b)  跟随期间倒计时显示器应显示黑屏；</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c)  当道路交通信号控制机中断输出或转入黄闪控制后， 倒计时显示器应能在当前相位结束前显示黑屏；</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d)  当道路交通信号机输出信号相位提前结束时，倒计时显示器能在当前相位结束前显示黑屏；</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e)  当道路交通信号机输出信号相位时间延长时，倒计时显示器能逐秒递减显示 1 之后 0.1 s 内显示黑屏。</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（3）采用触发方式控制的倒计时显示器</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a)  道路交通信号控制机控制信号相位的特定灯驱闪灭一次作为触发信号输出， 倒计时显示器接收到触发信号后即开始定程显示；</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b)  有效触发信号持续时间范围应为 150 ms~300 ms；</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c)  定程显示时间采用事先设置或根据触发信号跟随的方式设定；</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d)  对事先设置定程显示时间的倒计时显示器， 能在收到第一次有效触发信号即开始正常计时并显示；</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e)  触发式倒计时显示器定程显示的跟随时间应不超过一个信号周期， 跟随期间倒计时显示器显示黑屏状态；</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f)  当道路交通信号控制机中断输出或转入黄闪控制后， 倒计时显示器能在当前相位结束前显示黑屏；</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g)  当道路交通信号机输出触发信号后信号相位提前结束时， 倒计时显示器能在当前信号相位结束前显示黑屏；</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h)  当道路交通信号机输出触发信号后信号相位时间延长时，倒计时显示器能逐秒递减显示 1之后 0.1 s 内显示黑屏。</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二、性能指标</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输入电压 : 176～264VAC</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电源频率 : 48～52Hz</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发光亮度：红色≥10172cd/㎡，黄色≥8270cd/㎡，绿色≥11447cd/㎡</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色度：符合GA/T 508-2014 道路交通信号倒计时显示器</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光源寿命：≥10万小时</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可视角度：≥30度</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可视距离：≥ 400m</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外壳防护等级：IP55</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耐温：-40℃～+80℃</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湿热性能：温度为40℃时，空气相对湿度≤95%±2％</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绝缘电阻：≥500MΩ</w:t>
      </w:r>
      <w:r/>
    </w:p>
    <w:p>
      <w:pPr>
        <w:ind w:firstLine="480"/>
        <w:spacing w:line="480" w:lineRule="exact"/>
        <w:tabs>
          <w:tab w:val="left" w:pos="0" w:leader="none"/>
        </w:tabs>
        <w:rPr>
          <w:rFonts w:ascii="宋体" w:hAnsi="宋体"/>
          <w:sz w:val="24"/>
          <w:szCs w:val="24"/>
          <w:lang w:bidi="ar"/>
        </w:rPr>
      </w:pPr>
      <w:r>
        <w:rPr>
          <w:rFonts w:hint="eastAsia" w:ascii="宋体" w:hAnsi="宋体"/>
          <w:sz w:val="24"/>
          <w:szCs w:val="24"/>
          <w:lang w:bidi="ar"/>
        </w:rPr>
        <w:t xml:space="preserve">抗振动：符合GA/T 508-2014 道路交通信号倒计时显示器</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立柱式信号灯</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【90度自适应一体化】</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90度一体化4.5米高，包括雷达、一体化箱体、90度双面安装，每面安装一组403信号</w:t>
      </w:r>
      <w:r>
        <w:rPr>
          <w:rFonts w:hint="eastAsia" w:ascii="宋体" w:hAnsi="宋体"/>
          <w:sz w:val="24"/>
          <w:szCs w:val="24"/>
        </w:rPr>
        <w:t xml:space="preserve">灯及一组LED显示屏（320*1600mm）、行人过街按钮。雷达检测到放行目标后本相位信号灯自动放行。</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功率：≤400W、电压范围：AC220V±20%</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详细技术规格：</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1、403满屏信号灯中间带倒计时</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1).灯芯尺寸：392mm，三联体 </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2).外壳材料：ABS&amp;PC合金塑料</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3).透明PC面罩或高强钢化玻璃：高透光率，阻燃，防紫外线</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4). 单灯功率：红、黄、绿均≤14W </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5).光学性能：红灯≥680cd       </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黄灯≥620cd        </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绿灯≥720cd   </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6).LED波长：红623±2nm；黄592±2nm；绿502±2nm</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7).启动瞬间电流：信号灯启动时的瞬间电流应小于1.2A。</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8).绝缘电阻：信号灯带电部件与壳体之间的绝缘电阻不应低于2MΩ</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9).泄漏电流：电源各级与信号灯壳体之间的泄露电流不应超过0.05mA</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10).单灯功率：红、黄、绿均≤14W </w:t>
      </w:r>
      <w:r/>
    </w:p>
    <w:p>
      <w:pPr>
        <w:ind w:firstLine="480"/>
        <w:spacing w:line="480" w:lineRule="exact"/>
        <w:tabs>
          <w:tab w:val="left" w:pos="0" w:leader="none"/>
        </w:tabs>
        <w:rPr>
          <w:rFonts w:ascii="宋体" w:hAnsi="宋体"/>
          <w:sz w:val="24"/>
          <w:szCs w:val="24"/>
        </w:rPr>
      </w:pPr>
      <w:r>
        <w:rPr>
          <w:rFonts w:ascii="宋体" w:hAnsi="宋体"/>
          <w:sz w:val="24"/>
          <w:szCs w:val="24"/>
        </w:rPr>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2、LED显示屏：</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支持通用显示及人工诱导显示两种发布模式，通过网络远程实时控制内容显示及预存内容显示，在通讯断开后显示预存内容；</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可通过控制中心软件进行节目编辑，可编辑显示警示标语、指路标志、宣传语等，在手动、特勤等特殊控制模式下不出现乱码及不同步现象；</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中心管理系统对路口可进行节目管理，系统后台服务可对路口节目进行轮询，实现特殊情况下的交通诱导控制。</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控制接口：RS485接口+网络接口（可接入中心管理平台）</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P10模组全彩户外SMT贴片封装，2R1G1B,静态恒流驱动方式；</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平均寿命：≥100000小时。</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显示单元具有防腐、防锈、防水、防尘的功能，防护等级不低于IP55标准。</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象素点间距误差≤ 0.5mm，不平整度≤ 1mm；</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最大功率小于300W每平方米，功率因数大于0.9。</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在额定电流时的法向发光强度：不小于单色 5000cd/m2。</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显示屏的对地漏电流应不超过3.5mA。</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3、雷达主要性能指标：</w:t>
      </w:r>
      <w:r/>
    </w:p>
    <w:tbl>
      <w:tblPr>
        <w:tblW w:w="792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4A0" w:firstRow="1" w:lastRow="0" w:firstColumn="1" w:lastColumn="0" w:noHBand="0" w:noVBand="1"/>
      </w:tblPr>
      <w:tblGrid>
        <w:gridCol w:w="3498"/>
        <w:gridCol w:w="4427"/>
      </w:tblGrid>
      <w:tr>
        <w:trPr>
          <w:jc w:val="center"/>
          <w:trHeight w:val="692"/>
        </w:trPr>
        <w:tc>
          <w:tcPr>
            <w:shd w:val="clear" w:color="auto" w:fill="f2f2f2"/>
            <w:tcW w:w="3498" w:type="dxa"/>
            <w:vAlign w:val="center"/>
            <w:textDirection w:val="lrTb"/>
            <w:noWrap w:val="false"/>
          </w:tcPr>
          <w:p>
            <w:pPr>
              <w:spacing w:line="480" w:lineRule="exact"/>
              <w:tabs>
                <w:tab w:val="left" w:pos="0" w:leader="none"/>
              </w:tabs>
              <w:rPr>
                <w:rFonts w:ascii="宋体" w:hAnsi="宋体"/>
                <w:sz w:val="24"/>
                <w:szCs w:val="24"/>
              </w:rPr>
            </w:pPr>
            <w:r>
              <w:rPr>
                <w:rFonts w:hint="eastAsia" w:ascii="宋体" w:hAnsi="宋体"/>
                <w:sz w:val="24"/>
                <w:szCs w:val="24"/>
              </w:rPr>
              <w:t xml:space="preserve">工作频率</w:t>
            </w:r>
            <w:r/>
          </w:p>
        </w:tc>
        <w:tc>
          <w:tcPr>
            <w:tcW w:w="4427" w:type="dxa"/>
            <w:vAlign w:val="center"/>
            <w:textDirection w:val="lrTb"/>
            <w:noWrap w:val="false"/>
          </w:tcPr>
          <w:p>
            <w:pPr>
              <w:spacing w:line="480" w:lineRule="exact"/>
              <w:tabs>
                <w:tab w:val="left" w:pos="0" w:leader="none"/>
              </w:tabs>
              <w:rPr>
                <w:rFonts w:ascii="宋体" w:hAnsi="宋体"/>
                <w:sz w:val="24"/>
                <w:szCs w:val="24"/>
              </w:rPr>
            </w:pPr>
            <w:r>
              <w:rPr>
                <w:rFonts w:hint="eastAsia" w:ascii="宋体" w:hAnsi="宋体"/>
                <w:sz w:val="24"/>
                <w:szCs w:val="24"/>
              </w:rPr>
              <w:t xml:space="preserve">80GHz</w:t>
            </w:r>
            <w:r/>
          </w:p>
        </w:tc>
      </w:tr>
      <w:tr>
        <w:trPr>
          <w:jc w:val="center"/>
          <w:trHeight w:val="692"/>
        </w:trPr>
        <w:tc>
          <w:tcPr>
            <w:shd w:val="clear" w:color="auto" w:fill="f2f2f2"/>
            <w:tcW w:w="3498" w:type="dxa"/>
            <w:vAlign w:val="center"/>
            <w:textDirection w:val="lrTb"/>
            <w:noWrap w:val="false"/>
          </w:tcPr>
          <w:p>
            <w:pPr>
              <w:spacing w:line="480" w:lineRule="exact"/>
              <w:tabs>
                <w:tab w:val="left" w:pos="0" w:leader="none"/>
              </w:tabs>
              <w:rPr>
                <w:rFonts w:ascii="宋体" w:hAnsi="宋体"/>
                <w:sz w:val="24"/>
                <w:szCs w:val="24"/>
              </w:rPr>
            </w:pPr>
            <w:r>
              <w:rPr>
                <w:rFonts w:hint="eastAsia" w:ascii="宋体" w:hAnsi="宋体"/>
                <w:sz w:val="24"/>
                <w:szCs w:val="24"/>
              </w:rPr>
              <w:t xml:space="preserve">数据刷新率</w:t>
            </w:r>
            <w:r/>
          </w:p>
        </w:tc>
        <w:tc>
          <w:tcPr>
            <w:tcW w:w="4427" w:type="dxa"/>
            <w:vAlign w:val="center"/>
            <w:textDirection w:val="lrTb"/>
            <w:noWrap w:val="false"/>
          </w:tcPr>
          <w:p>
            <w:pPr>
              <w:spacing w:line="480" w:lineRule="exact"/>
              <w:tabs>
                <w:tab w:val="left" w:pos="0" w:leader="none"/>
              </w:tabs>
              <w:rPr>
                <w:rFonts w:ascii="宋体" w:hAnsi="宋体"/>
                <w:sz w:val="24"/>
                <w:szCs w:val="24"/>
              </w:rPr>
            </w:pPr>
            <w:r>
              <w:rPr>
                <w:rFonts w:hint="eastAsia" w:ascii="宋体" w:hAnsi="宋体"/>
                <w:sz w:val="24"/>
                <w:szCs w:val="24"/>
              </w:rPr>
              <w:t xml:space="preserve">50ms(20Hz)</w:t>
            </w:r>
            <w:r/>
          </w:p>
        </w:tc>
      </w:tr>
      <w:tr>
        <w:trPr>
          <w:jc w:val="center"/>
          <w:trHeight w:val="692"/>
        </w:trPr>
        <w:tc>
          <w:tcPr>
            <w:shd w:val="clear" w:color="auto" w:fill="f2f2f2"/>
            <w:tcW w:w="3498" w:type="dxa"/>
            <w:vAlign w:val="center"/>
            <w:textDirection w:val="lrTb"/>
            <w:noWrap w:val="false"/>
          </w:tcPr>
          <w:p>
            <w:pPr>
              <w:spacing w:line="480" w:lineRule="exact"/>
              <w:tabs>
                <w:tab w:val="left" w:pos="0" w:leader="none"/>
              </w:tabs>
              <w:rPr>
                <w:rFonts w:ascii="宋体" w:hAnsi="宋体"/>
                <w:sz w:val="24"/>
                <w:szCs w:val="24"/>
              </w:rPr>
            </w:pPr>
            <w:r>
              <w:rPr>
                <w:rFonts w:hint="eastAsia" w:ascii="宋体" w:hAnsi="宋体"/>
                <w:sz w:val="24"/>
                <w:szCs w:val="24"/>
              </w:rPr>
              <w:t xml:space="preserve">距离</w:t>
            </w:r>
            <w:r/>
          </w:p>
        </w:tc>
        <w:tc>
          <w:tcPr>
            <w:tcW w:w="4427" w:type="dxa"/>
            <w:vAlign w:val="center"/>
            <w:textDirection w:val="lrTb"/>
            <w:noWrap w:val="false"/>
          </w:tcPr>
          <w:p>
            <w:pPr>
              <w:spacing w:line="480" w:lineRule="exact"/>
              <w:tabs>
                <w:tab w:val="left" w:pos="0" w:leader="none"/>
              </w:tabs>
              <w:rPr>
                <w:rFonts w:ascii="宋体" w:hAnsi="宋体"/>
                <w:sz w:val="24"/>
                <w:szCs w:val="24"/>
              </w:rPr>
            </w:pPr>
            <w:r>
              <w:rPr>
                <w:rFonts w:hint="eastAsia" w:ascii="宋体" w:hAnsi="宋体"/>
                <w:sz w:val="24"/>
                <w:szCs w:val="24"/>
              </w:rPr>
              <w:t xml:space="preserve">280米小车、400米大车</w:t>
            </w:r>
            <w:r/>
          </w:p>
        </w:tc>
      </w:tr>
      <w:tr>
        <w:trPr>
          <w:jc w:val="center"/>
          <w:trHeight w:val="402"/>
        </w:trPr>
        <w:tc>
          <w:tcPr>
            <w:shd w:val="clear" w:color="auto" w:fill="f2f2f2"/>
            <w:tcW w:w="3498" w:type="dxa"/>
            <w:vAlign w:val="center"/>
            <w:textDirection w:val="lrTb"/>
            <w:noWrap w:val="false"/>
          </w:tcPr>
          <w:p>
            <w:pPr>
              <w:spacing w:line="480" w:lineRule="exact"/>
              <w:tabs>
                <w:tab w:val="left" w:pos="0" w:leader="none"/>
              </w:tabs>
              <w:rPr>
                <w:rFonts w:ascii="宋体" w:hAnsi="宋体"/>
                <w:sz w:val="24"/>
                <w:szCs w:val="24"/>
              </w:rPr>
            </w:pPr>
            <w:r>
              <w:rPr>
                <w:rFonts w:hint="eastAsia" w:ascii="宋体" w:hAnsi="宋体"/>
                <w:sz w:val="24"/>
                <w:szCs w:val="24"/>
              </w:rPr>
              <w:t xml:space="preserve">最近距离</w:t>
            </w:r>
            <w:r/>
          </w:p>
        </w:tc>
        <w:tc>
          <w:tcPr>
            <w:tcW w:w="4427" w:type="dxa"/>
            <w:vAlign w:val="center"/>
            <w:textDirection w:val="lrTb"/>
            <w:noWrap w:val="false"/>
          </w:tcPr>
          <w:p>
            <w:pPr>
              <w:spacing w:line="480" w:lineRule="exact"/>
              <w:tabs>
                <w:tab w:val="left" w:pos="0" w:leader="none"/>
              </w:tabs>
              <w:rPr>
                <w:rFonts w:ascii="宋体" w:hAnsi="宋体"/>
                <w:sz w:val="24"/>
                <w:szCs w:val="24"/>
              </w:rPr>
            </w:pPr>
            <w:r>
              <w:rPr>
                <w:rFonts w:hint="eastAsia" w:ascii="宋体" w:hAnsi="宋体"/>
                <w:sz w:val="24"/>
                <w:szCs w:val="24"/>
              </w:rPr>
              <w:t xml:space="preserve">0.5m</w:t>
            </w:r>
            <w:r/>
          </w:p>
        </w:tc>
      </w:tr>
      <w:tr>
        <w:trPr>
          <w:jc w:val="center"/>
          <w:trHeight w:val="402"/>
        </w:trPr>
        <w:tc>
          <w:tcPr>
            <w:shd w:val="clear" w:color="auto" w:fill="f2f2f2"/>
            <w:tcW w:w="3498" w:type="dxa"/>
            <w:vAlign w:val="center"/>
            <w:textDirection w:val="lrTb"/>
            <w:noWrap w:val="false"/>
          </w:tcPr>
          <w:p>
            <w:pPr>
              <w:spacing w:line="480" w:lineRule="exact"/>
              <w:tabs>
                <w:tab w:val="left" w:pos="0" w:leader="none"/>
              </w:tabs>
              <w:rPr>
                <w:rFonts w:ascii="宋体" w:hAnsi="宋体"/>
                <w:sz w:val="24"/>
                <w:szCs w:val="24"/>
              </w:rPr>
            </w:pPr>
            <w:r>
              <w:rPr>
                <w:rFonts w:hint="eastAsia" w:ascii="宋体" w:hAnsi="宋体"/>
                <w:sz w:val="24"/>
                <w:szCs w:val="24"/>
              </w:rPr>
              <w:t xml:space="preserve">距离精度</w:t>
            </w:r>
            <w:r/>
          </w:p>
        </w:tc>
        <w:tc>
          <w:tcPr>
            <w:tcW w:w="4427" w:type="dxa"/>
            <w:vAlign w:val="center"/>
            <w:textDirection w:val="lrTb"/>
            <w:noWrap w:val="false"/>
          </w:tcPr>
          <w:p>
            <w:pPr>
              <w:spacing w:line="480" w:lineRule="exact"/>
              <w:tabs>
                <w:tab w:val="left" w:pos="0" w:leader="none"/>
              </w:tabs>
              <w:rPr>
                <w:rFonts w:ascii="宋体" w:hAnsi="宋体"/>
                <w:sz w:val="24"/>
                <w:szCs w:val="24"/>
              </w:rPr>
            </w:pPr>
            <w:r>
              <w:rPr>
                <w:rFonts w:hint="eastAsia" w:ascii="宋体" w:hAnsi="宋体"/>
                <w:sz w:val="24"/>
                <w:szCs w:val="24"/>
              </w:rPr>
              <w:t xml:space="preserve">±0.3m</w:t>
            </w:r>
            <w:r/>
          </w:p>
        </w:tc>
      </w:tr>
      <w:tr>
        <w:trPr>
          <w:jc w:val="center"/>
          <w:trHeight w:val="402"/>
        </w:trPr>
        <w:tc>
          <w:tcPr>
            <w:shd w:val="clear" w:color="auto" w:fill="f2f2f2"/>
            <w:tcW w:w="3498" w:type="dxa"/>
            <w:vAlign w:val="center"/>
            <w:textDirection w:val="lrTb"/>
            <w:noWrap w:val="false"/>
          </w:tcPr>
          <w:p>
            <w:pPr>
              <w:spacing w:line="480" w:lineRule="exact"/>
              <w:tabs>
                <w:tab w:val="left" w:pos="0" w:leader="none"/>
              </w:tabs>
              <w:rPr>
                <w:rFonts w:ascii="宋体" w:hAnsi="宋体"/>
                <w:sz w:val="24"/>
                <w:szCs w:val="24"/>
              </w:rPr>
            </w:pPr>
            <w:r>
              <w:rPr>
                <w:rFonts w:hint="eastAsia" w:ascii="宋体" w:hAnsi="宋体"/>
                <w:sz w:val="24"/>
                <w:szCs w:val="24"/>
              </w:rPr>
              <w:t xml:space="preserve">方位角度</w:t>
            </w:r>
            <w:r/>
          </w:p>
        </w:tc>
        <w:tc>
          <w:tcPr>
            <w:tcW w:w="4427" w:type="dxa"/>
            <w:vAlign w:val="center"/>
            <w:textDirection w:val="lrTb"/>
            <w:noWrap w:val="false"/>
          </w:tcPr>
          <w:p>
            <w:pPr>
              <w:spacing w:line="480" w:lineRule="exact"/>
              <w:tabs>
                <w:tab w:val="left" w:pos="0" w:leader="none"/>
              </w:tabs>
              <w:rPr>
                <w:rFonts w:ascii="宋体" w:hAnsi="宋体"/>
                <w:sz w:val="24"/>
                <w:szCs w:val="24"/>
              </w:rPr>
            </w:pPr>
            <w:r>
              <w:rPr>
                <w:rFonts w:hint="eastAsia" w:ascii="宋体" w:hAnsi="宋体"/>
                <w:sz w:val="24"/>
                <w:szCs w:val="24"/>
              </w:rPr>
              <w:t xml:space="preserve">±12.5°</w:t>
            </w:r>
            <w:r/>
          </w:p>
        </w:tc>
      </w:tr>
      <w:tr>
        <w:trPr>
          <w:jc w:val="center"/>
          <w:trHeight w:val="402"/>
        </w:trPr>
        <w:tc>
          <w:tcPr>
            <w:shd w:val="clear" w:color="auto" w:fill="f2f2f2"/>
            <w:tcW w:w="3498" w:type="dxa"/>
            <w:vAlign w:val="center"/>
            <w:textDirection w:val="lrTb"/>
            <w:noWrap w:val="false"/>
          </w:tcPr>
          <w:p>
            <w:pPr>
              <w:spacing w:line="480" w:lineRule="exact"/>
              <w:tabs>
                <w:tab w:val="left" w:pos="0" w:leader="none"/>
              </w:tabs>
              <w:rPr>
                <w:rFonts w:ascii="宋体" w:hAnsi="宋体"/>
                <w:sz w:val="24"/>
                <w:szCs w:val="24"/>
              </w:rPr>
            </w:pPr>
            <w:r>
              <w:rPr>
                <w:rFonts w:hint="eastAsia" w:ascii="宋体" w:hAnsi="宋体"/>
                <w:sz w:val="24"/>
                <w:szCs w:val="24"/>
              </w:rPr>
              <w:t xml:space="preserve">俯仰角度</w:t>
            </w:r>
            <w:r/>
          </w:p>
        </w:tc>
        <w:tc>
          <w:tcPr>
            <w:tcW w:w="4427" w:type="dxa"/>
            <w:vAlign w:val="center"/>
            <w:textDirection w:val="lrTb"/>
            <w:noWrap w:val="false"/>
          </w:tcPr>
          <w:p>
            <w:pPr>
              <w:spacing w:line="480" w:lineRule="exact"/>
              <w:tabs>
                <w:tab w:val="left" w:pos="0" w:leader="none"/>
              </w:tabs>
              <w:rPr>
                <w:rFonts w:ascii="宋体" w:hAnsi="宋体"/>
                <w:sz w:val="24"/>
                <w:szCs w:val="24"/>
              </w:rPr>
            </w:pPr>
            <w:r>
              <w:rPr>
                <w:rFonts w:hint="eastAsia" w:ascii="宋体" w:hAnsi="宋体"/>
                <w:sz w:val="24"/>
                <w:szCs w:val="24"/>
              </w:rPr>
              <w:t xml:space="preserve">±10°</w:t>
            </w:r>
            <w:r/>
          </w:p>
        </w:tc>
      </w:tr>
      <w:tr>
        <w:trPr>
          <w:jc w:val="center"/>
          <w:trHeight w:val="402"/>
        </w:trPr>
        <w:tc>
          <w:tcPr>
            <w:shd w:val="clear" w:color="auto" w:fill="f2f2f2"/>
            <w:tcW w:w="3498" w:type="dxa"/>
            <w:vAlign w:val="center"/>
            <w:textDirection w:val="lrTb"/>
            <w:noWrap w:val="false"/>
          </w:tcPr>
          <w:p>
            <w:pPr>
              <w:spacing w:line="480" w:lineRule="exact"/>
              <w:tabs>
                <w:tab w:val="left" w:pos="0" w:leader="none"/>
              </w:tabs>
              <w:rPr>
                <w:rFonts w:ascii="宋体" w:hAnsi="宋体"/>
                <w:sz w:val="24"/>
                <w:szCs w:val="24"/>
              </w:rPr>
            </w:pPr>
            <w:r>
              <w:rPr>
                <w:rFonts w:hint="eastAsia" w:ascii="宋体" w:hAnsi="宋体"/>
                <w:sz w:val="24"/>
                <w:szCs w:val="24"/>
              </w:rPr>
              <w:t xml:space="preserve">方位分辨率</w:t>
            </w:r>
            <w:r/>
          </w:p>
        </w:tc>
        <w:tc>
          <w:tcPr>
            <w:tcW w:w="4427" w:type="dxa"/>
            <w:vAlign w:val="center"/>
            <w:textDirection w:val="lrTb"/>
            <w:noWrap w:val="false"/>
          </w:tcPr>
          <w:p>
            <w:pPr>
              <w:spacing w:line="480" w:lineRule="exact"/>
              <w:tabs>
                <w:tab w:val="left" w:pos="0" w:leader="none"/>
              </w:tabs>
              <w:rPr>
                <w:rFonts w:ascii="宋体" w:hAnsi="宋体"/>
                <w:sz w:val="24"/>
                <w:szCs w:val="24"/>
              </w:rPr>
            </w:pPr>
            <w:r>
              <w:rPr>
                <w:rFonts w:hint="eastAsia" w:ascii="宋体" w:hAnsi="宋体"/>
                <w:sz w:val="24"/>
                <w:szCs w:val="24"/>
              </w:rPr>
              <w:t xml:space="preserve">1°</w:t>
            </w:r>
            <w:r/>
          </w:p>
        </w:tc>
      </w:tr>
      <w:tr>
        <w:trPr>
          <w:jc w:val="center"/>
          <w:trHeight w:val="402"/>
        </w:trPr>
        <w:tc>
          <w:tcPr>
            <w:shd w:val="clear" w:color="auto" w:fill="f2f2f2"/>
            <w:tcW w:w="3498" w:type="dxa"/>
            <w:vAlign w:val="center"/>
            <w:textDirection w:val="lrTb"/>
            <w:noWrap w:val="false"/>
          </w:tcPr>
          <w:p>
            <w:pPr>
              <w:spacing w:line="480" w:lineRule="exact"/>
              <w:tabs>
                <w:tab w:val="left" w:pos="0" w:leader="none"/>
              </w:tabs>
              <w:rPr>
                <w:rFonts w:ascii="宋体" w:hAnsi="宋体"/>
                <w:sz w:val="24"/>
                <w:szCs w:val="24"/>
              </w:rPr>
            </w:pPr>
            <w:r>
              <w:rPr>
                <w:rFonts w:hint="eastAsia" w:ascii="宋体" w:hAnsi="宋体"/>
                <w:sz w:val="24"/>
                <w:szCs w:val="24"/>
              </w:rPr>
              <w:t xml:space="preserve">探测相对速度</w:t>
            </w:r>
            <w:r/>
          </w:p>
        </w:tc>
        <w:tc>
          <w:tcPr>
            <w:tcW w:w="4427" w:type="dxa"/>
            <w:vAlign w:val="center"/>
            <w:textDirection w:val="lrTb"/>
            <w:noWrap w:val="false"/>
          </w:tcPr>
          <w:p>
            <w:pPr>
              <w:spacing w:line="480" w:lineRule="exact"/>
              <w:tabs>
                <w:tab w:val="left" w:pos="0" w:leader="none"/>
              </w:tabs>
              <w:rPr>
                <w:rFonts w:ascii="宋体" w:hAnsi="宋体"/>
                <w:sz w:val="24"/>
                <w:szCs w:val="24"/>
              </w:rPr>
            </w:pPr>
            <w:r>
              <w:rPr>
                <w:rFonts w:hint="eastAsia" w:ascii="宋体" w:hAnsi="宋体"/>
                <w:sz w:val="24"/>
                <w:szCs w:val="24"/>
              </w:rPr>
              <w:t xml:space="preserve">-250Km/h~250Km/h</w:t>
            </w:r>
            <w:r/>
          </w:p>
        </w:tc>
      </w:tr>
      <w:tr>
        <w:trPr>
          <w:jc w:val="center"/>
          <w:trHeight w:val="402"/>
        </w:trPr>
        <w:tc>
          <w:tcPr>
            <w:shd w:val="clear" w:color="auto" w:fill="f2f2f2"/>
            <w:tcW w:w="3498" w:type="dxa"/>
            <w:vAlign w:val="center"/>
            <w:textDirection w:val="lrTb"/>
            <w:noWrap w:val="false"/>
          </w:tcPr>
          <w:p>
            <w:pPr>
              <w:spacing w:line="480" w:lineRule="exact"/>
              <w:tabs>
                <w:tab w:val="left" w:pos="0" w:leader="none"/>
              </w:tabs>
              <w:rPr>
                <w:rFonts w:ascii="宋体" w:hAnsi="宋体"/>
                <w:sz w:val="24"/>
                <w:szCs w:val="24"/>
              </w:rPr>
            </w:pPr>
            <w:r>
              <w:rPr>
                <w:rFonts w:hint="eastAsia" w:ascii="宋体" w:hAnsi="宋体"/>
                <w:sz w:val="24"/>
                <w:szCs w:val="24"/>
              </w:rPr>
              <w:t xml:space="preserve">速度精度</w:t>
            </w:r>
            <w:r/>
          </w:p>
        </w:tc>
        <w:tc>
          <w:tcPr>
            <w:tcW w:w="4427" w:type="dxa"/>
            <w:vAlign w:val="center"/>
            <w:textDirection w:val="lrTb"/>
            <w:noWrap w:val="false"/>
          </w:tcPr>
          <w:p>
            <w:pPr>
              <w:spacing w:line="480" w:lineRule="exact"/>
              <w:tabs>
                <w:tab w:val="left" w:pos="0" w:leader="none"/>
              </w:tabs>
              <w:rPr>
                <w:rFonts w:ascii="宋体" w:hAnsi="宋体"/>
                <w:sz w:val="24"/>
                <w:szCs w:val="24"/>
              </w:rPr>
            </w:pPr>
            <w:r>
              <w:rPr>
                <w:rFonts w:hint="eastAsia" w:ascii="宋体" w:hAnsi="宋体"/>
                <w:sz w:val="24"/>
                <w:szCs w:val="24"/>
              </w:rPr>
              <w:t xml:space="preserve">±0.2Km/h</w:t>
            </w:r>
            <w:r/>
          </w:p>
        </w:tc>
      </w:tr>
      <w:tr>
        <w:trPr>
          <w:jc w:val="center"/>
          <w:trHeight w:val="402"/>
        </w:trPr>
        <w:tc>
          <w:tcPr>
            <w:shd w:val="clear" w:color="auto" w:fill="f2f2f2"/>
            <w:tcW w:w="3498" w:type="dxa"/>
            <w:vAlign w:val="center"/>
            <w:textDirection w:val="lrTb"/>
            <w:noWrap w:val="false"/>
          </w:tcPr>
          <w:p>
            <w:pPr>
              <w:spacing w:line="480" w:lineRule="exact"/>
              <w:tabs>
                <w:tab w:val="left" w:pos="0" w:leader="none"/>
              </w:tabs>
              <w:rPr>
                <w:rFonts w:ascii="宋体" w:hAnsi="宋体"/>
                <w:sz w:val="24"/>
                <w:szCs w:val="24"/>
              </w:rPr>
            </w:pPr>
            <w:r>
              <w:rPr>
                <w:rFonts w:hint="eastAsia" w:ascii="宋体" w:hAnsi="宋体"/>
                <w:sz w:val="24"/>
                <w:szCs w:val="24"/>
              </w:rPr>
              <w:t xml:space="preserve">最大探测目标数</w:t>
            </w:r>
            <w:r/>
          </w:p>
        </w:tc>
        <w:tc>
          <w:tcPr>
            <w:tcW w:w="4427" w:type="dxa"/>
            <w:vAlign w:val="center"/>
            <w:textDirection w:val="lrTb"/>
            <w:noWrap w:val="false"/>
          </w:tcPr>
          <w:p>
            <w:pPr>
              <w:spacing w:line="480" w:lineRule="exact"/>
              <w:tabs>
                <w:tab w:val="left" w:pos="0" w:leader="none"/>
              </w:tabs>
              <w:rPr>
                <w:rFonts w:ascii="宋体" w:hAnsi="宋体"/>
                <w:sz w:val="24"/>
                <w:szCs w:val="24"/>
              </w:rPr>
            </w:pPr>
            <w:r>
              <w:rPr>
                <w:rFonts w:hint="eastAsia" w:ascii="宋体" w:hAnsi="宋体"/>
                <w:sz w:val="24"/>
                <w:szCs w:val="24"/>
              </w:rPr>
              <w:t xml:space="preserve">≥256个</w:t>
            </w:r>
            <w:r/>
          </w:p>
        </w:tc>
      </w:tr>
      <w:tr>
        <w:trPr>
          <w:jc w:val="center"/>
          <w:trHeight w:val="402"/>
        </w:trPr>
        <w:tc>
          <w:tcPr>
            <w:shd w:val="clear" w:color="auto" w:fill="f2f2f2"/>
            <w:tcW w:w="3498" w:type="dxa"/>
            <w:vAlign w:val="center"/>
            <w:textDirection w:val="lrTb"/>
            <w:noWrap w:val="false"/>
          </w:tcPr>
          <w:p>
            <w:pPr>
              <w:spacing w:line="480" w:lineRule="exact"/>
              <w:tabs>
                <w:tab w:val="left" w:pos="0" w:leader="none"/>
              </w:tabs>
              <w:rPr>
                <w:rFonts w:ascii="宋体" w:hAnsi="宋体"/>
                <w:sz w:val="24"/>
                <w:szCs w:val="24"/>
              </w:rPr>
            </w:pPr>
            <w:r>
              <w:rPr>
                <w:rFonts w:hint="eastAsia" w:ascii="宋体" w:hAnsi="宋体"/>
                <w:sz w:val="24"/>
                <w:szCs w:val="24"/>
              </w:rPr>
              <w:t xml:space="preserve">输出接口</w:t>
            </w:r>
            <w:r/>
          </w:p>
        </w:tc>
        <w:tc>
          <w:tcPr>
            <w:tcW w:w="4427" w:type="dxa"/>
            <w:vAlign w:val="center"/>
            <w:textDirection w:val="lrTb"/>
            <w:noWrap w:val="false"/>
          </w:tcPr>
          <w:p>
            <w:pPr>
              <w:spacing w:line="480" w:lineRule="exact"/>
              <w:tabs>
                <w:tab w:val="left" w:pos="0" w:leader="none"/>
              </w:tabs>
              <w:rPr>
                <w:rFonts w:ascii="宋体" w:hAnsi="宋体"/>
                <w:sz w:val="24"/>
                <w:szCs w:val="24"/>
              </w:rPr>
            </w:pPr>
            <w:r>
              <w:rPr>
                <w:rFonts w:hint="eastAsia" w:ascii="宋体" w:hAnsi="宋体"/>
                <w:sz w:val="24"/>
                <w:szCs w:val="24"/>
              </w:rPr>
              <w:t xml:space="preserve">232 &amp; TTL</w:t>
            </w:r>
            <w:r/>
          </w:p>
        </w:tc>
      </w:tr>
      <w:tr>
        <w:trPr>
          <w:jc w:val="center"/>
          <w:trHeight w:val="402"/>
        </w:trPr>
        <w:tc>
          <w:tcPr>
            <w:shd w:val="clear" w:color="auto" w:fill="f2f2f2"/>
            <w:tcW w:w="3498" w:type="dxa"/>
            <w:vAlign w:val="center"/>
            <w:textDirection w:val="lrTb"/>
            <w:noWrap w:val="false"/>
          </w:tcPr>
          <w:p>
            <w:pPr>
              <w:spacing w:line="480" w:lineRule="exact"/>
              <w:tabs>
                <w:tab w:val="left" w:pos="0" w:leader="none"/>
              </w:tabs>
              <w:rPr>
                <w:rFonts w:ascii="宋体" w:hAnsi="宋体"/>
                <w:sz w:val="24"/>
                <w:szCs w:val="24"/>
              </w:rPr>
            </w:pPr>
            <w:r>
              <w:rPr>
                <w:rFonts w:hint="eastAsia" w:ascii="宋体" w:hAnsi="宋体"/>
                <w:sz w:val="24"/>
                <w:szCs w:val="24"/>
              </w:rPr>
              <w:t xml:space="preserve">平均功耗</w:t>
            </w:r>
            <w:r/>
          </w:p>
        </w:tc>
        <w:tc>
          <w:tcPr>
            <w:tcW w:w="4427" w:type="dxa"/>
            <w:vAlign w:val="center"/>
            <w:textDirection w:val="lrTb"/>
            <w:noWrap w:val="false"/>
          </w:tcPr>
          <w:p>
            <w:pPr>
              <w:spacing w:line="480" w:lineRule="exact"/>
              <w:tabs>
                <w:tab w:val="left" w:pos="0" w:leader="none"/>
              </w:tabs>
              <w:rPr>
                <w:rFonts w:ascii="宋体" w:hAnsi="宋体"/>
                <w:sz w:val="24"/>
                <w:szCs w:val="24"/>
              </w:rPr>
            </w:pPr>
            <w:r>
              <w:rPr>
                <w:rFonts w:hint="eastAsia" w:ascii="宋体" w:hAnsi="宋体"/>
                <w:sz w:val="24"/>
                <w:szCs w:val="24"/>
              </w:rPr>
              <w:t xml:space="preserve">≤2W</w:t>
            </w:r>
            <w:r/>
          </w:p>
        </w:tc>
      </w:tr>
      <w:tr>
        <w:trPr>
          <w:jc w:val="center"/>
          <w:trHeight w:val="402"/>
        </w:trPr>
        <w:tc>
          <w:tcPr>
            <w:shd w:val="clear" w:color="auto" w:fill="f2f2f2"/>
            <w:tcW w:w="3498" w:type="dxa"/>
            <w:vAlign w:val="center"/>
            <w:textDirection w:val="lrTb"/>
            <w:noWrap w:val="false"/>
          </w:tcPr>
          <w:p>
            <w:pPr>
              <w:spacing w:line="480" w:lineRule="exact"/>
              <w:tabs>
                <w:tab w:val="left" w:pos="0" w:leader="none"/>
              </w:tabs>
              <w:rPr>
                <w:rFonts w:ascii="宋体" w:hAnsi="宋体"/>
                <w:sz w:val="24"/>
                <w:szCs w:val="24"/>
              </w:rPr>
            </w:pPr>
            <w:r>
              <w:rPr>
                <w:rFonts w:hint="eastAsia" w:ascii="宋体" w:hAnsi="宋体"/>
                <w:sz w:val="24"/>
                <w:szCs w:val="24"/>
              </w:rPr>
              <w:t xml:space="preserve">温度</w:t>
            </w:r>
            <w:r/>
          </w:p>
        </w:tc>
        <w:tc>
          <w:tcPr>
            <w:tcW w:w="4427" w:type="dxa"/>
            <w:vAlign w:val="center"/>
            <w:textDirection w:val="lrTb"/>
            <w:noWrap w:val="false"/>
          </w:tcPr>
          <w:p>
            <w:pPr>
              <w:spacing w:line="480" w:lineRule="exact"/>
              <w:tabs>
                <w:tab w:val="left" w:pos="0" w:leader="none"/>
              </w:tabs>
              <w:rPr>
                <w:rFonts w:ascii="宋体" w:hAnsi="宋体"/>
                <w:sz w:val="24"/>
                <w:szCs w:val="24"/>
              </w:rPr>
            </w:pPr>
            <w:r>
              <w:rPr>
                <w:rFonts w:hint="eastAsia" w:ascii="宋体" w:hAnsi="宋体"/>
                <w:sz w:val="24"/>
                <w:szCs w:val="24"/>
              </w:rPr>
              <w:t xml:space="preserve">-40℃～+85℃</w:t>
            </w:r>
            <w:r/>
          </w:p>
        </w:tc>
      </w:tr>
      <w:tr>
        <w:trPr>
          <w:jc w:val="center"/>
          <w:trHeight w:val="402"/>
        </w:trPr>
        <w:tc>
          <w:tcPr>
            <w:shd w:val="clear" w:color="auto" w:fill="f2f2f2"/>
            <w:tcW w:w="3498" w:type="dxa"/>
            <w:vAlign w:val="center"/>
            <w:textDirection w:val="lrTb"/>
            <w:noWrap w:val="false"/>
          </w:tcPr>
          <w:p>
            <w:pPr>
              <w:spacing w:line="480" w:lineRule="exact"/>
              <w:tabs>
                <w:tab w:val="left" w:pos="0" w:leader="none"/>
              </w:tabs>
              <w:rPr>
                <w:rFonts w:ascii="宋体" w:hAnsi="宋体"/>
                <w:sz w:val="24"/>
                <w:szCs w:val="24"/>
              </w:rPr>
            </w:pPr>
            <w:r>
              <w:rPr>
                <w:rFonts w:hint="eastAsia" w:ascii="宋体" w:hAnsi="宋体"/>
                <w:sz w:val="24"/>
                <w:szCs w:val="24"/>
              </w:rPr>
              <w:t xml:space="preserve">供电</w:t>
            </w:r>
            <w:r/>
          </w:p>
        </w:tc>
        <w:tc>
          <w:tcPr>
            <w:tcW w:w="4427" w:type="dxa"/>
            <w:vAlign w:val="center"/>
            <w:textDirection w:val="lrTb"/>
            <w:noWrap w:val="false"/>
          </w:tcPr>
          <w:p>
            <w:pPr>
              <w:spacing w:line="480" w:lineRule="exact"/>
              <w:tabs>
                <w:tab w:val="left" w:pos="0" w:leader="none"/>
              </w:tabs>
              <w:rPr>
                <w:rFonts w:ascii="宋体" w:hAnsi="宋体"/>
                <w:sz w:val="24"/>
                <w:szCs w:val="24"/>
              </w:rPr>
            </w:pPr>
            <w:r>
              <w:rPr>
                <w:rFonts w:hint="eastAsia" w:ascii="宋体" w:hAnsi="宋体"/>
                <w:sz w:val="24"/>
                <w:szCs w:val="24"/>
              </w:rPr>
              <w:t xml:space="preserve">9～36V</w:t>
            </w:r>
            <w:r/>
          </w:p>
        </w:tc>
      </w:tr>
    </w:tbl>
    <w:p>
      <w:pPr>
        <w:ind w:firstLine="480"/>
        <w:spacing w:line="480" w:lineRule="exact"/>
        <w:tabs>
          <w:tab w:val="left" w:pos="0" w:leader="none"/>
        </w:tabs>
        <w:rPr>
          <w:rFonts w:ascii="宋体" w:hAnsi="宋体"/>
          <w:sz w:val="24"/>
          <w:szCs w:val="24"/>
        </w:rPr>
      </w:pPr>
      <w:r>
        <w:rPr>
          <w:rFonts w:ascii="宋体" w:hAnsi="宋体"/>
          <w:sz w:val="24"/>
          <w:szCs w:val="24"/>
        </w:rPr>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微波检测器采用二维主动扫描式雷达微波检测技术，微波信号沿发射方向可靠地检测道路上每一车道的目标。</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检测器应能进行大区域检测，沿来车方向每个车道能检测机动车不低于400米远。微波车辆检测器能同时检测横向40米不低于10个车道，同时识别及跟踪不低于256个目标对象。</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检测器支持静态和动态排队长度检测功能，可通过上位机软件输出排队长度、队首队尾车辆位置、排队车辆数，可根据需求设置动态排队条件参数值。       </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检测器可检测经过各车道虚拟线圈上经过的车辆的存在信息，可通过上位机软件显示车辆进入时的驶入信号、车辆离开时的驶离信号，车辆处于静止状态时可持续稳定保持存在信号。支持静态目标、来向逆行、去向逆行、范围屏蔽、目标合并跟踪、排队等算法开启和关闭；                                                  </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防护等级达到IP67</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行人过街按钮</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行人过街按钮主要安装在行人过街需求不均衡且车流量较大的路段或丁字路口上。没有行人过街的时候，信号控制器会自动延长机动车绿灯信号时间，让机动车顺畅通过;有行人要通过时，按下按钮“预约”绿灯，信号控制器根据实时车流量和行人过街需求调整信号灯配时来放行行人，两侧的车辆则会被红灯指示停车等待。这样就科学地实现了人车双赢。该产品采用高强度压铸铝外壳和高品质零部件，防尘、防水效果好，使用寿命长。</w:t>
      </w:r>
      <w:r/>
    </w:p>
    <w:p>
      <w:pPr>
        <w:ind w:firstLine="480"/>
        <w:spacing w:line="480" w:lineRule="exact"/>
        <w:tabs>
          <w:tab w:val="left" w:pos="0" w:leader="none"/>
        </w:tabs>
        <w:rPr>
          <w:rFonts w:ascii="宋体" w:hAnsi="宋体"/>
          <w:sz w:val="24"/>
          <w:szCs w:val="24"/>
        </w:rPr>
      </w:pPr>
      <w:r>
        <w:rPr>
          <w:rFonts w:ascii="宋体" w:hAnsi="宋体"/>
          <w:sz w:val="24"/>
          <w:szCs w:val="24"/>
        </w:rPr>
        <w:t xml:space="preserve">技术指标:</w:t>
      </w:r>
      <w:r/>
    </w:p>
    <w:p>
      <w:pPr>
        <w:ind w:firstLine="480"/>
        <w:spacing w:line="480" w:lineRule="exact"/>
        <w:tabs>
          <w:tab w:val="left" w:pos="0" w:leader="none"/>
        </w:tabs>
        <w:rPr>
          <w:rFonts w:ascii="宋体" w:hAnsi="宋体"/>
          <w:sz w:val="24"/>
          <w:szCs w:val="24"/>
        </w:rPr>
      </w:pPr>
      <w:r>
        <w:rPr>
          <w:rFonts w:ascii="宋体" w:hAnsi="宋体"/>
          <w:sz w:val="24"/>
          <w:szCs w:val="24"/>
        </w:rPr>
        <w:t xml:space="preserve">控制方式:机械开关</w:t>
      </w:r>
      <w:r/>
    </w:p>
    <w:p>
      <w:pPr>
        <w:ind w:firstLine="480"/>
        <w:spacing w:line="480" w:lineRule="exact"/>
        <w:tabs>
          <w:tab w:val="left" w:pos="0" w:leader="none"/>
        </w:tabs>
        <w:rPr>
          <w:rFonts w:ascii="宋体" w:hAnsi="宋体"/>
          <w:sz w:val="24"/>
          <w:szCs w:val="24"/>
        </w:rPr>
      </w:pPr>
      <w:r>
        <w:rPr>
          <w:rFonts w:ascii="宋体" w:hAnsi="宋体"/>
          <w:sz w:val="24"/>
          <w:szCs w:val="24"/>
        </w:rPr>
        <w:t xml:space="preserve">工作温度:-40°C~+80C</w:t>
      </w:r>
      <w:r/>
    </w:p>
    <w:p>
      <w:pPr>
        <w:ind w:firstLine="480"/>
        <w:spacing w:line="480" w:lineRule="exact"/>
        <w:tabs>
          <w:tab w:val="left" w:pos="0" w:leader="none"/>
        </w:tabs>
        <w:rPr>
          <w:rFonts w:ascii="宋体" w:hAnsi="宋体"/>
          <w:sz w:val="24"/>
          <w:szCs w:val="24"/>
        </w:rPr>
      </w:pPr>
      <w:r>
        <w:rPr>
          <w:rFonts w:ascii="宋体" w:hAnsi="宋体"/>
          <w:sz w:val="24"/>
          <w:szCs w:val="24"/>
        </w:rPr>
        <w:t xml:space="preserve">湿热性能:温度为40℃时，空气相对湿度≤95%+2%</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4.5米一体化</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定制钣金一体化人行灯高4.5米。基础法兰350*500-14mm厚，螺栓孔中心距360(255*255)mm-4个 24x50mm 腰孔,M20 地脚螺栓,灯具面对应法兰大面杆件喷塑白色。灯杆嵌入式安装一组塑壳403满屏灯上红色满屏，中黄色满屏加双色倒计时，下绿色满屏。前面配一组全彩 P10,320*1600mm 显示屏。支持中心联网编辑。</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一体式人行灯-侧发光</w:t>
      </w:r>
      <w:r/>
    </w:p>
    <w:p>
      <w:pPr>
        <w:ind w:firstLine="480"/>
        <w:spacing w:line="480" w:lineRule="exact"/>
        <w:tabs>
          <w:tab w:val="left" w:pos="0" w:leader="none"/>
        </w:tabs>
        <w:rPr>
          <w:rFonts w:ascii="宋体" w:hAnsi="宋体"/>
          <w:sz w:val="24"/>
          <w:szCs w:val="24"/>
        </w:rPr>
      </w:pPr>
      <w:r>
        <w:rPr>
          <w:rFonts w:ascii="宋体" w:hAnsi="宋体"/>
          <w:sz w:val="24"/>
          <w:szCs w:val="24"/>
        </w:rPr>
        <w:t xml:space="preserve">行人灯符合国标GB14887-2011并通过公安部交通安全产品质量监督检测中心检测；</w:t>
      </w:r>
      <w:r/>
    </w:p>
    <w:p>
      <w:pPr>
        <w:ind w:firstLine="480"/>
        <w:spacing w:line="480" w:lineRule="exact"/>
        <w:tabs>
          <w:tab w:val="left" w:pos="0" w:leader="none"/>
        </w:tabs>
        <w:rPr>
          <w:rFonts w:ascii="宋体" w:hAnsi="宋体"/>
          <w:sz w:val="24"/>
          <w:szCs w:val="24"/>
        </w:rPr>
      </w:pPr>
      <w:r>
        <w:rPr>
          <w:rFonts w:ascii="宋体" w:hAnsi="宋体"/>
          <w:sz w:val="24"/>
          <w:szCs w:val="24"/>
        </w:rPr>
        <w:t xml:space="preserve">屏体接入信号控制中心，可通过中心编辑显示文字，颜色与行人灯同色同步。一体化灯侧向增加倒计时排，可显示本向或对向的时间倒计时排，增加路口行人过街视角宽度。</w:t>
      </w:r>
      <w:r/>
    </w:p>
    <w:p>
      <w:pPr>
        <w:ind w:firstLine="480"/>
        <w:spacing w:line="480" w:lineRule="exact"/>
        <w:tabs>
          <w:tab w:val="left" w:pos="0" w:leader="none"/>
        </w:tabs>
        <w:rPr>
          <w:rFonts w:ascii="宋体" w:hAnsi="宋体"/>
          <w:sz w:val="24"/>
          <w:szCs w:val="24"/>
        </w:rPr>
      </w:pPr>
      <w:r>
        <w:rPr>
          <w:rFonts w:ascii="宋体" w:hAnsi="宋体"/>
          <w:sz w:val="24"/>
          <w:szCs w:val="24"/>
        </w:rPr>
        <w:t xml:space="preserve">1.</w:t>
      </w:r>
      <w:r>
        <w:rPr>
          <w:rFonts w:ascii="宋体" w:hAnsi="宋体"/>
          <w:sz w:val="24"/>
          <w:szCs w:val="24"/>
        </w:rPr>
        <w:tab/>
        <w:t xml:space="preserve">显示画面：国标红人、绿人，可编辑字幕显示屏，立柱侧发光倒计时排，立柱式一体化设计；</w:t>
      </w:r>
      <w:r/>
    </w:p>
    <w:p>
      <w:pPr>
        <w:ind w:firstLine="480"/>
        <w:spacing w:line="480" w:lineRule="exact"/>
        <w:tabs>
          <w:tab w:val="left" w:pos="0" w:leader="none"/>
        </w:tabs>
        <w:rPr>
          <w:rFonts w:ascii="宋体" w:hAnsi="宋体"/>
          <w:sz w:val="24"/>
          <w:szCs w:val="24"/>
        </w:rPr>
      </w:pPr>
      <w:r>
        <w:rPr>
          <w:rFonts w:ascii="宋体" w:hAnsi="宋体"/>
          <w:sz w:val="24"/>
          <w:szCs w:val="24"/>
        </w:rPr>
        <w:t xml:space="preserve">2.</w:t>
      </w:r>
      <w:r>
        <w:rPr>
          <w:rFonts w:ascii="宋体" w:hAnsi="宋体"/>
          <w:sz w:val="24"/>
          <w:szCs w:val="24"/>
        </w:rPr>
        <w:tab/>
        <w:t xml:space="preserve">灯面直径：φ300 mm，发光单元采用超高亮度发光二极管；</w:t>
      </w:r>
      <w:r/>
    </w:p>
    <w:p>
      <w:pPr>
        <w:ind w:firstLine="480"/>
        <w:spacing w:line="480" w:lineRule="exact"/>
        <w:tabs>
          <w:tab w:val="left" w:pos="0" w:leader="none"/>
        </w:tabs>
        <w:rPr>
          <w:rFonts w:ascii="宋体" w:hAnsi="宋体"/>
          <w:sz w:val="24"/>
          <w:szCs w:val="24"/>
        </w:rPr>
      </w:pPr>
      <w:r>
        <w:rPr>
          <w:rFonts w:ascii="宋体" w:hAnsi="宋体"/>
          <w:sz w:val="24"/>
          <w:szCs w:val="24"/>
        </w:rPr>
        <w:t xml:space="preserve">3.</w:t>
      </w:r>
      <w:r>
        <w:rPr>
          <w:rFonts w:ascii="宋体" w:hAnsi="宋体"/>
          <w:sz w:val="24"/>
          <w:szCs w:val="24"/>
        </w:rPr>
        <w:tab/>
        <w:t xml:space="preserve">立柱显示屏，采用P8双基色全户外屏体设计，显示像素：32*192，顶端倒9秒显示倒计时读秒，和行人灯同色同步；显示屏字幕颜色与行人灯灯色同步显示，绿灯时显示绿色提示语，红灯时显示红色提示语，提示语可通过中心软件编辑，根据需要更改显示内容。</w:t>
      </w:r>
      <w:r/>
    </w:p>
    <w:p>
      <w:pPr>
        <w:ind w:firstLine="480"/>
        <w:spacing w:line="480" w:lineRule="exact"/>
        <w:tabs>
          <w:tab w:val="left" w:pos="0" w:leader="none"/>
        </w:tabs>
        <w:rPr>
          <w:rFonts w:ascii="宋体" w:hAnsi="宋体"/>
          <w:sz w:val="24"/>
          <w:szCs w:val="24"/>
        </w:rPr>
      </w:pPr>
      <w:r>
        <w:rPr>
          <w:rFonts w:ascii="宋体" w:hAnsi="宋体"/>
          <w:sz w:val="24"/>
          <w:szCs w:val="24"/>
        </w:rPr>
        <w:t xml:space="preserve">4.</w:t>
      </w:r>
      <w:r>
        <w:rPr>
          <w:rFonts w:ascii="宋体" w:hAnsi="宋体"/>
          <w:sz w:val="24"/>
          <w:szCs w:val="24"/>
        </w:rPr>
        <w:tab/>
        <w:t xml:space="preserve">立柱侧面安装倒计时灯带，采用高亮红、黄、绿LED发光管，每排LED不少于三颗，支持学习、通讯、触动等控制模式，可设置和本相或对向行人灯倒计时同步倒计递减显示；</w:t>
      </w:r>
      <w:r/>
    </w:p>
    <w:p>
      <w:pPr>
        <w:ind w:firstLine="480"/>
        <w:spacing w:line="480" w:lineRule="exact"/>
        <w:tabs>
          <w:tab w:val="left" w:pos="0" w:leader="none"/>
        </w:tabs>
        <w:rPr>
          <w:rFonts w:ascii="宋体" w:hAnsi="宋体"/>
          <w:sz w:val="24"/>
          <w:szCs w:val="24"/>
        </w:rPr>
      </w:pPr>
      <w:r>
        <w:rPr>
          <w:rFonts w:ascii="宋体" w:hAnsi="宋体"/>
          <w:sz w:val="24"/>
          <w:szCs w:val="24"/>
        </w:rPr>
        <w:t xml:space="preserve">5.</w:t>
      </w:r>
      <w:r>
        <w:rPr>
          <w:rFonts w:ascii="宋体" w:hAnsi="宋体"/>
          <w:sz w:val="24"/>
          <w:szCs w:val="24"/>
        </w:rPr>
        <w:tab/>
        <w:t xml:space="preserve">行人灯灯形式：一体化国标两联结构。  </w:t>
      </w:r>
      <w:r/>
    </w:p>
    <w:p>
      <w:pPr>
        <w:ind w:firstLine="480"/>
        <w:spacing w:line="480" w:lineRule="exact"/>
        <w:tabs>
          <w:tab w:val="left" w:pos="0" w:leader="none"/>
        </w:tabs>
        <w:rPr>
          <w:rFonts w:ascii="宋体" w:hAnsi="宋体"/>
          <w:sz w:val="24"/>
          <w:szCs w:val="24"/>
        </w:rPr>
      </w:pPr>
      <w:r>
        <w:rPr>
          <w:rFonts w:ascii="宋体" w:hAnsi="宋体"/>
          <w:sz w:val="24"/>
          <w:szCs w:val="24"/>
        </w:rPr>
        <w:t xml:space="preserve">6.</w:t>
      </w:r>
      <w:r>
        <w:rPr>
          <w:rFonts w:ascii="宋体" w:hAnsi="宋体"/>
          <w:sz w:val="24"/>
          <w:szCs w:val="24"/>
        </w:rPr>
        <w:tab/>
        <w:t xml:space="preserve">整体和发光单元有文字清晰的铭牌，壳体防护等级大于IP53。</w:t>
      </w:r>
      <w:r/>
    </w:p>
    <w:p>
      <w:pPr>
        <w:ind w:firstLine="480"/>
        <w:spacing w:line="480" w:lineRule="exact"/>
        <w:tabs>
          <w:tab w:val="left" w:pos="0" w:leader="none"/>
        </w:tabs>
        <w:rPr>
          <w:rFonts w:ascii="宋体" w:hAnsi="宋体"/>
          <w:sz w:val="24"/>
          <w:szCs w:val="24"/>
        </w:rPr>
      </w:pPr>
      <w:r>
        <w:rPr>
          <w:rFonts w:ascii="宋体" w:hAnsi="宋体"/>
          <w:sz w:val="24"/>
          <w:szCs w:val="24"/>
        </w:rPr>
        <w:t xml:space="preserve">7.</w:t>
      </w:r>
      <w:r>
        <w:rPr>
          <w:rFonts w:ascii="宋体" w:hAnsi="宋体"/>
          <w:sz w:val="24"/>
          <w:szCs w:val="24"/>
        </w:rPr>
        <w:tab/>
        <w:t xml:space="preserve">信号灯壳体表面经喷塑处理，外观完整、光洁、无开裂、银丝等缺陷。</w:t>
      </w:r>
      <w:r/>
    </w:p>
    <w:p>
      <w:pPr>
        <w:ind w:firstLine="480"/>
        <w:spacing w:line="480" w:lineRule="exact"/>
        <w:tabs>
          <w:tab w:val="left" w:pos="0" w:leader="none"/>
        </w:tabs>
        <w:rPr>
          <w:rFonts w:ascii="宋体" w:hAnsi="宋体"/>
          <w:sz w:val="24"/>
          <w:szCs w:val="24"/>
        </w:rPr>
      </w:pPr>
      <w:r>
        <w:rPr>
          <w:rFonts w:ascii="宋体" w:hAnsi="宋体"/>
          <w:sz w:val="24"/>
          <w:szCs w:val="24"/>
        </w:rPr>
        <w:t xml:space="preserve">8.</w:t>
      </w:r>
      <w:r>
        <w:rPr>
          <w:rFonts w:ascii="宋体" w:hAnsi="宋体"/>
          <w:sz w:val="24"/>
          <w:szCs w:val="24"/>
        </w:rPr>
        <w:tab/>
        <w:t xml:space="preserve">信号灯发光单元采用圆形结构，全密封设计，除了信号灯引线外，所有电气部件应密封在专用信号灯托盘内，保证在壳体轻微损坏变形条件下仍具有良好的防护性能。</w:t>
      </w:r>
      <w:r/>
    </w:p>
    <w:p>
      <w:pPr>
        <w:ind w:firstLine="480"/>
        <w:spacing w:line="480" w:lineRule="exact"/>
        <w:tabs>
          <w:tab w:val="left" w:pos="0" w:leader="none"/>
        </w:tabs>
        <w:rPr>
          <w:rFonts w:ascii="宋体" w:hAnsi="宋体"/>
          <w:sz w:val="24"/>
          <w:szCs w:val="24"/>
        </w:rPr>
      </w:pPr>
      <w:r>
        <w:rPr>
          <w:rFonts w:ascii="宋体" w:hAnsi="宋体"/>
          <w:sz w:val="24"/>
          <w:szCs w:val="24"/>
        </w:rPr>
        <w:t xml:space="preserve">9.</w:t>
      </w:r>
      <w:r>
        <w:rPr>
          <w:rFonts w:ascii="宋体" w:hAnsi="宋体"/>
          <w:sz w:val="24"/>
          <w:szCs w:val="24"/>
        </w:rPr>
        <w:tab/>
        <w:t xml:space="preserve">所有安装螺丝要求采用不锈钢螺丝，保证长时间室外使用不锈蚀；</w:t>
      </w:r>
      <w:r/>
    </w:p>
    <w:p>
      <w:pPr>
        <w:ind w:firstLine="480"/>
        <w:spacing w:line="480" w:lineRule="exact"/>
        <w:tabs>
          <w:tab w:val="left" w:pos="0" w:leader="none"/>
        </w:tabs>
        <w:rPr>
          <w:rFonts w:ascii="宋体" w:hAnsi="宋体"/>
          <w:sz w:val="24"/>
          <w:szCs w:val="24"/>
        </w:rPr>
      </w:pPr>
      <w:r>
        <w:rPr>
          <w:rFonts w:ascii="宋体" w:hAnsi="宋体"/>
          <w:sz w:val="24"/>
          <w:szCs w:val="24"/>
        </w:rPr>
        <w:t xml:space="preserve">10.</w:t>
      </w:r>
      <w:r>
        <w:rPr>
          <w:rFonts w:ascii="宋体" w:hAnsi="宋体"/>
          <w:sz w:val="24"/>
          <w:szCs w:val="24"/>
        </w:rPr>
        <w:tab/>
        <w:t xml:space="preserve">为了便于信号灯的维护，每个信号灯单元的电源部分为独立部件，统一接口，所有信号灯单元采用统一的电源，不同单元之间的电源部件能够互换；</w:t>
      </w:r>
      <w:r/>
    </w:p>
    <w:p>
      <w:pPr>
        <w:ind w:firstLine="480"/>
        <w:spacing w:line="480" w:lineRule="exact"/>
        <w:tabs>
          <w:tab w:val="left" w:pos="0" w:leader="none"/>
        </w:tabs>
        <w:rPr>
          <w:rFonts w:ascii="宋体" w:hAnsi="宋体"/>
          <w:sz w:val="24"/>
          <w:szCs w:val="24"/>
        </w:rPr>
      </w:pPr>
      <w:r>
        <w:rPr>
          <w:rFonts w:ascii="宋体" w:hAnsi="宋体"/>
          <w:sz w:val="24"/>
          <w:szCs w:val="24"/>
        </w:rPr>
        <w:t xml:space="preserve">11.</w:t>
      </w:r>
      <w:r>
        <w:rPr>
          <w:rFonts w:ascii="宋体" w:hAnsi="宋体"/>
          <w:sz w:val="24"/>
          <w:szCs w:val="24"/>
        </w:rPr>
        <w:tab/>
        <w:t xml:space="preserve">光源寿命：≥10万小时；</w:t>
      </w:r>
      <w:r/>
    </w:p>
    <w:p>
      <w:pPr>
        <w:ind w:firstLine="480"/>
        <w:spacing w:line="480" w:lineRule="exact"/>
        <w:tabs>
          <w:tab w:val="left" w:pos="0" w:leader="none"/>
        </w:tabs>
        <w:rPr>
          <w:rFonts w:ascii="宋体" w:hAnsi="宋体"/>
          <w:sz w:val="24"/>
          <w:szCs w:val="24"/>
        </w:rPr>
      </w:pPr>
      <w:r>
        <w:rPr>
          <w:rFonts w:ascii="宋体" w:hAnsi="宋体"/>
          <w:sz w:val="24"/>
          <w:szCs w:val="24"/>
        </w:rPr>
        <w:t xml:space="preserve">12.</w:t>
      </w:r>
      <w:r>
        <w:rPr>
          <w:rFonts w:ascii="宋体" w:hAnsi="宋体"/>
          <w:sz w:val="24"/>
          <w:szCs w:val="24"/>
        </w:rPr>
        <w:tab/>
        <w:t xml:space="preserve">工作温度：－40℃～+80℃；</w:t>
      </w:r>
      <w:r/>
    </w:p>
    <w:p>
      <w:pPr>
        <w:ind w:firstLine="480"/>
        <w:spacing w:line="480" w:lineRule="exact"/>
        <w:tabs>
          <w:tab w:val="left" w:pos="0" w:leader="none"/>
        </w:tabs>
        <w:rPr>
          <w:rFonts w:ascii="宋体" w:hAnsi="宋体"/>
          <w:sz w:val="24"/>
          <w:szCs w:val="24"/>
        </w:rPr>
      </w:pPr>
      <w:r>
        <w:rPr>
          <w:rFonts w:ascii="宋体" w:hAnsi="宋体"/>
          <w:sz w:val="24"/>
          <w:szCs w:val="24"/>
        </w:rPr>
        <w:t xml:space="preserve">13.</w:t>
      </w:r>
      <w:r>
        <w:rPr>
          <w:rFonts w:ascii="宋体" w:hAnsi="宋体"/>
          <w:sz w:val="24"/>
          <w:szCs w:val="24"/>
        </w:rPr>
        <w:tab/>
        <w:t xml:space="preserve">工作湿度：＜90％rh；</w:t>
      </w:r>
      <w:r/>
    </w:p>
    <w:p>
      <w:pPr>
        <w:ind w:firstLine="480"/>
        <w:spacing w:line="480" w:lineRule="exact"/>
        <w:tabs>
          <w:tab w:val="left" w:pos="0" w:leader="none"/>
        </w:tabs>
        <w:rPr>
          <w:rFonts w:ascii="宋体" w:hAnsi="宋体"/>
          <w:sz w:val="24"/>
          <w:szCs w:val="24"/>
        </w:rPr>
      </w:pPr>
      <w:r>
        <w:rPr>
          <w:rFonts w:ascii="宋体" w:hAnsi="宋体"/>
          <w:sz w:val="24"/>
          <w:szCs w:val="24"/>
        </w:rPr>
        <w:t xml:space="preserve">14.绝缘电阻：≥500MΩ。</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交通信号主机</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★能够无缝接入大丰区交警大队现有信号控制系统平台。（投标人提供对接平台承诺函，格式自拟）</w:t>
      </w:r>
      <w:r/>
    </w:p>
    <w:p>
      <w:pPr>
        <w:ind w:firstLine="480"/>
        <w:spacing w:line="480" w:lineRule="exact"/>
        <w:tabs>
          <w:tab w:val="left" w:pos="0" w:leader="none"/>
        </w:tabs>
        <w:rPr>
          <w:rFonts w:ascii="宋体" w:hAnsi="宋体"/>
          <w:sz w:val="24"/>
          <w:szCs w:val="24"/>
        </w:rPr>
      </w:pPr>
      <w:r>
        <w:rPr>
          <w:rFonts w:hint="eastAsia" w:ascii="宋体" w:hAnsi="宋体" w:cs="宋体"/>
          <w:sz w:val="24"/>
          <w:szCs w:val="24"/>
          <w:lang w:bidi="ar"/>
        </w:rPr>
        <w:t xml:space="preserve">▲</w:t>
      </w:r>
      <w:r>
        <w:rPr>
          <w:rFonts w:hint="eastAsia" w:ascii="宋体" w:hAnsi="宋体"/>
          <w:sz w:val="24"/>
          <w:szCs w:val="24"/>
        </w:rPr>
        <w:t xml:space="preserve">交通信号控制机须符合《道路交通信号控制机》（GB25280-2016）国家强制标准的相应要求，且耐温等级为A级。（投标人提供承诺函，格式自拟）</w:t>
      </w:r>
      <w:r/>
    </w:p>
    <w:p>
      <w:pPr>
        <w:ind w:firstLine="480"/>
        <w:spacing w:line="480" w:lineRule="exact"/>
        <w:tabs>
          <w:tab w:val="left" w:pos="0" w:leader="none"/>
        </w:tabs>
        <w:rPr>
          <w:rFonts w:ascii="宋体" w:hAnsi="宋体"/>
          <w:sz w:val="24"/>
          <w:szCs w:val="24"/>
        </w:rPr>
      </w:pPr>
      <w:r>
        <w:rPr>
          <w:rFonts w:hint="eastAsia" w:ascii="宋体" w:hAnsi="宋体" w:cs="宋体"/>
          <w:sz w:val="24"/>
          <w:szCs w:val="24"/>
          <w:lang w:bidi="ar"/>
        </w:rPr>
        <w:t xml:space="preserve">▲</w:t>
      </w:r>
      <w:r>
        <w:rPr>
          <w:rFonts w:hint="eastAsia" w:ascii="宋体" w:hAnsi="宋体"/>
          <w:sz w:val="24"/>
          <w:szCs w:val="24"/>
        </w:rPr>
        <w:t xml:space="preserve">信号机与上位机间的通讯协议符合《GB/T20999-2017交通信号控制机与上位机间的数据通信协议》标准要求，符合度达到100%。（投标人提供承诺函，格式自拟）</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信号机采用嵌入式架构设计，为集中协调式联网信号机，模块化程度高，可积木式扩展；操作系统采用嵌入式 Linux系统，稳定可靠；采用工业级触摸屏显示界面，可实现全图形化操作；</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信号机组成要求</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信号机需主要由外箱机柜、4U控制插箱（含工业级触摸屏操作面板）、接线端子、手动面板、配电开关、黄闪控制器等组成。整机全模块化（插件单元）设计，使系统的硬件配置可大可小，而且机器的维修被简化为功能模块的现场快速代换。</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机柜箱体材质为钢板。内机箱需采用铝合金材料，表面防锈蚀氧化拉丝处理，外机柜采用高强度钢板，表面喷塑处理，完全适合全天候的户外运行。全封闭增强型机箱设计，有防雨、防潮、防尘、防震能力。机柜内部采用机架式安装方式，机柜箱门具有存放A4版面资料的存储盒，机柜与箱门接合处具有导水槽。机柜采用前后双开门，柜门采用内嵌式结构，具有防撬功能。</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信号机主要功能要求</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多种控制功能</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要求信号机具备多种控制功能，包括：多时段控制功能、单点自适应功能、全感应和半感应控制功能、手动控制、行人过街触发功能、公交车辆优先控制功能、车载特勤控制功能、绿波协调控制功能、线协调控制功能、区域协调控制功能等。</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要求信号控制实行平滑过渡策略，可半程显示倒计时器、可设置无跳变，可以保证系统通讯通、断、工作方式切换时，交叉口信号平滑过渡，保证倒计时显示器准确显示（每秒一次）而不跳相位。</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交通流信息采集功能</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可以与开关量、RS232串行通讯方式作为输出的车辆检测器接口，完成交通流信息采集功能；</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可自定义采集间隔，数据可以在本地保存，及向上传入中心数据库。</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系统控制参数的设定、修改和查询</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系统数据包括：时基调度表、时段表、方案表、阶段表、相位表、通道表、公共参数等等。可对各种系统参数进行设定、修改和查询。并同时完成操作正确性检查和数据正确性检查。</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人机对话功能</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可通过前面板的工业级触摸屏或笔记本电脑（或手机、平板电脑等）设置和查询方案，提供全中文操作人机界面，实现信号机的参数设定与查询，提供全中文操作人机界面，实现</w:t>
      </w:r>
      <w:r>
        <w:rPr>
          <w:rFonts w:hint="eastAsia" w:ascii="宋体" w:hAnsi="宋体"/>
          <w:sz w:val="24"/>
          <w:szCs w:val="24"/>
        </w:rPr>
        <w:t xml:space="preserve">信号机的参数设定与查询。</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完善的故障检测功能</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具有绿冲突故障检测，信号灯组所有红灯熄灭故障检测，信号灯工作电压、工信电流检测，通讯故障检测等功能。</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系统故障保护功能</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在设定的故障条件下，或系统严重故障（如电源故障，控制主机故障，绿冲突等）时，或信号机维护保养时，信号机自动启动配套的硬件黄闪控制器以实现黄闪功能，确保路口通行安全。</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对因网络设备、网卡故障、网络环路的原因容易造成网络瘫痪，从而导致信号机运行不能正常运行，影响路口交通安全时。要求信号机具备在网络瘫痪的情况下正常运行，不黄闪的功能。</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过电压保护</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灯具驱动输出具备过载、短路、电压电流快速上升保护功能。在供电电压超过AC280V时，系统自动断电保护。</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数据本地存储</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信号机本地储存1个月以上的交通数据，具备断电情况下的数据保存功能，实现无电池供电情况下永久保存。</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8.</w:t>
      </w:r>
      <w:r>
        <w:rPr>
          <w:rFonts w:hint="eastAsia" w:ascii="宋体" w:hAnsi="宋体"/>
          <w:sz w:val="24"/>
          <w:szCs w:val="24"/>
        </w:rPr>
        <w:tab/>
        <w:t xml:space="preserve">方案自动生成功能</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信号机具备方案自动生成功能，可在基础方案配置的基础上，根据路口检测器信息计算自动生成多时段顶周期方案，并依据流量自动规划时段，生成时段方案、周期、绿信比时间。</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9.</w:t>
      </w:r>
      <w:r>
        <w:rPr>
          <w:rFonts w:hint="eastAsia" w:ascii="宋体" w:hAnsi="宋体"/>
          <w:sz w:val="24"/>
          <w:szCs w:val="24"/>
        </w:rPr>
        <w:tab/>
        <w:t xml:space="preserve">手动指定相位放行功能</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通过手动控制面板选择相应的相位编号，转换至手动指定相位。</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10.  支持宽压启动</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信号机供电电压小于150V时，且工作一个小时后，信号机各项功能均正常。</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主要技术指标</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产品设计</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硬件采用嵌入式架构设计，模块化程度高，可积木式扩展；</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操作系统采用嵌入式 Linux系统，稳定可靠；</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采用工业级触摸屏，全图形化操作；</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机械性能</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外壳防护等级：IP54</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使用电源</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电压：单相 AC220V±20% 50Hz±2Hz</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无负载功耗：20W</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输入输出接口</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信号灯输出：48路，可扩展至96路，可控硅输出,单路驱动能力AC220V/5A；</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车辆检测输入：标准配置可连接24个车辆检测器，可扩展至48个，支持线圈、视频、微波、地磁等车辆检测器，干触点或OC晶体管输出；</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通讯接口：标准EIA电平RS232接口：3个，波特率：1200bps—115200 bps；RS485电平信号接口：1个，用于倒计时器通讯，通讯协议满足GA/T508-2004；可支持8路输出，自定义通讯协议时，最大可支持32路输出；固定周期时支持通讯时和学习式全程/半程显示倒计时显示器，实时自适应模式下支持半程倒计时。</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网络接口：1个，10M/100M自适应；</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GPS接口：1个，可接收GPS授时（选配件）；</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光纤收发器</w:t>
      </w:r>
      <w:r/>
    </w:p>
    <w:p>
      <w:pPr>
        <w:ind w:firstLine="480"/>
        <w:spacing w:line="480" w:lineRule="exact"/>
        <w:tabs>
          <w:tab w:val="left" w:pos="0" w:leader="none"/>
        </w:tabs>
        <w:rPr>
          <w:rFonts w:ascii="宋体" w:hAnsi="宋体"/>
          <w:sz w:val="24"/>
          <w:szCs w:val="24"/>
        </w:rPr>
      </w:pPr>
      <w:r>
        <w:rPr>
          <w:rFonts w:hint="eastAsia" w:ascii="宋体" w:hAnsi="宋体" w:cs="宋体"/>
          <w:sz w:val="24"/>
          <w:szCs w:val="24"/>
          <w:lang w:bidi="ar"/>
        </w:rPr>
        <w:t xml:space="preserve">千兆，提供不低于1个1000M自适应电接口和1个FX光接口，有效传输距离大于20KM</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工业级交换机千M</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至少具备8个千兆电口, 支持12~55V DC供电；</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抗震抗摔压铸铝合金外壳，耐腐蚀耐氧化永不生锈，防护等级不低于IP40, 具备IP40防护等级认证报告；</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采用防松动螺丝紧固式端子式电源接头；</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背板带宽不小于24Gbps，适用于需要高流量低延时业务；</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运行温度：-40度到75度； </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抱杆箱</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体规格尺寸：高530*宽400*深250MM，板材厚度≥1.2MM；柜体采用防晒、隔热顶盖；采取导流槽、胶垫等密封措施，防止雨雪、水和萤虫进入柜体内部。外壳密封性能符合 GB/T </w:t>
      </w:r>
      <w:r>
        <w:rPr>
          <w:rFonts w:hint="eastAsia" w:ascii="宋体" w:hAnsi="宋体" w:cs="宋体"/>
          <w:sz w:val="24"/>
          <w:szCs w:val="24"/>
          <w:lang w:bidi="ar"/>
        </w:rPr>
        <w:t xml:space="preserve">4208 的规定，柜门采用静音轴承合叶铰链。柜体电源接线端子与机柜之间的绝缘电阻在正常状态下不小于 100MΩ，在 20℃相对湿度 5%RH～95%RH 状态下不小于 2MΩ。西安门需要做加强筋固定，保证箱体的防撬、防盗，机箱内部设计强弱电分离线槽，确保线路安全。</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电子式自动重合闸保护器；额定电流；10-16A可选；漏流动作电流；30mA；漏电不动作电流；15mA漏流动作时间：≤0.1s合闸前具有检测功能。具备过流短路保护、欠压/过压保护、漏电保护、故障记忆、合闸前检测、自动重控制功能。</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▲外壳防护等级符合IP65；工作温度-55°~ +85°设备可正常工作；设备具有盐雾告警功能且通过盐雾检测，盐雾环境：浓度：（5±0.1)%,温度：（35±2）℃；喷雾时间：每隔45min喷雾15min,共96h；盐雾沉降量：1.0ml/h.80cm²-2.0ml/h.80cm²，试验后样板表面无黄斑且不生锈。</w:t>
      </w:r>
      <w:r>
        <w:rPr>
          <w:rFonts w:ascii="宋体" w:hAnsi="宋体"/>
          <w:sz w:val="24"/>
          <w:szCs w:val="24"/>
        </w:rPr>
        <w:t xml:space="preserve">（提供公安部</w:t>
      </w:r>
      <w:r>
        <w:rPr>
          <w:rFonts w:hint="eastAsia" w:ascii="宋体" w:hAnsi="宋体"/>
          <w:sz w:val="24"/>
          <w:szCs w:val="24"/>
        </w:rPr>
        <w:t xml:space="preserve">权威机构</w:t>
      </w:r>
      <w:r>
        <w:rPr>
          <w:rFonts w:ascii="宋体" w:hAnsi="宋体"/>
          <w:sz w:val="24"/>
          <w:szCs w:val="24"/>
        </w:rPr>
        <w:t xml:space="preserve">检验报告</w:t>
      </w:r>
      <w:r>
        <w:rPr>
          <w:rFonts w:hint="eastAsia" w:ascii="宋体" w:hAnsi="宋体"/>
          <w:sz w:val="24"/>
          <w:szCs w:val="24"/>
        </w:rPr>
        <w:t xml:space="preserve">原件或扫描件</w:t>
      </w:r>
      <w:r>
        <w:rPr>
          <w:rFonts w:ascii="宋体" w:hAnsi="宋体"/>
          <w:sz w:val="24"/>
          <w:szCs w:val="24"/>
        </w:rPr>
        <w:t xml:space="preserve">，并加盖</w:t>
      </w:r>
      <w:r>
        <w:rPr>
          <w:rFonts w:hint="eastAsia" w:ascii="宋体" w:hAnsi="宋体"/>
          <w:sz w:val="24"/>
          <w:szCs w:val="24"/>
        </w:rPr>
        <w:t xml:space="preserve">投标人</w:t>
      </w:r>
      <w:r>
        <w:rPr>
          <w:rFonts w:ascii="宋体" w:hAnsi="宋体"/>
          <w:sz w:val="24"/>
          <w:szCs w:val="24"/>
        </w:rPr>
        <w:t xml:space="preserve">公章）</w:t>
      </w:r>
      <w:r/>
    </w:p>
    <w:p>
      <w:pPr>
        <w:ind w:firstLine="480"/>
        <w:spacing w:line="480" w:lineRule="exact"/>
        <w:tabs>
          <w:tab w:val="left" w:pos="0" w:leader="none"/>
        </w:tabs>
        <w:rPr>
          <w:rFonts w:ascii="宋体" w:hAnsi="宋体"/>
          <w:sz w:val="24"/>
          <w:szCs w:val="24"/>
        </w:rPr>
      </w:pPr>
      <w:r>
        <w:rPr>
          <w:rFonts w:hint="eastAsia" w:ascii="宋体" w:hAnsi="宋体" w:cs="宋体"/>
          <w:sz w:val="24"/>
          <w:szCs w:val="24"/>
          <w:lang w:bidi="ar"/>
        </w:rPr>
        <w:t xml:space="preserve">箱体具备交流 220V 电源防雷和网络接口防雷两种防雷功能，标配 1 路交流电源防雷器交流电源防雷：Uc:385VAC 、In:20kA、Imax:40kA、Up: ≤1.7KV；内置1个32A空开，不少于5个五口国标插座，一个温控风扇。 </w:t>
      </w:r>
      <w:r/>
    </w:p>
    <w:p>
      <w:pPr>
        <w:ind w:firstLine="480"/>
        <w:spacing w:line="480" w:lineRule="exact"/>
        <w:rPr>
          <w:rFonts w:ascii="宋体" w:hAnsi="宋体"/>
          <w:sz w:val="24"/>
          <w:szCs w:val="24"/>
        </w:rPr>
      </w:pPr>
      <w:r>
        <w:rPr>
          <w:rFonts w:ascii="宋体" w:hAnsi="宋体"/>
          <w:sz w:val="24"/>
          <w:szCs w:val="24"/>
        </w:rPr>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落地机柜</w:t>
      </w:r>
      <w:r/>
    </w:p>
    <w:p>
      <w:pPr>
        <w:ind w:firstLine="480"/>
        <w:spacing w:line="480" w:lineRule="exact"/>
        <w:tabs>
          <w:tab w:val="left" w:pos="0" w:leader="none"/>
        </w:tabs>
        <w:rPr>
          <w:rFonts w:ascii="宋体" w:hAnsi="宋体"/>
          <w:sz w:val="24"/>
          <w:szCs w:val="24"/>
        </w:rPr>
      </w:pPr>
      <w:r>
        <w:rPr>
          <w:rFonts w:ascii="宋体" w:hAnsi="宋体"/>
          <w:sz w:val="24"/>
          <w:szCs w:val="24"/>
        </w:rPr>
        <w:t xml:space="preserve">箱体采用热镀锌板材质，板材厚度≥1.5mm，箱体 尺寸：高度（≥1200mm)、宽度（≥650mm)、深度（≥550mm）, 底座不低于100mm高度，两侧开百叶窗通风口配防虫网保护，箱体喷防腐蚀防锈漆，内部标准19英寸机架式设计，前后双开门方式，箱门设计天地锁防撬功能；</w:t>
      </w:r>
      <w:r/>
    </w:p>
    <w:p>
      <w:pPr>
        <w:ind w:firstLine="480"/>
        <w:spacing w:line="480" w:lineRule="exact"/>
        <w:tabs>
          <w:tab w:val="left" w:pos="0" w:leader="none"/>
        </w:tabs>
        <w:rPr>
          <w:rFonts w:ascii="宋体" w:hAnsi="宋体"/>
          <w:sz w:val="24"/>
          <w:szCs w:val="24"/>
        </w:rPr>
      </w:pPr>
      <w:r>
        <w:rPr>
          <w:rFonts w:ascii="宋体" w:hAnsi="宋体"/>
          <w:sz w:val="24"/>
          <w:szCs w:val="24"/>
        </w:rPr>
        <w:t xml:space="preserve">电子式自动重合闸保护器；额定电流32A；漏流动作电流；30mA；漏电不动作电流；15mA漏流动作时间：≤0.1s合闸前具有检测功能。具备过流短路保护、欠压/过压保护、漏电保护、故障记忆、合闸前检测、自动重控制功能。</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w:t>
      </w:r>
      <w:r>
        <w:rPr>
          <w:rFonts w:ascii="宋体" w:hAnsi="宋体"/>
          <w:sz w:val="24"/>
          <w:szCs w:val="24"/>
        </w:rPr>
        <w:t xml:space="preserve">外壳防护等级符合IP65；工作温度-55°~ +85°设备可正常工作；设备具有盐雾告警功能且通过盐雾检测，盐雾环境：浓度：（5±0.1)%,温度：（35±2）℃；喷雾时间：每隔45min喷雾15min,共96h；盐雾沉降量：1.0ml/h.80cm²-2.0ml/h.80cm²，试验后样板表面无黄斑且不生锈。（提供公安部</w:t>
      </w:r>
      <w:r>
        <w:rPr>
          <w:rFonts w:hint="eastAsia" w:ascii="宋体" w:hAnsi="宋体"/>
          <w:sz w:val="24"/>
          <w:szCs w:val="24"/>
        </w:rPr>
        <w:t xml:space="preserve">权威机构</w:t>
      </w:r>
      <w:r>
        <w:rPr>
          <w:rFonts w:ascii="宋体" w:hAnsi="宋体"/>
          <w:sz w:val="24"/>
          <w:szCs w:val="24"/>
        </w:rPr>
        <w:t xml:space="preserve">检验报告</w:t>
      </w:r>
      <w:r>
        <w:rPr>
          <w:rFonts w:hint="eastAsia" w:ascii="宋体" w:hAnsi="宋体"/>
          <w:sz w:val="24"/>
          <w:szCs w:val="24"/>
        </w:rPr>
        <w:t xml:space="preserve">原件或扫描件</w:t>
      </w:r>
      <w:r>
        <w:rPr>
          <w:rFonts w:ascii="宋体" w:hAnsi="宋体"/>
          <w:sz w:val="24"/>
          <w:szCs w:val="24"/>
        </w:rPr>
        <w:t xml:space="preserve">，并加盖</w:t>
      </w:r>
      <w:r>
        <w:rPr>
          <w:rFonts w:hint="eastAsia" w:ascii="宋体" w:hAnsi="宋体"/>
          <w:sz w:val="24"/>
          <w:szCs w:val="24"/>
        </w:rPr>
        <w:t xml:space="preserve">投标人</w:t>
      </w:r>
      <w:r>
        <w:rPr>
          <w:rFonts w:ascii="宋体" w:hAnsi="宋体"/>
          <w:sz w:val="24"/>
          <w:szCs w:val="24"/>
        </w:rPr>
        <w:t xml:space="preserve">公章）</w:t>
      </w:r>
      <w:r/>
    </w:p>
    <w:p>
      <w:pPr>
        <w:ind w:firstLine="480"/>
        <w:spacing w:line="480" w:lineRule="exact"/>
        <w:tabs>
          <w:tab w:val="left" w:pos="0" w:leader="none"/>
        </w:tabs>
        <w:rPr>
          <w:rFonts w:ascii="宋体" w:hAnsi="宋体"/>
          <w:sz w:val="24"/>
          <w:szCs w:val="24"/>
        </w:rPr>
      </w:pPr>
      <w:r>
        <w:rPr>
          <w:rFonts w:ascii="宋体" w:hAnsi="宋体"/>
          <w:sz w:val="24"/>
          <w:szCs w:val="24"/>
        </w:rPr>
        <w:t xml:space="preserve">箱体具备交流 220V 电源防雷和网络接口防雷两种防雷功能，标配 1 路交流电源防雷器交流电源防雷：Uc:385VAC 、In:20kA、Imax:40kA、Up: ≤1.7KV；</w:t>
      </w:r>
      <w:r/>
    </w:p>
    <w:p>
      <w:pPr>
        <w:ind w:firstLine="480"/>
        <w:spacing w:line="480" w:lineRule="exact"/>
        <w:tabs>
          <w:tab w:val="left" w:pos="0" w:leader="none"/>
        </w:tabs>
        <w:rPr>
          <w:rFonts w:ascii="宋体" w:hAnsi="宋体"/>
          <w:sz w:val="24"/>
          <w:szCs w:val="24"/>
        </w:rPr>
      </w:pPr>
      <w:r>
        <w:rPr>
          <w:rFonts w:ascii="宋体" w:hAnsi="宋体"/>
          <w:sz w:val="24"/>
          <w:szCs w:val="24"/>
        </w:rPr>
        <w:t xml:space="preserve">配装1个63A空开、4个32A空开、2个温控风扇、不少于</w:t>
      </w:r>
      <w:r>
        <w:rPr>
          <w:rFonts w:hint="eastAsia" w:ascii="宋体" w:hAnsi="宋体"/>
          <w:sz w:val="24"/>
          <w:szCs w:val="24"/>
        </w:rPr>
        <w:t xml:space="preserve">10</w:t>
      </w:r>
      <w:r>
        <w:rPr>
          <w:rFonts w:ascii="宋体" w:hAnsi="宋体"/>
          <w:sz w:val="24"/>
          <w:szCs w:val="24"/>
        </w:rPr>
        <w:t xml:space="preserve">个5口国标插座、1个电</w:t>
      </w:r>
      <w:r>
        <w:rPr>
          <w:rFonts w:ascii="宋体" w:hAnsi="宋体"/>
          <w:sz w:val="24"/>
          <w:szCs w:val="24"/>
        </w:rPr>
        <w:t xml:space="preserve">源引入防雷模块，可根据实际情况增加配置，满足使用需求；箱体侧面需要配置一个直流指示灯，电源异常时能清晰辨别市电故障。</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7米挑臂6M杆件（含基础、地笼、浇筑）</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立杆八角直径</w:t>
      </w:r>
      <w:r>
        <w:rPr>
          <w:rFonts w:ascii="宋体" w:hAnsi="宋体"/>
          <w:sz w:val="24"/>
          <w:szCs w:val="24"/>
        </w:rPr>
        <w:t xml:space="preserve">220-280-5mm厚，横臂八角直径</w:t>
      </w:r>
      <w:r>
        <w:rPr>
          <w:rFonts w:hint="eastAsia" w:ascii="宋体" w:hAnsi="宋体"/>
          <w:sz w:val="24"/>
          <w:szCs w:val="24"/>
        </w:rPr>
        <w:t xml:space="preserve">110</w:t>
      </w:r>
      <w:r>
        <w:rPr>
          <w:rFonts w:ascii="宋体" w:hAnsi="宋体"/>
          <w:sz w:val="24"/>
          <w:szCs w:val="24"/>
        </w:rPr>
        <w:t xml:space="preserve">-1</w:t>
      </w:r>
      <w:r>
        <w:rPr>
          <w:rFonts w:hint="eastAsia" w:ascii="宋体" w:hAnsi="宋体"/>
          <w:sz w:val="24"/>
          <w:szCs w:val="24"/>
        </w:rPr>
        <w:t xml:space="preserve">80</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mm厚，基础法兰直径</w:t>
      </w:r>
      <w:r>
        <w:rPr>
          <w:rFonts w:hint="eastAsia" w:ascii="宋体" w:hAnsi="宋体"/>
          <w:sz w:val="24"/>
          <w:szCs w:val="24"/>
        </w:rPr>
        <w:t xml:space="preserve">500</w:t>
      </w:r>
      <w:r>
        <w:rPr>
          <w:rFonts w:ascii="宋体" w:hAnsi="宋体"/>
          <w:sz w:val="24"/>
          <w:szCs w:val="24"/>
        </w:rPr>
        <w:t xml:space="preserve">-16mm厚，热镀锌后喷塑处理</w:t>
      </w:r>
      <w:r>
        <w:rPr>
          <w:rFonts w:hint="eastAsia" w:ascii="宋体" w:hAnsi="宋体"/>
          <w:sz w:val="24"/>
          <w:szCs w:val="24"/>
        </w:rPr>
        <w:t xml:space="preserve">，基础开挖尺寸不低于1.</w:t>
      </w:r>
      <w:r>
        <w:rPr>
          <w:rFonts w:ascii="宋体" w:hAnsi="宋体"/>
          <w:sz w:val="24"/>
          <w:szCs w:val="24"/>
        </w:rPr>
        <w:t xml:space="preserve">4</w:t>
      </w:r>
      <w:r>
        <w:rPr>
          <w:rFonts w:hint="eastAsia" w:ascii="宋体" w:hAnsi="宋体"/>
          <w:sz w:val="24"/>
          <w:szCs w:val="24"/>
        </w:rPr>
        <w:t xml:space="preserve">m*1.</w:t>
      </w:r>
      <w:r>
        <w:rPr>
          <w:rFonts w:ascii="宋体" w:hAnsi="宋体"/>
          <w:sz w:val="24"/>
          <w:szCs w:val="24"/>
        </w:rPr>
        <w:t xml:space="preserve">4</w:t>
      </w:r>
      <w:r>
        <w:rPr>
          <w:rFonts w:hint="eastAsia" w:ascii="宋体" w:hAnsi="宋体"/>
          <w:sz w:val="24"/>
          <w:szCs w:val="24"/>
        </w:rPr>
        <w:t xml:space="preserve">m*1.</w:t>
      </w:r>
      <w:r>
        <w:rPr>
          <w:rFonts w:ascii="宋体" w:hAnsi="宋体"/>
          <w:sz w:val="24"/>
          <w:szCs w:val="24"/>
        </w:rPr>
        <w:t xml:space="preserve">6</w:t>
      </w:r>
      <w:r>
        <w:rPr>
          <w:rFonts w:hint="eastAsia" w:ascii="宋体" w:hAnsi="宋体"/>
          <w:sz w:val="24"/>
          <w:szCs w:val="24"/>
        </w:rPr>
        <w:t xml:space="preserve">m，含地笼、开挖、</w:t>
      </w:r>
      <w:r>
        <w:rPr>
          <w:rFonts w:hint="eastAsia" w:ascii="宋体" w:hAnsi="宋体" w:cs="宋体"/>
          <w:sz w:val="24"/>
          <w:szCs w:val="24"/>
        </w:rPr>
        <w:t xml:space="preserve">C25商砼基础浇筑</w:t>
      </w:r>
      <w:r>
        <w:rPr>
          <w:rFonts w:hint="eastAsia" w:ascii="宋体" w:hAnsi="宋体"/>
          <w:sz w:val="24"/>
          <w:szCs w:val="24"/>
        </w:rPr>
        <w:t xml:space="preserve">，</w:t>
      </w:r>
      <w:r>
        <w:rPr>
          <w:rFonts w:ascii="宋体" w:hAnsi="宋体"/>
          <w:sz w:val="24"/>
          <w:szCs w:val="24"/>
        </w:rPr>
        <w:t xml:space="preserve">杆件防腐采用内外热浸镀锌，横梁、立柱、法兰结构件镀锌量不小于600g/㎡</w:t>
      </w:r>
      <w:r>
        <w:rPr>
          <w:rFonts w:hint="eastAsia" w:ascii="宋体" w:hAnsi="宋体"/>
          <w:sz w:val="24"/>
          <w:szCs w:val="24"/>
        </w:rPr>
        <w:t xml:space="preserve">，</w:t>
      </w:r>
      <w:r>
        <w:rPr>
          <w:rFonts w:ascii="宋体" w:hAnsi="宋体"/>
          <w:sz w:val="24"/>
          <w:szCs w:val="24"/>
        </w:rPr>
        <w:t xml:space="preserve">杆件结构按12级台风设计，抗风能力达43m/s；</w:t>
      </w:r>
      <w:r>
        <w:rPr>
          <w:rFonts w:hint="eastAsia" w:ascii="宋体" w:hAnsi="宋体"/>
          <w:sz w:val="24"/>
          <w:szCs w:val="24"/>
        </w:rPr>
        <w:t xml:space="preserve">外观样式与通港大道海堤路东西向样式一致</w:t>
      </w:r>
      <w:r>
        <w:rPr>
          <w:rFonts w:ascii="宋体" w:hAnsi="宋体"/>
          <w:sz w:val="24"/>
          <w:szCs w:val="24"/>
        </w:rPr>
        <w:t xml:space="preserve">；</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7米挑臂8M杆件（含基础、地笼、浇筑）</w:t>
      </w:r>
      <w:r/>
    </w:p>
    <w:p>
      <w:pPr>
        <w:pStyle w:val="1052"/>
        <w:ind w:firstLine="480"/>
        <w:spacing w:line="480" w:lineRule="exact"/>
        <w:rPr>
          <w:rFonts w:ascii="宋体" w:hAnsi="宋体"/>
          <w:sz w:val="24"/>
          <w:szCs w:val="24"/>
        </w:rPr>
      </w:pPr>
      <w:r>
        <w:rPr>
          <w:rFonts w:hint="eastAsia" w:ascii="宋体" w:hAnsi="宋体" w:cs="宋体"/>
          <w:sz w:val="24"/>
          <w:szCs w:val="24"/>
        </w:rPr>
        <w:t xml:space="preserve">立杆八角直径</w:t>
      </w:r>
      <w:r>
        <w:rPr>
          <w:rFonts w:hint="eastAsia" w:ascii="宋体" w:hAnsi="宋体" w:cs="宋体"/>
          <w:sz w:val="24"/>
          <w:szCs w:val="24"/>
        </w:rPr>
        <w:t xml:space="preserve">220-280-6mm</w:t>
      </w:r>
      <w:r>
        <w:rPr>
          <w:rFonts w:hint="eastAsia" w:ascii="宋体" w:hAnsi="宋体" w:cs="宋体"/>
          <w:sz w:val="24"/>
          <w:szCs w:val="24"/>
        </w:rPr>
        <w:t xml:space="preserve">厚，横臂八角直径</w:t>
      </w:r>
      <w:r>
        <w:rPr>
          <w:rFonts w:hint="eastAsia" w:ascii="宋体" w:hAnsi="宋体" w:cs="宋体"/>
          <w:sz w:val="24"/>
          <w:szCs w:val="24"/>
        </w:rPr>
        <w:t xml:space="preserve">110-210-4mm</w:t>
      </w:r>
      <w:r>
        <w:rPr>
          <w:rFonts w:hint="eastAsia" w:ascii="宋体" w:hAnsi="宋体" w:cs="宋体"/>
          <w:sz w:val="24"/>
          <w:szCs w:val="24"/>
        </w:rPr>
        <w:t xml:space="preserve">厚，基础法兰直径</w:t>
      </w:r>
      <w:r>
        <w:rPr>
          <w:rFonts w:hint="eastAsia" w:ascii="宋体" w:hAnsi="宋体" w:cs="宋体"/>
          <w:sz w:val="24"/>
          <w:szCs w:val="24"/>
        </w:rPr>
        <w:t xml:space="preserve">500-16mm</w:t>
      </w:r>
      <w:r>
        <w:rPr>
          <w:rFonts w:hint="eastAsia" w:ascii="宋体" w:hAnsi="宋体" w:cs="宋体"/>
          <w:sz w:val="24"/>
          <w:szCs w:val="24"/>
        </w:rPr>
        <w:t xml:space="preserve">厚，热镀锌后喷塑处理，基础开挖尺寸不低于</w:t>
      </w:r>
      <w:r>
        <w:rPr>
          <w:rFonts w:hint="eastAsia" w:ascii="宋体" w:hAnsi="宋体" w:cs="宋体"/>
          <w:sz w:val="24"/>
          <w:szCs w:val="24"/>
        </w:rPr>
        <w:t xml:space="preserve">1.4m*1.4m*1.6m</w:t>
      </w:r>
      <w:r>
        <w:rPr>
          <w:rFonts w:hint="eastAsia" w:ascii="宋体" w:hAnsi="宋体" w:cs="宋体"/>
          <w:sz w:val="24"/>
          <w:szCs w:val="24"/>
        </w:rPr>
        <w:t xml:space="preserve">，含地笼、开挖、</w:t>
      </w:r>
      <w:r>
        <w:rPr>
          <w:rFonts w:hint="eastAsia" w:ascii="宋体" w:hAnsi="宋体" w:cs="宋体"/>
          <w:sz w:val="24"/>
          <w:szCs w:val="24"/>
        </w:rPr>
        <w:t xml:space="preserve">C25</w:t>
      </w:r>
      <w:r>
        <w:rPr>
          <w:rFonts w:hint="eastAsia" w:ascii="宋体" w:hAnsi="宋体" w:cs="宋体"/>
          <w:sz w:val="24"/>
          <w:szCs w:val="24"/>
        </w:rPr>
        <w:t xml:space="preserve">商砼基础浇筑，杆件防腐采用内外热浸镀锌，横梁、立柱、法兰结构件镀锌量不小于</w:t>
      </w:r>
      <w:r>
        <w:rPr>
          <w:rFonts w:hint="eastAsia" w:ascii="宋体" w:hAnsi="宋体" w:cs="宋体"/>
          <w:sz w:val="24"/>
          <w:szCs w:val="24"/>
        </w:rPr>
        <w:t xml:space="preserve">600g/</w:t>
      </w:r>
      <w:r>
        <w:rPr>
          <w:rFonts w:hint="eastAsia" w:ascii="宋体" w:hAnsi="宋体" w:cs="宋体"/>
          <w:sz w:val="24"/>
          <w:szCs w:val="24"/>
        </w:rPr>
        <w:t xml:space="preserve">㎡，杆件结构按</w:t>
      </w:r>
      <w:r>
        <w:rPr>
          <w:rFonts w:hint="eastAsia" w:ascii="宋体" w:hAnsi="宋体" w:cs="宋体"/>
          <w:sz w:val="24"/>
          <w:szCs w:val="24"/>
        </w:rPr>
        <w:t xml:space="preserve">12</w:t>
      </w:r>
      <w:r>
        <w:rPr>
          <w:rFonts w:hint="eastAsia" w:ascii="宋体" w:hAnsi="宋体" w:cs="宋体"/>
          <w:sz w:val="24"/>
          <w:szCs w:val="24"/>
        </w:rPr>
        <w:t xml:space="preserve">级台风设计，抗风能力达</w:t>
      </w:r>
      <w:r>
        <w:rPr>
          <w:rFonts w:hint="eastAsia" w:ascii="宋体" w:hAnsi="宋体" w:cs="宋体"/>
          <w:sz w:val="24"/>
          <w:szCs w:val="24"/>
        </w:rPr>
        <w:t xml:space="preserve">43m/s</w:t>
      </w:r>
      <w:r>
        <w:rPr>
          <w:rFonts w:hint="eastAsia" w:ascii="宋体" w:hAnsi="宋体" w:cs="宋体"/>
          <w:sz w:val="24"/>
          <w:szCs w:val="24"/>
        </w:rPr>
        <w:t xml:space="preserve">；</w:t>
      </w:r>
      <w:r>
        <w:rPr>
          <w:rFonts w:hint="eastAsia" w:ascii="宋体" w:hAnsi="宋体"/>
          <w:sz w:val="24"/>
          <w:szCs w:val="24"/>
        </w:rPr>
        <w:t xml:space="preserve">外观样式与通港大道海堤路东西向样式一致</w:t>
      </w:r>
      <w:r>
        <w:rPr>
          <w:rFonts w:ascii="宋体" w:hAnsi="宋体"/>
          <w:sz w:val="24"/>
          <w:szCs w:val="24"/>
        </w:rPr>
        <w:t xml:space="preserve">；</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7米挑臂10M杆件（含基础、地笼、浇筑）</w:t>
      </w:r>
      <w:r/>
    </w:p>
    <w:p>
      <w:pPr>
        <w:pStyle w:val="1052"/>
        <w:ind w:firstLine="480"/>
        <w:spacing w:line="480" w:lineRule="exact"/>
        <w:rPr>
          <w:rFonts w:ascii="宋体" w:hAnsi="宋体"/>
          <w:sz w:val="24"/>
          <w:szCs w:val="24"/>
        </w:rPr>
      </w:pPr>
      <w:r>
        <w:rPr>
          <w:rFonts w:hint="eastAsia" w:ascii="宋体" w:hAnsi="宋体" w:cs="宋体"/>
          <w:sz w:val="24"/>
          <w:szCs w:val="24"/>
        </w:rPr>
        <w:t xml:space="preserve">立杆八角直径</w:t>
      </w:r>
      <w:r>
        <w:rPr>
          <w:rFonts w:hint="eastAsia" w:ascii="宋体" w:hAnsi="宋体" w:cs="宋体"/>
          <w:sz w:val="24"/>
          <w:szCs w:val="24"/>
        </w:rPr>
        <w:t xml:space="preserve">240-330-6mm</w:t>
      </w:r>
      <w:r>
        <w:rPr>
          <w:rFonts w:hint="eastAsia" w:ascii="宋体" w:hAnsi="宋体" w:cs="宋体"/>
          <w:sz w:val="24"/>
          <w:szCs w:val="24"/>
        </w:rPr>
        <w:t xml:space="preserve">厚，横臂八角直径</w:t>
      </w:r>
      <w:r>
        <w:rPr>
          <w:rFonts w:hint="eastAsia" w:ascii="宋体" w:hAnsi="宋体" w:cs="宋体"/>
          <w:sz w:val="24"/>
          <w:szCs w:val="24"/>
        </w:rPr>
        <w:t xml:space="preserve">110-240-5mm</w:t>
      </w:r>
      <w:r>
        <w:rPr>
          <w:rFonts w:hint="eastAsia" w:ascii="宋体" w:hAnsi="宋体" w:cs="宋体"/>
          <w:sz w:val="24"/>
          <w:szCs w:val="24"/>
        </w:rPr>
        <w:t xml:space="preserve">厚，基础法兰直径</w:t>
      </w:r>
      <w:r>
        <w:rPr>
          <w:rFonts w:hint="eastAsia" w:ascii="宋体" w:hAnsi="宋体" w:cs="宋体"/>
          <w:sz w:val="24"/>
          <w:szCs w:val="24"/>
        </w:rPr>
        <w:t xml:space="preserve">550-18mm</w:t>
      </w:r>
      <w:r>
        <w:rPr>
          <w:rFonts w:hint="eastAsia" w:ascii="宋体" w:hAnsi="宋体" w:cs="宋体"/>
          <w:sz w:val="24"/>
          <w:szCs w:val="24"/>
        </w:rPr>
        <w:t xml:space="preserve">厚，热镀锌后喷塑处理，基础开挖尺寸不低于</w:t>
      </w:r>
      <w:r>
        <w:rPr>
          <w:rFonts w:hint="eastAsia" w:ascii="宋体" w:hAnsi="宋体" w:cs="宋体"/>
          <w:sz w:val="24"/>
          <w:szCs w:val="24"/>
        </w:rPr>
        <w:t xml:space="preserve">1.6m*1.6m*1.8m</w:t>
      </w:r>
      <w:r>
        <w:rPr>
          <w:rFonts w:hint="eastAsia" w:ascii="宋体" w:hAnsi="宋体" w:cs="宋体"/>
          <w:sz w:val="24"/>
          <w:szCs w:val="24"/>
        </w:rPr>
        <w:t xml:space="preserve">，含地笼、开挖、</w:t>
      </w:r>
      <w:r>
        <w:rPr>
          <w:rFonts w:hint="eastAsia" w:ascii="宋体" w:hAnsi="宋体" w:cs="宋体"/>
          <w:sz w:val="24"/>
          <w:szCs w:val="24"/>
        </w:rPr>
        <w:t xml:space="preserve">C25</w:t>
      </w:r>
      <w:r>
        <w:rPr>
          <w:rFonts w:hint="eastAsia" w:ascii="宋体" w:hAnsi="宋体" w:cs="宋体"/>
          <w:sz w:val="24"/>
          <w:szCs w:val="24"/>
        </w:rPr>
        <w:t xml:space="preserve">商砼基础浇筑，杆件防腐采用内外热浸镀锌，横梁、立柱、法兰结构件镀锌量不小于</w:t>
      </w:r>
      <w:r>
        <w:rPr>
          <w:rFonts w:hint="eastAsia" w:ascii="宋体" w:hAnsi="宋体" w:cs="宋体"/>
          <w:sz w:val="24"/>
          <w:szCs w:val="24"/>
        </w:rPr>
        <w:t xml:space="preserve">600g/</w:t>
      </w:r>
      <w:r>
        <w:rPr>
          <w:rFonts w:hint="eastAsia" w:ascii="宋体" w:hAnsi="宋体" w:cs="宋体"/>
          <w:sz w:val="24"/>
          <w:szCs w:val="24"/>
        </w:rPr>
        <w:t xml:space="preserve">㎡，杆件结构按</w:t>
      </w:r>
      <w:r>
        <w:rPr>
          <w:rFonts w:hint="eastAsia" w:ascii="宋体" w:hAnsi="宋体" w:cs="宋体"/>
          <w:sz w:val="24"/>
          <w:szCs w:val="24"/>
        </w:rPr>
        <w:t xml:space="preserve">12</w:t>
      </w:r>
      <w:r>
        <w:rPr>
          <w:rFonts w:hint="eastAsia" w:ascii="宋体" w:hAnsi="宋体" w:cs="宋体"/>
          <w:sz w:val="24"/>
          <w:szCs w:val="24"/>
        </w:rPr>
        <w:t xml:space="preserve">级台风设计，抗风能力达</w:t>
      </w:r>
      <w:r>
        <w:rPr>
          <w:rFonts w:hint="eastAsia" w:ascii="宋体" w:hAnsi="宋体" w:cs="宋体"/>
          <w:sz w:val="24"/>
          <w:szCs w:val="24"/>
        </w:rPr>
        <w:t xml:space="preserve">43m/s</w:t>
      </w:r>
      <w:r>
        <w:rPr>
          <w:rFonts w:hint="eastAsia" w:ascii="宋体" w:hAnsi="宋体" w:cs="宋体"/>
          <w:sz w:val="24"/>
          <w:szCs w:val="24"/>
        </w:rPr>
        <w:t xml:space="preserve">；</w:t>
      </w:r>
      <w:r>
        <w:rPr>
          <w:rFonts w:hint="eastAsia" w:ascii="宋体" w:hAnsi="宋体"/>
          <w:sz w:val="24"/>
          <w:szCs w:val="24"/>
        </w:rPr>
        <w:t xml:space="preserve">外观样式与通港大道海堤路东西向样式一致</w:t>
      </w:r>
      <w:r>
        <w:rPr>
          <w:rFonts w:ascii="宋体" w:hAnsi="宋体"/>
          <w:sz w:val="24"/>
          <w:szCs w:val="24"/>
        </w:rPr>
        <w:t xml:space="preserve">；</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7米挑臂12M杆件（含基础、地笼、浇筑）</w:t>
      </w:r>
      <w:r/>
    </w:p>
    <w:p>
      <w:pPr>
        <w:pStyle w:val="1052"/>
        <w:ind w:firstLine="480"/>
        <w:spacing w:line="480" w:lineRule="exact"/>
        <w:rPr>
          <w:rFonts w:ascii="宋体" w:hAnsi="宋体"/>
          <w:sz w:val="24"/>
          <w:szCs w:val="24"/>
        </w:rPr>
      </w:pPr>
      <w:r>
        <w:rPr>
          <w:rFonts w:hint="eastAsia" w:ascii="宋体" w:hAnsi="宋体" w:cs="宋体"/>
          <w:sz w:val="24"/>
          <w:szCs w:val="24"/>
        </w:rPr>
        <w:t xml:space="preserve">立杆八角直径</w:t>
      </w:r>
      <w:r>
        <w:rPr>
          <w:rFonts w:hint="eastAsia" w:ascii="宋体" w:hAnsi="宋体" w:cs="宋体"/>
          <w:sz w:val="24"/>
          <w:szCs w:val="24"/>
        </w:rPr>
        <w:t xml:space="preserve">300-370-6mm</w:t>
      </w:r>
      <w:r>
        <w:rPr>
          <w:rFonts w:hint="eastAsia" w:ascii="宋体" w:hAnsi="宋体" w:cs="宋体"/>
          <w:sz w:val="24"/>
          <w:szCs w:val="24"/>
        </w:rPr>
        <w:t xml:space="preserve">厚，横臂八角直径</w:t>
      </w:r>
      <w:r>
        <w:rPr>
          <w:rFonts w:hint="eastAsia" w:ascii="宋体" w:hAnsi="宋体" w:cs="宋体"/>
          <w:sz w:val="24"/>
          <w:szCs w:val="24"/>
        </w:rPr>
        <w:t xml:space="preserve">110-265-6mm</w:t>
      </w:r>
      <w:r>
        <w:rPr>
          <w:rFonts w:hint="eastAsia" w:ascii="宋体" w:hAnsi="宋体" w:cs="宋体"/>
          <w:sz w:val="24"/>
          <w:szCs w:val="24"/>
        </w:rPr>
        <w:t xml:space="preserve">厚，基础法兰直径</w:t>
      </w:r>
      <w:r>
        <w:rPr>
          <w:rFonts w:hint="eastAsia" w:ascii="宋体" w:hAnsi="宋体" w:cs="宋体"/>
          <w:sz w:val="24"/>
          <w:szCs w:val="24"/>
        </w:rPr>
        <w:t xml:space="preserve">600-20mm</w:t>
      </w:r>
      <w:r>
        <w:rPr>
          <w:rFonts w:hint="eastAsia" w:ascii="宋体" w:hAnsi="宋体" w:cs="宋体"/>
          <w:sz w:val="24"/>
          <w:szCs w:val="24"/>
        </w:rPr>
        <w:t xml:space="preserve">厚，热镀锌后喷塑处理，基础开挖尺寸不低于</w:t>
      </w:r>
      <w:r>
        <w:rPr>
          <w:rFonts w:hint="eastAsia" w:ascii="宋体" w:hAnsi="宋体" w:cs="宋体"/>
          <w:sz w:val="24"/>
          <w:szCs w:val="24"/>
        </w:rPr>
        <w:t xml:space="preserve">1.8m*1.8m*2.0m</w:t>
      </w:r>
      <w:r>
        <w:rPr>
          <w:rFonts w:hint="eastAsia" w:ascii="宋体" w:hAnsi="宋体" w:cs="宋体"/>
          <w:sz w:val="24"/>
          <w:szCs w:val="24"/>
        </w:rPr>
        <w:t xml:space="preserve">，含地笼、开挖、</w:t>
      </w:r>
      <w:r>
        <w:rPr>
          <w:rFonts w:hint="eastAsia" w:ascii="宋体" w:hAnsi="宋体" w:cs="宋体"/>
          <w:sz w:val="24"/>
          <w:szCs w:val="24"/>
        </w:rPr>
        <w:t xml:space="preserve">C25</w:t>
      </w:r>
      <w:r>
        <w:rPr>
          <w:rFonts w:hint="eastAsia" w:ascii="宋体" w:hAnsi="宋体" w:cs="宋体"/>
          <w:sz w:val="24"/>
          <w:szCs w:val="24"/>
        </w:rPr>
        <w:t xml:space="preserve">商砼基础浇筑，杆件防腐采用内外热浸镀锌，横梁、立柱、法兰结构件镀锌量不小于</w:t>
      </w:r>
      <w:r>
        <w:rPr>
          <w:rFonts w:hint="eastAsia" w:ascii="宋体" w:hAnsi="宋体" w:cs="宋体"/>
          <w:sz w:val="24"/>
          <w:szCs w:val="24"/>
        </w:rPr>
        <w:t xml:space="preserve">600g/</w:t>
      </w:r>
      <w:r>
        <w:rPr>
          <w:rFonts w:hint="eastAsia" w:ascii="宋体" w:hAnsi="宋体" w:cs="宋体"/>
          <w:sz w:val="24"/>
          <w:szCs w:val="24"/>
        </w:rPr>
        <w:t xml:space="preserve">㎡，杆件结构按</w:t>
      </w:r>
      <w:r>
        <w:rPr>
          <w:rFonts w:hint="eastAsia" w:ascii="宋体" w:hAnsi="宋体" w:cs="宋体"/>
          <w:sz w:val="24"/>
          <w:szCs w:val="24"/>
        </w:rPr>
        <w:t xml:space="preserve">12</w:t>
      </w:r>
      <w:r>
        <w:rPr>
          <w:rFonts w:hint="eastAsia" w:ascii="宋体" w:hAnsi="宋体" w:cs="宋体"/>
          <w:sz w:val="24"/>
          <w:szCs w:val="24"/>
        </w:rPr>
        <w:t xml:space="preserve">级台风设计，抗风能力达</w:t>
      </w:r>
      <w:r>
        <w:rPr>
          <w:rFonts w:hint="eastAsia" w:ascii="宋体" w:hAnsi="宋体" w:cs="宋体"/>
          <w:sz w:val="24"/>
          <w:szCs w:val="24"/>
        </w:rPr>
        <w:t xml:space="preserve">43m/s</w:t>
      </w:r>
      <w:r>
        <w:rPr>
          <w:rFonts w:hint="eastAsia" w:ascii="宋体" w:hAnsi="宋体" w:cs="宋体"/>
          <w:sz w:val="24"/>
          <w:szCs w:val="24"/>
        </w:rPr>
        <w:t xml:space="preserve">；</w:t>
      </w:r>
      <w:r>
        <w:rPr>
          <w:rFonts w:hint="eastAsia" w:ascii="宋体" w:hAnsi="宋体"/>
          <w:sz w:val="24"/>
          <w:szCs w:val="24"/>
        </w:rPr>
        <w:t xml:space="preserve">外观样式与通港大道海堤路东西向样式一致</w:t>
      </w:r>
      <w:r>
        <w:rPr>
          <w:rFonts w:ascii="宋体" w:hAnsi="宋体"/>
          <w:sz w:val="24"/>
          <w:szCs w:val="24"/>
        </w:rPr>
        <w:t xml:space="preserve">；</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7米挑臂14M杆件（含基础、地笼、浇筑）</w:t>
      </w:r>
      <w:r/>
    </w:p>
    <w:p>
      <w:pPr>
        <w:ind w:firstLine="480"/>
        <w:spacing w:line="480" w:lineRule="exact"/>
        <w:rPr>
          <w:rFonts w:ascii="宋体" w:hAnsi="宋体"/>
          <w:sz w:val="24"/>
          <w:szCs w:val="24"/>
        </w:rPr>
      </w:pPr>
      <w:r>
        <w:rPr>
          <w:rFonts w:hint="eastAsia" w:ascii="宋体" w:hAnsi="宋体"/>
          <w:sz w:val="24"/>
          <w:szCs w:val="24"/>
        </w:rPr>
        <w:t xml:space="preserve">立杆八角直径</w:t>
      </w:r>
      <w:r>
        <w:rPr>
          <w:rFonts w:ascii="宋体" w:hAnsi="宋体"/>
          <w:sz w:val="24"/>
          <w:szCs w:val="24"/>
        </w:rPr>
        <w:t xml:space="preserve">3</w:t>
      </w:r>
      <w:r>
        <w:rPr>
          <w:rFonts w:hint="eastAsia" w:ascii="宋体" w:hAnsi="宋体"/>
          <w:sz w:val="24"/>
          <w:szCs w:val="24"/>
        </w:rPr>
        <w:t xml:space="preserve">1</w:t>
      </w:r>
      <w:r>
        <w:rPr>
          <w:rFonts w:ascii="宋体" w:hAnsi="宋体"/>
          <w:sz w:val="24"/>
          <w:szCs w:val="24"/>
        </w:rPr>
        <w:t xml:space="preserve">0-3</w:t>
      </w:r>
      <w:r>
        <w:rPr>
          <w:rFonts w:hint="eastAsia" w:ascii="宋体" w:hAnsi="宋体"/>
          <w:sz w:val="24"/>
          <w:szCs w:val="24"/>
        </w:rPr>
        <w:t xml:space="preserve">7</w:t>
      </w:r>
      <w:r>
        <w:rPr>
          <w:rFonts w:ascii="宋体" w:hAnsi="宋体"/>
          <w:sz w:val="24"/>
          <w:szCs w:val="24"/>
        </w:rPr>
        <w:t xml:space="preserve">0-8mm厚，横臂八角直径1</w:t>
      </w: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200</w:t>
      </w:r>
      <w:r>
        <w:rPr>
          <w:rFonts w:ascii="宋体" w:hAnsi="宋体"/>
          <w:sz w:val="24"/>
          <w:szCs w:val="24"/>
        </w:rPr>
        <w:t xml:space="preserve">+</w:t>
      </w:r>
      <w:r>
        <w:rPr>
          <w:rFonts w:hint="eastAsia" w:ascii="宋体" w:hAnsi="宋体"/>
          <w:sz w:val="24"/>
          <w:szCs w:val="24"/>
        </w:rPr>
        <w:t xml:space="preserve">200</w:t>
      </w:r>
      <w:r>
        <w:rPr>
          <w:rFonts w:ascii="宋体" w:hAnsi="宋体"/>
          <w:sz w:val="24"/>
          <w:szCs w:val="24"/>
        </w:rPr>
        <w:t xml:space="preserve">-2</w:t>
      </w:r>
      <w:r>
        <w:rPr>
          <w:rFonts w:hint="eastAsia" w:ascii="宋体" w:hAnsi="宋体"/>
          <w:sz w:val="24"/>
          <w:szCs w:val="24"/>
        </w:rPr>
        <w:t xml:space="preserve">95</w:t>
      </w:r>
      <w:r>
        <w:rPr>
          <w:rFonts w:ascii="宋体" w:hAnsi="宋体"/>
          <w:sz w:val="24"/>
          <w:szCs w:val="24"/>
        </w:rPr>
        <w:t xml:space="preserve">-4+</w:t>
      </w:r>
      <w:r>
        <w:rPr>
          <w:rFonts w:hint="eastAsia" w:ascii="宋体" w:hAnsi="宋体"/>
          <w:sz w:val="24"/>
          <w:szCs w:val="24"/>
        </w:rPr>
        <w:t xml:space="preserve">6</w:t>
      </w:r>
      <w:r>
        <w:rPr>
          <w:rFonts w:ascii="宋体" w:hAnsi="宋体"/>
          <w:sz w:val="24"/>
          <w:szCs w:val="24"/>
        </w:rPr>
        <w:t xml:space="preserve">mm厚，基础法兰直径600-20mm厚，横臂对接法兰直径340-16mm厚</w:t>
      </w:r>
      <w:r>
        <w:rPr>
          <w:rFonts w:hint="eastAsia" w:ascii="宋体" w:hAnsi="宋体"/>
          <w:sz w:val="24"/>
          <w:szCs w:val="24"/>
        </w:rPr>
        <w:t xml:space="preserve">，</w:t>
      </w:r>
      <w:r>
        <w:rPr>
          <w:rFonts w:ascii="宋体" w:hAnsi="宋体"/>
          <w:sz w:val="24"/>
          <w:szCs w:val="24"/>
        </w:rPr>
        <w:t xml:space="preserve">热镀锌后喷塑处理</w:t>
      </w:r>
      <w:r>
        <w:rPr>
          <w:rFonts w:hint="eastAsia" w:ascii="宋体" w:hAnsi="宋体"/>
          <w:sz w:val="24"/>
          <w:szCs w:val="24"/>
        </w:rPr>
        <w:t xml:space="preserve">，基础开挖尺寸不低于1.</w:t>
      </w:r>
      <w:r>
        <w:rPr>
          <w:rFonts w:ascii="宋体" w:hAnsi="宋体"/>
          <w:sz w:val="24"/>
          <w:szCs w:val="24"/>
        </w:rPr>
        <w:t xml:space="preserve">8</w:t>
      </w:r>
      <w:r>
        <w:rPr>
          <w:rFonts w:hint="eastAsia" w:ascii="宋体" w:hAnsi="宋体"/>
          <w:sz w:val="24"/>
          <w:szCs w:val="24"/>
        </w:rPr>
        <w:t xml:space="preserve">m*1.</w:t>
      </w:r>
      <w:r>
        <w:rPr>
          <w:rFonts w:ascii="宋体" w:hAnsi="宋体"/>
          <w:sz w:val="24"/>
          <w:szCs w:val="24"/>
        </w:rPr>
        <w:t xml:space="preserve">8</w:t>
      </w:r>
      <w:r>
        <w:rPr>
          <w:rFonts w:hint="eastAsia" w:ascii="宋体" w:hAnsi="宋体"/>
          <w:sz w:val="24"/>
          <w:szCs w:val="24"/>
        </w:rPr>
        <w:t xml:space="preserve">m*</w:t>
      </w:r>
      <w:r>
        <w:rPr>
          <w:rFonts w:ascii="宋体" w:hAnsi="宋体"/>
          <w:sz w:val="24"/>
          <w:szCs w:val="24"/>
        </w:rPr>
        <w:t xml:space="preserve">2.0</w:t>
      </w:r>
      <w:r>
        <w:rPr>
          <w:rFonts w:hint="eastAsia" w:ascii="宋体" w:hAnsi="宋体"/>
          <w:sz w:val="24"/>
          <w:szCs w:val="24"/>
        </w:rPr>
        <w:t xml:space="preserve">m，含地笼、开挖、</w:t>
      </w:r>
      <w:r>
        <w:rPr>
          <w:rFonts w:hint="eastAsia" w:ascii="宋体" w:hAnsi="宋体" w:cs="宋体"/>
          <w:sz w:val="24"/>
          <w:szCs w:val="24"/>
        </w:rPr>
        <w:t xml:space="preserve">C25商砼基础浇筑</w:t>
      </w:r>
      <w:r>
        <w:rPr>
          <w:rFonts w:hint="eastAsia" w:ascii="宋体" w:hAnsi="宋体"/>
          <w:sz w:val="24"/>
          <w:szCs w:val="24"/>
        </w:rPr>
        <w:t xml:space="preserve">，</w:t>
      </w:r>
      <w:bookmarkStart w:id="90" w:name="_Hlk117871092"/>
      <w:r>
        <w:rPr>
          <w:rFonts w:ascii="宋体" w:hAnsi="宋体"/>
          <w:sz w:val="24"/>
          <w:szCs w:val="24"/>
        </w:rPr>
        <w:t xml:space="preserve">杆件防腐采用内外热浸镀锌，横梁、立柱、法兰结构件镀锌量不小于600g/㎡</w:t>
      </w:r>
      <w:r>
        <w:rPr>
          <w:rFonts w:hint="eastAsia" w:ascii="宋体" w:hAnsi="宋体"/>
          <w:sz w:val="24"/>
          <w:szCs w:val="24"/>
        </w:rPr>
        <w:t xml:space="preserve">，</w:t>
      </w:r>
      <w:r>
        <w:rPr>
          <w:rFonts w:ascii="宋体" w:hAnsi="宋体"/>
          <w:sz w:val="24"/>
          <w:szCs w:val="24"/>
        </w:rPr>
        <w:t xml:space="preserve">杆件结构按12级台风设计，抗风能力达43m/s</w:t>
      </w:r>
      <w:r>
        <w:rPr>
          <w:rFonts w:hint="eastAsia" w:ascii="宋体" w:hAnsi="宋体"/>
          <w:sz w:val="24"/>
          <w:szCs w:val="24"/>
        </w:rPr>
        <w:t xml:space="preserve">，外观样式与通港大道海堤路东西向样式一致</w:t>
      </w:r>
      <w:r>
        <w:rPr>
          <w:rFonts w:ascii="宋体" w:hAnsi="宋体"/>
          <w:sz w:val="24"/>
          <w:szCs w:val="24"/>
        </w:rPr>
        <w:t xml:space="preserve">；</w:t>
      </w:r>
      <w:bookmarkEnd w:id="90"/>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7米挑臂（7+7）M杆件（含基础、地笼、浇筑）</w:t>
      </w:r>
      <w:r/>
    </w:p>
    <w:p>
      <w:pPr>
        <w:pStyle w:val="1052"/>
        <w:ind w:firstLine="480"/>
        <w:spacing w:line="480" w:lineRule="exact"/>
        <w:rPr>
          <w:rFonts w:ascii="宋体" w:hAnsi="宋体"/>
          <w:sz w:val="24"/>
          <w:szCs w:val="24"/>
        </w:rPr>
      </w:pPr>
      <w:r>
        <w:rPr>
          <w:rFonts w:hint="eastAsia" w:ascii="宋体" w:hAnsi="宋体" w:cs="宋体"/>
          <w:sz w:val="24"/>
          <w:szCs w:val="24"/>
        </w:rPr>
        <w:t xml:space="preserve">立杆八角直径</w:t>
      </w:r>
      <w:r>
        <w:rPr>
          <w:rFonts w:hint="eastAsia" w:ascii="宋体" w:hAnsi="宋体" w:cs="宋体"/>
          <w:sz w:val="24"/>
          <w:szCs w:val="24"/>
        </w:rPr>
        <w:t xml:space="preserve">220-280-5mm</w:t>
      </w:r>
      <w:r>
        <w:rPr>
          <w:rFonts w:hint="eastAsia" w:ascii="宋体" w:hAnsi="宋体" w:cs="宋体"/>
          <w:sz w:val="24"/>
          <w:szCs w:val="24"/>
        </w:rPr>
        <w:t xml:space="preserve">厚，横臂八角直径</w:t>
      </w:r>
      <w:r>
        <w:rPr>
          <w:rFonts w:hint="eastAsia" w:ascii="宋体" w:hAnsi="宋体" w:cs="宋体"/>
          <w:sz w:val="24"/>
          <w:szCs w:val="24"/>
        </w:rPr>
        <w:t xml:space="preserve">90-165-3mm</w:t>
      </w:r>
      <w:r>
        <w:rPr>
          <w:rFonts w:hint="eastAsia" w:ascii="宋体" w:hAnsi="宋体" w:cs="宋体"/>
          <w:sz w:val="24"/>
          <w:szCs w:val="24"/>
        </w:rPr>
        <w:t xml:space="preserve">厚，基础法兰直径</w:t>
      </w:r>
      <w:r>
        <w:rPr>
          <w:rFonts w:hint="eastAsia" w:ascii="宋体" w:hAnsi="宋体" w:cs="宋体"/>
          <w:sz w:val="24"/>
          <w:szCs w:val="24"/>
        </w:rPr>
        <w:t xml:space="preserve">450-16mm</w:t>
      </w:r>
      <w:r>
        <w:rPr>
          <w:rFonts w:hint="eastAsia" w:ascii="宋体" w:hAnsi="宋体" w:cs="宋体"/>
          <w:sz w:val="24"/>
          <w:szCs w:val="24"/>
        </w:rPr>
        <w:t xml:space="preserve">厚，顶端双法兰盘</w:t>
      </w:r>
      <w:r>
        <w:rPr>
          <w:rFonts w:hint="eastAsia" w:ascii="宋体" w:hAnsi="宋体" w:cs="宋体"/>
          <w:sz w:val="24"/>
          <w:szCs w:val="24"/>
        </w:rPr>
        <w:t xml:space="preserve">90</w:t>
      </w:r>
      <w:r>
        <w:rPr>
          <w:rFonts w:hint="eastAsia" w:ascii="宋体" w:hAnsi="宋体" w:cs="宋体"/>
          <w:sz w:val="24"/>
          <w:szCs w:val="24"/>
        </w:rPr>
        <w:t xml:space="preserve">°，热镀锌后喷塑处理，基础开挖尺寸不低于</w:t>
      </w:r>
      <w:r>
        <w:rPr>
          <w:rFonts w:hint="eastAsia" w:ascii="宋体" w:hAnsi="宋体" w:cs="宋体"/>
          <w:sz w:val="24"/>
          <w:szCs w:val="24"/>
        </w:rPr>
        <w:t xml:space="preserve">1.4m*1.4m*1.6m</w:t>
      </w:r>
      <w:r>
        <w:rPr>
          <w:rFonts w:hint="eastAsia" w:ascii="宋体" w:hAnsi="宋体" w:cs="宋体"/>
          <w:sz w:val="24"/>
          <w:szCs w:val="24"/>
        </w:rPr>
        <w:t xml:space="preserve">，含地笼、开挖、</w:t>
      </w:r>
      <w:r>
        <w:rPr>
          <w:rFonts w:hint="eastAsia" w:ascii="宋体" w:hAnsi="宋体" w:cs="宋体"/>
          <w:sz w:val="24"/>
          <w:szCs w:val="24"/>
        </w:rPr>
        <w:t xml:space="preserve">C25</w:t>
      </w:r>
      <w:r>
        <w:rPr>
          <w:rFonts w:hint="eastAsia" w:ascii="宋体" w:hAnsi="宋体" w:cs="宋体"/>
          <w:sz w:val="24"/>
          <w:szCs w:val="24"/>
        </w:rPr>
        <w:t xml:space="preserve">商砼基础浇筑，杆件防腐采用内外热浸镀锌，横梁、立柱、法兰结构件镀锌量不小于</w:t>
      </w:r>
      <w:r>
        <w:rPr>
          <w:rFonts w:hint="eastAsia" w:ascii="宋体" w:hAnsi="宋体" w:cs="宋体"/>
          <w:sz w:val="24"/>
          <w:szCs w:val="24"/>
        </w:rPr>
        <w:t xml:space="preserve">600g/</w:t>
      </w:r>
      <w:r>
        <w:rPr>
          <w:rFonts w:hint="eastAsia" w:ascii="宋体" w:hAnsi="宋体" w:cs="宋体"/>
          <w:sz w:val="24"/>
          <w:szCs w:val="24"/>
        </w:rPr>
        <w:t xml:space="preserve">㎡。地笼：固定法兰直径</w:t>
      </w:r>
      <w:r>
        <w:rPr>
          <w:rFonts w:hint="eastAsia" w:ascii="宋体" w:hAnsi="宋体" w:cs="宋体"/>
          <w:sz w:val="24"/>
          <w:szCs w:val="24"/>
        </w:rPr>
        <w:t xml:space="preserve">500-4mm</w:t>
      </w:r>
      <w:r>
        <w:rPr>
          <w:rFonts w:hint="eastAsia" w:ascii="宋体" w:hAnsi="宋体" w:cs="宋体"/>
          <w:sz w:val="24"/>
          <w:szCs w:val="24"/>
        </w:rPr>
        <w:t xml:space="preserve">厚，预埋件螺栓对角中心距</w:t>
      </w:r>
      <w:r>
        <w:rPr>
          <w:rFonts w:hint="eastAsia" w:ascii="宋体" w:hAnsi="宋体" w:cs="宋体"/>
          <w:sz w:val="24"/>
          <w:szCs w:val="24"/>
        </w:rPr>
        <w:t xml:space="preserve">400mm-8</w:t>
      </w:r>
      <w:r>
        <w:rPr>
          <w:rFonts w:hint="eastAsia" w:ascii="宋体" w:hAnsi="宋体" w:cs="宋体"/>
          <w:sz w:val="24"/>
          <w:szCs w:val="24"/>
        </w:rPr>
        <w:t xml:space="preserve">支</w:t>
      </w:r>
      <w:r>
        <w:rPr>
          <w:rFonts w:hint="eastAsia" w:ascii="宋体" w:hAnsi="宋体" w:cs="宋体"/>
          <w:sz w:val="24"/>
          <w:szCs w:val="24"/>
        </w:rPr>
        <w:t xml:space="preserve">M24</w:t>
      </w:r>
      <w:r>
        <w:rPr>
          <w:rFonts w:hint="eastAsia" w:ascii="宋体" w:hAnsi="宋体" w:cs="宋体"/>
          <w:sz w:val="24"/>
          <w:szCs w:val="24"/>
        </w:rPr>
        <w:t xml:space="preserve">圆钢长</w:t>
      </w:r>
      <w:r>
        <w:rPr>
          <w:rFonts w:hint="eastAsia" w:ascii="宋体" w:hAnsi="宋体" w:cs="宋体"/>
          <w:sz w:val="24"/>
          <w:szCs w:val="24"/>
        </w:rPr>
        <w:t xml:space="preserve">1.285</w:t>
      </w:r>
      <w:r>
        <w:rPr>
          <w:rFonts w:hint="eastAsia" w:ascii="宋体" w:hAnsi="宋体" w:cs="宋体"/>
          <w:sz w:val="24"/>
          <w:szCs w:val="24"/>
        </w:rPr>
        <w:t xml:space="preserve">米。杆件结构按</w:t>
      </w:r>
      <w:r>
        <w:rPr>
          <w:rFonts w:hint="eastAsia" w:ascii="宋体" w:hAnsi="宋体" w:cs="宋体"/>
          <w:sz w:val="24"/>
          <w:szCs w:val="24"/>
        </w:rPr>
        <w:t xml:space="preserve">12</w:t>
      </w:r>
      <w:r>
        <w:rPr>
          <w:rFonts w:hint="eastAsia" w:ascii="宋体" w:hAnsi="宋体" w:cs="宋体"/>
          <w:sz w:val="24"/>
          <w:szCs w:val="24"/>
        </w:rPr>
        <w:t xml:space="preserve">级台风设计，抗风能力达</w:t>
      </w:r>
      <w:r>
        <w:rPr>
          <w:rFonts w:hint="eastAsia" w:ascii="宋体" w:hAnsi="宋体" w:cs="宋体"/>
          <w:sz w:val="24"/>
          <w:szCs w:val="24"/>
        </w:rPr>
        <w:t xml:space="preserve">43m/s</w:t>
      </w:r>
      <w:r>
        <w:rPr>
          <w:rFonts w:hint="eastAsia" w:ascii="宋体" w:hAnsi="宋体" w:cs="宋体"/>
          <w:sz w:val="24"/>
          <w:szCs w:val="24"/>
        </w:rPr>
        <w:t xml:space="preserve">；</w:t>
      </w:r>
      <w:r>
        <w:rPr>
          <w:rFonts w:hint="eastAsia" w:ascii="宋体" w:hAnsi="宋体"/>
          <w:sz w:val="24"/>
          <w:szCs w:val="24"/>
        </w:rPr>
        <w:t xml:space="preserve">外观样式与通港大道海堤路东西向样式一致</w:t>
      </w:r>
      <w:r>
        <w:rPr>
          <w:rFonts w:ascii="宋体" w:hAnsi="宋体"/>
          <w:sz w:val="24"/>
          <w:szCs w:val="24"/>
        </w:rPr>
        <w:t xml:space="preserve">；</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7米挑臂（3+3）M杆件（含基础、地笼、浇筑）</w:t>
      </w:r>
      <w:r/>
    </w:p>
    <w:p>
      <w:pPr>
        <w:pStyle w:val="1052"/>
        <w:ind w:firstLine="480"/>
        <w:spacing w:line="480" w:lineRule="exact"/>
        <w:rPr>
          <w:rFonts w:ascii="宋体" w:hAnsi="宋体" w:cs="宋体"/>
          <w:sz w:val="24"/>
          <w:szCs w:val="24"/>
        </w:rPr>
      </w:pPr>
      <w:r>
        <w:rPr>
          <w:rFonts w:hint="eastAsia" w:ascii="宋体" w:hAnsi="宋体" w:cs="宋体"/>
          <w:sz w:val="24"/>
          <w:szCs w:val="24"/>
        </w:rPr>
        <w:t xml:space="preserve">立杆八角直径</w:t>
      </w:r>
      <w:r>
        <w:rPr>
          <w:rFonts w:hint="eastAsia" w:ascii="宋体" w:hAnsi="宋体" w:cs="宋体"/>
          <w:sz w:val="24"/>
          <w:szCs w:val="24"/>
        </w:rPr>
        <w:t xml:space="preserve">180-240-5mm</w:t>
      </w:r>
      <w:r>
        <w:rPr>
          <w:rFonts w:hint="eastAsia" w:ascii="宋体" w:hAnsi="宋体" w:cs="宋体"/>
          <w:sz w:val="24"/>
          <w:szCs w:val="24"/>
        </w:rPr>
        <w:t xml:space="preserve">厚，横臂八角直径</w:t>
      </w:r>
      <w:r>
        <w:rPr>
          <w:rFonts w:hint="eastAsia" w:ascii="宋体" w:hAnsi="宋体" w:cs="宋体"/>
          <w:sz w:val="24"/>
          <w:szCs w:val="24"/>
        </w:rPr>
        <w:t xml:space="preserve">110-145-3mm</w:t>
      </w:r>
      <w:r>
        <w:rPr>
          <w:rFonts w:hint="eastAsia" w:ascii="宋体" w:hAnsi="宋体" w:cs="宋体"/>
          <w:sz w:val="24"/>
          <w:szCs w:val="24"/>
        </w:rPr>
        <w:t xml:space="preserve">厚，基础法兰直径</w:t>
      </w:r>
      <w:r>
        <w:rPr>
          <w:rFonts w:hint="eastAsia" w:ascii="宋体" w:hAnsi="宋体" w:cs="宋体"/>
          <w:sz w:val="24"/>
          <w:szCs w:val="24"/>
        </w:rPr>
        <w:t xml:space="preserve">500-16mm</w:t>
      </w:r>
      <w:r>
        <w:rPr>
          <w:rFonts w:hint="eastAsia" w:ascii="宋体" w:hAnsi="宋体" w:cs="宋体"/>
          <w:sz w:val="24"/>
          <w:szCs w:val="24"/>
        </w:rPr>
        <w:t xml:space="preserve">厚，横臂法兰方型</w:t>
      </w:r>
      <w:r>
        <w:rPr>
          <w:rFonts w:hint="eastAsia" w:ascii="宋体" w:hAnsi="宋体" w:cs="宋体"/>
          <w:sz w:val="24"/>
          <w:szCs w:val="24"/>
        </w:rPr>
        <w:t xml:space="preserve">320*320-16mm</w:t>
      </w:r>
      <w:r>
        <w:rPr>
          <w:rFonts w:hint="eastAsia" w:ascii="宋体" w:hAnsi="宋体" w:cs="宋体"/>
          <w:sz w:val="24"/>
          <w:szCs w:val="24"/>
        </w:rPr>
        <w:t xml:space="preserve">厚，热镀锌后喷塑处理。固定法兰直径</w:t>
      </w:r>
      <w:r>
        <w:rPr>
          <w:rFonts w:hint="eastAsia" w:ascii="宋体" w:hAnsi="宋体" w:cs="宋体"/>
          <w:sz w:val="24"/>
          <w:szCs w:val="24"/>
        </w:rPr>
        <w:t xml:space="preserve">500-4mm</w:t>
      </w:r>
      <w:r>
        <w:rPr>
          <w:rFonts w:hint="eastAsia" w:ascii="宋体" w:hAnsi="宋体" w:cs="宋体"/>
          <w:sz w:val="24"/>
          <w:szCs w:val="24"/>
        </w:rPr>
        <w:t xml:space="preserve">厚，预埋件螺栓对角中心距</w:t>
      </w:r>
      <w:r>
        <w:rPr>
          <w:rFonts w:hint="eastAsia" w:ascii="宋体" w:hAnsi="宋体" w:cs="宋体"/>
          <w:sz w:val="24"/>
          <w:szCs w:val="24"/>
        </w:rPr>
        <w:t xml:space="preserve">400mm-8</w:t>
      </w:r>
      <w:r>
        <w:rPr>
          <w:rFonts w:hint="eastAsia" w:ascii="宋体" w:hAnsi="宋体" w:cs="宋体"/>
          <w:sz w:val="24"/>
          <w:szCs w:val="24"/>
        </w:rPr>
        <w:t xml:space="preserve">支</w:t>
      </w:r>
      <w:r>
        <w:rPr>
          <w:rFonts w:hint="eastAsia" w:ascii="宋体" w:hAnsi="宋体" w:cs="宋体"/>
          <w:sz w:val="24"/>
          <w:szCs w:val="24"/>
        </w:rPr>
        <w:t xml:space="preserve">M24</w:t>
      </w:r>
      <w:r>
        <w:rPr>
          <w:rFonts w:hint="eastAsia" w:ascii="宋体" w:hAnsi="宋体" w:cs="宋体"/>
          <w:sz w:val="24"/>
          <w:szCs w:val="24"/>
        </w:rPr>
        <w:t xml:space="preserve">圆钢长</w:t>
      </w:r>
      <w:r>
        <w:rPr>
          <w:rFonts w:hint="eastAsia" w:ascii="宋体" w:hAnsi="宋体" w:cs="宋体"/>
          <w:sz w:val="24"/>
          <w:szCs w:val="24"/>
        </w:rPr>
        <w:t xml:space="preserve">1.285</w:t>
      </w:r>
      <w:r>
        <w:rPr>
          <w:rFonts w:hint="eastAsia" w:ascii="宋体" w:hAnsi="宋体" w:cs="宋体"/>
          <w:sz w:val="24"/>
          <w:szCs w:val="24"/>
        </w:rPr>
        <w:t xml:space="preserve">米。基坑规格</w:t>
      </w:r>
      <w:r>
        <w:rPr>
          <w:rFonts w:hint="eastAsia" w:ascii="宋体" w:hAnsi="宋体" w:cs="宋体"/>
          <w:sz w:val="24"/>
          <w:szCs w:val="24"/>
        </w:rPr>
        <w:t xml:space="preserve">1200*1200-1400mm</w:t>
      </w:r>
      <w:r>
        <w:rPr>
          <w:rFonts w:hint="eastAsia" w:ascii="宋体" w:hAnsi="宋体" w:cs="宋体"/>
          <w:sz w:val="24"/>
          <w:szCs w:val="24"/>
        </w:rPr>
        <w:t xml:space="preserve">深。杆件结构按</w:t>
      </w:r>
      <w:r>
        <w:rPr>
          <w:rFonts w:hint="eastAsia" w:ascii="宋体" w:hAnsi="宋体" w:cs="宋体"/>
          <w:sz w:val="24"/>
          <w:szCs w:val="24"/>
        </w:rPr>
        <w:t xml:space="preserve">12</w:t>
      </w:r>
      <w:r>
        <w:rPr>
          <w:rFonts w:hint="eastAsia" w:ascii="宋体" w:hAnsi="宋体" w:cs="宋体"/>
          <w:sz w:val="24"/>
          <w:szCs w:val="24"/>
        </w:rPr>
        <w:t xml:space="preserve">级台风设计，抗风能力达</w:t>
      </w:r>
      <w:r>
        <w:rPr>
          <w:rFonts w:hint="eastAsia" w:ascii="宋体" w:hAnsi="宋体" w:cs="宋体"/>
          <w:sz w:val="24"/>
          <w:szCs w:val="24"/>
        </w:rPr>
        <w:t xml:space="preserve">43m/s</w:t>
      </w:r>
      <w:r>
        <w:rPr>
          <w:rFonts w:hint="eastAsia" w:ascii="宋体" w:hAnsi="宋体" w:cs="宋体"/>
          <w:sz w:val="24"/>
          <w:szCs w:val="24"/>
        </w:rPr>
        <w:t xml:space="preserve">；</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7米挑臂（9+9）M杆件（含基础、地笼、浇筑）</w:t>
      </w:r>
      <w:r/>
    </w:p>
    <w:p>
      <w:pPr>
        <w:pStyle w:val="1052"/>
        <w:ind w:firstLine="480"/>
        <w:spacing w:line="480" w:lineRule="exact"/>
        <w:rPr>
          <w:rFonts w:ascii="宋体" w:hAnsi="宋体" w:cs="宋体"/>
          <w:sz w:val="24"/>
          <w:szCs w:val="24"/>
        </w:rPr>
      </w:pPr>
      <w:r>
        <w:rPr>
          <w:rFonts w:hint="eastAsia" w:ascii="宋体" w:hAnsi="宋体" w:cs="宋体"/>
          <w:sz w:val="24"/>
          <w:szCs w:val="24"/>
        </w:rPr>
        <w:t xml:space="preserve">立杆八角直径</w:t>
      </w:r>
      <w:r>
        <w:rPr>
          <w:rFonts w:hint="eastAsia" w:ascii="宋体" w:hAnsi="宋体" w:cs="宋体"/>
          <w:sz w:val="24"/>
          <w:szCs w:val="24"/>
        </w:rPr>
        <w:t xml:space="preserve">270-330-8mm</w:t>
      </w:r>
      <w:r>
        <w:rPr>
          <w:rFonts w:hint="eastAsia" w:ascii="宋体" w:hAnsi="宋体" w:cs="宋体"/>
          <w:sz w:val="24"/>
          <w:szCs w:val="24"/>
        </w:rPr>
        <w:t xml:space="preserve">厚，横臂八角直径</w:t>
      </w:r>
      <w:r>
        <w:rPr>
          <w:rFonts w:hint="eastAsia" w:ascii="宋体" w:hAnsi="宋体" w:cs="宋体"/>
          <w:sz w:val="24"/>
          <w:szCs w:val="24"/>
        </w:rPr>
        <w:t xml:space="preserve">110-240-5mm</w:t>
      </w:r>
      <w:r>
        <w:rPr>
          <w:rFonts w:hint="eastAsia" w:ascii="宋体" w:hAnsi="宋体" w:cs="宋体"/>
          <w:sz w:val="24"/>
          <w:szCs w:val="24"/>
        </w:rPr>
        <w:t xml:space="preserve">厚，基础法兰直径</w:t>
      </w:r>
      <w:r>
        <w:rPr>
          <w:rFonts w:hint="eastAsia" w:ascii="宋体" w:hAnsi="宋体" w:cs="宋体"/>
          <w:sz w:val="24"/>
          <w:szCs w:val="24"/>
        </w:rPr>
        <w:t xml:space="preserve">550-20mm</w:t>
      </w:r>
      <w:r>
        <w:rPr>
          <w:rFonts w:hint="eastAsia" w:ascii="宋体" w:hAnsi="宋体" w:cs="宋体"/>
          <w:sz w:val="24"/>
          <w:szCs w:val="24"/>
        </w:rPr>
        <w:t xml:space="preserve">厚，横臂法兰方型</w:t>
      </w:r>
      <w:r>
        <w:rPr>
          <w:rFonts w:hint="eastAsia" w:ascii="宋体" w:hAnsi="宋体" w:cs="宋体"/>
          <w:sz w:val="24"/>
          <w:szCs w:val="24"/>
        </w:rPr>
        <w:t xml:space="preserve">420*420-18mm</w:t>
      </w:r>
      <w:r>
        <w:rPr>
          <w:rFonts w:hint="eastAsia" w:ascii="宋体" w:hAnsi="宋体" w:cs="宋体"/>
          <w:sz w:val="24"/>
          <w:szCs w:val="24"/>
        </w:rPr>
        <w:t xml:space="preserve">厚，热镀锌后喷塑处理。固定法兰直径</w:t>
      </w:r>
      <w:r>
        <w:rPr>
          <w:rFonts w:hint="eastAsia" w:ascii="宋体" w:hAnsi="宋体" w:cs="宋体"/>
          <w:sz w:val="24"/>
          <w:szCs w:val="24"/>
        </w:rPr>
        <w:t xml:space="preserve">550-5mm</w:t>
      </w:r>
      <w:r>
        <w:rPr>
          <w:rFonts w:hint="eastAsia" w:ascii="宋体" w:hAnsi="宋体" w:cs="宋体"/>
          <w:sz w:val="24"/>
          <w:szCs w:val="24"/>
        </w:rPr>
        <w:t xml:space="preserve">厚，预埋件螺栓对角中心距</w:t>
      </w:r>
      <w:r>
        <w:rPr>
          <w:rFonts w:hint="eastAsia" w:ascii="宋体" w:hAnsi="宋体" w:cs="宋体"/>
          <w:sz w:val="24"/>
          <w:szCs w:val="24"/>
        </w:rPr>
        <w:t xml:space="preserve">450mm-8</w:t>
      </w:r>
      <w:r>
        <w:rPr>
          <w:rFonts w:hint="eastAsia" w:ascii="宋体" w:hAnsi="宋体" w:cs="宋体"/>
          <w:sz w:val="24"/>
          <w:szCs w:val="24"/>
        </w:rPr>
        <w:t xml:space="preserve">支</w:t>
      </w:r>
      <w:r>
        <w:rPr>
          <w:rFonts w:hint="eastAsia" w:ascii="宋体" w:hAnsi="宋体" w:cs="宋体"/>
          <w:sz w:val="24"/>
          <w:szCs w:val="24"/>
        </w:rPr>
        <w:t xml:space="preserve">M30</w:t>
      </w:r>
      <w:r>
        <w:rPr>
          <w:rFonts w:hint="eastAsia" w:ascii="宋体" w:hAnsi="宋体" w:cs="宋体"/>
          <w:sz w:val="24"/>
          <w:szCs w:val="24"/>
        </w:rPr>
        <w:t xml:space="preserve">圆钢长</w:t>
      </w:r>
      <w:r>
        <w:rPr>
          <w:rFonts w:hint="eastAsia" w:ascii="宋体" w:hAnsi="宋体" w:cs="宋体"/>
          <w:sz w:val="24"/>
          <w:szCs w:val="24"/>
        </w:rPr>
        <w:t xml:space="preserve">1.5</w:t>
      </w:r>
      <w:r>
        <w:rPr>
          <w:rFonts w:hint="eastAsia" w:ascii="宋体" w:hAnsi="宋体" w:cs="宋体"/>
          <w:sz w:val="24"/>
          <w:szCs w:val="24"/>
        </w:rPr>
        <w:t xml:space="preserve">米。基坑规格</w:t>
      </w:r>
      <w:r>
        <w:rPr>
          <w:rFonts w:hint="eastAsia" w:ascii="宋体" w:hAnsi="宋体" w:cs="宋体"/>
          <w:sz w:val="24"/>
          <w:szCs w:val="24"/>
        </w:rPr>
        <w:t xml:space="preserve">1600*1600-1800mm</w:t>
      </w:r>
      <w:r>
        <w:rPr>
          <w:rFonts w:hint="eastAsia" w:ascii="宋体" w:hAnsi="宋体" w:cs="宋体"/>
          <w:sz w:val="24"/>
          <w:szCs w:val="24"/>
        </w:rPr>
        <w:t xml:space="preserve">深。杆件结构按</w:t>
      </w:r>
      <w:r>
        <w:rPr>
          <w:rFonts w:hint="eastAsia" w:ascii="宋体" w:hAnsi="宋体" w:cs="宋体"/>
          <w:sz w:val="24"/>
          <w:szCs w:val="24"/>
        </w:rPr>
        <w:t xml:space="preserve">12</w:t>
      </w:r>
      <w:r>
        <w:rPr>
          <w:rFonts w:hint="eastAsia" w:ascii="宋体" w:hAnsi="宋体" w:cs="宋体"/>
          <w:sz w:val="24"/>
          <w:szCs w:val="24"/>
        </w:rPr>
        <w:t xml:space="preserve">级台风设计，抗风能力达</w:t>
      </w:r>
      <w:r>
        <w:rPr>
          <w:rFonts w:hint="eastAsia" w:ascii="宋体" w:hAnsi="宋体" w:cs="宋体"/>
          <w:sz w:val="24"/>
          <w:szCs w:val="24"/>
        </w:rPr>
        <w:t xml:space="preserve">43m/s</w:t>
      </w:r>
      <w:r>
        <w:rPr>
          <w:rFonts w:hint="eastAsia" w:ascii="宋体" w:hAnsi="宋体" w:cs="宋体"/>
          <w:sz w:val="24"/>
          <w:szCs w:val="24"/>
        </w:rPr>
        <w:t xml:space="preserve">；</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15米挑臂1米杆件（含基础、地笼、浇筑）</w:t>
      </w:r>
      <w:r/>
    </w:p>
    <w:p>
      <w:pPr>
        <w:pStyle w:val="1052"/>
        <w:ind w:firstLine="480"/>
        <w:spacing w:line="480" w:lineRule="exact"/>
        <w:rPr>
          <w:rFonts w:ascii="宋体" w:hAnsi="宋体"/>
          <w:sz w:val="24"/>
          <w:szCs w:val="24"/>
        </w:rPr>
      </w:pPr>
      <w:r>
        <w:rPr>
          <w:rFonts w:hint="eastAsia" w:ascii="宋体" w:hAnsi="宋体"/>
          <w:sz w:val="24"/>
          <w:szCs w:val="24"/>
        </w:rPr>
        <w:t xml:space="preserve">立杆对角直径</w:t>
      </w:r>
      <w:r>
        <w:rPr>
          <w:rFonts w:hint="eastAsia" w:ascii="宋体" w:hAnsi="宋体"/>
          <w:sz w:val="24"/>
          <w:szCs w:val="24"/>
        </w:rPr>
        <w:t xml:space="preserve">210-290-360-6+8mm</w:t>
      </w:r>
      <w:r>
        <w:rPr>
          <w:rFonts w:hint="eastAsia" w:ascii="宋体" w:hAnsi="宋体"/>
          <w:sz w:val="24"/>
          <w:szCs w:val="24"/>
        </w:rPr>
        <w:t xml:space="preserve">厚，横臂</w:t>
      </w:r>
      <w:r>
        <w:rPr>
          <w:rFonts w:hint="eastAsia" w:ascii="宋体" w:hAnsi="宋体"/>
          <w:sz w:val="24"/>
          <w:szCs w:val="24"/>
        </w:rPr>
        <w:t xml:space="preserve">60-3mm</w:t>
      </w:r>
      <w:r>
        <w:rPr>
          <w:rFonts w:hint="eastAsia" w:ascii="宋体" w:hAnsi="宋体"/>
          <w:sz w:val="24"/>
          <w:szCs w:val="24"/>
        </w:rPr>
        <w:t xml:space="preserve">厚</w:t>
      </w:r>
      <w:r>
        <w:rPr>
          <w:rFonts w:hint="eastAsia" w:ascii="宋体" w:hAnsi="宋体"/>
          <w:sz w:val="24"/>
          <w:szCs w:val="24"/>
        </w:rPr>
        <w:t xml:space="preserve">-1</w:t>
      </w:r>
      <w:r>
        <w:rPr>
          <w:rFonts w:hint="eastAsia" w:ascii="宋体" w:hAnsi="宋体"/>
          <w:sz w:val="24"/>
          <w:szCs w:val="24"/>
        </w:rPr>
        <w:t xml:space="preserve">米，基础法兰直径</w:t>
      </w:r>
      <w:r>
        <w:rPr>
          <w:rFonts w:hint="eastAsia" w:ascii="宋体" w:hAnsi="宋体"/>
          <w:sz w:val="24"/>
          <w:szCs w:val="24"/>
        </w:rPr>
        <w:t xml:space="preserve">600-20mm</w:t>
      </w:r>
      <w:r>
        <w:rPr>
          <w:rFonts w:hint="eastAsia" w:ascii="宋体" w:hAnsi="宋体"/>
          <w:sz w:val="24"/>
          <w:szCs w:val="24"/>
        </w:rPr>
        <w:t xml:space="preserve">厚，热镀锌后喷塑白色。立柱顶部焊避雷针。含检修平台。含爬梯。立杆做对接，</w:t>
      </w:r>
      <w:r>
        <w:rPr>
          <w:rFonts w:hint="eastAsia" w:ascii="宋体" w:hAnsi="宋体" w:cs="宋体"/>
          <w:sz w:val="24"/>
          <w:szCs w:val="24"/>
        </w:rPr>
        <w:t xml:space="preserve">基础开挖尺寸不低于</w:t>
      </w:r>
      <w:r>
        <w:rPr>
          <w:rFonts w:hint="eastAsia" w:ascii="宋体" w:hAnsi="宋体" w:cs="宋体"/>
          <w:sz w:val="24"/>
          <w:szCs w:val="24"/>
        </w:rPr>
        <w:t xml:space="preserve">2m*2m*2.2m</w:t>
      </w:r>
      <w:r/>
    </w:p>
    <w:p>
      <w:pPr>
        <w:pStyle w:val="1052"/>
        <w:ind w:firstLine="480"/>
        <w:spacing w:line="480" w:lineRule="exact"/>
        <w:rPr>
          <w:rFonts w:ascii="宋体" w:hAnsi="宋体"/>
          <w:sz w:val="24"/>
          <w:szCs w:val="24"/>
        </w:rPr>
      </w:pPr>
      <w:r>
        <w:rPr>
          <w:rFonts w:hint="eastAsia" w:ascii="宋体" w:hAnsi="宋体"/>
          <w:sz w:val="24"/>
          <w:szCs w:val="24"/>
        </w:rPr>
        <w:t xml:space="preserve">固定法兰直径</w:t>
      </w:r>
      <w:r>
        <w:rPr>
          <w:rFonts w:hint="eastAsia" w:ascii="宋体" w:hAnsi="宋体"/>
          <w:sz w:val="24"/>
          <w:szCs w:val="24"/>
        </w:rPr>
        <w:t xml:space="preserve">600-6mm</w:t>
      </w:r>
      <w:r>
        <w:rPr>
          <w:rFonts w:hint="eastAsia" w:ascii="宋体" w:hAnsi="宋体"/>
          <w:sz w:val="24"/>
          <w:szCs w:val="24"/>
        </w:rPr>
        <w:t xml:space="preserve">厚，预埋件螺栓对角中心距</w:t>
      </w:r>
      <w:r>
        <w:rPr>
          <w:rFonts w:hint="eastAsia" w:ascii="宋体" w:hAnsi="宋体"/>
          <w:sz w:val="24"/>
          <w:szCs w:val="24"/>
        </w:rPr>
        <w:t xml:space="preserve">500mm-8</w:t>
      </w:r>
      <w:r>
        <w:rPr>
          <w:rFonts w:hint="eastAsia" w:ascii="宋体" w:hAnsi="宋体"/>
          <w:sz w:val="24"/>
          <w:szCs w:val="24"/>
        </w:rPr>
        <w:t xml:space="preserve">支</w:t>
      </w:r>
      <w:r>
        <w:rPr>
          <w:rFonts w:hint="eastAsia" w:ascii="宋体" w:hAnsi="宋体"/>
          <w:sz w:val="24"/>
          <w:szCs w:val="24"/>
        </w:rPr>
        <w:t xml:space="preserve">M30</w:t>
      </w:r>
      <w:r>
        <w:rPr>
          <w:rFonts w:hint="eastAsia" w:ascii="宋体" w:hAnsi="宋体"/>
          <w:sz w:val="24"/>
          <w:szCs w:val="24"/>
        </w:rPr>
        <w:t xml:space="preserve">圆钢长</w:t>
      </w:r>
      <w:r>
        <w:rPr>
          <w:rFonts w:hint="eastAsia" w:ascii="宋体" w:hAnsi="宋体"/>
          <w:sz w:val="24"/>
          <w:szCs w:val="24"/>
        </w:rPr>
        <w:t xml:space="preserve">1.8</w:t>
      </w:r>
      <w:r>
        <w:rPr>
          <w:rFonts w:hint="eastAsia" w:ascii="宋体" w:hAnsi="宋体"/>
          <w:sz w:val="24"/>
          <w:szCs w:val="24"/>
        </w:rPr>
        <w:t xml:space="preserve">米，</w:t>
      </w:r>
      <w:r>
        <w:rPr>
          <w:rFonts w:hint="eastAsia" w:ascii="宋体" w:hAnsi="宋体" w:cs="宋体"/>
          <w:sz w:val="24"/>
          <w:szCs w:val="24"/>
        </w:rPr>
        <w:t xml:space="preserve">C25</w:t>
      </w:r>
      <w:r>
        <w:rPr>
          <w:rFonts w:hint="eastAsia" w:ascii="宋体" w:hAnsi="宋体" w:cs="宋体"/>
          <w:sz w:val="24"/>
          <w:szCs w:val="24"/>
        </w:rPr>
        <w:t xml:space="preserve">商砼基础浇筑，杆件结构按</w:t>
      </w:r>
      <w:r>
        <w:rPr>
          <w:rFonts w:hint="eastAsia" w:ascii="宋体" w:hAnsi="宋体" w:cs="宋体"/>
          <w:sz w:val="24"/>
          <w:szCs w:val="24"/>
        </w:rPr>
        <w:t xml:space="preserve">12</w:t>
      </w:r>
      <w:r>
        <w:rPr>
          <w:rFonts w:hint="eastAsia" w:ascii="宋体" w:hAnsi="宋体" w:cs="宋体"/>
          <w:sz w:val="24"/>
          <w:szCs w:val="24"/>
        </w:rPr>
        <w:t xml:space="preserve">级台风设计，抗风能力达</w:t>
      </w:r>
      <w:r>
        <w:rPr>
          <w:rFonts w:hint="eastAsia" w:ascii="宋体" w:hAnsi="宋体" w:cs="宋体"/>
          <w:sz w:val="24"/>
          <w:szCs w:val="24"/>
        </w:rPr>
        <w:t xml:space="preserve">43m/s</w:t>
      </w:r>
      <w:r>
        <w:rPr>
          <w:rFonts w:hint="eastAsia" w:ascii="宋体" w:hAnsi="宋体" w:cs="宋体"/>
          <w:sz w:val="24"/>
          <w:szCs w:val="24"/>
        </w:rPr>
        <w:t xml:space="preserve">；</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U型球机支架</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U型支架，臂厚不小于2mm，热镀锌喷塑。安装接线不许外露，在杆件内穿线接线连接，需符合架设杆件所属部门的相关要求。</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结构化组件</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直径不小于60mm，臂厚不小于3mm，做斜撑设计，热镀锌喷塑。长度（0.</w:t>
      </w:r>
      <w:r>
        <w:rPr>
          <w:rFonts w:ascii="宋体" w:hAnsi="宋体"/>
          <w:sz w:val="24"/>
          <w:szCs w:val="24"/>
        </w:rPr>
        <w:t xml:space="preserve">3</w:t>
      </w:r>
      <w:r>
        <w:rPr>
          <w:rFonts w:hint="eastAsia" w:ascii="宋体" w:hAnsi="宋体"/>
          <w:sz w:val="24"/>
          <w:szCs w:val="24"/>
        </w:rPr>
        <w:t xml:space="preserve">米~3米）及</w:t>
      </w:r>
      <w:r>
        <w:rPr>
          <w:rFonts w:hint="eastAsia" w:ascii="宋体" w:hAnsi="宋体"/>
          <w:sz w:val="24"/>
          <w:szCs w:val="24"/>
        </w:rPr>
        <w:t xml:space="preserve">安装高度根据现场环境调整，固定件热镀锌喷塑采用不低于40mm宽，厚度不低于2Mm抱杆包箍固定（不允许使用钢扎带或自紧钢箍带固定安装组件），安装接线不许外露，在杆件内穿线接线连接，需符合架设杆件所属部门的相关要求。</w:t>
      </w:r>
      <w:r/>
    </w:p>
    <w:p>
      <w:pPr>
        <w:pStyle w:val="999"/>
        <w:ind w:firstLine="482"/>
        <w:spacing w:before="0" w:after="0" w:line="480" w:lineRule="exact"/>
        <w:rPr>
          <w:rFonts w:ascii="宋体" w:hAnsi="宋体"/>
          <w:sz w:val="24"/>
          <w:szCs w:val="24"/>
        </w:rPr>
      </w:pPr>
      <w:r>
        <w:rPr>
          <w:rFonts w:ascii="宋体" w:hAnsi="宋体"/>
          <w:sz w:val="24"/>
          <w:szCs w:val="24"/>
        </w:rPr>
        <w:t xml:space="preserve">辅助信号灯杆（含基础、地笼、浇筑）</w:t>
      </w:r>
      <w:r/>
    </w:p>
    <w:p>
      <w:pPr>
        <w:pStyle w:val="1052"/>
        <w:ind w:firstLine="480"/>
        <w:spacing w:line="480" w:lineRule="exact"/>
        <w:rPr>
          <w:rFonts w:ascii="宋体" w:hAnsi="宋体"/>
          <w:sz w:val="24"/>
          <w:szCs w:val="24"/>
        </w:rPr>
      </w:pPr>
      <w:r>
        <w:rPr>
          <w:rFonts w:hint="eastAsia" w:ascii="宋体" w:hAnsi="宋体"/>
          <w:sz w:val="24"/>
          <w:szCs w:val="24"/>
        </w:rPr>
        <w:t xml:space="preserve">杆件</w:t>
      </w:r>
      <w:r>
        <w:rPr>
          <w:rFonts w:ascii="宋体" w:hAnsi="宋体"/>
          <w:sz w:val="24"/>
          <w:szCs w:val="24"/>
        </w:rPr>
        <w:t xml:space="preserve">L</w:t>
      </w:r>
      <w:r>
        <w:rPr>
          <w:rFonts w:ascii="宋体" w:hAnsi="宋体"/>
          <w:sz w:val="24"/>
          <w:szCs w:val="24"/>
        </w:rPr>
        <w:t xml:space="preserve">型，立杆高</w:t>
      </w:r>
      <w:r>
        <w:rPr>
          <w:rFonts w:hint="eastAsia" w:ascii="宋体" w:hAnsi="宋体"/>
          <w:sz w:val="24"/>
          <w:szCs w:val="24"/>
        </w:rPr>
        <w:t xml:space="preserve">4</w:t>
      </w:r>
      <w:r>
        <w:rPr>
          <w:rFonts w:ascii="宋体" w:hAnsi="宋体"/>
          <w:sz w:val="24"/>
          <w:szCs w:val="24"/>
        </w:rPr>
        <w:t xml:space="preserve">.5m</w:t>
      </w:r>
      <w:r>
        <w:rPr>
          <w:rFonts w:ascii="宋体" w:hAnsi="宋体"/>
          <w:sz w:val="24"/>
          <w:szCs w:val="24"/>
        </w:rPr>
        <w:t xml:space="preserve">，立杆八角直径</w:t>
      </w:r>
      <w:r>
        <w:rPr>
          <w:rFonts w:ascii="宋体" w:hAnsi="宋体"/>
          <w:sz w:val="24"/>
          <w:szCs w:val="24"/>
        </w:rPr>
        <w:t xml:space="preserve">120-150-4mm</w:t>
      </w:r>
      <w:r>
        <w:rPr>
          <w:rFonts w:ascii="宋体" w:hAnsi="宋体"/>
          <w:sz w:val="24"/>
          <w:szCs w:val="24"/>
        </w:rPr>
        <w:t xml:space="preserve">厚；表面热镀锌喷塑，蓝底白杆，基础开挖尺寸不低于</w:t>
      </w:r>
      <w:r>
        <w:rPr>
          <w:rFonts w:ascii="宋体" w:hAnsi="宋体"/>
          <w:sz w:val="24"/>
          <w:szCs w:val="24"/>
        </w:rPr>
        <w:t xml:space="preserve">0.8m*0.8m*1m</w:t>
      </w:r>
      <w:r>
        <w:rPr>
          <w:rFonts w:ascii="宋体" w:hAnsi="宋体"/>
          <w:sz w:val="24"/>
          <w:szCs w:val="24"/>
        </w:rPr>
        <w:t xml:space="preserve">，含地笼、开挖、</w:t>
      </w:r>
      <w:r>
        <w:rPr>
          <w:rFonts w:hint="eastAsia" w:ascii="宋体" w:hAnsi="宋体" w:cs="宋体"/>
          <w:sz w:val="24"/>
          <w:szCs w:val="24"/>
        </w:rPr>
        <w:t xml:space="preserve">C25</w:t>
      </w:r>
      <w:r>
        <w:rPr>
          <w:rFonts w:hint="eastAsia" w:ascii="宋体" w:hAnsi="宋体" w:cs="宋体"/>
          <w:sz w:val="24"/>
          <w:szCs w:val="24"/>
        </w:rPr>
        <w:t xml:space="preserve">商砼基础浇筑</w:t>
      </w:r>
      <w:r>
        <w:rPr>
          <w:rFonts w:ascii="宋体" w:hAnsi="宋体"/>
          <w:sz w:val="24"/>
          <w:szCs w:val="24"/>
        </w:rPr>
        <w:t xml:space="preserve">。</w:t>
      </w:r>
      <w:r>
        <w:rPr>
          <w:rFonts w:hint="eastAsia" w:ascii="宋体" w:hAnsi="宋体"/>
          <w:sz w:val="24"/>
          <w:szCs w:val="24"/>
        </w:rPr>
        <w:t xml:space="preserve">外观样式与通港大道海堤路东西向样式一致</w:t>
      </w:r>
      <w:r>
        <w:rPr>
          <w:rFonts w:ascii="宋体" w:hAnsi="宋体"/>
          <w:sz w:val="24"/>
          <w:szCs w:val="24"/>
        </w:rPr>
        <w:t xml:space="preserve">；</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砖砌手井（含手井圈、盖）</w:t>
      </w:r>
      <w:r/>
    </w:p>
    <w:p>
      <w:pPr>
        <w:pStyle w:val="1133"/>
        <w:ind w:firstLine="480"/>
        <w:spacing w:line="480" w:lineRule="exact"/>
        <w:widowControl/>
        <w:rPr>
          <w:rFonts w:hint="default" w:ascii="宋体" w:hAnsi="宋体"/>
          <w:szCs w:val="24"/>
        </w:rPr>
      </w:pPr>
      <w:r>
        <w:rPr>
          <w:rFonts w:ascii="宋体" w:hAnsi="宋体"/>
          <w:szCs w:val="24"/>
        </w:rPr>
        <w:t xml:space="preserve">规格尺寸:500mm*500mm*500mm。</w:t>
      </w:r>
      <w:r/>
    </w:p>
    <w:p>
      <w:pPr>
        <w:pStyle w:val="1133"/>
        <w:ind w:firstLine="480"/>
        <w:spacing w:line="480" w:lineRule="exact"/>
        <w:widowControl/>
        <w:rPr>
          <w:rFonts w:hint="default" w:ascii="宋体" w:hAnsi="宋体"/>
          <w:szCs w:val="24"/>
        </w:rPr>
      </w:pPr>
      <w:r>
        <w:rPr>
          <w:rFonts w:ascii="宋体" w:hAnsi="宋体"/>
          <w:szCs w:val="24"/>
        </w:rPr>
        <w:t xml:space="preserve">盖板材质、规格:预制钢筋砼盖板。</w:t>
      </w:r>
      <w:r/>
    </w:p>
    <w:p>
      <w:pPr>
        <w:pStyle w:val="1133"/>
        <w:ind w:firstLine="480"/>
        <w:spacing w:line="480" w:lineRule="exact"/>
        <w:widowControl/>
        <w:rPr>
          <w:rFonts w:hint="default" w:ascii="宋体" w:hAnsi="宋体"/>
          <w:szCs w:val="24"/>
        </w:rPr>
      </w:pPr>
      <w:r>
        <w:rPr>
          <w:rFonts w:ascii="宋体" w:hAnsi="宋体"/>
          <w:szCs w:val="24"/>
        </w:rPr>
        <w:t xml:space="preserve">井盖上印有“公安专用”标志。</w:t>
      </w:r>
      <w:r/>
    </w:p>
    <w:p>
      <w:pPr>
        <w:pStyle w:val="999"/>
        <w:ind w:firstLine="482"/>
        <w:spacing w:before="0" w:after="0" w:line="480" w:lineRule="exact"/>
        <w:rPr>
          <w:rFonts w:ascii="宋体" w:hAnsi="宋体"/>
          <w:sz w:val="24"/>
          <w:szCs w:val="24"/>
        </w:rPr>
      </w:pPr>
      <w:r>
        <w:rPr>
          <w:rFonts w:hint="eastAsia" w:ascii="宋体" w:hAnsi="宋体"/>
          <w:sz w:val="24"/>
          <w:szCs w:val="24"/>
        </w:rPr>
        <w:t xml:space="preserve">服务器</w:t>
      </w:r>
      <w:r/>
    </w:p>
    <w:p>
      <w:pPr>
        <w:pStyle w:val="1133"/>
        <w:ind w:firstLine="480"/>
        <w:spacing w:line="480" w:lineRule="exact"/>
        <w:widowControl/>
        <w:rPr>
          <w:rFonts w:hint="default" w:ascii="宋体" w:hAnsi="宋体"/>
          <w:szCs w:val="24"/>
        </w:rPr>
      </w:pPr>
      <w:r>
        <w:rPr>
          <w:rFonts w:ascii="宋体" w:hAnsi="宋体"/>
          <w:szCs w:val="24"/>
        </w:rPr>
        <w:t xml:space="preserve">国内自主品牌,电子数据网盘扩容300T：</w:t>
      </w:r>
      <w:r/>
    </w:p>
    <w:p>
      <w:pPr>
        <w:pStyle w:val="1133"/>
        <w:ind w:firstLine="480"/>
        <w:spacing w:line="480" w:lineRule="exact"/>
        <w:widowControl/>
        <w:rPr>
          <w:rFonts w:hint="default" w:ascii="宋体" w:hAnsi="宋体"/>
          <w:szCs w:val="24"/>
        </w:rPr>
      </w:pPr>
      <w:r>
        <w:rPr>
          <w:rFonts w:ascii="宋体" w:hAnsi="宋体"/>
          <w:szCs w:val="24"/>
        </w:rPr>
        <w:t xml:space="preserve">硬件参数</w:t>
      </w:r>
      <w:r/>
    </w:p>
    <w:p>
      <w:pPr>
        <w:pStyle w:val="1133"/>
        <w:ind w:firstLine="480"/>
        <w:spacing w:line="480" w:lineRule="exact"/>
        <w:widowControl/>
        <w:rPr>
          <w:rFonts w:hint="default" w:ascii="宋体" w:hAnsi="宋体"/>
          <w:szCs w:val="24"/>
        </w:rPr>
      </w:pPr>
      <w:r>
        <w:rPr>
          <w:rFonts w:ascii="宋体" w:hAnsi="宋体"/>
          <w:szCs w:val="24"/>
        </w:rPr>
        <w:t xml:space="preserve">1、3U机架式，嵌入式64位4核8线程3.4GHz存储专用处理器，内存≥32GB DDR4 ECC，含原厂安装导轨；</w:t>
      </w:r>
      <w:r/>
    </w:p>
    <w:p>
      <w:pPr>
        <w:pStyle w:val="1133"/>
        <w:ind w:firstLine="480"/>
        <w:spacing w:line="480" w:lineRule="exact"/>
        <w:widowControl/>
        <w:rPr>
          <w:rFonts w:hint="default" w:ascii="宋体" w:hAnsi="宋体"/>
          <w:szCs w:val="24"/>
        </w:rPr>
      </w:pPr>
      <w:r>
        <w:rPr>
          <w:rFonts w:ascii="宋体" w:hAnsi="宋体"/>
          <w:szCs w:val="24"/>
        </w:rPr>
        <w:t xml:space="preserve">2、盘位≥16，支持2.5/3.5 SATA、SAS、SSD；包含16个20TB 企业级SAS硬盘，MTBF≥250万小时；支持热插拔，支持在线扩充磁盘柜挂载；</w:t>
      </w:r>
      <w:r/>
    </w:p>
    <w:p>
      <w:pPr>
        <w:pStyle w:val="1133"/>
        <w:ind w:firstLine="480"/>
        <w:spacing w:line="480" w:lineRule="exact"/>
        <w:widowControl/>
        <w:rPr>
          <w:rFonts w:hint="default" w:ascii="宋体" w:hAnsi="宋体"/>
          <w:szCs w:val="24"/>
        </w:rPr>
      </w:pPr>
      <w:r>
        <w:rPr>
          <w:rFonts w:ascii="宋体" w:hAnsi="宋体"/>
          <w:szCs w:val="24"/>
        </w:rPr>
        <w:t xml:space="preserve">3、系统盘：240GB 企业级SSD；</w:t>
      </w:r>
      <w:r/>
    </w:p>
    <w:p>
      <w:pPr>
        <w:pStyle w:val="1133"/>
        <w:ind w:firstLine="480"/>
        <w:spacing w:line="480" w:lineRule="exact"/>
        <w:widowControl/>
        <w:rPr>
          <w:rFonts w:hint="default" w:ascii="宋体" w:hAnsi="宋体"/>
          <w:szCs w:val="24"/>
        </w:rPr>
      </w:pPr>
      <w:r>
        <w:rPr>
          <w:rFonts w:ascii="宋体" w:hAnsi="宋体"/>
          <w:szCs w:val="24"/>
        </w:rPr>
        <w:t xml:space="preserve">4、RAID：具有RAID级别：RAID 0,1,5,6,7,10,50,60,单盘，具有专用热备、全局热备、具有磁盘漫游；具有RAID自动重建、重建接续等；</w:t>
      </w:r>
      <w:r/>
    </w:p>
    <w:p>
      <w:pPr>
        <w:pStyle w:val="1133"/>
        <w:ind w:firstLine="480"/>
        <w:spacing w:line="480" w:lineRule="exact"/>
        <w:widowControl/>
        <w:rPr>
          <w:rFonts w:hint="default" w:ascii="宋体" w:hAnsi="宋体"/>
          <w:szCs w:val="24"/>
        </w:rPr>
      </w:pPr>
      <w:r>
        <w:rPr>
          <w:rFonts w:ascii="宋体" w:hAnsi="宋体"/>
          <w:szCs w:val="24"/>
        </w:rPr>
        <w:t xml:space="preserve">5、网口：1GB网络电口≥4，USB3.0接口≥2，10G SFP+接口≥2个；SFF-8644扩展接口≥1个；</w:t>
      </w:r>
      <w:r/>
    </w:p>
    <w:p>
      <w:pPr>
        <w:pStyle w:val="1133"/>
        <w:ind w:firstLine="480"/>
        <w:spacing w:line="480" w:lineRule="exact"/>
        <w:widowControl/>
        <w:rPr>
          <w:rFonts w:hint="default" w:ascii="宋体" w:hAnsi="宋体"/>
          <w:szCs w:val="24"/>
        </w:rPr>
      </w:pPr>
      <w:r>
        <w:rPr>
          <w:rFonts w:ascii="宋体" w:hAnsi="宋体"/>
          <w:szCs w:val="24"/>
        </w:rPr>
        <w:t xml:space="preserve">6、550W 冗余电源≥2；</w:t>
      </w:r>
      <w:r/>
    </w:p>
    <w:p>
      <w:pPr>
        <w:pStyle w:val="1133"/>
        <w:ind w:firstLine="480"/>
        <w:spacing w:line="480" w:lineRule="exact"/>
        <w:widowControl/>
        <w:rPr>
          <w:rFonts w:hint="default" w:ascii="宋体" w:hAnsi="宋体"/>
          <w:szCs w:val="24"/>
        </w:rPr>
      </w:pPr>
      <w:r>
        <w:rPr>
          <w:rFonts w:ascii="宋体" w:hAnsi="宋体"/>
          <w:szCs w:val="24"/>
        </w:rPr>
        <w:t xml:space="preserve">7、提供产品售后承诺函及原厂项目授权书原件。</w:t>
      </w:r>
      <w:r/>
    </w:p>
    <w:p>
      <w:pPr>
        <w:pStyle w:val="1133"/>
        <w:ind w:firstLine="480"/>
        <w:spacing w:line="480" w:lineRule="exact"/>
        <w:widowControl/>
        <w:rPr>
          <w:rFonts w:hint="default" w:ascii="宋体" w:hAnsi="宋体"/>
          <w:szCs w:val="24"/>
        </w:rPr>
      </w:pPr>
      <w:r>
        <w:rPr>
          <w:rFonts w:ascii="宋体" w:hAnsi="宋体"/>
          <w:szCs w:val="24"/>
        </w:rPr>
        <w:t xml:space="preserve">8、含配套UPS不间断电源，C1K 1000VA/800W+com线</w:t>
      </w:r>
      <w:r/>
    </w:p>
    <w:p>
      <w:pPr>
        <w:pStyle w:val="996"/>
        <w:ind w:firstLine="482"/>
        <w:jc w:val="left"/>
        <w:rPr>
          <w:rFonts w:ascii="宋体" w:hAnsi="宋体" w:eastAsia="宋体"/>
          <w:sz w:val="24"/>
          <w:szCs w:val="24"/>
        </w:rPr>
      </w:pPr>
      <w:r/>
      <w:bookmarkStart w:id="91" w:name="_Toc23322"/>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7</w:t>
      </w:r>
      <w:r>
        <w:rPr>
          <w:rFonts w:ascii="宋体" w:hAnsi="宋体" w:eastAsia="宋体"/>
          <w:sz w:val="24"/>
          <w:szCs w:val="24"/>
        </w:rPr>
        <w:t xml:space="preserve">项目硬件配置清单</w:t>
      </w:r>
      <w:bookmarkEnd w:id="91"/>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8"/>
        <w:gridCol w:w="2453"/>
        <w:gridCol w:w="4963"/>
        <w:gridCol w:w="698"/>
        <w:gridCol w:w="816"/>
      </w:tblGrid>
      <w:tr>
        <w:trPr>
          <w:trHeight w:val="450"/>
        </w:trPr>
        <w:tc>
          <w:tcPr>
            <w:gridSpan w:val="5"/>
            <w:shd w:val="clear" w:color="auto" w:fill="auto"/>
            <w:tcW w:w="0" w:type="auto"/>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rPr>
              <w:t xml:space="preserve">农村三口</w:t>
            </w:r>
            <w:r/>
          </w:p>
        </w:tc>
      </w:tr>
      <w:tr>
        <w:trPr>
          <w:trHeight w:val="624"/>
        </w:trPr>
        <w:tc>
          <w:tcPr>
            <w:shd w:val="clear" w:color="auto" w:fill="auto"/>
            <w:tcW w:w="0" w:type="auto"/>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rPr>
              <w:t xml:space="preserve">序号</w:t>
            </w:r>
            <w:r/>
          </w:p>
        </w:tc>
        <w:tc>
          <w:tcPr>
            <w:shd w:val="clear" w:color="auto" w:fill="auto"/>
            <w:tcW w:w="0" w:type="auto"/>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rPr>
              <w:t xml:space="preserve">产品类别</w:t>
            </w:r>
            <w:r/>
          </w:p>
        </w:tc>
        <w:tc>
          <w:tcPr>
            <w:shd w:val="clear" w:color="auto" w:fill="auto"/>
            <w:tcW w:w="0" w:type="auto"/>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rPr>
              <w:t xml:space="preserve">标底参数</w:t>
            </w:r>
            <w:r/>
          </w:p>
        </w:tc>
        <w:tc>
          <w:tcPr>
            <w:shd w:val="clear" w:color="auto" w:fill="auto"/>
            <w:tcW w:w="0" w:type="auto"/>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rPr>
              <w:t xml:space="preserve">单位</w:t>
            </w:r>
            <w:r/>
          </w:p>
        </w:tc>
        <w:tc>
          <w:tcPr>
            <w:shd w:val="clear" w:color="auto" w:fill="auto"/>
            <w:tcW w:w="0" w:type="auto"/>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rPr>
              <w:t xml:space="preserve">数量</w:t>
            </w:r>
            <w:r/>
          </w:p>
        </w:tc>
      </w:tr>
      <w:tr>
        <w:trPr>
          <w:trHeight w:val="624"/>
        </w:trPr>
        <w:tc>
          <w:tcPr>
            <w:shd w:val="clear" w:color="auto" w:fill="auto"/>
            <w:tcW w:w="0" w:type="auto"/>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rPr>
              <w:t xml:space="preserve">一</w:t>
            </w:r>
            <w:r/>
          </w:p>
        </w:tc>
        <w:tc>
          <w:tcPr>
            <w:gridSpan w:val="4"/>
            <w:shd w:val="clear" w:color="auto" w:fill="auto"/>
            <w:tcW w:w="0" w:type="auto"/>
            <w:vAlign w:val="center"/>
            <w:textDirection w:val="lrTb"/>
            <w:noWrap/>
          </w:tcPr>
          <w:p>
            <w:pPr>
              <w:jc w:val="left"/>
              <w:widowControl/>
              <w:rPr>
                <w:rFonts w:ascii="宋体" w:hAnsi="宋体" w:cs="宋体"/>
                <w:b/>
                <w:bCs/>
                <w:sz w:val="24"/>
                <w:szCs w:val="24"/>
              </w:rPr>
            </w:pPr>
            <w:r>
              <w:rPr>
                <w:rFonts w:hint="eastAsia" w:ascii="宋体" w:hAnsi="宋体" w:cs="宋体"/>
                <w:b/>
                <w:bCs/>
                <w:sz w:val="24"/>
                <w:szCs w:val="24"/>
              </w:rPr>
              <w:t xml:space="preserve">主要设备部分</w:t>
            </w:r>
            <w:r/>
          </w:p>
        </w:tc>
      </w:tr>
      <w:tr>
        <w:trPr>
          <w:trHeight w:val="624"/>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500W电警抓拍单元</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详见“主要设备技术参数要求”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57</w:t>
            </w:r>
            <w:r/>
          </w:p>
        </w:tc>
      </w:tr>
      <w:tr>
        <w:trPr>
          <w:trHeight w:val="624"/>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900W电警抓拍单元</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详见“主要设备技术参数要求”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72</w:t>
            </w:r>
            <w:r/>
          </w:p>
        </w:tc>
      </w:tr>
      <w:tr>
        <w:trPr>
          <w:trHeight w:val="624"/>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500W环保卡口抓拍单元</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详见“主要设备技术参数要求”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97</w:t>
            </w:r>
            <w:r/>
          </w:p>
        </w:tc>
      </w:tr>
      <w:tr>
        <w:trPr>
          <w:trHeight w:val="624"/>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900W环保卡口抓拍单元</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详见“主要设备技术参数要求”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163</w:t>
            </w:r>
            <w:r/>
          </w:p>
        </w:tc>
      </w:tr>
      <w:tr>
        <w:trPr>
          <w:trHeight w:val="624"/>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400W球机</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详见“主要设备技术参数要求”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53</w:t>
            </w:r>
            <w:r/>
          </w:p>
        </w:tc>
      </w:tr>
      <w:tr>
        <w:trPr>
          <w:trHeight w:val="624"/>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800W球机</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详见“主要设备技术参数要求”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r>
      <w:tr>
        <w:trPr>
          <w:trHeight w:val="624"/>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高空球机</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详见“主要设备技术参数要求”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个</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r>
      <w:tr>
        <w:trPr>
          <w:trHeight w:val="624"/>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8</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800W结构化相机</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详见“主要设备技术参数要求”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r>
      <w:tr>
        <w:trPr>
          <w:trHeight w:val="624"/>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9</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违停球</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详见“主要设备技术参数要求”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35</w:t>
            </w:r>
            <w:r/>
          </w:p>
        </w:tc>
      </w:tr>
      <w:tr>
        <w:trPr>
          <w:trHeight w:val="624"/>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LED频闪灯</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详见“主要设备技术参数要求”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只</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230</w:t>
            </w:r>
            <w:r/>
          </w:p>
        </w:tc>
      </w:tr>
      <w:tr>
        <w:trPr>
          <w:trHeight w:val="624"/>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11</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四合一环保爆闪灯</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详见“主要设备技术参数要求”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只</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426</w:t>
            </w:r>
            <w:r/>
          </w:p>
        </w:tc>
      </w:tr>
      <w:tr>
        <w:trPr>
          <w:trHeight w:val="624"/>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12</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终端服务器（4T）</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详见“主要设备技术参数要求”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r>
      <w:tr>
        <w:trPr>
          <w:trHeight w:val="624"/>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13</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满屏信号灯</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组</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42</w:t>
            </w:r>
            <w:r/>
          </w:p>
        </w:tc>
      </w:tr>
      <w:tr>
        <w:trPr>
          <w:trHeight w:val="624"/>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14</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倒计时</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组</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22</w:t>
            </w:r>
            <w:r/>
          </w:p>
        </w:tc>
      </w:tr>
      <w:tr>
        <w:trPr>
          <w:trHeight w:val="624"/>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15</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立柱式信号灯</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组</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r>
      <w:tr>
        <w:trPr>
          <w:trHeight w:val="624"/>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16</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4.5米一体化</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组</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r>
      <w:tr>
        <w:trPr>
          <w:trHeight w:val="624"/>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17</w:t>
            </w:r>
            <w:r/>
          </w:p>
        </w:tc>
        <w:tc>
          <w:tcPr>
            <w:shd w:val="clear" w:color="auto" w:fill="auto"/>
            <w:tcW w:w="0" w:type="auto"/>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一体式人行灯-侧发光</w:t>
            </w:r>
            <w:r/>
          </w:p>
        </w:tc>
        <w:tc>
          <w:tcPr>
            <w:shd w:val="clear" w:color="auto" w:fill="auto"/>
            <w:tcW w:w="0" w:type="auto"/>
            <w:vAlign w:val="center"/>
            <w:textDirection w:val="lrTb"/>
            <w:noWrap w:val="false"/>
          </w:tcPr>
          <w:p>
            <w:pPr>
              <w:jc w:val="left"/>
              <w:widowControl/>
              <w:rPr>
                <w:rFonts w:ascii="宋体" w:hAnsi="宋体" w:cs="宋体"/>
                <w:color w:val="000000"/>
                <w:sz w:val="24"/>
                <w:szCs w:val="24"/>
              </w:rPr>
            </w:pPr>
            <w:r>
              <w:rPr>
                <w:rFonts w:hint="eastAsia" w:ascii="宋体" w:hAnsi="宋体" w:cs="宋体"/>
                <w:sz w:val="24"/>
                <w:szCs w:val="24"/>
              </w:rPr>
              <w:t xml:space="preserve">详见“设备技术参数要求”</w:t>
            </w:r>
            <w:r/>
          </w:p>
        </w:tc>
        <w:tc>
          <w:tcPr>
            <w:shd w:val="clear" w:color="000000" w:fill="ffffff"/>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trHeight w:val="624"/>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18</w:t>
            </w:r>
            <w:r/>
          </w:p>
        </w:tc>
        <w:tc>
          <w:tcPr>
            <w:shd w:val="clear" w:color="auto" w:fill="auto"/>
            <w:tcW w:w="0" w:type="auto"/>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交通信号主机</w:t>
            </w:r>
            <w:r/>
          </w:p>
        </w:tc>
        <w:tc>
          <w:tcPr>
            <w:shd w:val="clear" w:color="auto" w:fill="auto"/>
            <w:tcW w:w="0" w:type="auto"/>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详见“设备技术参数要求”</w:t>
            </w:r>
            <w:r/>
          </w:p>
        </w:tc>
        <w:tc>
          <w:tcPr>
            <w:shd w:val="clear" w:color="000000" w:fill="ffffff"/>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W w:w="0" w:type="auto"/>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r>
      <w:tr>
        <w:trPr>
          <w:trHeight w:val="624"/>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19</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光纤收发器</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详见“主要设备技术参数要求”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对</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120</w:t>
            </w:r>
            <w:r/>
          </w:p>
        </w:tc>
      </w:tr>
      <w:tr>
        <w:trPr>
          <w:trHeight w:val="624"/>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20</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工业级交换机千M</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详见“主要设备技术参数要求”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220</w:t>
            </w:r>
            <w:r/>
          </w:p>
        </w:tc>
      </w:tr>
      <w:tr>
        <w:trPr>
          <w:trHeight w:val="624"/>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21</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抱杆箱</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详见“主要设备技术参数要求”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只</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137</w:t>
            </w:r>
            <w:r/>
          </w:p>
        </w:tc>
      </w:tr>
      <w:tr>
        <w:trPr>
          <w:trHeight w:val="624"/>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22</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落地机柜</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详见“主要设备技术参数要求”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只</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32</w:t>
            </w:r>
            <w:r/>
          </w:p>
        </w:tc>
      </w:tr>
      <w:tr>
        <w:trPr>
          <w:trHeight w:val="240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23</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前方抓拍预警牌60*80cm</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尽量附着，无法附着自行考虑安装杆件及基础，杆件高度不低于3.5米，直径114-3mm厚，表面热镀锌喷塑，基础开挖尺寸不低于0.5m*0.5m*0.6m，含地笼、开挖、C25基础浇筑。铝合金材质，Ⅲ类以上反光膜，按GB57682-2022要求安装，根据现场杆件样式确定标牌固定方式（横向或纵向），标牌位置安装、内容制作前需由交警大队核实，含交通违法监控提示牌等制作、安装及运输等。</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340</w:t>
            </w:r>
            <w:r/>
          </w:p>
        </w:tc>
      </w:tr>
      <w:tr>
        <w:trPr>
          <w:trHeight w:val="27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24</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违停标线</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热熔标线厚度不低于2.2mm</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平方</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3400</w:t>
            </w:r>
            <w:r/>
          </w:p>
        </w:tc>
      </w:tr>
      <w:tr>
        <w:trPr>
          <w:trHeight w:val="1935"/>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25</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禁停标志牌及辅助标（含立柱、基础）</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版面尺寸</w:t>
            </w:r>
            <w:r>
              <w:rPr>
                <w:rFonts w:ascii="宋体" w:hAnsi="宋体" w:cs="Calibri"/>
                <w:sz w:val="24"/>
                <w:szCs w:val="24"/>
              </w:rPr>
              <w:t xml:space="preserve">φ</w:t>
            </w:r>
            <w:r>
              <w:rPr>
                <w:rFonts w:hint="eastAsia" w:ascii="宋体" w:hAnsi="宋体" w:cs="宋体"/>
                <w:sz w:val="24"/>
                <w:szCs w:val="24"/>
              </w:rPr>
              <w:t xml:space="preserve">800mm；立柱</w:t>
            </w:r>
            <w:r>
              <w:rPr>
                <w:rFonts w:ascii="宋体" w:hAnsi="宋体" w:cs="Calibri"/>
                <w:sz w:val="24"/>
                <w:szCs w:val="24"/>
              </w:rPr>
              <w:t xml:space="preserve">φ</w:t>
            </w:r>
            <w:r>
              <w:rPr>
                <w:rFonts w:hint="eastAsia" w:ascii="宋体" w:hAnsi="宋体" w:cs="宋体"/>
                <w:sz w:val="24"/>
                <w:szCs w:val="24"/>
              </w:rPr>
              <w:t xml:space="preserve">宽102mm*高3000mm；基础：600m*600mm*1000mm铝合金材质，Ⅲ类以上反光膜，按GB57682-2022要求安装，根据现场杆件样式确定标牌固定方式（横向或纵向），标牌位置安装、内容制作前需由交警大队核实，含交通违法监控提示牌等制作、安装及运输等。</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w:t>
            </w:r>
            <w:r/>
          </w:p>
        </w:tc>
      </w:tr>
      <w:tr>
        <w:trPr>
          <w:trHeight w:val="2175"/>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26</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监控抓拍标示牌（含立柱、基础）</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附着版面尺寸600mm*800mm；立柱</w:t>
            </w:r>
            <w:r>
              <w:rPr>
                <w:rFonts w:ascii="宋体" w:hAnsi="宋体" w:cs="Calibri"/>
                <w:sz w:val="24"/>
                <w:szCs w:val="24"/>
              </w:rPr>
              <w:t xml:space="preserve">φ</w:t>
            </w:r>
            <w:r>
              <w:rPr>
                <w:rFonts w:hint="eastAsia" w:ascii="宋体" w:hAnsi="宋体" w:cs="宋体"/>
                <w:sz w:val="24"/>
                <w:szCs w:val="24"/>
              </w:rPr>
              <w:t xml:space="preserve">宽76mm*厚4mm*高3000mm；基础：600m*600mm*1000mm铝合金材质，Ⅲ类以上反光膜 标牌厚度≥2mm ，按GB57682-2022要求安装，根据现场杆件样式确定标牌固定方式（横向或纵向），标牌位置安装、内容制作前需由交警大队核实，含交通违法监控提示牌等制作、安装及运输等。</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343</w:t>
            </w:r>
            <w:r/>
          </w:p>
        </w:tc>
      </w:tr>
      <w:tr>
        <w:trPr>
          <w:trHeight w:val="168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27</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前方全程区间测速</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130mm*226mm铝合金材质，Ⅲ类以上反光膜 标牌厚度≥2mm ，按GB57682-2022要求安装，根据现场杆件样式确定标牌固定方式（横向或纵向），标牌位置安装、内容制作前需由交警大队核实，含交通违法监控提示牌等制作、安装及运输等。</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块</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r>
      <w:tr>
        <w:trPr>
          <w:trHeight w:val="168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28</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前方区间测速长度*米</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186mm*226mm铝合金材质，Ⅲ类以上反光膜 标牌厚度≥2mm ，按GB57682-2022要求安装，根据现场杆件样式确定标牌固定方式（横向或纵向），标牌位置安装、内容制作前需由交警大队核实，含交通违法监控提示牌等制作、安装及运输等。</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块</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r>
      <w:tr>
        <w:trPr>
          <w:trHeight w:val="168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29</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区间测速起点</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130mm*226mm铝合金材质，Ⅲ类以上反光膜 标牌厚度≥2mm ，按GB57682-2022要求安装，根据现场杆件样式确定标牌固定方式（横向或纵向），标牌位置安装、内容制作前需由交警大队核实，含交通违法监控提示牌等制作、安装及运输等。</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块</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r>
      <w:tr>
        <w:trPr>
          <w:trHeight w:val="168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30</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区间测速终点</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130mm*226mm铝合金材质，Ⅲ类以上反光膜 标牌厚度≥2mm ，按GB57682-2022要求安装，根据现场杆件样式确定标牌固定方式（横向或纵向），标牌位置安装、内容制作前需由交警大队核实，含交通违法监控提示牌等制作、安装及运输等。</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块</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r>
      <w:tr>
        <w:trPr>
          <w:trHeight w:val="168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31</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交通违法监控</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60mm*80mm铝合金材质，Ⅲ类以上反光膜 标牌厚度≥2mm ，按GB57682-2022要求安装，根据现场杆件样式确定标牌固定方式（横向或纵向），标牌位置安装、内容制作前需由交警大队核实，含交通违法监控提示牌等制作、安装及运输等。</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块</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r>
      <w:tr>
        <w:trPr>
          <w:trHeight w:val="168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32</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限速标志（含杆件基础）</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100mm*220mm铝合金材质，Ⅲ类以上反光膜 标牌厚度≥2mm ，按GB57682-2022要求安装，根据现场杆件样式确定标牌固定方式（横向或纵向），标牌位置安装、内容制作前需由交警大队核实，含交通违法监控提示牌等制作、安装及运输等。</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块</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r>
      <w:tr>
        <w:trPr>
          <w:trHeight w:val="27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33</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校园标志（含杆件基础）</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三角形L=900mm；铝合金材质，Ⅲ类以上反光膜 标牌厚度≥2mm ，按GB57682-2022要求安装，根据现场杆件样式确定标牌固定方式、立柱φ102*5*3000mm；基础：600m*600mm*1000mm</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块</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w:t>
            </w:r>
            <w:r/>
          </w:p>
        </w:tc>
      </w:tr>
      <w:tr>
        <w:trPr>
          <w:trHeight w:val="27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34</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纵向减速标线</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热熔标线厚度不低于2.2mm</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平方</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180</w:t>
            </w:r>
            <w:r/>
          </w:p>
        </w:tc>
      </w:tr>
      <w:tr>
        <w:trPr>
          <w:trHeight w:val="330"/>
        </w:trPr>
        <w:tc>
          <w:tcPr>
            <w:shd w:val="clear" w:color="auto" w:fill="auto"/>
            <w:tcW w:w="0" w:type="auto"/>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rPr>
              <w:t xml:space="preserve">二</w:t>
            </w:r>
            <w:r/>
          </w:p>
        </w:tc>
        <w:tc>
          <w:tcPr>
            <w:gridSpan w:val="4"/>
            <w:shd w:val="clear" w:color="auto" w:fill="auto"/>
            <w:tcW w:w="0" w:type="auto"/>
            <w:vAlign w:val="center"/>
            <w:textDirection w:val="lrTb"/>
            <w:noWrap/>
          </w:tcPr>
          <w:p>
            <w:pPr>
              <w:jc w:val="left"/>
              <w:widowControl/>
              <w:rPr>
                <w:rFonts w:ascii="宋体" w:hAnsi="宋体" w:cs="宋体"/>
                <w:b/>
                <w:bCs/>
                <w:sz w:val="24"/>
                <w:szCs w:val="24"/>
              </w:rPr>
            </w:pPr>
            <w:r>
              <w:rPr>
                <w:rFonts w:hint="eastAsia" w:ascii="宋体" w:hAnsi="宋体" w:cs="宋体"/>
                <w:b/>
                <w:bCs/>
                <w:sz w:val="24"/>
                <w:szCs w:val="24"/>
              </w:rPr>
              <w:t xml:space="preserve">主要材料部分</w:t>
            </w:r>
            <w:r/>
          </w:p>
        </w:tc>
      </w:tr>
      <w:tr>
        <w:trPr>
          <w:trHeight w:val="48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35</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7米挑臂6M杆件（含基础、地笼、浇筑）</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详见“主要设备技术参数要求”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56</w:t>
            </w:r>
            <w:r/>
          </w:p>
        </w:tc>
      </w:tr>
      <w:tr>
        <w:trPr>
          <w:trHeight w:val="48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36</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7米挑臂8M杆件（含基础、地笼、浇筑）</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详见“主要设备技术参数要求”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27</w:t>
            </w:r>
            <w:r/>
          </w:p>
        </w:tc>
      </w:tr>
      <w:tr>
        <w:trPr>
          <w:trHeight w:val="48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37</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7米挑臂10M杆件（含基础、地笼、浇筑）</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详见“主要设备技术参数要求”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9</w:t>
            </w:r>
            <w:r/>
          </w:p>
        </w:tc>
      </w:tr>
      <w:tr>
        <w:trPr>
          <w:trHeight w:val="48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38</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7米挑臂12M杆件（含基础、地笼、浇筑）</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详见“主要设备技术参数要求”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w:t>
            </w:r>
            <w:r/>
          </w:p>
        </w:tc>
      </w:tr>
      <w:tr>
        <w:trPr>
          <w:trHeight w:val="48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39</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7米挑臂14M杆件（含基础、地笼、浇筑）</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详见“主要设备技术参数要求”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8</w:t>
            </w:r>
            <w:r/>
          </w:p>
        </w:tc>
      </w:tr>
      <w:tr>
        <w:trPr>
          <w:trHeight w:val="48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40</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7米挑臂（3+3）M杆件（含基础、地笼、浇筑）</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详见“主要设备技术参数要求”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r>
      <w:tr>
        <w:trPr>
          <w:trHeight w:val="48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41</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7米挑臂（7+7）M杆件（含基础、地笼、浇筑）</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详见“主要设备技术参数要求”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r>
      <w:tr>
        <w:trPr>
          <w:trHeight w:val="48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42</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7米挑臂（9+9）M杆件（含基础、地笼、浇筑）</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详见“主要设备技术参数要求”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r>
      <w:tr>
        <w:trPr>
          <w:trHeight w:val="48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43</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15米杆件（含基础、地笼、浇筑）</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详见“主要设备技术参数要求”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r>
      <w:tr>
        <w:trPr>
          <w:trHeight w:val="27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44</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U型球机支架</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详见“主要设备技术参数要求”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个</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96</w:t>
            </w:r>
            <w:r/>
          </w:p>
        </w:tc>
      </w:tr>
      <w:tr>
        <w:trPr>
          <w:trHeight w:val="27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45</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结构化组件</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详见“主要设备技术参数要求”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个</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r>
      <w:tr>
        <w:trPr>
          <w:trHeight w:val="48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46</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辅助信号灯杆（含基础、地笼、浇筑）</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详见“主要设备技术参数要求”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19</w:t>
            </w:r>
            <w:r/>
          </w:p>
        </w:tc>
      </w:tr>
      <w:tr>
        <w:trPr>
          <w:trHeight w:val="48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47</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接地棒及组件含安装测量</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杆件、箱体等接地含材料，接地阻值不大于10Ω</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122</w:t>
            </w:r>
            <w:r/>
          </w:p>
        </w:tc>
      </w:tr>
      <w:tr>
        <w:trPr>
          <w:trHeight w:val="27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48</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信号灯电源线</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国标，纯铜，RVV-10*1.0mm²</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米</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1272</w:t>
            </w:r>
            <w:r/>
          </w:p>
        </w:tc>
      </w:tr>
      <w:tr>
        <w:trPr>
          <w:trHeight w:val="27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49</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信号灯电源线</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国标，纯铜，RVV-6*1.0mm²</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米</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1551</w:t>
            </w:r>
            <w:r/>
          </w:p>
        </w:tc>
      </w:tr>
      <w:tr>
        <w:trPr>
          <w:trHeight w:val="27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50</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信号灯电源线</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国标，纯铜，RVV3×1.0mm²</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米</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5397</w:t>
            </w:r>
            <w:r/>
          </w:p>
        </w:tc>
      </w:tr>
      <w:tr>
        <w:trPr>
          <w:trHeight w:val="27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51</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电源线</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国标，纯铜，RVV-2*10.0mm²</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米</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1835</w:t>
            </w:r>
            <w:r/>
          </w:p>
        </w:tc>
      </w:tr>
      <w:tr>
        <w:trPr>
          <w:trHeight w:val="27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52</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电源线</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国标，纯铜，RVV-2*6.0mm²</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米</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4285</w:t>
            </w:r>
            <w:r/>
          </w:p>
        </w:tc>
      </w:tr>
      <w:tr>
        <w:trPr>
          <w:trHeight w:val="27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53</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电源线</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国标，纯铜，RVV-3*2.5mm²</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米</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8150</w:t>
            </w:r>
            <w:r/>
          </w:p>
        </w:tc>
      </w:tr>
      <w:tr>
        <w:trPr>
          <w:trHeight w:val="27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54</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信号线</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补光灯、爆闪灯信号线</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米</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3285</w:t>
            </w:r>
            <w:r/>
          </w:p>
        </w:tc>
      </w:tr>
      <w:tr>
        <w:trPr>
          <w:trHeight w:val="27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55</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六类网线</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国标，室外，</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米</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5517</w:t>
            </w:r>
            <w:r/>
          </w:p>
        </w:tc>
      </w:tr>
      <w:tr>
        <w:trPr>
          <w:trHeight w:val="27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56</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单模光缆-4芯</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4芯单模，含熔纤、配套辅材等</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米</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9610</w:t>
            </w:r>
            <w:r/>
          </w:p>
        </w:tc>
      </w:tr>
      <w:tr>
        <w:trPr>
          <w:trHeight w:val="330"/>
        </w:trPr>
        <w:tc>
          <w:tcPr>
            <w:shd w:val="clear" w:color="auto" w:fill="auto"/>
            <w:tcW w:w="0" w:type="auto"/>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rPr>
              <w:t xml:space="preserve">三</w:t>
            </w:r>
            <w:r/>
          </w:p>
        </w:tc>
        <w:tc>
          <w:tcPr>
            <w:gridSpan w:val="4"/>
            <w:shd w:val="clear" w:color="auto" w:fill="auto"/>
            <w:tcW w:w="0" w:type="auto"/>
            <w:vAlign w:val="center"/>
            <w:textDirection w:val="lrTb"/>
            <w:noWrap/>
          </w:tcPr>
          <w:p>
            <w:pPr>
              <w:jc w:val="left"/>
              <w:widowControl/>
              <w:rPr>
                <w:rFonts w:ascii="宋体" w:hAnsi="宋体" w:cs="宋体"/>
                <w:b/>
                <w:bCs/>
                <w:sz w:val="24"/>
                <w:szCs w:val="24"/>
              </w:rPr>
            </w:pPr>
            <w:r>
              <w:rPr>
                <w:rFonts w:hint="eastAsia" w:ascii="宋体" w:hAnsi="宋体" w:cs="宋体"/>
                <w:b/>
                <w:bCs/>
                <w:sz w:val="24"/>
                <w:szCs w:val="24"/>
              </w:rPr>
              <w:t xml:space="preserve">基建部分</w:t>
            </w:r>
            <w:r/>
          </w:p>
        </w:tc>
      </w:tr>
      <w:tr>
        <w:trPr>
          <w:trHeight w:val="48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57</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落地箱（柜）基座</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落地箱及信号机基座，按《公安交通管理外场设备基础施工通用要求》实施</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基</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32</w:t>
            </w:r>
            <w:r/>
          </w:p>
        </w:tc>
      </w:tr>
      <w:tr>
        <w:trPr>
          <w:trHeight w:val="27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58</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砖砌手井（含手井圈、盖）</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详见“主要设备技术参数要求”</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288</w:t>
            </w:r>
            <w:r/>
          </w:p>
        </w:tc>
      </w:tr>
      <w:tr>
        <w:trPr>
          <w:trHeight w:val="48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59</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过路顶管2孔Φ50</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按《公安交通管理外场设备基础施工通用要求》实施</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米</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7233</w:t>
            </w:r>
            <w:r/>
          </w:p>
        </w:tc>
      </w:tr>
      <w:tr>
        <w:trPr>
          <w:trHeight w:val="48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60</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管道沟通2孔Φ50</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按《公安交通管理外场设备基础施工通用要求》实施</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米</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7205</w:t>
            </w:r>
            <w:r/>
          </w:p>
        </w:tc>
      </w:tr>
      <w:tr>
        <w:trPr>
          <w:trHeight w:val="27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61</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绿化恢复及道路恢复</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恢复现有道路、绿化及青苗费用</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项</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r>
      <w:tr>
        <w:trPr>
          <w:trHeight w:val="48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62</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线缆敷设</w:t>
            </w:r>
            <w:r/>
          </w:p>
        </w:tc>
        <w:tc>
          <w:tcPr>
            <w:shd w:val="clear" w:color="000000" w:fill="ffffff"/>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按《公安交通管理外场设备基础施工通用要求》实施</w:t>
            </w:r>
            <w:r/>
          </w:p>
        </w:tc>
        <w:tc>
          <w:tcPr>
            <w:shd w:val="clear" w:color="000000" w:fill="ffffff"/>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米</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40902</w:t>
            </w:r>
            <w:r/>
          </w:p>
        </w:tc>
      </w:tr>
      <w:tr>
        <w:trPr>
          <w:trHeight w:val="330"/>
        </w:trPr>
        <w:tc>
          <w:tcPr>
            <w:shd w:val="clear" w:color="auto" w:fill="auto"/>
            <w:tcW w:w="0" w:type="auto"/>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rPr>
              <w:t xml:space="preserve">四</w:t>
            </w:r>
            <w:r/>
          </w:p>
        </w:tc>
        <w:tc>
          <w:tcPr>
            <w:gridSpan w:val="4"/>
            <w:shd w:val="clear" w:color="auto" w:fill="auto"/>
            <w:tcW w:w="0" w:type="auto"/>
            <w:vAlign w:val="center"/>
            <w:textDirection w:val="lrTb"/>
            <w:noWrap/>
          </w:tcPr>
          <w:p>
            <w:pPr>
              <w:jc w:val="left"/>
              <w:widowControl/>
              <w:rPr>
                <w:rFonts w:ascii="宋体" w:hAnsi="宋体" w:cs="宋体"/>
                <w:b/>
                <w:bCs/>
                <w:sz w:val="24"/>
                <w:szCs w:val="24"/>
              </w:rPr>
            </w:pPr>
            <w:r>
              <w:rPr>
                <w:rFonts w:hint="eastAsia" w:ascii="宋体" w:hAnsi="宋体" w:cs="宋体"/>
                <w:b/>
                <w:bCs/>
                <w:sz w:val="24"/>
                <w:szCs w:val="24"/>
              </w:rPr>
              <w:t xml:space="preserve">其他</w:t>
            </w:r>
            <w:r/>
          </w:p>
        </w:tc>
      </w:tr>
      <w:tr>
        <w:trPr>
          <w:trHeight w:val="48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63</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光纤租赁</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租赁运营商光纤链路，不低于千兆带宽，5年租赁费用。</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条</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103</w:t>
            </w:r>
            <w:r/>
          </w:p>
        </w:tc>
      </w:tr>
      <w:tr>
        <w:trPr>
          <w:trHeight w:val="120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64</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供电开户、安装接入施工</w:t>
            </w:r>
            <w:r/>
          </w:p>
        </w:tc>
        <w:tc>
          <w:tcPr>
            <w:shd w:val="clear" w:color="000000" w:fill="ffffff"/>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根据现场情况自行踏勘确认所有建设点位，需供电开户的数量，含勘查、材料、施工、供电部门验收等所有费用，根据供电部门要求进行实施，电源缆线不低于10平方</w:t>
            </w:r>
            <w:r/>
          </w:p>
        </w:tc>
        <w:tc>
          <w:tcPr>
            <w:shd w:val="clear" w:color="000000" w:fill="ffffff"/>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项</w:t>
            </w:r>
            <w:r/>
          </w:p>
        </w:tc>
        <w:tc>
          <w:tcPr>
            <w:shd w:val="clear" w:color="000000" w:fill="ffffff"/>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r>
      <w:tr>
        <w:trPr>
          <w:trHeight w:val="72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65</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拆除原杆件</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含拆除费用并移至甲方指定位置含地笼、混凝土、安装、调试、路面恢复、接入费用</w:t>
            </w:r>
            <w:r/>
          </w:p>
        </w:tc>
        <w:tc>
          <w:tcPr>
            <w:shd w:val="clear" w:color="auto" w:fill="auto"/>
            <w:tcW w:w="0" w:type="auto"/>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项</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12</w:t>
            </w:r>
            <w:r/>
          </w:p>
        </w:tc>
      </w:tr>
      <w:tr>
        <w:trPr>
          <w:trHeight w:val="33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66</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服务器</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详见“主要设备技术参数要求”</w:t>
            </w:r>
            <w:r/>
          </w:p>
        </w:tc>
        <w:tc>
          <w:tcPr>
            <w:shd w:val="clear" w:color="auto" w:fill="auto"/>
            <w:tcW w:w="0" w:type="auto"/>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台</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r>
      <w:tr>
        <w:trPr>
          <w:trHeight w:val="330"/>
        </w:trPr>
        <w:tc>
          <w:tcPr>
            <w:shd w:val="clear" w:color="auto" w:fill="auto"/>
            <w:tcW w:w="0" w:type="auto"/>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rPr>
              <w:t xml:space="preserve">五</w:t>
            </w:r>
            <w:r/>
          </w:p>
        </w:tc>
        <w:tc>
          <w:tcPr>
            <w:shd w:val="clear" w:color="auto" w:fill="auto"/>
            <w:tcW w:w="0" w:type="auto"/>
            <w:vAlign w:val="center"/>
            <w:textDirection w:val="lrTb"/>
            <w:noWrap/>
          </w:tcPr>
          <w:p>
            <w:pPr>
              <w:jc w:val="left"/>
              <w:widowControl/>
              <w:rPr>
                <w:rFonts w:ascii="宋体" w:hAnsi="宋体" w:cs="宋体"/>
                <w:b/>
                <w:bCs/>
                <w:sz w:val="24"/>
                <w:szCs w:val="24"/>
              </w:rPr>
            </w:pPr>
            <w:r>
              <w:rPr>
                <w:rFonts w:hint="eastAsia" w:ascii="宋体" w:hAnsi="宋体" w:cs="宋体"/>
                <w:b/>
                <w:bCs/>
                <w:sz w:val="24"/>
                <w:szCs w:val="24"/>
              </w:rPr>
              <w:t xml:space="preserve">工程应急处置工作量</w:t>
            </w:r>
            <w:r/>
          </w:p>
        </w:tc>
        <w:tc>
          <w:tcPr>
            <w:shd w:val="clear" w:color="auto" w:fill="auto"/>
            <w:tcW w:w="0" w:type="auto"/>
            <w:vAlign w:val="center"/>
            <w:textDirection w:val="lrTb"/>
            <w:noWrap/>
          </w:tcPr>
          <w:p>
            <w:pPr>
              <w:jc w:val="left"/>
              <w:widowControl/>
              <w:rPr>
                <w:rFonts w:ascii="宋体" w:hAnsi="宋体" w:cs="宋体"/>
                <w:b/>
                <w:bCs/>
                <w:sz w:val="24"/>
                <w:szCs w:val="24"/>
              </w:rPr>
            </w:pPr>
            <w:r>
              <w:rPr>
                <w:rFonts w:hint="eastAsia" w:ascii="宋体" w:hAnsi="宋体" w:cs="宋体"/>
                <w:b/>
                <w:bCs/>
                <w:sz w:val="24"/>
                <w:szCs w:val="24"/>
              </w:rPr>
              <w:t xml:space="preserve">最终数量根据工程实际使用工作量结算</w:t>
            </w:r>
            <w:r/>
          </w:p>
        </w:tc>
        <w:tc>
          <w:tcPr>
            <w:shd w:val="clear" w:color="auto" w:fill="auto"/>
            <w:tcW w:w="0" w:type="auto"/>
            <w:vAlign w:val="bottom"/>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　</w:t>
            </w:r>
            <w:r/>
          </w:p>
        </w:tc>
        <w:tc>
          <w:tcPr>
            <w:shd w:val="clear" w:color="auto" w:fill="auto"/>
            <w:tcW w:w="0" w:type="auto"/>
            <w:vAlign w:val="bottom"/>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　</w:t>
            </w:r>
            <w:r/>
          </w:p>
        </w:tc>
      </w:tr>
      <w:tr>
        <w:trPr>
          <w:trHeight w:val="27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67</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信号灯电源线</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国标，纯铜，RVV-10*1.0mm²</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米</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985</w:t>
            </w:r>
            <w:r/>
          </w:p>
        </w:tc>
      </w:tr>
      <w:tr>
        <w:trPr>
          <w:trHeight w:val="27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68</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信号灯电源线</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国标，纯铜，RVV3×1.0mm²</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米</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1122</w:t>
            </w:r>
            <w:r/>
          </w:p>
        </w:tc>
      </w:tr>
      <w:tr>
        <w:trPr>
          <w:trHeight w:val="27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69</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电源线</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国标，纯铜，RVV-2*10.0mm²</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米</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1145</w:t>
            </w:r>
            <w:r/>
          </w:p>
        </w:tc>
      </w:tr>
      <w:tr>
        <w:trPr>
          <w:trHeight w:val="27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70</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电源线</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国标，纯铜，RVV-2*6.0mm²</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米</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876</w:t>
            </w:r>
            <w:r/>
          </w:p>
        </w:tc>
      </w:tr>
      <w:tr>
        <w:trPr>
          <w:trHeight w:val="27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71</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电源线</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国标，纯铜，RVV-3*2.5mm²</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米</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1146</w:t>
            </w:r>
            <w:r/>
          </w:p>
        </w:tc>
      </w:tr>
      <w:tr>
        <w:trPr>
          <w:trHeight w:val="27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72</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信号线</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补光灯、爆闪灯信号线</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米</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1142</w:t>
            </w:r>
            <w:r/>
          </w:p>
        </w:tc>
      </w:tr>
      <w:tr>
        <w:trPr>
          <w:trHeight w:val="27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73</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六类网线</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国标，室外，</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米</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977</w:t>
            </w:r>
            <w:r/>
          </w:p>
        </w:tc>
      </w:tr>
      <w:tr>
        <w:trPr>
          <w:trHeight w:val="27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74</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单模光缆-4芯</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4芯单模，含熔纤、配套辅材等</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米</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1022</w:t>
            </w:r>
            <w:r/>
          </w:p>
        </w:tc>
      </w:tr>
      <w:tr>
        <w:trPr>
          <w:trHeight w:val="48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75</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过路顶管2孔Φ50</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按《公安交通管理外场设备基础施工通用要求》实施</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米</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1000</w:t>
            </w:r>
            <w:r/>
          </w:p>
        </w:tc>
      </w:tr>
      <w:tr>
        <w:trPr>
          <w:trHeight w:val="480"/>
        </w:trPr>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76</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管道沟通2孔Φ50</w:t>
            </w:r>
            <w:r/>
          </w:p>
        </w:tc>
        <w:tc>
          <w:tcPr>
            <w:shd w:val="clear" w:color="auto" w:fill="auto"/>
            <w:tcW w:w="0" w:type="auto"/>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按《公安交通管理外场设备基础施工通用要求》实施</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米</w:t>
            </w:r>
            <w:r/>
          </w:p>
        </w:tc>
        <w:tc>
          <w:tcPr>
            <w:shd w:val="clear" w:color="auto" w:fill="auto"/>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1033</w:t>
            </w:r>
            <w:r/>
          </w:p>
        </w:tc>
      </w:tr>
      <w:tr>
        <w:trPr>
          <w:trHeight w:val="330"/>
        </w:trPr>
        <w:tc>
          <w:tcPr>
            <w:shd w:val="clear" w:color="auto" w:fill="auto"/>
            <w:tcW w:w="0" w:type="auto"/>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rPr>
              <w:t xml:space="preserve">六</w:t>
            </w:r>
            <w:r/>
          </w:p>
        </w:tc>
        <w:tc>
          <w:tcPr>
            <w:shd w:val="clear" w:color="auto" w:fill="auto"/>
            <w:tcW w:w="0" w:type="auto"/>
            <w:vAlign w:val="center"/>
            <w:textDirection w:val="lrTb"/>
            <w:noWrap/>
          </w:tcPr>
          <w:p>
            <w:pPr>
              <w:jc w:val="left"/>
              <w:widowControl/>
              <w:rPr>
                <w:rFonts w:ascii="宋体" w:hAnsi="宋体" w:cs="宋体"/>
                <w:b/>
                <w:bCs/>
                <w:sz w:val="24"/>
                <w:szCs w:val="24"/>
              </w:rPr>
            </w:pPr>
            <w:r>
              <w:rPr>
                <w:rFonts w:hint="eastAsia" w:ascii="宋体" w:hAnsi="宋体" w:cs="宋体"/>
                <w:b/>
                <w:bCs/>
                <w:sz w:val="24"/>
                <w:szCs w:val="24"/>
              </w:rPr>
              <w:t xml:space="preserve">调试费</w:t>
            </w:r>
            <w:r/>
          </w:p>
        </w:tc>
        <w:tc>
          <w:tcPr>
            <w:shd w:val="clear" w:color="auto" w:fill="auto"/>
            <w:tcW w:w="0" w:type="auto"/>
            <w:vAlign w:val="center"/>
            <w:textDirection w:val="lrTb"/>
            <w:noWrap/>
          </w:tcPr>
          <w:p>
            <w:pPr>
              <w:jc w:val="left"/>
              <w:widowControl/>
              <w:rPr>
                <w:rFonts w:ascii="宋体" w:hAnsi="宋体" w:cs="宋体"/>
                <w:b/>
                <w:bCs/>
                <w:sz w:val="24"/>
                <w:szCs w:val="24"/>
              </w:rPr>
            </w:pPr>
            <w:r>
              <w:rPr>
                <w:rFonts w:hint="eastAsia" w:ascii="宋体" w:hAnsi="宋体" w:cs="宋体"/>
                <w:b/>
                <w:bCs/>
                <w:sz w:val="24"/>
                <w:szCs w:val="24"/>
              </w:rPr>
              <w:t xml:space="preserve">（一至五之和）*1%</w:t>
            </w:r>
            <w:r/>
          </w:p>
        </w:tc>
        <w:tc>
          <w:tcPr>
            <w:shd w:val="clear" w:color="auto" w:fill="auto"/>
            <w:tcW w:w="0" w:type="auto"/>
            <w:vAlign w:val="bottom"/>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　</w:t>
            </w:r>
            <w:r/>
          </w:p>
        </w:tc>
        <w:tc>
          <w:tcPr>
            <w:shd w:val="clear" w:color="auto" w:fill="auto"/>
            <w:tcW w:w="0" w:type="auto"/>
            <w:vAlign w:val="bottom"/>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　</w:t>
            </w:r>
            <w:r/>
          </w:p>
        </w:tc>
      </w:tr>
    </w:tbl>
    <w:p>
      <w:pPr>
        <w:ind w:firstLine="480"/>
        <w:rPr>
          <w:rFonts w:ascii="宋体" w:hAnsi="宋体"/>
          <w:sz w:val="24"/>
          <w:szCs w:val="24"/>
        </w:rPr>
      </w:pPr>
      <w:r>
        <w:rPr>
          <w:rFonts w:ascii="宋体" w:hAnsi="宋体"/>
          <w:sz w:val="24"/>
          <w:szCs w:val="24"/>
        </w:rPr>
      </w:r>
      <w:r/>
    </w:p>
    <w:p>
      <w:pPr>
        <w:pStyle w:val="996"/>
        <w:ind w:firstLine="482"/>
        <w:jc w:val="left"/>
        <w:spacing w:before="0" w:after="0" w:line="480" w:lineRule="exact"/>
        <w:rPr>
          <w:rFonts w:ascii="宋体" w:hAnsi="宋体" w:eastAsia="宋体"/>
          <w:sz w:val="24"/>
          <w:szCs w:val="24"/>
        </w:rPr>
      </w:pPr>
      <w:r/>
      <w:bookmarkStart w:id="92" w:name="_Toc30048"/>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8外场设备通信、供电方案</w:t>
      </w:r>
      <w:bookmarkEnd w:id="92"/>
      <w:r/>
      <w:r/>
    </w:p>
    <w:p>
      <w:pPr>
        <w:pStyle w:val="997"/>
        <w:ind w:firstLine="482"/>
        <w:spacing w:before="0" w:after="0" w:line="480" w:lineRule="exact"/>
        <w:rPr>
          <w:rFonts w:ascii="宋体" w:hAnsi="宋体" w:eastAsia="宋体"/>
          <w:sz w:val="24"/>
          <w:szCs w:val="24"/>
        </w:rPr>
      </w:pPr>
      <w:r/>
      <w:bookmarkStart w:id="93" w:name="_Toc91064132"/>
      <w:r/>
      <w:bookmarkStart w:id="94" w:name="_Toc21185"/>
      <w:r/>
      <w:bookmarkStart w:id="95" w:name="_Toc110456650"/>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8</w:t>
      </w:r>
      <w:r>
        <w:rPr>
          <w:rFonts w:ascii="宋体" w:hAnsi="宋体" w:eastAsia="宋体"/>
          <w:sz w:val="24"/>
          <w:szCs w:val="24"/>
        </w:rPr>
        <w:t xml:space="preserve">.1外场设备通信</w:t>
      </w:r>
      <w:r>
        <w:rPr>
          <w:rFonts w:hint="eastAsia" w:ascii="宋体" w:hAnsi="宋体" w:eastAsia="宋体"/>
          <w:sz w:val="24"/>
          <w:szCs w:val="24"/>
        </w:rPr>
        <w:t xml:space="preserve">接入方案</w:t>
      </w:r>
      <w:bookmarkEnd w:id="93"/>
      <w:r/>
      <w:bookmarkEnd w:id="94"/>
      <w:r/>
      <w:bookmarkEnd w:id="95"/>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（1）设备与百兆以太网交换机间距离超过80m，需要增加网络连接器或采用光缆传输。</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（2）采用基于TCP/IP通信协议的支持，在上层按照应用要求建立多通道的直接通信。</w:t>
      </w:r>
      <w:r/>
    </w:p>
    <w:p>
      <w:pPr>
        <w:ind w:firstLine="480"/>
        <w:spacing w:line="480" w:lineRule="exact"/>
        <w:tabs>
          <w:tab w:val="left" w:pos="0" w:leader="none"/>
        </w:tabs>
        <w:rPr>
          <w:rFonts w:ascii="宋体" w:hAnsi="宋体"/>
          <w:sz w:val="24"/>
          <w:szCs w:val="24"/>
        </w:rPr>
      </w:pPr>
      <w:r/>
      <w:bookmarkStart w:id="96" w:name="_Toc346744508"/>
      <w:r/>
      <w:bookmarkStart w:id="97" w:name="_Toc306878075"/>
      <w:r>
        <w:rPr>
          <w:rFonts w:hint="eastAsia" w:ascii="宋体" w:hAnsi="宋体"/>
          <w:sz w:val="24"/>
          <w:szCs w:val="24"/>
        </w:rPr>
        <w:t xml:space="preserve">（3）本工程前端设备与控制中心网络接入采用原有网络或租赁运营商光缆方式接入控制中心。</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（4）本工程前端设备的接口标准需与大丰公安局现有平台接口标准保持一致，无缝接入。</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）保证数据安全稳定传输（包含所有传输设备）</w:t>
      </w:r>
      <w:r/>
    </w:p>
    <w:p>
      <w:pPr>
        <w:pStyle w:val="997"/>
        <w:ind w:firstLine="482"/>
        <w:spacing w:before="0" w:after="0" w:line="480" w:lineRule="exact"/>
        <w:rPr>
          <w:rFonts w:ascii="宋体" w:hAnsi="宋体" w:eastAsia="宋体"/>
          <w:sz w:val="24"/>
          <w:szCs w:val="24"/>
        </w:rPr>
      </w:pPr>
      <w:r/>
      <w:bookmarkStart w:id="98" w:name="_Toc179"/>
      <w:r/>
      <w:bookmarkStart w:id="99" w:name="_Toc91064133"/>
      <w:r/>
      <w:bookmarkStart w:id="100" w:name="_Toc520563385"/>
      <w:r/>
      <w:bookmarkStart w:id="101" w:name="_Toc110456651"/>
      <w:r/>
      <w:bookmarkStart w:id="102" w:name="_Toc520671483"/>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8</w:t>
      </w:r>
      <w:r>
        <w:rPr>
          <w:rFonts w:ascii="宋体" w:hAnsi="宋体" w:eastAsia="宋体"/>
          <w:sz w:val="24"/>
          <w:szCs w:val="24"/>
        </w:rPr>
        <w:t xml:space="preserve">.2外场设备</w:t>
      </w:r>
      <w:r>
        <w:rPr>
          <w:rFonts w:hint="eastAsia" w:ascii="宋体" w:hAnsi="宋体" w:eastAsia="宋体"/>
          <w:sz w:val="24"/>
          <w:szCs w:val="24"/>
        </w:rPr>
        <w:t xml:space="preserve">远程通信光缆</w:t>
      </w:r>
      <w:bookmarkEnd w:id="96"/>
      <w:r/>
      <w:bookmarkEnd w:id="97"/>
      <w:r/>
      <w:bookmarkEnd w:id="98"/>
      <w:r/>
      <w:bookmarkEnd w:id="99"/>
      <w:r/>
      <w:bookmarkEnd w:id="100"/>
      <w:r/>
      <w:bookmarkEnd w:id="101"/>
      <w:r/>
      <w:bookmarkEnd w:id="102"/>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本工程通信网络利用原有通信网络或新建光纤链路，保证数据安全稳定传输。</w:t>
      </w:r>
      <w:r/>
    </w:p>
    <w:p>
      <w:pPr>
        <w:pStyle w:val="997"/>
        <w:ind w:firstLine="482"/>
        <w:spacing w:before="0" w:after="0" w:line="480" w:lineRule="exact"/>
        <w:rPr>
          <w:rFonts w:ascii="宋体" w:hAnsi="宋体" w:eastAsia="宋体"/>
          <w:sz w:val="24"/>
          <w:szCs w:val="24"/>
        </w:rPr>
      </w:pPr>
      <w:r/>
      <w:bookmarkStart w:id="103" w:name="_Toc1160"/>
      <w:r/>
      <w:bookmarkStart w:id="104" w:name="_Toc45198492"/>
      <w:r/>
      <w:bookmarkStart w:id="105" w:name="_Toc91064134"/>
      <w:r/>
      <w:bookmarkStart w:id="106" w:name="_Toc110456652"/>
      <w:r>
        <w:rPr>
          <w:rFonts w:hint="eastAsia" w:ascii="宋体" w:hAnsi="宋体" w:eastAsia="宋体"/>
          <w:sz w:val="24"/>
          <w:szCs w:val="24"/>
        </w:rPr>
        <w:t xml:space="preserve">3.8</w:t>
      </w:r>
      <w:r>
        <w:rPr>
          <w:rFonts w:ascii="宋体" w:hAnsi="宋体" w:eastAsia="宋体"/>
          <w:sz w:val="24"/>
          <w:szCs w:val="24"/>
        </w:rPr>
        <w:t xml:space="preserve">.3外场设备供电</w:t>
      </w:r>
      <w:r>
        <w:rPr>
          <w:rFonts w:hint="eastAsia" w:ascii="宋体" w:hAnsi="宋体" w:eastAsia="宋体"/>
          <w:sz w:val="24"/>
          <w:szCs w:val="24"/>
        </w:rPr>
        <w:t xml:space="preserve">方案</w:t>
      </w:r>
      <w:bookmarkEnd w:id="103"/>
      <w:r/>
      <w:bookmarkEnd w:id="104"/>
      <w:r/>
      <w:bookmarkEnd w:id="105"/>
      <w:r/>
      <w:bookmarkEnd w:id="106"/>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本工程前端设备用电采用就近取电原则，由民用变电箱引出（需向供电部门申请），或与附近工厂、商铺、居民协商借用，安装计量表按期付费，其中取电位置下桩头至本项目前端设备的电缆配线由本工程实施。</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本工程中，交通监控设备的用电负荷为三级负荷。</w:t>
      </w:r>
      <w:r/>
    </w:p>
    <w:p>
      <w:pPr>
        <w:pStyle w:val="996"/>
        <w:ind w:firstLine="482"/>
        <w:jc w:val="left"/>
        <w:spacing w:before="0" w:after="0" w:line="480" w:lineRule="exact"/>
        <w:rPr>
          <w:rFonts w:ascii="宋体" w:hAnsi="宋体" w:eastAsia="宋体"/>
          <w:sz w:val="24"/>
          <w:szCs w:val="24"/>
        </w:rPr>
      </w:pPr>
      <w:r/>
      <w:bookmarkStart w:id="107" w:name="_Toc28731"/>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9基础配套工程</w:t>
      </w:r>
      <w:bookmarkEnd w:id="107"/>
      <w:r/>
      <w:r/>
    </w:p>
    <w:p>
      <w:pPr>
        <w:pStyle w:val="997"/>
        <w:ind w:firstLine="482"/>
        <w:spacing w:before="0" w:after="0" w:line="480" w:lineRule="exact"/>
        <w:rPr>
          <w:rFonts w:ascii="宋体" w:hAnsi="宋体" w:eastAsia="宋体"/>
          <w:sz w:val="24"/>
          <w:szCs w:val="24"/>
        </w:rPr>
      </w:pPr>
      <w:r/>
      <w:bookmarkStart w:id="108" w:name="_Toc520671486"/>
      <w:r/>
      <w:bookmarkStart w:id="109" w:name="_Toc426148471"/>
      <w:r/>
      <w:bookmarkStart w:id="110" w:name="_Toc423897279"/>
      <w:r/>
      <w:bookmarkStart w:id="111" w:name="_Toc448153452"/>
      <w:r/>
      <w:bookmarkStart w:id="112" w:name="_Toc449453938"/>
      <w:r/>
      <w:bookmarkStart w:id="113" w:name="_Toc520563388"/>
      <w:r/>
      <w:bookmarkStart w:id="114" w:name="_Toc427834223"/>
      <w:r/>
      <w:bookmarkStart w:id="115" w:name="_Toc91064136"/>
      <w:r/>
      <w:bookmarkStart w:id="116" w:name="_Toc110456654"/>
      <w:r/>
      <w:bookmarkStart w:id="117" w:name="_Toc9981"/>
      <w:r/>
      <w:bookmarkStart w:id="118" w:name="_Toc45198494"/>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9</w:t>
      </w:r>
      <w:r>
        <w:rPr>
          <w:rFonts w:ascii="宋体" w:hAnsi="宋体" w:eastAsia="宋体"/>
          <w:sz w:val="24"/>
          <w:szCs w:val="24"/>
        </w:rPr>
        <w:t xml:space="preserve">.1管道工程设计</w:t>
      </w:r>
      <w:bookmarkEnd w:id="108"/>
      <w:r/>
      <w:bookmarkEnd w:id="109"/>
      <w:r/>
      <w:bookmarkEnd w:id="110"/>
      <w:r/>
      <w:bookmarkEnd w:id="111"/>
      <w:r/>
      <w:bookmarkEnd w:id="112"/>
      <w:r/>
      <w:bookmarkEnd w:id="113"/>
      <w:r/>
      <w:bookmarkEnd w:id="114"/>
      <w:r/>
      <w:bookmarkEnd w:id="115"/>
      <w:r/>
      <w:bookmarkEnd w:id="116"/>
      <w:r/>
      <w:bookmarkEnd w:id="117"/>
      <w:r/>
      <w:bookmarkEnd w:id="118"/>
      <w:r/>
      <w:r/>
    </w:p>
    <w:p>
      <w:pPr>
        <w:ind w:firstLine="480"/>
        <w:spacing w:line="480" w:lineRule="exact"/>
        <w:tabs>
          <w:tab w:val="left" w:pos="0" w:leader="none"/>
        </w:tabs>
        <w:rPr>
          <w:rFonts w:ascii="宋体" w:hAnsi="宋体"/>
          <w:sz w:val="24"/>
          <w:szCs w:val="24"/>
        </w:rPr>
      </w:pPr>
      <w:r>
        <w:rPr>
          <w:rFonts w:ascii="宋体" w:hAnsi="宋体"/>
          <w:sz w:val="24"/>
          <w:szCs w:val="24"/>
        </w:rPr>
        <w:t xml:space="preserve">在开工之前，施工方须对原有管道进行试穿，看能否借用原有管道，能借用的尽量使用，避免重新破路施工，保证施工效率。不能借用管道的路线，就查明该路线区域内原有管线的埋设情况，根据实际情况作出相应的施工方案，对管道施工所经路线的障碍物进行初步统计，为以后的施工做好基础。</w:t>
      </w:r>
      <w:r/>
    </w:p>
    <w:p>
      <w:pPr>
        <w:ind w:firstLine="480"/>
        <w:spacing w:line="480" w:lineRule="exact"/>
        <w:tabs>
          <w:tab w:val="left" w:pos="0" w:leader="none"/>
        </w:tabs>
        <w:rPr>
          <w:rFonts w:ascii="宋体" w:hAnsi="宋体"/>
          <w:sz w:val="24"/>
          <w:szCs w:val="24"/>
        </w:rPr>
      </w:pPr>
      <w:r>
        <w:rPr>
          <w:rFonts w:ascii="宋体" w:hAnsi="宋体"/>
          <w:sz w:val="24"/>
          <w:szCs w:val="24"/>
        </w:rPr>
        <w:t xml:space="preserve">进行施工放样前先校核施工图纸，按施工图纸提供的路线及位置，定出管道线路走向。认真详细做好记录，必要时应附示意图方便资料的整理。</w:t>
      </w:r>
      <w:r/>
    </w:p>
    <w:p>
      <w:pPr>
        <w:ind w:firstLine="480"/>
        <w:spacing w:line="480" w:lineRule="exact"/>
        <w:tabs>
          <w:tab w:val="left" w:pos="0" w:leader="none"/>
        </w:tabs>
        <w:rPr>
          <w:rFonts w:ascii="宋体" w:hAnsi="宋体"/>
          <w:sz w:val="24"/>
          <w:szCs w:val="24"/>
        </w:rPr>
      </w:pPr>
      <w:r>
        <w:rPr>
          <w:rFonts w:ascii="宋体" w:hAnsi="宋体"/>
          <w:sz w:val="24"/>
          <w:szCs w:val="24"/>
        </w:rPr>
        <w:t xml:space="preserve">施工中沥青和水泥混凝路面采取横平竖直开挖，人行道按沿砖缝线开挖，路面恢复后应平整、不积水，并保持施工完后路面的完整。</w:t>
      </w:r>
      <w:r/>
    </w:p>
    <w:p>
      <w:pPr>
        <w:ind w:firstLine="482"/>
        <w:spacing w:line="480" w:lineRule="exact"/>
        <w:rPr>
          <w:rFonts w:ascii="宋体" w:hAnsi="宋体"/>
          <w:b/>
          <w:sz w:val="24"/>
          <w:szCs w:val="24"/>
        </w:rPr>
      </w:pPr>
      <w:r>
        <w:rPr>
          <w:rFonts w:hint="eastAsia" w:ascii="宋体" w:hAnsi="宋体"/>
          <w:b/>
          <w:sz w:val="24"/>
          <w:szCs w:val="24"/>
        </w:rPr>
        <w:t xml:space="preserve">(1)</w:t>
      </w:r>
      <w:r>
        <w:rPr>
          <w:rFonts w:ascii="宋体" w:hAnsi="宋体"/>
          <w:b/>
          <w:sz w:val="24"/>
          <w:szCs w:val="24"/>
        </w:rPr>
        <w:t xml:space="preserve">、绿化带管道开挖及恢复：</w:t>
      </w:r>
      <w:r/>
    </w:p>
    <w:p>
      <w:pPr>
        <w:ind w:firstLine="480"/>
        <w:spacing w:line="480" w:lineRule="exact"/>
        <w:tabs>
          <w:tab w:val="left" w:pos="0" w:leader="none"/>
        </w:tabs>
        <w:rPr>
          <w:rFonts w:ascii="宋体" w:hAnsi="宋体"/>
          <w:sz w:val="24"/>
          <w:szCs w:val="24"/>
        </w:rPr>
      </w:pPr>
      <w:r>
        <w:rPr>
          <w:rFonts w:ascii="宋体" w:hAnsi="宋体"/>
          <w:sz w:val="24"/>
          <w:szCs w:val="24"/>
        </w:rPr>
        <w:t xml:space="preserve">1)现场打围后，严格按照设计施工图进行测量放线；</w:t>
      </w:r>
      <w:r/>
    </w:p>
    <w:p>
      <w:pPr>
        <w:ind w:firstLine="480"/>
        <w:spacing w:line="480" w:lineRule="exact"/>
        <w:tabs>
          <w:tab w:val="left" w:pos="0" w:leader="none"/>
        </w:tabs>
        <w:rPr>
          <w:rFonts w:ascii="宋体" w:hAnsi="宋体"/>
          <w:sz w:val="24"/>
          <w:szCs w:val="24"/>
        </w:rPr>
      </w:pPr>
      <w:r>
        <w:rPr>
          <w:rFonts w:ascii="宋体" w:hAnsi="宋体"/>
          <w:sz w:val="24"/>
          <w:szCs w:val="24"/>
        </w:rPr>
        <w:t xml:space="preserve">2)现场复核后按照放线位置绿化带的开挖，开挖时注意对管道外的绿化的保护；</w:t>
      </w:r>
      <w:r/>
    </w:p>
    <w:p>
      <w:pPr>
        <w:ind w:firstLine="480"/>
        <w:spacing w:line="480" w:lineRule="exact"/>
        <w:tabs>
          <w:tab w:val="left" w:pos="0" w:leader="none"/>
        </w:tabs>
        <w:rPr>
          <w:rFonts w:ascii="宋体" w:hAnsi="宋体"/>
          <w:sz w:val="24"/>
          <w:szCs w:val="24"/>
        </w:rPr>
      </w:pPr>
      <w:r>
        <w:rPr>
          <w:rFonts w:ascii="宋体" w:hAnsi="宋体"/>
          <w:sz w:val="24"/>
          <w:szCs w:val="24"/>
        </w:rPr>
        <w:t xml:space="preserve">3)绿化带管道开挖宽度为4</w:t>
      </w:r>
      <w:r>
        <w:rPr>
          <w:rFonts w:hint="eastAsia" w:ascii="宋体" w:hAnsi="宋体"/>
          <w:sz w:val="24"/>
          <w:szCs w:val="24"/>
        </w:rPr>
        <w:t xml:space="preserve">0</w:t>
      </w:r>
      <w:r>
        <w:rPr>
          <w:rFonts w:ascii="宋体" w:hAnsi="宋体"/>
          <w:sz w:val="24"/>
          <w:szCs w:val="24"/>
        </w:rPr>
        <w:t xml:space="preserve">0mm，沟槽总深度为600mm。</w:t>
      </w:r>
      <w:r/>
    </w:p>
    <w:p>
      <w:pPr>
        <w:ind w:firstLine="480"/>
        <w:spacing w:line="480" w:lineRule="exact"/>
        <w:tabs>
          <w:tab w:val="left" w:pos="0" w:leader="none"/>
        </w:tabs>
        <w:rPr>
          <w:rFonts w:ascii="宋体" w:hAnsi="宋体"/>
          <w:sz w:val="24"/>
          <w:szCs w:val="24"/>
        </w:rPr>
      </w:pPr>
      <w:r>
        <w:rPr>
          <w:rFonts w:ascii="宋体" w:hAnsi="宋体"/>
          <w:sz w:val="24"/>
          <w:szCs w:val="24"/>
        </w:rPr>
        <w:t xml:space="preserve">4）沟底土基土质较差时应换尽不良土，沟底土须碾压密实后敷设管道，要求土基回弹模量 Eo≥35Mpa，压实度要求≥95%。</w:t>
      </w:r>
      <w:r/>
    </w:p>
    <w:p>
      <w:pPr>
        <w:ind w:firstLine="480"/>
        <w:spacing w:line="480" w:lineRule="exact"/>
        <w:tabs>
          <w:tab w:val="left" w:pos="0" w:leader="none"/>
        </w:tabs>
        <w:rPr>
          <w:rFonts w:ascii="宋体" w:hAnsi="宋体"/>
          <w:sz w:val="24"/>
          <w:szCs w:val="24"/>
        </w:rPr>
      </w:pPr>
      <w:r>
        <w:rPr>
          <w:rFonts w:ascii="宋体" w:hAnsi="宋体"/>
          <w:sz w:val="24"/>
          <w:szCs w:val="24"/>
        </w:rPr>
        <w:t xml:space="preserve">5）管道敷设后将其恢复成原绿化带的标准。</w:t>
      </w:r>
      <w:r/>
    </w:p>
    <w:p>
      <w:pPr>
        <w:ind w:firstLine="480"/>
        <w:spacing w:line="480" w:lineRule="exact"/>
        <w:tabs>
          <w:tab w:val="left" w:pos="0" w:leader="none"/>
        </w:tabs>
        <w:rPr>
          <w:rFonts w:ascii="宋体" w:hAnsi="宋体"/>
          <w:sz w:val="24"/>
          <w:szCs w:val="24"/>
        </w:rPr>
      </w:pPr>
      <w:r>
        <w:rPr>
          <w:rFonts w:ascii="宋体" w:hAnsi="宋体"/>
          <w:sz w:val="24"/>
          <w:szCs w:val="24"/>
        </w:rPr>
        <w:t xml:space="preserve">施工时，做到文明规范、安全施工，施工现场内道路应保持通畅，不在道路上堆放构件、材料等障碍物。施工运输车辆、挖掘机械驶出工地前必须进行冲洗。运输砂石、水泥、土方、垃圾等易产生扬尘污染的车辆必须封闭严密，严禁撒漏。在管道施工时，特别车行道与人行</w:t>
      </w:r>
      <w:r>
        <w:rPr>
          <w:rFonts w:ascii="宋体" w:hAnsi="宋体"/>
          <w:sz w:val="24"/>
          <w:szCs w:val="24"/>
        </w:rPr>
        <w:t xml:space="preserve">道上，注意打围的规范，保证行车与行人的安全，另外当施工现场交通流量较大时，有交通秩序员维护引导现场交通，降低施工对道路交通的影响。</w:t>
      </w:r>
      <w:r/>
    </w:p>
    <w:p>
      <w:pPr>
        <w:pStyle w:val="997"/>
        <w:ind w:firstLine="482"/>
        <w:spacing w:before="0" w:after="0" w:line="480" w:lineRule="exact"/>
        <w:rPr>
          <w:rFonts w:ascii="宋体" w:hAnsi="宋体" w:eastAsia="宋体"/>
          <w:sz w:val="24"/>
          <w:szCs w:val="24"/>
        </w:rPr>
      </w:pPr>
      <w:r/>
      <w:bookmarkStart w:id="119" w:name="_Toc520563390"/>
      <w:r/>
      <w:bookmarkStart w:id="120" w:name="_Toc448153454"/>
      <w:r/>
      <w:bookmarkStart w:id="121" w:name="_Toc91064137"/>
      <w:r/>
      <w:bookmarkStart w:id="122" w:name="_Toc110456655"/>
      <w:r/>
      <w:bookmarkStart w:id="123" w:name="_Toc423897281"/>
      <w:r/>
      <w:bookmarkStart w:id="124" w:name="_Toc426148473"/>
      <w:r/>
      <w:bookmarkStart w:id="125" w:name="_Toc449453940"/>
      <w:r/>
      <w:bookmarkStart w:id="126" w:name="_Toc520671488"/>
      <w:r/>
      <w:bookmarkStart w:id="127" w:name="_Toc14034"/>
      <w:r/>
      <w:bookmarkStart w:id="128" w:name="_Toc427834225"/>
      <w:r/>
      <w:bookmarkStart w:id="129" w:name="_Toc45198496"/>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9</w:t>
      </w:r>
      <w:r>
        <w:rPr>
          <w:rFonts w:ascii="宋体" w:hAnsi="宋体" w:eastAsia="宋体"/>
          <w:sz w:val="24"/>
          <w:szCs w:val="24"/>
        </w:rPr>
        <w:t xml:space="preserve">.2窨井设计</w:t>
      </w:r>
      <w:bookmarkEnd w:id="119"/>
      <w:r/>
      <w:bookmarkEnd w:id="120"/>
      <w:r/>
      <w:bookmarkEnd w:id="121"/>
      <w:r/>
      <w:bookmarkEnd w:id="122"/>
      <w:r/>
      <w:bookmarkEnd w:id="123"/>
      <w:r/>
      <w:bookmarkEnd w:id="124"/>
      <w:r/>
      <w:bookmarkEnd w:id="125"/>
      <w:r/>
      <w:bookmarkEnd w:id="126"/>
      <w:r/>
      <w:bookmarkEnd w:id="127"/>
      <w:r/>
      <w:bookmarkEnd w:id="128"/>
      <w:r/>
      <w:bookmarkEnd w:id="129"/>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砌筑前校核基础尺寸及高程，测放出井中及砌筑边线。灰砂砖在建筑前用水湿润，含水量为 10%~15%，砂浆配合比由实验室确定。</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基础砌筑前，基垫层表面应清扫干净，淋水湿润。</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砌筑时须挂线施工：先挂线对中点，砌筑时经常以此垂线对中点，用钢尺检查各边尺寸、距离是否符合要求。保证方井砌筑时墙体垂直，井口方正。</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砌筑宜采用一铲灰，一块砖，一挤揉的砌法。砌体应分层，上下错缝，内外搭接，砌体的转角处和交接处应同时砌筑，不能同时砌筑的应用梯级槎。</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w:t>
      </w:r>
      <w:r>
        <w:rPr>
          <w:rFonts w:ascii="宋体" w:hAnsi="宋体"/>
          <w:sz w:val="24"/>
          <w:szCs w:val="24"/>
        </w:rPr>
        <w:t xml:space="preserve">砌筑圆形检查井时要注意圆度。挂线校核内径，收口段每皮检查，看有无偏移。井下部干管伸入处，特别是管底两侧要用砂浆碎砖捣插密实，使其不渗漏，收口高度事先算出，按每层缩入2cm，即每圈缩入4cm计算。</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w:t>
      </w:r>
      <w:r>
        <w:rPr>
          <w:rFonts w:ascii="宋体" w:hAnsi="宋体"/>
          <w:sz w:val="24"/>
          <w:szCs w:val="24"/>
        </w:rPr>
        <w:t xml:space="preserve">水泥砂浆必须在4h内用完，不得使用过夜砂浆。</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w:t>
      </w:r>
      <w:r>
        <w:rPr>
          <w:rFonts w:ascii="宋体" w:hAnsi="宋体"/>
          <w:sz w:val="24"/>
          <w:szCs w:val="24"/>
        </w:rPr>
        <w:t xml:space="preserve">7</w:t>
      </w:r>
      <w:r>
        <w:rPr>
          <w:rFonts w:hint="eastAsia" w:ascii="宋体" w:hAnsi="宋体"/>
          <w:sz w:val="24"/>
          <w:szCs w:val="24"/>
        </w:rPr>
        <w:t xml:space="preserve">）</w:t>
      </w:r>
      <w:r>
        <w:rPr>
          <w:rFonts w:ascii="宋体" w:hAnsi="宋体"/>
          <w:sz w:val="24"/>
          <w:szCs w:val="24"/>
        </w:rPr>
        <w:t xml:space="preserve">检查井的井环用 1:2 水泥砂浆固定。井环面应与路面标高相同。</w:t>
      </w:r>
      <w:r/>
    </w:p>
    <w:p>
      <w:pPr>
        <w:pStyle w:val="997"/>
        <w:ind w:firstLine="482"/>
        <w:spacing w:before="0" w:after="0" w:line="480" w:lineRule="exact"/>
        <w:rPr>
          <w:rFonts w:ascii="宋体" w:hAnsi="宋体" w:eastAsia="宋体"/>
          <w:sz w:val="24"/>
          <w:szCs w:val="24"/>
        </w:rPr>
      </w:pPr>
      <w:r/>
      <w:bookmarkStart w:id="130" w:name="_Toc45198497"/>
      <w:r/>
      <w:bookmarkStart w:id="131" w:name="_Toc520671489"/>
      <w:r/>
      <w:bookmarkStart w:id="132" w:name="_Toc91064138"/>
      <w:r/>
      <w:bookmarkStart w:id="133" w:name="_Toc520563391"/>
      <w:r/>
      <w:bookmarkStart w:id="134" w:name="_Toc17911"/>
      <w:r/>
      <w:bookmarkStart w:id="135" w:name="_Toc110456656"/>
      <w:r/>
      <w:bookmarkStart w:id="136" w:name="_Toc449453943"/>
      <w:r/>
      <w:bookmarkStart w:id="137" w:name="_Toc426148476"/>
      <w:r/>
      <w:bookmarkStart w:id="138" w:name="_Toc423897284"/>
      <w:r/>
      <w:bookmarkStart w:id="139" w:name="_Toc448153457"/>
      <w:r/>
      <w:bookmarkStart w:id="140" w:name="_Toc427834228"/>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9</w:t>
      </w:r>
      <w:r>
        <w:rPr>
          <w:rFonts w:ascii="宋体" w:hAnsi="宋体" w:eastAsia="宋体"/>
          <w:sz w:val="24"/>
          <w:szCs w:val="24"/>
        </w:rPr>
        <w:t xml:space="preserve">.3</w:t>
      </w:r>
      <w:r>
        <w:rPr>
          <w:rFonts w:hint="eastAsia" w:ascii="宋体" w:hAnsi="宋体" w:eastAsia="宋体"/>
          <w:sz w:val="24"/>
          <w:szCs w:val="24"/>
        </w:rPr>
        <w:t xml:space="preserve">线缆敷设工程设计</w:t>
      </w:r>
      <w:bookmarkEnd w:id="130"/>
      <w:r/>
      <w:bookmarkEnd w:id="131"/>
      <w:r/>
      <w:bookmarkEnd w:id="132"/>
      <w:r/>
      <w:bookmarkEnd w:id="133"/>
      <w:r/>
      <w:bookmarkEnd w:id="134"/>
      <w:r/>
      <w:bookmarkEnd w:id="135"/>
      <w:r/>
      <w:r/>
    </w:p>
    <w:p>
      <w:pPr>
        <w:ind w:firstLine="482"/>
        <w:spacing w:line="480" w:lineRule="exact"/>
        <w:rPr>
          <w:rFonts w:ascii="宋体" w:hAnsi="宋体"/>
          <w:b/>
          <w:sz w:val="24"/>
          <w:szCs w:val="24"/>
        </w:rPr>
      </w:pPr>
      <w:r/>
      <w:bookmarkStart w:id="141" w:name="_Toc520563392"/>
      <w:r/>
      <w:bookmarkStart w:id="142" w:name="_Toc45198498"/>
      <w:r/>
      <w:bookmarkStart w:id="143" w:name="_Toc520671490"/>
      <w:r>
        <w:rPr>
          <w:rFonts w:ascii="宋体" w:hAnsi="宋体"/>
          <w:b/>
          <w:sz w:val="24"/>
          <w:szCs w:val="24"/>
        </w:rPr>
        <w:t xml:space="preserve">供电</w:t>
      </w:r>
      <w:r>
        <w:rPr>
          <w:rFonts w:hint="eastAsia" w:ascii="宋体" w:hAnsi="宋体"/>
          <w:b/>
          <w:sz w:val="24"/>
          <w:szCs w:val="24"/>
        </w:rPr>
        <w:t xml:space="preserve">线缆敷设</w:t>
      </w:r>
      <w:bookmarkEnd w:id="136"/>
      <w:r/>
      <w:bookmarkEnd w:id="137"/>
      <w:r/>
      <w:bookmarkEnd w:id="138"/>
      <w:r/>
      <w:bookmarkEnd w:id="139"/>
      <w:r/>
      <w:bookmarkEnd w:id="140"/>
      <w:r/>
      <w:bookmarkEnd w:id="141"/>
      <w:r/>
      <w:bookmarkEnd w:id="142"/>
      <w:r/>
      <w:bookmarkEnd w:id="143"/>
      <w:r/>
      <w:r/>
    </w:p>
    <w:p>
      <w:pPr>
        <w:ind w:firstLine="482"/>
        <w:spacing w:line="480" w:lineRule="exact"/>
        <w:rPr>
          <w:rFonts w:ascii="宋体" w:hAnsi="宋体"/>
          <w:b/>
          <w:sz w:val="24"/>
          <w:szCs w:val="24"/>
        </w:rPr>
      </w:pPr>
      <w:r/>
      <w:bookmarkStart w:id="144" w:name="_Toc449453944"/>
      <w:r/>
      <w:bookmarkStart w:id="145" w:name="_Toc427834229"/>
      <w:r/>
      <w:bookmarkStart w:id="146" w:name="_Toc520671491"/>
      <w:r/>
      <w:bookmarkStart w:id="147" w:name="_Toc426148477"/>
      <w:r/>
      <w:bookmarkStart w:id="148" w:name="_Toc423897285"/>
      <w:r/>
      <w:bookmarkStart w:id="149" w:name="_Toc448153458"/>
      <w:r/>
      <w:bookmarkStart w:id="150" w:name="_Toc520563393"/>
      <w:r>
        <w:rPr>
          <w:rFonts w:ascii="宋体" w:hAnsi="宋体"/>
          <w:b/>
          <w:sz w:val="24"/>
          <w:szCs w:val="24"/>
        </w:rPr>
        <w:t xml:space="preserve">一般要求</w:t>
      </w:r>
      <w:bookmarkEnd w:id="144"/>
      <w:r/>
      <w:bookmarkEnd w:id="145"/>
      <w:r/>
      <w:bookmarkEnd w:id="146"/>
      <w:r/>
      <w:bookmarkEnd w:id="147"/>
      <w:r/>
      <w:bookmarkEnd w:id="148"/>
      <w:r/>
      <w:bookmarkEnd w:id="149"/>
      <w:r/>
      <w:bookmarkEnd w:id="150"/>
      <w:r/>
      <w:r/>
    </w:p>
    <w:p>
      <w:pPr>
        <w:ind w:firstLine="480"/>
        <w:spacing w:line="480" w:lineRule="exact"/>
        <w:tabs>
          <w:tab w:val="left" w:pos="0" w:leader="none"/>
        </w:tabs>
        <w:rPr>
          <w:rFonts w:ascii="宋体" w:hAnsi="宋体"/>
          <w:sz w:val="24"/>
          <w:szCs w:val="24"/>
        </w:rPr>
      </w:pPr>
      <w:r>
        <w:rPr>
          <w:rFonts w:ascii="宋体" w:hAnsi="宋体"/>
          <w:sz w:val="24"/>
          <w:szCs w:val="24"/>
        </w:rPr>
        <w:t xml:space="preserve">运到现场的电缆及材料均应核对其型号、规格符合设计要求，并有合格证。</w:t>
      </w:r>
      <w:r/>
    </w:p>
    <w:p>
      <w:pPr>
        <w:ind w:firstLine="480"/>
        <w:spacing w:line="480" w:lineRule="exact"/>
        <w:tabs>
          <w:tab w:val="left" w:pos="0" w:leader="none"/>
        </w:tabs>
        <w:rPr>
          <w:rFonts w:ascii="宋体" w:hAnsi="宋体"/>
          <w:sz w:val="24"/>
          <w:szCs w:val="24"/>
        </w:rPr>
      </w:pPr>
      <w:r>
        <w:rPr>
          <w:rFonts w:ascii="宋体" w:hAnsi="宋体"/>
          <w:sz w:val="24"/>
          <w:szCs w:val="24"/>
        </w:rPr>
        <w:t xml:space="preserve">检查电缆及材料外观无损伤和缺陷。</w:t>
      </w:r>
      <w:r/>
    </w:p>
    <w:p>
      <w:pPr>
        <w:ind w:firstLine="480"/>
        <w:spacing w:line="480" w:lineRule="exact"/>
        <w:tabs>
          <w:tab w:val="left" w:pos="0" w:leader="none"/>
        </w:tabs>
        <w:rPr>
          <w:rFonts w:ascii="宋体" w:hAnsi="宋体"/>
          <w:sz w:val="24"/>
          <w:szCs w:val="24"/>
        </w:rPr>
      </w:pPr>
      <w:r>
        <w:rPr>
          <w:rFonts w:ascii="宋体" w:hAnsi="宋体"/>
          <w:sz w:val="24"/>
          <w:szCs w:val="24"/>
        </w:rPr>
        <w:t xml:space="preserve">卸货和搬运作业时，均不得使设备或外来物体接触到电缆表面。</w:t>
      </w:r>
      <w:r/>
    </w:p>
    <w:p>
      <w:pPr>
        <w:ind w:firstLine="480"/>
        <w:spacing w:line="480" w:lineRule="exact"/>
        <w:tabs>
          <w:tab w:val="left" w:pos="0" w:leader="none"/>
        </w:tabs>
        <w:rPr>
          <w:rFonts w:ascii="宋体" w:hAnsi="宋体"/>
          <w:sz w:val="24"/>
          <w:szCs w:val="24"/>
        </w:rPr>
      </w:pPr>
      <w:r>
        <w:rPr>
          <w:rFonts w:ascii="宋体" w:hAnsi="宋体"/>
          <w:sz w:val="24"/>
          <w:szCs w:val="24"/>
        </w:rPr>
        <w:t xml:space="preserve">在任何情况下，均不得将电缆盘从所载运的车辆上推到地面上。</w:t>
      </w:r>
      <w:r/>
    </w:p>
    <w:p>
      <w:pPr>
        <w:ind w:firstLine="480"/>
        <w:spacing w:line="480" w:lineRule="exact"/>
        <w:tabs>
          <w:tab w:val="left" w:pos="0" w:leader="none"/>
        </w:tabs>
        <w:rPr>
          <w:rFonts w:ascii="宋体" w:hAnsi="宋体"/>
          <w:sz w:val="24"/>
          <w:szCs w:val="24"/>
        </w:rPr>
      </w:pPr>
      <w:r>
        <w:rPr>
          <w:rFonts w:ascii="宋体" w:hAnsi="宋体"/>
          <w:sz w:val="24"/>
          <w:szCs w:val="24"/>
        </w:rPr>
        <w:t xml:space="preserve">经切割的电缆两端应立即密封，以避免潮气侵入。</w:t>
      </w:r>
      <w:r/>
    </w:p>
    <w:p>
      <w:pPr>
        <w:ind w:firstLine="480"/>
        <w:spacing w:line="480" w:lineRule="exact"/>
        <w:tabs>
          <w:tab w:val="left" w:pos="0" w:leader="none"/>
        </w:tabs>
        <w:rPr>
          <w:rFonts w:ascii="宋体" w:hAnsi="宋体"/>
          <w:sz w:val="24"/>
          <w:szCs w:val="24"/>
        </w:rPr>
      </w:pPr>
      <w:r/>
      <w:bookmarkStart w:id="151" w:name="_Toc520671492"/>
      <w:r/>
      <w:bookmarkStart w:id="152" w:name="_Toc448153459"/>
      <w:r/>
      <w:bookmarkStart w:id="153" w:name="_Toc449453945"/>
      <w:r/>
      <w:bookmarkStart w:id="154" w:name="_Toc520563394"/>
      <w:r/>
      <w:bookmarkStart w:id="155" w:name="_Toc423897286"/>
      <w:r/>
      <w:bookmarkStart w:id="156" w:name="_Toc427834230"/>
      <w:r/>
      <w:bookmarkStart w:id="157" w:name="_Toc426148478"/>
      <w:r>
        <w:rPr>
          <w:rFonts w:ascii="宋体" w:hAnsi="宋体"/>
          <w:sz w:val="24"/>
          <w:szCs w:val="24"/>
        </w:rPr>
        <w:t xml:space="preserve">电缆导管敷设</w:t>
      </w:r>
      <w:bookmarkEnd w:id="151"/>
      <w:r/>
      <w:bookmarkEnd w:id="152"/>
      <w:r/>
      <w:bookmarkEnd w:id="153"/>
      <w:r/>
      <w:bookmarkEnd w:id="154"/>
      <w:r/>
      <w:bookmarkEnd w:id="155"/>
      <w:r/>
      <w:bookmarkEnd w:id="156"/>
      <w:r/>
      <w:bookmarkEnd w:id="157"/>
      <w:r/>
      <w:r/>
    </w:p>
    <w:p>
      <w:pPr>
        <w:ind w:firstLine="480"/>
        <w:spacing w:line="480" w:lineRule="exact"/>
        <w:tabs>
          <w:tab w:val="left" w:pos="0" w:leader="none"/>
        </w:tabs>
        <w:rPr>
          <w:rFonts w:ascii="宋体" w:hAnsi="宋体"/>
          <w:sz w:val="24"/>
          <w:szCs w:val="24"/>
        </w:rPr>
      </w:pPr>
      <w:r>
        <w:rPr>
          <w:rFonts w:ascii="宋体" w:hAnsi="宋体"/>
          <w:sz w:val="24"/>
          <w:szCs w:val="24"/>
        </w:rPr>
        <w:t xml:space="preserve">管口切割以后，内边缘必须锉平。</w:t>
      </w:r>
      <w:r/>
    </w:p>
    <w:p>
      <w:pPr>
        <w:ind w:firstLine="482"/>
        <w:spacing w:line="480" w:lineRule="exact"/>
        <w:rPr>
          <w:rFonts w:ascii="宋体" w:hAnsi="宋体"/>
          <w:b/>
          <w:sz w:val="24"/>
          <w:szCs w:val="24"/>
        </w:rPr>
      </w:pPr>
      <w:r>
        <w:rPr>
          <w:rFonts w:ascii="宋体" w:hAnsi="宋体"/>
          <w:b/>
          <w:sz w:val="24"/>
          <w:szCs w:val="24"/>
        </w:rPr>
        <w:t xml:space="preserve">导线管必须冷弯，弯曲半径符合规范要求。</w:t>
      </w:r>
      <w:r/>
    </w:p>
    <w:p>
      <w:pPr>
        <w:ind w:firstLine="480"/>
        <w:spacing w:line="480" w:lineRule="exact"/>
        <w:tabs>
          <w:tab w:val="left" w:pos="0" w:leader="none"/>
        </w:tabs>
        <w:rPr>
          <w:rFonts w:ascii="宋体" w:hAnsi="宋体"/>
          <w:sz w:val="24"/>
          <w:szCs w:val="24"/>
        </w:rPr>
      </w:pPr>
      <w:r>
        <w:rPr>
          <w:rFonts w:ascii="宋体" w:hAnsi="宋体"/>
          <w:sz w:val="24"/>
          <w:szCs w:val="24"/>
        </w:rPr>
        <w:t xml:space="preserve">埋地导管在安装预制前，先按施工图确定好路径，安装好的导管要用非木质件固定并随导管一起埋入地坪，导管埋深符合规范要求。</w:t>
      </w:r>
      <w:r/>
    </w:p>
    <w:p>
      <w:pPr>
        <w:ind w:firstLine="480"/>
        <w:spacing w:line="480" w:lineRule="exact"/>
        <w:tabs>
          <w:tab w:val="left" w:pos="0" w:leader="none"/>
        </w:tabs>
        <w:rPr>
          <w:rFonts w:ascii="宋体" w:hAnsi="宋体"/>
          <w:sz w:val="24"/>
          <w:szCs w:val="24"/>
        </w:rPr>
      </w:pPr>
      <w:r>
        <w:rPr>
          <w:rFonts w:ascii="宋体" w:hAnsi="宋体"/>
          <w:sz w:val="24"/>
          <w:szCs w:val="24"/>
        </w:rPr>
        <w:t xml:space="preserve">在地面上敷设的导管要适当地固定在附近的结构或支架上，接线盒的安装要避免雨水进入。</w:t>
      </w:r>
      <w:r/>
    </w:p>
    <w:p>
      <w:pPr>
        <w:ind w:firstLine="480"/>
        <w:spacing w:line="480" w:lineRule="exact"/>
        <w:tabs>
          <w:tab w:val="left" w:pos="0" w:leader="none"/>
        </w:tabs>
        <w:rPr>
          <w:rFonts w:ascii="宋体" w:hAnsi="宋体"/>
          <w:sz w:val="24"/>
          <w:szCs w:val="24"/>
        </w:rPr>
      </w:pPr>
      <w:r>
        <w:rPr>
          <w:rFonts w:ascii="宋体" w:hAnsi="宋体"/>
          <w:sz w:val="24"/>
          <w:szCs w:val="24"/>
        </w:rPr>
        <w:t xml:space="preserve">镀锌管锌层剥落处应涂以防腐漆。</w:t>
      </w:r>
      <w:r/>
    </w:p>
    <w:p>
      <w:pPr>
        <w:ind w:firstLine="482"/>
        <w:spacing w:line="480" w:lineRule="exact"/>
        <w:rPr>
          <w:rFonts w:ascii="宋体" w:hAnsi="宋体"/>
          <w:b/>
          <w:sz w:val="24"/>
          <w:szCs w:val="24"/>
        </w:rPr>
      </w:pPr>
      <w:r>
        <w:rPr>
          <w:rFonts w:ascii="宋体" w:hAnsi="宋体"/>
          <w:b/>
          <w:sz w:val="24"/>
          <w:szCs w:val="24"/>
        </w:rPr>
        <w:t xml:space="preserve">电缆敷设前准备</w:t>
      </w:r>
      <w:r/>
    </w:p>
    <w:p>
      <w:pPr>
        <w:ind w:firstLine="480"/>
        <w:spacing w:line="480" w:lineRule="exact"/>
        <w:tabs>
          <w:tab w:val="left" w:pos="0" w:leader="none"/>
        </w:tabs>
        <w:rPr>
          <w:rFonts w:ascii="宋体" w:hAnsi="宋体"/>
          <w:sz w:val="24"/>
          <w:szCs w:val="24"/>
        </w:rPr>
      </w:pPr>
      <w:r>
        <w:rPr>
          <w:rFonts w:ascii="宋体" w:hAnsi="宋体"/>
          <w:sz w:val="24"/>
          <w:szCs w:val="24"/>
        </w:rPr>
        <w:t xml:space="preserve">根据电缆到货长度，敷设长度编制电缆分配表，分列各编号电缆的起点、终点、长度及分配盘号。</w:t>
      </w:r>
      <w:r/>
    </w:p>
    <w:p>
      <w:pPr>
        <w:ind w:firstLine="480"/>
        <w:spacing w:line="480" w:lineRule="exact"/>
        <w:tabs>
          <w:tab w:val="left" w:pos="0" w:leader="none"/>
        </w:tabs>
        <w:rPr>
          <w:rFonts w:ascii="宋体" w:hAnsi="宋体"/>
          <w:sz w:val="24"/>
          <w:szCs w:val="24"/>
        </w:rPr>
      </w:pPr>
      <w:r>
        <w:rPr>
          <w:rFonts w:ascii="宋体" w:hAnsi="宋体"/>
          <w:sz w:val="24"/>
          <w:szCs w:val="24"/>
        </w:rPr>
        <w:t xml:space="preserve">根据现场电缆分布情况和电缆分配表，安排电缆敷设顺序，宜先远后近，先集中后分散。</w:t>
      </w:r>
      <w:r/>
    </w:p>
    <w:p>
      <w:pPr>
        <w:ind w:firstLine="480"/>
        <w:spacing w:line="480" w:lineRule="exact"/>
        <w:tabs>
          <w:tab w:val="left" w:pos="0" w:leader="none"/>
        </w:tabs>
        <w:rPr>
          <w:rFonts w:ascii="宋体" w:hAnsi="宋体"/>
          <w:sz w:val="24"/>
          <w:szCs w:val="24"/>
        </w:rPr>
      </w:pPr>
      <w:r>
        <w:rPr>
          <w:rFonts w:ascii="宋体" w:hAnsi="宋体"/>
          <w:sz w:val="24"/>
          <w:szCs w:val="24"/>
        </w:rPr>
        <w:t xml:space="preserve">电缆敷设前需对每盘电缆进行导通性和绝缘性检查，合格电缆方可敷设，绝缘检查低压电缆用500VM表测试。</w:t>
      </w:r>
      <w:r/>
    </w:p>
    <w:p>
      <w:pPr>
        <w:ind w:firstLine="480"/>
        <w:spacing w:line="480" w:lineRule="exact"/>
        <w:tabs>
          <w:tab w:val="left" w:pos="0" w:leader="none"/>
        </w:tabs>
        <w:rPr>
          <w:rFonts w:ascii="宋体" w:hAnsi="宋体"/>
          <w:sz w:val="24"/>
          <w:szCs w:val="24"/>
        </w:rPr>
      </w:pPr>
      <w:r>
        <w:rPr>
          <w:rFonts w:ascii="宋体" w:hAnsi="宋体"/>
          <w:sz w:val="24"/>
          <w:szCs w:val="24"/>
        </w:rPr>
        <w:t xml:space="preserve">电缆型号、规格等应符合设计要求，外观良好，保护层无破损。</w:t>
      </w:r>
      <w:r/>
    </w:p>
    <w:p>
      <w:pPr>
        <w:ind w:firstLine="480"/>
        <w:spacing w:line="480" w:lineRule="exact"/>
        <w:tabs>
          <w:tab w:val="left" w:pos="0" w:leader="none"/>
        </w:tabs>
        <w:rPr>
          <w:rFonts w:ascii="宋体" w:hAnsi="宋体"/>
          <w:sz w:val="24"/>
          <w:szCs w:val="24"/>
        </w:rPr>
      </w:pPr>
      <w:r>
        <w:rPr>
          <w:rFonts w:ascii="宋体" w:hAnsi="宋体"/>
          <w:sz w:val="24"/>
          <w:szCs w:val="24"/>
        </w:rPr>
        <w:t xml:space="preserve">电缆槽/托盘安装完，直埋电缆区域无土方开挖，电缆保护管预埋工作已完成，导管中穿好铁丝。</w:t>
      </w:r>
      <w:r/>
    </w:p>
    <w:p>
      <w:pPr>
        <w:ind w:firstLine="480"/>
        <w:spacing w:line="480" w:lineRule="exact"/>
        <w:tabs>
          <w:tab w:val="left" w:pos="0" w:leader="none"/>
        </w:tabs>
        <w:rPr>
          <w:rFonts w:ascii="宋体" w:hAnsi="宋体"/>
          <w:sz w:val="24"/>
          <w:szCs w:val="24"/>
        </w:rPr>
      </w:pPr>
      <w:r>
        <w:rPr>
          <w:rFonts w:ascii="宋体" w:hAnsi="宋体"/>
          <w:sz w:val="24"/>
          <w:szCs w:val="24"/>
        </w:rPr>
        <w:t xml:space="preserve">设计一个合适的表格，记录每个电缆盘每次提取的电缆数量和剩余的电缆数量。</w:t>
      </w:r>
      <w:r/>
    </w:p>
    <w:p>
      <w:pPr>
        <w:ind w:firstLine="482"/>
        <w:spacing w:line="480" w:lineRule="exact"/>
        <w:rPr>
          <w:rFonts w:ascii="宋体" w:hAnsi="宋体"/>
          <w:b/>
          <w:sz w:val="24"/>
          <w:szCs w:val="24"/>
        </w:rPr>
      </w:pPr>
      <w:r>
        <w:rPr>
          <w:rFonts w:ascii="宋体" w:hAnsi="宋体"/>
          <w:b/>
          <w:sz w:val="24"/>
          <w:szCs w:val="24"/>
        </w:rPr>
        <w:t xml:space="preserve">管内穿线</w:t>
      </w:r>
      <w:r/>
    </w:p>
    <w:p>
      <w:pPr>
        <w:ind w:firstLine="480"/>
        <w:spacing w:line="480" w:lineRule="exact"/>
        <w:rPr>
          <w:rFonts w:ascii="宋体" w:hAnsi="宋体"/>
          <w:sz w:val="24"/>
          <w:szCs w:val="24"/>
        </w:rPr>
      </w:pPr>
      <w:r>
        <w:rPr>
          <w:rFonts w:ascii="宋体" w:hAnsi="宋体"/>
          <w:sz w:val="24"/>
          <w:szCs w:val="24"/>
        </w:rPr>
        <w:t xml:space="preserve">对穿管敷设的绝缘导线，其额定电压不低于 500V。</w:t>
      </w:r>
      <w:r/>
    </w:p>
    <w:p>
      <w:pPr>
        <w:ind w:firstLine="480"/>
        <w:spacing w:line="480" w:lineRule="exact"/>
        <w:rPr>
          <w:rFonts w:ascii="宋体" w:hAnsi="宋体"/>
          <w:sz w:val="24"/>
          <w:szCs w:val="24"/>
        </w:rPr>
      </w:pPr>
      <w:r>
        <w:rPr>
          <w:rFonts w:ascii="宋体" w:hAnsi="宋体"/>
          <w:sz w:val="24"/>
          <w:szCs w:val="24"/>
        </w:rPr>
        <w:t xml:space="preserve">不同回路、不同电压等级的导线，不穿在同一根管内。</w:t>
      </w:r>
      <w:r/>
    </w:p>
    <w:p>
      <w:pPr>
        <w:ind w:firstLine="480"/>
        <w:spacing w:line="480" w:lineRule="exact"/>
        <w:rPr>
          <w:rFonts w:ascii="宋体" w:hAnsi="宋体"/>
          <w:sz w:val="24"/>
          <w:szCs w:val="24"/>
        </w:rPr>
      </w:pPr>
      <w:r>
        <w:rPr>
          <w:rFonts w:ascii="宋体" w:hAnsi="宋体"/>
          <w:sz w:val="24"/>
          <w:szCs w:val="24"/>
        </w:rPr>
        <w:t xml:space="preserve">同类供电的几个回路可穿入同一根管内，但管内导线总数不多于 8 根。</w:t>
      </w:r>
      <w:r/>
    </w:p>
    <w:p>
      <w:pPr>
        <w:ind w:firstLine="480"/>
        <w:spacing w:line="480" w:lineRule="exact"/>
        <w:rPr>
          <w:rFonts w:ascii="宋体" w:hAnsi="宋体"/>
          <w:sz w:val="24"/>
          <w:szCs w:val="24"/>
        </w:rPr>
      </w:pPr>
      <w:r>
        <w:rPr>
          <w:rFonts w:ascii="宋体" w:hAnsi="宋体"/>
          <w:sz w:val="24"/>
          <w:szCs w:val="24"/>
        </w:rPr>
        <w:t xml:space="preserve">同一交流回路的导线穿于同一钢管内。</w:t>
      </w:r>
      <w:r/>
    </w:p>
    <w:p>
      <w:pPr>
        <w:ind w:firstLine="480"/>
        <w:spacing w:line="480" w:lineRule="exact"/>
        <w:rPr>
          <w:rFonts w:ascii="宋体" w:hAnsi="宋体"/>
          <w:sz w:val="24"/>
          <w:szCs w:val="24"/>
        </w:rPr>
      </w:pPr>
      <w:r>
        <w:rPr>
          <w:rFonts w:ascii="宋体" w:hAnsi="宋体"/>
          <w:sz w:val="24"/>
          <w:szCs w:val="24"/>
        </w:rPr>
        <w:t xml:space="preserve">导线在管内无接头和扭结，接头设在接线盒（箱）内。</w:t>
      </w:r>
      <w:r/>
    </w:p>
    <w:p>
      <w:pPr>
        <w:ind w:firstLine="480"/>
        <w:spacing w:line="480" w:lineRule="exact"/>
        <w:rPr>
          <w:rFonts w:ascii="宋体" w:hAnsi="宋体"/>
          <w:sz w:val="24"/>
          <w:szCs w:val="24"/>
        </w:rPr>
      </w:pPr>
      <w:r>
        <w:rPr>
          <w:rFonts w:ascii="宋体" w:hAnsi="宋体"/>
          <w:sz w:val="24"/>
          <w:szCs w:val="24"/>
        </w:rPr>
        <w:t xml:space="preserve">管内导线包括绝缘层在内的总截面积不大于管子内空截面积的 40％。</w:t>
      </w:r>
      <w:r/>
    </w:p>
    <w:p>
      <w:pPr>
        <w:ind w:firstLine="482"/>
        <w:spacing w:line="480" w:lineRule="exact"/>
        <w:rPr>
          <w:rFonts w:ascii="宋体" w:hAnsi="宋体"/>
          <w:b/>
          <w:sz w:val="24"/>
          <w:szCs w:val="24"/>
        </w:rPr>
      </w:pPr>
      <w:r>
        <w:rPr>
          <w:rFonts w:ascii="宋体" w:hAnsi="宋体"/>
          <w:b/>
          <w:sz w:val="24"/>
          <w:szCs w:val="24"/>
        </w:rPr>
        <w:t xml:space="preserve">接头连接和终端连接</w:t>
      </w:r>
      <w:r/>
    </w:p>
    <w:p>
      <w:pPr>
        <w:ind w:firstLine="480"/>
        <w:spacing w:line="480" w:lineRule="exact"/>
        <w:rPr>
          <w:rFonts w:ascii="宋体" w:hAnsi="宋体"/>
          <w:sz w:val="24"/>
          <w:szCs w:val="24"/>
        </w:rPr>
      </w:pPr>
      <w:r>
        <w:rPr>
          <w:rFonts w:ascii="宋体" w:hAnsi="宋体"/>
          <w:sz w:val="24"/>
          <w:szCs w:val="24"/>
        </w:rPr>
        <w:t xml:space="preserve">电力电缆终端头的制作，必须按制造厂提供的详图由熟悉制作工艺的人员进行。</w:t>
      </w:r>
      <w:r/>
    </w:p>
    <w:p>
      <w:pPr>
        <w:ind w:firstLine="480"/>
        <w:spacing w:line="480" w:lineRule="exact"/>
        <w:rPr>
          <w:rFonts w:ascii="宋体" w:hAnsi="宋体"/>
          <w:sz w:val="24"/>
          <w:szCs w:val="24"/>
        </w:rPr>
      </w:pPr>
      <w:r>
        <w:rPr>
          <w:rFonts w:ascii="宋体" w:hAnsi="宋体"/>
          <w:sz w:val="24"/>
          <w:szCs w:val="24"/>
        </w:rPr>
        <w:t xml:space="preserve">低压电缆终端头采用绝缘胶带包扎密封。</w:t>
      </w:r>
      <w:r/>
    </w:p>
    <w:p>
      <w:pPr>
        <w:ind w:firstLine="480"/>
        <w:spacing w:line="480" w:lineRule="exact"/>
        <w:rPr>
          <w:rFonts w:ascii="宋体" w:hAnsi="宋体"/>
          <w:sz w:val="24"/>
          <w:szCs w:val="24"/>
        </w:rPr>
      </w:pPr>
      <w:r>
        <w:rPr>
          <w:rFonts w:ascii="宋体" w:hAnsi="宋体"/>
          <w:sz w:val="24"/>
          <w:szCs w:val="24"/>
        </w:rPr>
        <w:t xml:space="preserve">电缆在最终连接前，进行导通性和绝缘性测试，中压电缆按 MLD-01-F-60-001 规定做直流耐压试验。</w:t>
      </w:r>
      <w:r/>
    </w:p>
    <w:p>
      <w:pPr>
        <w:ind w:firstLine="482"/>
        <w:spacing w:line="480" w:lineRule="exact"/>
        <w:rPr>
          <w:rFonts w:ascii="宋体" w:hAnsi="宋体"/>
          <w:b/>
          <w:sz w:val="24"/>
          <w:szCs w:val="24"/>
        </w:rPr>
      </w:pPr>
      <w:r/>
      <w:bookmarkStart w:id="158" w:name="_Toc45198499"/>
      <w:r/>
      <w:bookmarkStart w:id="159" w:name="_Toc427834231"/>
      <w:r/>
      <w:bookmarkStart w:id="160" w:name="_Toc449453946"/>
      <w:r/>
      <w:bookmarkStart w:id="161" w:name="_Toc426148479"/>
      <w:r/>
      <w:bookmarkStart w:id="162" w:name="_Toc520563395"/>
      <w:r/>
      <w:bookmarkStart w:id="163" w:name="_Toc520671493"/>
      <w:r/>
      <w:bookmarkStart w:id="164" w:name="_Toc423897287"/>
      <w:r/>
      <w:bookmarkStart w:id="165" w:name="_Toc448153460"/>
      <w:r>
        <w:rPr>
          <w:rFonts w:ascii="宋体" w:hAnsi="宋体"/>
          <w:b/>
          <w:sz w:val="24"/>
          <w:szCs w:val="24"/>
        </w:rPr>
        <w:t xml:space="preserve">通信</w:t>
      </w:r>
      <w:r>
        <w:rPr>
          <w:rFonts w:hint="eastAsia" w:ascii="宋体" w:hAnsi="宋体"/>
          <w:b/>
          <w:sz w:val="24"/>
          <w:szCs w:val="24"/>
        </w:rPr>
        <w:t xml:space="preserve">线缆敷设</w:t>
      </w:r>
      <w:bookmarkEnd w:id="158"/>
      <w:r/>
      <w:bookmarkEnd w:id="159"/>
      <w:r/>
      <w:bookmarkEnd w:id="160"/>
      <w:r/>
      <w:bookmarkEnd w:id="161"/>
      <w:r/>
      <w:bookmarkEnd w:id="162"/>
      <w:r/>
      <w:bookmarkEnd w:id="163"/>
      <w:r/>
      <w:bookmarkEnd w:id="164"/>
      <w:r/>
      <w:bookmarkEnd w:id="165"/>
      <w:r/>
      <w:r/>
    </w:p>
    <w:p>
      <w:pPr>
        <w:ind w:firstLine="480"/>
        <w:spacing w:line="48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1）光缆将按实际长度铺设，铺设时不超过光缆厂家规定的牵引张力和弯曲半径的要求。在铺设光缆之前，每个管道要用合适的方法清理。</w:t>
      </w:r>
      <w:r/>
    </w:p>
    <w:p>
      <w:pPr>
        <w:ind w:firstLine="480"/>
        <w:spacing w:line="48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2）光缆在人孔</w:t>
      </w:r>
      <w:r>
        <w:rPr>
          <w:rFonts w:hint="eastAsia" w:ascii="宋体" w:hAnsi="宋体"/>
          <w:sz w:val="24"/>
          <w:szCs w:val="24"/>
        </w:rPr>
        <w:t xml:space="preserve">井</w:t>
      </w:r>
      <w:r>
        <w:rPr>
          <w:rFonts w:ascii="宋体" w:hAnsi="宋体"/>
          <w:sz w:val="24"/>
          <w:szCs w:val="24"/>
        </w:rPr>
        <w:t xml:space="preserve">外十分清洁的环境中接续。光缆接续采用熔接法，光缆接头应配有单独的接头护套。</w:t>
      </w:r>
      <w:r/>
    </w:p>
    <w:p>
      <w:pPr>
        <w:ind w:firstLine="480"/>
        <w:spacing w:line="48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3）备有备用光缆并装在光缆接头盒的托盘上，放在托盘上的光纤不应产生微弯曲损耗。每根光缆在1310nm波长的接头损耗不超过0.ldB。</w:t>
      </w:r>
      <w:r/>
    </w:p>
    <w:p>
      <w:pPr>
        <w:ind w:firstLine="480"/>
        <w:spacing w:line="48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4）在所有光缆需要分歧或分配出与单独终端单元相连的光纤接头应使用接头盒保护；接头盒的设计应易于安装。</w:t>
      </w:r>
      <w:r/>
    </w:p>
    <w:p>
      <w:pPr>
        <w:ind w:firstLine="480"/>
        <w:spacing w:line="48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5）接头盒应为光缆接头提供一个密闭的、防潮的环境。接头盒应能重新进入，以便维修和满足其它工作要求。</w:t>
      </w:r>
      <w:r/>
    </w:p>
    <w:p>
      <w:pPr>
        <w:ind w:firstLine="480"/>
        <w:spacing w:line="48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6）接头牢固地安装在每个人孔中。接头应安装在尽可能高处，以免浸水。</w:t>
      </w:r>
      <w:r/>
    </w:p>
    <w:p>
      <w:pPr>
        <w:ind w:firstLine="480"/>
        <w:spacing w:line="48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7）每根光缆端接在光缆终端和接线板上，光缆应在每个站端接。接线板的容量足以端接所有室外光纤。进局光缆有标志，以区别其它电缆。</w:t>
      </w:r>
      <w:r/>
    </w:p>
    <w:p>
      <w:pPr>
        <w:ind w:firstLine="480"/>
        <w:spacing w:line="480" w:lineRule="exact"/>
        <w:rPr>
          <w:rFonts w:ascii="宋体" w:hAnsi="宋体"/>
          <w:sz w:val="24"/>
          <w:szCs w:val="24"/>
        </w:rPr>
      </w:pPr>
      <w:r>
        <w:rPr>
          <w:rFonts w:hint="eastAsia" w:ascii="宋体" w:hAnsi="宋体"/>
          <w:sz w:val="24"/>
          <w:szCs w:val="24"/>
        </w:rPr>
        <w:t xml:space="preserve">（8</w:t>
      </w:r>
      <w:r>
        <w:rPr>
          <w:rFonts w:ascii="宋体" w:hAnsi="宋体"/>
          <w:sz w:val="24"/>
          <w:szCs w:val="24"/>
        </w:rPr>
        <w:t xml:space="preserve">）设备侧的光缆长度应作适当预留，一股为10~20m，可存在光端机室或进线室。进局光缆的弯曲半径不应太小，以免产生微弯曲损耗。</w:t>
      </w:r>
      <w:r/>
    </w:p>
    <w:p>
      <w:pPr>
        <w:ind w:firstLine="482"/>
        <w:spacing w:line="480" w:lineRule="exact"/>
        <w:rPr>
          <w:rFonts w:ascii="宋体" w:hAnsi="宋体"/>
          <w:b/>
          <w:sz w:val="24"/>
          <w:szCs w:val="24"/>
        </w:rPr>
      </w:pPr>
      <w:r>
        <w:rPr>
          <w:rFonts w:ascii="宋体" w:hAnsi="宋体"/>
          <w:b/>
          <w:sz w:val="24"/>
          <w:szCs w:val="24"/>
        </w:rPr>
        <w:t xml:space="preserve">光缆接续及测试</w:t>
      </w:r>
      <w:r/>
    </w:p>
    <w:p>
      <w:pPr>
        <w:ind w:firstLine="480"/>
        <w:spacing w:line="480" w:lineRule="exact"/>
        <w:tabs>
          <w:tab w:val="left" w:pos="0" w:leader="none"/>
        </w:tabs>
        <w:rPr>
          <w:rFonts w:ascii="宋体" w:hAnsi="宋体"/>
          <w:sz w:val="24"/>
          <w:szCs w:val="24"/>
        </w:rPr>
      </w:pPr>
      <w:r>
        <w:rPr>
          <w:rFonts w:ascii="宋体" w:hAnsi="宋体"/>
          <w:sz w:val="24"/>
          <w:szCs w:val="24"/>
        </w:rPr>
        <w:t xml:space="preserve">（1）通信光缆接续工艺流程</w:t>
      </w:r>
      <w:r/>
    </w:p>
    <w:p>
      <w:pPr>
        <w:ind w:firstLine="480"/>
        <w:spacing w:line="480" w:lineRule="exact"/>
        <w:tabs>
          <w:tab w:val="left" w:pos="0" w:leader="none"/>
        </w:tabs>
        <w:rPr>
          <w:rFonts w:ascii="宋体" w:hAnsi="宋体"/>
          <w:sz w:val="24"/>
          <w:szCs w:val="24"/>
        </w:rPr>
      </w:pPr>
      <w:r>
        <w:rPr>
          <w:rFonts w:ascii="宋体" w:hAnsi="宋体"/>
          <w:sz w:val="24"/>
          <w:szCs w:val="24"/>
        </w:rPr>
        <w:t xml:space="preserve">1）在接续过程中通过 OTDR 监测，以确保光纤持续质量。</w:t>
      </w:r>
      <w:r/>
    </w:p>
    <w:p>
      <w:pPr>
        <w:ind w:firstLine="480"/>
        <w:spacing w:line="480" w:lineRule="exact"/>
        <w:tabs>
          <w:tab w:val="left" w:pos="0" w:leader="none"/>
        </w:tabs>
        <w:rPr>
          <w:rFonts w:ascii="宋体" w:hAnsi="宋体"/>
          <w:sz w:val="24"/>
          <w:szCs w:val="24"/>
        </w:rPr>
      </w:pPr>
      <w:r>
        <w:rPr>
          <w:rFonts w:ascii="宋体" w:hAnsi="宋体"/>
          <w:sz w:val="24"/>
          <w:szCs w:val="24"/>
        </w:rPr>
        <w:t xml:space="preserve">2）中继段测试采用 OTDR 和介入法两种方法测试。</w:t>
      </w:r>
      <w:r/>
    </w:p>
    <w:p>
      <w:pPr>
        <w:ind w:firstLine="480"/>
        <w:spacing w:line="480" w:lineRule="exact"/>
        <w:tabs>
          <w:tab w:val="left" w:pos="0" w:leader="none"/>
        </w:tabs>
        <w:rPr>
          <w:rFonts w:ascii="宋体" w:hAnsi="宋体"/>
          <w:sz w:val="24"/>
          <w:szCs w:val="24"/>
        </w:rPr>
      </w:pPr>
      <w:r>
        <w:rPr>
          <w:rFonts w:ascii="宋体" w:hAnsi="宋体"/>
          <w:sz w:val="24"/>
          <w:szCs w:val="24"/>
        </w:rPr>
        <w:t xml:space="preserve">（2）操作要求</w:t>
      </w:r>
      <w:r/>
    </w:p>
    <w:p>
      <w:pPr>
        <w:ind w:firstLine="480"/>
        <w:spacing w:line="480" w:lineRule="exact"/>
        <w:tabs>
          <w:tab w:val="left" w:pos="0" w:leader="none"/>
        </w:tabs>
        <w:rPr>
          <w:rFonts w:ascii="宋体" w:hAnsi="宋体"/>
          <w:sz w:val="24"/>
          <w:szCs w:val="24"/>
        </w:rPr>
      </w:pPr>
      <w:r>
        <w:rPr>
          <w:rFonts w:ascii="宋体" w:hAnsi="宋体"/>
          <w:sz w:val="24"/>
          <w:szCs w:val="24"/>
        </w:rPr>
        <w:t xml:space="preserve">1）清理场地、塔置防尘帐篷，准备好工具、材料；</w:t>
      </w:r>
      <w:r/>
    </w:p>
    <w:p>
      <w:pPr>
        <w:ind w:firstLine="480"/>
        <w:spacing w:line="480" w:lineRule="exact"/>
        <w:tabs>
          <w:tab w:val="left" w:pos="0" w:leader="none"/>
        </w:tabs>
        <w:rPr>
          <w:rFonts w:ascii="宋体" w:hAnsi="宋体"/>
          <w:sz w:val="24"/>
          <w:szCs w:val="24"/>
        </w:rPr>
      </w:pPr>
      <w:r>
        <w:rPr>
          <w:rFonts w:ascii="宋体" w:hAnsi="宋体"/>
          <w:sz w:val="24"/>
          <w:szCs w:val="24"/>
        </w:rPr>
        <w:t xml:space="preserve">2）切断光缆缆芯，但不得用钢锯，必须用电缆剪刀；</w:t>
      </w:r>
      <w:r/>
    </w:p>
    <w:p>
      <w:pPr>
        <w:ind w:firstLine="480"/>
        <w:spacing w:line="480" w:lineRule="exact"/>
        <w:tabs>
          <w:tab w:val="left" w:pos="0" w:leader="none"/>
        </w:tabs>
        <w:rPr>
          <w:rFonts w:ascii="宋体" w:hAnsi="宋体"/>
          <w:sz w:val="24"/>
          <w:szCs w:val="24"/>
        </w:rPr>
      </w:pPr>
      <w:r>
        <w:rPr>
          <w:rFonts w:ascii="宋体" w:hAnsi="宋体"/>
          <w:sz w:val="24"/>
          <w:szCs w:val="24"/>
        </w:rPr>
        <w:t xml:space="preserve">3）光缆余留及切割尺寸，弯曲半径等应符合规定；光纤接续操作时，操作人员应穿作业服、戴作业帽、工作手套；</w:t>
      </w:r>
      <w:r/>
    </w:p>
    <w:p>
      <w:pPr>
        <w:ind w:firstLine="480"/>
        <w:spacing w:line="480" w:lineRule="exact"/>
        <w:tabs>
          <w:tab w:val="left" w:pos="0" w:leader="none"/>
        </w:tabs>
        <w:rPr>
          <w:rFonts w:ascii="宋体" w:hAnsi="宋体"/>
          <w:sz w:val="24"/>
          <w:szCs w:val="24"/>
        </w:rPr>
      </w:pPr>
      <w:r>
        <w:rPr>
          <w:rFonts w:ascii="宋体" w:hAnsi="宋体"/>
          <w:sz w:val="24"/>
          <w:szCs w:val="24"/>
        </w:rPr>
        <w:t xml:space="preserve">4）将待接续光纤被覆层擦干净，以免弄脏加强保护热熔管和熔接机后面。接续过程中应特别注意清洁，尤其是环境条件及操作人员的双手；</w:t>
      </w:r>
      <w:r/>
    </w:p>
    <w:p>
      <w:pPr>
        <w:ind w:firstLine="480"/>
        <w:spacing w:line="480" w:lineRule="exact"/>
        <w:tabs>
          <w:tab w:val="left" w:pos="0" w:leader="none"/>
        </w:tabs>
        <w:rPr>
          <w:rFonts w:ascii="宋体" w:hAnsi="宋体"/>
          <w:sz w:val="24"/>
          <w:szCs w:val="24"/>
        </w:rPr>
      </w:pPr>
      <w:r>
        <w:rPr>
          <w:rFonts w:ascii="宋体" w:hAnsi="宋体"/>
          <w:sz w:val="24"/>
          <w:szCs w:val="24"/>
        </w:rPr>
        <w:t xml:space="preserve">5）用剥除器剥除光纤被覆，用丙酮将裸光纤擦净，用光纤切割器切出端面，端面不合格时需重新切割；</w:t>
      </w:r>
      <w:r/>
    </w:p>
    <w:p>
      <w:pPr>
        <w:ind w:firstLine="480"/>
        <w:spacing w:line="480" w:lineRule="exact"/>
        <w:tabs>
          <w:tab w:val="left" w:pos="0" w:leader="none"/>
        </w:tabs>
        <w:rPr>
          <w:rFonts w:ascii="宋体" w:hAnsi="宋体"/>
          <w:sz w:val="24"/>
          <w:szCs w:val="24"/>
        </w:rPr>
      </w:pPr>
      <w:r>
        <w:rPr>
          <w:rFonts w:ascii="宋体" w:hAnsi="宋体"/>
          <w:sz w:val="24"/>
          <w:szCs w:val="24"/>
        </w:rPr>
        <w:t xml:space="preserve">6）监视光纤熔接测定值及仔细观察接续图像有无缺陷情况，如不合格则重新制备光纤端面，再次接续，直到合格为止；</w:t>
      </w:r>
      <w:r/>
    </w:p>
    <w:p>
      <w:pPr>
        <w:ind w:firstLine="480"/>
        <w:spacing w:line="480" w:lineRule="exact"/>
        <w:tabs>
          <w:tab w:val="left" w:pos="0" w:leader="none"/>
        </w:tabs>
        <w:rPr>
          <w:rFonts w:ascii="宋体" w:hAnsi="宋体"/>
          <w:sz w:val="24"/>
          <w:szCs w:val="24"/>
        </w:rPr>
      </w:pPr>
      <w:r>
        <w:rPr>
          <w:rFonts w:ascii="宋体" w:hAnsi="宋体"/>
          <w:sz w:val="24"/>
          <w:szCs w:val="24"/>
        </w:rPr>
        <w:t xml:space="preserve">7）接续好的光线从容阶级取出时，注意动作要慢，移动加强保护热熔管位置应适中，收缩后两端应包住光纤的被覆层不小于10mm；</w:t>
      </w:r>
      <w:r/>
    </w:p>
    <w:p>
      <w:pPr>
        <w:ind w:firstLine="480"/>
        <w:spacing w:line="480" w:lineRule="exact"/>
        <w:tabs>
          <w:tab w:val="left" w:pos="0" w:leader="none"/>
        </w:tabs>
        <w:rPr>
          <w:rFonts w:ascii="宋体" w:hAnsi="宋体"/>
          <w:sz w:val="24"/>
          <w:szCs w:val="24"/>
        </w:rPr>
      </w:pPr>
      <w:r>
        <w:rPr>
          <w:rFonts w:ascii="宋体" w:hAnsi="宋体"/>
          <w:sz w:val="24"/>
          <w:szCs w:val="24"/>
        </w:rPr>
        <w:t xml:space="preserve">8）光纤收容时注意弯曲半径应不小于40mm；</w:t>
      </w:r>
      <w:r/>
    </w:p>
    <w:p>
      <w:pPr>
        <w:ind w:firstLine="480"/>
        <w:spacing w:line="480" w:lineRule="exact"/>
        <w:tabs>
          <w:tab w:val="left" w:pos="0" w:leader="none"/>
        </w:tabs>
        <w:rPr>
          <w:rFonts w:ascii="宋体" w:hAnsi="宋体"/>
          <w:sz w:val="24"/>
          <w:szCs w:val="24"/>
        </w:rPr>
      </w:pPr>
      <w:r>
        <w:rPr>
          <w:rFonts w:ascii="宋体" w:hAnsi="宋体"/>
          <w:sz w:val="24"/>
          <w:szCs w:val="24"/>
        </w:rPr>
        <w:t xml:space="preserve">9）接头盒内壁、密封条、槽等应用酒精擦拭干净，组装时应严格按操作规程进行。</w:t>
      </w:r>
      <w:r/>
    </w:p>
    <w:p>
      <w:pPr>
        <w:pStyle w:val="997"/>
        <w:ind w:firstLine="482"/>
        <w:spacing w:before="0" w:after="0" w:line="480" w:lineRule="exact"/>
        <w:rPr>
          <w:rFonts w:ascii="宋体" w:hAnsi="宋体" w:eastAsia="宋体"/>
          <w:sz w:val="24"/>
          <w:szCs w:val="24"/>
        </w:rPr>
      </w:pPr>
      <w:r/>
      <w:bookmarkStart w:id="166" w:name="_Toc423897288"/>
      <w:r/>
      <w:bookmarkStart w:id="167" w:name="_Toc426148480"/>
      <w:r/>
      <w:bookmarkStart w:id="168" w:name="_Toc45198500"/>
      <w:r/>
      <w:bookmarkStart w:id="169" w:name="_Toc91064139"/>
      <w:r/>
      <w:bookmarkStart w:id="170" w:name="_Toc520563396"/>
      <w:r/>
      <w:bookmarkStart w:id="171" w:name="_Toc110456657"/>
      <w:r/>
      <w:bookmarkStart w:id="172" w:name="_Toc427834232"/>
      <w:r/>
      <w:bookmarkStart w:id="173" w:name="_Toc449453947"/>
      <w:r/>
      <w:bookmarkStart w:id="174" w:name="_Toc3025"/>
      <w:r/>
      <w:bookmarkStart w:id="175" w:name="_Toc520671494"/>
      <w:r/>
      <w:bookmarkStart w:id="176" w:name="_Toc448153461"/>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9</w:t>
      </w:r>
      <w:r>
        <w:rPr>
          <w:rFonts w:ascii="宋体" w:hAnsi="宋体" w:eastAsia="宋体"/>
          <w:sz w:val="24"/>
          <w:szCs w:val="24"/>
        </w:rPr>
        <w:t xml:space="preserve">.4杆件设计</w:t>
      </w:r>
      <w:bookmarkEnd w:id="166"/>
      <w:r/>
      <w:bookmarkEnd w:id="167"/>
      <w:r/>
      <w:bookmarkEnd w:id="168"/>
      <w:r/>
      <w:bookmarkEnd w:id="169"/>
      <w:r/>
      <w:bookmarkEnd w:id="170"/>
      <w:r/>
      <w:bookmarkEnd w:id="171"/>
      <w:r/>
      <w:bookmarkEnd w:id="172"/>
      <w:r/>
      <w:bookmarkEnd w:id="173"/>
      <w:r/>
      <w:bookmarkEnd w:id="174"/>
      <w:r/>
      <w:bookmarkEnd w:id="175"/>
      <w:r/>
      <w:bookmarkEnd w:id="176"/>
      <w:r/>
      <w:r/>
    </w:p>
    <w:p>
      <w:pPr>
        <w:ind w:firstLine="480"/>
        <w:spacing w:line="480" w:lineRule="exact"/>
        <w:tabs>
          <w:tab w:val="left" w:pos="0" w:leader="none"/>
        </w:tabs>
        <w:rPr>
          <w:rFonts w:ascii="宋体" w:hAnsi="宋体"/>
          <w:sz w:val="24"/>
          <w:szCs w:val="24"/>
        </w:rPr>
      </w:pPr>
      <w:r>
        <w:rPr>
          <w:rFonts w:ascii="宋体" w:hAnsi="宋体"/>
          <w:sz w:val="24"/>
          <w:szCs w:val="24"/>
        </w:rPr>
        <w:t xml:space="preserve">独立立杆式样应充分考虑美观及与周边环境的协调，立杆横臂长度根据安装点位所要实现的功能而定，须符合道路或场所的整体视觉效果，具体式样及颜色须经采购方确认。</w:t>
      </w:r>
      <w:r/>
    </w:p>
    <w:p>
      <w:pPr>
        <w:ind w:firstLine="480"/>
        <w:spacing w:line="480" w:lineRule="exact"/>
        <w:tabs>
          <w:tab w:val="left" w:pos="0" w:leader="none"/>
        </w:tabs>
        <w:rPr>
          <w:rFonts w:ascii="宋体" w:hAnsi="宋体"/>
          <w:sz w:val="24"/>
          <w:szCs w:val="24"/>
        </w:rPr>
      </w:pPr>
      <w:r>
        <w:rPr>
          <w:rFonts w:ascii="宋体" w:hAnsi="宋体"/>
          <w:sz w:val="24"/>
          <w:szCs w:val="24"/>
        </w:rPr>
        <w:t xml:space="preserve">立杆净高度不低于</w:t>
      </w:r>
      <w:r>
        <w:rPr>
          <w:rFonts w:hint="eastAsia" w:ascii="宋体" w:hAnsi="宋体"/>
          <w:sz w:val="24"/>
          <w:szCs w:val="24"/>
        </w:rPr>
        <w:t xml:space="preserve">道路净高要求</w:t>
      </w:r>
      <w:r>
        <w:rPr>
          <w:rFonts w:ascii="宋体" w:hAnsi="宋体"/>
          <w:sz w:val="24"/>
          <w:szCs w:val="24"/>
        </w:rPr>
        <w:t xml:space="preserve">，立杆横臂根据实际需要确定,立杆应满足如下条件：</w:t>
      </w:r>
      <w:r/>
    </w:p>
    <w:p>
      <w:pPr>
        <w:ind w:firstLine="480"/>
        <w:spacing w:line="480" w:lineRule="exact"/>
        <w:tabs>
          <w:tab w:val="left" w:pos="0" w:leader="none"/>
        </w:tabs>
        <w:rPr>
          <w:rFonts w:ascii="宋体" w:hAnsi="宋体"/>
          <w:sz w:val="24"/>
          <w:szCs w:val="24"/>
        </w:rPr>
      </w:pPr>
      <w:r>
        <w:rPr>
          <w:rFonts w:ascii="宋体" w:hAnsi="宋体"/>
          <w:sz w:val="24"/>
          <w:szCs w:val="24"/>
        </w:rPr>
        <w:t xml:space="preserve">底座：采用不低于A3型的钢板。</w:t>
      </w:r>
      <w:r/>
    </w:p>
    <w:p>
      <w:pPr>
        <w:ind w:firstLine="480"/>
        <w:spacing w:line="480" w:lineRule="exact"/>
        <w:tabs>
          <w:tab w:val="left" w:pos="0" w:leader="none"/>
        </w:tabs>
        <w:rPr>
          <w:rFonts w:ascii="宋体" w:hAnsi="宋体"/>
          <w:sz w:val="24"/>
          <w:szCs w:val="24"/>
        </w:rPr>
      </w:pPr>
      <w:r>
        <w:rPr>
          <w:rFonts w:ascii="宋体" w:hAnsi="宋体"/>
          <w:sz w:val="24"/>
          <w:szCs w:val="24"/>
        </w:rPr>
        <w:t xml:space="preserve">立杆采用</w:t>
      </w:r>
      <w:r>
        <w:rPr>
          <w:rFonts w:hint="eastAsia" w:ascii="宋体" w:hAnsi="宋体"/>
          <w:sz w:val="24"/>
          <w:szCs w:val="24"/>
        </w:rPr>
        <w:t xml:space="preserve">Q235钢材</w:t>
      </w:r>
      <w:r>
        <w:rPr>
          <w:rFonts w:ascii="宋体" w:hAnsi="宋体"/>
          <w:sz w:val="24"/>
          <w:szCs w:val="24"/>
        </w:rPr>
        <w:t xml:space="preserve">，镀层厚度≥60μm，达到双重</w:t>
      </w:r>
      <w:r>
        <w:rPr>
          <w:rFonts w:hint="eastAsia" w:ascii="宋体" w:hAnsi="宋体"/>
          <w:sz w:val="24"/>
          <w:szCs w:val="24"/>
        </w:rPr>
        <w:t xml:space="preserve">防锈、</w:t>
      </w:r>
      <w:r>
        <w:rPr>
          <w:rFonts w:ascii="宋体" w:hAnsi="宋体"/>
          <w:sz w:val="24"/>
          <w:szCs w:val="24"/>
        </w:rPr>
        <w:t xml:space="preserve">防腐的目的。</w:t>
      </w:r>
      <w:r/>
    </w:p>
    <w:p>
      <w:pPr>
        <w:ind w:firstLine="480"/>
        <w:spacing w:line="480" w:lineRule="exact"/>
        <w:tabs>
          <w:tab w:val="left" w:pos="0" w:leader="none"/>
        </w:tabs>
        <w:rPr>
          <w:rFonts w:ascii="宋体" w:hAnsi="宋体"/>
          <w:sz w:val="24"/>
          <w:szCs w:val="24"/>
        </w:rPr>
      </w:pPr>
      <w:r>
        <w:rPr>
          <w:rFonts w:ascii="宋体" w:hAnsi="宋体"/>
          <w:sz w:val="24"/>
          <w:szCs w:val="24"/>
        </w:rPr>
        <w:t xml:space="preserve">立杆施工时，需同步完成接地的安装。</w:t>
      </w:r>
      <w:r/>
    </w:p>
    <w:p>
      <w:pPr>
        <w:ind w:firstLine="480"/>
        <w:spacing w:line="480" w:lineRule="exact"/>
        <w:tabs>
          <w:tab w:val="left" w:pos="0" w:leader="none"/>
        </w:tabs>
        <w:rPr>
          <w:rFonts w:ascii="宋体" w:hAnsi="宋体"/>
          <w:sz w:val="24"/>
          <w:szCs w:val="24"/>
        </w:rPr>
      </w:pPr>
      <w:r>
        <w:rPr>
          <w:rFonts w:ascii="宋体" w:hAnsi="宋体"/>
          <w:sz w:val="24"/>
          <w:szCs w:val="24"/>
        </w:rPr>
        <w:t xml:space="preserve">立杆要求抗风等级达到12级。</w:t>
      </w:r>
      <w:r/>
    </w:p>
    <w:p>
      <w:pPr>
        <w:ind w:firstLine="480"/>
        <w:spacing w:line="480" w:lineRule="exact"/>
        <w:tabs>
          <w:tab w:val="left" w:pos="0" w:leader="none"/>
        </w:tabs>
        <w:rPr>
          <w:rFonts w:ascii="宋体" w:hAnsi="宋体"/>
          <w:sz w:val="24"/>
          <w:szCs w:val="24"/>
        </w:rPr>
      </w:pPr>
      <w:r>
        <w:rPr>
          <w:rFonts w:ascii="宋体" w:hAnsi="宋体"/>
          <w:sz w:val="24"/>
          <w:szCs w:val="24"/>
        </w:rPr>
        <w:t xml:space="preserve">基础地笼要求：</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.M</w:t>
      </w:r>
      <w:r>
        <w:rPr>
          <w:rFonts w:hint="eastAsia" w:ascii="宋体" w:hAnsi="宋体"/>
          <w:sz w:val="24"/>
          <w:szCs w:val="24"/>
        </w:rPr>
        <w:t xml:space="preserve">18、</w:t>
      </w:r>
      <w:r>
        <w:rPr>
          <w:rFonts w:ascii="宋体" w:hAnsi="宋体"/>
          <w:sz w:val="24"/>
          <w:szCs w:val="24"/>
        </w:rPr>
        <w:t xml:space="preserve">M</w:t>
      </w:r>
      <w:r>
        <w:rPr>
          <w:rFonts w:hint="eastAsia" w:ascii="宋体" w:hAnsi="宋体"/>
          <w:sz w:val="24"/>
          <w:szCs w:val="24"/>
        </w:rPr>
        <w:t xml:space="preserve">20、</w:t>
      </w:r>
      <w:r>
        <w:rPr>
          <w:rFonts w:ascii="宋体" w:hAnsi="宋体"/>
          <w:sz w:val="24"/>
          <w:szCs w:val="24"/>
        </w:rPr>
        <w:t xml:space="preserve">M</w:t>
      </w:r>
      <w:r>
        <w:rPr>
          <w:rFonts w:hint="eastAsia" w:ascii="宋体" w:hAnsi="宋体"/>
          <w:sz w:val="24"/>
          <w:szCs w:val="24"/>
        </w:rPr>
        <w:t xml:space="preserve">22、</w:t>
      </w:r>
      <w:r>
        <w:rPr>
          <w:rFonts w:ascii="宋体" w:hAnsi="宋体"/>
          <w:sz w:val="24"/>
          <w:szCs w:val="24"/>
        </w:rPr>
        <w:t xml:space="preserve">M</w:t>
      </w:r>
      <w:r>
        <w:rPr>
          <w:rFonts w:hint="eastAsia" w:ascii="宋体" w:hAnsi="宋体"/>
          <w:sz w:val="24"/>
          <w:szCs w:val="24"/>
        </w:rPr>
        <w:t xml:space="preserve">24、</w:t>
      </w:r>
      <w:r>
        <w:rPr>
          <w:rFonts w:ascii="宋体" w:hAnsi="宋体"/>
          <w:sz w:val="24"/>
          <w:szCs w:val="24"/>
        </w:rPr>
        <w:t xml:space="preserve">M</w:t>
      </w:r>
      <w:r>
        <w:rPr>
          <w:rFonts w:hint="eastAsia" w:ascii="宋体" w:hAnsi="宋体"/>
          <w:sz w:val="24"/>
          <w:szCs w:val="24"/>
        </w:rPr>
        <w:t xml:space="preserve">26、</w:t>
      </w:r>
      <w:r>
        <w:rPr>
          <w:rFonts w:ascii="宋体" w:hAnsi="宋体"/>
          <w:sz w:val="24"/>
          <w:szCs w:val="24"/>
        </w:rPr>
        <w:t xml:space="preserve">M</w:t>
      </w:r>
      <w:r>
        <w:rPr>
          <w:rFonts w:hint="eastAsia" w:ascii="宋体" w:hAnsi="宋体"/>
          <w:sz w:val="24"/>
          <w:szCs w:val="24"/>
        </w:rPr>
        <w:t xml:space="preserve">28、</w:t>
      </w:r>
      <w:r>
        <w:rPr>
          <w:rFonts w:ascii="宋体" w:hAnsi="宋体"/>
          <w:sz w:val="24"/>
          <w:szCs w:val="24"/>
        </w:rPr>
        <w:t xml:space="preserve">M</w:t>
      </w:r>
      <w:r>
        <w:rPr>
          <w:rFonts w:hint="eastAsia" w:ascii="宋体" w:hAnsi="宋体"/>
          <w:sz w:val="24"/>
          <w:szCs w:val="24"/>
        </w:rPr>
        <w:t xml:space="preserve">30</w:t>
      </w:r>
      <w:r>
        <w:rPr>
          <w:rFonts w:ascii="宋体" w:hAnsi="宋体"/>
          <w:sz w:val="24"/>
          <w:szCs w:val="24"/>
        </w:rPr>
        <w:t xml:space="preserve">螺纹钢。钢筋采用HRB400；基础混凝土为C25。</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钢构件连接板材质应为Q235B，其力学性能和化学成分应符合《碳素结构钢》（GB/T700-</w:t>
      </w:r>
      <w:r>
        <w:rPr>
          <w:rFonts w:hint="eastAsia" w:ascii="宋体" w:hAnsi="宋体"/>
          <w:sz w:val="24"/>
          <w:szCs w:val="24"/>
        </w:rPr>
        <w:t xml:space="preserve">2006</w:t>
      </w:r>
      <w:r>
        <w:rPr>
          <w:rFonts w:ascii="宋体" w:hAnsi="宋体"/>
          <w:sz w:val="24"/>
          <w:szCs w:val="24"/>
        </w:rPr>
        <w:t xml:space="preserve">）的规定。</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地基承载力特征值不小于120kPa。基础设计时取地基承载力fak=120kPa。基础应坐落于好土层上。若好土层位置较深，则应采取粘土换填，换填至设计标高，换填深度为0.6m，压实系数为0.97。</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地脚螺栓外露部分及螺母和垫块宜事先进行热浸镀锌处理，镀锌量为350g/m 。</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w:t>
      </w:r>
      <w:r>
        <w:rPr>
          <w:rFonts w:ascii="宋体" w:hAnsi="宋体"/>
          <w:sz w:val="24"/>
          <w:szCs w:val="24"/>
        </w:rPr>
        <w:t xml:space="preserve">钢结构的安装应按照《GB50205-200</w:t>
      </w:r>
      <w:r>
        <w:rPr>
          <w:rFonts w:hint="eastAsia" w:ascii="宋体" w:hAnsi="宋体"/>
          <w:sz w:val="24"/>
          <w:szCs w:val="24"/>
        </w:rPr>
        <w:t xml:space="preserve">1</w:t>
      </w:r>
      <w:r>
        <w:rPr>
          <w:rFonts w:ascii="宋体" w:hAnsi="宋体"/>
          <w:sz w:val="24"/>
          <w:szCs w:val="24"/>
        </w:rPr>
        <w:t xml:space="preserve">》、《JG144-20</w:t>
      </w:r>
      <w:r>
        <w:rPr>
          <w:rFonts w:hint="eastAsia" w:ascii="宋体" w:hAnsi="宋体"/>
          <w:sz w:val="24"/>
          <w:szCs w:val="24"/>
        </w:rPr>
        <w:t xml:space="preserve">16</w:t>
      </w:r>
      <w:r>
        <w:rPr>
          <w:rFonts w:ascii="宋体" w:hAnsi="宋体"/>
          <w:sz w:val="24"/>
          <w:szCs w:val="24"/>
        </w:rPr>
        <w:t xml:space="preserve">》进行。</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w:t>
      </w:r>
      <w:r>
        <w:rPr>
          <w:rFonts w:ascii="宋体" w:hAnsi="宋体"/>
          <w:sz w:val="24"/>
          <w:szCs w:val="24"/>
        </w:rPr>
        <w:t xml:space="preserve">基础范围内的上部及周边的回填土应用粘土分层压实回填，压实系数为0.94。</w:t>
      </w:r>
      <w:r/>
    </w:p>
    <w:p>
      <w:pPr>
        <w:pStyle w:val="997"/>
        <w:ind w:firstLine="482"/>
        <w:spacing w:before="0" w:after="0" w:line="480" w:lineRule="exact"/>
        <w:rPr>
          <w:rFonts w:ascii="宋体" w:hAnsi="宋体" w:eastAsia="宋体"/>
          <w:sz w:val="24"/>
          <w:szCs w:val="24"/>
        </w:rPr>
      </w:pPr>
      <w:r/>
      <w:bookmarkStart w:id="177" w:name="_Toc110456658"/>
      <w:r/>
      <w:bookmarkStart w:id="178" w:name="_Toc426148481"/>
      <w:r/>
      <w:bookmarkStart w:id="179" w:name="_Toc520563397"/>
      <w:r/>
      <w:bookmarkStart w:id="180" w:name="_Toc4821"/>
      <w:r/>
      <w:bookmarkStart w:id="181" w:name="_Toc45198501"/>
      <w:r/>
      <w:bookmarkStart w:id="182" w:name="_Toc448153462"/>
      <w:r/>
      <w:bookmarkStart w:id="183" w:name="_Toc449453948"/>
      <w:r/>
      <w:bookmarkStart w:id="184" w:name="_Toc91064140"/>
      <w:r/>
      <w:bookmarkStart w:id="185" w:name="_Toc520671495"/>
      <w:r/>
      <w:bookmarkStart w:id="186" w:name="_Toc423897289"/>
      <w:r/>
      <w:bookmarkStart w:id="187" w:name="_Toc427834233"/>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9</w:t>
      </w:r>
      <w:r>
        <w:rPr>
          <w:rFonts w:ascii="宋体" w:hAnsi="宋体" w:eastAsia="宋体"/>
          <w:sz w:val="24"/>
          <w:szCs w:val="24"/>
        </w:rPr>
        <w:t xml:space="preserve">.5箱体设计</w:t>
      </w:r>
      <w:bookmarkEnd w:id="177"/>
      <w:r/>
      <w:bookmarkEnd w:id="178"/>
      <w:r/>
      <w:bookmarkEnd w:id="179"/>
      <w:r/>
      <w:bookmarkEnd w:id="180"/>
      <w:r/>
      <w:bookmarkEnd w:id="181"/>
      <w:r/>
      <w:bookmarkEnd w:id="182"/>
      <w:r/>
      <w:bookmarkEnd w:id="183"/>
      <w:r/>
      <w:bookmarkEnd w:id="184"/>
      <w:r/>
      <w:bookmarkEnd w:id="185"/>
      <w:r/>
      <w:bookmarkEnd w:id="186"/>
      <w:r/>
      <w:bookmarkEnd w:id="187"/>
      <w:r/>
      <w:r/>
    </w:p>
    <w:p>
      <w:pPr>
        <w:ind w:firstLine="480"/>
        <w:spacing w:line="480" w:lineRule="exact"/>
        <w:tabs>
          <w:tab w:val="left" w:pos="0" w:leader="none"/>
        </w:tabs>
        <w:rPr>
          <w:rFonts w:ascii="宋体" w:hAnsi="宋体"/>
          <w:sz w:val="24"/>
          <w:szCs w:val="24"/>
        </w:rPr>
      </w:pPr>
      <w:r/>
      <w:bookmarkStart w:id="188" w:name="_Toc426148482"/>
      <w:r/>
      <w:bookmarkStart w:id="189" w:name="_Toc427834234"/>
      <w:r/>
      <w:bookmarkStart w:id="190" w:name="_Toc423897290"/>
      <w:r/>
      <w:bookmarkStart w:id="191" w:name="_Toc448153463"/>
      <w:r/>
      <w:bookmarkStart w:id="192" w:name="_Toc449453949"/>
      <w:r>
        <w:rPr>
          <w:rFonts w:hint="eastAsia" w:ascii="宋体" w:hAnsi="宋体"/>
          <w:sz w:val="24"/>
          <w:szCs w:val="24"/>
        </w:rPr>
        <w:t xml:space="preserve">（1）机箱内强、弱电应分层隔开，内部各种线缆应固定可靠。</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2）抗外界干扰功能:采用了防强电磁干扰机箱，并按照相应标准采取的密封措施，系统外场所有设备和防护罩都做过防绣、防腐蚀处理，各部件外表光洁、平整，无凹痕、划伤、裂缝、变形等缺陷，系统内部电路板在安装调试时也做防潮、防雾和腐处理，在24小时全天</w:t>
      </w:r>
      <w:r>
        <w:rPr>
          <w:rFonts w:hint="eastAsia" w:ascii="宋体" w:hAnsi="宋体"/>
          <w:sz w:val="24"/>
          <w:szCs w:val="24"/>
        </w:rPr>
        <w:t xml:space="preserve">候的工作时间，防雨、防尘、防雷、防震和抗电磁干扰，以防止系统因此造成的故障。</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（3）地面安装的落地箱柜基础应高出地面(200mm)，以免积水。</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（4）进入箱柜内的各类保护管应高出基础底面(100mm)。</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（5）配电箱与设备箱分开设置，尺寸高度与路口信号箱保持一致。</w:t>
      </w:r>
      <w:r/>
    </w:p>
    <w:p>
      <w:pPr>
        <w:pStyle w:val="997"/>
        <w:ind w:firstLine="482"/>
        <w:spacing w:before="0" w:after="0" w:line="480" w:lineRule="exact"/>
        <w:rPr>
          <w:rFonts w:ascii="宋体" w:hAnsi="宋体" w:eastAsia="宋体"/>
          <w:sz w:val="24"/>
          <w:szCs w:val="24"/>
        </w:rPr>
      </w:pPr>
      <w:r/>
      <w:bookmarkStart w:id="193" w:name="_Toc110456659"/>
      <w:r/>
      <w:bookmarkStart w:id="194" w:name="_Toc520671496"/>
      <w:r/>
      <w:bookmarkStart w:id="195" w:name="_Toc91064141"/>
      <w:r/>
      <w:bookmarkStart w:id="196" w:name="_Toc7363"/>
      <w:r/>
      <w:bookmarkStart w:id="197" w:name="_Toc45198502"/>
      <w:r/>
      <w:bookmarkStart w:id="198" w:name="_Toc520563398"/>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9</w:t>
      </w:r>
      <w:r>
        <w:rPr>
          <w:rFonts w:ascii="宋体" w:hAnsi="宋体" w:eastAsia="宋体"/>
          <w:sz w:val="24"/>
          <w:szCs w:val="24"/>
        </w:rPr>
        <w:t xml:space="preserve">.6杆件防雷接地</w:t>
      </w:r>
      <w:bookmarkEnd w:id="188"/>
      <w:r/>
      <w:bookmarkEnd w:id="189"/>
      <w:r/>
      <w:bookmarkEnd w:id="190"/>
      <w:r/>
      <w:bookmarkEnd w:id="191"/>
      <w:r/>
      <w:bookmarkEnd w:id="192"/>
      <w:r/>
      <w:bookmarkEnd w:id="193"/>
      <w:r/>
      <w:bookmarkEnd w:id="194"/>
      <w:r/>
      <w:bookmarkEnd w:id="195"/>
      <w:r/>
      <w:bookmarkEnd w:id="196"/>
      <w:r/>
      <w:bookmarkEnd w:id="197"/>
      <w:r/>
      <w:bookmarkEnd w:id="198"/>
      <w:r/>
      <w:r/>
    </w:p>
    <w:p>
      <w:pPr>
        <w:ind w:firstLine="480"/>
        <w:spacing w:line="480" w:lineRule="exact"/>
        <w:tabs>
          <w:tab w:val="left" w:pos="0" w:leader="none"/>
        </w:tabs>
        <w:rPr>
          <w:rFonts w:ascii="宋体" w:hAnsi="宋体"/>
          <w:sz w:val="24"/>
          <w:szCs w:val="24"/>
        </w:rPr>
      </w:pPr>
      <w:r>
        <w:rPr>
          <w:rFonts w:ascii="宋体" w:hAnsi="宋体"/>
          <w:sz w:val="24"/>
          <w:szCs w:val="24"/>
        </w:rPr>
        <w:t xml:space="preserve">设备有要求时应进行工作接地、所有配套的外露金属设施构件都应按照IEC 的有关规定进行综合接地处理，接地电阻必须小于设备规定的工作接地和安全接地电阻，综合接地电阻≤4Ω。</w:t>
      </w:r>
      <w:r/>
    </w:p>
    <w:p>
      <w:pPr>
        <w:ind w:firstLine="480"/>
        <w:spacing w:line="480" w:lineRule="exact"/>
        <w:tabs>
          <w:tab w:val="left" w:pos="0" w:leader="none"/>
        </w:tabs>
        <w:rPr>
          <w:rFonts w:ascii="宋体" w:hAnsi="宋体"/>
          <w:sz w:val="24"/>
          <w:szCs w:val="24"/>
        </w:rPr>
      </w:pPr>
      <w:r>
        <w:rPr>
          <w:rFonts w:ascii="宋体" w:hAnsi="宋体"/>
          <w:sz w:val="24"/>
          <w:szCs w:val="24"/>
        </w:rPr>
        <w:t xml:space="preserve">所有接地极的接地电阻将进行测量；经测量达不到要求时，将在接地极回填土中加入无腐蚀性长效降阻剂；当仍达不到要求时，将经过业主同意，采用更换接地装置的措施。</w:t>
      </w:r>
      <w:r/>
    </w:p>
    <w:p>
      <w:pPr>
        <w:pStyle w:val="995"/>
        <w:ind w:firstLine="482"/>
        <w:jc w:val="left"/>
        <w:spacing w:line="480" w:lineRule="exact"/>
        <w:widowControl/>
        <w:rPr>
          <w:rFonts w:ascii="宋体" w:eastAsia="宋体"/>
          <w:b/>
          <w:sz w:val="24"/>
          <w:szCs w:val="24"/>
        </w:rPr>
      </w:pPr>
      <w:r/>
      <w:bookmarkStart w:id="199" w:name="_Toc26622"/>
      <w:r/>
      <w:bookmarkStart w:id="200" w:name="_Toc131350959"/>
      <w:r>
        <w:rPr>
          <w:rFonts w:ascii="宋体" w:eastAsia="宋体"/>
          <w:b/>
          <w:sz w:val="24"/>
          <w:szCs w:val="24"/>
        </w:rPr>
        <w:t xml:space="preserve">四、项目组织机构和人员</w:t>
      </w:r>
      <w:bookmarkEnd w:id="199"/>
      <w:r/>
      <w:bookmarkEnd w:id="200"/>
      <w:r/>
      <w:r/>
    </w:p>
    <w:p>
      <w:pPr>
        <w:pStyle w:val="996"/>
        <w:ind w:firstLine="482"/>
        <w:jc w:val="left"/>
        <w:spacing w:before="0" w:after="0" w:line="480" w:lineRule="exact"/>
        <w:widowControl/>
        <w:rPr>
          <w:rFonts w:ascii="宋体" w:hAnsi="宋体" w:eastAsia="宋体" w:cs="黑体"/>
          <w:sz w:val="24"/>
          <w:szCs w:val="24"/>
        </w:rPr>
      </w:pPr>
      <w:r/>
      <w:bookmarkStart w:id="201" w:name="_Toc14698"/>
      <w:r/>
      <w:bookmarkStart w:id="202" w:name="_Toc516046663"/>
      <w:r/>
      <w:bookmarkStart w:id="203" w:name="_Toc91064155"/>
      <w:r/>
      <w:bookmarkStart w:id="204" w:name="_Toc529546876"/>
      <w:r/>
      <w:bookmarkStart w:id="205" w:name="_Toc15549411"/>
      <w:r/>
      <w:bookmarkStart w:id="206" w:name="_Toc110456673"/>
      <w:r/>
      <w:bookmarkStart w:id="207" w:name="_Toc65184883"/>
      <w:r/>
      <w:bookmarkStart w:id="208" w:name="_Toc131350960"/>
      <w:r/>
      <w:bookmarkStart w:id="209" w:name="_Toc513710743"/>
      <w:r>
        <w:rPr>
          <w:rFonts w:hint="eastAsia" w:ascii="宋体" w:hAnsi="宋体" w:eastAsia="宋体" w:cs="黑体"/>
          <w:sz w:val="24"/>
          <w:szCs w:val="24"/>
        </w:rPr>
        <w:t xml:space="preserve">4.1领导和管理机构</w:t>
      </w:r>
      <w:bookmarkEnd w:id="201"/>
      <w:r/>
      <w:bookmarkEnd w:id="202"/>
      <w:r/>
      <w:bookmarkEnd w:id="203"/>
      <w:r/>
      <w:bookmarkEnd w:id="204"/>
      <w:r/>
      <w:bookmarkEnd w:id="205"/>
      <w:r/>
      <w:bookmarkEnd w:id="206"/>
      <w:r/>
      <w:bookmarkEnd w:id="207"/>
      <w:r/>
      <w:bookmarkEnd w:id="208"/>
      <w:r/>
      <w:bookmarkEnd w:id="209"/>
      <w:r/>
      <w:r/>
    </w:p>
    <w:p>
      <w:pPr>
        <w:ind w:firstLine="480"/>
        <w:jc w:val="left"/>
        <w:spacing w:line="480" w:lineRule="exact"/>
        <w:rPr>
          <w:rFonts w:ascii="宋体" w:hAnsi="宋体"/>
          <w:sz w:val="24"/>
          <w:szCs w:val="24"/>
          <w:lang w:bidi="ar"/>
        </w:rPr>
      </w:pPr>
      <w:r>
        <w:rPr>
          <w:rFonts w:hint="eastAsia" w:ascii="宋体" w:hAnsi="宋体"/>
          <w:sz w:val="24"/>
          <w:szCs w:val="24"/>
          <w:lang w:bidi="ar"/>
        </w:rPr>
        <w:t xml:space="preserve">本项目成立专门项目领导小组，加强项目建设的统筹协调、指导督导，推动解决项目建设工作中的存在的重大问题。</w:t>
      </w:r>
      <w:r/>
    </w:p>
    <w:p>
      <w:pPr>
        <w:pStyle w:val="996"/>
        <w:ind w:firstLine="482"/>
        <w:jc w:val="left"/>
        <w:spacing w:before="0" w:after="0" w:line="480" w:lineRule="exact"/>
        <w:widowControl/>
        <w:rPr>
          <w:rFonts w:ascii="宋体" w:hAnsi="宋体" w:eastAsia="宋体" w:cs="黑体"/>
          <w:sz w:val="24"/>
          <w:szCs w:val="24"/>
        </w:rPr>
      </w:pPr>
      <w:r/>
      <w:bookmarkStart w:id="210" w:name="_Toc513710744"/>
      <w:r/>
      <w:bookmarkStart w:id="211" w:name="_Toc110456674"/>
      <w:r/>
      <w:bookmarkStart w:id="212" w:name="_Toc529546877"/>
      <w:r/>
      <w:bookmarkStart w:id="213" w:name="_Toc131350961"/>
      <w:r/>
      <w:bookmarkStart w:id="214" w:name="_Toc15549412"/>
      <w:r/>
      <w:bookmarkStart w:id="215" w:name="_Toc516046664"/>
      <w:r/>
      <w:bookmarkStart w:id="216" w:name="_Toc8507"/>
      <w:r/>
      <w:bookmarkStart w:id="217" w:name="_Toc65184884"/>
      <w:r/>
      <w:bookmarkStart w:id="218" w:name="_Toc91064156"/>
      <w:r>
        <w:rPr>
          <w:rFonts w:hint="eastAsia" w:ascii="宋体" w:hAnsi="宋体" w:eastAsia="宋体" w:cs="黑体"/>
          <w:sz w:val="24"/>
          <w:szCs w:val="24"/>
        </w:rPr>
        <w:t xml:space="preserve">4.2项目实施机构</w:t>
      </w:r>
      <w:bookmarkEnd w:id="210"/>
      <w:r/>
      <w:bookmarkEnd w:id="211"/>
      <w:r/>
      <w:bookmarkEnd w:id="212"/>
      <w:r/>
      <w:bookmarkEnd w:id="213"/>
      <w:r/>
      <w:bookmarkEnd w:id="214"/>
      <w:r/>
      <w:bookmarkEnd w:id="215"/>
      <w:r/>
      <w:bookmarkEnd w:id="216"/>
      <w:r/>
      <w:bookmarkEnd w:id="217"/>
      <w:r/>
      <w:bookmarkEnd w:id="218"/>
      <w:r/>
      <w:r/>
    </w:p>
    <w:p>
      <w:pPr>
        <w:ind w:firstLine="480"/>
        <w:jc w:val="left"/>
        <w:spacing w:line="480" w:lineRule="exact"/>
        <w:tabs>
          <w:tab w:val="left" w:pos="0" w:leader="none"/>
        </w:tabs>
        <w:rPr>
          <w:rFonts w:ascii="宋体" w:hAnsi="宋体"/>
          <w:sz w:val="24"/>
          <w:szCs w:val="24"/>
        </w:rPr>
      </w:pPr>
      <w:r>
        <w:rPr>
          <w:rFonts w:hint="eastAsia" w:ascii="宋体" w:hAnsi="宋体"/>
          <w:sz w:val="24"/>
          <w:szCs w:val="24"/>
          <w:lang w:bidi="ar"/>
        </w:rPr>
        <w:t xml:space="preserve">项目实施机构主要由业主单位的各相关部门、承建单位和监理单位共同组成。项目实施机构职责：具体负责本项目的实施过程中的协调、安装、调试、试运行、验收等工作，保证项目按时高质量地交付使用。</w:t>
      </w:r>
      <w:r/>
    </w:p>
    <w:p>
      <w:pPr>
        <w:pStyle w:val="996"/>
        <w:ind w:firstLine="482"/>
        <w:jc w:val="left"/>
        <w:spacing w:before="0" w:after="0" w:line="480" w:lineRule="exact"/>
        <w:widowControl/>
        <w:rPr>
          <w:rFonts w:ascii="宋体" w:hAnsi="宋体" w:eastAsia="宋体" w:cs="黑体"/>
          <w:sz w:val="24"/>
          <w:szCs w:val="24"/>
        </w:rPr>
      </w:pPr>
      <w:r/>
      <w:bookmarkStart w:id="219" w:name="_Toc15549419"/>
      <w:r/>
      <w:bookmarkStart w:id="220" w:name="_Toc110456675"/>
      <w:r/>
      <w:bookmarkStart w:id="221" w:name="_Toc91064157"/>
      <w:r/>
      <w:bookmarkStart w:id="222" w:name="_Toc131350962"/>
      <w:r/>
      <w:bookmarkStart w:id="223" w:name="_Toc65184885"/>
      <w:r/>
      <w:bookmarkStart w:id="224" w:name="_Toc13628"/>
      <w:r>
        <w:rPr>
          <w:rFonts w:hint="eastAsia" w:ascii="宋体" w:hAnsi="宋体" w:eastAsia="宋体" w:cs="黑体"/>
          <w:sz w:val="24"/>
          <w:szCs w:val="24"/>
        </w:rPr>
        <w:t xml:space="preserve">4.3人员培训需求和计划</w:t>
      </w:r>
      <w:bookmarkEnd w:id="219"/>
      <w:r/>
      <w:bookmarkEnd w:id="220"/>
      <w:r/>
      <w:bookmarkEnd w:id="221"/>
      <w:r/>
      <w:bookmarkEnd w:id="222"/>
      <w:r/>
      <w:bookmarkEnd w:id="223"/>
      <w:r/>
      <w:bookmarkEnd w:id="224"/>
      <w:r/>
      <w:r/>
    </w:p>
    <w:p>
      <w:pPr>
        <w:ind w:firstLine="480"/>
        <w:spacing w:line="480" w:lineRule="exact"/>
        <w:rPr>
          <w:rFonts w:ascii="宋体" w:hAnsi="宋体"/>
          <w:sz w:val="24"/>
          <w:szCs w:val="24"/>
        </w:rPr>
      </w:pPr>
      <w:r>
        <w:rPr>
          <w:rFonts w:hint="eastAsia" w:ascii="宋体" w:hAnsi="宋体"/>
          <w:sz w:val="24"/>
          <w:szCs w:val="24"/>
          <w:lang w:bidi="ar"/>
        </w:rPr>
        <w:t xml:space="preserve">为保证项目建设质量，更好地满足系统应用的需要，特制定以下培训方案：</w:t>
      </w:r>
      <w:r/>
    </w:p>
    <w:p>
      <w:pPr>
        <w:ind w:firstLine="480"/>
        <w:spacing w:line="480" w:lineRule="exact"/>
        <w:rPr>
          <w:rFonts w:ascii="宋体" w:hAnsi="宋体"/>
          <w:sz w:val="24"/>
          <w:szCs w:val="24"/>
        </w:rPr>
      </w:pPr>
      <w:r>
        <w:rPr>
          <w:rFonts w:hint="eastAsia" w:ascii="宋体" w:hAnsi="宋体"/>
          <w:sz w:val="24"/>
          <w:szCs w:val="24"/>
          <w:lang w:bidi="ar"/>
        </w:rPr>
        <w:t xml:space="preserve">（1）培训计划</w:t>
      </w:r>
      <w:r/>
    </w:p>
    <w:p>
      <w:pPr>
        <w:ind w:firstLine="480"/>
        <w:spacing w:line="480" w:lineRule="exact"/>
        <w:rPr>
          <w:rFonts w:ascii="宋体" w:hAnsi="宋体"/>
          <w:sz w:val="24"/>
          <w:szCs w:val="24"/>
        </w:rPr>
      </w:pPr>
      <w:r>
        <w:rPr>
          <w:rFonts w:hint="eastAsia" w:ascii="宋体" w:hAnsi="宋体"/>
          <w:sz w:val="24"/>
          <w:szCs w:val="24"/>
          <w:lang w:bidi="ar"/>
        </w:rPr>
        <w:t xml:space="preserve">系统管理员培训：掌握系统日常维护各种技术，熟练掌握对网络管理和维护、硬件管理和维护、应用系统的管理和维护以及安全管理等。</w:t>
      </w:r>
      <w:r/>
    </w:p>
    <w:p>
      <w:pPr>
        <w:ind w:firstLine="480"/>
        <w:spacing w:line="480" w:lineRule="exact"/>
        <w:rPr>
          <w:rFonts w:ascii="宋体" w:hAnsi="宋体"/>
          <w:sz w:val="24"/>
          <w:szCs w:val="24"/>
        </w:rPr>
      </w:pPr>
      <w:r>
        <w:rPr>
          <w:rFonts w:hint="eastAsia" w:ascii="宋体" w:hAnsi="宋体"/>
          <w:sz w:val="24"/>
          <w:szCs w:val="24"/>
          <w:lang w:bidi="ar"/>
        </w:rPr>
        <w:t xml:space="preserve">技术人员培训：通过各种的培训方式，使项目系统技术人员掌握视频系统、网络系统等技术，具备一定的维护能力，在系统实施过程中能够参与项目管理和系统搭建，在系统维护过程中能够自行维护。</w:t>
      </w:r>
      <w:r/>
    </w:p>
    <w:p>
      <w:pPr>
        <w:ind w:firstLine="480"/>
        <w:spacing w:line="480" w:lineRule="exact"/>
        <w:rPr>
          <w:rFonts w:ascii="宋体" w:hAnsi="宋体"/>
          <w:sz w:val="24"/>
          <w:szCs w:val="24"/>
        </w:rPr>
      </w:pPr>
      <w:r>
        <w:rPr>
          <w:rFonts w:hint="eastAsia" w:ascii="宋体" w:hAnsi="宋体"/>
          <w:sz w:val="24"/>
          <w:szCs w:val="24"/>
          <w:lang w:bidi="ar"/>
        </w:rPr>
        <w:t xml:space="preserve">系统操作员培训：能够熟练使用系统各类前台操作模块、快速调用相关业务处理模块并规范输入各种信息。</w:t>
      </w:r>
      <w:r/>
    </w:p>
    <w:p>
      <w:pPr>
        <w:ind w:firstLine="480"/>
        <w:spacing w:line="480" w:lineRule="exact"/>
        <w:rPr>
          <w:rFonts w:ascii="宋体" w:hAnsi="宋体"/>
          <w:sz w:val="24"/>
          <w:szCs w:val="24"/>
        </w:rPr>
      </w:pPr>
      <w:r>
        <w:rPr>
          <w:rFonts w:hint="eastAsia" w:ascii="宋体" w:hAnsi="宋体"/>
          <w:sz w:val="24"/>
          <w:szCs w:val="24"/>
          <w:lang w:bidi="ar"/>
        </w:rPr>
        <w:t xml:space="preserve">（2）培训主要内容</w:t>
      </w:r>
      <w:r/>
    </w:p>
    <w:p>
      <w:pPr>
        <w:ind w:firstLine="480"/>
        <w:spacing w:line="480" w:lineRule="exact"/>
        <w:rPr>
          <w:rFonts w:ascii="宋体" w:hAnsi="宋体"/>
          <w:sz w:val="24"/>
          <w:szCs w:val="24"/>
        </w:rPr>
      </w:pPr>
      <w:r>
        <w:rPr>
          <w:rFonts w:hint="eastAsia" w:ascii="宋体" w:hAnsi="宋体"/>
          <w:sz w:val="24"/>
          <w:szCs w:val="24"/>
          <w:lang w:bidi="ar"/>
        </w:rPr>
        <w:t xml:space="preserve">培训主要内容有：前端点位勘察、系统应用、软硬件的运行与维护、网络和安全管理等。</w:t>
      </w:r>
      <w:r/>
    </w:p>
    <w:p>
      <w:pPr>
        <w:ind w:firstLine="480"/>
        <w:spacing w:line="480" w:lineRule="exact"/>
        <w:rPr>
          <w:rFonts w:ascii="宋体" w:hAnsi="宋体"/>
          <w:sz w:val="24"/>
          <w:szCs w:val="24"/>
        </w:rPr>
      </w:pPr>
      <w:r>
        <w:rPr>
          <w:rFonts w:hint="eastAsia" w:ascii="宋体" w:hAnsi="宋体"/>
          <w:sz w:val="24"/>
          <w:szCs w:val="24"/>
          <w:lang w:bidi="ar"/>
        </w:rPr>
        <w:t xml:space="preserve">（3）培训主要方式</w:t>
      </w:r>
      <w:r/>
    </w:p>
    <w:p>
      <w:pPr>
        <w:ind w:firstLine="480"/>
        <w:spacing w:line="480" w:lineRule="exact"/>
        <w:rPr>
          <w:rFonts w:ascii="宋体" w:hAnsi="宋体"/>
          <w:sz w:val="24"/>
          <w:szCs w:val="24"/>
        </w:rPr>
      </w:pPr>
      <w:r>
        <w:rPr>
          <w:rFonts w:hint="eastAsia" w:ascii="宋体" w:hAnsi="宋体"/>
          <w:sz w:val="24"/>
          <w:szCs w:val="24"/>
          <w:lang w:bidi="ar"/>
        </w:rPr>
        <w:t xml:space="preserve">室内培训：对专业运维人员分批集中进行培训，承建单位免费提供培训教材及师资。</w:t>
      </w:r>
      <w:r/>
    </w:p>
    <w:p>
      <w:pPr>
        <w:ind w:firstLine="480"/>
        <w:spacing w:line="480" w:lineRule="exact"/>
        <w:rPr>
          <w:rFonts w:ascii="宋体" w:hAnsi="宋体"/>
          <w:sz w:val="24"/>
          <w:szCs w:val="24"/>
        </w:rPr>
      </w:pPr>
      <w:r>
        <w:rPr>
          <w:rFonts w:hint="eastAsia" w:ascii="宋体" w:hAnsi="宋体"/>
          <w:sz w:val="24"/>
          <w:szCs w:val="24"/>
          <w:lang w:bidi="ar"/>
        </w:rPr>
        <w:t xml:space="preserve">现场培训：对指定人员独立进行设备的安装、操作、测试、运营、维护等等进行培训，承建单位免费提供培训教材及师资。</w:t>
      </w:r>
      <w:r/>
    </w:p>
    <w:p>
      <w:pPr>
        <w:pStyle w:val="995"/>
        <w:ind w:firstLine="482"/>
        <w:jc w:val="left"/>
        <w:spacing w:line="480" w:lineRule="exact"/>
        <w:widowControl/>
        <w:rPr>
          <w:rFonts w:ascii="宋体" w:eastAsia="宋体"/>
          <w:b/>
          <w:sz w:val="24"/>
          <w:szCs w:val="24"/>
        </w:rPr>
      </w:pPr>
      <w:r/>
      <w:bookmarkStart w:id="225" w:name="_Toc131350963"/>
      <w:r/>
      <w:bookmarkStart w:id="226" w:name="_Toc14287"/>
      <w:r>
        <w:rPr>
          <w:rFonts w:ascii="宋体" w:eastAsia="宋体"/>
          <w:b/>
          <w:sz w:val="24"/>
          <w:szCs w:val="24"/>
        </w:rPr>
        <w:t xml:space="preserve">五、初步设计概算</w:t>
      </w:r>
      <w:bookmarkEnd w:id="225"/>
      <w:r/>
      <w:bookmarkEnd w:id="226"/>
      <w:r/>
      <w:r/>
    </w:p>
    <w:p>
      <w:pPr>
        <w:pStyle w:val="996"/>
        <w:ind w:firstLine="482"/>
        <w:jc w:val="left"/>
        <w:spacing w:before="0" w:after="0" w:line="480" w:lineRule="exact"/>
        <w:widowControl/>
        <w:rPr>
          <w:rFonts w:ascii="宋体" w:hAnsi="宋体" w:eastAsia="宋体" w:cs="黑体"/>
          <w:sz w:val="24"/>
          <w:szCs w:val="24"/>
        </w:rPr>
      </w:pPr>
      <w:r/>
      <w:bookmarkStart w:id="227" w:name="_Toc131350964"/>
      <w:r/>
      <w:bookmarkStart w:id="228" w:name="_Toc14483"/>
      <w:r/>
      <w:bookmarkStart w:id="229" w:name="_Toc8625"/>
      <w:r/>
      <w:bookmarkStart w:id="230" w:name="_Toc20868"/>
      <w:r/>
      <w:bookmarkStart w:id="231" w:name="_Toc25601"/>
      <w:r>
        <w:rPr>
          <w:rFonts w:hint="eastAsia" w:ascii="宋体" w:hAnsi="宋体" w:eastAsia="宋体" w:cs="黑体"/>
          <w:sz w:val="24"/>
          <w:szCs w:val="24"/>
        </w:rPr>
        <w:t xml:space="preserve">5.1投资概算编制说明</w:t>
      </w:r>
      <w:bookmarkEnd w:id="227"/>
      <w:r/>
      <w:bookmarkEnd w:id="228"/>
      <w:r/>
      <w:bookmarkEnd w:id="229"/>
      <w:r/>
      <w:bookmarkEnd w:id="230"/>
      <w:r/>
      <w:bookmarkEnd w:id="231"/>
      <w:r/>
      <w:r/>
    </w:p>
    <w:p>
      <w:pPr>
        <w:ind w:firstLine="480"/>
        <w:spacing w:line="480" w:lineRule="exact"/>
        <w:rPr>
          <w:rFonts w:ascii="宋体" w:hAnsi="宋体" w:cs="黑体"/>
          <w:sz w:val="24"/>
          <w:szCs w:val="24"/>
        </w:rPr>
      </w:pPr>
      <w:r/>
      <w:bookmarkStart w:id="232" w:name="_Toc3330"/>
      <w:r/>
      <w:bookmarkStart w:id="233" w:name="_Toc11237"/>
      <w:r/>
      <w:bookmarkStart w:id="234" w:name="_Toc7228"/>
      <w:r>
        <w:rPr>
          <w:rFonts w:hint="eastAsia" w:ascii="宋体" w:hAnsi="宋体" w:cs="黑体"/>
          <w:sz w:val="24"/>
          <w:szCs w:val="24"/>
          <w:lang w:bidi="ar"/>
        </w:rPr>
        <w:t xml:space="preserve">5</w:t>
      </w:r>
      <w:r>
        <w:rPr>
          <w:rFonts w:ascii="宋体" w:hAnsi="宋体" w:cs="黑体"/>
          <w:sz w:val="24"/>
          <w:szCs w:val="24"/>
          <w:lang w:bidi="ar"/>
        </w:rPr>
        <w:t xml:space="preserve">.1.1</w:t>
      </w:r>
      <w:r>
        <w:rPr>
          <w:rFonts w:hint="eastAsia" w:ascii="宋体" w:hAnsi="宋体" w:cs="黑体"/>
          <w:sz w:val="24"/>
          <w:szCs w:val="24"/>
          <w:lang w:bidi="ar"/>
        </w:rPr>
        <w:t xml:space="preserve">硬件设备</w:t>
      </w:r>
      <w:bookmarkEnd w:id="232"/>
      <w:r/>
      <w:bookmarkEnd w:id="233"/>
      <w:r/>
      <w:bookmarkEnd w:id="234"/>
      <w:r/>
      <w:r/>
    </w:p>
    <w:p>
      <w:pPr>
        <w:ind w:firstLine="480"/>
        <w:spacing w:line="480" w:lineRule="exact"/>
        <w:rPr>
          <w:rFonts w:ascii="宋体" w:hAnsi="宋体" w:cs="宋体"/>
          <w:sz w:val="24"/>
          <w:szCs w:val="24"/>
        </w:rPr>
      </w:pPr>
      <w:r>
        <w:rPr>
          <w:rFonts w:hint="eastAsia" w:ascii="宋体" w:hAnsi="宋体" w:cs="宋体"/>
          <w:sz w:val="24"/>
          <w:szCs w:val="24"/>
          <w:lang w:bidi="ar"/>
        </w:rPr>
        <w:t xml:space="preserve">硬件设备建设主要依据：</w:t>
      </w:r>
      <w:r/>
    </w:p>
    <w:p>
      <w:pPr>
        <w:ind w:firstLine="480"/>
        <w:spacing w:line="480" w:lineRule="exact"/>
        <w:rPr>
          <w:rFonts w:ascii="宋体" w:hAnsi="宋体" w:cs="宋体"/>
          <w:sz w:val="24"/>
          <w:szCs w:val="24"/>
        </w:rPr>
      </w:pPr>
      <w:r>
        <w:rPr>
          <w:rFonts w:hint="eastAsia" w:ascii="宋体" w:hAnsi="宋体" w:cs="宋体"/>
          <w:sz w:val="24"/>
          <w:szCs w:val="24"/>
          <w:lang w:bidi="ar"/>
        </w:rPr>
        <w:t xml:space="preserve">（1）根据需求分析及业务量预测推算出本期项目的建设规模、内容、设备性能需求等，最终得出本期工程所需设备配置；</w:t>
      </w:r>
      <w:r/>
    </w:p>
    <w:p>
      <w:pPr>
        <w:ind w:firstLine="480"/>
        <w:spacing w:line="480" w:lineRule="exact"/>
        <w:rPr>
          <w:rFonts w:ascii="宋体" w:hAnsi="宋体" w:cs="宋体"/>
          <w:sz w:val="24"/>
          <w:szCs w:val="24"/>
        </w:rPr>
      </w:pPr>
      <w:r>
        <w:rPr>
          <w:rFonts w:hint="eastAsia" w:ascii="宋体" w:hAnsi="宋体" w:cs="宋体"/>
          <w:sz w:val="24"/>
          <w:szCs w:val="24"/>
          <w:lang w:bidi="ar"/>
        </w:rPr>
        <w:t xml:space="preserve">（2）根据相关已建项目的投资及有关设备厂家提供的设备报价，完成本期项目硬件设备的投资估算。</w:t>
      </w:r>
      <w:r/>
    </w:p>
    <w:p>
      <w:pPr>
        <w:ind w:firstLine="480"/>
        <w:spacing w:line="480" w:lineRule="exact"/>
        <w:rPr>
          <w:rFonts w:ascii="宋体" w:hAnsi="宋体" w:cs="宋体"/>
          <w:sz w:val="24"/>
          <w:szCs w:val="24"/>
        </w:rPr>
      </w:pPr>
      <w:r>
        <w:rPr>
          <w:rFonts w:hint="eastAsia" w:ascii="宋体" w:hAnsi="宋体" w:cs="宋体"/>
          <w:sz w:val="24"/>
          <w:szCs w:val="24"/>
          <w:lang w:bidi="ar"/>
        </w:rPr>
        <w:t xml:space="preserve">（3）优先考虑国产先进、成熟的主流设备。</w:t>
      </w:r>
      <w:r/>
    </w:p>
    <w:p>
      <w:pPr>
        <w:ind w:firstLine="480"/>
        <w:spacing w:line="480" w:lineRule="exact"/>
        <w:rPr>
          <w:rFonts w:ascii="宋体" w:hAnsi="宋体" w:cs="宋体"/>
          <w:sz w:val="24"/>
          <w:szCs w:val="24"/>
        </w:rPr>
      </w:pPr>
      <w:r/>
      <w:bookmarkStart w:id="235" w:name="_Toc7509"/>
      <w:r/>
      <w:bookmarkStart w:id="236" w:name="_Toc18753"/>
      <w:r/>
      <w:bookmarkStart w:id="237" w:name="_Toc1633"/>
      <w:r>
        <w:rPr>
          <w:rFonts w:hint="eastAsia" w:ascii="宋体" w:hAnsi="宋体" w:cs="宋体"/>
          <w:sz w:val="24"/>
          <w:szCs w:val="24"/>
          <w:lang w:bidi="ar"/>
        </w:rPr>
        <w:t xml:space="preserve">5</w:t>
      </w:r>
      <w:r>
        <w:rPr>
          <w:rFonts w:ascii="宋体" w:hAnsi="宋体" w:cs="宋体"/>
          <w:sz w:val="24"/>
          <w:szCs w:val="24"/>
          <w:lang w:bidi="ar"/>
        </w:rPr>
        <w:t xml:space="preserve">.1.2</w:t>
      </w:r>
      <w:r>
        <w:rPr>
          <w:rFonts w:hint="eastAsia" w:ascii="宋体" w:hAnsi="宋体" w:cs="宋体"/>
          <w:sz w:val="24"/>
          <w:szCs w:val="24"/>
          <w:lang w:bidi="ar"/>
        </w:rPr>
        <w:t xml:space="preserve">工程建设其它费</w:t>
      </w:r>
      <w:bookmarkEnd w:id="235"/>
      <w:r/>
      <w:bookmarkEnd w:id="236"/>
      <w:r/>
      <w:bookmarkEnd w:id="237"/>
      <w:r/>
      <w:r/>
    </w:p>
    <w:p>
      <w:pPr>
        <w:ind w:firstLine="480"/>
        <w:spacing w:line="480" w:lineRule="exact"/>
        <w:rPr>
          <w:rFonts w:ascii="宋体" w:hAnsi="宋体" w:cs="宋体"/>
          <w:sz w:val="24"/>
          <w:szCs w:val="24"/>
        </w:rPr>
      </w:pPr>
      <w:r>
        <w:rPr>
          <w:rFonts w:hint="eastAsia" w:ascii="宋体" w:hAnsi="宋体" w:cs="宋体"/>
          <w:sz w:val="24"/>
          <w:szCs w:val="24"/>
          <w:lang w:bidi="ar"/>
        </w:rPr>
        <w:t xml:space="preserve">（1）项目建设管理费</w:t>
      </w:r>
      <w:r/>
    </w:p>
    <w:p>
      <w:pPr>
        <w:ind w:firstLine="480"/>
        <w:spacing w:line="480" w:lineRule="exact"/>
        <w:rPr>
          <w:rFonts w:ascii="宋体" w:hAnsi="宋体" w:cs="宋体"/>
          <w:sz w:val="24"/>
          <w:szCs w:val="24"/>
        </w:rPr>
      </w:pPr>
      <w:r>
        <w:rPr>
          <w:rFonts w:hint="eastAsia" w:ascii="宋体" w:hAnsi="宋体" w:cs="宋体"/>
          <w:sz w:val="24"/>
          <w:szCs w:val="24"/>
          <w:lang w:bidi="ar"/>
        </w:rPr>
        <w:t xml:space="preserve">项目建设管理费是指建设单位从项目开工之日起至办理竣工财务决算之日止发生的管理性质的开支。包括：不在原单位发工资的工作人员工资、基本养老保险费、基本医疗保险费、失业保险费，办公费、差旅交通费、劳动保护费、工具用具使用费、固定资产使用费、零星购置费、招募生产工人费、技术图书资料费、印花税、业务招待费、施工现场津贴、竣工验收费、评审费、验收费和其它管理性质开支。本项目不单独计列项目建设管理费。</w:t>
      </w:r>
      <w:r/>
    </w:p>
    <w:p>
      <w:pPr>
        <w:ind w:firstLine="480"/>
        <w:spacing w:line="480" w:lineRule="exact"/>
        <w:rPr>
          <w:rFonts w:ascii="宋体" w:hAnsi="宋体" w:cs="宋体"/>
          <w:sz w:val="24"/>
          <w:szCs w:val="24"/>
        </w:rPr>
      </w:pPr>
      <w:r>
        <w:rPr>
          <w:rFonts w:hint="eastAsia" w:ascii="宋体" w:hAnsi="宋体" w:cs="宋体"/>
          <w:sz w:val="24"/>
          <w:szCs w:val="24"/>
          <w:lang w:bidi="ar"/>
        </w:rPr>
        <w:t xml:space="preserve">（2）勘察设计费</w:t>
      </w:r>
      <w:r/>
    </w:p>
    <w:p>
      <w:pPr>
        <w:ind w:firstLine="480"/>
        <w:spacing w:line="480" w:lineRule="exact"/>
        <w:rPr>
          <w:rFonts w:ascii="宋体" w:hAnsi="宋体" w:cs="宋体"/>
          <w:sz w:val="24"/>
          <w:szCs w:val="24"/>
        </w:rPr>
      </w:pPr>
      <w:r>
        <w:rPr>
          <w:rFonts w:hint="eastAsia" w:ascii="宋体" w:hAnsi="宋体" w:cs="宋体"/>
          <w:sz w:val="24"/>
          <w:szCs w:val="24"/>
          <w:lang w:bidi="ar"/>
        </w:rPr>
        <w:t xml:space="preserve">参考《工程勘察设计收费管理规定计价格》计价格〔2002〕10号文，及项目相关招标结果计取。</w:t>
      </w:r>
      <w:r/>
    </w:p>
    <w:p>
      <w:pPr>
        <w:ind w:firstLine="480"/>
        <w:spacing w:line="480" w:lineRule="exact"/>
        <w:rPr>
          <w:rFonts w:ascii="宋体" w:hAnsi="宋体" w:cs="宋体"/>
          <w:sz w:val="24"/>
          <w:szCs w:val="24"/>
        </w:rPr>
      </w:pPr>
      <w:r>
        <w:rPr>
          <w:rFonts w:hint="eastAsia" w:ascii="宋体" w:hAnsi="宋体" w:cs="宋体"/>
          <w:sz w:val="24"/>
          <w:szCs w:val="24"/>
          <w:lang w:bidi="ar"/>
        </w:rPr>
        <w:t xml:space="preserve">（3）安全生产费</w:t>
      </w:r>
      <w:r/>
    </w:p>
    <w:p>
      <w:pPr>
        <w:ind w:firstLine="480"/>
        <w:spacing w:line="480" w:lineRule="exact"/>
        <w:rPr>
          <w:rFonts w:ascii="宋体" w:hAnsi="宋体" w:cs="宋体"/>
          <w:sz w:val="24"/>
          <w:szCs w:val="24"/>
        </w:rPr>
      </w:pPr>
      <w:r>
        <w:rPr>
          <w:rFonts w:hint="eastAsia" w:ascii="宋体" w:hAnsi="宋体" w:cs="宋体"/>
          <w:sz w:val="24"/>
          <w:szCs w:val="24"/>
          <w:lang w:bidi="ar"/>
        </w:rPr>
        <w:t xml:space="preserve">财企〔2012〕16号发布的《企业安全生产费用提取和使用管理办法》中安全生产费用（以下简称安全费用）是指企业按照规定标准提取，在成本中列支，专门用于完善和改进企业安</w:t>
      </w:r>
      <w:r>
        <w:rPr>
          <w:rFonts w:hint="eastAsia" w:ascii="宋体" w:hAnsi="宋体" w:cs="宋体"/>
          <w:sz w:val="24"/>
          <w:szCs w:val="24"/>
          <w:lang w:bidi="ar"/>
        </w:rPr>
        <w:t xml:space="preserve">全生产条件的资金。</w:t>
      </w:r>
      <w:r/>
    </w:p>
    <w:p>
      <w:pPr>
        <w:ind w:firstLine="480"/>
        <w:spacing w:line="480" w:lineRule="exact"/>
        <w:rPr>
          <w:rFonts w:ascii="宋体"/>
          <w:sz w:val="24"/>
          <w:szCs w:val="24"/>
        </w:rPr>
      </w:pPr>
      <w:r>
        <w:rPr>
          <w:rFonts w:hint="eastAsia" w:ascii="宋体" w:hAnsi="宋体" w:cs="宋体"/>
          <w:sz w:val="24"/>
          <w:szCs w:val="24"/>
          <w:lang w:bidi="ar"/>
        </w:rPr>
        <w:t xml:space="preserve">安全生产费计取工程范围主要包括土木工程、建筑工程、井巷工程、线路管道和设备安装及装修工程的新建、扩建、改建以及矿山建设等。本项目安全生产费按建安费的1.5%计取。</w:t>
      </w:r>
      <w:bookmarkStart w:id="238" w:name="_Toc105623167"/>
      <w:r/>
      <w:bookmarkStart w:id="239" w:name="_Toc6935"/>
      <w:r/>
      <w:bookmarkStart w:id="240" w:name="_Toc131350967"/>
      <w:r/>
      <w:r/>
    </w:p>
    <w:p>
      <w:pPr>
        <w:pStyle w:val="995"/>
        <w:ind w:firstLine="482"/>
        <w:jc w:val="left"/>
        <w:spacing w:line="480" w:lineRule="exact"/>
        <w:widowControl/>
        <w:rPr>
          <w:rFonts w:ascii="宋体" w:eastAsia="宋体"/>
          <w:b/>
          <w:sz w:val="24"/>
          <w:szCs w:val="24"/>
        </w:rPr>
      </w:pPr>
      <w:r>
        <w:rPr>
          <w:rFonts w:ascii="宋体" w:eastAsia="宋体"/>
          <w:b/>
          <w:sz w:val="24"/>
          <w:szCs w:val="24"/>
        </w:rPr>
        <w:t xml:space="preserve">六</w:t>
      </w:r>
      <w:r>
        <w:rPr>
          <w:rFonts w:hint="eastAsia" w:ascii="宋体" w:eastAsia="宋体"/>
          <w:b/>
          <w:sz w:val="24"/>
          <w:szCs w:val="24"/>
        </w:rPr>
        <w:t xml:space="preserve">、</w:t>
      </w:r>
      <w:r>
        <w:rPr>
          <w:rFonts w:ascii="宋体" w:eastAsia="宋体"/>
          <w:b/>
          <w:sz w:val="24"/>
          <w:szCs w:val="24"/>
        </w:rPr>
        <w:t xml:space="preserve">环保、消防、职业安全卫生和节能措施</w:t>
      </w:r>
      <w:bookmarkEnd w:id="238"/>
      <w:r/>
      <w:bookmarkEnd w:id="239"/>
      <w:r/>
      <w:bookmarkEnd w:id="240"/>
      <w:r/>
      <w:r/>
    </w:p>
    <w:p>
      <w:pPr>
        <w:pStyle w:val="997"/>
        <w:ind w:firstLine="482"/>
        <w:spacing w:before="0" w:after="0" w:line="480" w:lineRule="exact"/>
        <w:widowControl/>
        <w:rPr>
          <w:rFonts w:ascii="宋体" w:hAnsi="宋体" w:eastAsia="宋体"/>
          <w:sz w:val="24"/>
          <w:szCs w:val="24"/>
        </w:rPr>
      </w:pPr>
      <w:r/>
      <w:bookmarkStart w:id="241" w:name="_Toc103952707"/>
      <w:r/>
      <w:bookmarkStart w:id="242" w:name="_Toc131350968"/>
      <w:r/>
      <w:bookmarkStart w:id="243" w:name="_Toc26661"/>
      <w:r/>
      <w:bookmarkStart w:id="244" w:name="_Toc105623168"/>
      <w:r/>
      <w:bookmarkStart w:id="245" w:name="_Toc103953578"/>
      <w:r>
        <w:rPr>
          <w:rFonts w:ascii="宋体" w:hAnsi="宋体" w:eastAsia="宋体"/>
          <w:sz w:val="24"/>
          <w:szCs w:val="24"/>
        </w:rPr>
        <w:t xml:space="preserve">6.1 环境保护</w:t>
      </w:r>
      <w:bookmarkEnd w:id="241"/>
      <w:r/>
      <w:bookmarkEnd w:id="242"/>
      <w:r/>
      <w:bookmarkEnd w:id="243"/>
      <w:r/>
      <w:bookmarkEnd w:id="244"/>
      <w:r/>
      <w:bookmarkEnd w:id="245"/>
      <w:r>
        <w:rPr>
          <w:rFonts w:ascii="宋体" w:hAnsi="宋体" w:eastAsia="宋体"/>
          <w:sz w:val="24"/>
          <w:szCs w:val="24"/>
        </w:rPr>
        <w:t xml:space="preserve"> </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工程严格遵循“三同时制度”，将环境保护工作纳入建设计划，并与主体工程同时设计、同时施工、同时投产使用。本期项目设计对设备选型、工艺技术、总体布置、环境保护方面做了周密的考虑，对生产过程中产生的废水、噪声和固体废弃污染物设计了相应的治理和控制措施，使其符合国家排放标准，尽可能将生产对环境带来的影响控制在最小限度之内</w:t>
      </w:r>
      <w:r/>
    </w:p>
    <w:p>
      <w:pPr>
        <w:pStyle w:val="997"/>
        <w:ind w:firstLine="482"/>
        <w:spacing w:before="0" w:after="0" w:line="480" w:lineRule="exact"/>
        <w:widowControl/>
        <w:rPr>
          <w:rFonts w:ascii="宋体" w:hAnsi="宋体" w:eastAsia="宋体"/>
          <w:sz w:val="24"/>
          <w:szCs w:val="24"/>
        </w:rPr>
      </w:pPr>
      <w:r/>
      <w:bookmarkStart w:id="246" w:name="_Toc105623169"/>
      <w:r/>
      <w:bookmarkStart w:id="247" w:name="_Toc131350969"/>
      <w:r/>
      <w:bookmarkStart w:id="248" w:name="_Toc15736"/>
      <w:r/>
      <w:bookmarkStart w:id="249" w:name="_Toc103953579"/>
      <w:r>
        <w:rPr>
          <w:rFonts w:ascii="宋体" w:hAnsi="宋体" w:eastAsia="宋体"/>
          <w:sz w:val="24"/>
          <w:szCs w:val="24"/>
        </w:rPr>
        <w:t xml:space="preserve">6.1.1 光污染控制</w:t>
      </w:r>
      <w:bookmarkEnd w:id="246"/>
      <w:r/>
      <w:bookmarkEnd w:id="247"/>
      <w:r/>
      <w:bookmarkEnd w:id="248"/>
      <w:r/>
      <w:bookmarkEnd w:id="249"/>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1、尽量避免或减少施工过程中的光污染。夜间室外照明灯加设灯罩，透光方向集中在施工范围。</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2、电焊作业采取遮挡措施，避免电焊弧光外泄。</w:t>
      </w:r>
      <w:r/>
    </w:p>
    <w:p>
      <w:pPr>
        <w:pStyle w:val="997"/>
        <w:ind w:firstLine="482"/>
        <w:spacing w:before="0" w:after="0" w:line="480" w:lineRule="exact"/>
        <w:widowControl/>
        <w:rPr>
          <w:rFonts w:ascii="宋体" w:hAnsi="宋体" w:eastAsia="宋体"/>
          <w:sz w:val="24"/>
          <w:szCs w:val="24"/>
        </w:rPr>
      </w:pPr>
      <w:r/>
      <w:bookmarkStart w:id="250" w:name="_Toc105623170"/>
      <w:r/>
      <w:bookmarkStart w:id="251" w:name="_Toc26045"/>
      <w:r/>
      <w:bookmarkStart w:id="252" w:name="_Toc103953580"/>
      <w:r/>
      <w:bookmarkStart w:id="253" w:name="_Toc131350970"/>
      <w:r>
        <w:rPr>
          <w:rFonts w:ascii="宋体" w:hAnsi="宋体" w:eastAsia="宋体"/>
          <w:sz w:val="24"/>
          <w:szCs w:val="24"/>
        </w:rPr>
        <w:t xml:space="preserve">6.1.2 废水、废气污染控制</w:t>
      </w:r>
      <w:bookmarkEnd w:id="250"/>
      <w:r/>
      <w:bookmarkEnd w:id="251"/>
      <w:r/>
      <w:bookmarkEnd w:id="252"/>
      <w:r/>
      <w:bookmarkEnd w:id="253"/>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本项目为信息系统工程，项目建设将依托现有基础设施，不涉及新增的土建项目，系统建成运行后不会产生工业废水、废气等污染物。</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项目用水环节主要是系统维护人员生活污水。生活污水由现有污水收集管网收集后，进入市政污水处理管网。</w:t>
      </w:r>
      <w:r/>
    </w:p>
    <w:p>
      <w:pPr>
        <w:pStyle w:val="997"/>
        <w:ind w:firstLine="482"/>
        <w:spacing w:before="0" w:after="0" w:line="480" w:lineRule="exact"/>
        <w:widowControl/>
        <w:rPr>
          <w:rFonts w:ascii="宋体" w:hAnsi="宋体" w:eastAsia="宋体"/>
          <w:sz w:val="24"/>
          <w:szCs w:val="24"/>
        </w:rPr>
      </w:pPr>
      <w:r/>
      <w:bookmarkStart w:id="254" w:name="_Toc131350971"/>
      <w:r/>
      <w:bookmarkStart w:id="255" w:name="_Toc6950"/>
      <w:r/>
      <w:bookmarkStart w:id="256" w:name="_Toc103953581"/>
      <w:r/>
      <w:bookmarkStart w:id="257" w:name="_Toc105623171"/>
      <w:r>
        <w:rPr>
          <w:rFonts w:ascii="宋体" w:hAnsi="宋体" w:eastAsia="宋体"/>
          <w:sz w:val="24"/>
          <w:szCs w:val="24"/>
        </w:rPr>
        <w:t xml:space="preserve">6.1.3 噪声控制</w:t>
      </w:r>
      <w:bookmarkEnd w:id="254"/>
      <w:r/>
      <w:bookmarkEnd w:id="255"/>
      <w:r/>
      <w:bookmarkEnd w:id="256"/>
      <w:r/>
      <w:bookmarkEnd w:id="257"/>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1、信息化建设项目在城市市区范围内向周围生活环境排放的建筑施工噪声，应当符合GB 12523《建筑施工场界环境噪声排放标准》的规定，并符合当地环保部门的相关要求。</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2、在城市范围内的机房，向周围生活环境排放噪声的，应符合GB 12348《工业企业厂界环境噪声排放标准》的相关要求。</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3、根据《通信工程建设环境保护技术暂行规定》规定：必须保持防治环境噪声污染的设施正常使用，拆除或闲置环境噪声污染防治设施应报环境保护行政主管部门批准。</w:t>
      </w:r>
      <w:r/>
    </w:p>
    <w:p>
      <w:pPr>
        <w:pStyle w:val="997"/>
        <w:ind w:firstLine="482"/>
        <w:spacing w:before="0" w:after="0" w:line="480" w:lineRule="exact"/>
        <w:widowControl/>
        <w:rPr>
          <w:rFonts w:ascii="宋体" w:hAnsi="宋体" w:eastAsia="宋体"/>
          <w:sz w:val="24"/>
          <w:szCs w:val="24"/>
        </w:rPr>
      </w:pPr>
      <w:r/>
      <w:bookmarkStart w:id="258" w:name="_Toc103953582"/>
      <w:r/>
      <w:bookmarkStart w:id="259" w:name="_Toc15215"/>
      <w:r/>
      <w:bookmarkStart w:id="260" w:name="_Toc105623172"/>
      <w:r/>
      <w:bookmarkStart w:id="261" w:name="_Toc131350972"/>
      <w:r>
        <w:rPr>
          <w:rFonts w:ascii="宋体" w:hAnsi="宋体" w:eastAsia="宋体"/>
          <w:sz w:val="24"/>
          <w:szCs w:val="24"/>
        </w:rPr>
        <w:t xml:space="preserve">6.1.4 电磁辐射</w:t>
      </w:r>
      <w:bookmarkEnd w:id="258"/>
      <w:r/>
      <w:bookmarkEnd w:id="259"/>
      <w:r/>
      <w:bookmarkEnd w:id="260"/>
      <w:r/>
      <w:bookmarkEnd w:id="261"/>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本期工程产生电磁辐射主要为网络设备、服务器和计算机等设备，带来的电磁辐射。本期使用设备电磁辐射能够满足GB 8702-2014《电磁环境控制限值》的相关要求，不产生电磁</w:t>
      </w:r>
      <w:r>
        <w:rPr>
          <w:rFonts w:hint="eastAsia" w:ascii="宋体" w:hAnsi="宋体"/>
          <w:sz w:val="24"/>
          <w:szCs w:val="24"/>
          <w:lang w:bidi="ar"/>
        </w:rPr>
        <w:t xml:space="preserve">辐射危害。</w:t>
      </w:r>
      <w:r/>
    </w:p>
    <w:p>
      <w:pPr>
        <w:pStyle w:val="997"/>
        <w:ind w:firstLine="482"/>
        <w:spacing w:before="0" w:after="0" w:line="480" w:lineRule="exact"/>
        <w:widowControl/>
        <w:rPr>
          <w:rFonts w:ascii="宋体" w:hAnsi="宋体" w:eastAsia="宋体"/>
          <w:sz w:val="24"/>
          <w:szCs w:val="24"/>
        </w:rPr>
      </w:pPr>
      <w:r/>
      <w:bookmarkStart w:id="262" w:name="_Toc131350973"/>
      <w:r/>
      <w:bookmarkStart w:id="263" w:name="_Toc105623173"/>
      <w:r/>
      <w:bookmarkStart w:id="264" w:name="_Toc30581"/>
      <w:r/>
      <w:bookmarkStart w:id="265" w:name="_Toc103953583"/>
      <w:r>
        <w:rPr>
          <w:rFonts w:ascii="宋体" w:hAnsi="宋体" w:eastAsia="宋体"/>
          <w:sz w:val="24"/>
          <w:szCs w:val="24"/>
        </w:rPr>
        <w:t xml:space="preserve">6.1.5 固体废弃物回收和处置</w:t>
      </w:r>
      <w:bookmarkEnd w:id="262"/>
      <w:r/>
      <w:bookmarkEnd w:id="263"/>
      <w:r/>
      <w:bookmarkEnd w:id="264"/>
      <w:r/>
      <w:bookmarkEnd w:id="265"/>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1、工程建设单位和施工单位应采取措施，防止或减少固体废物对环境的污染，施工单位应及时清运施工工程中产生的固体废弃物，并按照环境卫生行政主管部门的规定进行利用或处置。</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2、严禁向江河、湖波、运河、渠道、水库及最高水位线以下的滩地和岸坡倾倒、堆放固体废弃物。</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3、废旧电池、废矿物油、含汞废日光灯等毒性大、不宜用通用方式进行管理和处置的特殊危险废物，应与生活垃圾分类收集、妥善贮存、安全处置。</w:t>
      </w:r>
      <w:r/>
    </w:p>
    <w:p>
      <w:pPr>
        <w:pStyle w:val="997"/>
        <w:ind w:firstLine="482"/>
        <w:spacing w:before="0" w:after="0" w:line="480" w:lineRule="exact"/>
        <w:widowControl/>
        <w:rPr>
          <w:rFonts w:ascii="宋体" w:hAnsi="宋体" w:eastAsia="宋体"/>
          <w:sz w:val="24"/>
          <w:szCs w:val="24"/>
        </w:rPr>
      </w:pPr>
      <w:r/>
      <w:bookmarkStart w:id="266" w:name="_Toc4462"/>
      <w:r/>
      <w:bookmarkStart w:id="267" w:name="_Toc131350974"/>
      <w:r/>
      <w:bookmarkStart w:id="268" w:name="_Toc105623174"/>
      <w:r/>
      <w:bookmarkStart w:id="269" w:name="_Toc103952708"/>
      <w:r/>
      <w:bookmarkStart w:id="270" w:name="_Toc103953584"/>
      <w:r>
        <w:rPr>
          <w:rFonts w:ascii="宋体" w:hAnsi="宋体" w:eastAsia="宋体"/>
          <w:sz w:val="24"/>
          <w:szCs w:val="24"/>
        </w:rPr>
        <w:t xml:space="preserve">6.2 绿色节能</w:t>
      </w:r>
      <w:bookmarkEnd w:id="266"/>
      <w:r/>
      <w:bookmarkEnd w:id="267"/>
      <w:r/>
      <w:bookmarkEnd w:id="268"/>
      <w:r/>
      <w:bookmarkEnd w:id="269"/>
      <w:r/>
      <w:bookmarkEnd w:id="270"/>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深入贯彻习近平生态文明思想，以技术创新、管理创新“双轮驱动”企业绿色低碳发展，实现碳达峰、碳中和。通过加强能源节约和生态环境保护，提高网络能效水平，降低成本，实现高质量发展。强化技术创新的引领作用，推广成熟的节能技术和产品，持续提高入网设备的能效水平。</w:t>
      </w:r>
      <w:r/>
    </w:p>
    <w:p>
      <w:pPr>
        <w:ind w:firstLine="480"/>
        <w:spacing w:line="480" w:lineRule="exact"/>
        <w:tabs>
          <w:tab w:val="left" w:pos="0" w:leader="none"/>
        </w:tabs>
        <w:rPr>
          <w:rFonts w:ascii="宋体" w:hAnsi="宋体"/>
          <w:sz w:val="24"/>
          <w:szCs w:val="24"/>
        </w:rPr>
      </w:pPr>
      <w:r/>
      <w:bookmarkStart w:id="271" w:name="_Toc41924965"/>
      <w:r>
        <w:rPr>
          <w:rFonts w:hint="eastAsia" w:ascii="宋体" w:hAnsi="宋体"/>
          <w:sz w:val="24"/>
          <w:szCs w:val="24"/>
          <w:lang w:bidi="ar"/>
        </w:rPr>
        <w:t xml:space="preserve">本期设计</w:t>
      </w:r>
      <w:bookmarkEnd w:id="271"/>
      <w:r>
        <w:rPr>
          <w:rFonts w:hint="eastAsia" w:ascii="宋体" w:hAnsi="宋体"/>
          <w:sz w:val="24"/>
          <w:szCs w:val="24"/>
          <w:lang w:bidi="ar"/>
        </w:rPr>
        <w:t xml:space="preserve">认真贯彻执行国家现行的有关节约能源及合理利用能源的政策、法规、规范和标准等，遵守国家对能源利用所采取的开发与节约并重的方针，做到“技术上可行、经济上合理”，优先选用国家推荐使用的节能、节材产品，严禁选用国家公布的淘汰型设备；大力推广行之有效的“四新”节能技术。</w:t>
      </w:r>
      <w:r/>
    </w:p>
    <w:p>
      <w:pPr>
        <w:pStyle w:val="997"/>
        <w:ind w:firstLine="482"/>
        <w:spacing w:before="0" w:after="0" w:line="480" w:lineRule="exact"/>
        <w:widowControl/>
        <w:rPr>
          <w:rFonts w:ascii="宋体" w:hAnsi="宋体" w:eastAsia="宋体"/>
          <w:sz w:val="24"/>
          <w:szCs w:val="24"/>
        </w:rPr>
      </w:pPr>
      <w:r/>
      <w:bookmarkStart w:id="272" w:name="_Toc131350975"/>
      <w:r/>
      <w:bookmarkStart w:id="273" w:name="_Toc105623175"/>
      <w:r/>
      <w:bookmarkStart w:id="274" w:name="_Toc103953585"/>
      <w:r/>
      <w:bookmarkStart w:id="275" w:name="_Toc11088"/>
      <w:r>
        <w:rPr>
          <w:rFonts w:ascii="宋体" w:hAnsi="宋体" w:eastAsia="宋体"/>
          <w:sz w:val="24"/>
          <w:szCs w:val="24"/>
        </w:rPr>
        <w:t xml:space="preserve">6.2.1 设备选择及选型要求</w:t>
      </w:r>
      <w:bookmarkEnd w:id="272"/>
      <w:r/>
      <w:bookmarkEnd w:id="273"/>
      <w:r/>
      <w:bookmarkEnd w:id="274"/>
      <w:r/>
      <w:bookmarkEnd w:id="275"/>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设备选择应遵循节能、节材、节地、环保的原则。主设备选型时应符合以下绿色节能要求：</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1、在满足技术和服务指标的前提下，宜优先选用高度集成化、低功耗、高能效比、具有智能节电功能的设备。</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2、在满足设备正常运行、维护要求的基础上，优先选用自然散热产品，减少风扇的使用。</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3、在满足运输安全的前提下，优先选择包装材料轻、绿色环保包装材料，避免过度包装。</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4、在保证网络安全的前提下，适时引入新技术，优化网络设计，简化网络结构，提高网络利用率，避免设备闲置。</w:t>
      </w:r>
      <w:r/>
    </w:p>
    <w:p>
      <w:pPr>
        <w:pStyle w:val="997"/>
        <w:ind w:firstLine="482"/>
        <w:spacing w:before="0" w:after="0" w:line="480" w:lineRule="exact"/>
        <w:widowControl/>
        <w:rPr>
          <w:rFonts w:ascii="宋体" w:hAnsi="宋体" w:eastAsia="宋体"/>
          <w:sz w:val="24"/>
          <w:szCs w:val="24"/>
        </w:rPr>
      </w:pPr>
      <w:r/>
      <w:bookmarkStart w:id="276" w:name="_Toc103953586"/>
      <w:r/>
      <w:bookmarkStart w:id="277" w:name="_Toc105623176"/>
      <w:r/>
      <w:bookmarkStart w:id="278" w:name="_Toc103952709"/>
      <w:r/>
      <w:bookmarkStart w:id="279" w:name="_Toc131350976"/>
      <w:r/>
      <w:bookmarkStart w:id="280" w:name="_Toc28789"/>
      <w:r>
        <w:rPr>
          <w:rFonts w:ascii="宋体" w:hAnsi="宋体" w:eastAsia="宋体"/>
          <w:sz w:val="24"/>
          <w:szCs w:val="24"/>
        </w:rPr>
        <w:t xml:space="preserve">6.3 职业安全卫生</w:t>
      </w:r>
      <w:bookmarkEnd w:id="276"/>
      <w:r/>
      <w:bookmarkEnd w:id="277"/>
      <w:r/>
      <w:bookmarkEnd w:id="278"/>
      <w:r/>
      <w:bookmarkEnd w:id="279"/>
      <w:r/>
      <w:bookmarkEnd w:id="280"/>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贯彻“安全第一、预防为主、综合治理”的方针，保障从业人员在劳动过程中的安全与健康。本次设计的内容为项目信息化机房的劳动安全卫生设计，对建设运营过程中可能产生的不安全、影响职工健康的因素，采取有效措施，认真贯彻执行国家有关职业安全职业卫生方面的政策法规，切实做到职业安全与卫生工程与主体工程同时设计、同时施工、同时运营的“三同时”制度，对影响职工安全卫生的有害因素，采取综合措施，改善工人工作的劳动卫生条件，做到有针对性、经济性和实用性，保证项目的安全运营和职工的身心健康，并达到国家或地方规定的劳动卫生安全标准。</w:t>
      </w:r>
      <w:r/>
    </w:p>
    <w:p>
      <w:pPr>
        <w:pStyle w:val="997"/>
        <w:ind w:firstLine="482"/>
        <w:spacing w:before="0" w:after="0" w:line="480" w:lineRule="exact"/>
        <w:widowControl/>
        <w:rPr>
          <w:rFonts w:ascii="宋体" w:hAnsi="宋体" w:eastAsia="宋体"/>
          <w:sz w:val="24"/>
          <w:szCs w:val="24"/>
        </w:rPr>
      </w:pPr>
      <w:r/>
      <w:bookmarkStart w:id="281" w:name="_Toc105623177"/>
      <w:r/>
      <w:bookmarkStart w:id="282" w:name="_Toc103953587"/>
      <w:r/>
      <w:bookmarkStart w:id="283" w:name="_Toc131350977"/>
      <w:r/>
      <w:bookmarkStart w:id="284" w:name="_Toc18969"/>
      <w:r>
        <w:rPr>
          <w:rFonts w:ascii="宋体" w:hAnsi="宋体" w:eastAsia="宋体"/>
          <w:sz w:val="24"/>
          <w:szCs w:val="24"/>
        </w:rPr>
        <w:t xml:space="preserve">6.3.1 职业安全卫生主要影响因素</w:t>
      </w:r>
      <w:bookmarkEnd w:id="281"/>
      <w:r/>
      <w:bookmarkEnd w:id="282"/>
      <w:r/>
      <w:bookmarkEnd w:id="283"/>
      <w:r/>
      <w:bookmarkEnd w:id="284"/>
      <w:r/>
      <w:r/>
    </w:p>
    <w:p>
      <w:pPr>
        <w:ind w:firstLine="480"/>
        <w:spacing w:line="480" w:lineRule="exact"/>
        <w:tabs>
          <w:tab w:val="left" w:pos="0" w:leader="none"/>
        </w:tabs>
        <w:rPr>
          <w:rFonts w:ascii="宋体" w:hAnsi="宋体"/>
          <w:sz w:val="24"/>
          <w:szCs w:val="24"/>
        </w:rPr>
      </w:pPr>
      <w:r/>
      <w:bookmarkStart w:id="285" w:name="_Toc41924976"/>
      <w:r>
        <w:rPr>
          <w:rFonts w:hint="eastAsia" w:ascii="宋体" w:hAnsi="宋体"/>
          <w:sz w:val="24"/>
          <w:szCs w:val="24"/>
          <w:lang w:bidi="ar"/>
        </w:rPr>
        <w:t xml:space="preserve">本项目主要涉及信息化机房施工作业和信息化系统运营，涉及主要的职业卫生安全因素如下：</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1、机房环境布置、洁净度、新风量等不符合要求产生对人员、设备相关危害；</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2、工程施工安全，包括用电安全、高处作业安全、交通安全、器材搬运安全等</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3、信息化设备产生的电磁波辐射，对人员和环境的影响</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4、工程施工产生噪声影响、设备运行过程产生的噪声影响</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5、系统运行过程静电干扰产生的危害</w:t>
      </w:r>
      <w:r/>
    </w:p>
    <w:p>
      <w:pPr>
        <w:pStyle w:val="997"/>
        <w:ind w:firstLine="482"/>
        <w:spacing w:before="0" w:after="0" w:line="480" w:lineRule="exact"/>
        <w:widowControl/>
        <w:rPr>
          <w:rFonts w:ascii="宋体" w:hAnsi="宋体" w:eastAsia="宋体"/>
          <w:sz w:val="24"/>
          <w:szCs w:val="24"/>
        </w:rPr>
      </w:pPr>
      <w:r/>
      <w:bookmarkStart w:id="286" w:name="_Toc105623178"/>
      <w:r/>
      <w:bookmarkStart w:id="287" w:name="_Toc131350978"/>
      <w:r/>
      <w:bookmarkStart w:id="288" w:name="_Toc103953588"/>
      <w:r/>
      <w:bookmarkStart w:id="289" w:name="_Toc23971"/>
      <w:r/>
      <w:bookmarkEnd w:id="285"/>
      <w:r>
        <w:rPr>
          <w:rFonts w:ascii="宋体" w:hAnsi="宋体" w:eastAsia="宋体"/>
          <w:sz w:val="24"/>
          <w:szCs w:val="24"/>
        </w:rPr>
        <w:t xml:space="preserve">6.3.2 噪声控制</w:t>
      </w:r>
      <w:bookmarkEnd w:id="286"/>
      <w:r/>
      <w:bookmarkEnd w:id="287"/>
      <w:r/>
      <w:bookmarkEnd w:id="288"/>
      <w:r/>
      <w:bookmarkEnd w:id="289"/>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1、设备运行所产生的噪声应符合相关产品标准的规定；高噪声设备宜配备隔声设施</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2、所有设备停机时，机房内的噪声应小于60 dB（A）。</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3、所有对外的噪声应满足GB 3096的规定值要求。</w:t>
      </w:r>
      <w:r/>
    </w:p>
    <w:p>
      <w:pPr>
        <w:pStyle w:val="997"/>
        <w:ind w:firstLine="482"/>
        <w:spacing w:before="0" w:after="0" w:line="480" w:lineRule="exact"/>
        <w:widowControl/>
        <w:rPr>
          <w:rFonts w:ascii="宋体" w:hAnsi="宋体" w:eastAsia="宋体"/>
          <w:sz w:val="24"/>
          <w:szCs w:val="24"/>
        </w:rPr>
      </w:pPr>
      <w:r/>
      <w:bookmarkStart w:id="290" w:name="_Toc11923"/>
      <w:r/>
      <w:bookmarkStart w:id="291" w:name="_Toc103953589"/>
      <w:r/>
      <w:bookmarkStart w:id="292" w:name="_Toc105623179"/>
      <w:r/>
      <w:bookmarkStart w:id="293" w:name="_Toc131350979"/>
      <w:r>
        <w:rPr>
          <w:rFonts w:ascii="宋体" w:hAnsi="宋体" w:eastAsia="宋体"/>
          <w:sz w:val="24"/>
          <w:szCs w:val="24"/>
        </w:rPr>
        <w:t xml:space="preserve">6.3.3 电辐射</w:t>
      </w:r>
      <w:bookmarkEnd w:id="290"/>
      <w:r/>
      <w:bookmarkEnd w:id="291"/>
      <w:r/>
      <w:bookmarkEnd w:id="292"/>
      <w:r/>
      <w:bookmarkEnd w:id="293"/>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本期新建或扩容设备符合国家质量标准，设备运行产生的辐射符合国家行业标准要求，对人体和环境不产生危害影响</w:t>
      </w:r>
      <w:r/>
    </w:p>
    <w:p>
      <w:pPr>
        <w:pStyle w:val="997"/>
        <w:ind w:firstLine="482"/>
        <w:spacing w:before="0" w:after="0" w:line="480" w:lineRule="exact"/>
        <w:widowControl/>
        <w:rPr>
          <w:rFonts w:ascii="宋体" w:hAnsi="宋体" w:eastAsia="宋体"/>
          <w:sz w:val="24"/>
          <w:szCs w:val="24"/>
        </w:rPr>
      </w:pPr>
      <w:r/>
      <w:bookmarkStart w:id="294" w:name="_Toc131350980"/>
      <w:r/>
      <w:bookmarkStart w:id="295" w:name="_Toc4685"/>
      <w:r/>
      <w:bookmarkStart w:id="296" w:name="_Toc103953590"/>
      <w:r/>
      <w:bookmarkStart w:id="297" w:name="_Toc105623180"/>
      <w:r>
        <w:rPr>
          <w:rFonts w:ascii="宋体" w:hAnsi="宋体" w:eastAsia="宋体"/>
          <w:sz w:val="24"/>
          <w:szCs w:val="24"/>
        </w:rPr>
        <w:t xml:space="preserve">6.3.4 安全生产</w:t>
      </w:r>
      <w:bookmarkEnd w:id="294"/>
      <w:r/>
      <w:bookmarkEnd w:id="295"/>
      <w:r/>
      <w:bookmarkEnd w:id="296"/>
      <w:r/>
      <w:bookmarkEnd w:id="297"/>
      <w:r/>
      <w:r/>
    </w:p>
    <w:p>
      <w:pPr>
        <w:pStyle w:val="998"/>
        <w:ind w:firstLine="482"/>
        <w:spacing w:before="0" w:after="0" w:line="480" w:lineRule="exact"/>
        <w:widowControl/>
        <w:rPr>
          <w:rFonts w:ascii="宋体" w:hAnsi="宋体" w:eastAsia="宋体"/>
          <w:sz w:val="24"/>
          <w:szCs w:val="24"/>
        </w:rPr>
      </w:pPr>
      <w:r>
        <w:rPr>
          <w:rFonts w:ascii="宋体" w:hAnsi="宋体" w:eastAsia="宋体"/>
          <w:sz w:val="24"/>
          <w:szCs w:val="24"/>
        </w:rPr>
        <w:t xml:space="preserve">6.3.4.1 工程安全管理组织</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通信建设施工企业在施工生产中，以下几方面必须符合国家法律、法规相关规定：</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施工企业资质及安全生产许可证情况；</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施工单位安全生产管理机构设置情况；</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施工单位的主要负责人、项目负责人、专职安全生产管理人员、特种作业人员任职或上岗条件；</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施工单位主要负责人、项目负责人、专职安全生产管理人员的职责；</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施工人员的权利和义务。</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工程安全管理组织</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建设单位要根据相关法律、法规规定，设置安全生产管理机构或者配备专职（或兼职）安全生产管理人员。</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新建、改建、扩建工程项目的安全生产设施必须要与主体工程同时设计、同时施工、同时投产使用。</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工程监理要严格按安全生产专篇要求实施安全监督和管理。</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工程施工要严格按安全生产专篇要求，对施工人员要进行安全教育和培训，落实安全防护措施和安全经费。</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单位在施工前应对施工作业现场的作业环境进行勘查，并制定相应的安全生产和文明施工的防范措施，加强施工现场安全管理和检查。</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施工单位必须严禁使用未取得有关部门颁发的《特种作业人员岗位操作证》的人员从事特种作业，禁止使用未经上岗培训的人员上岗作业。</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施工单位必须保证施工现场安全措施费用和施工人员的安全生产用品的落实。</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建设项目竣工投产前，其安全设施必须经安全部门验收合格。</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施工单位的主要负责人、工程项目负责人和安全生产管理人员必须具备与本单位所从事施工生产经营活动相应的安全生产知识和管理能力，应当经通信行业主管部门考核合格后方可任职。施工单位应保证所有参加工程项目的人员必须经过培训，并考核合格。其生产安全教育培训情况应记入个人工作档案。经安全生产教育培训考核不合格的人员，不得上岗。</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企业主要负责人、工程项目负责人和专职安全员应对建设工程项目的安全施工负责。当发生安全事故时，应及时、如实地报告。</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工程项目施工必须实行安全技术逐级交底制度，纵向延伸到全体作业人员。</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施工人员在施工生产过程中，必须按照国家规定和不同的专业需要，正确穿戴和使用相应的劳动保护用品。施工人员在施工生产过程中，必须按照国家规定和不同的专业需要，正确穿戴和使用相应的劳动保护用品。从事特殊工种的作业人员在上岗前，必须进行专门的安</w:t>
      </w:r>
      <w:r>
        <w:rPr>
          <w:rFonts w:hint="eastAsia" w:ascii="宋体" w:hAnsi="宋体"/>
          <w:sz w:val="24"/>
          <w:szCs w:val="24"/>
          <w:lang w:bidi="ar"/>
        </w:rPr>
        <w:t xml:space="preserve">全技术和操作技能的培训和考核，并经培训考核合格，取得《特种作业人员操作证》后方可上岗。</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发生任何事故，必须及时逐级上报。报告的内容应包括事故发生的单位、时间、地点、简要事故经过、伤亡人数、财产损失情况和已采取的应急措施等。报告人应适时作出书面记录。</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项目负责人接到事故报告后，应迅速采取有效措施，积极组织救护、抢险，减少人员伤亡和财产损失，防止事故继续扩大，并立即报告安全生产主管部门或上级应急指挥中心。</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设备安装前须检查：机房荷载、消防、抗震、接地的证明。</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当施工作业可能对毗邻设备、管线等造成损害时，监理工程师应要求承包单位采取防护措施。</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监理工程师应要求承包单位在施工现场设置符合规定的安全警示标志，暂停施工时应做好现场防护，对施工时产生的噪音、粉尘、废物、振动及照明等对人和环境可能造成危害和污染时，要采取环境保护措施。</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在运行中的通信设备机架内或设备旁进行安装作业时，监理工程师应督促承包单位提前制定好带电作业的安全防护措施，在安装施工过程中，监理人员、维护人员必须旁站监督，防止安全事故的发生。</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工程项目施工必须实行安全技术交底制度，接受交底的人员必须覆盖全体作业人员。</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施工人员必须遵守交通法规，保证工程车辆行车安全、人身及财产安全。驾驶员驾驶车辆必须注意交通标志、标线，保持安全行车距离，不强行超车、不超速行驶、不疲劳驾驶、不驾驶故障车辆，严禁酒后驾驶、无证驾驶。严禁车辆客货混装或超员、超载。</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发生安全生产事故，必须及时按规定上报。项目负责人接到事故报告后，必须立即启动相应的事故应急预案，迅速采取有效措施，积极组织救护、抢险，防止事故继续扩大，减少人员伤亡和财产损失，并立即报告安全生产主管部门或上级应急指挥中心。</w:t>
      </w:r>
      <w:r/>
    </w:p>
    <w:p>
      <w:pPr>
        <w:pStyle w:val="998"/>
        <w:ind w:firstLine="482"/>
        <w:spacing w:before="0" w:after="0" w:line="480" w:lineRule="exact"/>
        <w:widowControl/>
        <w:rPr>
          <w:rFonts w:ascii="宋体" w:hAnsi="宋体" w:eastAsia="宋体"/>
          <w:sz w:val="24"/>
          <w:szCs w:val="24"/>
        </w:rPr>
      </w:pPr>
      <w:r>
        <w:rPr>
          <w:rFonts w:ascii="宋体" w:hAnsi="宋体" w:eastAsia="宋体"/>
          <w:sz w:val="24"/>
          <w:szCs w:val="24"/>
        </w:rPr>
        <w:t xml:space="preserve">6.3.4.2 施工现场安全</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在城镇交人员密集处施工时必须设置有关部门规定的警示标志，必要时派专人警戒看守。</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施工现场的安全警示标志和防护设施应随工作地点的变动而转移，作业完毕应及时撤除、清理干净。</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施工人员应阻止非工作人员进人施工作业区，接近或触碰正在施工运行中的各种机具与</w:t>
      </w:r>
      <w:r>
        <w:rPr>
          <w:rFonts w:hint="eastAsia" w:ascii="宋体" w:hAnsi="宋体"/>
          <w:sz w:val="24"/>
          <w:szCs w:val="24"/>
          <w:lang w:bidi="ar"/>
        </w:rPr>
        <w:t xml:space="preserve">设施。</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在城镇和居民区内施工有噪音扰民时，应采取防止或减轻噪音扰民的措施，并在相关部门规定时间内施工。需要在夜间或在禁止时间内施工的，应报请有关单位和部门批准。</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从事高处作业的施工人员，必须正确使用安全带、安全帽。</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从事高处作业的人员应定期进行健康检查，如发现身体不适合高处作业时，不得从事这一工作。</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高处作业时，所用工具、材料应放置稳妥，不得扔抛工具或材料。</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施工现场有两个以上施工单位施工时，建设单位应明确各方的安全职责，对施工现场实行统一管理。</w:t>
      </w:r>
      <w:r/>
    </w:p>
    <w:p>
      <w:pPr>
        <w:pStyle w:val="998"/>
        <w:ind w:firstLine="482"/>
        <w:spacing w:before="0" w:after="0" w:line="480" w:lineRule="exact"/>
        <w:widowControl/>
        <w:rPr>
          <w:rFonts w:ascii="宋体" w:hAnsi="宋体" w:eastAsia="宋体"/>
          <w:sz w:val="24"/>
          <w:szCs w:val="24"/>
        </w:rPr>
      </w:pPr>
      <w:r>
        <w:rPr>
          <w:rFonts w:ascii="宋体" w:hAnsi="宋体" w:eastAsia="宋体"/>
          <w:sz w:val="24"/>
          <w:szCs w:val="24"/>
        </w:rPr>
        <w:t xml:space="preserve">6.3.4.3 施工驻地安全</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临时搭建的员工办公室等设施必须安全、牢固、符合消防安全规定，严禁使用易燃材料搭建临时设施。临时设施严禁靠近电力设施，与高压架空电线的水平距离必须符合相关规定。</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施工驻地应按规定配备消防设施，设置安全通道。</w:t>
      </w:r>
      <w:r/>
    </w:p>
    <w:p>
      <w:pPr>
        <w:pStyle w:val="998"/>
        <w:ind w:firstLine="482"/>
        <w:spacing w:before="0" w:after="0" w:line="480" w:lineRule="exact"/>
        <w:widowControl/>
        <w:rPr>
          <w:rFonts w:ascii="宋体" w:hAnsi="宋体" w:eastAsia="宋体"/>
          <w:sz w:val="24"/>
          <w:szCs w:val="24"/>
        </w:rPr>
      </w:pPr>
      <w:r>
        <w:rPr>
          <w:rFonts w:ascii="宋体" w:hAnsi="宋体" w:eastAsia="宋体"/>
          <w:sz w:val="24"/>
          <w:szCs w:val="24"/>
        </w:rPr>
        <w:t xml:space="preserve">6.3.4.4 施工现场用电安全要求</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电工作业应由二人以上配合进行，并由持证人员操作，并按规定穿绝缘鞋，带绝缘手套，使用绝缘工具。在带电的设备、头柜、分支柜中操作时，不得佩戴金属饰物，并采取有效措施防止螺丝钉、垫片、金属屑等金属材料掉落。</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操作电器装置应熟悉其性能和使用方法，不得任意开动电源装置，严禁在电源装置上放置物件，施工人员需在施工授权范围内操作，不得超出范围进行操作。</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在低压作业中，人体及其所携带工具与带电体的距离不应小于0.1m。</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施工现场用电线路应采用绝缘护套导线。</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检修各类配电箱、开关箱、电气设备和电力工具时，必须切断电源。在总配线箱或者分配线箱一侧悬挂“检修设备请勿合闸”警示标牌，必要时设专人看管。</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用电设备的总功率不得超过供电负荷。</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设备加电测试</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1、设备在加电前应进行检查以下内容:设备内不得有金属碎屑，电源正负极不得接反和短路，设备保护地线应引接良好，各级电源熔断器和空气开关规格应符合设计和设备的技术要求。</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2、设备加电时，操作人员必须穿戴绝缘鞋、绝缘手套，使用绝缘工具，并应由2人互相配合，沿电流方向逐级加电，逐级测量并留存测试记录。</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3、插拔板卡、模块时应配戴接地良好的防静电手环。</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4、插拔电源熔断器应使用专用工具，不得用其他工具代替。</w:t>
      </w:r>
      <w:r/>
    </w:p>
    <w:p>
      <w:pPr>
        <w:pStyle w:val="998"/>
        <w:ind w:firstLine="482"/>
        <w:spacing w:before="0" w:after="0" w:line="480" w:lineRule="exact"/>
        <w:widowControl/>
        <w:rPr>
          <w:rFonts w:ascii="宋体" w:hAnsi="宋体" w:eastAsia="宋体"/>
          <w:sz w:val="24"/>
          <w:szCs w:val="24"/>
        </w:rPr>
      </w:pPr>
      <w:r>
        <w:rPr>
          <w:rFonts w:ascii="宋体" w:hAnsi="宋体" w:eastAsia="宋体"/>
          <w:sz w:val="24"/>
          <w:szCs w:val="24"/>
        </w:rPr>
        <w:t xml:space="preserve">6.3.4.5 施工交通安全</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施工人员应遵守交通法规，保证工程车辆、人身及财产安全。驾驶员驾驶车辆应注意交通标志、标线，保持安全行车距离，不强行超车、不超速行驶、不疲劳驾驶、不驾驶故障车辆，不得酒后驾驶、无证驾驶。车辆不得客货混装或超员。</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车辆行驶时，乘坐人员应注意沿途的电线、树枝及其他障碍物，不得将肢体露于车厢外。车辆停稳后方可上下车。</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若需租用车辆，应与车主签订租车协议，明确双方安全责任和义务。</w:t>
      </w:r>
      <w:r/>
    </w:p>
    <w:p>
      <w:pPr>
        <w:pStyle w:val="998"/>
        <w:ind w:firstLine="482"/>
        <w:spacing w:before="0" w:after="0" w:line="480" w:lineRule="exact"/>
        <w:widowControl/>
        <w:rPr>
          <w:rFonts w:ascii="宋体" w:hAnsi="宋体" w:eastAsia="宋体"/>
          <w:sz w:val="24"/>
          <w:szCs w:val="24"/>
        </w:rPr>
      </w:pPr>
      <w:r>
        <w:rPr>
          <w:rFonts w:ascii="宋体" w:hAnsi="宋体" w:eastAsia="宋体"/>
          <w:sz w:val="24"/>
          <w:szCs w:val="24"/>
        </w:rPr>
        <w:t xml:space="preserve">6.3.4.6 器材搬运要求</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1、一般规定</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（1）搬运通信设备、线缆等器材时，使用的杠、绳、链、撬棍、滚筒、滑车、挂钩、绞车（盘）、跳板等搬运工具应有足够的强度。不得使用有破损、腐蚀、腐朽现象的搬运工具。</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（2）人工挑、抬、扛工作应采取适当的人身安全措施。</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2、大型设备搬运</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（1）装卸大型设备宜采用吊车或叉车。搬运设备时应注意包装箱上的标志，不得倒置。</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（2）人工搬运时，应有专人指挥，多人合作，步调一致；每人负重男工不得超过40kg，女工不得超过20kg；不得让患有不适于搬运工作疾病者参与搬运工作。</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（3）人工搬运设备上下楼梯时，应按照身高、体力妥善安排位置，负重均匀；急拐弯处要慢行，前后的人应相互照应。</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（4）使用电梯搬运设备上下楼时，宜使用货梯，电梯的大小和承重应满足搬运要求。</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（5）手搬、肩扛没有包装的设备时，应搬、扛设备的牢固部位，不得抓碰布线、盒盖、零部件等不牢固、不能承重的部位。在搬运过程中不得直接将机柜在地面上拖拉、推动。</w:t>
      </w:r>
      <w:r/>
    </w:p>
    <w:p>
      <w:pPr>
        <w:pStyle w:val="998"/>
        <w:ind w:firstLine="482"/>
        <w:spacing w:before="0" w:after="0" w:line="480" w:lineRule="exact"/>
        <w:widowControl/>
        <w:rPr>
          <w:rFonts w:ascii="宋体" w:hAnsi="宋体" w:eastAsia="宋体"/>
          <w:sz w:val="24"/>
          <w:szCs w:val="24"/>
        </w:rPr>
      </w:pPr>
      <w:r>
        <w:rPr>
          <w:rFonts w:ascii="宋体" w:hAnsi="宋体" w:eastAsia="宋体"/>
          <w:sz w:val="24"/>
          <w:szCs w:val="24"/>
        </w:rPr>
        <w:t xml:space="preserve">6.3.4.7 室内设备安装</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1、设备开箱时应注意包装箱上的标志，不得倒置。开箱时应使用专用工具，不得猛力敲打包装箱。开箱后应及时清理箱板、铁皮、泡沫等杂物。雨雪、潮湿天气不得在室外开箱。</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2、在机房内搬移设备时，不得损坏地板和其他设备。</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3、在已有运行设备的机房内作业时，应划定施工作业区域，作业人员不得随意触碰已有运行设备，不得随意触碰消防设施。</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4、严禁擅自关断运行设备的电源开关。使用机房原有电源插座时应核实电源容量。</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5、铁架、槽道、机架、人字梯上不得放置工具和器材。不得脚踩铁架、机架、电缆走道、端子板等设备。</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6、在运行设备顶部操作时，应对运行设备采取防护措施，避免工具、螺丝等金属物品落入机柜内。</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7、机架安装时，应用膨胀螺栓对地加固。在需要抗震加固的地区，应按设计要求，对机架采取抗震加固措施，机架防雷接地需严格按照机房及设计要求。在已运行的设备旁安装机架时应防止碰撞原有设备。</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8、交直流供电设备安装</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（1）设备的防雷和保护接地线应安装牢固，接地电阻值应符合要求。</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（2）设备安装完毕后，应进行清洁，彻底清除在安装时落入机内的杂物。</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（3）交流配电屏的中性线应与机架绝缘。不得采用中性线做交流保护地线。</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（4）供电前，需要检查设备内线缆、元器件等连接是否正确、牢固，确认正确后方可供电；交、直流配电屏和其他供电设备前后的地面应铺放绝缘橡胶垫。</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（5）电源熔断器及空气开关容量应符合设计要求，插拔电源熔断器应使用专用工具，不得用其他工具代替。</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（6）设备供电时，操作人员应穿绝缘鞋，带绝缘手套，并应有两人互相配合，采取逐级加电的方法进行。如发现异常，应立即切断电源开关，检查原因。</w:t>
      </w:r>
      <w:r/>
    </w:p>
    <w:p>
      <w:pPr>
        <w:pStyle w:val="998"/>
        <w:ind w:firstLine="482"/>
        <w:spacing w:before="0" w:after="0" w:line="480" w:lineRule="exact"/>
        <w:widowControl/>
        <w:rPr>
          <w:rFonts w:ascii="宋体" w:hAnsi="宋体" w:eastAsia="宋体"/>
          <w:sz w:val="24"/>
          <w:szCs w:val="24"/>
        </w:rPr>
      </w:pPr>
      <w:r>
        <w:rPr>
          <w:rFonts w:ascii="宋体" w:hAnsi="宋体" w:eastAsia="宋体"/>
          <w:sz w:val="24"/>
          <w:szCs w:val="24"/>
        </w:rPr>
        <w:t xml:space="preserve">6.3.4.8 电缆布放安全要求</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1、布放线缆时应做好标识，其中电源线端头应作绝缘处理。</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2、电源线的布放：</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（1）在地槽内布放电源线时，必须注意防潮。</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（2）布放电源线时，无论是明敷或暗敷，必须是整条线料，中间严禁有接头。</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（3）截面在10mm2以上的电源线终端必须加装线鼻子，尺寸应与导线线径相吻合，线鼻子与电源线的端头必须镀锡。如加装封闭式线鼻子应用专用压接工具压接牢固；如为开口式</w:t>
      </w:r>
      <w:r>
        <w:rPr>
          <w:rFonts w:hint="eastAsia" w:ascii="宋体" w:hAnsi="宋体"/>
          <w:sz w:val="24"/>
          <w:szCs w:val="24"/>
          <w:lang w:bidi="ar"/>
        </w:rPr>
        <w:t xml:space="preserve">线鼻子必须用烙铁焊接牢固。线鼻子与设备连接处在通电后，温度不得超过65℃。</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（4）电源线穿越墙洞或楼层时，应预留“S”弯。洞口两端应按要求用阻燃材料的盖板堵封洞口。施工尚未结束时，应用临时阻燃材料堵封洞口。</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（5）交流线、直流线、信号线应分开布放，不得绑扎在一起，如走在同一路由时，间距必须符合工程验收规范要求。非同一级电力电缆不得穿放在同一管孔内。</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（6）设备电源的正负极性严禁接反。</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（7）电源线、信号线必须是整条线料，外皮完整，中间严禁有接头和急弯处。</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（8）直流电源线、交流电源线、信号线必须分开布放，应避免在同一线束内。其中直流电源线正极外皮颜色应为红色，负极外皮颜色应为兰色。</w:t>
      </w:r>
      <w:r/>
    </w:p>
    <w:p>
      <w:pPr>
        <w:pStyle w:val="998"/>
        <w:ind w:firstLine="482"/>
        <w:spacing w:before="0" w:after="0" w:line="480" w:lineRule="exact"/>
        <w:widowControl/>
        <w:rPr>
          <w:rFonts w:ascii="宋体" w:hAnsi="宋体" w:eastAsia="宋体"/>
          <w:sz w:val="24"/>
          <w:szCs w:val="24"/>
        </w:rPr>
      </w:pPr>
      <w:r>
        <w:rPr>
          <w:rFonts w:ascii="宋体" w:hAnsi="宋体" w:eastAsia="宋体"/>
          <w:sz w:val="24"/>
          <w:szCs w:val="24"/>
        </w:rPr>
        <w:t xml:space="preserve">6.3.4.9 铁件加工和安装</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1、加工铁件应在指定的区域操作。不得在已安装设备的机房内切割铁件。</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2、锯、锉铁件时，加工的铁件应在台虎钳或电锯平台上夹紧。在台虎钳上夹持固定槽钢、角钢、钢管时，应用木块在钳口处垫实、夹牢，不得松动，锯、锉点距钳口的距离不应过远，防止铁件振动损害机具。</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3、锯铁件时，锯条或砂轮与铁件的夹角要小，不宜超过10°，锯条松紧适度。锯槽钢、角钢时，不宜从顶角开始，宜从边角开始。当铁件快要锯断时，要降低手锯或电锯的速度，并有人扶住铁件的另一端，防止卡锯或铁件余料飞出。</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4、对铁件钻孔时，应用力均匀，铁件应夹紧，固定牢靠，不得左右摆动；如发生卡住钻头现象，应立即停机处理。</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5、管件攻丝、套丝时，管件在台虎钳上应固定牢固。如两人操作时，动作应协调。攻、套丝时，应注意加注机油，及时清理铁屑，防止飞溅。</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6、铁件作弯时，应在台虎钳或作弯工具上夹紧。用锤敲击时，应防止振伤手臂。管件需加热作弯时，喷灯烘烤管件间距适当，操作人员不得面对管口。</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7、铁件去锈和喷刷漆时，作业人员应戴口罩、手套。喷刷后的余漆、废液应集中回收，统一处理，不得随意丢放。</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8、铁件安装工作中，不得抛掷铁件及工具。传递较长的铁件时，应注意周围人员、设备的安全。手扶铁件固定时，应固定牢靠后才能松手。</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9、走线架、吊挂、通风管道等应安装接地线，与机房接地排连接可靠。</w:t>
      </w:r>
      <w:r/>
    </w:p>
    <w:p>
      <w:pPr>
        <w:pStyle w:val="998"/>
        <w:ind w:firstLine="482"/>
        <w:spacing w:before="0" w:after="0" w:line="480" w:lineRule="exact"/>
        <w:widowControl/>
        <w:rPr>
          <w:rFonts w:ascii="宋体" w:hAnsi="宋体" w:eastAsia="宋体"/>
          <w:sz w:val="24"/>
          <w:szCs w:val="24"/>
        </w:rPr>
      </w:pPr>
      <w:r>
        <w:rPr>
          <w:rFonts w:ascii="宋体" w:hAnsi="宋体" w:eastAsia="宋体"/>
          <w:sz w:val="24"/>
          <w:szCs w:val="24"/>
        </w:rPr>
        <w:t xml:space="preserve">6.3.4.10 高处作业时安全施工要求</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高处作业是一项危险性较大的作业项目，容易发生人员、物体坠落等事故。高处作业的安全防护要求如下:</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高处作业人员应当持证上岗。安全员必须严格按照安全控制措施和操作规程进行现场监督、检查。</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作业人员应佩戴安全帽、安全带，穿工作服、工作鞋，并认真检查各种劳保用具是否安全可靠。高处作业人员情绪不稳定、不能保证精神集中地进行高处作业时不得上岗。高空作业前不准饮酒，前一天不准过量饮酒。</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高处作业应划定安全禁区，设置警示牌。操作人员应统一指挥。高处作业用的各种工、器具要加保险绳、钩、袋，防止失于散落伤人。作业过程中禁止无关人员进入安全禁区。当地气温高于人体体温、遇有5级以上（含5级）大风以及暴雨、打雷等恶劣天气或能见度低时严禁高处作业。</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高处作业须确保踩踏物牢靠。作业人员应身体健康，并做好自我安全防护工作。操作过程中应防止坠落物伤害他人。</w:t>
      </w:r>
      <w:r/>
    </w:p>
    <w:p>
      <w:pPr>
        <w:pStyle w:val="998"/>
        <w:ind w:firstLine="482"/>
        <w:spacing w:before="0" w:after="0" w:line="480" w:lineRule="exact"/>
        <w:widowControl/>
        <w:rPr>
          <w:rFonts w:ascii="宋体" w:hAnsi="宋体" w:eastAsia="宋体"/>
          <w:sz w:val="24"/>
          <w:szCs w:val="24"/>
        </w:rPr>
      </w:pPr>
      <w:r>
        <w:rPr>
          <w:rFonts w:ascii="宋体" w:hAnsi="宋体" w:eastAsia="宋体"/>
          <w:sz w:val="24"/>
          <w:szCs w:val="24"/>
        </w:rPr>
        <w:t xml:space="preserve">6.3.4.11 梯子、高登使用要求</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选用的梯子应能满足承重要求，长度应适当，方便操作。</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带电作业或在运行的设备附近作业时，应选择绝缘梯子。</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使用梯子前应检查梯子是否完好。梯子配件应齐全，各部位连接应牢固，梯梁与踏板无歪斜、折断、松驰、破裂、腐朽、扭曲、变形等缺陷；</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折叠梯、伸缩梯应活动自如；伸缩梯的绳索应无破损和断股现象；金属梯踏板应做防滑处理，梯脚应装防滑绝缘橡胶垫。</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移动超过5米长的梯子，应用2个人抬，且不要在移动的梯子上摆放任何工具或东西。</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有架空线缆或其它障碍物的地方，不得举梯移动。</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梯子应安置平稳可靠。放置基础及所搭靠的支撑物要稳固，并能承受梯上最大负荷；地面应平整、无杂物、不湿滑。</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梯子放置的斜度要适当，梯子上端的接触点与下端支撑点间水平距离宜等于接触点和支撑点间距离的1/4至1/3。</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上下梯子时，应面向梯子，保持三点接触原则，且不得手持器物，不得携带笨重工具和</w:t>
      </w:r>
      <w:r>
        <w:rPr>
          <w:rFonts w:hint="eastAsia" w:ascii="宋体" w:hAnsi="宋体"/>
          <w:sz w:val="24"/>
          <w:szCs w:val="24"/>
          <w:lang w:bidi="ar"/>
        </w:rPr>
        <w:t xml:space="preserve">材料。</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在梯子上工作应应穿橡胶底或其它类型的防滑鞋，不得两人或两个以上的人在同一梯子上工作（包括上下），不得斜着身子远探工作，不得一脚踏梯、另一脚踩在其它物件上，不得用腿、脚移动梯子，不得坐在梯子上操作。使用直梯时应站在距离梯顶不少于1米的梯蹬上。</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使用高凳前应检查高凳是否牢固平稳，凳脚、踏板材质应结实。上、下高凳时不得携带笨重材料和工具，一个人不得脚踩两只高凳作业。</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高凳上放置工具和器材时，人离开时应随手取下。搬移高凳时，应先检查、清理高凳上的工具和器材</w:t>
      </w:r>
      <w:r/>
    </w:p>
    <w:p>
      <w:pPr>
        <w:pStyle w:val="998"/>
        <w:ind w:firstLine="482"/>
        <w:spacing w:before="0" w:after="0" w:line="480" w:lineRule="exact"/>
        <w:widowControl/>
        <w:rPr>
          <w:rFonts w:ascii="宋体" w:hAnsi="宋体" w:eastAsia="宋体"/>
          <w:sz w:val="24"/>
          <w:szCs w:val="24"/>
        </w:rPr>
      </w:pPr>
      <w:r>
        <w:rPr>
          <w:rFonts w:ascii="宋体" w:hAnsi="宋体" w:eastAsia="宋体"/>
          <w:sz w:val="24"/>
          <w:szCs w:val="24"/>
        </w:rPr>
        <w:t xml:space="preserve">6.3.4.12 人员密集场所施工要求</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在人员密集场所施工时，需在施工地点设置围挡，并设置专门人员在现场维持秩序，疏导人流。群众围观时应及时劝其离去。不得与群众发生冲突。</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施工现场噪声白天应控制在60dB以下，夜间应控制在45dB以下。</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施工结束后，应车去围挡，并清扫现场，不得遗留施工垃圾、废料。</w:t>
      </w:r>
      <w:r/>
    </w:p>
    <w:p>
      <w:pPr>
        <w:pStyle w:val="998"/>
        <w:ind w:firstLine="482"/>
        <w:spacing w:before="0" w:after="0" w:line="480" w:lineRule="exact"/>
        <w:widowControl/>
        <w:rPr>
          <w:rFonts w:ascii="宋体" w:hAnsi="宋体" w:eastAsia="宋体"/>
          <w:sz w:val="24"/>
          <w:szCs w:val="24"/>
        </w:rPr>
      </w:pPr>
      <w:r>
        <w:rPr>
          <w:rFonts w:ascii="宋体" w:hAnsi="宋体" w:eastAsia="宋体"/>
          <w:sz w:val="24"/>
          <w:szCs w:val="24"/>
        </w:rPr>
        <w:t xml:space="preserve">6.3.4.13 电动工具使用安全</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作业前需检查</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外壳、手柄不出现裂缝、破损；</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电缆软线及插头等完好无损，开关动作正常，保护接零连接正确、牢固可靠；</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各部防护罩齐全牢固，电气保护装置可靠。 </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机具启动后</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应空载运转，应检查并确认机具联动灵活无阻。作业时，加力应平稳，不得用力过猛。 </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作业时应掌握电钻或电锤手柄，打孔时先将钻头抵在工作表面，然后开动，用力适度，避免晃动；转速若急剧下降，应减少用力，防止电机过载，严禁用木杠加压。</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钻孔时，应注意避开混凝土中的钢筋。电钻和电锤为40％断续工作制，不得长时间连续使用。严禁超载使用。作业中应注意音响及温升，发现异常应立即停机检查。在作业时间过长，机具温升超过60℃时，应停机，自然冷却后再行作业。作业中，不得用手触摸刃具、模具和砂轮，发现其有磨钝、破损情况时，应立即停机修整或更换，然后再继续进行作业。机具转动时，不得撒手不管，不得戴手套。</w:t>
      </w:r>
      <w:r/>
    </w:p>
    <w:p>
      <w:pPr>
        <w:pStyle w:val="996"/>
        <w:ind w:firstLine="482"/>
        <w:jc w:val="left"/>
        <w:spacing w:before="0" w:after="0" w:line="480" w:lineRule="exact"/>
        <w:widowControl/>
        <w:rPr>
          <w:rFonts w:ascii="宋体" w:hAnsi="宋体" w:eastAsia="宋体"/>
          <w:sz w:val="24"/>
          <w:szCs w:val="24"/>
        </w:rPr>
      </w:pPr>
      <w:r/>
      <w:bookmarkStart w:id="298" w:name="_Toc103953591"/>
      <w:r/>
      <w:bookmarkStart w:id="299" w:name="_Toc131350981"/>
      <w:r/>
      <w:bookmarkStart w:id="300" w:name="_Toc14319"/>
      <w:r/>
      <w:bookmarkStart w:id="301" w:name="_Toc103952710"/>
      <w:r/>
      <w:bookmarkStart w:id="302" w:name="_Toc105623181"/>
      <w:r>
        <w:rPr>
          <w:rFonts w:ascii="宋体" w:hAnsi="宋体" w:eastAsia="宋体"/>
          <w:sz w:val="24"/>
          <w:szCs w:val="24"/>
        </w:rPr>
        <w:t xml:space="preserve">6.4 消防</w:t>
      </w:r>
      <w:bookmarkEnd w:id="298"/>
      <w:r/>
      <w:bookmarkEnd w:id="299"/>
      <w:r/>
      <w:bookmarkEnd w:id="300"/>
      <w:r/>
      <w:bookmarkEnd w:id="301"/>
      <w:r/>
      <w:bookmarkEnd w:id="302"/>
      <w:r/>
      <w:r/>
    </w:p>
    <w:p>
      <w:pPr>
        <w:pStyle w:val="997"/>
        <w:ind w:firstLine="482"/>
        <w:spacing w:before="0" w:after="0" w:line="480" w:lineRule="exact"/>
        <w:widowControl/>
        <w:rPr>
          <w:rFonts w:ascii="宋体" w:hAnsi="宋体" w:eastAsia="宋体"/>
          <w:sz w:val="24"/>
          <w:szCs w:val="24"/>
        </w:rPr>
      </w:pPr>
      <w:r/>
      <w:bookmarkStart w:id="303" w:name="_Toc131350982"/>
      <w:r/>
      <w:bookmarkStart w:id="304" w:name="_Toc103953592"/>
      <w:r/>
      <w:bookmarkStart w:id="305" w:name="_Toc105623182"/>
      <w:r/>
      <w:bookmarkStart w:id="306" w:name="_Toc5958"/>
      <w:r>
        <w:rPr>
          <w:rFonts w:ascii="宋体" w:hAnsi="宋体" w:eastAsia="宋体"/>
          <w:sz w:val="24"/>
          <w:szCs w:val="24"/>
        </w:rPr>
        <w:t xml:space="preserve">6.4.1 一般要求</w:t>
      </w:r>
      <w:bookmarkEnd w:id="303"/>
      <w:r/>
      <w:bookmarkEnd w:id="304"/>
      <w:r/>
      <w:bookmarkEnd w:id="305"/>
      <w:r/>
      <w:bookmarkEnd w:id="306"/>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在项目建设中，将遵循“预防为主，消防结合”的方针，严格贯彻执行国家《建筑设计防火规划》。本期消防采取以下措施：</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1、严格按照国家规定，选购符合国家规定标准或使用许可的设备（如空调、不间断供电电源等）。</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2、建筑物按防火规定，设置防火门、疏散通道、消防电梯、安全出入口、火灾自动报警系统等，建筑物内部装修选用不燃性和难燃性材料。</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3、机房内宜设置火灾自动报警系统和气体灭火系统。</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4、建筑的机房内均应配置手提式灭火器或移动式灭火器。</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5、机房及楼道应配置手提式或移动式灭火器、防毒面具。消防通道有疏散指示，通道内不得堆放杂物和易燃物品，不得封堵消防疏散通道，以利发生火灾时安全疏散人员。</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6、建筑物内外，严格按照国家消防规定设置消防设施、通道和各种指示标志。</w:t>
      </w:r>
      <w:r/>
    </w:p>
    <w:p>
      <w:pPr>
        <w:pStyle w:val="997"/>
        <w:ind w:firstLine="482"/>
        <w:spacing w:before="0" w:after="0" w:line="480" w:lineRule="exact"/>
        <w:widowControl/>
        <w:rPr>
          <w:rFonts w:ascii="宋体" w:hAnsi="宋体" w:eastAsia="宋体"/>
          <w:sz w:val="24"/>
          <w:szCs w:val="24"/>
        </w:rPr>
      </w:pPr>
      <w:r/>
      <w:bookmarkStart w:id="307" w:name="_Toc103953594"/>
      <w:r/>
      <w:bookmarkStart w:id="308" w:name="_Toc122"/>
      <w:r/>
      <w:bookmarkStart w:id="309" w:name="_Toc131350984"/>
      <w:r/>
      <w:bookmarkStart w:id="310" w:name="_Toc105623184"/>
      <w:r>
        <w:rPr>
          <w:rFonts w:ascii="宋体" w:hAnsi="宋体" w:eastAsia="宋体"/>
          <w:sz w:val="24"/>
          <w:szCs w:val="24"/>
        </w:rPr>
        <w:t xml:space="preserve">6.4.2施工现场防火要求</w:t>
      </w:r>
      <w:bookmarkEnd w:id="307"/>
      <w:r/>
      <w:bookmarkEnd w:id="308"/>
      <w:r/>
      <w:bookmarkEnd w:id="309"/>
      <w:r/>
      <w:bookmarkEnd w:id="310"/>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1、施工单位应当在施工现场建立消防安全责任制度，并确定消防安全责任人，制定用火、用电、使用易燃易爆材料等各项消防安全管理制度和操作规程。</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2、施工现场应配备必要的消防器材。消防器材设置地点应合理，便于取用，使用方法应明示。</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3、施工现场配备的消防器材应完好无损且在有效期内。</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4、人员首次进人施工现场，应首先了解消防设施、器材的设置点，不得随意挪动。作业人员进入新的岗位或者新的施工现场前或在采用新技术、新工艺、新设备、新材料时，应当对作业人员进行相应安全生产教育培训。</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5、不得堵塞消防通道、遮挡消防设施。机房施工、扩容、维修等设备包装材料以及电报纸、打印纸等易燃物品，要随用随清随运，不得堆放在机房内和走廊通道上。</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6、电气设备着火时，应首先切断电源，必须使用干粉灭火器，严禁使用水和泡沫灭火器。</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7、在封闭和特殊要求的施工场所严禁吸烟。</w:t>
      </w:r>
      <w:r/>
    </w:p>
    <w:p>
      <w:pPr>
        <w:ind w:firstLine="480"/>
        <w:spacing w:line="480" w:lineRule="exact"/>
        <w:tabs>
          <w:tab w:val="left" w:pos="0" w:leader="none"/>
        </w:tabs>
        <w:rPr>
          <w:rFonts w:ascii="宋体" w:hAnsi="宋体"/>
          <w:sz w:val="24"/>
          <w:szCs w:val="24"/>
        </w:rPr>
      </w:pPr>
      <w:r>
        <w:rPr>
          <w:rFonts w:hint="eastAsia" w:ascii="宋体" w:hAnsi="宋体"/>
          <w:sz w:val="24"/>
          <w:szCs w:val="24"/>
          <w:lang w:bidi="ar"/>
        </w:rPr>
        <w:t xml:space="preserve">8、机房内施工不得使用明火。需要使用明火时应经相关单位部门批准，落实安全防火措施，并在指定的地点、时间内作业。每天施工结束后必须认真清理现场，消除火种。</w:t>
      </w:r>
      <w:r>
        <w:rPr>
          <w:rFonts w:hint="eastAsia" w:ascii="宋体" w:hAnsi="宋体"/>
          <w:sz w:val="24"/>
          <w:szCs w:val="24"/>
          <w:lang w:bidi="ar"/>
        </w:rPr>
        <w:br w:type="page" w:clear="all"/>
      </w:r>
      <w:r/>
    </w:p>
    <w:p>
      <w:pPr>
        <w:pStyle w:val="995"/>
        <w:ind w:firstLine="482"/>
        <w:jc w:val="left"/>
        <w:widowControl/>
        <w:rPr>
          <w:rFonts w:ascii="宋体" w:eastAsia="宋体"/>
          <w:b/>
          <w:sz w:val="24"/>
          <w:szCs w:val="24"/>
        </w:rPr>
      </w:pPr>
      <w:r/>
      <w:bookmarkStart w:id="311" w:name="_Toc131350985"/>
      <w:r/>
      <w:bookmarkStart w:id="312" w:name="_Toc20127"/>
      <w:r/>
      <w:bookmarkStart w:id="313" w:name="_Toc25239"/>
      <w:r/>
      <w:bookmarkStart w:id="314" w:name="_Toc1895"/>
      <w:r/>
      <w:bookmarkStart w:id="315" w:name="_Toc27904"/>
      <w:r>
        <w:rPr>
          <w:rFonts w:ascii="宋体" w:eastAsia="宋体"/>
          <w:b/>
          <w:sz w:val="24"/>
          <w:szCs w:val="24"/>
        </w:rPr>
        <w:t xml:space="preserve">七、风险及效益分析</w:t>
      </w:r>
      <w:bookmarkEnd w:id="311"/>
      <w:r/>
      <w:bookmarkEnd w:id="312"/>
      <w:r/>
      <w:bookmarkEnd w:id="313"/>
      <w:r/>
      <w:bookmarkEnd w:id="314"/>
      <w:r/>
      <w:bookmarkEnd w:id="315"/>
      <w:r/>
      <w:r/>
    </w:p>
    <w:p>
      <w:pPr>
        <w:pStyle w:val="996"/>
        <w:ind w:firstLine="482"/>
        <w:jc w:val="left"/>
        <w:spacing w:before="0" w:after="0" w:line="480" w:lineRule="exact"/>
        <w:widowControl/>
        <w:rPr>
          <w:rFonts w:ascii="宋体" w:hAnsi="宋体" w:eastAsia="宋体" w:cs="黑体"/>
          <w:sz w:val="24"/>
          <w:szCs w:val="24"/>
        </w:rPr>
      </w:pPr>
      <w:r/>
      <w:bookmarkStart w:id="316" w:name="_Toc25022"/>
      <w:r/>
      <w:bookmarkStart w:id="317" w:name="_Toc25210"/>
      <w:r/>
      <w:bookmarkStart w:id="318" w:name="_Toc131350986"/>
      <w:r/>
      <w:bookmarkStart w:id="319" w:name="_Toc6603"/>
      <w:r/>
      <w:bookmarkStart w:id="320" w:name="_Toc16659"/>
      <w:r>
        <w:rPr>
          <w:rFonts w:hint="eastAsia" w:ascii="宋体" w:hAnsi="宋体" w:eastAsia="宋体" w:cs="黑体"/>
          <w:sz w:val="24"/>
          <w:szCs w:val="24"/>
        </w:rPr>
        <w:t xml:space="preserve">7.1风险分析</w:t>
      </w:r>
      <w:bookmarkEnd w:id="316"/>
      <w:r/>
      <w:bookmarkEnd w:id="317"/>
      <w:r/>
      <w:bookmarkEnd w:id="318"/>
      <w:r/>
      <w:bookmarkEnd w:id="319"/>
      <w:r/>
      <w:bookmarkEnd w:id="320"/>
      <w:r/>
      <w:r/>
    </w:p>
    <w:p>
      <w:pPr>
        <w:ind w:firstLine="480"/>
        <w:spacing w:line="480" w:lineRule="exact"/>
        <w:rPr>
          <w:rFonts w:ascii="宋体" w:hAnsi="宋体" w:cs="宋体"/>
          <w:sz w:val="24"/>
          <w:szCs w:val="24"/>
        </w:rPr>
      </w:pPr>
      <w:r/>
      <w:bookmarkStart w:id="321" w:name="_Toc28518"/>
      <w:r/>
      <w:bookmarkStart w:id="322" w:name="_Toc28950"/>
      <w:r/>
      <w:bookmarkStart w:id="323" w:name="_Toc8607"/>
      <w:r>
        <w:rPr>
          <w:rFonts w:hint="eastAsia" w:ascii="宋体" w:hAnsi="宋体" w:cs="宋体"/>
          <w:sz w:val="24"/>
          <w:szCs w:val="24"/>
          <w:lang w:bidi="ar"/>
        </w:rPr>
        <w:t xml:space="preserve">项目主要风险因素识别</w:t>
      </w:r>
      <w:bookmarkEnd w:id="321"/>
      <w:r/>
      <w:bookmarkEnd w:id="322"/>
      <w:r/>
      <w:bookmarkEnd w:id="323"/>
      <w:r>
        <w:rPr>
          <w:rFonts w:hint="eastAsia" w:ascii="宋体" w:hAnsi="宋体" w:cs="宋体"/>
          <w:sz w:val="24"/>
          <w:szCs w:val="24"/>
          <w:lang w:bidi="ar"/>
        </w:rPr>
        <w:t xml:space="preserve">：项目风险分析贯穿于项目建设和生产运营的全过程，项目风险因素主要有市场风险、工程风险、资金风险、政策风险、外部协作条件和社会风险等。 </w:t>
      </w:r>
      <w:r/>
    </w:p>
    <w:p>
      <w:pPr>
        <w:ind w:firstLine="480"/>
        <w:spacing w:line="480" w:lineRule="exact"/>
        <w:rPr>
          <w:rFonts w:ascii="宋体" w:hAnsi="宋体" w:cs="宋体"/>
          <w:sz w:val="24"/>
          <w:szCs w:val="24"/>
        </w:rPr>
      </w:pPr>
      <w:r>
        <w:rPr>
          <w:rFonts w:hint="eastAsia" w:ascii="宋体" w:hAnsi="宋体" w:cs="宋体"/>
          <w:sz w:val="24"/>
          <w:szCs w:val="24"/>
          <w:lang w:bidi="ar"/>
        </w:rPr>
        <w:t xml:space="preserve">市场风险：主要因素有市场需求量、竞争能力和价格等。本项目市场前景较好，企业具有很强的市场竞争力。 </w:t>
      </w:r>
      <w:r/>
    </w:p>
    <w:p>
      <w:pPr>
        <w:ind w:firstLine="480"/>
        <w:spacing w:line="480" w:lineRule="exact"/>
        <w:rPr>
          <w:rFonts w:ascii="宋体" w:hAnsi="宋体" w:cs="宋体"/>
          <w:sz w:val="24"/>
          <w:szCs w:val="24"/>
        </w:rPr>
      </w:pPr>
      <w:r>
        <w:rPr>
          <w:rFonts w:hint="eastAsia" w:ascii="宋体" w:hAnsi="宋体" w:cs="宋体"/>
          <w:sz w:val="24"/>
          <w:szCs w:val="24"/>
          <w:lang w:bidi="ar"/>
        </w:rPr>
        <w:t xml:space="preserve">工程风险：本项目在筹备和立项阶段已对场区的工程地质条件、水文地质条件进行了详细地勘察，为初步设计、施工图设计和工程建设提供了可靠的依据，可保证工程的顺利实施，避免了工程风险。 </w:t>
      </w:r>
      <w:r/>
    </w:p>
    <w:p>
      <w:pPr>
        <w:ind w:firstLine="480"/>
        <w:spacing w:line="480" w:lineRule="exact"/>
        <w:rPr>
          <w:rFonts w:ascii="宋体" w:hAnsi="宋体" w:cs="宋体"/>
          <w:sz w:val="24"/>
          <w:szCs w:val="24"/>
        </w:rPr>
      </w:pPr>
      <w:r>
        <w:rPr>
          <w:rFonts w:hint="eastAsia" w:ascii="宋体" w:hAnsi="宋体" w:cs="宋体"/>
          <w:sz w:val="24"/>
          <w:szCs w:val="24"/>
          <w:lang w:bidi="ar"/>
        </w:rPr>
        <w:t xml:space="preserve">资金风险：工程建设所需资金有可靠保证，不会因资金供应不足或中断而导致项目工期拖长或终止的现象发生。 </w:t>
      </w:r>
      <w:r/>
    </w:p>
    <w:p>
      <w:pPr>
        <w:ind w:firstLine="480"/>
        <w:spacing w:line="480" w:lineRule="exact"/>
        <w:rPr>
          <w:rFonts w:ascii="宋体" w:hAnsi="宋体" w:cs="宋体"/>
          <w:sz w:val="24"/>
          <w:szCs w:val="24"/>
        </w:rPr>
      </w:pPr>
      <w:r>
        <w:rPr>
          <w:rFonts w:hint="eastAsia" w:ascii="宋体" w:hAnsi="宋体" w:cs="宋体"/>
          <w:sz w:val="24"/>
          <w:szCs w:val="24"/>
          <w:lang w:bidi="ar"/>
        </w:rPr>
        <w:t xml:space="preserve">政策风险：自改革开放以来，我国的政治经济形式一直在稳步发展，近年来又提出了国家支持资源性城市转型和重点产业振兴的重大决策。为本项目的尽快实施提供了便利和保障。</w:t>
      </w:r>
      <w:r/>
    </w:p>
    <w:p>
      <w:pPr>
        <w:ind w:firstLine="480"/>
        <w:spacing w:line="480" w:lineRule="exact"/>
        <w:rPr>
          <w:rFonts w:ascii="宋体" w:hAnsi="宋体" w:cs="宋体"/>
          <w:sz w:val="24"/>
          <w:szCs w:val="24"/>
        </w:rPr>
      </w:pPr>
      <w:r>
        <w:rPr>
          <w:rFonts w:hint="eastAsia" w:ascii="宋体" w:hAnsi="宋体" w:cs="宋体"/>
          <w:sz w:val="24"/>
          <w:szCs w:val="24"/>
          <w:lang w:bidi="ar"/>
        </w:rPr>
        <w:t xml:space="preserve">外部协作条件风险：本项目所在地为盐城市，具有良好的交通运输、供水、供电等主要外部协作配套条件，可保证项目建设和运营的正常进行。 </w:t>
      </w:r>
      <w:r/>
    </w:p>
    <w:p>
      <w:pPr>
        <w:ind w:firstLine="480"/>
        <w:spacing w:line="480" w:lineRule="exact"/>
        <w:rPr>
          <w:rFonts w:ascii="宋体" w:hAnsi="宋体" w:cs="宋体"/>
          <w:sz w:val="24"/>
          <w:szCs w:val="24"/>
        </w:rPr>
      </w:pPr>
      <w:r/>
      <w:bookmarkStart w:id="324" w:name="_Toc11808"/>
      <w:r/>
      <w:bookmarkStart w:id="325" w:name="_Toc8809"/>
      <w:r/>
      <w:bookmarkStart w:id="326" w:name="_Toc6788"/>
      <w:r>
        <w:rPr>
          <w:rFonts w:hint="eastAsia" w:ascii="宋体" w:hAnsi="宋体" w:cs="宋体"/>
          <w:sz w:val="24"/>
          <w:szCs w:val="24"/>
          <w:lang w:bidi="ar"/>
        </w:rPr>
        <w:t xml:space="preserve">防范和降低风险对策</w:t>
      </w:r>
      <w:bookmarkEnd w:id="324"/>
      <w:r/>
      <w:bookmarkEnd w:id="325"/>
      <w:r/>
      <w:bookmarkEnd w:id="326"/>
      <w:r>
        <w:rPr>
          <w:rFonts w:hint="eastAsia" w:ascii="宋体" w:hAnsi="宋体" w:cs="宋体"/>
          <w:sz w:val="24"/>
          <w:szCs w:val="24"/>
          <w:lang w:bidi="ar"/>
        </w:rPr>
        <w:t xml:space="preserve">：任何经济活动都有风险，由于预测的不确定性，项目经营的未来状况会与设想状况发生偏离，因而使投资项目面临潜在的风险，面对风险企业必须采取有效措施降低、规避、分散或防范风险。 </w:t>
      </w:r>
      <w:r/>
    </w:p>
    <w:p>
      <w:pPr>
        <w:ind w:firstLine="480"/>
        <w:spacing w:line="480" w:lineRule="exact"/>
        <w:rPr>
          <w:rFonts w:ascii="宋体" w:hAnsi="宋体" w:cs="宋体"/>
          <w:sz w:val="24"/>
          <w:szCs w:val="24"/>
        </w:rPr>
      </w:pPr>
      <w:r>
        <w:rPr>
          <w:rFonts w:hint="eastAsia" w:ascii="宋体" w:hAnsi="宋体" w:cs="宋体"/>
          <w:sz w:val="24"/>
          <w:szCs w:val="24"/>
          <w:lang w:bidi="ar"/>
        </w:rPr>
        <w:t xml:space="preserve">降低、规避、分散或防范风险的有效措施：对于可能发生的重大自然灾害，本项目应采取投保的方式进行解决，尽量减少损失；对于可能发生的融资问题如扶助到位不及时问题， 应加大协调力度，尽力争取扶助资金及时足额到位，同确保本项目能按计划如期完成。 </w:t>
      </w:r>
      <w:r/>
    </w:p>
    <w:p>
      <w:pPr>
        <w:ind w:firstLine="480"/>
        <w:spacing w:line="480" w:lineRule="exact"/>
        <w:rPr>
          <w:rFonts w:ascii="宋体" w:hAnsi="宋体" w:cs="宋体"/>
          <w:sz w:val="24"/>
          <w:szCs w:val="24"/>
        </w:rPr>
      </w:pPr>
      <w:r>
        <w:rPr>
          <w:rFonts w:hint="eastAsia" w:ascii="宋体" w:hAnsi="宋体" w:cs="宋体"/>
          <w:sz w:val="24"/>
          <w:szCs w:val="24"/>
          <w:lang w:bidi="ar"/>
        </w:rPr>
        <w:t xml:space="preserve">风险转移：在购买设备和工程施工中可能存在的风险，可以采取非保险转移的方式，即在签订合同时将部分风险损失转移给合同方承担。 </w:t>
      </w:r>
      <w:r/>
    </w:p>
    <w:p>
      <w:pPr>
        <w:ind w:firstLine="480"/>
        <w:spacing w:line="480" w:lineRule="exact"/>
        <w:rPr>
          <w:rFonts w:ascii="宋体" w:hAnsi="宋体" w:cs="宋体"/>
          <w:sz w:val="24"/>
          <w:szCs w:val="24"/>
        </w:rPr>
      </w:pPr>
      <w:r>
        <w:rPr>
          <w:rFonts w:hint="eastAsia" w:ascii="宋体" w:hAnsi="宋体" w:cs="宋体"/>
          <w:sz w:val="24"/>
          <w:szCs w:val="24"/>
          <w:lang w:bidi="ar"/>
        </w:rPr>
        <w:t xml:space="preserve">从我国现阶段经济发展的形势看，上述风险发生的可能性不大， 属一般风险，不影响项目的可行性。</w:t>
      </w:r>
      <w:r/>
    </w:p>
    <w:p>
      <w:pPr>
        <w:pStyle w:val="996"/>
        <w:ind w:firstLine="482"/>
        <w:jc w:val="left"/>
        <w:spacing w:before="0" w:after="0" w:line="480" w:lineRule="exact"/>
        <w:widowControl/>
        <w:rPr>
          <w:rFonts w:ascii="宋体" w:hAnsi="宋体" w:eastAsia="宋体" w:cs="黑体"/>
          <w:sz w:val="24"/>
          <w:szCs w:val="24"/>
        </w:rPr>
      </w:pPr>
      <w:r/>
      <w:bookmarkStart w:id="327" w:name="_Toc131350987"/>
      <w:r/>
      <w:bookmarkStart w:id="328" w:name="_Toc7007"/>
      <w:r>
        <w:rPr>
          <w:rFonts w:hint="eastAsia" w:ascii="宋体" w:hAnsi="宋体" w:eastAsia="宋体" w:cs="黑体"/>
          <w:sz w:val="24"/>
          <w:szCs w:val="24"/>
        </w:rPr>
        <w:t xml:space="preserve">7.2效益分析</w:t>
      </w:r>
      <w:bookmarkEnd w:id="327"/>
      <w:r/>
      <w:bookmarkEnd w:id="328"/>
      <w:r/>
      <w:r/>
    </w:p>
    <w:p>
      <w:pPr>
        <w:pStyle w:val="997"/>
        <w:ind w:firstLine="482"/>
        <w:spacing w:before="0" w:after="0" w:line="480" w:lineRule="exact"/>
        <w:widowControl/>
        <w:rPr>
          <w:rFonts w:ascii="宋体" w:hAnsi="宋体" w:eastAsia="宋体"/>
          <w:sz w:val="24"/>
          <w:szCs w:val="24"/>
        </w:rPr>
      </w:pPr>
      <w:r/>
      <w:bookmarkStart w:id="329" w:name="_Toc1344"/>
      <w:r/>
      <w:bookmarkStart w:id="330" w:name="_Toc65184891"/>
      <w:r/>
      <w:bookmarkStart w:id="331" w:name="_Toc91064163"/>
      <w:r/>
      <w:bookmarkStart w:id="332" w:name="_Toc131350988"/>
      <w:r/>
      <w:bookmarkStart w:id="333" w:name="_Toc110456681"/>
      <w:r>
        <w:rPr>
          <w:rFonts w:ascii="宋体" w:hAnsi="宋体" w:eastAsia="宋体"/>
          <w:sz w:val="24"/>
          <w:szCs w:val="24"/>
        </w:rPr>
        <w:t xml:space="preserve">7.2.1经济效益分析</w:t>
      </w:r>
      <w:bookmarkEnd w:id="329"/>
      <w:r/>
      <w:bookmarkEnd w:id="330"/>
      <w:r/>
      <w:bookmarkEnd w:id="331"/>
      <w:r/>
      <w:bookmarkEnd w:id="332"/>
      <w:r/>
      <w:bookmarkEnd w:id="333"/>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本项目的建设，可以提高公安机关打击犯罪、维护社会治安稳定以及城市智能化管理的</w:t>
      </w:r>
      <w:r>
        <w:rPr>
          <w:rFonts w:hint="eastAsia" w:ascii="宋体" w:hAnsi="宋体" w:cs="宋体"/>
          <w:sz w:val="24"/>
          <w:szCs w:val="24"/>
          <w:lang w:bidi="ar"/>
        </w:rPr>
        <w:t xml:space="preserve">能力，减少各类案事件导致的经济损失而产生直接的经济效益。避免各类案事件的发生，为各种社会案事件的发现和解决提供先期预警、快速发现、快速解决的机制，缩短事件指挥响应时间，为案事件处置节省了大量人力成本、节省了城市维护运行成本。</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为盐城市大丰区城市管理提供及时、准确、科学的信息，并由此产生巨大的经济效益。包括：</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由于资源整合、信息整合而提高资源的利用率，减少重复建设投资；</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由于技术手段的使用、业务流程的优化而减少城市管理成本，缩短事件处置时间，提高人民群众满意，减少社会治安事件带来的损失；</w:t>
      </w:r>
      <w:r/>
    </w:p>
    <w:p>
      <w:pPr>
        <w:ind w:firstLine="480"/>
        <w:spacing w:line="480" w:lineRule="exact"/>
        <w:tabs>
          <w:tab w:val="left" w:pos="0" w:leader="none"/>
        </w:tabs>
        <w:rPr>
          <w:rFonts w:ascii="宋体" w:hAnsi="宋体" w:cs="宋体"/>
          <w:sz w:val="24"/>
          <w:szCs w:val="24"/>
        </w:rPr>
      </w:pPr>
      <w:r>
        <w:rPr>
          <w:rFonts w:hint="eastAsia" w:ascii="宋体" w:hAnsi="宋体" w:cs="宋体"/>
          <w:sz w:val="24"/>
          <w:szCs w:val="24"/>
          <w:lang w:bidi="ar"/>
        </w:rPr>
        <w:t xml:space="preserve">由于良好城市智能化管理能力的增强、城市生态环境的改善、提高群众出行便利而产生的外资吸引、旅游发展等方面的增值效应。</w:t>
      </w:r>
      <w:r/>
    </w:p>
    <w:p>
      <w:pPr>
        <w:pStyle w:val="997"/>
        <w:ind w:firstLine="482"/>
        <w:spacing w:before="0" w:after="0" w:line="480" w:lineRule="exact"/>
        <w:widowControl/>
        <w:rPr>
          <w:rFonts w:ascii="宋体" w:hAnsi="宋体" w:eastAsia="宋体"/>
          <w:sz w:val="24"/>
          <w:szCs w:val="24"/>
        </w:rPr>
      </w:pPr>
      <w:r/>
      <w:bookmarkStart w:id="334" w:name="_Toc131350989"/>
      <w:r/>
      <w:bookmarkStart w:id="335" w:name="_Toc110456682"/>
      <w:r/>
      <w:bookmarkStart w:id="336" w:name="_Toc91064164"/>
      <w:r/>
      <w:bookmarkStart w:id="337" w:name="_Toc65184892"/>
      <w:r/>
      <w:bookmarkStart w:id="338" w:name="_Toc28956"/>
      <w:r>
        <w:rPr>
          <w:rFonts w:ascii="宋体" w:hAnsi="宋体" w:eastAsia="宋体"/>
          <w:sz w:val="24"/>
          <w:szCs w:val="24"/>
        </w:rPr>
        <w:t xml:space="preserve">7.2.2社会效益分析</w:t>
      </w:r>
      <w:bookmarkEnd w:id="334"/>
      <w:r/>
      <w:bookmarkEnd w:id="335"/>
      <w:r/>
      <w:bookmarkEnd w:id="336"/>
      <w:r/>
      <w:bookmarkEnd w:id="337"/>
      <w:r/>
      <w:bookmarkEnd w:id="338"/>
      <w:r/>
      <w:r/>
    </w:p>
    <w:p>
      <w:pPr>
        <w:ind w:firstLine="480"/>
        <w:spacing w:line="480" w:lineRule="exact"/>
        <w:rPr>
          <w:rFonts w:ascii="宋体" w:hAnsi="宋体"/>
          <w:sz w:val="24"/>
          <w:szCs w:val="24"/>
        </w:rPr>
      </w:pPr>
      <w:r>
        <w:rPr>
          <w:rFonts w:hint="eastAsia" w:ascii="宋体" w:hAnsi="宋体"/>
          <w:sz w:val="24"/>
          <w:szCs w:val="24"/>
          <w:lang w:bidi="ar"/>
        </w:rPr>
        <w:t xml:space="preserve">通过项目的建设可全面提升盐城市大丰区的公共安全管理和综合服务水平，提高针对社会安全事件反应能力，改善治安环境，创造稳定、和谐的社会秩序，巩固重点区域管控，具有重要的社会效益。</w:t>
      </w:r>
      <w:r/>
    </w:p>
    <w:p>
      <w:pPr>
        <w:ind w:firstLine="480"/>
        <w:spacing w:line="480" w:lineRule="exact"/>
        <w:rPr>
          <w:rFonts w:ascii="宋体" w:hAnsi="宋体"/>
          <w:sz w:val="24"/>
          <w:szCs w:val="24"/>
        </w:rPr>
      </w:pPr>
      <w:r>
        <w:rPr>
          <w:rFonts w:hint="eastAsia" w:ascii="宋体" w:hAnsi="宋体"/>
          <w:sz w:val="24"/>
          <w:szCs w:val="24"/>
          <w:lang w:bidi="ar"/>
        </w:rPr>
        <w:t xml:space="preserve">通过项目的建设，增强了执法机关打击犯罪的能力，提升群众安全指数和管理水平，提高处置治安突发事件的能力。为开展视频信息资源在指挥决策、治安防控、侦查破案、打击犯罪方面的应用奠定了良好的基础。</w:t>
      </w:r>
      <w:r/>
    </w:p>
    <w:p>
      <w:pPr>
        <w:ind w:firstLine="480"/>
        <w:spacing w:line="480" w:lineRule="exact"/>
        <w:rPr>
          <w:rFonts w:ascii="宋体" w:hAnsi="宋体"/>
          <w:b/>
          <w:sz w:val="24"/>
          <w:szCs w:val="24"/>
        </w:rPr>
      </w:pPr>
      <w:r>
        <w:rPr>
          <w:rFonts w:hint="eastAsia" w:ascii="宋体" w:hAnsi="宋体"/>
          <w:b/>
          <w:sz w:val="24"/>
          <w:szCs w:val="24"/>
        </w:rPr>
        <w:t xml:space="preserve">1、本项目中标后中标人自接到采购人通知后2日内到采购人指定地点对以上平台对接进行现场演示，如无法完成平台对接或无法保证数据传输的完整性和稳定性则甲方有权拒签合同。投标人所投材料视为虚假响应，甲方有权另行选择合格的中标人。</w:t>
      </w:r>
      <w:r/>
    </w:p>
    <w:p>
      <w:pPr>
        <w:ind w:firstLine="480"/>
        <w:spacing w:line="480" w:lineRule="exact"/>
        <w:rPr>
          <w:rFonts w:ascii="宋体" w:hAnsi="宋体"/>
          <w:b/>
          <w:sz w:val="24"/>
          <w:szCs w:val="24"/>
        </w:rPr>
      </w:pPr>
      <w:r>
        <w:rPr>
          <w:rFonts w:hint="eastAsia" w:ascii="宋体" w:hAnsi="宋体"/>
          <w:b/>
          <w:sz w:val="24"/>
          <w:szCs w:val="24"/>
        </w:rPr>
        <w:t xml:space="preserve">2、投标人投标前应充分了解招标的实际需求，投标前可到公安后端对各类现有平台进行勘察测试，充分理解设计意图，保证接入各类数据可以对接各类平台的使用功能和深度应用。</w:t>
      </w:r>
      <w:r/>
    </w:p>
    <w:p>
      <w:pPr>
        <w:ind w:firstLine="480"/>
        <w:spacing w:line="480" w:lineRule="exact"/>
        <w:rPr>
          <w:rFonts w:ascii="宋体" w:hAnsi="宋体"/>
          <w:b/>
          <w:sz w:val="24"/>
          <w:szCs w:val="24"/>
        </w:rPr>
      </w:pPr>
      <w:r>
        <w:rPr>
          <w:rFonts w:hint="eastAsia" w:ascii="宋体" w:hAnsi="宋体"/>
          <w:b/>
          <w:sz w:val="24"/>
          <w:szCs w:val="24"/>
        </w:rPr>
        <w:t xml:space="preserve">3、投标人需协调对接各类平台和推送各类数据，所产生的任何费用均由投标人自行承担（包括对接所需的所有软硬件）。</w:t>
      </w:r>
      <w:r/>
    </w:p>
    <w:p>
      <w:pPr>
        <w:ind w:firstLine="480"/>
        <w:spacing w:line="480" w:lineRule="exact"/>
        <w:rPr>
          <w:rFonts w:ascii="宋体" w:hAnsi="宋体"/>
          <w:b/>
          <w:sz w:val="24"/>
          <w:szCs w:val="24"/>
        </w:rPr>
      </w:pPr>
      <w:r>
        <w:rPr>
          <w:rFonts w:hint="eastAsia" w:ascii="宋体" w:hAnsi="宋体"/>
          <w:b/>
          <w:sz w:val="24"/>
          <w:szCs w:val="24"/>
        </w:rPr>
        <w:t xml:space="preserve">5、本项目所有传输设备接口均需达到千兆或以上等级如交换机、光纤收发器等，光纤传输带宽均须达到千兆或以上并且保证画面稳定，无卡顿、无跳帧、无延时等。</w:t>
      </w:r>
      <w:r/>
    </w:p>
    <w:p>
      <w:pPr>
        <w:ind w:firstLine="480"/>
        <w:spacing w:line="480" w:lineRule="exact"/>
        <w:rPr>
          <w:rFonts w:ascii="宋体" w:hAnsi="宋体"/>
          <w:b/>
          <w:sz w:val="24"/>
          <w:szCs w:val="24"/>
        </w:rPr>
      </w:pPr>
      <w:r>
        <w:rPr>
          <w:rFonts w:hint="eastAsia" w:ascii="宋体" w:hAnsi="宋体"/>
          <w:b/>
          <w:sz w:val="24"/>
          <w:szCs w:val="24"/>
        </w:rPr>
        <w:t xml:space="preserve">6、以上内容中标后应在指定工期内完成，如若完不成则视为虚假响应，甲方有权终止合同并追究相应法律责任。</w:t>
      </w:r>
      <w:r/>
    </w:p>
    <w:p>
      <w:pPr>
        <w:ind w:firstLine="480"/>
        <w:spacing w:line="480" w:lineRule="exact"/>
        <w:rPr>
          <w:rFonts w:ascii="宋体" w:hAnsi="宋体"/>
          <w:b/>
          <w:sz w:val="24"/>
          <w:szCs w:val="24"/>
        </w:rPr>
      </w:pPr>
      <w:r>
        <w:rPr>
          <w:rFonts w:hint="eastAsia" w:ascii="宋体" w:hAnsi="宋体"/>
          <w:b/>
          <w:sz w:val="24"/>
          <w:szCs w:val="24"/>
        </w:rPr>
        <w:t xml:space="preserve">7、包含质保期内本项目建设的所有点位设备数据安全稳定回传至后端应用平台（保证画面稳定，无卡顿、无跳帧、无延时等，数据传输服务由中标单位自行查勘现场、建设或采购，业主单位不负责另外协调或支付费用，且不得影响原有在用设备的传输质量。如某点位因本次建设影响已在用设备，本次中标单位需负责同点位已在用所有设备的数据传输服务及维保服务直至本次项目的质保期满）。</w:t>
      </w:r>
      <w:r/>
    </w:p>
    <w:p>
      <w:pPr>
        <w:ind w:firstLine="480"/>
        <w:spacing w:line="480" w:lineRule="exact"/>
        <w:rPr>
          <w:rFonts w:ascii="宋体" w:hAnsi="宋体"/>
          <w:b/>
          <w:sz w:val="24"/>
          <w:szCs w:val="24"/>
        </w:rPr>
      </w:pPr>
      <w:r>
        <w:rPr>
          <w:rFonts w:hint="eastAsia" w:ascii="宋体" w:hAnsi="宋体"/>
          <w:b/>
          <w:sz w:val="24"/>
          <w:szCs w:val="24"/>
        </w:rPr>
        <w:t xml:space="preserve">8、本项目所有采购设备及服务中标后甲方有权核实投标产品或服务是否符合招标要求，如发现有虚假响应现象，甲方有权拒签合同。核实所产生的费用由投标人考虑至报价中，甲方不再另行支付。</w:t>
      </w:r>
      <w:r/>
    </w:p>
    <w:p>
      <w:pPr>
        <w:ind w:firstLine="480"/>
        <w:spacing w:line="480" w:lineRule="exact"/>
        <w:rPr>
          <w:rFonts w:ascii="宋体" w:hAnsi="宋体"/>
          <w:b/>
          <w:sz w:val="24"/>
          <w:szCs w:val="24"/>
        </w:rPr>
      </w:pPr>
      <w:r>
        <w:rPr>
          <w:rFonts w:hint="eastAsia" w:ascii="宋体" w:hAnsi="宋体"/>
          <w:b/>
          <w:sz w:val="24"/>
          <w:szCs w:val="24"/>
        </w:rPr>
        <w:t xml:space="preserve">9、在质保期内，中标方应确保每月（以每月的23日统计数据为准，注：23日为节假日的，延后到下一个工作日）的监控在线率达95%及以上（如投标人承诺高于95%，以投标人承诺为准）。</w:t>
      </w:r>
      <w:r/>
    </w:p>
    <w:p>
      <w:r/>
      <w:r/>
    </w:p>
    <w:p>
      <w:pPr>
        <w:jc w:val="center"/>
        <w:widowControl/>
        <w:rPr>
          <w:rFonts w:ascii="宋体"/>
          <w:bCs/>
        </w:rPr>
      </w:pPr>
      <w:r>
        <w:rPr>
          <w:rFonts w:ascii="宋体"/>
          <w:b/>
          <w:bCs/>
          <w:sz w:val="44"/>
          <w:szCs w:val="44"/>
        </w:rPr>
        <w:br w:type="page" w:clear="all"/>
      </w:r>
      <w:r>
        <w:rPr>
          <w:rFonts w:hint="eastAsia" w:ascii="宋体"/>
          <w:b/>
          <w:bCs/>
          <w:sz w:val="44"/>
          <w:szCs w:val="44"/>
        </w:rPr>
        <w:t xml:space="preserve">第五章 定标原则与评标标准</w:t>
      </w:r>
      <w:r/>
    </w:p>
    <w:p>
      <w:pPr>
        <w:ind w:firstLine="482"/>
        <w:spacing w:line="520" w:lineRule="exact"/>
        <w:rPr>
          <w:rFonts w:ascii="宋体" w:hAnsi="宋体" w:cs="Courier New"/>
          <w:b/>
          <w:bCs/>
          <w:sz w:val="24"/>
          <w:szCs w:val="24"/>
        </w:rPr>
      </w:pPr>
      <w:r>
        <w:rPr>
          <w:rFonts w:hint="eastAsia" w:ascii="宋体" w:hAnsi="宋体" w:cs="Courier New"/>
          <w:b/>
          <w:bCs/>
          <w:sz w:val="24"/>
          <w:szCs w:val="24"/>
        </w:rPr>
        <w:t xml:space="preserve">一、定标原则</w:t>
      </w:r>
      <w:r/>
    </w:p>
    <w:p>
      <w:pPr>
        <w:ind w:firstLine="480"/>
        <w:spacing w:line="520" w:lineRule="exact"/>
        <w:rPr>
          <w:rFonts w:ascii="宋体" w:hAnsi="宋体" w:cs="Arial"/>
          <w:sz w:val="24"/>
          <w:szCs w:val="24"/>
        </w:rPr>
      </w:pPr>
      <w:r>
        <w:rPr>
          <w:rFonts w:hint="eastAsia" w:ascii="宋体" w:hAnsi="宋体" w:cs="Courier New"/>
          <w:bCs/>
          <w:sz w:val="24"/>
          <w:szCs w:val="24"/>
        </w:rPr>
        <w:t xml:space="preserve">本项目采用</w:t>
      </w:r>
      <w:r>
        <w:rPr>
          <w:rFonts w:hint="eastAsia" w:ascii="宋体" w:hAnsi="宋体" w:cs="Courier New"/>
          <w:bCs/>
          <w:sz w:val="24"/>
          <w:szCs w:val="24"/>
          <w:u w:val="single"/>
        </w:rPr>
        <w:t xml:space="preserve"> 综合评分 </w:t>
      </w:r>
      <w:r>
        <w:rPr>
          <w:rFonts w:hint="eastAsia" w:ascii="宋体" w:hAnsi="宋体" w:cs="Courier New"/>
          <w:bCs/>
          <w:sz w:val="24"/>
          <w:szCs w:val="24"/>
        </w:rPr>
        <w:t xml:space="preserve">法。</w:t>
      </w:r>
      <w:r>
        <w:rPr>
          <w:rFonts w:hint="eastAsia" w:ascii="宋体" w:hAnsi="宋体" w:cs="Arial"/>
          <w:sz w:val="24"/>
          <w:szCs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1047"/>
        <w:ind w:firstLine="482"/>
        <w:spacing w:before="0" w:after="0" w:line="520" w:lineRule="exact"/>
        <w:rPr>
          <w:rFonts w:ascii="宋体" w:hAnsi="宋体" w:eastAsia="宋体"/>
          <w:b/>
        </w:rPr>
      </w:pPr>
      <w:r>
        <w:rPr>
          <w:rFonts w:hint="eastAsia" w:ascii="宋体" w:hAnsi="宋体" w:eastAsia="宋体"/>
          <w:b/>
        </w:rPr>
        <w:t xml:space="preserve">政府采购政策功能落实</w:t>
      </w:r>
      <w:r/>
    </w:p>
    <w:p>
      <w:pPr>
        <w:pStyle w:val="1047"/>
        <w:spacing w:before="0" w:after="0" w:line="520" w:lineRule="exact"/>
        <w:rPr>
          <w:rFonts w:ascii="宋体" w:hAnsi="宋体" w:eastAsia="宋体"/>
        </w:rPr>
      </w:pPr>
      <w:r>
        <w:rPr>
          <w:rFonts w:hint="eastAsia" w:ascii="宋体" w:hAnsi="宋体" w:eastAsia="宋体"/>
        </w:rPr>
        <w:t xml:space="preserve">1、小微型企业价格扣除</w:t>
      </w:r>
      <w:r/>
    </w:p>
    <w:p>
      <w:pPr>
        <w:pStyle w:val="1047"/>
        <w:spacing w:before="0" w:after="0" w:line="520" w:lineRule="exact"/>
        <w:rPr>
          <w:rFonts w:ascii="宋体" w:hAnsi="宋体" w:eastAsia="宋体"/>
        </w:rPr>
      </w:pPr>
      <w:r>
        <w:rPr>
          <w:rFonts w:hint="eastAsia" w:ascii="宋体" w:hAnsi="宋体" w:eastAsia="宋体"/>
        </w:rPr>
        <w:t xml:space="preserve">（1）本项目对小型和微型企业产品给予20%的扣除价格，用扣除后的价格参与评审。</w:t>
      </w:r>
      <w:r/>
    </w:p>
    <w:p>
      <w:pPr>
        <w:pStyle w:val="1047"/>
        <w:spacing w:before="0" w:after="0" w:line="520" w:lineRule="exact"/>
        <w:rPr>
          <w:rFonts w:ascii="宋体" w:hAnsi="宋体" w:eastAsia="宋体"/>
        </w:rPr>
      </w:pPr>
      <w:r>
        <w:rPr>
          <w:rFonts w:hint="eastAsia" w:ascii="宋体" w:hAnsi="宋体" w:eastAsia="宋体"/>
        </w:rPr>
        <w:t xml:space="preserve">（2）供应商需按照采购文件的要求提供相应的《企业声明函》。</w:t>
      </w:r>
      <w:r/>
    </w:p>
    <w:p>
      <w:pPr>
        <w:pStyle w:val="1047"/>
        <w:spacing w:before="0" w:after="0" w:line="520" w:lineRule="exact"/>
        <w:rPr>
          <w:rFonts w:ascii="宋体" w:hAnsi="宋体" w:eastAsia="宋体"/>
        </w:rPr>
      </w:pPr>
      <w:r>
        <w:rPr>
          <w:rFonts w:hint="eastAsia" w:ascii="宋体" w:hAnsi="宋体" w:eastAsia="宋体"/>
        </w:rPr>
        <w:t xml:space="preserve">（3）企业标准请参照《关于印发中小企业划型标准规定的通知》（工信部联企业[2011]300号）文件规定自行填写。</w:t>
      </w:r>
      <w:r/>
    </w:p>
    <w:p>
      <w:pPr>
        <w:pStyle w:val="1047"/>
        <w:spacing w:before="0" w:after="0" w:line="520" w:lineRule="exact"/>
        <w:rPr>
          <w:rFonts w:ascii="宋体" w:hAnsi="宋体" w:eastAsia="宋体"/>
        </w:rPr>
      </w:pPr>
      <w:r>
        <w:rPr>
          <w:rFonts w:hint="eastAsia" w:ascii="宋体" w:hAnsi="宋体" w:eastAsia="宋体"/>
        </w:rPr>
        <w:t xml:space="preserve">2、残疾人福利单位价格扣除</w:t>
      </w:r>
      <w:r/>
    </w:p>
    <w:p>
      <w:pPr>
        <w:pStyle w:val="1047"/>
        <w:spacing w:before="0" w:after="0" w:line="520" w:lineRule="exact"/>
        <w:rPr>
          <w:rFonts w:ascii="宋体" w:hAnsi="宋体" w:eastAsia="宋体"/>
        </w:rPr>
      </w:pPr>
      <w:r>
        <w:rPr>
          <w:rFonts w:hint="eastAsia" w:ascii="宋体" w:hAnsi="宋体" w:eastAsia="宋体"/>
        </w:rPr>
        <w:t xml:space="preserve">（1）本项目对残疾人福利性单位视同小型、微型企业，给予20%的价格扣除，用扣除后的价格参与评审。</w:t>
      </w:r>
      <w:r/>
    </w:p>
    <w:p>
      <w:pPr>
        <w:pStyle w:val="1047"/>
        <w:spacing w:before="0" w:after="0" w:line="520" w:lineRule="exact"/>
        <w:rPr>
          <w:rFonts w:ascii="宋体" w:hAnsi="宋体" w:eastAsia="宋体"/>
        </w:rPr>
      </w:pPr>
      <w:r>
        <w:rPr>
          <w:rFonts w:hint="eastAsia" w:ascii="宋体" w:hAnsi="宋体" w:eastAsia="宋体"/>
        </w:rPr>
        <w:t xml:space="preserve">（2）残疾人福利单位需按照采购文件的要求提供《残疾人福利性单位声明函》。</w:t>
      </w:r>
      <w:r/>
    </w:p>
    <w:p>
      <w:pPr>
        <w:pStyle w:val="1047"/>
        <w:spacing w:before="0" w:after="0" w:line="520" w:lineRule="exact"/>
        <w:rPr>
          <w:rFonts w:ascii="宋体" w:hAnsi="宋体" w:eastAsia="宋体"/>
        </w:rPr>
      </w:pPr>
      <w:r>
        <w:rPr>
          <w:rFonts w:hint="eastAsia" w:ascii="宋体" w:hAnsi="宋体" w:eastAsia="宋体"/>
        </w:rPr>
        <w:t xml:space="preserve">（3）残疾人福利单位标准请参照《关于促进残疾人就业政府采购政策的通知》（财库〔2017〕141号）。</w:t>
      </w:r>
      <w:r/>
    </w:p>
    <w:p>
      <w:pPr>
        <w:pStyle w:val="1047"/>
        <w:spacing w:before="0" w:after="0" w:line="520" w:lineRule="exact"/>
        <w:rPr>
          <w:rFonts w:ascii="宋体" w:hAnsi="宋体" w:eastAsia="宋体"/>
        </w:rPr>
      </w:pPr>
      <w:r>
        <w:rPr>
          <w:rFonts w:hint="eastAsia" w:ascii="宋体" w:hAnsi="宋体" w:eastAsia="宋体"/>
        </w:rPr>
        <w:t xml:space="preserve">3、监狱和戒毒企业价格扣除</w:t>
      </w:r>
      <w:r/>
    </w:p>
    <w:p>
      <w:pPr>
        <w:pStyle w:val="1047"/>
        <w:spacing w:before="0" w:after="0" w:line="520" w:lineRule="exact"/>
        <w:rPr>
          <w:rFonts w:ascii="宋体" w:hAnsi="宋体" w:eastAsia="宋体"/>
        </w:rPr>
      </w:pPr>
      <w:r>
        <w:rPr>
          <w:rFonts w:hint="eastAsia" w:ascii="宋体" w:hAnsi="宋体" w:eastAsia="宋体"/>
        </w:rPr>
        <w:t xml:space="preserve">（1）本项目对监狱和戒毒企业（简称监狱企业）视同小型、微型企业，给予20%的价格扣除，用扣除后的价格参与评审。</w:t>
      </w:r>
      <w:r/>
    </w:p>
    <w:p>
      <w:pPr>
        <w:pStyle w:val="1047"/>
        <w:spacing w:before="0" w:after="0" w:line="520" w:lineRule="exact"/>
        <w:rPr>
          <w:rFonts w:ascii="宋体" w:hAnsi="宋体" w:eastAsia="宋体"/>
        </w:rPr>
      </w:pPr>
      <w:r>
        <w:rPr>
          <w:rFonts w:hint="eastAsia" w:ascii="宋体" w:hAnsi="宋体" w:eastAsia="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47"/>
        <w:spacing w:before="0" w:after="0" w:line="520" w:lineRule="exact"/>
        <w:rPr>
          <w:rFonts w:ascii="宋体" w:hAnsi="宋体" w:eastAsia="宋体"/>
        </w:rPr>
      </w:pPr>
      <w:r>
        <w:rPr>
          <w:rFonts w:hint="eastAsia" w:ascii="宋体" w:hAnsi="宋体" w:eastAsia="宋体"/>
        </w:rPr>
        <w:t xml:space="preserve">（3）监狱企业标准请参照《关于政府采购支持监狱企业发展有关问题的通知》（财库</w:t>
      </w:r>
      <w:r>
        <w:rPr>
          <w:rFonts w:hint="eastAsia" w:ascii="宋体" w:hAnsi="宋体" w:eastAsia="宋体"/>
        </w:rPr>
        <w:t xml:space="preserve">[2014]68号）。</w:t>
      </w:r>
      <w:r/>
    </w:p>
    <w:p>
      <w:pPr>
        <w:pStyle w:val="1047"/>
        <w:spacing w:before="0" w:after="0" w:line="520" w:lineRule="exact"/>
        <w:rPr>
          <w:rFonts w:ascii="宋体" w:hAnsi="宋体" w:eastAsia="宋体"/>
        </w:rPr>
      </w:pPr>
      <w:r>
        <w:rPr>
          <w:rFonts w:hint="eastAsia" w:ascii="宋体" w:hAnsi="宋体" w:eastAsia="宋体"/>
        </w:rPr>
        <w:t xml:space="preserve">4、残疾人福利单位、监狱企业属于小型、微型企业的，不重复享受政策。</w:t>
      </w:r>
      <w:r/>
    </w:p>
    <w:p>
      <w:pPr>
        <w:ind w:firstLine="480"/>
        <w:spacing w:line="520" w:lineRule="exact"/>
        <w:rPr>
          <w:rFonts w:ascii="宋体" w:hAnsi="宋体" w:cs="Courier New"/>
          <w:bCs/>
          <w:sz w:val="24"/>
          <w:szCs w:val="24"/>
        </w:rPr>
      </w:pPr>
      <w:r>
        <w:rPr>
          <w:rFonts w:ascii="宋体" w:hAnsi="宋体" w:cs="Courier New"/>
          <w:bCs/>
          <w:sz w:val="24"/>
          <w:szCs w:val="24"/>
        </w:rPr>
        <w:t xml:space="preserve">5</w:t>
      </w:r>
      <w:r>
        <w:rPr>
          <w:rFonts w:hint="eastAsia" w:ascii="宋体" w:hAnsi="宋体" w:cs="Courier New"/>
          <w:bCs/>
          <w:sz w:val="24"/>
          <w:szCs w:val="24"/>
        </w:rPr>
        <w:t xml:space="preserve">、严格执行政府采购关于支持</w:t>
      </w:r>
      <w:r>
        <w:rPr>
          <w:rFonts w:hint="eastAsia" w:ascii="宋体" w:hAnsi="宋体" w:cs="Courier New"/>
          <w:bCs/>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20" w:lineRule="exact"/>
        <w:rPr>
          <w:rFonts w:ascii="宋体" w:hAnsi="宋体" w:cs="Courier New"/>
          <w:bCs/>
          <w:sz w:val="24"/>
          <w:szCs w:val="24"/>
        </w:rPr>
      </w:pPr>
      <w:r>
        <w:rPr>
          <w:rFonts w:ascii="宋体" w:hAnsi="宋体" w:cs="Courier New"/>
          <w:bCs/>
          <w:sz w:val="24"/>
          <w:szCs w:val="24"/>
        </w:rPr>
        <w:t xml:space="preserve">6</w:t>
      </w:r>
      <w:r>
        <w:rPr>
          <w:rFonts w:hint="eastAsia" w:ascii="宋体" w:hAnsi="宋体" w:cs="Courier New"/>
          <w:bCs/>
          <w:sz w:val="24"/>
          <w:szCs w:val="24"/>
        </w:rPr>
        <w:t xml:space="preserve">、根据《江苏省政府采购信用管理暂行办法》的规定，供应商信用评价结果为三星的扣2分，评价结果为二星的扣3分，评价结果为一星的扣4分。</w:t>
      </w:r>
      <w:r/>
    </w:p>
    <w:p>
      <w:pPr>
        <w:ind w:firstLine="482"/>
        <w:spacing w:line="520" w:lineRule="exact"/>
        <w:rPr>
          <w:rFonts w:ascii="宋体" w:hAnsi="宋体" w:cs="Courier New"/>
          <w:b/>
          <w:bCs/>
          <w:sz w:val="24"/>
          <w:szCs w:val="24"/>
        </w:rPr>
      </w:pPr>
      <w:r>
        <w:rPr>
          <w:rFonts w:hint="eastAsia" w:ascii="宋体" w:hAnsi="宋体" w:cs="Courier New"/>
          <w:b/>
          <w:bCs/>
          <w:sz w:val="24"/>
          <w:szCs w:val="24"/>
        </w:rPr>
        <w:t xml:space="preserve">二、评标标准</w:t>
      </w:r>
      <w:r/>
    </w:p>
    <w:p>
      <w:pPr>
        <w:ind w:firstLine="480"/>
        <w:spacing w:line="480" w:lineRule="exact"/>
        <w:rPr>
          <w:rFonts w:ascii="宋体" w:hAnsi="宋体" w:cs="宋体"/>
          <w:sz w:val="24"/>
        </w:rPr>
      </w:pPr>
      <w:r/>
      <w:bookmarkStart w:id="339" w:name="_Hlk81817387"/>
      <w:r>
        <w:rPr>
          <w:rFonts w:hint="eastAsia" w:ascii="宋体" w:hAnsi="宋体" w:cs="宋体"/>
          <w:sz w:val="24"/>
        </w:rPr>
        <w:t xml:space="preserve">评标时，评标委员会各成员独立对每个投标人的投标文件进行评价，并汇总每个投标人的得分。本项目采用综合评分法，总分共100分。评标时，评标委员会按照招标文件规定的量化因素和权重比值打分，【评标委员会全体成员对该投标人打分的算术平均值为该投标人的最终得分】。</w:t>
      </w:r>
      <w:r/>
    </w:p>
    <w:p>
      <w:pPr>
        <w:pStyle w:val="1011"/>
        <w:ind w:left="0" w:right="0"/>
        <w:spacing w:after="0" w:line="480" w:lineRule="exact"/>
        <w:rPr>
          <w:sz w:val="24"/>
          <w:szCs w:val="24"/>
        </w:rPr>
      </w:pPr>
      <w:r>
        <w:rPr>
          <w:rFonts w:hint="eastAsia"/>
          <w:sz w:val="24"/>
          <w:szCs w:val="24"/>
        </w:rPr>
        <w:t xml:space="preserve">1</w:t>
      </w:r>
      <w:r>
        <w:rPr>
          <w:rFonts w:hint="eastAsia"/>
          <w:sz w:val="24"/>
          <w:szCs w:val="24"/>
        </w:rPr>
        <w:t xml:space="preserve">、评分细则</w:t>
      </w:r>
      <w:r/>
    </w:p>
    <w:tbl>
      <w:tblPr>
        <w:tblW w:w="50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12"/>
        <w:gridCol w:w="852"/>
        <w:gridCol w:w="7370"/>
      </w:tblGrid>
      <w:tr>
        <w:trPr>
          <w:jc w:val="center"/>
        </w:trPr>
        <w:tc>
          <w:tcPr>
            <w:tcW w:w="733"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bCs/>
                <w:sz w:val="24"/>
                <w:szCs w:val="24"/>
                <w:lang w:bidi="ar"/>
              </w:rPr>
              <w:t xml:space="preserve">分项</w:t>
            </w:r>
            <w:r/>
          </w:p>
        </w:tc>
        <w:tc>
          <w:tcPr>
            <w:tcW w:w="442"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bCs/>
                <w:sz w:val="24"/>
                <w:szCs w:val="24"/>
                <w:lang w:bidi="ar"/>
              </w:rPr>
              <w:t xml:space="preserve">分值</w:t>
            </w:r>
            <w:r/>
          </w:p>
        </w:tc>
        <w:tc>
          <w:tcPr>
            <w:tcW w:w="3825"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bCs/>
                <w:sz w:val="24"/>
                <w:szCs w:val="24"/>
                <w:lang w:bidi="ar"/>
              </w:rPr>
              <w:t xml:space="preserve">评分标准</w:t>
            </w:r>
            <w:r/>
          </w:p>
        </w:tc>
      </w:tr>
      <w:tr>
        <w:trPr>
          <w:jc w:val="center"/>
        </w:trPr>
        <w:tc>
          <w:tcPr>
            <w:tcW w:w="733" w:type="pct"/>
            <w:vAlign w:val="center"/>
            <w:textDirection w:val="lrTb"/>
            <w:noWrap w:val="false"/>
          </w:tcPr>
          <w:p>
            <w:pPr>
              <w:jc w:val="center"/>
              <w:spacing w:line="360" w:lineRule="auto"/>
              <w:widowControl/>
              <w:rPr>
                <w:rFonts w:ascii="宋体" w:hAnsi="宋体" w:cs="宋体"/>
                <w:sz w:val="24"/>
                <w:szCs w:val="24"/>
                <w:lang w:bidi="ar"/>
              </w:rPr>
            </w:pPr>
            <w:r>
              <w:rPr>
                <w:rFonts w:hint="eastAsia" w:ascii="宋体" w:hAnsi="宋体" w:cs="宋体"/>
                <w:sz w:val="24"/>
                <w:szCs w:val="24"/>
                <w:lang w:bidi="ar"/>
              </w:rPr>
              <w:t xml:space="preserve">投标报价</w:t>
            </w:r>
            <w:r/>
          </w:p>
          <w:p>
            <w:pPr>
              <w:jc w:val="center"/>
              <w:spacing w:line="360" w:lineRule="auto"/>
              <w:widowControl/>
              <w:rPr>
                <w:rFonts w:ascii="宋体" w:hAnsi="宋体" w:cs="宋体"/>
                <w:sz w:val="24"/>
                <w:szCs w:val="24"/>
              </w:rPr>
            </w:pPr>
            <w:r>
              <w:rPr>
                <w:rFonts w:hint="eastAsia" w:ascii="宋体" w:hAnsi="宋体" w:cs="宋体"/>
                <w:sz w:val="24"/>
                <w:szCs w:val="24"/>
                <w:lang w:bidi="ar"/>
              </w:rPr>
              <w:t xml:space="preserve">（30分）</w:t>
            </w:r>
            <w:r/>
          </w:p>
        </w:tc>
        <w:tc>
          <w:tcPr>
            <w:tcW w:w="442" w:type="pct"/>
            <w:vAlign w:val="center"/>
            <w:textDirection w:val="lrTb"/>
            <w:noWrap w:val="false"/>
          </w:tcPr>
          <w:p>
            <w:pPr>
              <w:jc w:val="center"/>
              <w:spacing w:line="360" w:lineRule="auto"/>
              <w:widowControl/>
              <w:rPr>
                <w:rFonts w:ascii="宋体" w:hAnsi="宋体" w:cs="宋体"/>
                <w:sz w:val="24"/>
                <w:szCs w:val="24"/>
                <w:lang w:bidi="ar"/>
              </w:rPr>
            </w:pPr>
            <w:r>
              <w:rPr>
                <w:rFonts w:hint="eastAsia" w:ascii="宋体" w:hAnsi="宋体" w:cs="宋体"/>
                <w:sz w:val="24"/>
                <w:szCs w:val="24"/>
                <w:lang w:bidi="ar"/>
              </w:rPr>
              <w:t xml:space="preserve">30分</w:t>
            </w:r>
            <w:r/>
          </w:p>
        </w:tc>
        <w:tc>
          <w:tcPr>
            <w:tcW w:w="3825" w:type="pct"/>
            <w:vAlign w:val="center"/>
            <w:textDirection w:val="lrTb"/>
            <w:noWrap w:val="false"/>
          </w:tcPr>
          <w:p>
            <w:pPr>
              <w:spacing w:line="400" w:lineRule="exact"/>
              <w:widowControl/>
              <w:rPr>
                <w:rFonts w:ascii="宋体" w:hAnsi="宋体" w:cs="宋体"/>
                <w:sz w:val="24"/>
                <w:szCs w:val="24"/>
              </w:rPr>
            </w:pPr>
            <w:r>
              <w:rPr>
                <w:rFonts w:hint="eastAsia" w:ascii="宋体" w:hAnsi="宋体" w:cs="仿宋"/>
                <w:sz w:val="24"/>
                <w:szCs w:val="24"/>
              </w:rPr>
              <w:t xml:space="preserve">满足招标文件要求且投标价格最低的投标报价为评标基准价，投标报价得分=（评标基准价／投标报价）×30，计算分数时四舍五入取小数点后两位。</w:t>
            </w:r>
            <w:r>
              <w:rPr>
                <w:rFonts w:hint="eastAsia" w:ascii="宋体" w:hAnsi="宋体" w:cs="宋体"/>
                <w:sz w:val="24"/>
                <w:szCs w:val="24"/>
              </w:rPr>
              <w:t xml:space="preserve">（按四舍五入取至小数点后两位）</w:t>
            </w:r>
            <w:r/>
          </w:p>
          <w:p>
            <w:pPr>
              <w:pStyle w:val="1011"/>
              <w:ind w:left="0" w:right="0"/>
              <w:spacing w:after="0" w:line="480" w:lineRule="exact"/>
              <w:rPr>
                <w:rFonts w:ascii="宋体" w:hAnsi="宋体" w:cs="宋体"/>
                <w:b/>
                <w:bCs/>
                <w:sz w:val="24"/>
                <w:szCs w:val="24"/>
              </w:rPr>
            </w:pPr>
            <w:r>
              <w:rPr>
                <w:rFonts w:hint="eastAsia" w:ascii="宋体" w:hAnsi="宋体" w:cs="宋体"/>
                <w:b/>
                <w:bCs/>
                <w:sz w:val="24"/>
                <w:szCs w:val="24"/>
              </w:rPr>
              <w:t xml:space="preserve">注意：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Pr>
        <w:tc>
          <w:tcPr>
            <w:tcW w:w="733" w:type="pct"/>
            <w:vAlign w:val="center"/>
            <w:textDirection w:val="lrTb"/>
            <w:noWrap w:val="false"/>
          </w:tcPr>
          <w:p>
            <w:pPr>
              <w:jc w:val="center"/>
              <w:spacing w:line="360" w:lineRule="auto"/>
              <w:widowControl/>
              <w:rPr>
                <w:rFonts w:ascii="宋体" w:hAnsi="宋体" w:cs="宋体"/>
                <w:sz w:val="24"/>
                <w:szCs w:val="24"/>
                <w:lang w:bidi="ar"/>
              </w:rPr>
            </w:pPr>
            <w:r>
              <w:rPr>
                <w:rFonts w:hint="eastAsia" w:ascii="宋体" w:hAnsi="宋体" w:cs="宋体"/>
                <w:sz w:val="24"/>
                <w:szCs w:val="24"/>
                <w:lang w:bidi="ar"/>
              </w:rPr>
              <w:t xml:space="preserve">技术参数</w:t>
            </w:r>
            <w:r/>
          </w:p>
          <w:p>
            <w:pPr>
              <w:jc w:val="center"/>
              <w:spacing w:line="360" w:lineRule="auto"/>
              <w:widowControl/>
              <w:rPr>
                <w:rFonts w:ascii="宋体" w:hAnsi="宋体" w:cs="宋体"/>
                <w:sz w:val="24"/>
                <w:szCs w:val="24"/>
              </w:rPr>
            </w:pPr>
            <w:r>
              <w:rPr>
                <w:rFonts w:hint="eastAsia" w:ascii="宋体" w:hAnsi="宋体" w:cs="宋体"/>
                <w:sz w:val="24"/>
                <w:szCs w:val="24"/>
                <w:lang w:bidi="ar"/>
              </w:rPr>
              <w:t xml:space="preserve">（35分）</w:t>
            </w:r>
            <w:r/>
          </w:p>
        </w:tc>
        <w:tc>
          <w:tcPr>
            <w:tcW w:w="442" w:type="pct"/>
            <w:vAlign w:val="center"/>
            <w:textDirection w:val="lrTb"/>
            <w:noWrap w:val="false"/>
          </w:tcPr>
          <w:p>
            <w:pPr>
              <w:jc w:val="center"/>
              <w:spacing w:line="360" w:lineRule="auto"/>
              <w:widowControl/>
              <w:rPr>
                <w:rFonts w:ascii="宋体" w:hAnsi="宋体" w:cs="宋体"/>
                <w:sz w:val="24"/>
                <w:szCs w:val="24"/>
                <w:lang w:bidi="ar"/>
              </w:rPr>
            </w:pPr>
            <w:r>
              <w:rPr>
                <w:rFonts w:hint="eastAsia" w:ascii="宋体" w:hAnsi="宋体" w:cs="宋体"/>
                <w:sz w:val="24"/>
                <w:szCs w:val="24"/>
                <w:lang w:bidi="ar"/>
              </w:rPr>
              <w:t xml:space="preserve">35分</w:t>
            </w:r>
            <w:r/>
          </w:p>
        </w:tc>
        <w:tc>
          <w:tcPr>
            <w:tcW w:w="3825" w:type="pct"/>
            <w:vAlign w:val="center"/>
            <w:textDirection w:val="lrTb"/>
            <w:noWrap w:val="false"/>
          </w:tcPr>
          <w:p>
            <w:pPr>
              <w:jc w:val="left"/>
              <w:spacing w:line="460" w:lineRule="exact"/>
              <w:widowControl/>
              <w:rPr>
                <w:rFonts w:ascii="宋体" w:hAnsi="宋体" w:cs="宋体"/>
                <w:sz w:val="24"/>
                <w:szCs w:val="24"/>
              </w:rPr>
            </w:pPr>
            <w:r>
              <w:rPr>
                <w:rFonts w:hint="eastAsia" w:ascii="宋体" w:hAnsi="宋体" w:cs="宋体"/>
                <w:sz w:val="24"/>
                <w:szCs w:val="24"/>
              </w:rPr>
              <w:t xml:space="preserve">评委依据招标文件要求对投标人投标设备主要技术性能、配置、技术参数、功能描述及投标设备规格、技术配置参数，设备配置进行评审。</w:t>
            </w:r>
            <w:r/>
          </w:p>
          <w:p>
            <w:pPr>
              <w:jc w:val="left"/>
              <w:spacing w:line="460" w:lineRule="exact"/>
              <w:widowControl/>
              <w:rPr>
                <w:rFonts w:ascii="宋体" w:hAnsi="宋体" w:cs="宋体"/>
                <w:sz w:val="24"/>
                <w:szCs w:val="24"/>
              </w:rPr>
            </w:pPr>
            <w:r>
              <w:rPr>
                <w:rFonts w:hint="eastAsia" w:ascii="宋体" w:hAnsi="宋体" w:cs="宋体"/>
                <w:sz w:val="24"/>
                <w:szCs w:val="24"/>
              </w:rPr>
              <w:t xml:space="preserve">加★项参数有一项不满足招标技术参数扣1.5分，完全满足招标技术参数要求得</w:t>
            </w:r>
            <w:r>
              <w:rPr>
                <w:rFonts w:ascii="宋体" w:hAnsi="宋体" w:cs="宋体"/>
                <w:sz w:val="24"/>
                <w:szCs w:val="24"/>
              </w:rPr>
              <w:t xml:space="preserve">18</w:t>
            </w:r>
            <w:r>
              <w:rPr>
                <w:rFonts w:hint="eastAsia" w:ascii="宋体" w:hAnsi="宋体" w:cs="宋体"/>
                <w:sz w:val="24"/>
                <w:szCs w:val="24"/>
              </w:rPr>
              <w:t xml:space="preserve">分。</w:t>
            </w:r>
            <w:r/>
          </w:p>
          <w:p>
            <w:pPr>
              <w:jc w:val="left"/>
              <w:spacing w:line="460" w:lineRule="exact"/>
              <w:widowControl/>
              <w:rPr>
                <w:rFonts w:ascii="宋体" w:hAnsi="宋体" w:cs="宋体"/>
                <w:sz w:val="24"/>
                <w:szCs w:val="24"/>
              </w:rPr>
            </w:pPr>
            <w:r>
              <w:rPr>
                <w:rFonts w:hint="eastAsia" w:ascii="宋体" w:hAnsi="宋体" w:cs="宋体"/>
                <w:sz w:val="24"/>
                <w:szCs w:val="24"/>
              </w:rPr>
              <w:t xml:space="preserve">加▲项参数有一项不满足招标技术参数扣0.5分，完全满足招标技术参数要求得</w:t>
            </w:r>
            <w:r>
              <w:rPr>
                <w:rFonts w:ascii="宋体" w:hAnsi="宋体" w:cs="宋体"/>
                <w:sz w:val="24"/>
                <w:szCs w:val="24"/>
              </w:rPr>
              <w:t xml:space="preserve">4.5</w:t>
            </w:r>
            <w:r>
              <w:rPr>
                <w:rFonts w:hint="eastAsia" w:ascii="宋体" w:hAnsi="宋体" w:cs="宋体"/>
                <w:sz w:val="24"/>
                <w:szCs w:val="24"/>
              </w:rPr>
              <w:t xml:space="preserve">分。</w:t>
            </w:r>
            <w:r/>
          </w:p>
          <w:p>
            <w:pPr>
              <w:jc w:val="left"/>
              <w:spacing w:line="460" w:lineRule="exact"/>
              <w:widowControl/>
              <w:rPr>
                <w:rFonts w:ascii="宋体" w:hAnsi="宋体" w:cs="宋体"/>
                <w:sz w:val="24"/>
                <w:szCs w:val="24"/>
              </w:rPr>
            </w:pPr>
            <w:r>
              <w:rPr>
                <w:rFonts w:hint="eastAsia" w:ascii="宋体" w:hAnsi="宋体" w:cs="宋体"/>
                <w:sz w:val="24"/>
                <w:szCs w:val="24"/>
              </w:rPr>
              <w:t xml:space="preserve">其它参数（不包含★和▲）负偏离（1-5）项得9.5分，负偏离（6-10）项得6</w:t>
            </w:r>
            <w:r>
              <w:rPr>
                <w:rFonts w:ascii="宋体" w:hAnsi="宋体" w:cs="宋体"/>
                <w:sz w:val="24"/>
                <w:szCs w:val="24"/>
              </w:rPr>
              <w:t xml:space="preserve">.5</w:t>
            </w:r>
            <w:r>
              <w:rPr>
                <w:rFonts w:hint="eastAsia" w:ascii="宋体" w:hAnsi="宋体" w:cs="宋体"/>
                <w:sz w:val="24"/>
                <w:szCs w:val="24"/>
              </w:rPr>
              <w:t xml:space="preserve">分，负偏离（11-15）项得3.5分，负偏离（16-20）项得0.</w:t>
            </w:r>
            <w:r>
              <w:rPr>
                <w:rFonts w:ascii="宋体" w:hAnsi="宋体" w:cs="宋体"/>
                <w:sz w:val="24"/>
                <w:szCs w:val="24"/>
              </w:rPr>
              <w:t xml:space="preserve">5</w:t>
            </w:r>
            <w:r>
              <w:rPr>
                <w:rFonts w:hint="eastAsia" w:ascii="宋体" w:hAnsi="宋体" w:cs="宋体"/>
                <w:sz w:val="24"/>
                <w:szCs w:val="24"/>
              </w:rPr>
              <w:t xml:space="preserve">分，负偏离21项及以上的不得分，完全满足招标技术参数要求得12</w:t>
            </w:r>
            <w:r>
              <w:rPr>
                <w:rFonts w:ascii="宋体" w:hAnsi="宋体" w:cs="宋体"/>
                <w:sz w:val="24"/>
                <w:szCs w:val="24"/>
              </w:rPr>
              <w:t xml:space="preserve">.5</w:t>
            </w:r>
            <w:r>
              <w:rPr>
                <w:rFonts w:hint="eastAsia" w:ascii="宋体" w:hAnsi="宋体" w:cs="宋体"/>
                <w:sz w:val="24"/>
                <w:szCs w:val="24"/>
              </w:rPr>
              <w:t xml:space="preserve">分。</w:t>
            </w:r>
            <w:r/>
          </w:p>
          <w:p>
            <w:pPr>
              <w:jc w:val="left"/>
              <w:spacing w:line="360" w:lineRule="auto"/>
              <w:widowControl/>
              <w:rPr>
                <w:rFonts w:ascii="宋体" w:hAnsi="宋体" w:cs="宋体"/>
                <w:sz w:val="24"/>
                <w:szCs w:val="24"/>
              </w:rPr>
            </w:pPr>
            <w:r>
              <w:rPr>
                <w:rFonts w:hint="eastAsia" w:ascii="宋体" w:hAnsi="宋体" w:cs="宋体"/>
                <w:b/>
                <w:bCs/>
                <w:sz w:val="24"/>
                <w:szCs w:val="24"/>
              </w:rPr>
              <w:t xml:space="preserve">技术参数不得虚假响应，如经查实，将予以取消中标资格，</w:t>
            </w:r>
            <w:r>
              <w:rPr>
                <w:rFonts w:hint="eastAsia" w:ascii="宋体" w:hAnsi="宋体" w:cs="宋体"/>
                <w:b/>
                <w:bCs/>
                <w:sz w:val="24"/>
                <w:szCs w:val="24"/>
                <w:lang w:bidi="ar"/>
              </w:rPr>
              <w:t xml:space="preserve">并提交财政监管部门处理，有可能面临着被列入失信名单的法律风险。</w:t>
            </w:r>
            <w:r/>
          </w:p>
        </w:tc>
      </w:tr>
      <w:tr>
        <w:trPr>
          <w:jc w:val="center"/>
          <w:trHeight w:val="416"/>
        </w:trPr>
        <w:tc>
          <w:tcPr>
            <w:tcW w:w="733" w:type="pct"/>
            <w:vAlign w:val="center"/>
            <w:textDirection w:val="lrTb"/>
            <w:noWrap w:val="false"/>
          </w:tcPr>
          <w:p>
            <w:pPr>
              <w:pStyle w:val="1023"/>
              <w:ind w:firstLine="0"/>
              <w:spacing w:line="360" w:lineRule="auto"/>
              <w:rPr>
                <w:rFonts w:ascii="宋体" w:hAnsi="宋体" w:cs="宋体"/>
                <w:sz w:val="24"/>
                <w:szCs w:val="24"/>
                <w:lang w:bidi="ar"/>
              </w:rPr>
            </w:pPr>
            <w:r>
              <w:rPr>
                <w:rFonts w:hint="eastAsia" w:ascii="宋体" w:hAnsi="宋体" w:cs="宋体"/>
                <w:sz w:val="24"/>
                <w:szCs w:val="24"/>
                <w:lang w:bidi="ar"/>
              </w:rPr>
              <w:t xml:space="preserve">实施方案（14分）</w:t>
            </w:r>
            <w:r/>
          </w:p>
        </w:tc>
        <w:tc>
          <w:tcPr>
            <w:tcW w:w="442" w:type="pct"/>
            <w:vAlign w:val="center"/>
            <w:textDirection w:val="lrTb"/>
            <w:noWrap w:val="false"/>
          </w:tcPr>
          <w:p>
            <w:pPr>
              <w:jc w:val="center"/>
              <w:spacing w:line="360" w:lineRule="auto"/>
              <w:widowControl/>
              <w:rPr>
                <w:rFonts w:ascii="宋体" w:hAnsi="宋体" w:cs="宋体"/>
                <w:sz w:val="24"/>
                <w:szCs w:val="24"/>
                <w:lang w:bidi="ar"/>
              </w:rPr>
            </w:pPr>
            <w:r>
              <w:rPr>
                <w:rFonts w:hint="eastAsia" w:ascii="宋体" w:hAnsi="宋体" w:cs="宋体"/>
                <w:sz w:val="24"/>
                <w:szCs w:val="24"/>
                <w:lang w:bidi="ar"/>
              </w:rPr>
              <w:t xml:space="preserve">14分</w:t>
            </w:r>
            <w:r/>
          </w:p>
        </w:tc>
        <w:tc>
          <w:tcPr>
            <w:tcW w:w="3825"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根据投标人技术实施方案的科学、技术可行、思路清晰、目标明确、措施到位、针对性强、安装、培训、调试等方面进行评审打分。</w:t>
            </w:r>
            <w:r/>
          </w:p>
          <w:p>
            <w:pPr>
              <w:jc w:val="left"/>
              <w:spacing w:line="360" w:lineRule="auto"/>
              <w:widowControl/>
              <w:rPr>
                <w:rFonts w:ascii="宋体" w:hAnsi="宋体" w:cs="宋体"/>
                <w:sz w:val="24"/>
                <w:szCs w:val="24"/>
              </w:rPr>
            </w:pPr>
            <w:r>
              <w:rPr>
                <w:rFonts w:hint="eastAsia" w:ascii="宋体" w:hAnsi="宋体" w:cs="宋体"/>
                <w:sz w:val="24"/>
                <w:szCs w:val="24"/>
              </w:rPr>
              <w:t xml:space="preserve">（1）根据投标人提供的供货、实施进度、安装、调试、验收的方案和措施的科学有效程度进行评审。方案和措施不少于5条的得1分；方案和措施3-4条的得0.7分；内容完整、方案和措施1-2条的得0.3分；方案内容有明显重大缺陷的或未提供本项内容的不得分。</w:t>
            </w:r>
            <w:r/>
          </w:p>
          <w:p>
            <w:pPr>
              <w:jc w:val="left"/>
              <w:spacing w:line="360" w:lineRule="auto"/>
              <w:widowControl/>
              <w:rPr>
                <w:rFonts w:ascii="宋体" w:hAnsi="宋体" w:cs="宋体"/>
                <w:sz w:val="24"/>
                <w:szCs w:val="24"/>
              </w:rPr>
            </w:pPr>
            <w:r>
              <w:rPr>
                <w:rFonts w:hint="eastAsia" w:ascii="宋体" w:hAnsi="宋体" w:cs="宋体"/>
                <w:sz w:val="24"/>
                <w:szCs w:val="24"/>
              </w:rPr>
              <w:t xml:space="preserve">（2）根据安装、调试及培训方案；方案和措施不少于5条的得1分；方案和措施3-4条的得0.7分；内容完整、方案和措施1-2条的得0.3分；方案内容有明显重大缺陷的或未提供本项内容的不得分。</w:t>
            </w:r>
            <w:r/>
          </w:p>
          <w:p>
            <w:pPr>
              <w:jc w:val="left"/>
              <w:spacing w:line="360" w:lineRule="auto"/>
              <w:widowControl/>
              <w:rPr>
                <w:rFonts w:ascii="宋体" w:hAnsi="宋体" w:cs="宋体"/>
                <w:sz w:val="24"/>
                <w:szCs w:val="24"/>
              </w:rPr>
            </w:pPr>
            <w:r>
              <w:rPr>
                <w:rFonts w:hint="eastAsia" w:ascii="宋体" w:hAnsi="宋体" w:cs="宋体"/>
                <w:sz w:val="24"/>
                <w:szCs w:val="24"/>
              </w:rPr>
              <w:t xml:space="preserve">（3）质量保证措施及安全文明施工措施；方案和措施不少于5条的得1分；方案和措施3-4条的得0.7分；内容完整、方案和措施1-2</w:t>
            </w:r>
            <w:r>
              <w:rPr>
                <w:rFonts w:hint="eastAsia" w:ascii="宋体" w:hAnsi="宋体" w:cs="宋体"/>
                <w:sz w:val="24"/>
                <w:szCs w:val="24"/>
              </w:rPr>
              <w:t xml:space="preserve">条的得0.3分；方案内容有明显重大缺陷的或未提供本项内容的不得分。</w:t>
            </w:r>
            <w:r/>
          </w:p>
          <w:p>
            <w:pPr>
              <w:jc w:val="left"/>
              <w:spacing w:line="360" w:lineRule="auto"/>
              <w:widowControl/>
              <w:rPr>
                <w:rFonts w:ascii="宋体" w:hAnsi="宋体" w:cs="宋体"/>
                <w:sz w:val="24"/>
                <w:szCs w:val="24"/>
              </w:rPr>
            </w:pPr>
            <w:r>
              <w:rPr>
                <w:rFonts w:hint="eastAsia" w:ascii="宋体" w:hAnsi="宋体" w:cs="宋体"/>
                <w:sz w:val="24"/>
                <w:szCs w:val="24"/>
              </w:rPr>
              <w:t xml:space="preserve">（4）根据招标文件要求，投标人自行组织人员现场勘察，在招标文件清单中自行选择点位，针对电子警察违法抓拍、违停抓拍、新建红绿灯、大货车不靠右抓拍点位各提供一张完整深化设计图纸（要求至少包含经纬度采集、现场照片、设备清单、布点位置、杆件选型、设备安装位置、供电、联网等详细内容），每提供一种完整深化设计图纸得1分，满分4分。</w:t>
            </w:r>
            <w:r/>
          </w:p>
          <w:p>
            <w:pPr>
              <w:jc w:val="left"/>
              <w:spacing w:line="360" w:lineRule="auto"/>
              <w:widowControl/>
              <w:rPr>
                <w:rFonts w:ascii="宋体" w:hAnsi="宋体" w:cs="宋体"/>
                <w:b/>
                <w:sz w:val="24"/>
                <w:szCs w:val="24"/>
              </w:rPr>
            </w:pPr>
            <w:r>
              <w:rPr>
                <w:rFonts w:hint="eastAsia" w:ascii="宋体" w:hAnsi="宋体" w:cs="宋体"/>
                <w:b/>
                <w:sz w:val="24"/>
                <w:szCs w:val="24"/>
              </w:rPr>
              <w:t xml:space="preserve">（5）投标时须提供功能演示视频（7分） </w:t>
            </w:r>
            <w:r/>
          </w:p>
          <w:p>
            <w:pPr>
              <w:jc w:val="left"/>
              <w:spacing w:line="360" w:lineRule="auto"/>
              <w:widowControl/>
              <w:rPr>
                <w:rFonts w:ascii="宋体" w:hAnsi="宋体" w:cs="宋体"/>
                <w:b/>
                <w:sz w:val="24"/>
                <w:szCs w:val="24"/>
              </w:rPr>
            </w:pPr>
            <w:r>
              <w:rPr>
                <w:rFonts w:hint="eastAsia" w:ascii="宋体" w:hAnsi="宋体" w:cs="宋体"/>
                <w:b/>
                <w:sz w:val="24"/>
                <w:szCs w:val="24"/>
              </w:rPr>
              <w:t xml:space="preserve">a、为确保本次采购的电子警察相机抓拍单元、卡口相机抓拍单元等设备满足对（牵引货车、半挂货车等车长超过9.6米以上的货车）车头车牌和车尾车牌不一致的行为，要求闯红灯等行为抓拍形成完整过程记录。投标人需在大丰（G343-G204）点位，搭建测试环境，投标时提供模拟的半挂大货车闯红灯抓拍完整系统功能的视频演示（视频包含至少1张抓拍闯红灯行为的“六合一”合成图片并且能在大丰公安视频图像综合应用平台查询该图片），得5分，演示内容不满足上述功能要求或未提供不得分。</w:t>
            </w:r>
            <w:r/>
          </w:p>
          <w:p>
            <w:pPr>
              <w:jc w:val="left"/>
              <w:spacing w:line="360" w:lineRule="auto"/>
              <w:widowControl/>
              <w:rPr>
                <w:rFonts w:ascii="宋体" w:hAnsi="宋体" w:cs="宋体"/>
                <w:b/>
                <w:sz w:val="24"/>
                <w:szCs w:val="24"/>
              </w:rPr>
            </w:pPr>
            <w:r>
              <w:rPr>
                <w:rFonts w:hint="eastAsia"/>
              </w:rPr>
              <w:t xml:space="preserve">b</w:t>
            </w:r>
            <w:r>
              <w:rPr>
                <w:rFonts w:hint="eastAsia"/>
              </w:rPr>
              <w:t xml:space="preserve">、</w:t>
            </w:r>
            <w:r>
              <w:rPr>
                <w:rFonts w:hint="eastAsia" w:ascii="宋体" w:hAnsi="宋体" w:cs="宋体"/>
                <w:b/>
                <w:sz w:val="24"/>
                <w:szCs w:val="24"/>
              </w:rPr>
              <w:t xml:space="preserve">为确保本次采购的卡口相机满足对中重型货车不靠右的行为，抓拍并形成完整过程记录。投标人需在大丰（S331-西振线）点位，搭建测试环境，投标时提供模拟的中重型货车不靠右行驶抓拍完整系统功能的视频演示，视频包含：指定的现场点位图片、不少于2张抓拍中重型货车不靠右行为的图片并且能在大丰公安视频图像综合应用平台查询该图片），得2分，演示内容不满足上述功能要求或未提供不得分。</w:t>
            </w:r>
            <w:r/>
          </w:p>
          <w:p>
            <w:pPr>
              <w:pStyle w:val="1011"/>
              <w:ind w:left="0" w:right="0"/>
              <w:spacing w:after="0" w:line="480" w:lineRule="exact"/>
              <w:rPr>
                <w:rFonts w:ascii="宋体" w:hAnsi="宋体" w:cs="宋体"/>
                <w:b/>
                <w:sz w:val="24"/>
                <w:szCs w:val="24"/>
              </w:rPr>
            </w:pPr>
            <w:r>
              <w:rPr>
                <w:rFonts w:hint="eastAsia" w:ascii="宋体" w:hAnsi="宋体" w:cs="宋体"/>
                <w:b/>
                <w:sz w:val="24"/>
                <w:szCs w:val="24"/>
              </w:rPr>
              <w:t xml:space="preserve">注：投标人按评标办法要求的演示内容制作演示视频文件，视频文件的格式为*.mp4或*.avi，投标人须将视频文件分段压缩为*.zip文件上传（单个文件不得大于50M，所有文件总共不得大于300M）。文件上传方式见《操作手册》规定，上传的演示视频将作为投标文件的组</w:t>
            </w:r>
            <w:r>
              <w:rPr>
                <w:rFonts w:hint="eastAsia" w:ascii="宋体" w:hAnsi="宋体" w:cs="宋体"/>
                <w:b/>
                <w:sz w:val="24"/>
                <w:szCs w:val="24"/>
              </w:rPr>
              <w:t xml:space="preserve">成部分，视频时长总计不超过15分钟。点位搭建测试如有疑问可与采购人及时沟通。</w:t>
            </w:r>
            <w:r/>
          </w:p>
        </w:tc>
      </w:tr>
      <w:tr>
        <w:trPr>
          <w:jc w:val="center"/>
          <w:trHeight w:val="1529"/>
        </w:trPr>
        <w:tc>
          <w:tcPr>
            <w:tcW w:w="733"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综合能力（4分）</w:t>
            </w:r>
            <w:r/>
          </w:p>
        </w:tc>
        <w:tc>
          <w:tcPr>
            <w:tcW w:w="442" w:type="pct"/>
            <w:vAlign w:val="center"/>
            <w:textDirection w:val="lrTb"/>
            <w:noWrap w:val="false"/>
          </w:tcPr>
          <w:p>
            <w:pPr>
              <w:jc w:val="center"/>
              <w:spacing w:line="360" w:lineRule="auto"/>
              <w:widowControl/>
              <w:rPr>
                <w:rFonts w:ascii="宋体" w:hAnsi="宋体" w:cs="宋体"/>
                <w:sz w:val="24"/>
                <w:szCs w:val="24"/>
                <w:lang w:bidi="ar"/>
              </w:rPr>
            </w:pPr>
            <w:r>
              <w:rPr>
                <w:rFonts w:hint="eastAsia" w:ascii="宋体" w:hAnsi="宋体" w:cs="宋体"/>
                <w:sz w:val="24"/>
                <w:szCs w:val="24"/>
                <w:lang w:bidi="ar"/>
              </w:rPr>
              <w:t xml:space="preserve">4分</w:t>
            </w:r>
            <w:r/>
          </w:p>
        </w:tc>
        <w:tc>
          <w:tcPr>
            <w:tcW w:w="3825" w:type="pct"/>
            <w:vAlign w:val="center"/>
            <w:textDirection w:val="lrTb"/>
            <w:noWrap w:val="false"/>
          </w:tcPr>
          <w:p>
            <w:pPr>
              <w:pStyle w:val="1053"/>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投标人具有信息技术服务管理体系认证证书、信息安全管理体系认证，每提供1个得2分，未提供不得分，本项最高得4分，提供的证书必须在有效期范围内，且在全国认证认可信息服务平台查询状态必须是合格状态，</w:t>
            </w:r>
            <w:r>
              <w:rPr>
                <w:rFonts w:hint="eastAsia" w:ascii="宋体" w:hAnsi="宋体" w:eastAsia="宋体" w:cs="宋体"/>
                <w:b/>
                <w:sz w:val="24"/>
                <w:szCs w:val="24"/>
                <w:lang w:eastAsia="zh-CN"/>
              </w:rPr>
              <w:t xml:space="preserve">投标时提供中国国家认证认可监督管理委员会http://www.cnca.gov.cn网页查询的有效截图加盖单位公章并提供证书扫描件，否则不得分。</w:t>
            </w:r>
            <w:r/>
          </w:p>
        </w:tc>
      </w:tr>
      <w:tr>
        <w:trPr>
          <w:jc w:val="center"/>
        </w:trPr>
        <w:tc>
          <w:tcPr>
            <w:tcW w:w="733"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履约能力</w:t>
            </w:r>
            <w:r/>
          </w:p>
          <w:p>
            <w:pPr>
              <w:jc w:val="center"/>
              <w:spacing w:line="360" w:lineRule="auto"/>
              <w:widowControl/>
              <w:rPr>
                <w:rFonts w:ascii="宋体" w:hAnsi="宋体" w:cs="宋体"/>
                <w:sz w:val="24"/>
                <w:szCs w:val="24"/>
              </w:rPr>
            </w:pPr>
            <w:r>
              <w:rPr>
                <w:rFonts w:hint="eastAsia" w:ascii="宋体" w:hAnsi="宋体" w:cs="宋体"/>
                <w:sz w:val="24"/>
                <w:szCs w:val="24"/>
              </w:rPr>
              <w:t xml:space="preserve">（6分）</w:t>
            </w:r>
            <w:r/>
          </w:p>
        </w:tc>
        <w:tc>
          <w:tcPr>
            <w:tcW w:w="442"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6分</w:t>
            </w:r>
            <w:r/>
          </w:p>
        </w:tc>
        <w:tc>
          <w:tcPr>
            <w:tcW w:w="3825"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1、拟投入本项目项目负责人：具有信息系统项目管理师证书、注册信息安全管理人员（CISP）证书、IT服务项目经理证书的，每提供一项得1分，最高得3分。</w:t>
            </w:r>
            <w:r/>
          </w:p>
          <w:p>
            <w:pPr>
              <w:jc w:val="left"/>
              <w:spacing w:line="360" w:lineRule="auto"/>
              <w:widowControl/>
              <w:rPr>
                <w:rFonts w:ascii="宋体" w:hAnsi="宋体" w:cs="宋体"/>
                <w:sz w:val="24"/>
                <w:szCs w:val="24"/>
              </w:rPr>
            </w:pPr>
            <w:r>
              <w:rPr>
                <w:rFonts w:hint="eastAsia" w:ascii="宋体" w:hAnsi="宋体" w:cs="宋体"/>
                <w:sz w:val="24"/>
                <w:szCs w:val="24"/>
              </w:rPr>
              <w:t xml:space="preserve">2、拟投入本项目的团队成员（不含项目负责人）具有高级网络规划设计师证书、信息技术应用创新服务工程师（ITSS）证书、信息安全保障人员（CISAW）证书的，每提供一个人员证书，得1分，本项最高得3分；同一人员、同专业证书不重复计分。</w:t>
            </w:r>
            <w:r/>
          </w:p>
          <w:p>
            <w:pPr>
              <w:jc w:val="left"/>
              <w:spacing w:line="360" w:lineRule="auto"/>
              <w:widowControl/>
              <w:rPr>
                <w:rFonts w:ascii="宋体" w:hAnsi="宋体" w:cs="宋体"/>
                <w:sz w:val="24"/>
                <w:szCs w:val="24"/>
              </w:rPr>
            </w:pPr>
            <w:r>
              <w:rPr>
                <w:rFonts w:hint="eastAsia" w:ascii="宋体" w:hAnsi="宋体" w:cs="宋体"/>
                <w:sz w:val="24"/>
                <w:szCs w:val="24"/>
              </w:rPr>
              <w:t xml:space="preserve">注：投标时以上人员需提供人员证书原件扫描件及投标人与以上人员签订的劳动合同原件扫描件，未按要求提供证明材料的不得分。</w:t>
            </w:r>
            <w:r/>
          </w:p>
        </w:tc>
      </w:tr>
      <w:tr>
        <w:trPr>
          <w:jc w:val="center"/>
        </w:trPr>
        <w:tc>
          <w:tcPr>
            <w:tcW w:w="733"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售后服务</w:t>
            </w:r>
            <w:r/>
          </w:p>
          <w:p>
            <w:pPr>
              <w:jc w:val="center"/>
              <w:spacing w:line="360" w:lineRule="auto"/>
              <w:widowControl/>
              <w:rPr>
                <w:rFonts w:ascii="宋体" w:hAnsi="宋体" w:cs="宋体"/>
                <w:sz w:val="24"/>
                <w:szCs w:val="24"/>
              </w:rPr>
            </w:pPr>
            <w:r>
              <w:rPr>
                <w:rFonts w:hint="eastAsia" w:ascii="宋体" w:hAnsi="宋体" w:cs="宋体"/>
                <w:sz w:val="24"/>
                <w:szCs w:val="24"/>
              </w:rPr>
              <w:t xml:space="preserve">（6分）</w:t>
            </w:r>
            <w:r/>
          </w:p>
        </w:tc>
        <w:tc>
          <w:tcPr>
            <w:tcW w:w="442"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6分</w:t>
            </w:r>
            <w:r/>
          </w:p>
        </w:tc>
        <w:tc>
          <w:tcPr>
            <w:tcW w:w="3825" w:type="pct"/>
            <w:vAlign w:val="center"/>
            <w:textDirection w:val="lrTb"/>
            <w:noWrap w:val="false"/>
          </w:tcPr>
          <w:p>
            <w:pPr>
              <w:pStyle w:val="1053"/>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对投标人提供的售后技术服务方案进行打分，方案须包含但不限于以下内容：</w:t>
            </w:r>
            <w:r/>
          </w:p>
          <w:p>
            <w:pPr>
              <w:pStyle w:val="1053"/>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1、具体可行的售后服务体系；（0-1.5分）</w:t>
            </w:r>
            <w:r/>
          </w:p>
          <w:p>
            <w:pPr>
              <w:pStyle w:val="1053"/>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服务承诺、售后服务内容、质保期内（含设备发生故障后，按照不同故障类型所采取的处置方案）的售后服务方案、售后服务响应时间、备品备件全部满足采购需求的得1.5分；服务承诺、售后服务内容、质保期内（含设备发生故障后，按照不同故障类型所采取的处置方案）的售后服务方案、售后服务响应时间满足采购需求，备品备件响应度略低的得1分；方案内容有明显重大缺陷的或未提供的不得分。</w:t>
            </w:r>
            <w:r/>
          </w:p>
          <w:p>
            <w:pPr>
              <w:pStyle w:val="1053"/>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2、出现问题应急方案；应急响应整体架构完整、响应时间合理、人员设备应急响应能力充足应急方案中具有针对本项目的合理化建议</w:t>
            </w:r>
            <w:r>
              <w:rPr>
                <w:rFonts w:hint="eastAsia" w:ascii="宋体" w:hAnsi="宋体" w:eastAsia="宋体" w:cs="宋体"/>
                <w:sz w:val="24"/>
                <w:szCs w:val="24"/>
                <w:lang w:eastAsia="zh-CN"/>
              </w:rPr>
              <w:t xml:space="preserve">大于等于5条的得1.5分；急响应整体架构完整、响应时间合理、人员设备应急响应能力充足应急方案中具有针对本项目的合理化建议3-4条的得1分；急响应整体架构完整、响应时间合理、人员设备应急响应能力充足应急方案中具有针对本项目的合理化建议大于等于1-2条的得0.5分；方案内容有明显重大缺陷的或未提供的不得分。（0-1.5分）</w:t>
            </w:r>
            <w:r/>
          </w:p>
          <w:p>
            <w:pPr>
              <w:pStyle w:val="1053"/>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售后技术服务团队专业人员配备。投标人承诺在质保期间至少提供1名专业驻场运维人员（具有1年及以上运维工作经历，提供运维服务所在单位出具的证明原件扫描上传），1支4人以上的外场维修团队，全权配合招标方负责项目采购设备的日常故障巡检和维护，并承诺日常监控在线率98%以上，提供上述承诺的得3分，不承诺的不得分。投标时需提供承诺函及售后服务人员名单加盖投标单位公章。</w:t>
            </w:r>
            <w:r/>
          </w:p>
          <w:p>
            <w:pPr>
              <w:jc w:val="left"/>
              <w:spacing w:line="360" w:lineRule="auto"/>
              <w:widowControl/>
              <w:rPr>
                <w:rFonts w:ascii="宋体" w:hAnsi="宋体" w:cs="宋体"/>
                <w:sz w:val="24"/>
                <w:szCs w:val="24"/>
              </w:rPr>
            </w:pPr>
            <w:r>
              <w:rPr>
                <w:rFonts w:hint="eastAsia" w:ascii="宋体" w:hAnsi="宋体" w:cs="宋体"/>
                <w:sz w:val="24"/>
                <w:szCs w:val="24"/>
              </w:rPr>
              <w:t xml:space="preserve">评委根据方案内容进行评分，未提供或表述内容与本项目无关、套用其它方案、凭空编造、逻辑漏洞、科学原理错误以及不可能实现的夸大情形等不得分。</w:t>
            </w:r>
            <w:r/>
          </w:p>
        </w:tc>
      </w:tr>
      <w:tr>
        <w:trPr>
          <w:jc w:val="center"/>
          <w:trHeight w:val="702"/>
        </w:trPr>
        <w:tc>
          <w:tcPr>
            <w:tcBorders>
              <w:left w:val="single" w:color="auto" w:sz="4" w:space="0"/>
              <w:bottom w:val="single" w:color="auto" w:sz="4" w:space="0"/>
              <w:right w:val="single" w:color="auto" w:sz="4" w:space="0"/>
            </w:tcBorders>
            <w:tcW w:w="733"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类似业绩（3分）</w:t>
            </w:r>
            <w:r/>
          </w:p>
        </w:tc>
        <w:tc>
          <w:tcPr>
            <w:tcBorders>
              <w:left w:val="single" w:color="auto" w:sz="4" w:space="0"/>
              <w:bottom w:val="single" w:color="auto" w:sz="4" w:space="0"/>
              <w:right w:val="single" w:color="auto" w:sz="4" w:space="0"/>
            </w:tcBorders>
            <w:tcW w:w="442" w:type="pct"/>
            <w:vAlign w:val="center"/>
            <w:textDirection w:val="lrTb"/>
            <w:noWrap w:val="false"/>
          </w:tcPr>
          <w:p>
            <w:pPr>
              <w:pStyle w:val="1053"/>
              <w:jc w:val="center"/>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3分</w:t>
            </w:r>
            <w:r/>
          </w:p>
        </w:tc>
        <w:tc>
          <w:tcPr>
            <w:tcBorders>
              <w:top w:val="single" w:color="auto" w:sz="4" w:space="0"/>
              <w:left w:val="single" w:color="auto" w:sz="4" w:space="0"/>
              <w:bottom w:val="single" w:color="auto" w:sz="4" w:space="0"/>
              <w:right w:val="single" w:color="auto" w:sz="4" w:space="0"/>
            </w:tcBorders>
            <w:tcW w:w="3825" w:type="pct"/>
            <w:vAlign w:val="center"/>
            <w:textDirection w:val="lrTb"/>
            <w:noWrap w:val="false"/>
          </w:tcPr>
          <w:p>
            <w:pPr>
              <w:pStyle w:val="1053"/>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投标人提供2021年1月1日以来公共安全监控类项目业绩合同（以合同签订日期为准），每提供1个得1.5分，最高得3分，未提供的不得分。业绩材料须提供项目合同彩色扫描件上传至投标文件。</w:t>
            </w:r>
            <w:r/>
          </w:p>
        </w:tc>
      </w:tr>
      <w:tr>
        <w:trPr>
          <w:jc w:val="center"/>
        </w:trPr>
        <w:tc>
          <w:tcPr>
            <w:tcW w:w="733"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节能环保</w:t>
            </w:r>
            <w:r>
              <w:rPr>
                <w:rFonts w:hint="eastAsia" w:ascii="宋体" w:hAnsi="宋体" w:cs="宋体"/>
                <w:sz w:val="24"/>
                <w:szCs w:val="24"/>
              </w:rPr>
              <w:t xml:space="preserve">（2分）</w:t>
            </w:r>
            <w:r/>
          </w:p>
        </w:tc>
        <w:tc>
          <w:tcPr>
            <w:tcW w:w="442"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2分</w:t>
            </w:r>
            <w:r/>
          </w:p>
        </w:tc>
        <w:tc>
          <w:tcPr>
            <w:tcW w:w="3825" w:type="pct"/>
            <w:vAlign w:val="center"/>
            <w:textDirection w:val="lrTb"/>
            <w:noWrap w:val="false"/>
          </w:tcPr>
          <w:p>
            <w:pPr>
              <w:pStyle w:val="1053"/>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pStyle w:val="1053"/>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bl>
    <w:p>
      <w:pPr>
        <w:pStyle w:val="997"/>
        <w:ind w:firstLine="482"/>
        <w:jc w:val="left"/>
        <w:spacing w:before="0" w:after="0" w:line="360" w:lineRule="auto"/>
        <w:tabs>
          <w:tab w:val="left" w:pos="1260" w:leader="none"/>
        </w:tabs>
        <w:rPr>
          <w:rFonts w:ascii="宋体" w:hAnsi="宋体" w:eastAsia="宋体" w:cs="宋体"/>
          <w:sz w:val="24"/>
          <w:szCs w:val="24"/>
        </w:rPr>
      </w:pPr>
      <w:r>
        <w:rPr>
          <w:rFonts w:ascii="宋体" w:hAnsi="宋体" w:eastAsia="宋体" w:cs="宋体"/>
          <w:sz w:val="24"/>
          <w:szCs w:val="24"/>
        </w:rPr>
      </w:r>
      <w:r/>
    </w:p>
    <w:p>
      <w:pPr>
        <w:pStyle w:val="997"/>
        <w:ind w:firstLine="482"/>
        <w:jc w:val="left"/>
        <w:spacing w:before="0" w:after="0"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2、详细评审</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2.1 在详细评审发现符合“无效标书条款”的，应当作为无效投标予以否决，其投标报价亦不作为评标基准价的依据。</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2.2 评标委员会按本章规定的量化因素和分值进行打分，并计算出综合评估得分。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2.3 评分分值计算保留小数点后两位，小数点后第三位“四舍五入”。</w:t>
      </w:r>
      <w:r/>
    </w:p>
    <w:p>
      <w:pPr>
        <w:pStyle w:val="997"/>
        <w:ind w:firstLine="482"/>
        <w:jc w:val="left"/>
        <w:spacing w:before="0" w:after="0" w:line="360" w:lineRule="auto"/>
        <w:tabs>
          <w:tab w:val="left" w:pos="1260" w:leader="none"/>
        </w:tabs>
        <w:rPr>
          <w:rFonts w:ascii="宋体" w:hAnsi="宋体" w:eastAsia="宋体" w:cs="宋体"/>
          <w:sz w:val="24"/>
          <w:szCs w:val="24"/>
        </w:rPr>
      </w:pPr>
      <w:r/>
      <w:bookmarkStart w:id="340" w:name="_Toc27318"/>
      <w:r/>
      <w:bookmarkStart w:id="341" w:name="_Toc5826"/>
      <w:r/>
      <w:bookmarkStart w:id="342" w:name="_Toc397928609"/>
      <w:r>
        <w:rPr>
          <w:rFonts w:hint="eastAsia" w:ascii="宋体" w:hAnsi="宋体" w:eastAsia="宋体" w:cs="宋体"/>
          <w:sz w:val="24"/>
          <w:szCs w:val="24"/>
        </w:rPr>
        <w:t xml:space="preserve">3、投标文件的澄清和补正</w:t>
      </w:r>
      <w:bookmarkEnd w:id="340"/>
      <w:r/>
      <w:bookmarkEnd w:id="341"/>
      <w:r/>
      <w:bookmarkEnd w:id="342"/>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3.1 在评标过程中，评标委员会可以书面形式要求投标人对所提交投标文件中不明确的内容进行书面澄清或说明，或者对细微偏差进行补正。评标委员会不接受投标人主动提出的澄清、说明或补正。</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3.2 澄清、说明和补正不得改变投标文件的实质性内容（算术性错误修正的除外）。投标人的书面澄清、说明和补正属于投标文件的组成部分。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3.3 评标委员会对投标人提交的澄清、说明或补正有疑问的，可以要求投标人进一步澄清、说明或补正。</w:t>
      </w:r>
      <w:r/>
    </w:p>
    <w:p>
      <w:pPr>
        <w:pStyle w:val="997"/>
        <w:ind w:firstLine="482"/>
        <w:jc w:val="left"/>
        <w:spacing w:before="0" w:after="0" w:line="360" w:lineRule="auto"/>
        <w:tabs>
          <w:tab w:val="left" w:pos="1260" w:leader="none"/>
        </w:tabs>
        <w:rPr>
          <w:rFonts w:ascii="宋体" w:hAnsi="宋体" w:eastAsia="宋体" w:cs="宋体"/>
          <w:b w:val="0"/>
          <w:sz w:val="24"/>
          <w:szCs w:val="24"/>
        </w:rPr>
      </w:pPr>
      <w:r/>
      <w:bookmarkStart w:id="343" w:name="_Toc397928610"/>
      <w:r/>
      <w:bookmarkStart w:id="344" w:name="_Toc29288"/>
      <w:r/>
      <w:bookmarkStart w:id="345" w:name="_Toc11953"/>
      <w:r>
        <w:rPr>
          <w:rFonts w:hint="eastAsia" w:ascii="宋体" w:hAnsi="宋体" w:eastAsia="宋体" w:cs="宋体"/>
          <w:sz w:val="24"/>
          <w:szCs w:val="24"/>
        </w:rPr>
        <w:t xml:space="preserve">4、推荐中标候选人或直接确定中标人</w:t>
      </w:r>
      <w:bookmarkEnd w:id="343"/>
      <w:r/>
      <w:bookmarkEnd w:id="344"/>
      <w:r/>
      <w:bookmarkEnd w:id="345"/>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4.1除投标人须知前附表授权直接确定中标人外，评标委员会在推荐中标候选人时，应遵照以下原则:</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4.2评标委员会按照最终得分由高至低的次序排列，并根据投标人须知前附表规定的中标候选人数量，将排序在前的投标人推荐为中标候选人。</w:t>
      </w:r>
      <w:r/>
    </w:p>
    <w:p>
      <w:pPr>
        <w:pStyle w:val="997"/>
        <w:ind w:firstLine="482"/>
        <w:jc w:val="left"/>
        <w:spacing w:before="0" w:after="0" w:line="360" w:lineRule="auto"/>
        <w:tabs>
          <w:tab w:val="left" w:pos="1260" w:leader="none"/>
        </w:tabs>
        <w:rPr>
          <w:rFonts w:ascii="宋体" w:hAnsi="宋体" w:eastAsia="宋体" w:cs="宋体"/>
          <w:sz w:val="24"/>
          <w:szCs w:val="24"/>
        </w:rPr>
      </w:pPr>
      <w:r/>
      <w:bookmarkStart w:id="346" w:name="_Toc397928611"/>
      <w:r/>
      <w:bookmarkStart w:id="347" w:name="_Toc12331"/>
      <w:r>
        <w:rPr>
          <w:rFonts w:hint="eastAsia" w:ascii="宋体" w:hAnsi="宋体" w:eastAsia="宋体" w:cs="宋体"/>
          <w:sz w:val="24"/>
          <w:szCs w:val="24"/>
        </w:rPr>
        <w:t xml:space="preserve">5、提交评标报告</w:t>
      </w:r>
      <w:bookmarkEnd w:id="346"/>
      <w:r/>
      <w:bookmarkEnd w:id="347"/>
      <w:r/>
      <w:r/>
    </w:p>
    <w:p>
      <w:pPr>
        <w:ind w:firstLine="480"/>
        <w:jc w:val="left"/>
        <w:spacing w:line="360" w:lineRule="auto"/>
        <w:rPr>
          <w:rFonts w:ascii="宋体" w:hAnsi="宋体" w:cs="宋体"/>
          <w:sz w:val="24"/>
          <w:szCs w:val="24"/>
        </w:rPr>
      </w:pPr>
      <w:r>
        <w:rPr>
          <w:rFonts w:hint="eastAsia" w:ascii="宋体" w:hAnsi="宋体" w:cs="宋体"/>
          <w:sz w:val="24"/>
          <w:szCs w:val="24"/>
        </w:rPr>
        <w:t xml:space="preserve">评标委员会完成评标后，应当向采购人提交书面评标报告。评标报告应当由全体评标委员会成员签字，并于评标结束时抄送有关行政监督部门。</w:t>
      </w:r>
      <w:r/>
    </w:p>
    <w:p>
      <w:pPr>
        <w:pStyle w:val="996"/>
        <w:ind w:firstLine="482"/>
        <w:jc w:val="left"/>
        <w:spacing w:before="0" w:after="0" w:line="480" w:lineRule="exact"/>
        <w:tabs>
          <w:tab w:val="left" w:pos="840" w:leader="none"/>
        </w:tabs>
        <w:rPr>
          <w:rFonts w:ascii="宋体" w:hAnsi="宋体" w:eastAsia="宋体" w:cs="宋体"/>
          <w:sz w:val="24"/>
          <w:szCs w:val="24"/>
        </w:rPr>
      </w:pPr>
      <w:r/>
      <w:bookmarkStart w:id="348" w:name="_Toc18159"/>
      <w:r/>
      <w:bookmarkEnd w:id="339"/>
      <w:r>
        <w:rPr>
          <w:rFonts w:hint="eastAsia" w:ascii="宋体" w:hAnsi="宋体" w:eastAsia="宋体" w:cs="宋体"/>
          <w:sz w:val="24"/>
          <w:szCs w:val="24"/>
        </w:rPr>
        <w:t xml:space="preserve">三、通用评标规则</w:t>
      </w:r>
      <w:bookmarkEnd w:id="348"/>
      <w:r/>
      <w:r/>
    </w:p>
    <w:p>
      <w:pPr>
        <w:pStyle w:val="997"/>
        <w:ind w:firstLine="482"/>
        <w:jc w:val="left"/>
        <w:spacing w:before="0" w:after="0" w:line="480" w:lineRule="exact"/>
        <w:tabs>
          <w:tab w:val="left" w:pos="1260" w:leader="none"/>
        </w:tabs>
        <w:rPr>
          <w:rFonts w:ascii="宋体" w:hAnsi="宋体" w:eastAsia="宋体" w:cs="宋体"/>
          <w:sz w:val="24"/>
          <w:szCs w:val="24"/>
        </w:rPr>
      </w:pPr>
      <w:r/>
      <w:bookmarkStart w:id="349" w:name="_Toc26302"/>
      <w:r>
        <w:rPr>
          <w:rFonts w:hint="eastAsia" w:ascii="宋体" w:hAnsi="宋体" w:eastAsia="宋体" w:cs="宋体"/>
          <w:sz w:val="24"/>
          <w:szCs w:val="24"/>
        </w:rPr>
        <w:t xml:space="preserve">1、评标程序</w:t>
      </w:r>
      <w:bookmarkEnd w:id="349"/>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资质标、商务标、技术标应分别评审，评审后不得更改。</w:t>
      </w:r>
      <w:r/>
    </w:p>
    <w:p>
      <w:pPr>
        <w:pStyle w:val="997"/>
        <w:ind w:firstLine="482"/>
        <w:jc w:val="left"/>
        <w:spacing w:before="0" w:after="0" w:line="480" w:lineRule="exact"/>
        <w:tabs>
          <w:tab w:val="left" w:pos="1260" w:leader="none"/>
        </w:tabs>
        <w:rPr>
          <w:rFonts w:ascii="宋体" w:hAnsi="宋体" w:eastAsia="宋体" w:cs="宋体"/>
          <w:sz w:val="24"/>
          <w:szCs w:val="24"/>
        </w:rPr>
      </w:pPr>
      <w:r/>
      <w:bookmarkStart w:id="350" w:name="_Toc19373"/>
      <w:r>
        <w:rPr>
          <w:rFonts w:hint="eastAsia" w:ascii="宋体" w:hAnsi="宋体" w:eastAsia="宋体" w:cs="宋体"/>
          <w:sz w:val="24"/>
          <w:szCs w:val="24"/>
        </w:rPr>
        <w:t xml:space="preserve">2、计价文件评审规定</w:t>
      </w:r>
      <w:bookmarkEnd w:id="350"/>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评标委员会认为投标人的投标报价有可能低于其个别成本时，应当要求投标人以书面方式作出澄清，并提供相关证明材料后再进行认定。</w:t>
      </w:r>
      <w:r/>
    </w:p>
    <w:p>
      <w:pPr>
        <w:pStyle w:val="997"/>
        <w:ind w:firstLine="482"/>
        <w:jc w:val="left"/>
        <w:spacing w:before="0" w:after="0" w:line="480" w:lineRule="exact"/>
        <w:tabs>
          <w:tab w:val="left" w:pos="1260" w:leader="none"/>
        </w:tabs>
        <w:rPr>
          <w:rFonts w:ascii="宋体" w:hAnsi="宋体" w:eastAsia="宋体" w:cs="宋体"/>
          <w:sz w:val="24"/>
          <w:szCs w:val="24"/>
        </w:rPr>
      </w:pPr>
      <w:r/>
      <w:bookmarkStart w:id="351" w:name="_Toc19179"/>
      <w:r>
        <w:rPr>
          <w:rFonts w:hint="eastAsia" w:ascii="宋体" w:hAnsi="宋体" w:eastAsia="宋体" w:cs="宋体"/>
          <w:sz w:val="24"/>
          <w:szCs w:val="24"/>
        </w:rPr>
        <w:t xml:space="preserve">3、打分</w:t>
      </w:r>
      <w:bookmarkEnd w:id="351"/>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评委应记名打分，打分未记名的和未按招标文件规定的打分办法打分的，一律按无效票处理。设区间计分项的，其计分包括区间两端值。评审过程中，除招标文件另有规定外，如发现投标文件无相关资料、数据的，经评标委员会认定，可确定其该项不得分（即取消保底分值）。</w:t>
      </w:r>
      <w:r/>
    </w:p>
    <w:p>
      <w:pPr>
        <w:pStyle w:val="997"/>
        <w:ind w:firstLine="482"/>
        <w:jc w:val="left"/>
        <w:spacing w:before="0" w:after="0" w:line="480" w:lineRule="exact"/>
        <w:tabs>
          <w:tab w:val="left" w:pos="1260" w:leader="none"/>
        </w:tabs>
        <w:rPr>
          <w:rFonts w:ascii="宋体" w:hAnsi="宋体" w:eastAsia="宋体" w:cs="宋体"/>
          <w:sz w:val="24"/>
          <w:szCs w:val="24"/>
        </w:rPr>
      </w:pPr>
      <w:r/>
      <w:bookmarkStart w:id="352" w:name="_Toc27772"/>
      <w:r>
        <w:rPr>
          <w:rFonts w:hint="eastAsia" w:ascii="宋体" w:hAnsi="宋体" w:eastAsia="宋体" w:cs="宋体"/>
          <w:sz w:val="24"/>
          <w:szCs w:val="24"/>
        </w:rPr>
        <w:t xml:space="preserve">4、争议处理</w:t>
      </w:r>
      <w:bookmarkEnd w:id="352"/>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评标中发生重大情况或重大争议，需要进一步调查了解、协调处理的，现场监督人员报招标投标管理部门同意后可暂时休会，待有关问题得到澄清后再行复会。休会期间，所有招投标资料一律封存盐城市大丰区公共资源交易中心评标室，所有与会人员一律不得泄露评标情况。</w:t>
      </w:r>
      <w:r/>
    </w:p>
    <w:p>
      <w:pPr>
        <w:pStyle w:val="997"/>
        <w:ind w:firstLine="482"/>
        <w:jc w:val="left"/>
        <w:spacing w:before="0" w:after="0" w:line="480" w:lineRule="exact"/>
        <w:tabs>
          <w:tab w:val="left" w:pos="1260" w:leader="none"/>
        </w:tabs>
        <w:rPr>
          <w:rFonts w:ascii="宋体" w:hAnsi="宋体" w:eastAsia="宋体" w:cs="宋体"/>
          <w:sz w:val="24"/>
          <w:szCs w:val="24"/>
        </w:rPr>
      </w:pPr>
      <w:r/>
      <w:bookmarkStart w:id="353" w:name="_Toc29659"/>
      <w:r>
        <w:rPr>
          <w:rFonts w:hint="eastAsia" w:ascii="宋体" w:hAnsi="宋体" w:eastAsia="宋体" w:cs="宋体"/>
          <w:sz w:val="24"/>
          <w:szCs w:val="24"/>
        </w:rPr>
        <w:t xml:space="preserve">5、违法违纪行为</w:t>
      </w:r>
      <w:bookmarkEnd w:id="353"/>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在招投标过程中发生行贿受贿、扰乱招投标活动秩序及其他严重违法违纪行为的，一律取消有关责任人参与招投标活动的资格；影响评审结果的，应宣布评审结果无效。</w:t>
      </w:r>
      <w:r/>
    </w:p>
    <w:p>
      <w:pPr>
        <w:pStyle w:val="995"/>
        <w:ind w:right="-92"/>
        <w:spacing w:line="360" w:lineRule="auto"/>
        <w:rPr>
          <w:rFonts w:ascii="黑体" w:hAnsi="Times New Roman" w:eastAsia="黑体"/>
          <w:bCs/>
          <w:sz w:val="44"/>
        </w:rPr>
      </w:pPr>
      <w:r>
        <w:rPr>
          <w:rFonts w:hint="eastAsia" w:ascii="黑体" w:hAnsi="Times New Roman" w:eastAsia="黑体"/>
          <w:bCs/>
          <w:sz w:val="44"/>
        </w:rPr>
        <w:br w:type="page" w:clear="all"/>
      </w:r>
      <w:r>
        <w:rPr>
          <w:rFonts w:hint="eastAsia" w:ascii="宋体" w:eastAsia="宋体"/>
          <w:b/>
          <w:bCs/>
          <w:sz w:val="44"/>
          <w:szCs w:val="44"/>
        </w:rPr>
        <w:t xml:space="preserve">第六章  投标文件格式 </w:t>
      </w:r>
      <w:r/>
    </w:p>
    <w:p>
      <w:pPr>
        <w:ind w:right="-92"/>
        <w:jc w:val="center"/>
        <w:spacing w:line="360" w:lineRule="auto"/>
        <w:rPr>
          <w:rFonts w:ascii="宋体" w:hAnsi="宋体"/>
          <w:b/>
          <w:sz w:val="72"/>
        </w:rPr>
      </w:pPr>
      <w:r/>
      <w:bookmarkStart w:id="354" w:name="_Hlt26955039"/>
      <w:r/>
      <w:bookmarkStart w:id="355" w:name="_Hlt26671244"/>
      <w:r/>
      <w:bookmarkStart w:id="356" w:name="_Toc49090576"/>
      <w:r/>
      <w:bookmarkStart w:id="357" w:name="_Toc120614282"/>
      <w:r/>
      <w:bookmarkStart w:id="358" w:name="_Toc26554094"/>
      <w:r/>
      <w:bookmarkEnd w:id="354"/>
      <w:r/>
      <w:bookmarkEnd w:id="355"/>
      <w:r/>
      <w:r/>
    </w:p>
    <w:p>
      <w:pPr>
        <w:pStyle w:val="1011"/>
        <w:ind w:left="1470" w:right="1470"/>
      </w:pPr>
      <w:r/>
      <w:r/>
    </w:p>
    <w:p>
      <w:pPr>
        <w:pStyle w:val="1011"/>
        <w:ind w:left="1470" w:right="1470"/>
      </w:pPr>
      <w:r/>
      <w:bookmarkEnd w:id="356"/>
      <w:r/>
      <w:bookmarkEnd w:id="357"/>
      <w:r/>
      <w:bookmarkEnd w:id="358"/>
      <w:r/>
      <w:r/>
    </w:p>
    <w:p>
      <w:pPr>
        <w:ind w:right="-92"/>
        <w:jc w:val="center"/>
        <w:spacing w:line="500" w:lineRule="atLeast"/>
        <w:rPr>
          <w:rFonts w:ascii="宋体" w:hAnsi="宋体"/>
          <w:b/>
          <w:sz w:val="52"/>
          <w:szCs w:val="52"/>
        </w:rPr>
      </w:pPr>
      <w:r>
        <w:rPr>
          <w:rFonts w:hint="eastAsia" w:ascii="宋体" w:hAnsi="宋体"/>
          <w:b/>
          <w:sz w:val="52"/>
          <w:szCs w:val="52"/>
        </w:rPr>
        <w:t xml:space="preserve">投  标  文  件</w:t>
      </w:r>
      <w:r/>
    </w:p>
    <w:p>
      <w:pPr>
        <w:ind w:right="-92"/>
        <w:jc w:val="center"/>
        <w:spacing w:line="500" w:lineRule="atLeast"/>
        <w:rPr>
          <w:rFonts w:ascii="宋体" w:hAnsi="宋体"/>
          <w:b/>
          <w:sz w:val="52"/>
          <w:szCs w:val="52"/>
        </w:rPr>
      </w:pPr>
      <w:r>
        <w:rPr>
          <w:rFonts w:hint="eastAsia" w:ascii="宋体" w:hAnsi="宋体"/>
          <w:b/>
          <w:sz w:val="52"/>
          <w:szCs w:val="52"/>
        </w:rPr>
        <w:t xml:space="preserve">（正或副本）</w:t>
      </w:r>
      <w:r/>
    </w:p>
    <w:p>
      <w:pPr>
        <w:ind w:right="-92"/>
        <w:jc w:val="center"/>
        <w:spacing w:line="500" w:lineRule="atLeast"/>
        <w:rPr>
          <w:rFonts w:ascii="宋体" w:hAnsi="宋体"/>
          <w:b/>
          <w:sz w:val="28"/>
          <w:szCs w:val="28"/>
        </w:rPr>
      </w:pPr>
      <w:r>
        <w:rPr>
          <w:rFonts w:ascii="宋体" w:hAnsi="宋体"/>
          <w:b/>
          <w:sz w:val="28"/>
          <w:szCs w:val="28"/>
        </w:rPr>
      </w:r>
      <w:r/>
    </w:p>
    <w:p>
      <w:pPr>
        <w:ind w:right="-92"/>
        <w:jc w:val="center"/>
        <w:spacing w:line="500" w:lineRule="atLeast"/>
        <w:rPr>
          <w:rFonts w:ascii="宋体" w:hAnsi="宋体"/>
          <w:b/>
          <w:sz w:val="28"/>
          <w:szCs w:val="28"/>
        </w:rPr>
      </w:pPr>
      <w:r>
        <w:rPr>
          <w:rFonts w:ascii="宋体" w:hAnsi="宋体"/>
          <w:b/>
          <w:sz w:val="28"/>
          <w:szCs w:val="28"/>
        </w:rPr>
      </w:r>
      <w:r/>
    </w:p>
    <w:p>
      <w:pPr>
        <w:ind w:right="-92"/>
        <w:jc w:val="center"/>
        <w:spacing w:line="500" w:lineRule="atLeast"/>
        <w:rPr>
          <w:rFonts w:ascii="宋体" w:hAnsi="宋体"/>
          <w:b/>
          <w:sz w:val="28"/>
          <w:szCs w:val="28"/>
        </w:rPr>
      </w:pPr>
      <w:r>
        <w:rPr>
          <w:rFonts w:ascii="宋体" w:hAnsi="宋体"/>
          <w:b/>
          <w:sz w:val="28"/>
          <w:szCs w:val="28"/>
        </w:rPr>
      </w:r>
      <w:r/>
    </w:p>
    <w:p>
      <w:pPr>
        <w:ind w:right="-92"/>
        <w:jc w:val="center"/>
        <w:spacing w:line="500" w:lineRule="atLeast"/>
        <w:rPr>
          <w:rFonts w:ascii="宋体" w:hAnsi="宋体"/>
          <w:b/>
          <w:sz w:val="28"/>
          <w:szCs w:val="28"/>
        </w:rPr>
      </w:pPr>
      <w:r>
        <w:rPr>
          <w:rFonts w:ascii="宋体" w:hAnsi="宋体"/>
          <w:b/>
          <w:sz w:val="28"/>
          <w:szCs w:val="28"/>
        </w:rPr>
      </w:r>
      <w:r/>
    </w:p>
    <w:p>
      <w:pPr>
        <w:ind w:right="-92" w:firstLine="843"/>
        <w:spacing w:line="500" w:lineRule="atLeast"/>
        <w:rPr>
          <w:rFonts w:ascii="宋体" w:hAnsi="宋体"/>
          <w:b/>
          <w:sz w:val="28"/>
          <w:szCs w:val="28"/>
        </w:rPr>
      </w:pPr>
      <w:r>
        <w:rPr>
          <w:rFonts w:hint="eastAsia" w:ascii="宋体" w:hAnsi="宋体"/>
          <w:b/>
          <w:sz w:val="28"/>
          <w:szCs w:val="28"/>
        </w:rPr>
        <w:t xml:space="preserve">项 目 名 称：</w:t>
      </w:r>
      <w:r/>
    </w:p>
    <w:p>
      <w:pPr>
        <w:ind w:right="-92" w:firstLine="843"/>
        <w:spacing w:line="500" w:lineRule="atLeast"/>
        <w:rPr>
          <w:rFonts w:ascii="宋体" w:hAnsi="宋体"/>
          <w:b/>
          <w:sz w:val="28"/>
          <w:szCs w:val="28"/>
          <w:u w:val="single"/>
        </w:rPr>
      </w:pPr>
      <w:r>
        <w:rPr>
          <w:rFonts w:hint="eastAsia" w:ascii="宋体" w:hAnsi="宋体"/>
          <w:b/>
          <w:sz w:val="28"/>
          <w:szCs w:val="28"/>
        </w:rPr>
        <w:t xml:space="preserve">招 标 编 号：</w:t>
      </w:r>
      <w:r/>
    </w:p>
    <w:p>
      <w:pPr>
        <w:ind w:right="-92"/>
        <w:spacing w:line="500" w:lineRule="atLeast"/>
        <w:rPr>
          <w:rFonts w:ascii="宋体" w:hAnsi="宋体"/>
          <w:b/>
          <w:sz w:val="28"/>
          <w:szCs w:val="28"/>
          <w:u w:val="single"/>
        </w:rPr>
      </w:pPr>
      <w:r>
        <w:rPr>
          <w:rFonts w:hint="eastAsia" w:ascii="宋体" w:hAnsi="宋体"/>
          <w:b/>
          <w:sz w:val="28"/>
          <w:szCs w:val="28"/>
        </w:rPr>
        <w:t xml:space="preserve">      投标人名称 ：</w:t>
      </w:r>
      <w:r/>
    </w:p>
    <w:p>
      <w:pPr>
        <w:ind w:right="-92"/>
        <w:spacing w:line="500" w:lineRule="atLeast"/>
        <w:rPr>
          <w:rFonts w:ascii="宋体" w:hAnsi="宋体"/>
          <w:b/>
          <w:sz w:val="28"/>
          <w:szCs w:val="28"/>
        </w:rPr>
      </w:pPr>
      <w:r>
        <w:rPr>
          <w:rFonts w:hint="eastAsia" w:ascii="宋体" w:hAnsi="宋体"/>
          <w:b/>
          <w:sz w:val="28"/>
          <w:szCs w:val="28"/>
        </w:rPr>
        <w:t xml:space="preserve">      日      期 ：</w:t>
      </w:r>
      <w:r/>
    </w:p>
    <w:p>
      <w:pPr>
        <w:ind w:right="-92"/>
        <w:jc w:val="center"/>
        <w:spacing w:line="500" w:lineRule="atLeast"/>
        <w:rPr>
          <w:rFonts w:ascii="宋体" w:hAnsi="宋体"/>
          <w:b/>
          <w:bCs/>
          <w:sz w:val="28"/>
          <w:szCs w:val="28"/>
        </w:rPr>
      </w:pPr>
      <w:r>
        <w:rPr>
          <w:rFonts w:ascii="宋体" w:hAnsi="宋体"/>
          <w:b/>
          <w:bCs/>
          <w:sz w:val="28"/>
          <w:szCs w:val="28"/>
        </w:rPr>
      </w:r>
      <w:r/>
    </w:p>
    <w:p>
      <w:pPr>
        <w:ind w:right="-92" w:firstLine="560"/>
        <w:spacing w:line="500" w:lineRule="atLeast"/>
        <w:rPr>
          <w:rFonts w:ascii="宋体" w:hAnsi="宋体"/>
          <w:sz w:val="28"/>
          <w:szCs w:val="28"/>
        </w:rPr>
      </w:pPr>
      <w:r>
        <w:rPr>
          <w:rFonts w:ascii="宋体" w:hAnsi="宋体"/>
          <w:sz w:val="28"/>
          <w:szCs w:val="28"/>
        </w:rPr>
      </w:r>
      <w:r/>
    </w:p>
    <w:p>
      <w:pPr>
        <w:ind w:right="-92" w:firstLine="560"/>
        <w:spacing w:line="500" w:lineRule="atLeast"/>
        <w:rPr>
          <w:rFonts w:ascii="宋体" w:hAnsi="宋体"/>
          <w:sz w:val="28"/>
          <w:szCs w:val="28"/>
        </w:rPr>
      </w:pPr>
      <w:r>
        <w:rPr>
          <w:rFonts w:ascii="宋体" w:hAnsi="宋体"/>
          <w:sz w:val="28"/>
          <w:szCs w:val="28"/>
        </w:rPr>
      </w:r>
      <w:r/>
    </w:p>
    <w:p>
      <w:pPr>
        <w:ind w:right="-92"/>
        <w:jc w:val="center"/>
        <w:spacing w:line="500" w:lineRule="atLeast"/>
        <w:rPr>
          <w:rFonts w:ascii="宋体" w:hAnsi="宋体"/>
          <w:b/>
          <w:sz w:val="28"/>
          <w:szCs w:val="28"/>
        </w:rPr>
      </w:pPr>
      <w:r>
        <w:rPr>
          <w:rFonts w:hint="eastAsia" w:ascii="宋体" w:hAnsi="宋体"/>
          <w:sz w:val="28"/>
          <w:szCs w:val="28"/>
        </w:rPr>
        <w:br w:type="page" w:clear="all"/>
      </w:r>
      <w:r>
        <w:rPr>
          <w:rFonts w:hint="eastAsia" w:ascii="宋体" w:hAnsi="宋体"/>
          <w:b/>
          <w:sz w:val="28"/>
          <w:szCs w:val="28"/>
        </w:rPr>
        <w:t xml:space="preserve">评分索引表</w:t>
      </w:r>
      <w:r/>
    </w:p>
    <w:tbl>
      <w:tblPr>
        <w:tblW w:w="9243"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954"/>
        <w:gridCol w:w="3289"/>
      </w:tblGrid>
      <w:tr>
        <w:trPr>
          <w:trHeight w:val="90"/>
        </w:trPr>
        <w:tc>
          <w:tcPr>
            <w:tcW w:w="5954" w:type="dxa"/>
            <w:textDirection w:val="lrTb"/>
            <w:noWrap w:val="false"/>
          </w:tcPr>
          <w:p>
            <w:pPr>
              <w:pStyle w:val="1049"/>
              <w:ind w:left="0" w:right="-92"/>
              <w:jc w:val="center"/>
              <w:spacing w:line="500" w:lineRule="atLeast"/>
              <w:shd w:val="clear" w:color="auto" w:fill="ffffff"/>
              <w:rPr>
                <w:rFonts w:ascii="宋体" w:hAnsi="宋体" w:eastAsia="宋体"/>
                <w:b/>
                <w:bCs/>
                <w:sz w:val="28"/>
                <w:szCs w:val="28"/>
                <w:lang w:eastAsia="zh-CN"/>
              </w:rPr>
            </w:pPr>
            <w:r>
              <w:rPr>
                <w:rFonts w:hint="eastAsia" w:ascii="宋体" w:hAnsi="宋体" w:eastAsia="宋体"/>
                <w:b/>
                <w:sz w:val="28"/>
                <w:szCs w:val="28"/>
              </w:rPr>
              <w:t xml:space="preserve">评分项目</w:t>
            </w:r>
            <w:r/>
          </w:p>
        </w:tc>
        <w:tc>
          <w:tcPr>
            <w:tcW w:w="3289" w:type="dxa"/>
            <w:textDirection w:val="lrTb"/>
            <w:noWrap w:val="false"/>
          </w:tcPr>
          <w:p>
            <w:pPr>
              <w:ind w:right="-92"/>
              <w:spacing w:line="500" w:lineRule="atLeast"/>
              <w:rPr>
                <w:rFonts w:ascii="宋体" w:hAnsi="宋体"/>
                <w:b/>
                <w:sz w:val="28"/>
                <w:szCs w:val="28"/>
              </w:rPr>
            </w:pPr>
            <w:r>
              <w:rPr>
                <w:rFonts w:hint="eastAsia" w:ascii="宋体" w:hAnsi="宋体"/>
                <w:b/>
                <w:sz w:val="28"/>
                <w:szCs w:val="28"/>
                <w:lang w:bidi="en-US"/>
              </w:rPr>
              <w:t xml:space="preserve">在投标文件中的页码位置</w:t>
            </w:r>
            <w:r/>
          </w:p>
        </w:tc>
      </w:tr>
      <w:tr>
        <w:trPr>
          <w:trHeight w:val="90"/>
        </w:trPr>
        <w:tc>
          <w:tcPr>
            <w:tcW w:w="5954" w:type="dxa"/>
            <w:textDirection w:val="lrTb"/>
            <w:noWrap w:val="false"/>
          </w:tcPr>
          <w:p>
            <w:pPr>
              <w:pStyle w:val="1049"/>
              <w:ind w:left="420" w:right="-92"/>
              <w:jc w:val="both"/>
              <w:spacing w:line="500" w:lineRule="atLeast"/>
              <w:shd w:val="clear" w:color="auto" w:fill="ffffff"/>
              <w:rPr>
                <w:rFonts w:ascii="宋体" w:hAnsi="宋体" w:eastAsia="宋体"/>
                <w:b/>
                <w:sz w:val="28"/>
                <w:szCs w:val="28"/>
                <w:lang w:eastAsia="zh-CN"/>
              </w:rPr>
            </w:pPr>
            <w:r>
              <w:rPr>
                <w:rFonts w:ascii="宋体" w:hAnsi="宋体" w:eastAsia="宋体"/>
                <w:b/>
                <w:sz w:val="28"/>
                <w:szCs w:val="28"/>
                <w:lang w:eastAsia="zh-CN"/>
              </w:rPr>
            </w:r>
            <w:r/>
          </w:p>
        </w:tc>
        <w:tc>
          <w:tcPr>
            <w:tcW w:w="3289" w:type="dxa"/>
            <w:textDirection w:val="lrTb"/>
            <w:noWrap w:val="false"/>
          </w:tcPr>
          <w:p>
            <w:pPr>
              <w:ind w:right="-92"/>
              <w:spacing w:line="500" w:lineRule="atLeast"/>
              <w:rPr>
                <w:rFonts w:ascii="宋体" w:hAnsi="宋体"/>
                <w:b/>
                <w:sz w:val="28"/>
                <w:szCs w:val="28"/>
                <w:lang w:bidi="en-US"/>
              </w:rPr>
            </w:pPr>
            <w:r>
              <w:rPr>
                <w:rFonts w:ascii="宋体" w:hAnsi="宋体"/>
                <w:b/>
                <w:sz w:val="28"/>
                <w:szCs w:val="28"/>
                <w:lang w:bidi="en-US"/>
              </w:rPr>
            </w:r>
            <w:r/>
          </w:p>
        </w:tc>
      </w:tr>
      <w:tr>
        <w:trPr>
          <w:trHeight w:val="90"/>
        </w:trPr>
        <w:tc>
          <w:tcPr>
            <w:gridSpan w:val="2"/>
            <w:tcW w:w="9243" w:type="dxa"/>
            <w:textDirection w:val="lrTb"/>
            <w:noWrap w:val="false"/>
          </w:tcPr>
          <w:p>
            <w:pPr>
              <w:pStyle w:val="1049"/>
              <w:ind w:left="420" w:right="-92"/>
              <w:jc w:val="both"/>
              <w:spacing w:line="500" w:lineRule="atLeast"/>
              <w:shd w:val="clear" w:color="auto" w:fill="ffffff"/>
              <w:rPr>
                <w:rFonts w:ascii="宋体" w:hAnsi="宋体" w:eastAsia="宋体"/>
                <w:sz w:val="28"/>
                <w:szCs w:val="28"/>
                <w:lang w:eastAsia="zh-CN"/>
              </w:rPr>
            </w:pPr>
            <w:r>
              <w:rPr>
                <w:rFonts w:ascii="宋体" w:hAnsi="宋体" w:eastAsia="宋体"/>
                <w:sz w:val="28"/>
                <w:szCs w:val="28"/>
                <w:lang w:eastAsia="zh-CN"/>
              </w:rPr>
            </w:r>
            <w:r/>
          </w:p>
        </w:tc>
      </w:tr>
      <w:tr>
        <w:trPr>
          <w:trHeight w:val="90"/>
        </w:trPr>
        <w:tc>
          <w:tcPr>
            <w:tcW w:w="5954" w:type="dxa"/>
            <w:textDirection w:val="lrTb"/>
            <w:noWrap w:val="false"/>
          </w:tcPr>
          <w:p>
            <w:pPr>
              <w:pStyle w:val="1049"/>
              <w:ind w:left="420" w:right="-92"/>
              <w:spacing w:line="500" w:lineRule="atLeast"/>
              <w:shd w:val="clear" w:color="auto" w:fill="ffffff"/>
              <w:rPr>
                <w:rFonts w:ascii="宋体" w:hAnsi="宋体" w:eastAsia="宋体"/>
                <w:sz w:val="28"/>
                <w:szCs w:val="28"/>
                <w:lang w:eastAsia="zh-CN"/>
              </w:rPr>
            </w:pPr>
            <w:r>
              <w:rPr>
                <w:rFonts w:ascii="宋体" w:hAnsi="宋体" w:eastAsia="宋体"/>
                <w:sz w:val="28"/>
                <w:szCs w:val="28"/>
                <w:lang w:eastAsia="zh-CN"/>
              </w:rPr>
            </w:r>
            <w:r/>
          </w:p>
        </w:tc>
        <w:tc>
          <w:tcPr>
            <w:tcW w:w="3289" w:type="dxa"/>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90"/>
        </w:trPr>
        <w:tc>
          <w:tcPr>
            <w:tcW w:w="5954" w:type="dxa"/>
            <w:textDirection w:val="lrTb"/>
            <w:noWrap w:val="false"/>
          </w:tcPr>
          <w:p>
            <w:pPr>
              <w:pStyle w:val="1049"/>
              <w:ind w:left="420" w:right="-92"/>
              <w:spacing w:line="500" w:lineRule="atLeast"/>
              <w:shd w:val="clear" w:color="auto" w:fill="ffffff"/>
              <w:rPr>
                <w:rFonts w:ascii="宋体" w:hAnsi="宋体" w:eastAsia="宋体"/>
                <w:sz w:val="28"/>
                <w:szCs w:val="28"/>
                <w:lang w:eastAsia="zh-CN"/>
              </w:rPr>
            </w:pPr>
            <w:r>
              <w:rPr>
                <w:rFonts w:ascii="宋体" w:hAnsi="宋体" w:eastAsia="宋体"/>
                <w:sz w:val="28"/>
                <w:szCs w:val="28"/>
                <w:lang w:eastAsia="zh-CN"/>
              </w:rPr>
            </w:r>
            <w:r/>
          </w:p>
        </w:tc>
        <w:tc>
          <w:tcPr>
            <w:tcW w:w="3289" w:type="dxa"/>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90"/>
        </w:trPr>
        <w:tc>
          <w:tcPr>
            <w:tcW w:w="5954" w:type="dxa"/>
            <w:textDirection w:val="lrTb"/>
            <w:noWrap w:val="false"/>
          </w:tcPr>
          <w:p>
            <w:pPr>
              <w:pStyle w:val="1049"/>
              <w:ind w:left="420" w:right="-92"/>
              <w:spacing w:line="500" w:lineRule="atLeast"/>
              <w:shd w:val="clear" w:color="auto" w:fill="ffffff"/>
              <w:rPr>
                <w:rFonts w:ascii="宋体" w:hAnsi="宋体" w:eastAsia="宋体"/>
                <w:sz w:val="28"/>
                <w:szCs w:val="28"/>
                <w:lang w:eastAsia="zh-CN"/>
              </w:rPr>
            </w:pPr>
            <w:r>
              <w:rPr>
                <w:rFonts w:ascii="宋体" w:hAnsi="宋体" w:eastAsia="宋体"/>
                <w:sz w:val="28"/>
                <w:szCs w:val="28"/>
                <w:lang w:eastAsia="zh-CN"/>
              </w:rPr>
            </w:r>
            <w:r/>
          </w:p>
        </w:tc>
        <w:tc>
          <w:tcPr>
            <w:tcW w:w="3289" w:type="dxa"/>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90"/>
        </w:trPr>
        <w:tc>
          <w:tcPr>
            <w:tcW w:w="5954" w:type="dxa"/>
            <w:textDirection w:val="lrTb"/>
            <w:noWrap w:val="false"/>
          </w:tcPr>
          <w:p>
            <w:pPr>
              <w:pStyle w:val="1049"/>
              <w:ind w:left="420" w:right="-92"/>
              <w:spacing w:line="500" w:lineRule="atLeast"/>
              <w:shd w:val="clear" w:color="auto" w:fill="ffffff"/>
              <w:rPr>
                <w:rFonts w:ascii="宋体" w:hAnsi="宋体" w:eastAsia="宋体"/>
                <w:sz w:val="28"/>
                <w:szCs w:val="28"/>
                <w:lang w:eastAsia="zh-CN"/>
              </w:rPr>
            </w:pPr>
            <w:r>
              <w:rPr>
                <w:rFonts w:ascii="宋体" w:hAnsi="宋体" w:eastAsia="宋体"/>
                <w:sz w:val="28"/>
                <w:szCs w:val="28"/>
                <w:lang w:eastAsia="zh-CN"/>
              </w:rPr>
            </w:r>
            <w:r/>
          </w:p>
        </w:tc>
        <w:tc>
          <w:tcPr>
            <w:tcW w:w="3289" w:type="dxa"/>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90"/>
        </w:trPr>
        <w:tc>
          <w:tcPr>
            <w:tcW w:w="5954" w:type="dxa"/>
            <w:textDirection w:val="lrTb"/>
            <w:noWrap w:val="false"/>
          </w:tcPr>
          <w:p>
            <w:pPr>
              <w:pStyle w:val="1049"/>
              <w:ind w:left="420" w:right="-92"/>
              <w:spacing w:line="500" w:lineRule="atLeast"/>
              <w:shd w:val="clear" w:color="auto" w:fill="ffffff"/>
              <w:rPr>
                <w:rFonts w:ascii="宋体" w:hAnsi="宋体" w:eastAsia="宋体"/>
                <w:sz w:val="28"/>
                <w:szCs w:val="28"/>
                <w:lang w:eastAsia="zh-CN"/>
              </w:rPr>
            </w:pPr>
            <w:r>
              <w:rPr>
                <w:rFonts w:ascii="宋体" w:hAnsi="宋体" w:eastAsia="宋体"/>
                <w:sz w:val="28"/>
                <w:szCs w:val="28"/>
                <w:lang w:eastAsia="zh-CN"/>
              </w:rPr>
            </w:r>
            <w:r/>
          </w:p>
        </w:tc>
        <w:tc>
          <w:tcPr>
            <w:tcW w:w="3289" w:type="dxa"/>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90"/>
        </w:trPr>
        <w:tc>
          <w:tcPr>
            <w:gridSpan w:val="2"/>
            <w:tcW w:w="9243" w:type="dxa"/>
            <w:textDirection w:val="lrTb"/>
            <w:noWrap w:val="false"/>
          </w:tcPr>
          <w:p>
            <w:pPr>
              <w:pStyle w:val="1049"/>
              <w:ind w:left="420" w:right="-92"/>
              <w:jc w:val="both"/>
              <w:spacing w:line="500" w:lineRule="atLeast"/>
              <w:shd w:val="clear" w:color="auto" w:fill="ffffff"/>
              <w:rPr>
                <w:rFonts w:ascii="宋体" w:hAnsi="宋体" w:eastAsia="宋体"/>
                <w:sz w:val="28"/>
                <w:szCs w:val="28"/>
                <w:lang w:eastAsia="zh-CN"/>
              </w:rPr>
            </w:pPr>
            <w:r>
              <w:rPr>
                <w:rFonts w:ascii="宋体" w:hAnsi="宋体" w:eastAsia="宋体"/>
                <w:sz w:val="28"/>
                <w:szCs w:val="28"/>
                <w:lang w:eastAsia="zh-CN"/>
              </w:rPr>
            </w:r>
            <w:r/>
          </w:p>
        </w:tc>
      </w:tr>
      <w:tr>
        <w:trPr>
          <w:trHeight w:val="90"/>
        </w:trPr>
        <w:tc>
          <w:tcPr>
            <w:tcW w:w="5954" w:type="dxa"/>
            <w:textDirection w:val="lrTb"/>
            <w:noWrap w:val="false"/>
          </w:tcPr>
          <w:p>
            <w:pPr>
              <w:pStyle w:val="1049"/>
              <w:ind w:left="420" w:right="-92"/>
              <w:spacing w:line="500" w:lineRule="atLeast"/>
              <w:shd w:val="clear" w:color="auto" w:fill="ffffff"/>
              <w:rPr>
                <w:rFonts w:ascii="宋体" w:hAnsi="宋体" w:eastAsia="宋体"/>
                <w:sz w:val="28"/>
                <w:szCs w:val="28"/>
                <w:lang w:eastAsia="zh-CN"/>
              </w:rPr>
            </w:pPr>
            <w:r>
              <w:rPr>
                <w:rFonts w:ascii="宋体" w:hAnsi="宋体" w:eastAsia="宋体"/>
                <w:sz w:val="28"/>
                <w:szCs w:val="28"/>
                <w:lang w:eastAsia="zh-CN"/>
              </w:rPr>
            </w:r>
            <w:r/>
          </w:p>
        </w:tc>
        <w:tc>
          <w:tcPr>
            <w:tcW w:w="3289" w:type="dxa"/>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90"/>
        </w:trPr>
        <w:tc>
          <w:tcPr>
            <w:tcW w:w="5954" w:type="dxa"/>
            <w:textDirection w:val="lrTb"/>
            <w:noWrap w:val="false"/>
          </w:tcPr>
          <w:p>
            <w:pPr>
              <w:pStyle w:val="1049"/>
              <w:ind w:left="420" w:right="-92"/>
              <w:spacing w:line="500" w:lineRule="atLeast"/>
              <w:shd w:val="clear" w:color="auto" w:fill="ffffff"/>
              <w:rPr>
                <w:rFonts w:ascii="宋体" w:hAnsi="宋体" w:eastAsia="宋体"/>
                <w:sz w:val="28"/>
                <w:szCs w:val="28"/>
                <w:lang w:eastAsia="zh-CN"/>
              </w:rPr>
            </w:pPr>
            <w:r>
              <w:rPr>
                <w:rFonts w:ascii="宋体" w:hAnsi="宋体" w:eastAsia="宋体"/>
                <w:sz w:val="28"/>
                <w:szCs w:val="28"/>
                <w:lang w:eastAsia="zh-CN"/>
              </w:rPr>
            </w:r>
            <w:r/>
          </w:p>
        </w:tc>
        <w:tc>
          <w:tcPr>
            <w:tcW w:w="3289" w:type="dxa"/>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90"/>
        </w:trPr>
        <w:tc>
          <w:tcPr>
            <w:tcW w:w="5954" w:type="dxa"/>
            <w:textDirection w:val="lrTb"/>
            <w:noWrap w:val="false"/>
          </w:tcPr>
          <w:p>
            <w:pPr>
              <w:pStyle w:val="1049"/>
              <w:ind w:left="420" w:right="-92"/>
              <w:spacing w:line="500" w:lineRule="atLeast"/>
              <w:shd w:val="clear" w:color="auto" w:fill="ffffff"/>
              <w:rPr>
                <w:rFonts w:ascii="宋体" w:hAnsi="宋体" w:eastAsia="宋体"/>
                <w:sz w:val="28"/>
                <w:szCs w:val="28"/>
                <w:lang w:eastAsia="zh-CN"/>
              </w:rPr>
            </w:pPr>
            <w:r>
              <w:rPr>
                <w:rFonts w:ascii="宋体" w:hAnsi="宋体" w:eastAsia="宋体"/>
                <w:sz w:val="28"/>
                <w:szCs w:val="28"/>
                <w:lang w:eastAsia="zh-CN"/>
              </w:rPr>
            </w:r>
            <w:r/>
          </w:p>
        </w:tc>
        <w:tc>
          <w:tcPr>
            <w:tcW w:w="3289" w:type="dxa"/>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90"/>
        </w:trPr>
        <w:tc>
          <w:tcPr>
            <w:tcW w:w="5954" w:type="dxa"/>
            <w:textDirection w:val="lrTb"/>
            <w:noWrap w:val="false"/>
          </w:tcPr>
          <w:p>
            <w:pPr>
              <w:pStyle w:val="1049"/>
              <w:ind w:left="420" w:right="-92"/>
              <w:spacing w:line="500" w:lineRule="atLeast"/>
              <w:shd w:val="clear" w:color="auto" w:fill="ffffff"/>
              <w:rPr>
                <w:rFonts w:ascii="宋体" w:hAnsi="宋体" w:eastAsia="宋体"/>
                <w:sz w:val="28"/>
                <w:szCs w:val="28"/>
                <w:lang w:eastAsia="zh-CN"/>
              </w:rPr>
            </w:pPr>
            <w:r>
              <w:rPr>
                <w:rFonts w:ascii="宋体" w:hAnsi="宋体" w:eastAsia="宋体"/>
                <w:sz w:val="28"/>
                <w:szCs w:val="28"/>
                <w:lang w:eastAsia="zh-CN"/>
              </w:rPr>
            </w:r>
            <w:r/>
          </w:p>
        </w:tc>
        <w:tc>
          <w:tcPr>
            <w:tcW w:w="3289" w:type="dxa"/>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90"/>
        </w:trPr>
        <w:tc>
          <w:tcPr>
            <w:tcW w:w="5954" w:type="dxa"/>
            <w:textDirection w:val="lrTb"/>
            <w:noWrap w:val="false"/>
          </w:tcPr>
          <w:p>
            <w:pPr>
              <w:pStyle w:val="1049"/>
              <w:ind w:left="420" w:right="-92"/>
              <w:spacing w:line="500" w:lineRule="atLeast"/>
              <w:shd w:val="clear" w:color="auto" w:fill="ffffff"/>
              <w:rPr>
                <w:rFonts w:ascii="宋体" w:hAnsi="宋体" w:eastAsia="宋体"/>
                <w:sz w:val="28"/>
                <w:szCs w:val="28"/>
                <w:lang w:eastAsia="zh-CN"/>
              </w:rPr>
            </w:pPr>
            <w:r>
              <w:rPr>
                <w:rFonts w:ascii="宋体" w:hAnsi="宋体" w:eastAsia="宋体"/>
                <w:sz w:val="28"/>
                <w:szCs w:val="28"/>
                <w:lang w:eastAsia="zh-CN"/>
              </w:rPr>
            </w:r>
            <w:r/>
          </w:p>
        </w:tc>
        <w:tc>
          <w:tcPr>
            <w:tcW w:w="3289" w:type="dxa"/>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90"/>
        </w:trPr>
        <w:tc>
          <w:tcPr>
            <w:gridSpan w:val="2"/>
            <w:tcW w:w="9243" w:type="dxa"/>
            <w:textDirection w:val="lrTb"/>
            <w:noWrap w:val="false"/>
          </w:tcPr>
          <w:p>
            <w:pPr>
              <w:pStyle w:val="1049"/>
              <w:ind w:left="420" w:right="-92"/>
              <w:jc w:val="both"/>
              <w:spacing w:line="500" w:lineRule="atLeast"/>
              <w:shd w:val="clear" w:color="auto" w:fill="ffffff"/>
              <w:rPr>
                <w:rFonts w:ascii="宋体" w:hAnsi="宋体" w:eastAsia="宋体"/>
                <w:b/>
                <w:sz w:val="28"/>
                <w:szCs w:val="28"/>
                <w:lang w:eastAsia="zh-CN"/>
              </w:rPr>
            </w:pPr>
            <w:r>
              <w:rPr>
                <w:rFonts w:ascii="宋体" w:hAnsi="宋体" w:eastAsia="宋体"/>
                <w:b/>
                <w:sz w:val="28"/>
                <w:szCs w:val="28"/>
                <w:lang w:eastAsia="zh-CN"/>
              </w:rPr>
            </w:r>
            <w:r/>
          </w:p>
        </w:tc>
      </w:tr>
      <w:tr>
        <w:trPr>
          <w:trHeight w:val="90"/>
        </w:trPr>
        <w:tc>
          <w:tcPr>
            <w:tcW w:w="5954" w:type="dxa"/>
            <w:textDirection w:val="lrTb"/>
            <w:noWrap w:val="false"/>
          </w:tcPr>
          <w:p>
            <w:pPr>
              <w:pStyle w:val="1049"/>
              <w:ind w:left="420" w:right="-92"/>
              <w:spacing w:line="500" w:lineRule="atLeast"/>
              <w:shd w:val="clear" w:color="auto" w:fill="ffffff"/>
              <w:rPr>
                <w:rFonts w:ascii="宋体" w:hAnsi="宋体" w:eastAsia="宋体"/>
                <w:b/>
                <w:bCs/>
                <w:sz w:val="28"/>
                <w:szCs w:val="28"/>
                <w:lang w:eastAsia="zh-CN"/>
              </w:rPr>
            </w:pPr>
            <w:r>
              <w:rPr>
                <w:rFonts w:ascii="宋体" w:hAnsi="宋体" w:eastAsia="宋体"/>
                <w:b/>
                <w:bCs/>
                <w:sz w:val="28"/>
                <w:szCs w:val="28"/>
                <w:lang w:eastAsia="zh-CN"/>
              </w:rPr>
            </w:r>
            <w:r/>
          </w:p>
        </w:tc>
        <w:tc>
          <w:tcPr>
            <w:tcW w:w="3289" w:type="dxa"/>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90"/>
        </w:trPr>
        <w:tc>
          <w:tcPr>
            <w:tcW w:w="5954" w:type="dxa"/>
            <w:textDirection w:val="lrTb"/>
            <w:noWrap w:val="false"/>
          </w:tcPr>
          <w:p>
            <w:pPr>
              <w:pStyle w:val="1049"/>
              <w:ind w:left="420" w:right="-92"/>
              <w:spacing w:line="500" w:lineRule="atLeast"/>
              <w:shd w:val="clear" w:color="auto" w:fill="ffffff"/>
              <w:rPr>
                <w:rFonts w:ascii="宋体" w:hAnsi="宋体" w:eastAsia="宋体"/>
                <w:sz w:val="28"/>
                <w:szCs w:val="28"/>
                <w:lang w:eastAsia="zh-CN"/>
              </w:rPr>
            </w:pPr>
            <w:r>
              <w:rPr>
                <w:rFonts w:ascii="宋体" w:hAnsi="宋体" w:eastAsia="宋体"/>
                <w:sz w:val="28"/>
                <w:szCs w:val="28"/>
                <w:lang w:eastAsia="zh-CN"/>
              </w:rPr>
            </w:r>
            <w:r/>
          </w:p>
        </w:tc>
        <w:tc>
          <w:tcPr>
            <w:tcW w:w="3289" w:type="dxa"/>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90"/>
        </w:trPr>
        <w:tc>
          <w:tcPr>
            <w:tcW w:w="5954" w:type="dxa"/>
            <w:textDirection w:val="lrTb"/>
            <w:noWrap w:val="false"/>
          </w:tcPr>
          <w:p>
            <w:pPr>
              <w:pStyle w:val="1049"/>
              <w:ind w:left="420" w:right="-92"/>
              <w:spacing w:line="500" w:lineRule="atLeast"/>
              <w:shd w:val="clear" w:color="auto" w:fill="ffffff"/>
              <w:rPr>
                <w:rFonts w:ascii="宋体" w:hAnsi="宋体" w:eastAsia="宋体"/>
                <w:b/>
                <w:bCs/>
                <w:sz w:val="28"/>
                <w:szCs w:val="28"/>
                <w:lang w:eastAsia="zh-CN"/>
              </w:rPr>
            </w:pPr>
            <w:r>
              <w:rPr>
                <w:rFonts w:ascii="宋体" w:hAnsi="宋体" w:eastAsia="宋体"/>
                <w:b/>
                <w:bCs/>
                <w:sz w:val="28"/>
                <w:szCs w:val="28"/>
                <w:lang w:eastAsia="zh-CN"/>
              </w:rPr>
            </w:r>
            <w:r/>
          </w:p>
        </w:tc>
        <w:tc>
          <w:tcPr>
            <w:tcW w:w="3289" w:type="dxa"/>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90"/>
        </w:trPr>
        <w:tc>
          <w:tcPr>
            <w:gridSpan w:val="2"/>
            <w:tcW w:w="9243" w:type="dxa"/>
            <w:textDirection w:val="lrTb"/>
            <w:noWrap w:val="false"/>
          </w:tcPr>
          <w:p>
            <w:pPr>
              <w:pStyle w:val="1049"/>
              <w:ind w:left="420" w:right="-92"/>
              <w:jc w:val="both"/>
              <w:spacing w:line="500" w:lineRule="atLeast"/>
              <w:shd w:val="clear" w:color="auto" w:fill="ffffff"/>
              <w:rPr>
                <w:rFonts w:ascii="宋体" w:hAnsi="宋体" w:eastAsia="宋体"/>
                <w:b/>
                <w:sz w:val="28"/>
                <w:szCs w:val="28"/>
                <w:lang w:eastAsia="zh-CN"/>
              </w:rPr>
            </w:pPr>
            <w:r>
              <w:rPr>
                <w:rFonts w:ascii="宋体" w:hAnsi="宋体" w:eastAsia="宋体"/>
                <w:b/>
                <w:sz w:val="28"/>
                <w:szCs w:val="28"/>
                <w:lang w:eastAsia="zh-CN"/>
              </w:rPr>
            </w:r>
            <w:r/>
          </w:p>
        </w:tc>
      </w:tr>
      <w:tr>
        <w:trPr>
          <w:trHeight w:val="90"/>
        </w:trPr>
        <w:tc>
          <w:tcPr>
            <w:tcW w:w="5954" w:type="dxa"/>
            <w:textDirection w:val="lrTb"/>
            <w:noWrap w:val="false"/>
          </w:tcPr>
          <w:p>
            <w:pPr>
              <w:pStyle w:val="1049"/>
              <w:ind w:left="0" w:right="-92" w:firstLine="560"/>
              <w:spacing w:line="500" w:lineRule="atLeast"/>
              <w:shd w:val="clear" w:color="auto" w:fill="ffffff"/>
              <w:rPr>
                <w:rFonts w:ascii="宋体" w:hAnsi="宋体" w:eastAsia="宋体"/>
                <w:sz w:val="28"/>
                <w:szCs w:val="28"/>
                <w:lang w:eastAsia="zh-CN"/>
              </w:rPr>
            </w:pPr>
            <w:r>
              <w:rPr>
                <w:rFonts w:ascii="宋体" w:hAnsi="宋体" w:eastAsia="宋体"/>
                <w:sz w:val="28"/>
                <w:szCs w:val="28"/>
                <w:lang w:eastAsia="zh-CN"/>
              </w:rPr>
            </w:r>
            <w:r/>
          </w:p>
        </w:tc>
        <w:tc>
          <w:tcPr>
            <w:tcW w:w="3289" w:type="dxa"/>
            <w:textDirection w:val="lrTb"/>
            <w:noWrap w:val="false"/>
          </w:tcPr>
          <w:p>
            <w:pPr>
              <w:ind w:right="-92"/>
              <w:spacing w:line="500" w:lineRule="atLeast"/>
              <w:rPr>
                <w:rFonts w:ascii="宋体" w:hAnsi="宋体"/>
                <w:sz w:val="28"/>
                <w:szCs w:val="28"/>
              </w:rPr>
            </w:pPr>
            <w:r>
              <w:rPr>
                <w:rFonts w:ascii="宋体" w:hAnsi="宋体"/>
                <w:sz w:val="28"/>
                <w:szCs w:val="28"/>
              </w:rPr>
            </w:r>
            <w:r/>
          </w:p>
        </w:tc>
      </w:tr>
    </w:tbl>
    <w:p>
      <w:pPr>
        <w:ind w:right="-92" w:firstLine="843"/>
        <w:jc w:val="center"/>
        <w:spacing w:line="500" w:lineRule="atLeast"/>
        <w:rPr>
          <w:rFonts w:ascii="宋体" w:hAnsi="宋体"/>
          <w:b/>
          <w:bCs/>
          <w:sz w:val="28"/>
          <w:szCs w:val="28"/>
        </w:rPr>
      </w:pPr>
      <w:r>
        <w:rPr>
          <w:rFonts w:hint="eastAsia" w:ascii="宋体" w:hAnsi="宋体"/>
          <w:b/>
          <w:sz w:val="28"/>
          <w:szCs w:val="28"/>
          <w:u w:val="single"/>
        </w:rPr>
        <w:br w:type="page" w:clear="all"/>
      </w:r>
      <w:r>
        <w:rPr>
          <w:rFonts w:hint="eastAsia" w:ascii="宋体" w:hAnsi="宋体"/>
          <w:b/>
          <w:bCs/>
          <w:sz w:val="28"/>
          <w:szCs w:val="28"/>
        </w:rPr>
        <w:t xml:space="preserve">投标主要文件目录</w:t>
      </w:r>
      <w:r/>
    </w:p>
    <w:p>
      <w:pPr>
        <w:ind w:right="-92"/>
        <w:jc w:val="center"/>
        <w:spacing w:line="500" w:lineRule="atLeast"/>
        <w:rPr>
          <w:rFonts w:ascii="宋体" w:hAnsi="宋体"/>
          <w:b/>
          <w:bCs/>
          <w:sz w:val="28"/>
          <w:szCs w:val="28"/>
        </w:rPr>
      </w:pPr>
      <w:r>
        <w:rPr>
          <w:rFonts w:ascii="宋体" w:hAnsi="宋体"/>
          <w:b/>
          <w:bCs/>
          <w:sz w:val="28"/>
          <w:szCs w:val="28"/>
        </w:rPr>
      </w:r>
      <w:r/>
    </w:p>
    <w:p>
      <w:pPr>
        <w:ind w:right="-92" w:firstLine="560"/>
        <w:spacing w:line="500" w:lineRule="atLeast"/>
        <w:rPr>
          <w:rFonts w:ascii="宋体" w:hAnsi="宋体"/>
          <w:sz w:val="28"/>
          <w:szCs w:val="28"/>
        </w:rPr>
      </w:pPr>
      <w:r>
        <w:rPr>
          <w:rFonts w:hint="eastAsia" w:ascii="宋体" w:hAnsi="宋体"/>
          <w:sz w:val="28"/>
          <w:szCs w:val="28"/>
        </w:rPr>
        <w:t xml:space="preserve">一、</w:t>
      </w:r>
      <w:r>
        <w:rPr>
          <w:rFonts w:hint="eastAsia" w:ascii="宋体" w:hAnsi="宋体"/>
          <w:bCs/>
          <w:sz w:val="28"/>
          <w:szCs w:val="28"/>
        </w:rPr>
        <w:t xml:space="preserve">资信证明文件要求</w:t>
      </w:r>
      <w:r/>
    </w:p>
    <w:p>
      <w:pPr>
        <w:ind w:right="-92" w:firstLine="562"/>
        <w:spacing w:line="500" w:lineRule="atLeast"/>
        <w:rPr>
          <w:rFonts w:ascii="宋体" w:hAnsi="宋体"/>
          <w:sz w:val="28"/>
          <w:szCs w:val="28"/>
        </w:rPr>
      </w:pPr>
      <w:r>
        <w:rPr>
          <w:rFonts w:hint="eastAsia" w:ascii="宋体" w:hAnsi="宋体"/>
          <w:b/>
          <w:bCs/>
          <w:sz w:val="28"/>
          <w:szCs w:val="28"/>
        </w:rPr>
        <w:t xml:space="preserve">二</w:t>
      </w:r>
      <w:r>
        <w:rPr>
          <w:rFonts w:hint="eastAsia" w:ascii="宋体" w:hAnsi="宋体"/>
          <w:sz w:val="28"/>
          <w:szCs w:val="28"/>
        </w:rPr>
        <w:t xml:space="preserve">、资格性审查响应对照表</w:t>
      </w:r>
      <w:r/>
    </w:p>
    <w:p>
      <w:pPr>
        <w:ind w:right="-92" w:firstLine="560"/>
        <w:spacing w:line="500" w:lineRule="atLeast"/>
        <w:rPr>
          <w:rFonts w:ascii="宋体" w:hAnsi="宋体"/>
          <w:bCs/>
          <w:sz w:val="28"/>
          <w:szCs w:val="28"/>
        </w:rPr>
      </w:pPr>
      <w:r>
        <w:rPr>
          <w:rFonts w:hint="eastAsia" w:ascii="宋体" w:hAnsi="宋体"/>
          <w:sz w:val="28"/>
          <w:szCs w:val="28"/>
        </w:rPr>
        <w:t xml:space="preserve">三、符合性检查响应对照表</w:t>
      </w:r>
      <w:r/>
    </w:p>
    <w:p>
      <w:pPr>
        <w:ind w:right="-92" w:firstLine="560"/>
        <w:spacing w:line="500" w:lineRule="atLeast"/>
        <w:rPr>
          <w:rFonts w:ascii="宋体" w:hAnsi="宋体"/>
          <w:sz w:val="28"/>
          <w:szCs w:val="28"/>
        </w:rPr>
      </w:pPr>
      <w:r>
        <w:rPr>
          <w:rFonts w:hint="eastAsia" w:ascii="宋体" w:hAnsi="宋体"/>
          <w:sz w:val="28"/>
          <w:szCs w:val="28"/>
        </w:rPr>
        <w:t xml:space="preserve">四、投标函</w:t>
      </w:r>
      <w:r/>
    </w:p>
    <w:p>
      <w:pPr>
        <w:ind w:right="-92" w:firstLine="560"/>
        <w:spacing w:line="500" w:lineRule="atLeast"/>
        <w:rPr>
          <w:rFonts w:ascii="宋体" w:hAnsi="宋体"/>
          <w:sz w:val="28"/>
          <w:szCs w:val="28"/>
        </w:rPr>
      </w:pPr>
      <w:r>
        <w:rPr>
          <w:rFonts w:hint="eastAsia" w:ascii="宋体" w:hAnsi="宋体"/>
          <w:sz w:val="28"/>
          <w:szCs w:val="28"/>
        </w:rPr>
        <w:t xml:space="preserve">五</w:t>
      </w:r>
      <w:r>
        <w:rPr>
          <w:rFonts w:hint="eastAsia" w:ascii="宋体" w:hAnsi="宋体"/>
          <w:b/>
          <w:bCs/>
          <w:sz w:val="28"/>
          <w:szCs w:val="28"/>
        </w:rPr>
        <w:t xml:space="preserve">、</w:t>
      </w:r>
      <w:r>
        <w:rPr>
          <w:rFonts w:hint="eastAsia" w:ascii="宋体" w:hAnsi="宋体"/>
          <w:sz w:val="28"/>
          <w:szCs w:val="28"/>
        </w:rPr>
        <w:t xml:space="preserve">开标一览表</w:t>
      </w:r>
      <w:r/>
    </w:p>
    <w:p>
      <w:pPr>
        <w:ind w:right="-92" w:firstLine="560"/>
        <w:spacing w:line="500" w:lineRule="atLeast"/>
        <w:rPr>
          <w:rFonts w:ascii="宋体" w:hAnsi="宋体"/>
          <w:sz w:val="28"/>
          <w:szCs w:val="28"/>
        </w:rPr>
      </w:pPr>
      <w:r>
        <w:rPr>
          <w:rFonts w:hint="eastAsia" w:ascii="宋体" w:hAnsi="宋体"/>
          <w:sz w:val="28"/>
          <w:szCs w:val="28"/>
        </w:rPr>
        <w:t xml:space="preserve">六、投标报价明细表</w:t>
      </w:r>
      <w:r/>
    </w:p>
    <w:p>
      <w:pPr>
        <w:ind w:right="-92" w:firstLine="560"/>
        <w:spacing w:line="500" w:lineRule="atLeast"/>
        <w:rPr>
          <w:rFonts w:ascii="宋体" w:hAnsi="宋体"/>
          <w:sz w:val="28"/>
          <w:szCs w:val="28"/>
        </w:rPr>
      </w:pPr>
      <w:r>
        <w:rPr>
          <w:rFonts w:hint="eastAsia" w:ascii="宋体" w:hAnsi="宋体"/>
          <w:sz w:val="28"/>
          <w:szCs w:val="28"/>
        </w:rPr>
        <w:t xml:space="preserve">七</w:t>
      </w:r>
      <w:r>
        <w:rPr>
          <w:rFonts w:hint="eastAsia" w:ascii="宋体" w:hAnsi="宋体" w:cs="Courier New"/>
          <w:sz w:val="28"/>
          <w:szCs w:val="28"/>
        </w:rPr>
        <w:t xml:space="preserve">、</w:t>
      </w:r>
      <w:r>
        <w:rPr>
          <w:rFonts w:hint="eastAsia" w:ascii="宋体" w:hAnsi="宋体"/>
          <w:sz w:val="28"/>
          <w:szCs w:val="28"/>
        </w:rPr>
        <w:t xml:space="preserve">技术参数响应及偏离表</w:t>
      </w:r>
      <w:r/>
    </w:p>
    <w:p>
      <w:pPr>
        <w:ind w:right="-92" w:firstLine="560"/>
        <w:spacing w:line="500" w:lineRule="atLeast"/>
        <w:rPr>
          <w:rFonts w:ascii="宋体" w:hAnsi="宋体"/>
          <w:sz w:val="28"/>
          <w:szCs w:val="28"/>
        </w:rPr>
      </w:pPr>
      <w:r>
        <w:rPr>
          <w:rFonts w:hint="eastAsia" w:ascii="宋体" w:hAnsi="宋体"/>
          <w:sz w:val="28"/>
          <w:szCs w:val="28"/>
        </w:rPr>
        <w:t xml:space="preserve">八、商务条款响应及偏离表</w:t>
      </w:r>
      <w:r/>
    </w:p>
    <w:p>
      <w:pPr>
        <w:ind w:right="-92" w:firstLine="560"/>
        <w:spacing w:line="500" w:lineRule="atLeast"/>
        <w:rPr>
          <w:rFonts w:ascii="宋体" w:hAnsi="宋体"/>
          <w:sz w:val="28"/>
          <w:szCs w:val="28"/>
        </w:rPr>
      </w:pPr>
      <w:r>
        <w:rPr>
          <w:rFonts w:hint="eastAsia" w:ascii="宋体" w:hAnsi="宋体"/>
          <w:sz w:val="28"/>
          <w:szCs w:val="28"/>
        </w:rPr>
        <w:t xml:space="preserve">九、项目技术方案等</w:t>
      </w:r>
      <w:r/>
    </w:p>
    <w:p>
      <w:pPr>
        <w:ind w:right="-92" w:firstLine="560"/>
        <w:jc w:val="left"/>
        <w:spacing w:line="500" w:lineRule="atLeast"/>
        <w:widowControl/>
        <w:rPr>
          <w:rFonts w:ascii="宋体" w:hAnsi="宋体"/>
          <w:sz w:val="28"/>
          <w:szCs w:val="28"/>
        </w:rPr>
      </w:pPr>
      <w:r>
        <w:rPr>
          <w:rFonts w:hint="eastAsia" w:ascii="宋体" w:hAnsi="宋体"/>
          <w:sz w:val="28"/>
          <w:szCs w:val="28"/>
        </w:rPr>
        <w:t xml:space="preserve">十、盐城市大丰区政府招标采购供应商承诺书</w:t>
      </w:r>
      <w:r/>
    </w:p>
    <w:p>
      <w:pPr>
        <w:ind w:right="-92" w:firstLine="560"/>
        <w:spacing w:line="500" w:lineRule="atLeast"/>
        <w:rPr>
          <w:rFonts w:ascii="宋体" w:hAnsi="宋体"/>
          <w:sz w:val="28"/>
          <w:szCs w:val="28"/>
        </w:rPr>
      </w:pPr>
      <w:r>
        <w:rPr>
          <w:rFonts w:ascii="宋体" w:hAnsi="宋体"/>
          <w:sz w:val="28"/>
          <w:szCs w:val="28"/>
        </w:rPr>
      </w:r>
      <w:r/>
    </w:p>
    <w:p>
      <w:pPr>
        <w:ind w:right="-92" w:firstLine="560"/>
        <w:spacing w:line="500" w:lineRule="atLeast"/>
        <w:rPr>
          <w:rFonts w:ascii="宋体" w:hAnsi="宋体"/>
          <w:sz w:val="28"/>
          <w:szCs w:val="28"/>
        </w:rPr>
      </w:pPr>
      <w:r>
        <w:rPr>
          <w:rFonts w:ascii="宋体" w:hAnsi="宋体"/>
          <w:sz w:val="28"/>
          <w:szCs w:val="28"/>
        </w:rPr>
      </w:r>
      <w:r/>
    </w:p>
    <w:p>
      <w:pPr>
        <w:ind w:right="-92" w:firstLine="560"/>
        <w:spacing w:line="500" w:lineRule="atLeast"/>
        <w:rPr>
          <w:rFonts w:ascii="宋体" w:hAnsi="宋体"/>
          <w:sz w:val="28"/>
          <w:szCs w:val="28"/>
        </w:rPr>
      </w:pPr>
      <w:r>
        <w:rPr>
          <w:rFonts w:ascii="宋体" w:hAnsi="宋体"/>
          <w:sz w:val="28"/>
          <w:szCs w:val="28"/>
        </w:rPr>
      </w:r>
      <w:r/>
    </w:p>
    <w:p>
      <w:pPr>
        <w:ind w:right="-92" w:firstLine="560"/>
        <w:spacing w:line="500" w:lineRule="atLeast"/>
        <w:rPr>
          <w:rFonts w:ascii="宋体" w:hAnsi="宋体"/>
          <w:sz w:val="28"/>
          <w:szCs w:val="28"/>
        </w:rPr>
      </w:pPr>
      <w:r>
        <w:rPr>
          <w:rFonts w:ascii="宋体" w:hAnsi="宋体"/>
          <w:sz w:val="28"/>
          <w:szCs w:val="28"/>
        </w:rPr>
      </w:r>
      <w:r/>
    </w:p>
    <w:p>
      <w:pPr>
        <w:ind w:right="-92" w:firstLine="560"/>
        <w:spacing w:line="500" w:lineRule="atLeast"/>
        <w:rPr>
          <w:rFonts w:ascii="宋体" w:hAnsi="宋体"/>
          <w:sz w:val="28"/>
          <w:szCs w:val="28"/>
        </w:rPr>
      </w:pPr>
      <w:r>
        <w:rPr>
          <w:rFonts w:ascii="宋体" w:hAnsi="宋体"/>
          <w:sz w:val="28"/>
          <w:szCs w:val="28"/>
        </w:rPr>
      </w:r>
      <w:r/>
    </w:p>
    <w:p>
      <w:pPr>
        <w:ind w:right="-92"/>
        <w:jc w:val="center"/>
        <w:spacing w:before="50" w:after="50" w:line="500" w:lineRule="atLeast"/>
        <w:rPr>
          <w:rFonts w:ascii="宋体" w:hAnsi="宋体"/>
          <w:b/>
          <w:bCs/>
          <w:sz w:val="28"/>
          <w:szCs w:val="28"/>
        </w:rPr>
      </w:pPr>
      <w:r>
        <w:rPr>
          <w:rFonts w:hint="eastAsia" w:ascii="宋体" w:hAnsi="宋体"/>
          <w:sz w:val="28"/>
          <w:szCs w:val="28"/>
        </w:rPr>
        <w:br w:type="page" w:clear="all"/>
      </w:r>
      <w:r>
        <w:rPr>
          <w:rFonts w:hint="eastAsia" w:ascii="宋体" w:hAnsi="宋体"/>
          <w:sz w:val="28"/>
          <w:szCs w:val="28"/>
        </w:rPr>
        <w:t xml:space="preserve">一、</w:t>
      </w:r>
      <w:r>
        <w:rPr>
          <w:rFonts w:hint="eastAsia" w:ascii="宋体" w:hAnsi="宋体"/>
          <w:b/>
          <w:bCs/>
          <w:sz w:val="28"/>
          <w:szCs w:val="28"/>
        </w:rPr>
        <w:t xml:space="preserve">资信证明文件要求</w:t>
      </w:r>
      <w:r/>
    </w:p>
    <w:p>
      <w:pPr>
        <w:ind w:right="-92"/>
        <w:spacing w:before="50" w:after="50" w:line="500" w:lineRule="atLeast"/>
        <w:rPr>
          <w:rFonts w:ascii="宋体" w:hAnsi="宋体"/>
          <w:i/>
          <w:sz w:val="28"/>
          <w:szCs w:val="28"/>
          <w:u w:val="single"/>
        </w:rPr>
      </w:pPr>
      <w:r>
        <w:rPr>
          <w:rFonts w:ascii="宋体" w:hAnsi="宋体"/>
          <w:i/>
          <w:sz w:val="28"/>
          <w:szCs w:val="28"/>
          <w:u w:val="single"/>
        </w:rPr>
      </w:r>
      <w:r/>
    </w:p>
    <w:p>
      <w:pPr>
        <w:ind w:right="-92"/>
        <w:spacing w:before="50" w:after="50" w:line="500" w:lineRule="atLeast"/>
        <w:rPr>
          <w:rFonts w:ascii="宋体" w:hAnsi="宋体"/>
          <w:sz w:val="28"/>
          <w:szCs w:val="28"/>
        </w:rPr>
      </w:pPr>
      <w:r>
        <w:rPr>
          <w:rFonts w:hint="eastAsia" w:ascii="宋体" w:hAnsi="宋体"/>
          <w:b/>
          <w:bCs/>
          <w:sz w:val="28"/>
          <w:szCs w:val="28"/>
        </w:rPr>
        <w:t xml:space="preserve">1、实质性资格证明文件目录</w:t>
      </w:r>
      <w:r/>
    </w:p>
    <w:p>
      <w:pPr>
        <w:ind w:right="-92" w:firstLine="560"/>
        <w:spacing w:line="500" w:lineRule="atLeast"/>
        <w:rPr>
          <w:rFonts w:ascii="宋体" w:hAnsi="宋体" w:cs="Arial"/>
          <w:sz w:val="28"/>
          <w:szCs w:val="28"/>
        </w:rPr>
      </w:pPr>
      <w:r>
        <w:rPr>
          <w:rFonts w:hint="eastAsia" w:ascii="宋体" w:hAnsi="宋体"/>
          <w:sz w:val="28"/>
          <w:szCs w:val="28"/>
        </w:rPr>
        <w:t xml:space="preserve">文件1 </w:t>
      </w:r>
      <w:r>
        <w:rPr>
          <w:rFonts w:hint="eastAsia" w:ascii="宋体" w:hAnsi="宋体" w:cs="Arial"/>
          <w:sz w:val="28"/>
          <w:szCs w:val="28"/>
        </w:rPr>
        <w:t xml:space="preserve">法人或者其他组织的营业执照等证明文件，自然人的身份证明</w:t>
      </w:r>
      <w:r/>
    </w:p>
    <w:p>
      <w:pPr>
        <w:ind w:firstLine="560"/>
        <w:jc w:val="left"/>
        <w:spacing w:line="500" w:lineRule="atLeast"/>
        <w:rPr>
          <w:rFonts w:ascii="宋体" w:hAnsi="宋体"/>
          <w:sz w:val="28"/>
          <w:szCs w:val="28"/>
        </w:rPr>
      </w:pPr>
      <w:r>
        <w:rPr>
          <w:rFonts w:hint="eastAsia" w:ascii="宋体" w:hAnsi="宋体"/>
          <w:sz w:val="28"/>
          <w:szCs w:val="28"/>
        </w:rPr>
        <w:t xml:space="preserve">文件2</w:t>
      </w:r>
      <w:r>
        <w:rPr>
          <w:rFonts w:ascii="宋体" w:hAnsi="宋体"/>
          <w:sz w:val="28"/>
          <w:szCs w:val="28"/>
        </w:rPr>
        <w:t xml:space="preserve"> </w:t>
      </w:r>
      <w:r>
        <w:rPr>
          <w:rFonts w:hint="eastAsia" w:ascii="宋体" w:hAnsi="宋体"/>
          <w:sz w:val="28"/>
          <w:szCs w:val="28"/>
        </w:rPr>
        <w:t xml:space="preserve">上一年度的财务状况报表（成立不满一年无需提供）</w:t>
      </w:r>
      <w:r/>
    </w:p>
    <w:p>
      <w:pPr>
        <w:ind w:right="-92" w:firstLine="560"/>
        <w:spacing w:line="500" w:lineRule="atLeast"/>
        <w:rPr>
          <w:rFonts w:ascii="宋体" w:hAnsi="宋体" w:cs="Arial"/>
          <w:sz w:val="28"/>
          <w:szCs w:val="28"/>
        </w:rPr>
      </w:pPr>
      <w:r>
        <w:rPr>
          <w:rFonts w:hint="eastAsia" w:ascii="宋体" w:hAnsi="宋体"/>
          <w:sz w:val="28"/>
          <w:szCs w:val="28"/>
        </w:rPr>
        <w:t xml:space="preserve">文件3 </w:t>
      </w:r>
      <w:r>
        <w:rPr>
          <w:rFonts w:hint="eastAsia" w:ascii="宋体" w:hAnsi="宋体" w:cs="Arial"/>
          <w:sz w:val="28"/>
          <w:szCs w:val="28"/>
        </w:rPr>
        <w:t xml:space="preserve">依法缴纳税收和社会保障资金的相关材料（投标时提供投标截止时间前一年内至少一个月依法缴纳税收及缴纳社会保障资金的证明材料。供应商依法享受缓缴、免缴税收、社会保障资金的提供证明材料）</w:t>
      </w:r>
      <w:r/>
    </w:p>
    <w:p>
      <w:pPr>
        <w:ind w:right="-92" w:firstLine="560"/>
        <w:spacing w:line="500" w:lineRule="atLeast"/>
        <w:rPr>
          <w:rFonts w:ascii="宋体" w:hAnsi="宋体" w:cs="Arial"/>
          <w:sz w:val="28"/>
          <w:szCs w:val="28"/>
        </w:rPr>
      </w:pPr>
      <w:r>
        <w:rPr>
          <w:rFonts w:hint="eastAsia" w:ascii="宋体" w:hAnsi="宋体"/>
          <w:sz w:val="28"/>
          <w:szCs w:val="28"/>
        </w:rPr>
        <w:t xml:space="preserve">文件4 </w:t>
      </w:r>
      <w:r>
        <w:rPr>
          <w:rFonts w:hint="eastAsia" w:ascii="宋体" w:hAnsi="宋体" w:cs="Arial"/>
          <w:sz w:val="28"/>
          <w:szCs w:val="28"/>
        </w:rPr>
        <w:t xml:space="preserve">参加政府采购活动前 </w:t>
      </w:r>
      <w:r>
        <w:rPr>
          <w:rFonts w:hint="eastAsia" w:ascii="宋体" w:hAnsi="宋体"/>
          <w:sz w:val="28"/>
          <w:szCs w:val="28"/>
        </w:rPr>
        <w:t xml:space="preserve">3 </w:t>
      </w:r>
      <w:r>
        <w:rPr>
          <w:rFonts w:hint="eastAsia" w:ascii="宋体" w:hAnsi="宋体" w:cs="Arial"/>
          <w:sz w:val="28"/>
          <w:szCs w:val="28"/>
        </w:rPr>
        <w:t xml:space="preserve">年内在经营活动中没有重大违法记录的书面声明</w:t>
      </w:r>
      <w:r/>
    </w:p>
    <w:p>
      <w:pPr>
        <w:ind w:right="-92" w:firstLine="560"/>
        <w:jc w:val="left"/>
        <w:spacing w:before="50" w:after="156" w:line="500" w:lineRule="atLeast"/>
        <w:rPr>
          <w:rFonts w:ascii="宋体" w:hAnsi="宋体"/>
          <w:sz w:val="28"/>
          <w:szCs w:val="28"/>
        </w:rPr>
      </w:pPr>
      <w:r>
        <w:rPr>
          <w:rFonts w:hint="eastAsia" w:ascii="宋体" w:hAnsi="宋体" w:cs="Arial"/>
          <w:sz w:val="28"/>
          <w:szCs w:val="28"/>
        </w:rPr>
        <w:t xml:space="preserve">文件</w:t>
      </w:r>
      <w:r>
        <w:rPr>
          <w:rFonts w:hint="eastAsia" w:ascii="宋体" w:hAnsi="宋体"/>
          <w:sz w:val="28"/>
          <w:szCs w:val="28"/>
        </w:rPr>
        <w:t xml:space="preserve">5</w:t>
      </w:r>
      <w:r>
        <w:rPr>
          <w:rFonts w:hint="eastAsia" w:ascii="宋体" w:hAnsi="宋体" w:cs="Arial"/>
          <w:sz w:val="28"/>
          <w:szCs w:val="28"/>
        </w:rPr>
        <w:t xml:space="preserve"> 法人授权书</w:t>
      </w:r>
      <w:r/>
    </w:p>
    <w:p>
      <w:pPr>
        <w:ind w:left="239" w:right="-92" w:firstLine="280"/>
        <w:jc w:val="left"/>
        <w:spacing w:before="50" w:after="156" w:line="500" w:lineRule="atLeast"/>
        <w:rPr>
          <w:rFonts w:ascii="宋体" w:hAnsi="宋体" w:cs="Arial"/>
          <w:sz w:val="28"/>
          <w:szCs w:val="28"/>
        </w:rPr>
      </w:pPr>
      <w:r>
        <w:rPr>
          <w:rFonts w:hint="eastAsia" w:ascii="宋体" w:hAnsi="宋体"/>
          <w:sz w:val="28"/>
          <w:szCs w:val="28"/>
        </w:rPr>
        <w:t xml:space="preserve">文件6  </w:t>
      </w:r>
      <w:r>
        <w:rPr>
          <w:rFonts w:hint="eastAsia" w:ascii="宋体" w:hAnsi="宋体" w:cs="Arial"/>
          <w:sz w:val="28"/>
          <w:szCs w:val="28"/>
        </w:rPr>
        <w:t xml:space="preserve">招标文件中规定要求提供的证明材料和投标人认为需要提供的其他材料</w:t>
      </w:r>
      <w:r/>
    </w:p>
    <w:p>
      <w:pPr>
        <w:ind w:right="-92"/>
        <w:jc w:val="left"/>
        <w:spacing w:before="50" w:after="156" w:line="500" w:lineRule="atLeast"/>
        <w:rPr>
          <w:rFonts w:ascii="宋体" w:hAnsi="宋体"/>
          <w:b/>
          <w:i/>
          <w:sz w:val="28"/>
          <w:szCs w:val="28"/>
          <w:u w:val="single"/>
        </w:rPr>
      </w:pPr>
      <w:r>
        <w:rPr>
          <w:rFonts w:ascii="宋体" w:hAnsi="宋体"/>
          <w:b/>
          <w:i/>
          <w:sz w:val="28"/>
          <w:szCs w:val="28"/>
          <w:u w:val="single"/>
        </w:rPr>
      </w:r>
      <w:r/>
    </w:p>
    <w:p>
      <w:pPr>
        <w:ind w:right="-92" w:firstLine="562"/>
        <w:spacing w:before="50" w:after="50" w:line="500" w:lineRule="atLeast"/>
        <w:rPr>
          <w:rFonts w:ascii="宋体" w:hAnsi="宋体"/>
          <w:sz w:val="28"/>
          <w:szCs w:val="28"/>
        </w:rPr>
      </w:pPr>
      <w:r>
        <w:rPr>
          <w:rFonts w:hint="eastAsia" w:ascii="宋体" w:hAnsi="宋体"/>
          <w:b/>
          <w:bCs/>
          <w:sz w:val="28"/>
          <w:szCs w:val="28"/>
        </w:rPr>
        <w:t xml:space="preserve">2、非实质性资信证明文件目录</w:t>
      </w:r>
      <w:r/>
    </w:p>
    <w:p>
      <w:pPr>
        <w:pStyle w:val="1005"/>
        <w:ind w:right="-92"/>
        <w:spacing w:line="500" w:lineRule="atLeast"/>
        <w:rPr>
          <w:rFonts w:ascii="宋体" w:hAnsi="宋体" w:eastAsia="宋体"/>
          <w:sz w:val="28"/>
          <w:szCs w:val="28"/>
        </w:rPr>
      </w:pPr>
      <w:r>
        <w:rPr>
          <w:rFonts w:hint="eastAsia" w:ascii="宋体" w:hAnsi="宋体" w:eastAsia="宋体"/>
          <w:sz w:val="28"/>
          <w:szCs w:val="28"/>
        </w:rPr>
        <w:t xml:space="preserve">格式1《企业申明函》</w:t>
      </w:r>
      <w:r/>
    </w:p>
    <w:p>
      <w:pPr>
        <w:pStyle w:val="1005"/>
        <w:ind w:right="-92"/>
        <w:spacing w:line="500" w:lineRule="atLeast"/>
        <w:rPr>
          <w:rFonts w:ascii="宋体" w:hAnsi="宋体"/>
          <w:sz w:val="28"/>
          <w:szCs w:val="28"/>
        </w:rPr>
      </w:pPr>
      <w:r>
        <w:rPr>
          <w:rFonts w:ascii="宋体" w:hAnsi="宋体"/>
          <w:sz w:val="28"/>
          <w:szCs w:val="28"/>
        </w:rPr>
      </w:r>
      <w:r/>
    </w:p>
    <w:p>
      <w:pPr>
        <w:pStyle w:val="1005"/>
        <w:ind w:right="-92"/>
        <w:spacing w:line="500" w:lineRule="atLeast"/>
        <w:rPr>
          <w:rFonts w:ascii="宋体" w:hAnsi="宋体"/>
          <w:sz w:val="28"/>
          <w:szCs w:val="28"/>
        </w:rPr>
      </w:pPr>
      <w:r>
        <w:rPr>
          <w:rFonts w:ascii="宋体" w:hAnsi="宋体"/>
          <w:sz w:val="28"/>
          <w:szCs w:val="28"/>
        </w:rPr>
      </w:r>
      <w:r/>
    </w:p>
    <w:p>
      <w:pPr>
        <w:pStyle w:val="1005"/>
        <w:ind w:right="-92"/>
        <w:spacing w:line="500" w:lineRule="atLeast"/>
        <w:rPr>
          <w:rFonts w:ascii="宋体" w:hAnsi="宋体"/>
          <w:sz w:val="28"/>
          <w:szCs w:val="28"/>
        </w:rPr>
      </w:pPr>
      <w:r>
        <w:rPr>
          <w:rFonts w:ascii="宋体" w:hAnsi="宋体"/>
          <w:sz w:val="28"/>
          <w:szCs w:val="28"/>
        </w:rPr>
      </w:r>
      <w:r/>
    </w:p>
    <w:p>
      <w:pPr>
        <w:pStyle w:val="1005"/>
        <w:ind w:right="-92"/>
        <w:spacing w:line="500" w:lineRule="atLeast"/>
        <w:rPr>
          <w:rFonts w:ascii="宋体" w:hAnsi="宋体"/>
          <w:sz w:val="28"/>
          <w:szCs w:val="28"/>
        </w:rPr>
      </w:pPr>
      <w:r>
        <w:rPr>
          <w:rFonts w:ascii="宋体" w:hAnsi="宋体"/>
          <w:sz w:val="28"/>
          <w:szCs w:val="28"/>
        </w:rPr>
      </w:r>
      <w:r/>
    </w:p>
    <w:p>
      <w:pPr>
        <w:pStyle w:val="1005"/>
        <w:ind w:right="-92"/>
        <w:spacing w:line="500" w:lineRule="atLeast"/>
        <w:rPr>
          <w:rFonts w:ascii="宋体" w:hAnsi="宋体"/>
          <w:sz w:val="28"/>
          <w:szCs w:val="28"/>
        </w:rPr>
      </w:pPr>
      <w:r>
        <w:rPr>
          <w:rFonts w:ascii="宋体" w:hAnsi="宋体"/>
          <w:sz w:val="28"/>
          <w:szCs w:val="28"/>
        </w:rPr>
      </w:r>
      <w:r/>
    </w:p>
    <w:p>
      <w:pPr>
        <w:pStyle w:val="1005"/>
        <w:ind w:right="-92"/>
        <w:spacing w:line="500" w:lineRule="atLeast"/>
        <w:rPr>
          <w:rFonts w:ascii="宋体" w:hAnsi="宋体"/>
          <w:sz w:val="28"/>
          <w:szCs w:val="28"/>
        </w:rPr>
      </w:pPr>
      <w:r>
        <w:rPr>
          <w:rFonts w:ascii="宋体" w:hAnsi="宋体"/>
          <w:sz w:val="28"/>
          <w:szCs w:val="28"/>
        </w:rPr>
      </w:r>
      <w:r/>
    </w:p>
    <w:p>
      <w:pPr>
        <w:pStyle w:val="1005"/>
        <w:ind w:right="-92"/>
        <w:spacing w:line="500" w:lineRule="atLeast"/>
        <w:rPr>
          <w:rFonts w:ascii="宋体" w:hAnsi="宋体"/>
          <w:sz w:val="28"/>
          <w:szCs w:val="28"/>
        </w:rPr>
      </w:pPr>
      <w:r>
        <w:rPr>
          <w:rFonts w:ascii="宋体" w:hAnsi="宋体"/>
          <w:sz w:val="28"/>
          <w:szCs w:val="28"/>
        </w:rPr>
      </w:r>
      <w:r/>
    </w:p>
    <w:p>
      <w:pPr>
        <w:pStyle w:val="1005"/>
        <w:ind w:right="-92" w:firstLine="0"/>
        <w:spacing w:line="500" w:lineRule="atLeast"/>
        <w:rPr>
          <w:rFonts w:ascii="宋体" w:hAnsi="宋体"/>
          <w:sz w:val="28"/>
          <w:szCs w:val="28"/>
        </w:rPr>
      </w:pPr>
      <w:r>
        <w:rPr>
          <w:rFonts w:ascii="宋体" w:hAnsi="宋体"/>
          <w:sz w:val="28"/>
          <w:szCs w:val="28"/>
        </w:rPr>
      </w:r>
      <w:r/>
    </w:p>
    <w:p>
      <w:pPr>
        <w:pStyle w:val="997"/>
        <w:ind w:right="-92"/>
        <w:jc w:val="center"/>
        <w:spacing w:line="500" w:lineRule="atLeast"/>
        <w:rPr>
          <w:rFonts w:ascii="宋体" w:hAnsi="宋体" w:eastAsia="宋体"/>
          <w:sz w:val="28"/>
          <w:szCs w:val="28"/>
        </w:rPr>
      </w:pPr>
      <w:r>
        <w:rPr>
          <w:rFonts w:hint="eastAsia" w:ascii="宋体" w:hAnsi="宋体" w:eastAsia="宋体"/>
          <w:sz w:val="28"/>
          <w:szCs w:val="28"/>
        </w:rPr>
        <w:t xml:space="preserve">参加政府采购活动前 3 年内在经营活动中没有重大违法记录的书面声明</w:t>
      </w:r>
      <w:r/>
    </w:p>
    <w:p>
      <w:pPr>
        <w:ind w:right="-92"/>
        <w:spacing w:line="500" w:lineRule="atLeast"/>
        <w:rPr>
          <w:rFonts w:ascii="宋体" w:hAnsi="宋体"/>
          <w:b/>
          <w:bCs/>
          <w:sz w:val="28"/>
          <w:szCs w:val="28"/>
        </w:rPr>
      </w:pPr>
      <w:r>
        <w:rPr>
          <w:rFonts w:ascii="宋体" w:hAnsi="宋体"/>
          <w:b/>
          <w:bCs/>
          <w:sz w:val="28"/>
          <w:szCs w:val="28"/>
        </w:rPr>
      </w:r>
      <w:r/>
    </w:p>
    <w:p>
      <w:pPr>
        <w:ind w:right="-92"/>
        <w:jc w:val="center"/>
        <w:spacing w:line="500" w:lineRule="atLeast"/>
        <w:rPr>
          <w:rFonts w:ascii="宋体" w:hAnsi="宋体"/>
          <w:b/>
          <w:bCs/>
          <w:sz w:val="28"/>
          <w:szCs w:val="28"/>
        </w:rPr>
      </w:pPr>
      <w:r>
        <w:rPr>
          <w:rFonts w:hint="eastAsia" w:ascii="宋体" w:hAnsi="宋体"/>
          <w:b/>
          <w:bCs/>
          <w:sz w:val="28"/>
          <w:szCs w:val="28"/>
        </w:rPr>
        <w:t xml:space="preserve">声  明</w:t>
      </w:r>
      <w:r/>
    </w:p>
    <w:p>
      <w:pPr>
        <w:ind w:firstLine="560"/>
        <w:spacing w:line="500" w:lineRule="atLeast"/>
        <w:rPr>
          <w:rFonts w:ascii="宋体" w:hAnsi="宋体"/>
          <w:bCs/>
          <w:sz w:val="28"/>
          <w:szCs w:val="28"/>
        </w:rPr>
      </w:pPr>
      <w:r>
        <w:rPr>
          <w:rFonts w:hint="eastAsia" w:ascii="宋体" w:hAnsi="宋体"/>
          <w:bCs/>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right="-92"/>
        <w:spacing w:line="500" w:lineRule="atLeast"/>
        <w:rPr>
          <w:rFonts w:ascii="宋体" w:hAnsi="宋体"/>
          <w:bCs/>
          <w:sz w:val="28"/>
          <w:szCs w:val="28"/>
        </w:rPr>
      </w:pPr>
      <w:r>
        <w:rPr>
          <w:rFonts w:hint="eastAsia" w:ascii="宋体" w:hAnsi="宋体"/>
          <w:bCs/>
          <w:sz w:val="28"/>
          <w:szCs w:val="28"/>
        </w:rPr>
        <w:t xml:space="preserve">                                      供应商名称（公章）：</w:t>
      </w:r>
      <w:r/>
    </w:p>
    <w:p>
      <w:pPr>
        <w:ind w:right="-92"/>
        <w:spacing w:line="500" w:lineRule="atLeast"/>
        <w:rPr>
          <w:rFonts w:ascii="宋体" w:hAnsi="宋体"/>
          <w:bCs/>
          <w:sz w:val="28"/>
          <w:szCs w:val="28"/>
        </w:rPr>
      </w:pPr>
      <w:r>
        <w:rPr>
          <w:rFonts w:hint="eastAsia" w:ascii="宋体" w:hAnsi="宋体"/>
          <w:bCs/>
          <w:sz w:val="28"/>
          <w:szCs w:val="28"/>
        </w:rPr>
        <w:t xml:space="preserve">                                  </w:t>
      </w:r>
      <w:r/>
    </w:p>
    <w:p>
      <w:pPr>
        <w:ind w:right="-92"/>
        <w:spacing w:line="500" w:lineRule="atLeast"/>
        <w:rPr>
          <w:rFonts w:ascii="宋体" w:hAnsi="宋体"/>
          <w:bCs/>
          <w:sz w:val="28"/>
          <w:szCs w:val="28"/>
        </w:rPr>
      </w:pPr>
      <w:r>
        <w:rPr>
          <w:rFonts w:hint="eastAsia" w:ascii="宋体" w:hAnsi="宋体"/>
          <w:bCs/>
          <w:sz w:val="28"/>
          <w:szCs w:val="28"/>
        </w:rPr>
        <w:t xml:space="preserve">                                      日期：</w:t>
      </w:r>
      <w:r>
        <w:rPr>
          <w:rFonts w:hint="eastAsia" w:ascii="宋体" w:hAnsi="宋体"/>
          <w:bCs/>
          <w:sz w:val="28"/>
          <w:szCs w:val="28"/>
          <w:u w:val="single"/>
        </w:rPr>
        <w:t xml:space="preserve">______</w:t>
      </w:r>
      <w:r>
        <w:rPr>
          <w:rFonts w:hint="eastAsia" w:ascii="宋体" w:hAnsi="宋体"/>
          <w:bCs/>
          <w:sz w:val="28"/>
          <w:szCs w:val="28"/>
        </w:rPr>
        <w:t xml:space="preserve">年 </w:t>
      </w:r>
      <w:r>
        <w:rPr>
          <w:rFonts w:ascii="宋体" w:hAnsi="宋体"/>
          <w:bCs/>
          <w:sz w:val="28"/>
          <w:szCs w:val="28"/>
        </w:rPr>
        <w:t xml:space="preserve">  </w:t>
      </w:r>
      <w:r>
        <w:rPr>
          <w:rFonts w:hint="eastAsia" w:ascii="宋体" w:hAnsi="宋体"/>
          <w:bCs/>
          <w:sz w:val="28"/>
          <w:szCs w:val="28"/>
        </w:rPr>
        <w:t xml:space="preserve">月 </w:t>
      </w:r>
      <w:r>
        <w:rPr>
          <w:rFonts w:ascii="宋体" w:hAnsi="宋体"/>
          <w:bCs/>
          <w:sz w:val="28"/>
          <w:szCs w:val="28"/>
        </w:rPr>
        <w:t xml:space="preserve">  </w:t>
      </w:r>
      <w:r>
        <w:rPr>
          <w:rFonts w:hint="eastAsia" w:ascii="宋体" w:hAnsi="宋体"/>
          <w:bCs/>
          <w:sz w:val="28"/>
          <w:szCs w:val="28"/>
        </w:rPr>
        <w:t xml:space="preserve">日</w:t>
      </w:r>
      <w:r/>
    </w:p>
    <w:p>
      <w:pPr>
        <w:ind w:right="-92"/>
        <w:spacing w:line="500" w:lineRule="atLeast"/>
        <w:rPr>
          <w:rFonts w:ascii="宋体" w:hAnsi="宋体"/>
          <w:bCs/>
          <w:sz w:val="28"/>
          <w:szCs w:val="28"/>
        </w:rPr>
      </w:pPr>
      <w:r>
        <w:rPr>
          <w:rFonts w:ascii="宋体" w:hAnsi="宋体"/>
          <w:bCs/>
          <w:sz w:val="28"/>
          <w:szCs w:val="28"/>
        </w:rPr>
      </w:r>
      <w:r/>
    </w:p>
    <w:p>
      <w:pPr>
        <w:ind w:right="-92"/>
        <w:spacing w:line="500" w:lineRule="atLeast"/>
        <w:rPr>
          <w:rFonts w:ascii="宋体" w:hAnsi="宋体"/>
          <w:bCs/>
          <w:sz w:val="28"/>
          <w:szCs w:val="28"/>
        </w:rPr>
      </w:pPr>
      <w:r>
        <w:rPr>
          <w:rFonts w:ascii="宋体" w:hAnsi="宋体"/>
          <w:bCs/>
          <w:sz w:val="28"/>
          <w:szCs w:val="28"/>
        </w:rPr>
      </w:r>
      <w:r/>
    </w:p>
    <w:p>
      <w:pPr>
        <w:ind w:right="-92"/>
        <w:spacing w:line="500" w:lineRule="atLeast"/>
        <w:rPr>
          <w:rFonts w:ascii="宋体" w:hAnsi="宋体"/>
          <w:bCs/>
          <w:sz w:val="28"/>
          <w:szCs w:val="28"/>
        </w:rPr>
      </w:pPr>
      <w:r>
        <w:rPr>
          <w:rFonts w:ascii="宋体" w:hAnsi="宋体"/>
          <w:bCs/>
          <w:sz w:val="28"/>
          <w:szCs w:val="28"/>
        </w:rPr>
      </w:r>
      <w:r/>
    </w:p>
    <w:p>
      <w:pPr>
        <w:ind w:right="-92"/>
        <w:spacing w:line="500" w:lineRule="atLeast"/>
        <w:rPr>
          <w:rFonts w:ascii="宋体" w:hAnsi="宋体"/>
          <w:bCs/>
          <w:sz w:val="28"/>
          <w:szCs w:val="28"/>
        </w:rPr>
      </w:pPr>
      <w:r>
        <w:rPr>
          <w:rFonts w:ascii="宋体" w:hAnsi="宋体"/>
          <w:bCs/>
          <w:sz w:val="28"/>
          <w:szCs w:val="28"/>
        </w:rPr>
      </w:r>
      <w:r/>
    </w:p>
    <w:p>
      <w:pPr>
        <w:ind w:right="-92"/>
        <w:spacing w:line="500" w:lineRule="atLeast"/>
        <w:rPr>
          <w:rFonts w:ascii="宋体" w:hAnsi="宋体"/>
          <w:bCs/>
          <w:sz w:val="28"/>
          <w:szCs w:val="28"/>
        </w:rPr>
      </w:pPr>
      <w:r>
        <w:rPr>
          <w:rFonts w:ascii="宋体" w:hAnsi="宋体"/>
          <w:bCs/>
          <w:sz w:val="28"/>
          <w:szCs w:val="28"/>
        </w:rPr>
      </w:r>
      <w:r/>
    </w:p>
    <w:p>
      <w:pPr>
        <w:ind w:right="-92"/>
        <w:spacing w:line="500" w:lineRule="atLeast"/>
        <w:rPr>
          <w:rFonts w:ascii="宋体" w:hAnsi="宋体"/>
          <w:bCs/>
          <w:sz w:val="28"/>
          <w:szCs w:val="28"/>
        </w:rPr>
      </w:pPr>
      <w:r>
        <w:rPr>
          <w:rFonts w:ascii="宋体" w:hAnsi="宋体"/>
          <w:bCs/>
          <w:sz w:val="28"/>
          <w:szCs w:val="28"/>
        </w:rPr>
      </w:r>
      <w:r/>
    </w:p>
    <w:p>
      <w:pPr>
        <w:ind w:right="-92"/>
        <w:spacing w:line="500" w:lineRule="atLeast"/>
        <w:rPr>
          <w:rFonts w:ascii="宋体" w:hAnsi="宋体"/>
          <w:bCs/>
          <w:sz w:val="28"/>
          <w:szCs w:val="28"/>
        </w:rPr>
      </w:pPr>
      <w:r>
        <w:rPr>
          <w:rFonts w:ascii="宋体" w:hAnsi="宋体"/>
          <w:bCs/>
          <w:sz w:val="28"/>
          <w:szCs w:val="28"/>
        </w:rPr>
      </w:r>
      <w:r/>
    </w:p>
    <w:p>
      <w:pPr>
        <w:pStyle w:val="997"/>
        <w:ind w:right="-92"/>
        <w:jc w:val="center"/>
        <w:spacing w:line="500" w:lineRule="atLeast"/>
        <w:rPr>
          <w:rFonts w:ascii="宋体" w:hAnsi="宋体"/>
          <w:sz w:val="28"/>
          <w:szCs w:val="28"/>
        </w:rPr>
      </w:pPr>
      <w:r>
        <w:rPr>
          <w:rFonts w:hint="eastAsia" w:ascii="宋体" w:hAnsi="宋体"/>
          <w:sz w:val="28"/>
          <w:szCs w:val="28"/>
        </w:rPr>
        <w:br w:type="page" w:clear="all"/>
      </w:r>
      <w:r>
        <w:rPr>
          <w:rFonts w:hint="eastAsia" w:ascii="宋体" w:hAnsi="宋体"/>
          <w:sz w:val="28"/>
          <w:szCs w:val="28"/>
        </w:rPr>
        <w:t xml:space="preserve">法人授权书</w:t>
      </w:r>
      <w:r/>
    </w:p>
    <w:p>
      <w:pPr>
        <w:pStyle w:val="1050"/>
        <w:ind w:right="-92" w:firstLine="560"/>
        <w:spacing w:line="500" w:lineRule="atLeast"/>
        <w:rPr>
          <w:rFonts w:ascii="宋体" w:hAnsi="宋体"/>
          <w:szCs w:val="28"/>
        </w:rPr>
      </w:pPr>
      <w:r>
        <w:rPr>
          <w:rFonts w:hint="eastAsia" w:ascii="宋体" w:hAnsi="宋体"/>
          <w:szCs w:val="28"/>
        </w:rPr>
        <w:t xml:space="preserve">本授权书声明：____________（供应商名称）授权________________（被授权人的姓名）为我方就 编号项目采购活动的合法代理人，以本公司名义全权处理一切与该项目采购有关的事务。</w:t>
      </w:r>
      <w:r/>
    </w:p>
    <w:p>
      <w:pPr>
        <w:pStyle w:val="1050"/>
        <w:ind w:right="-92" w:firstLine="560"/>
        <w:spacing w:line="500" w:lineRule="atLeast"/>
        <w:rPr>
          <w:rFonts w:ascii="宋体" w:hAnsi="宋体"/>
          <w:szCs w:val="28"/>
        </w:rPr>
      </w:pPr>
      <w:r>
        <w:rPr>
          <w:rFonts w:hint="eastAsia" w:ascii="宋体" w:hAnsi="宋体"/>
          <w:szCs w:val="28"/>
        </w:rPr>
        <w:t xml:space="preserve">本授权书于______年____月____日起生效，特此声明。</w:t>
      </w:r>
      <w:r/>
    </w:p>
    <w:p>
      <w:pPr>
        <w:pStyle w:val="1050"/>
        <w:ind w:right="-92" w:firstLine="0"/>
        <w:spacing w:line="500" w:lineRule="atLeast"/>
        <w:rPr>
          <w:rFonts w:ascii="宋体" w:hAnsi="宋体"/>
          <w:szCs w:val="28"/>
        </w:rPr>
      </w:pPr>
      <w:r>
        <w:rPr>
          <w:rFonts w:hint="eastAsia" w:ascii="宋体" w:hAnsi="宋体"/>
          <w:szCs w:val="28"/>
        </w:rPr>
        <w:t xml:space="preserve">          代理人（被授权人）：_______________________</w:t>
      </w:r>
      <w:r/>
    </w:p>
    <w:p>
      <w:pPr>
        <w:pStyle w:val="1050"/>
        <w:ind w:right="-92" w:firstLine="0"/>
        <w:spacing w:line="500" w:lineRule="atLeast"/>
        <w:rPr>
          <w:rFonts w:ascii="宋体" w:hAnsi="宋体"/>
          <w:szCs w:val="28"/>
        </w:rPr>
      </w:pPr>
      <w:r>
        <w:rPr>
          <w:rFonts w:ascii="宋体" w:hAnsi="宋体"/>
          <w:szCs w:val="28"/>
        </w:rPr>
      </w:r>
      <w:r/>
    </w:p>
    <w:p>
      <w:pPr>
        <w:pStyle w:val="1050"/>
        <w:ind w:right="-92" w:firstLine="0"/>
        <w:spacing w:line="500" w:lineRule="atLeast"/>
        <w:rPr>
          <w:rFonts w:ascii="宋体" w:hAnsi="宋体"/>
          <w:szCs w:val="28"/>
        </w:rPr>
      </w:pPr>
      <w:r>
        <w:rPr>
          <w:rFonts w:hint="eastAsia" w:ascii="宋体" w:hAnsi="宋体"/>
          <w:szCs w:val="28"/>
        </w:rPr>
        <w:t xml:space="preserve">          单位名称：_____________________________________</w:t>
      </w:r>
      <w:r/>
    </w:p>
    <w:p>
      <w:pPr>
        <w:pStyle w:val="1050"/>
        <w:ind w:right="-92" w:firstLine="560"/>
        <w:spacing w:line="500" w:lineRule="atLeast"/>
        <w:rPr>
          <w:rFonts w:ascii="宋体" w:hAnsi="宋体"/>
          <w:szCs w:val="28"/>
        </w:rPr>
      </w:pPr>
      <w:r>
        <w:rPr>
          <w:rFonts w:ascii="宋体" w:hAnsi="宋体"/>
          <w:szCs w:val="28"/>
        </w:rPr>
      </w:r>
      <w:r/>
    </w:p>
    <w:p>
      <w:pPr>
        <w:pStyle w:val="1050"/>
        <w:ind w:right="-92" w:firstLine="0"/>
        <w:spacing w:line="500" w:lineRule="atLeast"/>
        <w:rPr>
          <w:rFonts w:ascii="宋体" w:hAnsi="宋体"/>
          <w:szCs w:val="28"/>
        </w:rPr>
      </w:pPr>
      <w:r>
        <w:rPr>
          <w:rFonts w:hint="eastAsia" w:ascii="宋体" w:hAnsi="宋体"/>
          <w:szCs w:val="28"/>
        </w:rPr>
        <w:t xml:space="preserve">          授权单位盖章：_________________________________</w:t>
      </w:r>
      <w:r/>
    </w:p>
    <w:p>
      <w:pPr>
        <w:pStyle w:val="1050"/>
        <w:ind w:right="-92" w:firstLine="560"/>
        <w:spacing w:line="500" w:lineRule="atLeast"/>
        <w:rPr>
          <w:rFonts w:ascii="宋体" w:hAnsi="宋体"/>
          <w:szCs w:val="28"/>
        </w:rPr>
      </w:pPr>
      <w:r>
        <w:rPr>
          <w:rFonts w:hint="eastAsia" w:ascii="宋体" w:hAnsi="宋体"/>
          <w:szCs w:val="28"/>
        </w:rPr>
        <w:t xml:space="preserve">      单位名称：_____________________________________</w:t>
      </w:r>
      <w:r/>
    </w:p>
    <w:p>
      <w:pPr>
        <w:pStyle w:val="1050"/>
        <w:ind w:right="-92" w:firstLine="560"/>
        <w:spacing w:line="500" w:lineRule="atLeast"/>
        <w:rPr>
          <w:rFonts w:ascii="宋体" w:hAnsi="宋体"/>
          <w:szCs w:val="28"/>
          <w:u w:val="single"/>
        </w:rPr>
      </w:pPr>
      <w:r>
        <w:rPr>
          <w:rFonts w:hint="eastAsia" w:ascii="宋体" w:hAnsi="宋体"/>
          <w:szCs w:val="28"/>
        </w:rPr>
        <w:t xml:space="preserve">      地址：</w:t>
      </w:r>
      <w:r/>
    </w:p>
    <w:p>
      <w:pPr>
        <w:pStyle w:val="1050"/>
        <w:ind w:right="-92" w:firstLine="560"/>
        <w:spacing w:line="500" w:lineRule="atLeast"/>
        <w:rPr>
          <w:rFonts w:ascii="宋体" w:hAnsi="宋体"/>
          <w:szCs w:val="28"/>
        </w:rPr>
      </w:pPr>
      <w:r>
        <w:rPr>
          <w:rFonts w:hint="eastAsia" w:ascii="宋体" w:hAnsi="宋体"/>
          <w:szCs w:val="28"/>
        </w:rPr>
        <w:t xml:space="preserve">      日期：                    </w:t>
      </w:r>
      <w:r/>
    </w:p>
    <w:p>
      <w:pPr>
        <w:pStyle w:val="997"/>
        <w:ind w:right="-92"/>
        <w:spacing w:line="500" w:lineRule="atLeast"/>
        <w:rPr>
          <w:rFonts w:ascii="宋体" w:hAnsi="宋体"/>
          <w:sz w:val="28"/>
          <w:szCs w:val="28"/>
        </w:rPr>
      </w:pPr>
      <w:r/>
      <w:bookmarkStart w:id="359" w:name="_格式3__银行出具的资信证明"/>
      <w:r/>
      <w:bookmarkStart w:id="360" w:name="_Hlt26671380"/>
      <w:r/>
      <w:bookmarkStart w:id="361" w:name="_Hlt26955070"/>
      <w:r/>
      <w:bookmarkEnd w:id="359"/>
      <w:r/>
      <w:bookmarkEnd w:id="360"/>
      <w:r/>
      <w:bookmarkEnd w:id="361"/>
      <w:r/>
      <w:r/>
    </w:p>
    <w:p>
      <w:pPr>
        <w:pStyle w:val="1005"/>
        <w:ind w:right="-92"/>
        <w:spacing w:line="500" w:lineRule="atLeast"/>
        <w:rPr>
          <w:rFonts w:ascii="宋体" w:hAnsi="宋体"/>
          <w:sz w:val="28"/>
          <w:szCs w:val="28"/>
        </w:rPr>
      </w:pPr>
      <w:r>
        <w:rPr>
          <w:rFonts w:ascii="宋体" w:hAnsi="宋体"/>
          <w:sz w:val="28"/>
          <w:szCs w:val="28"/>
        </w:rPr>
      </w:r>
      <w:r/>
    </w:p>
    <w:p>
      <w:pPr>
        <w:pStyle w:val="1005"/>
        <w:ind w:right="-92"/>
        <w:spacing w:line="500" w:lineRule="atLeast"/>
        <w:rPr>
          <w:rFonts w:ascii="宋体" w:hAnsi="宋体"/>
          <w:sz w:val="28"/>
          <w:szCs w:val="28"/>
        </w:rPr>
      </w:pPr>
      <w:r>
        <w:rPr>
          <w:rFonts w:ascii="宋体" w:hAnsi="宋体"/>
          <w:sz w:val="28"/>
          <w:szCs w:val="28"/>
        </w:rPr>
      </w:r>
      <w:r/>
    </w:p>
    <w:p>
      <w:pPr>
        <w:pStyle w:val="1005"/>
        <w:ind w:right="-92"/>
        <w:spacing w:line="500" w:lineRule="atLeast"/>
        <w:rPr>
          <w:rFonts w:ascii="宋体" w:hAnsi="宋体"/>
          <w:sz w:val="28"/>
          <w:szCs w:val="28"/>
        </w:rPr>
      </w:pPr>
      <w:r>
        <w:rPr>
          <w:rFonts w:ascii="宋体" w:hAnsi="宋体"/>
          <w:sz w:val="28"/>
          <w:szCs w:val="28"/>
        </w:rPr>
      </w:r>
      <w:r/>
    </w:p>
    <w:p>
      <w:pPr>
        <w:ind w:right="-92"/>
        <w:spacing w:line="500" w:lineRule="atLeast"/>
        <w:rPr>
          <w:rFonts w:ascii="宋体" w:hAnsi="宋体"/>
          <w:b/>
          <w:bCs/>
          <w:sz w:val="28"/>
          <w:szCs w:val="28"/>
        </w:rPr>
      </w:pPr>
      <w:r>
        <w:rPr>
          <w:rFonts w:ascii="宋体" w:hAnsi="宋体"/>
          <w:b/>
          <w:bCs/>
          <w:sz w:val="28"/>
          <w:szCs w:val="28"/>
        </w:rPr>
      </w:r>
      <w:r/>
    </w:p>
    <w:p>
      <w:pPr>
        <w:ind w:right="-92"/>
        <w:spacing w:line="500" w:lineRule="atLeast"/>
        <w:rPr>
          <w:rFonts w:ascii="宋体" w:hAnsi="宋体"/>
          <w:b/>
          <w:bCs/>
          <w:sz w:val="28"/>
          <w:szCs w:val="28"/>
        </w:rPr>
      </w:pPr>
      <w:r>
        <w:rPr>
          <w:rFonts w:hint="eastAsia" w:ascii="宋体" w:hAnsi="宋体"/>
          <w:b/>
          <w:bCs/>
          <w:sz w:val="28"/>
          <w:szCs w:val="28"/>
        </w:rPr>
        <w:br w:type="page" w:clear="all"/>
      </w:r>
      <w:r>
        <w:rPr>
          <w:rFonts w:hint="eastAsia" w:ascii="宋体" w:hAnsi="宋体"/>
          <w:b/>
          <w:bCs/>
          <w:sz w:val="28"/>
          <w:szCs w:val="28"/>
        </w:rPr>
      </w:r>
      <w:r/>
    </w:p>
    <w:p>
      <w:pPr>
        <w:ind w:firstLine="301"/>
        <w:jc w:val="center"/>
        <w:spacing w:line="560" w:lineRule="exact"/>
        <w:rPr>
          <w:rFonts w:ascii="宋体" w:hAnsi="宋体"/>
          <w:b/>
          <w:sz w:val="30"/>
        </w:rPr>
      </w:pPr>
      <w:r>
        <w:rPr>
          <w:rFonts w:hint="eastAsia" w:ascii="宋体" w:hAnsi="宋体"/>
          <w:b/>
          <w:sz w:val="30"/>
        </w:rPr>
        <w:t xml:space="preserve">中小企业声明函（如有）</w:t>
      </w:r>
      <w:r/>
    </w:p>
    <w:p>
      <w:pPr>
        <w:ind w:firstLine="420"/>
        <w:spacing w:line="6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 号）的规定，本公司（联合体）参加 </w:t>
      </w:r>
      <w:r>
        <w:rPr>
          <w:rFonts w:hint="eastAsia" w:ascii="宋体" w:hAnsi="宋体"/>
          <w:sz w:val="24"/>
          <w:szCs w:val="24"/>
          <w:u w:val="single"/>
        </w:rPr>
        <w:t xml:space="preserve">（单位名称） </w:t>
      </w:r>
      <w:r>
        <w:rPr>
          <w:rFonts w:hint="eastAsia" w:ascii="宋体" w:hAnsi="宋体"/>
          <w:sz w:val="24"/>
          <w:szCs w:val="24"/>
        </w:rPr>
        <w:t xml:space="preserve">的</w:t>
      </w:r>
      <w:r>
        <w:rPr>
          <w:rFonts w:hint="eastAsia" w:ascii="宋体" w:hAnsi="宋体"/>
          <w:sz w:val="24"/>
          <w:szCs w:val="24"/>
          <w:u w:val="single"/>
        </w:rPr>
        <w:t xml:space="preserve"> （项目名称） </w:t>
      </w:r>
      <w:r>
        <w:rPr>
          <w:rFonts w:hint="eastAsia" w:ascii="宋体" w:hAnsi="宋体"/>
          <w:sz w:val="24"/>
          <w:szCs w:val="24"/>
        </w:rPr>
        <w:t xml:space="preserve">采购活动，服务全部由符合政策要求的中小企业承接。相关企业（含联合体中的中小企业、签订分包意向协议的中小企业）的具体情况如下：</w:t>
      </w:r>
      <w:r/>
    </w:p>
    <w:p>
      <w:pPr>
        <w:ind w:firstLine="420"/>
        <w:spacing w:line="6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（标的名称） </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；承建（承接）企业为</w:t>
      </w:r>
      <w:r>
        <w:rPr>
          <w:rFonts w:hint="eastAsia" w:ascii="宋体" w:hAnsi="宋体"/>
          <w:sz w:val="24"/>
          <w:szCs w:val="24"/>
          <w:u w:val="single"/>
        </w:rPr>
        <w:t xml:space="preserve"> （企业名称） </w:t>
      </w:r>
      <w:r>
        <w:rPr>
          <w:rFonts w:hint="eastAsia" w:ascii="宋体" w:hAnsi="宋体"/>
          <w:sz w:val="24"/>
          <w:szCs w:val="24"/>
        </w:rPr>
        <w:t xml:space="preserve">，从业人员人，营业收入为 万元，资产总额为万元 ，属于</w:t>
      </w:r>
      <w:r>
        <w:rPr>
          <w:rFonts w:hint="eastAsia" w:ascii="宋体" w:hAnsi="宋体"/>
          <w:sz w:val="24"/>
          <w:szCs w:val="24"/>
          <w:u w:val="single"/>
        </w:rPr>
        <w:t xml:space="preserve"> （中型企业、小型企业、微型企业） </w:t>
      </w:r>
      <w:r>
        <w:rPr>
          <w:rFonts w:hint="eastAsia" w:ascii="宋体" w:hAnsi="宋体"/>
          <w:sz w:val="24"/>
          <w:szCs w:val="24"/>
        </w:rPr>
        <w:t xml:space="preserve">；</w:t>
      </w:r>
      <w:r/>
    </w:p>
    <w:p>
      <w:pPr>
        <w:ind w:firstLine="420"/>
        <w:spacing w:line="600" w:lineRule="exact"/>
        <w:rPr>
          <w:rFonts w:ascii="宋体" w:hAnsi="宋体"/>
          <w:sz w:val="24"/>
          <w:szCs w:val="24"/>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；承建（承接）企业为</w:t>
      </w:r>
      <w:r>
        <w:rPr>
          <w:rFonts w:hint="eastAsia" w:ascii="宋体" w:hAnsi="宋体"/>
          <w:sz w:val="24"/>
          <w:szCs w:val="24"/>
          <w:u w:val="single"/>
        </w:rPr>
        <w:t xml:space="preserve"> （企业名称） </w:t>
      </w:r>
      <w:r>
        <w:rPr>
          <w:rFonts w:hint="eastAsia" w:ascii="宋体" w:hAnsi="宋体"/>
          <w:sz w:val="24"/>
          <w:szCs w:val="24"/>
        </w:rPr>
        <w:t xml:space="preserve">，从业人员人，营业收入为 万元，资产总额为万元 ，属于</w:t>
      </w:r>
      <w:r>
        <w:rPr>
          <w:rFonts w:hint="eastAsia" w:ascii="宋体" w:hAnsi="宋体"/>
          <w:sz w:val="24"/>
          <w:szCs w:val="24"/>
          <w:u w:val="single"/>
        </w:rPr>
        <w:t xml:space="preserve"> （中型企业、小型企业、微型企业）</w:t>
      </w:r>
      <w:r>
        <w:rPr>
          <w:rFonts w:hint="eastAsia" w:ascii="宋体" w:hAnsi="宋体"/>
          <w:sz w:val="24"/>
          <w:szCs w:val="24"/>
        </w:rPr>
        <w:t xml:space="preserve">；</w:t>
      </w:r>
      <w:r/>
    </w:p>
    <w:p>
      <w:pPr>
        <w:ind w:firstLine="420"/>
        <w:spacing w:line="600" w:lineRule="exact"/>
        <w:rPr>
          <w:rFonts w:ascii="宋体" w:hAnsi="宋体"/>
          <w:sz w:val="24"/>
          <w:szCs w:val="24"/>
        </w:rPr>
      </w:pPr>
      <w:r>
        <w:rPr>
          <w:rFonts w:hint="eastAsia" w:ascii="宋体" w:hAnsi="宋体"/>
          <w:sz w:val="24"/>
          <w:szCs w:val="24"/>
        </w:rPr>
        <w:t xml:space="preserve">……</w:t>
      </w:r>
      <w:r/>
    </w:p>
    <w:p>
      <w:pPr>
        <w:ind w:firstLine="420"/>
        <w:spacing w:line="6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20"/>
        <w:spacing w:line="6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firstLine="420"/>
        <w:spacing w:line="600" w:lineRule="exact"/>
        <w:rPr>
          <w:rFonts w:ascii="宋体" w:hAnsi="宋体"/>
          <w:sz w:val="24"/>
          <w:szCs w:val="24"/>
        </w:rPr>
      </w:pPr>
      <w:r>
        <w:rPr>
          <w:rFonts w:ascii="宋体" w:hAnsi="宋体"/>
          <w:sz w:val="24"/>
          <w:szCs w:val="24"/>
        </w:rPr>
      </w:r>
      <w:r/>
    </w:p>
    <w:p>
      <w:pPr>
        <w:ind w:firstLine="360"/>
        <w:spacing w:line="580" w:lineRule="exact"/>
        <w:rPr>
          <w:rFonts w:ascii="宋体" w:hAnsi="宋体"/>
          <w:sz w:val="24"/>
          <w:szCs w:val="24"/>
        </w:rPr>
      </w:pPr>
      <w:r>
        <w:rPr>
          <w:rFonts w:ascii="宋体" w:hAnsi="宋体"/>
          <w:sz w:val="24"/>
          <w:szCs w:val="24"/>
        </w:rPr>
      </w:r>
      <w:r/>
    </w:p>
    <w:p>
      <w:pPr>
        <w:ind w:firstLine="3720"/>
        <w:spacing w:line="580" w:lineRule="exact"/>
        <w:rPr>
          <w:rFonts w:ascii="宋体" w:hAnsi="宋体"/>
          <w:sz w:val="24"/>
          <w:szCs w:val="24"/>
        </w:rPr>
      </w:pPr>
      <w:r>
        <w:rPr>
          <w:rFonts w:hint="eastAsia" w:ascii="宋体" w:hAnsi="宋体"/>
          <w:sz w:val="24"/>
          <w:szCs w:val="24"/>
        </w:rPr>
        <w:t xml:space="preserve">企业名称</w:t>
      </w:r>
      <w:r>
        <w:rPr>
          <w:rFonts w:ascii="宋体" w:hAnsi="宋体"/>
          <w:sz w:val="24"/>
          <w:szCs w:val="24"/>
        </w:rPr>
        <w:t xml:space="preserve">(</w:t>
      </w:r>
      <w:r>
        <w:rPr>
          <w:rFonts w:hint="eastAsia" w:ascii="宋体" w:hAnsi="宋体"/>
          <w:sz w:val="24"/>
          <w:szCs w:val="24"/>
        </w:rPr>
        <w:t xml:space="preserve">盖章</w:t>
      </w:r>
      <w:r>
        <w:rPr>
          <w:rFonts w:ascii="宋体" w:hAnsi="宋体"/>
          <w:sz w:val="24"/>
          <w:szCs w:val="24"/>
        </w:rPr>
        <w:t xml:space="preserve">)</w:t>
      </w:r>
      <w:r>
        <w:rPr>
          <w:rFonts w:hint="eastAsia" w:ascii="宋体" w:hAnsi="宋体"/>
          <w:sz w:val="24"/>
          <w:szCs w:val="24"/>
        </w:rPr>
        <w:t xml:space="preserve">：</w:t>
      </w:r>
      <w:r/>
    </w:p>
    <w:p>
      <w:pPr>
        <w:ind w:firstLine="3720"/>
        <w:spacing w:line="580" w:lineRule="exact"/>
        <w:rPr>
          <w:rFonts w:ascii="宋体" w:hAnsi="宋体"/>
          <w:sz w:val="24"/>
          <w:szCs w:val="24"/>
        </w:rPr>
      </w:pPr>
      <w:r>
        <w:rPr>
          <w:rFonts w:hint="eastAsia" w:ascii="宋体" w:hAnsi="宋体"/>
          <w:sz w:val="24"/>
          <w:szCs w:val="24"/>
        </w:rPr>
        <w:t xml:space="preserve">日期：</w:t>
      </w:r>
      <w:r/>
    </w:p>
    <w:p>
      <w:pPr>
        <w:ind w:firstLine="420"/>
        <w:jc w:val="left"/>
        <w:rPr>
          <w:rFonts w:ascii="宋体" w:hAnsi="宋体"/>
          <w:sz w:val="24"/>
          <w:szCs w:val="24"/>
        </w:rPr>
      </w:pPr>
      <w:r>
        <w:rPr>
          <w:rFonts w:hint="eastAsia" w:ascii="宋体" w:hAnsi="宋体"/>
          <w:sz w:val="24"/>
          <w:szCs w:val="24"/>
        </w:rPr>
        <w:t xml:space="preserve">注：从业人员、营业收入、资产总额填报上一年度数据，无上一年度数据的新成立企业可不填报。</w:t>
      </w:r>
      <w:r/>
    </w:p>
    <w:p>
      <w:pPr>
        <w:jc w:val="left"/>
        <w:widowControl/>
        <w:rPr>
          <w:rFonts w:ascii="宋体" w:hAnsi="宋体"/>
        </w:rPr>
      </w:pPr>
      <w:r>
        <w:rPr>
          <w:rFonts w:ascii="宋体" w:hAnsi="宋体"/>
        </w:rPr>
      </w:r>
      <w:r/>
    </w:p>
    <w:p>
      <w:pPr>
        <w:ind w:right="-92"/>
        <w:jc w:val="center"/>
        <w:spacing w:before="50" w:after="50" w:line="500" w:lineRule="atLeast"/>
        <w:rPr>
          <w:rFonts w:ascii="宋体" w:hAnsi="宋体"/>
          <w:bCs/>
          <w:sz w:val="28"/>
          <w:szCs w:val="28"/>
        </w:rPr>
      </w:pPr>
      <w:r>
        <w:rPr>
          <w:rFonts w:ascii="宋体" w:hAnsi="宋体"/>
          <w:bCs/>
          <w:sz w:val="28"/>
          <w:szCs w:val="28"/>
        </w:rPr>
      </w:r>
      <w:r/>
    </w:p>
    <w:p>
      <w:pPr>
        <w:ind w:right="-92"/>
        <w:jc w:val="center"/>
        <w:spacing w:line="500" w:lineRule="atLeast"/>
        <w:rPr>
          <w:rFonts w:ascii="宋体" w:hAnsi="宋体" w:cs="宋体"/>
          <w:sz w:val="28"/>
          <w:szCs w:val="28"/>
        </w:rPr>
        <w:outlineLvl w:val="2"/>
      </w:pPr>
      <w:r>
        <w:rPr>
          <w:rFonts w:hint="eastAsia" w:ascii="宋体" w:hAnsi="宋体"/>
          <w:bCs/>
          <w:sz w:val="28"/>
          <w:szCs w:val="28"/>
        </w:rPr>
        <w:br w:type="page" w:clear="all"/>
      </w:r>
      <w:r>
        <w:rPr>
          <w:rFonts w:hint="eastAsia" w:ascii="宋体" w:hAnsi="宋体" w:cs="宋体"/>
          <w:b/>
          <w:sz w:val="28"/>
          <w:szCs w:val="28"/>
        </w:rPr>
        <w:t xml:space="preserve">属于监狱企业的证明文件（若属于监狱企业）</w:t>
      </w:r>
      <w:r/>
    </w:p>
    <w:p>
      <w:pPr>
        <w:ind w:right="-92"/>
        <w:spacing w:line="500" w:lineRule="atLeast"/>
        <w:rPr>
          <w:rFonts w:ascii="宋体" w:hAnsi="宋体" w:cs="宋体"/>
          <w:sz w:val="28"/>
          <w:szCs w:val="28"/>
        </w:rPr>
      </w:pPr>
      <w:r>
        <w:rPr>
          <w:rFonts w:ascii="宋体" w:hAnsi="宋体" w:cs="宋体"/>
          <w:sz w:val="28"/>
          <w:szCs w:val="28"/>
        </w:rPr>
      </w:r>
      <w:r/>
    </w:p>
    <w:p>
      <w:pPr>
        <w:ind w:right="-92" w:firstLine="426"/>
        <w:spacing w:line="500" w:lineRule="atLeast"/>
        <w:rPr>
          <w:rFonts w:ascii="宋体" w:hAnsi="宋体" w:cs="宋体"/>
          <w:b/>
          <w:bCs/>
          <w:sz w:val="24"/>
          <w:szCs w:val="28"/>
        </w:rPr>
      </w:pPr>
      <w:r>
        <w:rPr>
          <w:rFonts w:hint="eastAsia" w:ascii="宋体" w:hAnsi="宋体" w:cs="宋体"/>
          <w:b/>
          <w:bCs/>
          <w:sz w:val="24"/>
          <w:szCs w:val="28"/>
        </w:rPr>
        <w:t xml:space="preserve">监狱企业参加政府采购活动时，应当提供由省级以上监狱管理局、戒毒管理局（含新疆生产建设兵团）出具的属于监狱企业的证明文件。</w:t>
      </w:r>
      <w:r/>
    </w:p>
    <w:p>
      <w:pPr>
        <w:ind w:right="-92"/>
        <w:spacing w:line="500" w:lineRule="atLeast"/>
        <w:rPr>
          <w:rFonts w:ascii="宋体" w:hAnsi="宋体" w:cs="宋体"/>
          <w:sz w:val="24"/>
          <w:szCs w:val="28"/>
        </w:rPr>
      </w:pPr>
      <w:r>
        <w:rPr>
          <w:rFonts w:ascii="宋体" w:hAnsi="宋体" w:cs="宋体"/>
          <w:sz w:val="24"/>
          <w:szCs w:val="28"/>
        </w:rPr>
      </w:r>
      <w:r/>
    </w:p>
    <w:p>
      <w:pPr>
        <w:ind w:right="-92"/>
        <w:spacing w:line="500" w:lineRule="atLeast"/>
        <w:rPr>
          <w:rFonts w:ascii="宋体" w:hAnsi="宋体" w:cs="宋体"/>
          <w:b/>
          <w:bCs/>
          <w:sz w:val="24"/>
          <w:szCs w:val="28"/>
        </w:rPr>
      </w:pPr>
      <w:r>
        <w:rPr>
          <w:rFonts w:hint="eastAsia" w:ascii="宋体" w:hAnsi="宋体" w:cs="宋体"/>
          <w:b/>
          <w:bCs/>
          <w:sz w:val="24"/>
          <w:szCs w:val="28"/>
        </w:rPr>
        <w:t xml:space="preserve">说明：</w:t>
      </w:r>
      <w:r/>
    </w:p>
    <w:p>
      <w:pPr>
        <w:ind w:right="-92" w:firstLine="425"/>
        <w:jc w:val="left"/>
        <w:spacing w:line="500" w:lineRule="atLeast"/>
        <w:shd w:val="clear" w:color="auto" w:fill="ffffff"/>
        <w:widowControl/>
        <w:rPr>
          <w:rFonts w:ascii="宋体" w:hAnsi="宋体" w:cs="宋体"/>
          <w:sz w:val="24"/>
          <w:szCs w:val="28"/>
        </w:rPr>
      </w:pPr>
      <w:r>
        <w:rPr>
          <w:rFonts w:hint="eastAsia" w:ascii="宋体" w:hAnsi="宋体" w:cs="宋体"/>
          <w:sz w:val="24"/>
          <w:szCs w:val="28"/>
        </w:rPr>
        <w:t xml:space="preserve">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p>
    <w:p>
      <w:pPr>
        <w:ind w:right="-92" w:firstLine="425"/>
        <w:jc w:val="left"/>
        <w:spacing w:line="500" w:lineRule="atLeast"/>
        <w:shd w:val="clear" w:color="auto" w:fill="ffffff"/>
        <w:widowControl/>
        <w:rPr>
          <w:rFonts w:ascii="宋体" w:hAnsi="宋体" w:cs="宋体"/>
          <w:sz w:val="24"/>
          <w:szCs w:val="28"/>
        </w:rPr>
      </w:pPr>
      <w:r>
        <w:rPr>
          <w:rFonts w:hint="eastAsia" w:ascii="宋体" w:hAnsi="宋体" w:cs="宋体"/>
          <w:sz w:val="24"/>
          <w:szCs w:val="28"/>
        </w:rPr>
        <w:t xml:space="preserve">二、在政府采购活动中，监狱企业视同小型、微型企业，享受预留份额、评审中价格扣除等政府采购促进中小企业发展的政府采购政策。</w:t>
      </w:r>
      <w:r/>
    </w:p>
    <w:p>
      <w:pPr>
        <w:ind w:right="-92"/>
        <w:jc w:val="left"/>
        <w:spacing w:line="500" w:lineRule="atLeast"/>
        <w:widowControl/>
        <w:rPr>
          <w:rFonts w:ascii="宋体" w:hAnsi="宋体" w:cs="宋体"/>
          <w:b/>
          <w:sz w:val="28"/>
          <w:szCs w:val="28"/>
        </w:rPr>
      </w:pPr>
      <w:r>
        <w:rPr>
          <w:rFonts w:hint="eastAsia" w:ascii="宋体" w:hAnsi="宋体" w:cs="宋体"/>
          <w:b/>
          <w:sz w:val="28"/>
          <w:szCs w:val="28"/>
        </w:rPr>
        <w:br w:type="page" w:clear="all"/>
      </w:r>
      <w:r/>
    </w:p>
    <w:p>
      <w:pPr>
        <w:ind w:right="-92"/>
        <w:jc w:val="center"/>
        <w:spacing w:line="500" w:lineRule="atLeast"/>
        <w:rPr>
          <w:rFonts w:ascii="宋体" w:hAnsi="宋体" w:cs="宋体"/>
          <w:b/>
          <w:sz w:val="28"/>
          <w:szCs w:val="28"/>
        </w:rPr>
        <w:outlineLvl w:val="2"/>
      </w:pPr>
      <w:r>
        <w:rPr>
          <w:rFonts w:hint="eastAsia" w:ascii="宋体" w:hAnsi="宋体" w:cs="宋体"/>
          <w:b/>
          <w:sz w:val="28"/>
          <w:szCs w:val="28"/>
        </w:rPr>
        <w:t xml:space="preserve">残疾人福利性单位声明函（若属于残疾人福利性单位）</w:t>
      </w:r>
      <w:r/>
    </w:p>
    <w:p>
      <w:pPr>
        <w:ind w:right="-92"/>
        <w:spacing w:line="500" w:lineRule="atLeast"/>
        <w:rPr>
          <w:rFonts w:ascii="宋体" w:hAnsi="宋体" w:cs="宋体"/>
          <w:b/>
          <w:sz w:val="28"/>
          <w:szCs w:val="28"/>
        </w:rPr>
      </w:pPr>
      <w:r>
        <w:rPr>
          <w:rFonts w:ascii="宋体" w:hAnsi="宋体" w:cs="宋体"/>
          <w:b/>
          <w:sz w:val="28"/>
          <w:szCs w:val="28"/>
        </w:rPr>
      </w:r>
      <w:r/>
    </w:p>
    <w:p>
      <w:pPr>
        <w:ind w:right="-92" w:firstLine="480"/>
        <w:spacing w:line="500" w:lineRule="atLeast"/>
        <w:rPr>
          <w:rFonts w:ascii="宋体" w:hAnsi="宋体" w:cs="宋体"/>
          <w:sz w:val="24"/>
          <w:szCs w:val="28"/>
        </w:rPr>
      </w:pPr>
      <w:r>
        <w:rPr>
          <w:rFonts w:hint="eastAsia" w:ascii="宋体" w:hAnsi="宋体" w:cs="宋体"/>
          <w:sz w:val="24"/>
          <w:szCs w:val="28"/>
        </w:rPr>
        <w:t xml:space="preserve">本单位郑重声明，根据《财政部民政部中国残疾人联合会关于促进残疾人就业政府采购政策的通知》（财库〔2017〕 141号）的规定，</w:t>
      </w:r>
      <w:r>
        <w:rPr>
          <w:rFonts w:hint="eastAsia" w:ascii="宋体" w:hAnsi="宋体" w:cs="宋体"/>
          <w:b/>
          <w:bCs/>
          <w:sz w:val="24"/>
          <w:szCs w:val="28"/>
        </w:rPr>
        <w:t xml:space="preserve">本单位为符合条件的残疾人福利性单位</w:t>
      </w:r>
      <w:r>
        <w:rPr>
          <w:rFonts w:hint="eastAsia" w:ascii="宋体" w:hAnsi="宋体" w:cs="宋体"/>
          <w:sz w:val="24"/>
          <w:szCs w:val="28"/>
        </w:rPr>
        <w:t xml:space="preserve">，且本单位参加______（采购人）单位的______（项目名称）项目采购活动提供本单位制造的货物（由本单位承担工程/提供服务），或者提供其他残疾人福利性单位制造的货物（不包括使用非残疾人福利性单位注册商标的货物）。</w:t>
      </w:r>
      <w:r/>
    </w:p>
    <w:p>
      <w:pPr>
        <w:ind w:right="-92" w:firstLine="480"/>
        <w:spacing w:line="500" w:lineRule="atLeast"/>
        <w:rPr>
          <w:rFonts w:ascii="宋体" w:hAnsi="宋体" w:cs="宋体"/>
          <w:sz w:val="24"/>
          <w:szCs w:val="28"/>
        </w:rPr>
      </w:pPr>
      <w:r>
        <w:rPr>
          <w:rFonts w:hint="eastAsia" w:ascii="宋体" w:hAnsi="宋体" w:cs="宋体"/>
          <w:sz w:val="24"/>
          <w:szCs w:val="28"/>
        </w:rPr>
        <w:t xml:space="preserve">本单位对上述声明的真实性负责。如有虚假，将依法承担相应责任。</w:t>
      </w:r>
      <w:r/>
    </w:p>
    <w:p>
      <w:pPr>
        <w:ind w:right="-92" w:firstLine="480"/>
        <w:spacing w:line="500" w:lineRule="atLeast"/>
        <w:tabs>
          <w:tab w:val="left" w:pos="4860" w:leader="none"/>
        </w:tabs>
        <w:rPr>
          <w:rFonts w:ascii="宋体" w:hAnsi="宋体" w:cs="宋体"/>
          <w:sz w:val="24"/>
          <w:szCs w:val="28"/>
        </w:rPr>
      </w:pPr>
      <w:r>
        <w:rPr>
          <w:rFonts w:hint="eastAsia" w:ascii="宋体" w:hAnsi="宋体" w:cs="宋体"/>
          <w:sz w:val="24"/>
          <w:szCs w:val="28"/>
        </w:rPr>
        <w:t xml:space="preserve">单位名称（盖章）：</w:t>
      </w:r>
      <w:r/>
    </w:p>
    <w:p>
      <w:pPr>
        <w:ind w:right="-92" w:firstLine="480"/>
        <w:spacing w:line="500" w:lineRule="atLeast"/>
        <w:tabs>
          <w:tab w:val="left" w:pos="4860" w:leader="none"/>
        </w:tabs>
        <w:rPr>
          <w:rFonts w:ascii="宋体" w:hAnsi="宋体" w:cs="宋体"/>
          <w:sz w:val="24"/>
          <w:szCs w:val="28"/>
        </w:rPr>
      </w:pPr>
      <w:r>
        <w:rPr>
          <w:rFonts w:hint="eastAsia" w:ascii="宋体" w:hAnsi="宋体" w:cs="宋体"/>
          <w:sz w:val="24"/>
          <w:szCs w:val="28"/>
        </w:rPr>
        <w:t xml:space="preserve">日期：</w:t>
      </w:r>
      <w:r/>
    </w:p>
    <w:p>
      <w:pPr>
        <w:ind w:right="-92"/>
        <w:spacing w:line="500" w:lineRule="atLeast"/>
        <w:rPr>
          <w:rFonts w:ascii="宋体" w:hAnsi="宋体" w:cs="宋体"/>
          <w:sz w:val="24"/>
          <w:szCs w:val="28"/>
        </w:rPr>
      </w:pPr>
      <w:r>
        <w:rPr>
          <w:rFonts w:ascii="宋体" w:hAnsi="宋体" w:cs="宋体"/>
          <w:sz w:val="24"/>
          <w:szCs w:val="28"/>
        </w:rPr>
      </w:r>
      <w:r/>
    </w:p>
    <w:p>
      <w:pPr>
        <w:ind w:right="-92"/>
        <w:spacing w:line="500" w:lineRule="atLeast"/>
        <w:rPr>
          <w:rFonts w:ascii="宋体" w:hAnsi="宋体" w:cs="宋体"/>
          <w:b/>
          <w:bCs/>
          <w:sz w:val="24"/>
          <w:szCs w:val="28"/>
        </w:rPr>
      </w:pPr>
      <w:r>
        <w:rPr>
          <w:rFonts w:hint="eastAsia" w:ascii="宋体" w:hAnsi="宋体" w:cs="宋体"/>
          <w:b/>
          <w:bCs/>
          <w:sz w:val="24"/>
          <w:szCs w:val="28"/>
        </w:rPr>
        <w:t xml:space="preserve">说明：</w:t>
      </w:r>
      <w:r/>
    </w:p>
    <w:p>
      <w:pPr>
        <w:pStyle w:val="1021"/>
        <w:ind w:right="-92" w:firstLine="425"/>
        <w:spacing w:before="0" w:beforeAutospacing="0" w:after="0" w:afterAutospacing="0" w:line="500" w:lineRule="atLeast"/>
        <w:shd w:val="clear" w:color="auto" w:fill="ffffff"/>
        <w:rPr>
          <w:szCs w:val="28"/>
        </w:rPr>
      </w:pPr>
      <w:r>
        <w:rPr>
          <w:rFonts w:hint="eastAsia"/>
          <w:szCs w:val="28"/>
        </w:rPr>
        <w:t xml:space="preserve">一、享受政府采购支持政策的残疾人福利性单位应当同时满足以下条件：</w:t>
      </w:r>
      <w:r/>
    </w:p>
    <w:p>
      <w:pPr>
        <w:pStyle w:val="1021"/>
        <w:ind w:right="-92" w:firstLine="425"/>
        <w:spacing w:before="0" w:beforeAutospacing="0" w:after="0" w:afterAutospacing="0" w:line="500" w:lineRule="atLeast"/>
        <w:shd w:val="clear" w:color="auto" w:fill="ffffff"/>
        <w:rPr>
          <w:szCs w:val="28"/>
        </w:rPr>
      </w:pPr>
      <w:r>
        <w:rPr>
          <w:rFonts w:hint="eastAsia"/>
          <w:szCs w:val="28"/>
        </w:rPr>
        <w:t xml:space="preserve">（一）安置的残疾人占本单位在职职工人数的比例不低于25%（含25%），并且安置的残疾人人数不少于10人（含10人）；</w:t>
      </w:r>
      <w:r/>
    </w:p>
    <w:p>
      <w:pPr>
        <w:pStyle w:val="1021"/>
        <w:ind w:right="-92" w:firstLine="425"/>
        <w:spacing w:before="0" w:beforeAutospacing="0" w:after="0" w:afterAutospacing="0" w:line="500" w:lineRule="atLeast"/>
        <w:shd w:val="clear" w:color="auto" w:fill="ffffff"/>
        <w:rPr>
          <w:szCs w:val="28"/>
        </w:rPr>
      </w:pPr>
      <w:r>
        <w:rPr>
          <w:rFonts w:hint="eastAsia"/>
          <w:szCs w:val="28"/>
        </w:rPr>
        <w:t xml:space="preserve">（二）依法与安置的每位残疾人订立了一年以上（含一年）的劳动合同或服务协议；</w:t>
      </w:r>
      <w:r/>
    </w:p>
    <w:p>
      <w:pPr>
        <w:pStyle w:val="1021"/>
        <w:ind w:right="-92" w:firstLine="425"/>
        <w:spacing w:before="0" w:beforeAutospacing="0" w:after="0" w:afterAutospacing="0" w:line="500" w:lineRule="atLeast"/>
        <w:shd w:val="clear" w:color="auto" w:fill="ffffff"/>
        <w:rPr>
          <w:szCs w:val="28"/>
        </w:rPr>
      </w:pPr>
      <w:r>
        <w:rPr>
          <w:rFonts w:hint="eastAsia"/>
          <w:szCs w:val="28"/>
        </w:rPr>
        <w:t xml:space="preserve">（三）为安置的每位残疾人按月足额缴纳了基本养老保险、基本医疗保险、失业保险、工伤保险和生育保险等社会保险费；</w:t>
      </w:r>
      <w:r/>
    </w:p>
    <w:p>
      <w:pPr>
        <w:pStyle w:val="1021"/>
        <w:ind w:right="-92" w:firstLine="425"/>
        <w:spacing w:before="0" w:beforeAutospacing="0" w:after="0" w:afterAutospacing="0" w:line="500" w:lineRule="atLeast"/>
        <w:shd w:val="clear" w:color="auto" w:fill="ffffff"/>
        <w:rPr>
          <w:szCs w:val="28"/>
        </w:rPr>
      </w:pPr>
      <w:r>
        <w:rPr>
          <w:rFonts w:hint="eastAsia"/>
          <w:szCs w:val="28"/>
        </w:rPr>
        <w:t xml:space="preserve">（四）通过银行等金融机构向安置的每位残疾人，按季支付了不低于单位所在区县适用的经省级人民政府批准的月最低工资标准的工资；</w:t>
      </w:r>
      <w:r/>
    </w:p>
    <w:p>
      <w:pPr>
        <w:pStyle w:val="1021"/>
        <w:ind w:right="-92" w:firstLine="425"/>
        <w:spacing w:before="0" w:beforeAutospacing="0" w:after="0" w:afterAutospacing="0" w:line="500" w:lineRule="atLeast"/>
        <w:shd w:val="clear" w:color="auto" w:fill="ffffff"/>
        <w:rPr>
          <w:szCs w:val="28"/>
        </w:rPr>
      </w:pPr>
      <w:r>
        <w:rPr>
          <w:rFonts w:hint="eastAsia"/>
          <w:szCs w:val="28"/>
        </w:rPr>
        <w:t xml:space="preserve">（五）提供本单位制造的货物、承担的工程或者服务（以下简称产品），或者提供其他残疾人福利性单位制造的货物（不包括使用非残疾人福利性单位注册商标的货物）。</w:t>
      </w:r>
      <w:r/>
    </w:p>
    <w:p>
      <w:pPr>
        <w:pStyle w:val="1021"/>
        <w:ind w:right="-92" w:firstLine="425"/>
        <w:spacing w:before="0" w:beforeAutospacing="0" w:after="0" w:afterAutospacing="0" w:line="500" w:lineRule="atLeast"/>
        <w:shd w:val="clear" w:color="auto" w:fill="ffffff"/>
        <w:rPr>
          <w:szCs w:val="28"/>
        </w:rPr>
      </w:pPr>
      <w:r>
        <w:rPr>
          <w:rFonts w:hint="eastAsia"/>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订立劳动合同或者服务协议的雇员人数。</w:t>
      </w:r>
      <w:r/>
    </w:p>
    <w:p>
      <w:pPr>
        <w:pStyle w:val="1021"/>
        <w:ind w:right="-92" w:firstLine="425"/>
        <w:spacing w:before="0" w:beforeAutospacing="0" w:after="0" w:afterAutospacing="0" w:line="500" w:lineRule="atLeast"/>
        <w:shd w:val="clear" w:color="auto" w:fill="ffffff"/>
        <w:rPr>
          <w:szCs w:val="28"/>
        </w:rPr>
      </w:pPr>
      <w:r>
        <w:rPr>
          <w:rFonts w:hint="eastAsia"/>
          <w:szCs w:val="28"/>
        </w:rPr>
        <w:t xml:space="preserve">二、符合条件的残疾人福利性单位在参加政府采购活动时，应当提供财库[2017]141号文件规定的《残疾人福利性单位声明函》，并对声明的真实性负责。</w:t>
      </w:r>
      <w:r/>
    </w:p>
    <w:p>
      <w:pPr>
        <w:pStyle w:val="1021"/>
        <w:ind w:right="-92" w:firstLine="425"/>
        <w:spacing w:before="0" w:beforeAutospacing="0" w:after="0" w:afterAutospacing="0" w:line="500" w:lineRule="atLeast"/>
        <w:shd w:val="clear" w:color="auto" w:fill="ffffff"/>
        <w:rPr>
          <w:szCs w:val="28"/>
        </w:rPr>
      </w:pPr>
      <w:r>
        <w:rPr>
          <w:rFonts w:hint="eastAsia"/>
          <w:szCs w:val="28"/>
        </w:rPr>
        <w:t xml:space="preserve">三、在政府采购活动中，残疾人福利性单位视同小型、微型企业，享受预留份额、评审中价格扣除等促进中小企业发展的政府采购政策。</w:t>
      </w:r>
      <w:r/>
    </w:p>
    <w:p>
      <w:pPr>
        <w:pStyle w:val="1021"/>
        <w:ind w:right="-92" w:firstLine="425"/>
        <w:spacing w:before="0" w:beforeAutospacing="0" w:after="0" w:afterAutospacing="0" w:line="500" w:lineRule="atLeast"/>
        <w:shd w:val="clear" w:color="auto" w:fill="ffffff"/>
        <w:rPr>
          <w:szCs w:val="28"/>
        </w:rPr>
      </w:pPr>
      <w:r>
        <w:rPr>
          <w:rFonts w:hint="eastAsia"/>
          <w:szCs w:val="28"/>
        </w:rPr>
        <w:t xml:space="preserve">残疾人福利性单位属于小型、微型企业的，不重复享受政策。</w:t>
      </w:r>
      <w:r/>
    </w:p>
    <w:p>
      <w:pPr>
        <w:ind w:right="-92"/>
        <w:jc w:val="center"/>
        <w:spacing w:before="50" w:after="50" w:line="500" w:lineRule="atLeast"/>
        <w:rPr>
          <w:rFonts w:ascii="宋体" w:hAnsi="宋体"/>
          <w:bCs/>
          <w:sz w:val="28"/>
          <w:szCs w:val="28"/>
        </w:rPr>
      </w:pPr>
      <w:r>
        <w:rPr>
          <w:rFonts w:ascii="宋体" w:hAnsi="宋体"/>
          <w:bCs/>
          <w:sz w:val="28"/>
          <w:szCs w:val="28"/>
        </w:rPr>
      </w:r>
      <w:r/>
    </w:p>
    <w:p>
      <w:pPr>
        <w:ind w:right="-92"/>
        <w:jc w:val="center"/>
        <w:spacing w:before="50" w:after="50" w:line="500" w:lineRule="atLeast"/>
        <w:rPr>
          <w:rFonts w:ascii="宋体" w:hAnsi="宋体"/>
          <w:b/>
          <w:sz w:val="28"/>
          <w:szCs w:val="28"/>
        </w:rPr>
      </w:pPr>
      <w:r>
        <w:rPr>
          <w:rFonts w:hint="eastAsia" w:ascii="宋体" w:hAnsi="宋体"/>
          <w:sz w:val="28"/>
          <w:szCs w:val="28"/>
        </w:rPr>
        <w:br w:type="page" w:clear="all"/>
      </w:r>
      <w:r>
        <w:rPr>
          <w:rFonts w:hint="eastAsia" w:ascii="宋体" w:hAnsi="宋体"/>
          <w:b/>
          <w:sz w:val="28"/>
          <w:szCs w:val="28"/>
        </w:rPr>
        <w:t xml:space="preserve">二、资格性审查响应对照表（格式）</w:t>
      </w:r>
      <w:r/>
    </w:p>
    <w:p>
      <w:pPr>
        <w:ind w:right="-92" w:firstLine="309"/>
        <w:spacing w:line="500" w:lineRule="atLeast"/>
        <w:rPr>
          <w:rFonts w:ascii="宋体" w:hAnsi="宋体"/>
          <w:sz w:val="28"/>
          <w:szCs w:val="28"/>
        </w:rPr>
      </w:pPr>
      <w:r>
        <w:rPr>
          <w:rFonts w:hint="eastAsia" w:ascii="宋体" w:hAnsi="宋体"/>
          <w:sz w:val="28"/>
          <w:szCs w:val="28"/>
        </w:rPr>
        <w:t xml:space="preserve">投标人全称（加盖公章）：</w:t>
      </w:r>
      <w:r/>
    </w:p>
    <w:tbl>
      <w:tblPr>
        <w:tblW w:w="95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424"/>
        <w:gridCol w:w="2126"/>
        <w:gridCol w:w="2362"/>
      </w:tblGrid>
      <w:tr>
        <w:trPr>
          <w:trHeight w:val="882"/>
        </w:trPr>
        <w:tc>
          <w:tcPr>
            <w:tcW w:w="646" w:type="dxa"/>
            <w:vAlign w:val="center"/>
            <w:textDirection w:val="lrTb"/>
            <w:noWrap w:val="false"/>
          </w:tcPr>
          <w:p>
            <w:pPr>
              <w:ind w:right="-92"/>
              <w:jc w:val="center"/>
              <w:spacing w:line="500" w:lineRule="atLeast"/>
              <w:rPr>
                <w:rFonts w:ascii="宋体" w:hAnsi="宋体"/>
                <w:b/>
                <w:sz w:val="28"/>
                <w:szCs w:val="28"/>
              </w:rPr>
            </w:pPr>
            <w:r>
              <w:rPr>
                <w:rFonts w:hint="eastAsia" w:ascii="宋体" w:hAnsi="宋体"/>
                <w:b/>
                <w:sz w:val="28"/>
                <w:szCs w:val="28"/>
              </w:rPr>
              <w:t xml:space="preserve">序号</w:t>
            </w:r>
            <w:r/>
          </w:p>
        </w:tc>
        <w:tc>
          <w:tcPr>
            <w:tcW w:w="4424" w:type="dxa"/>
            <w:vAlign w:val="center"/>
            <w:textDirection w:val="lrTb"/>
            <w:noWrap w:val="false"/>
          </w:tcPr>
          <w:p>
            <w:pPr>
              <w:ind w:right="-92"/>
              <w:jc w:val="center"/>
              <w:spacing w:line="500" w:lineRule="atLeast"/>
              <w:rPr>
                <w:rFonts w:ascii="宋体" w:hAnsi="宋体"/>
                <w:b/>
                <w:sz w:val="28"/>
                <w:szCs w:val="28"/>
              </w:rPr>
            </w:pPr>
            <w:r>
              <w:rPr>
                <w:rFonts w:hint="eastAsia" w:ascii="宋体" w:hAnsi="宋体"/>
                <w:b/>
                <w:sz w:val="28"/>
                <w:szCs w:val="28"/>
              </w:rPr>
              <w:t xml:space="preserve">资格性审查响应内容</w:t>
            </w:r>
            <w:r/>
          </w:p>
        </w:tc>
        <w:tc>
          <w:tcPr>
            <w:tcW w:w="2126" w:type="dxa"/>
            <w:vAlign w:val="center"/>
            <w:textDirection w:val="lrTb"/>
            <w:noWrap w:val="false"/>
          </w:tcPr>
          <w:p>
            <w:pPr>
              <w:ind w:right="-92"/>
              <w:jc w:val="center"/>
              <w:spacing w:line="500" w:lineRule="atLeast"/>
              <w:rPr>
                <w:rFonts w:ascii="宋体" w:hAnsi="宋体"/>
                <w:b/>
                <w:sz w:val="28"/>
                <w:szCs w:val="28"/>
              </w:rPr>
            </w:pPr>
            <w:r>
              <w:rPr>
                <w:rFonts w:hint="eastAsia" w:ascii="宋体" w:hAnsi="宋体"/>
                <w:b/>
                <w:sz w:val="28"/>
                <w:szCs w:val="28"/>
              </w:rPr>
              <w:t xml:space="preserve">是否响应</w:t>
            </w:r>
            <w:r/>
          </w:p>
          <w:p>
            <w:pPr>
              <w:ind w:right="-92"/>
              <w:jc w:val="center"/>
              <w:spacing w:line="500" w:lineRule="atLeast"/>
              <w:rPr>
                <w:rFonts w:ascii="宋体" w:hAnsi="宋体"/>
                <w:b/>
                <w:sz w:val="28"/>
                <w:szCs w:val="28"/>
              </w:rPr>
            </w:pPr>
            <w:r>
              <w:rPr>
                <w:rFonts w:hint="eastAsia" w:ascii="宋体" w:hAnsi="宋体"/>
                <w:b/>
                <w:sz w:val="28"/>
                <w:szCs w:val="28"/>
              </w:rPr>
              <w:t xml:space="preserve">（填是或者否）</w:t>
            </w:r>
            <w:r/>
          </w:p>
        </w:tc>
        <w:tc>
          <w:tcPr>
            <w:tcW w:w="2362" w:type="dxa"/>
            <w:vAlign w:val="center"/>
            <w:textDirection w:val="lrTb"/>
            <w:noWrap w:val="false"/>
          </w:tcPr>
          <w:p>
            <w:pPr>
              <w:ind w:right="-92"/>
              <w:jc w:val="center"/>
              <w:spacing w:line="500" w:lineRule="atLeast"/>
              <w:rPr>
                <w:rFonts w:ascii="宋体" w:hAnsi="宋体"/>
                <w:b/>
                <w:sz w:val="28"/>
                <w:szCs w:val="28"/>
              </w:rPr>
            </w:pPr>
            <w:r>
              <w:rPr>
                <w:rFonts w:hint="eastAsia" w:ascii="宋体" w:hAnsi="宋体"/>
                <w:b/>
                <w:sz w:val="28"/>
                <w:szCs w:val="28"/>
              </w:rPr>
              <w:t xml:space="preserve">投标文件中的</w:t>
            </w:r>
            <w:r/>
          </w:p>
          <w:p>
            <w:pPr>
              <w:ind w:right="-92"/>
              <w:jc w:val="center"/>
              <w:spacing w:line="500" w:lineRule="atLeast"/>
              <w:rPr>
                <w:rFonts w:ascii="宋体" w:hAnsi="宋体"/>
                <w:b/>
                <w:sz w:val="28"/>
                <w:szCs w:val="28"/>
              </w:rPr>
            </w:pPr>
            <w:r>
              <w:rPr>
                <w:rFonts w:hint="eastAsia" w:ascii="宋体" w:hAnsi="宋体"/>
                <w:b/>
                <w:sz w:val="28"/>
                <w:szCs w:val="28"/>
              </w:rPr>
              <w:t xml:space="preserve">页码位置</w:t>
            </w:r>
            <w:r/>
          </w:p>
        </w:tc>
      </w:tr>
      <w:tr>
        <w:trPr>
          <w:trHeight w:val="1637"/>
        </w:trPr>
        <w:tc>
          <w:tcPr>
            <w:tcW w:w="646" w:type="dxa"/>
            <w:vAlign w:val="center"/>
            <w:textDirection w:val="lrTb"/>
            <w:noWrap w:val="false"/>
          </w:tcPr>
          <w:p>
            <w:pPr>
              <w:ind w:right="-92"/>
              <w:jc w:val="center"/>
              <w:spacing w:line="500" w:lineRule="atLeast"/>
              <w:rPr>
                <w:rFonts w:ascii="宋体" w:hAnsi="宋体"/>
                <w:b/>
                <w:sz w:val="28"/>
                <w:szCs w:val="28"/>
              </w:rPr>
            </w:pPr>
            <w:r>
              <w:rPr>
                <w:rFonts w:hint="eastAsia" w:ascii="宋体" w:hAnsi="宋体"/>
                <w:b/>
                <w:sz w:val="28"/>
                <w:szCs w:val="28"/>
              </w:rPr>
              <w:t xml:space="preserve">1</w:t>
            </w:r>
            <w:r/>
          </w:p>
        </w:tc>
        <w:tc>
          <w:tcPr>
            <w:tcW w:w="4424" w:type="dxa"/>
            <w:vAlign w:val="center"/>
            <w:textDirection w:val="lrTb"/>
            <w:noWrap w:val="false"/>
          </w:tcPr>
          <w:p>
            <w:pPr>
              <w:ind w:right="-92"/>
              <w:spacing w:line="500" w:lineRule="atLeast"/>
              <w:rPr>
                <w:rFonts w:ascii="宋体" w:hAnsi="宋体"/>
                <w:iCs/>
                <w:sz w:val="28"/>
                <w:szCs w:val="28"/>
              </w:rPr>
            </w:pPr>
            <w:r>
              <w:rPr>
                <w:rFonts w:ascii="宋体" w:hAnsi="宋体"/>
                <w:iCs/>
                <w:sz w:val="28"/>
                <w:szCs w:val="28"/>
              </w:rPr>
            </w:r>
            <w:r/>
          </w:p>
        </w:tc>
        <w:tc>
          <w:tcPr>
            <w:tcW w:w="2126" w:type="dxa"/>
            <w:vAlign w:val="center"/>
            <w:textDirection w:val="lrTb"/>
            <w:noWrap w:val="false"/>
          </w:tcPr>
          <w:p>
            <w:pPr>
              <w:ind w:right="-92"/>
              <w:spacing w:line="500" w:lineRule="atLeast"/>
              <w:rPr>
                <w:rFonts w:ascii="宋体" w:hAnsi="宋体"/>
                <w:b/>
                <w:sz w:val="28"/>
                <w:szCs w:val="28"/>
              </w:rPr>
            </w:pPr>
            <w:r>
              <w:rPr>
                <w:rFonts w:ascii="宋体" w:hAnsi="宋体"/>
                <w:b/>
                <w:sz w:val="28"/>
                <w:szCs w:val="28"/>
              </w:rPr>
            </w:r>
            <w:r/>
          </w:p>
        </w:tc>
        <w:tc>
          <w:tcPr>
            <w:tcW w:w="2362" w:type="dxa"/>
            <w:vAlign w:val="center"/>
            <w:textDirection w:val="lrTb"/>
            <w:noWrap w:val="false"/>
          </w:tcPr>
          <w:p>
            <w:pPr>
              <w:ind w:right="-92"/>
              <w:spacing w:line="500" w:lineRule="atLeast"/>
              <w:rPr>
                <w:rFonts w:ascii="宋体" w:hAnsi="宋体"/>
                <w:b/>
                <w:sz w:val="28"/>
                <w:szCs w:val="28"/>
              </w:rPr>
            </w:pPr>
            <w:r>
              <w:rPr>
                <w:rFonts w:ascii="宋体" w:hAnsi="宋体"/>
                <w:b/>
                <w:sz w:val="28"/>
                <w:szCs w:val="28"/>
              </w:rPr>
            </w:r>
            <w:r/>
          </w:p>
        </w:tc>
      </w:tr>
      <w:tr>
        <w:trPr>
          <w:trHeight w:val="1691"/>
        </w:trPr>
        <w:tc>
          <w:tcPr>
            <w:tcW w:w="646" w:type="dxa"/>
            <w:vAlign w:val="center"/>
            <w:textDirection w:val="lrTb"/>
            <w:noWrap w:val="false"/>
          </w:tcPr>
          <w:p>
            <w:pPr>
              <w:ind w:right="-92"/>
              <w:jc w:val="center"/>
              <w:spacing w:line="500" w:lineRule="atLeast"/>
              <w:rPr>
                <w:rFonts w:ascii="宋体" w:hAnsi="宋体"/>
                <w:sz w:val="28"/>
                <w:szCs w:val="28"/>
              </w:rPr>
            </w:pPr>
            <w:r>
              <w:rPr>
                <w:rFonts w:hint="eastAsia" w:ascii="宋体" w:hAnsi="宋体"/>
                <w:sz w:val="28"/>
                <w:szCs w:val="28"/>
              </w:rPr>
              <w:t xml:space="preserve">2</w:t>
            </w:r>
            <w:r/>
          </w:p>
        </w:tc>
        <w:tc>
          <w:tcPr>
            <w:tcW w:w="4424" w:type="dxa"/>
            <w:vAlign w:val="center"/>
            <w:textDirection w:val="lrTb"/>
            <w:noWrap w:val="false"/>
          </w:tcPr>
          <w:p>
            <w:pPr>
              <w:ind w:right="-92"/>
              <w:spacing w:line="500" w:lineRule="atLeast"/>
              <w:rPr>
                <w:rFonts w:ascii="宋体" w:hAnsi="宋体"/>
                <w:iCs/>
                <w:sz w:val="28"/>
                <w:szCs w:val="28"/>
              </w:rPr>
            </w:pPr>
            <w:r>
              <w:rPr>
                <w:rFonts w:ascii="宋体" w:hAnsi="宋体"/>
                <w:iCs/>
                <w:sz w:val="28"/>
                <w:szCs w:val="28"/>
              </w:rPr>
            </w:r>
            <w:r/>
          </w:p>
        </w:tc>
        <w:tc>
          <w:tcPr>
            <w:tcW w:w="2126"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c>
          <w:tcPr>
            <w:tcW w:w="2362"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1545"/>
        </w:trPr>
        <w:tc>
          <w:tcPr>
            <w:tcW w:w="646" w:type="dxa"/>
            <w:vAlign w:val="center"/>
            <w:textDirection w:val="lrTb"/>
            <w:noWrap w:val="false"/>
          </w:tcPr>
          <w:p>
            <w:pPr>
              <w:ind w:right="-92"/>
              <w:jc w:val="center"/>
              <w:spacing w:line="500" w:lineRule="atLeast"/>
              <w:rPr>
                <w:rFonts w:ascii="宋体" w:hAnsi="宋体"/>
                <w:sz w:val="28"/>
                <w:szCs w:val="28"/>
              </w:rPr>
            </w:pPr>
            <w:r>
              <w:rPr>
                <w:rFonts w:hint="eastAsia" w:ascii="宋体" w:hAnsi="宋体"/>
                <w:sz w:val="28"/>
                <w:szCs w:val="28"/>
              </w:rPr>
              <w:t xml:space="preserve">3</w:t>
            </w:r>
            <w:r/>
          </w:p>
        </w:tc>
        <w:tc>
          <w:tcPr>
            <w:tcW w:w="4424" w:type="dxa"/>
            <w:vAlign w:val="center"/>
            <w:textDirection w:val="lrTb"/>
            <w:noWrap w:val="false"/>
          </w:tcPr>
          <w:p>
            <w:pPr>
              <w:ind w:right="-92"/>
              <w:spacing w:line="500" w:lineRule="atLeast"/>
              <w:rPr>
                <w:rFonts w:ascii="宋体" w:hAnsi="宋体"/>
                <w:iCs/>
                <w:sz w:val="28"/>
                <w:szCs w:val="28"/>
              </w:rPr>
            </w:pPr>
            <w:r>
              <w:rPr>
                <w:rFonts w:ascii="宋体" w:hAnsi="宋体"/>
                <w:iCs/>
                <w:sz w:val="28"/>
                <w:szCs w:val="28"/>
              </w:rPr>
            </w:r>
            <w:r/>
          </w:p>
        </w:tc>
        <w:tc>
          <w:tcPr>
            <w:tcW w:w="2126"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c>
          <w:tcPr>
            <w:tcW w:w="2362"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1553"/>
        </w:trPr>
        <w:tc>
          <w:tcPr>
            <w:tcW w:w="646" w:type="dxa"/>
            <w:vAlign w:val="center"/>
            <w:textDirection w:val="lrTb"/>
            <w:noWrap w:val="false"/>
          </w:tcPr>
          <w:p>
            <w:pPr>
              <w:ind w:right="-92"/>
              <w:jc w:val="center"/>
              <w:spacing w:line="500" w:lineRule="atLeast"/>
              <w:rPr>
                <w:rFonts w:ascii="宋体" w:hAnsi="宋体"/>
                <w:sz w:val="28"/>
                <w:szCs w:val="28"/>
              </w:rPr>
            </w:pPr>
            <w:r>
              <w:rPr>
                <w:rFonts w:hint="eastAsia" w:ascii="宋体" w:hAnsi="宋体"/>
                <w:sz w:val="28"/>
                <w:szCs w:val="28"/>
              </w:rPr>
              <w:t xml:space="preserve">4</w:t>
            </w:r>
            <w:r/>
          </w:p>
        </w:tc>
        <w:tc>
          <w:tcPr>
            <w:tcW w:w="4424" w:type="dxa"/>
            <w:vAlign w:val="center"/>
            <w:textDirection w:val="lrTb"/>
            <w:noWrap w:val="false"/>
          </w:tcPr>
          <w:p>
            <w:pPr>
              <w:ind w:right="-92"/>
              <w:spacing w:line="500" w:lineRule="atLeast"/>
              <w:rPr>
                <w:rFonts w:ascii="宋体" w:hAnsi="宋体"/>
                <w:iCs/>
                <w:sz w:val="28"/>
                <w:szCs w:val="28"/>
              </w:rPr>
            </w:pPr>
            <w:r>
              <w:rPr>
                <w:rFonts w:ascii="宋体" w:hAnsi="宋体"/>
                <w:iCs/>
                <w:sz w:val="28"/>
                <w:szCs w:val="28"/>
              </w:rPr>
            </w:r>
            <w:r/>
          </w:p>
        </w:tc>
        <w:tc>
          <w:tcPr>
            <w:tcW w:w="2126"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c>
          <w:tcPr>
            <w:tcW w:w="2362"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1688"/>
        </w:trPr>
        <w:tc>
          <w:tcPr>
            <w:tcW w:w="646" w:type="dxa"/>
            <w:vAlign w:val="center"/>
            <w:textDirection w:val="lrTb"/>
            <w:noWrap w:val="false"/>
          </w:tcPr>
          <w:p>
            <w:pPr>
              <w:ind w:right="-92"/>
              <w:jc w:val="center"/>
              <w:spacing w:line="500" w:lineRule="atLeast"/>
              <w:rPr>
                <w:rFonts w:ascii="宋体" w:hAnsi="宋体"/>
                <w:sz w:val="28"/>
                <w:szCs w:val="28"/>
              </w:rPr>
            </w:pPr>
            <w:r>
              <w:rPr>
                <w:rFonts w:hint="eastAsia" w:ascii="宋体" w:hAnsi="宋体"/>
                <w:sz w:val="28"/>
                <w:szCs w:val="28"/>
              </w:rPr>
              <w:t xml:space="preserve">5</w:t>
            </w:r>
            <w:r/>
          </w:p>
        </w:tc>
        <w:tc>
          <w:tcPr>
            <w:tcW w:w="4424" w:type="dxa"/>
            <w:vAlign w:val="center"/>
            <w:textDirection w:val="lrTb"/>
            <w:noWrap w:val="false"/>
          </w:tcPr>
          <w:p>
            <w:pPr>
              <w:ind w:right="-92"/>
              <w:spacing w:line="500" w:lineRule="atLeast"/>
              <w:rPr>
                <w:rFonts w:ascii="宋体" w:hAnsi="宋体"/>
                <w:iCs/>
                <w:sz w:val="28"/>
                <w:szCs w:val="28"/>
              </w:rPr>
            </w:pPr>
            <w:r>
              <w:rPr>
                <w:rFonts w:ascii="宋体" w:hAnsi="宋体"/>
                <w:iCs/>
                <w:sz w:val="28"/>
                <w:szCs w:val="28"/>
              </w:rPr>
            </w:r>
            <w:r/>
          </w:p>
        </w:tc>
        <w:tc>
          <w:tcPr>
            <w:tcW w:w="2126"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c>
          <w:tcPr>
            <w:tcW w:w="2362"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1556"/>
        </w:trPr>
        <w:tc>
          <w:tcPr>
            <w:tcW w:w="646" w:type="dxa"/>
            <w:vAlign w:val="center"/>
            <w:textDirection w:val="lrTb"/>
            <w:noWrap w:val="false"/>
          </w:tcPr>
          <w:p>
            <w:pPr>
              <w:ind w:right="-92"/>
              <w:jc w:val="center"/>
              <w:spacing w:line="500" w:lineRule="atLeast"/>
              <w:rPr>
                <w:rFonts w:ascii="宋体" w:hAnsi="宋体"/>
                <w:sz w:val="28"/>
                <w:szCs w:val="28"/>
              </w:rPr>
            </w:pPr>
            <w:r>
              <w:rPr>
                <w:rFonts w:hint="eastAsia" w:ascii="宋体" w:hAnsi="宋体"/>
                <w:sz w:val="28"/>
                <w:szCs w:val="28"/>
              </w:rPr>
              <w:t xml:space="preserve">6</w:t>
            </w:r>
            <w:r/>
          </w:p>
        </w:tc>
        <w:tc>
          <w:tcPr>
            <w:tcW w:w="4424" w:type="dxa"/>
            <w:vAlign w:val="center"/>
            <w:textDirection w:val="lrTb"/>
            <w:noWrap w:val="false"/>
          </w:tcPr>
          <w:p>
            <w:pPr>
              <w:ind w:right="-92"/>
              <w:spacing w:line="500" w:lineRule="atLeast"/>
              <w:rPr>
                <w:rFonts w:ascii="宋体" w:hAnsi="宋体"/>
                <w:iCs/>
                <w:sz w:val="28"/>
                <w:szCs w:val="28"/>
              </w:rPr>
            </w:pPr>
            <w:r>
              <w:rPr>
                <w:rFonts w:ascii="宋体" w:hAnsi="宋体"/>
                <w:iCs/>
                <w:sz w:val="28"/>
                <w:szCs w:val="28"/>
              </w:rPr>
            </w:r>
            <w:r/>
          </w:p>
        </w:tc>
        <w:tc>
          <w:tcPr>
            <w:tcW w:w="2126"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c>
          <w:tcPr>
            <w:tcW w:w="2362"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1409"/>
        </w:trPr>
        <w:tc>
          <w:tcPr>
            <w:tcW w:w="646" w:type="dxa"/>
            <w:vAlign w:val="center"/>
            <w:textDirection w:val="lrTb"/>
            <w:noWrap w:val="false"/>
          </w:tcPr>
          <w:p>
            <w:pPr>
              <w:ind w:right="-92"/>
              <w:jc w:val="center"/>
              <w:spacing w:line="500" w:lineRule="atLeast"/>
              <w:rPr>
                <w:rFonts w:ascii="宋体" w:hAnsi="宋体"/>
                <w:sz w:val="28"/>
                <w:szCs w:val="28"/>
              </w:rPr>
            </w:pPr>
            <w:r>
              <w:rPr>
                <w:rFonts w:hint="eastAsia" w:ascii="宋体" w:hAnsi="宋体"/>
                <w:sz w:val="28"/>
                <w:szCs w:val="28"/>
              </w:rPr>
              <w:t xml:space="preserve">7</w:t>
            </w:r>
            <w:r/>
          </w:p>
        </w:tc>
        <w:tc>
          <w:tcPr>
            <w:tcW w:w="4424" w:type="dxa"/>
            <w:vAlign w:val="center"/>
            <w:textDirection w:val="lrTb"/>
            <w:noWrap w:val="false"/>
          </w:tcPr>
          <w:p>
            <w:pPr>
              <w:ind w:right="-92"/>
              <w:spacing w:line="500" w:lineRule="atLeast"/>
              <w:rPr>
                <w:rFonts w:ascii="宋体" w:hAnsi="宋体"/>
                <w:iCs/>
                <w:sz w:val="28"/>
                <w:szCs w:val="28"/>
              </w:rPr>
            </w:pPr>
            <w:r>
              <w:rPr>
                <w:rFonts w:ascii="宋体" w:hAnsi="宋体"/>
                <w:iCs/>
                <w:sz w:val="28"/>
                <w:szCs w:val="28"/>
              </w:rPr>
            </w:r>
            <w:r/>
          </w:p>
        </w:tc>
        <w:tc>
          <w:tcPr>
            <w:tcW w:w="2126"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c>
          <w:tcPr>
            <w:tcW w:w="2362"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r>
    </w:tbl>
    <w:p>
      <w:pPr>
        <w:ind w:right="-92" w:firstLine="560"/>
        <w:spacing w:line="500" w:lineRule="atLeast"/>
        <w:rPr>
          <w:rFonts w:ascii="宋体" w:hAnsi="宋体"/>
          <w:sz w:val="28"/>
          <w:szCs w:val="28"/>
        </w:rPr>
      </w:pPr>
      <w:r>
        <w:rPr>
          <w:rFonts w:ascii="宋体" w:hAnsi="宋体"/>
          <w:sz w:val="28"/>
          <w:szCs w:val="28"/>
        </w:rPr>
      </w:r>
      <w:r/>
    </w:p>
    <w:p>
      <w:pPr>
        <w:ind w:right="-92"/>
        <w:jc w:val="center"/>
        <w:spacing w:before="50" w:after="50" w:line="500" w:lineRule="atLeast"/>
        <w:rPr>
          <w:rFonts w:ascii="宋体" w:hAnsi="宋体"/>
          <w:b/>
          <w:sz w:val="28"/>
          <w:szCs w:val="28"/>
        </w:rPr>
      </w:pPr>
      <w:r>
        <w:rPr>
          <w:rFonts w:hint="eastAsia" w:ascii="宋体" w:hAnsi="宋体"/>
          <w:b/>
          <w:sz w:val="28"/>
          <w:szCs w:val="28"/>
        </w:rPr>
        <w:t xml:space="preserve">三、符合性检查响应对照表（格式）</w:t>
      </w:r>
      <w:r/>
    </w:p>
    <w:p>
      <w:pPr>
        <w:ind w:right="-92" w:firstLine="309"/>
        <w:spacing w:line="500" w:lineRule="atLeast"/>
        <w:rPr>
          <w:rFonts w:ascii="宋体" w:hAnsi="宋体"/>
          <w:sz w:val="28"/>
          <w:szCs w:val="28"/>
        </w:rPr>
      </w:pPr>
      <w:r>
        <w:rPr>
          <w:rFonts w:hint="eastAsia" w:ascii="宋体" w:hAnsi="宋体"/>
          <w:sz w:val="28"/>
          <w:szCs w:val="28"/>
        </w:rPr>
        <w:t xml:space="preserve">投标人全称（加盖公章）：</w:t>
      </w:r>
      <w:r/>
    </w:p>
    <w:tbl>
      <w:tblPr>
        <w:tblW w:w="95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140"/>
        <w:gridCol w:w="2410"/>
        <w:gridCol w:w="2362"/>
      </w:tblGrid>
      <w:tr>
        <w:trPr>
          <w:trHeight w:val="882"/>
        </w:trPr>
        <w:tc>
          <w:tcPr>
            <w:tcW w:w="646" w:type="dxa"/>
            <w:vAlign w:val="center"/>
            <w:textDirection w:val="lrTb"/>
            <w:noWrap w:val="false"/>
          </w:tcPr>
          <w:p>
            <w:pPr>
              <w:ind w:right="-92"/>
              <w:jc w:val="center"/>
              <w:spacing w:line="500" w:lineRule="atLeast"/>
              <w:rPr>
                <w:rFonts w:ascii="宋体" w:hAnsi="宋体"/>
                <w:b/>
                <w:sz w:val="28"/>
                <w:szCs w:val="28"/>
              </w:rPr>
            </w:pPr>
            <w:r>
              <w:rPr>
                <w:rFonts w:hint="eastAsia" w:ascii="宋体" w:hAnsi="宋体"/>
                <w:b/>
                <w:sz w:val="28"/>
                <w:szCs w:val="28"/>
              </w:rPr>
              <w:t xml:space="preserve">序号</w:t>
            </w:r>
            <w:r/>
          </w:p>
        </w:tc>
        <w:tc>
          <w:tcPr>
            <w:tcW w:w="4140" w:type="dxa"/>
            <w:vAlign w:val="center"/>
            <w:textDirection w:val="lrTb"/>
            <w:noWrap w:val="false"/>
          </w:tcPr>
          <w:p>
            <w:pPr>
              <w:ind w:right="-92"/>
              <w:jc w:val="center"/>
              <w:spacing w:line="500" w:lineRule="atLeast"/>
              <w:rPr>
                <w:rFonts w:ascii="宋体" w:hAnsi="宋体"/>
                <w:b/>
                <w:sz w:val="28"/>
                <w:szCs w:val="28"/>
              </w:rPr>
            </w:pPr>
            <w:r>
              <w:rPr>
                <w:rFonts w:hint="eastAsia" w:ascii="宋体" w:hAnsi="宋体"/>
                <w:b/>
                <w:sz w:val="28"/>
                <w:szCs w:val="28"/>
              </w:rPr>
              <w:t xml:space="preserve">符合性检查响应内容</w:t>
            </w:r>
            <w:r/>
          </w:p>
        </w:tc>
        <w:tc>
          <w:tcPr>
            <w:tcW w:w="2410" w:type="dxa"/>
            <w:vAlign w:val="center"/>
            <w:textDirection w:val="lrTb"/>
            <w:noWrap w:val="false"/>
          </w:tcPr>
          <w:p>
            <w:pPr>
              <w:ind w:right="-92"/>
              <w:jc w:val="center"/>
              <w:spacing w:line="500" w:lineRule="atLeast"/>
              <w:rPr>
                <w:rFonts w:ascii="宋体" w:hAnsi="宋体"/>
                <w:b/>
                <w:sz w:val="28"/>
                <w:szCs w:val="28"/>
              </w:rPr>
            </w:pPr>
            <w:r>
              <w:rPr>
                <w:rFonts w:hint="eastAsia" w:ascii="宋体" w:hAnsi="宋体"/>
                <w:b/>
                <w:sz w:val="28"/>
                <w:szCs w:val="28"/>
              </w:rPr>
              <w:t xml:space="preserve">是否响应</w:t>
            </w:r>
            <w:r/>
          </w:p>
          <w:p>
            <w:pPr>
              <w:ind w:right="-92"/>
              <w:jc w:val="center"/>
              <w:spacing w:line="500" w:lineRule="atLeast"/>
              <w:rPr>
                <w:rFonts w:ascii="宋体" w:hAnsi="宋体"/>
                <w:b/>
                <w:sz w:val="28"/>
                <w:szCs w:val="28"/>
              </w:rPr>
            </w:pPr>
            <w:r>
              <w:rPr>
                <w:rFonts w:hint="eastAsia" w:ascii="宋体" w:hAnsi="宋体"/>
                <w:b/>
                <w:sz w:val="28"/>
                <w:szCs w:val="28"/>
              </w:rPr>
              <w:t xml:space="preserve">（填是或者否）</w:t>
            </w:r>
            <w:r/>
          </w:p>
        </w:tc>
        <w:tc>
          <w:tcPr>
            <w:tcW w:w="2362" w:type="dxa"/>
            <w:vAlign w:val="center"/>
            <w:textDirection w:val="lrTb"/>
            <w:noWrap w:val="false"/>
          </w:tcPr>
          <w:p>
            <w:pPr>
              <w:ind w:right="-92"/>
              <w:jc w:val="center"/>
              <w:spacing w:line="500" w:lineRule="atLeast"/>
              <w:rPr>
                <w:rFonts w:ascii="宋体" w:hAnsi="宋体"/>
                <w:b/>
                <w:sz w:val="28"/>
                <w:szCs w:val="28"/>
              </w:rPr>
            </w:pPr>
            <w:r>
              <w:rPr>
                <w:rFonts w:hint="eastAsia" w:ascii="宋体" w:hAnsi="宋体"/>
                <w:b/>
                <w:sz w:val="28"/>
                <w:szCs w:val="28"/>
              </w:rPr>
              <w:t xml:space="preserve">投标文件中的</w:t>
            </w:r>
            <w:r/>
          </w:p>
          <w:p>
            <w:pPr>
              <w:ind w:right="-92"/>
              <w:jc w:val="center"/>
              <w:spacing w:line="500" w:lineRule="atLeast"/>
              <w:rPr>
                <w:rFonts w:ascii="宋体" w:hAnsi="宋体"/>
                <w:b/>
                <w:sz w:val="28"/>
                <w:szCs w:val="28"/>
              </w:rPr>
            </w:pPr>
            <w:r>
              <w:rPr>
                <w:rFonts w:hint="eastAsia" w:ascii="宋体" w:hAnsi="宋体"/>
                <w:b/>
                <w:sz w:val="28"/>
                <w:szCs w:val="28"/>
              </w:rPr>
              <w:t xml:space="preserve">页码位置</w:t>
            </w:r>
            <w:r/>
          </w:p>
        </w:tc>
      </w:tr>
      <w:tr>
        <w:trPr>
          <w:trHeight w:val="1637"/>
        </w:trPr>
        <w:tc>
          <w:tcPr>
            <w:tcW w:w="646" w:type="dxa"/>
            <w:vAlign w:val="center"/>
            <w:textDirection w:val="lrTb"/>
            <w:noWrap w:val="false"/>
          </w:tcPr>
          <w:p>
            <w:pPr>
              <w:ind w:right="-92"/>
              <w:jc w:val="center"/>
              <w:spacing w:line="500" w:lineRule="atLeast"/>
              <w:rPr>
                <w:rFonts w:ascii="宋体" w:hAnsi="宋体"/>
                <w:sz w:val="28"/>
                <w:szCs w:val="28"/>
              </w:rPr>
            </w:pPr>
            <w:r>
              <w:rPr>
                <w:rFonts w:hint="eastAsia" w:ascii="宋体" w:hAnsi="宋体"/>
                <w:sz w:val="28"/>
                <w:szCs w:val="28"/>
              </w:rPr>
              <w:t xml:space="preserve">1</w:t>
            </w:r>
            <w:r/>
          </w:p>
        </w:tc>
        <w:tc>
          <w:tcPr>
            <w:tcW w:w="4140" w:type="dxa"/>
            <w:vAlign w:val="center"/>
            <w:textDirection w:val="lrTb"/>
            <w:noWrap w:val="false"/>
          </w:tcPr>
          <w:p>
            <w:pPr>
              <w:ind w:right="-92"/>
              <w:spacing w:line="500" w:lineRule="atLeast"/>
              <w:rPr>
                <w:rFonts w:ascii="宋体" w:hAnsi="宋体"/>
                <w:iCs/>
                <w:sz w:val="28"/>
                <w:szCs w:val="28"/>
              </w:rPr>
            </w:pPr>
            <w:r>
              <w:rPr>
                <w:rFonts w:ascii="宋体" w:hAnsi="宋体"/>
                <w:iCs/>
                <w:sz w:val="28"/>
                <w:szCs w:val="28"/>
              </w:rPr>
            </w:r>
            <w:r/>
          </w:p>
        </w:tc>
        <w:tc>
          <w:tcPr>
            <w:tcW w:w="2410" w:type="dxa"/>
            <w:vAlign w:val="center"/>
            <w:textDirection w:val="lrTb"/>
            <w:noWrap w:val="false"/>
          </w:tcPr>
          <w:p>
            <w:pPr>
              <w:ind w:right="-92"/>
              <w:spacing w:line="500" w:lineRule="atLeast"/>
              <w:rPr>
                <w:rFonts w:ascii="宋体" w:hAnsi="宋体"/>
                <w:b/>
                <w:sz w:val="28"/>
                <w:szCs w:val="28"/>
              </w:rPr>
            </w:pPr>
            <w:r>
              <w:rPr>
                <w:rFonts w:ascii="宋体" w:hAnsi="宋体"/>
                <w:b/>
                <w:sz w:val="28"/>
                <w:szCs w:val="28"/>
              </w:rPr>
            </w:r>
            <w:r/>
          </w:p>
        </w:tc>
        <w:tc>
          <w:tcPr>
            <w:tcW w:w="2362" w:type="dxa"/>
            <w:vAlign w:val="center"/>
            <w:textDirection w:val="lrTb"/>
            <w:noWrap w:val="false"/>
          </w:tcPr>
          <w:p>
            <w:pPr>
              <w:ind w:right="-92"/>
              <w:spacing w:line="500" w:lineRule="atLeast"/>
              <w:rPr>
                <w:rFonts w:ascii="宋体" w:hAnsi="宋体"/>
                <w:b/>
                <w:sz w:val="28"/>
                <w:szCs w:val="28"/>
              </w:rPr>
            </w:pPr>
            <w:r>
              <w:rPr>
                <w:rFonts w:ascii="宋体" w:hAnsi="宋体"/>
                <w:b/>
                <w:sz w:val="28"/>
                <w:szCs w:val="28"/>
              </w:rPr>
            </w:r>
            <w:r/>
          </w:p>
        </w:tc>
      </w:tr>
      <w:tr>
        <w:trPr>
          <w:trHeight w:val="1689"/>
        </w:trPr>
        <w:tc>
          <w:tcPr>
            <w:tcW w:w="646" w:type="dxa"/>
            <w:vAlign w:val="center"/>
            <w:textDirection w:val="lrTb"/>
            <w:noWrap w:val="false"/>
          </w:tcPr>
          <w:p>
            <w:pPr>
              <w:ind w:right="-92"/>
              <w:jc w:val="center"/>
              <w:spacing w:line="500" w:lineRule="atLeast"/>
              <w:rPr>
                <w:rFonts w:ascii="宋体" w:hAnsi="宋体"/>
                <w:sz w:val="28"/>
                <w:szCs w:val="28"/>
              </w:rPr>
            </w:pPr>
            <w:r>
              <w:rPr>
                <w:rFonts w:hint="eastAsia" w:ascii="宋体" w:hAnsi="宋体"/>
                <w:sz w:val="28"/>
                <w:szCs w:val="28"/>
              </w:rPr>
              <w:t xml:space="preserve">2</w:t>
            </w:r>
            <w:r/>
          </w:p>
        </w:tc>
        <w:tc>
          <w:tcPr>
            <w:tcW w:w="4140" w:type="dxa"/>
            <w:vAlign w:val="center"/>
            <w:textDirection w:val="lrTb"/>
            <w:noWrap w:val="false"/>
          </w:tcPr>
          <w:p>
            <w:pPr>
              <w:ind w:right="-92"/>
              <w:spacing w:line="500" w:lineRule="atLeast"/>
              <w:rPr>
                <w:rFonts w:ascii="宋体" w:hAnsi="宋体"/>
                <w:iCs/>
                <w:sz w:val="28"/>
                <w:szCs w:val="28"/>
              </w:rPr>
            </w:pPr>
            <w:r>
              <w:rPr>
                <w:rFonts w:ascii="宋体" w:hAnsi="宋体"/>
                <w:iCs/>
                <w:sz w:val="28"/>
                <w:szCs w:val="28"/>
              </w:rPr>
            </w:r>
            <w:r/>
          </w:p>
        </w:tc>
        <w:tc>
          <w:tcPr>
            <w:tcW w:w="2410"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c>
          <w:tcPr>
            <w:tcW w:w="2362"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1557"/>
        </w:trPr>
        <w:tc>
          <w:tcPr>
            <w:tcW w:w="646" w:type="dxa"/>
            <w:vAlign w:val="center"/>
            <w:textDirection w:val="lrTb"/>
            <w:noWrap w:val="false"/>
          </w:tcPr>
          <w:p>
            <w:pPr>
              <w:ind w:right="-92"/>
              <w:jc w:val="center"/>
              <w:spacing w:line="500" w:lineRule="atLeast"/>
              <w:rPr>
                <w:rFonts w:ascii="宋体" w:hAnsi="宋体"/>
                <w:sz w:val="28"/>
                <w:szCs w:val="28"/>
              </w:rPr>
            </w:pPr>
            <w:r>
              <w:rPr>
                <w:rFonts w:hint="eastAsia" w:ascii="宋体" w:hAnsi="宋体"/>
                <w:sz w:val="28"/>
                <w:szCs w:val="28"/>
              </w:rPr>
              <w:t xml:space="preserve">3</w:t>
            </w:r>
            <w:r/>
          </w:p>
        </w:tc>
        <w:tc>
          <w:tcPr>
            <w:tcW w:w="4140" w:type="dxa"/>
            <w:vAlign w:val="center"/>
            <w:textDirection w:val="lrTb"/>
            <w:noWrap w:val="false"/>
          </w:tcPr>
          <w:p>
            <w:pPr>
              <w:ind w:right="-92"/>
              <w:spacing w:line="500" w:lineRule="atLeast"/>
              <w:rPr>
                <w:rFonts w:ascii="宋体" w:hAnsi="宋体"/>
                <w:iCs/>
                <w:sz w:val="28"/>
                <w:szCs w:val="28"/>
              </w:rPr>
            </w:pPr>
            <w:r>
              <w:rPr>
                <w:rFonts w:ascii="宋体" w:hAnsi="宋体"/>
                <w:iCs/>
                <w:sz w:val="28"/>
                <w:szCs w:val="28"/>
              </w:rPr>
            </w:r>
            <w:r/>
          </w:p>
        </w:tc>
        <w:tc>
          <w:tcPr>
            <w:tcW w:w="2410"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c>
          <w:tcPr>
            <w:tcW w:w="2362"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1536"/>
        </w:trPr>
        <w:tc>
          <w:tcPr>
            <w:tcW w:w="646" w:type="dxa"/>
            <w:vAlign w:val="center"/>
            <w:textDirection w:val="lrTb"/>
            <w:noWrap w:val="false"/>
          </w:tcPr>
          <w:p>
            <w:pPr>
              <w:ind w:right="-92"/>
              <w:jc w:val="center"/>
              <w:spacing w:line="500" w:lineRule="atLeast"/>
              <w:rPr>
                <w:rFonts w:ascii="宋体" w:hAnsi="宋体"/>
                <w:sz w:val="28"/>
                <w:szCs w:val="28"/>
              </w:rPr>
            </w:pPr>
            <w:r>
              <w:rPr>
                <w:rFonts w:hint="eastAsia" w:ascii="宋体" w:hAnsi="宋体"/>
                <w:sz w:val="28"/>
                <w:szCs w:val="28"/>
              </w:rPr>
              <w:t xml:space="preserve">4</w:t>
            </w:r>
            <w:r/>
          </w:p>
        </w:tc>
        <w:tc>
          <w:tcPr>
            <w:tcW w:w="4140" w:type="dxa"/>
            <w:vAlign w:val="center"/>
            <w:textDirection w:val="lrTb"/>
            <w:noWrap w:val="false"/>
          </w:tcPr>
          <w:p>
            <w:pPr>
              <w:ind w:right="-92"/>
              <w:spacing w:line="500" w:lineRule="atLeast"/>
              <w:rPr>
                <w:rFonts w:ascii="宋体" w:hAnsi="宋体"/>
                <w:iCs/>
                <w:sz w:val="28"/>
                <w:szCs w:val="28"/>
              </w:rPr>
            </w:pPr>
            <w:r>
              <w:rPr>
                <w:rFonts w:ascii="宋体" w:hAnsi="宋体"/>
                <w:iCs/>
                <w:sz w:val="28"/>
                <w:szCs w:val="28"/>
              </w:rPr>
            </w:r>
            <w:r/>
          </w:p>
        </w:tc>
        <w:tc>
          <w:tcPr>
            <w:tcW w:w="2410"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c>
          <w:tcPr>
            <w:tcW w:w="2362"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1575"/>
        </w:trPr>
        <w:tc>
          <w:tcPr>
            <w:tcW w:w="646" w:type="dxa"/>
            <w:vAlign w:val="center"/>
            <w:textDirection w:val="lrTb"/>
            <w:noWrap w:val="false"/>
          </w:tcPr>
          <w:p>
            <w:pPr>
              <w:ind w:right="-92"/>
              <w:jc w:val="center"/>
              <w:spacing w:line="500" w:lineRule="atLeast"/>
              <w:rPr>
                <w:rFonts w:ascii="宋体" w:hAnsi="宋体"/>
                <w:sz w:val="28"/>
                <w:szCs w:val="28"/>
              </w:rPr>
            </w:pPr>
            <w:r>
              <w:rPr>
                <w:rFonts w:hint="eastAsia" w:ascii="宋体" w:hAnsi="宋体"/>
                <w:sz w:val="28"/>
                <w:szCs w:val="28"/>
              </w:rPr>
              <w:t xml:space="preserve">5</w:t>
            </w:r>
            <w:r/>
          </w:p>
        </w:tc>
        <w:tc>
          <w:tcPr>
            <w:tcW w:w="4140" w:type="dxa"/>
            <w:vAlign w:val="center"/>
            <w:textDirection w:val="lrTb"/>
            <w:noWrap w:val="false"/>
          </w:tcPr>
          <w:p>
            <w:pPr>
              <w:ind w:right="-92"/>
              <w:spacing w:line="500" w:lineRule="atLeast"/>
              <w:rPr>
                <w:rFonts w:ascii="宋体" w:hAnsi="宋体"/>
                <w:iCs/>
                <w:sz w:val="28"/>
                <w:szCs w:val="28"/>
              </w:rPr>
            </w:pPr>
            <w:r>
              <w:rPr>
                <w:rFonts w:ascii="宋体" w:hAnsi="宋体"/>
                <w:iCs/>
                <w:sz w:val="28"/>
                <w:szCs w:val="28"/>
              </w:rPr>
            </w:r>
            <w:r/>
          </w:p>
        </w:tc>
        <w:tc>
          <w:tcPr>
            <w:tcW w:w="2410"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c>
          <w:tcPr>
            <w:tcW w:w="2362"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r>
      <w:tr>
        <w:trPr>
          <w:trHeight w:val="1666"/>
        </w:trPr>
        <w:tc>
          <w:tcPr>
            <w:tcW w:w="646" w:type="dxa"/>
            <w:vAlign w:val="center"/>
            <w:textDirection w:val="lrTb"/>
            <w:noWrap w:val="false"/>
          </w:tcPr>
          <w:p>
            <w:pPr>
              <w:ind w:right="-92"/>
              <w:jc w:val="center"/>
              <w:spacing w:line="500" w:lineRule="atLeast"/>
              <w:rPr>
                <w:rFonts w:ascii="宋体" w:hAnsi="宋体"/>
                <w:sz w:val="28"/>
                <w:szCs w:val="28"/>
              </w:rPr>
            </w:pPr>
            <w:r>
              <w:rPr>
                <w:rFonts w:hint="eastAsia" w:ascii="宋体" w:hAnsi="宋体"/>
                <w:sz w:val="28"/>
                <w:szCs w:val="28"/>
              </w:rPr>
              <w:t xml:space="preserve">6</w:t>
            </w:r>
            <w:r/>
          </w:p>
        </w:tc>
        <w:tc>
          <w:tcPr>
            <w:tcW w:w="4140" w:type="dxa"/>
            <w:vAlign w:val="center"/>
            <w:textDirection w:val="lrTb"/>
            <w:noWrap w:val="false"/>
          </w:tcPr>
          <w:p>
            <w:pPr>
              <w:ind w:right="-92"/>
              <w:spacing w:line="500" w:lineRule="atLeast"/>
              <w:rPr>
                <w:rFonts w:ascii="宋体" w:hAnsi="宋体"/>
                <w:iCs/>
                <w:sz w:val="28"/>
                <w:szCs w:val="28"/>
              </w:rPr>
            </w:pPr>
            <w:r>
              <w:rPr>
                <w:rFonts w:ascii="宋体" w:hAnsi="宋体"/>
                <w:iCs/>
                <w:sz w:val="28"/>
                <w:szCs w:val="28"/>
              </w:rPr>
            </w:r>
            <w:r/>
          </w:p>
        </w:tc>
        <w:tc>
          <w:tcPr>
            <w:tcW w:w="2410"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c>
          <w:tcPr>
            <w:tcW w:w="2362" w:type="dxa"/>
            <w:vAlign w:val="center"/>
            <w:textDirection w:val="lrTb"/>
            <w:noWrap w:val="false"/>
          </w:tcPr>
          <w:p>
            <w:pPr>
              <w:ind w:right="-92"/>
              <w:spacing w:line="500" w:lineRule="atLeast"/>
              <w:rPr>
                <w:rFonts w:ascii="宋体" w:hAnsi="宋体"/>
                <w:sz w:val="28"/>
                <w:szCs w:val="28"/>
              </w:rPr>
            </w:pPr>
            <w:r>
              <w:rPr>
                <w:rFonts w:ascii="宋体" w:hAnsi="宋体"/>
                <w:sz w:val="28"/>
                <w:szCs w:val="28"/>
              </w:rPr>
            </w:r>
            <w:r/>
          </w:p>
        </w:tc>
      </w:tr>
    </w:tbl>
    <w:p>
      <w:pPr>
        <w:ind w:right="-92"/>
        <w:spacing w:before="50" w:after="50" w:line="500" w:lineRule="atLeast"/>
        <w:rPr>
          <w:rFonts w:ascii="宋体" w:hAnsi="宋体"/>
          <w:sz w:val="28"/>
          <w:szCs w:val="28"/>
        </w:rPr>
      </w:pPr>
      <w:r/>
      <w:bookmarkStart w:id="362" w:name="_Toc120614284"/>
      <w:r/>
      <w:r/>
    </w:p>
    <w:p>
      <w:pPr>
        <w:ind w:right="-92"/>
        <w:jc w:val="center"/>
        <w:spacing w:before="50" w:after="50" w:line="500" w:lineRule="atLeast"/>
        <w:rPr>
          <w:rFonts w:ascii="宋体" w:hAnsi="宋体"/>
          <w:b/>
          <w:bCs/>
          <w:sz w:val="28"/>
          <w:szCs w:val="28"/>
        </w:rPr>
      </w:pPr>
      <w:r>
        <w:rPr>
          <w:rFonts w:hint="eastAsia" w:ascii="宋体" w:hAnsi="宋体"/>
          <w:b/>
          <w:sz w:val="28"/>
          <w:szCs w:val="28"/>
          <w:highlight w:val="none"/>
        </w:rPr>
      </w:r>
      <w:r>
        <w:rPr>
          <w:rFonts w:hint="eastAsia" w:ascii="宋体" w:hAnsi="宋体"/>
          <w:b/>
          <w:sz w:val="28"/>
          <w:szCs w:val="28"/>
          <w:highlight w:val="none"/>
        </w:rPr>
      </w:r>
    </w:p>
    <w:p>
      <w:pPr>
        <w:ind w:right="-92"/>
        <w:jc w:val="center"/>
        <w:spacing w:before="50" w:after="50" w:line="500" w:lineRule="atLeast"/>
        <w:rPr>
          <w:rFonts w:hint="eastAsia" w:ascii="宋体" w:hAnsi="宋体"/>
          <w:b/>
          <w:bCs/>
          <w:sz w:val="28"/>
          <w:szCs w:val="28"/>
          <w:highlight w:val="none"/>
        </w:rPr>
      </w:pPr>
      <w:r>
        <w:rPr>
          <w:rFonts w:hint="eastAsia" w:ascii="宋体" w:hAnsi="宋体"/>
          <w:b/>
          <w:sz w:val="28"/>
          <w:szCs w:val="28"/>
        </w:rPr>
        <w:t xml:space="preserve">四、投标函（格式）</w:t>
      </w:r>
      <w:r/>
    </w:p>
    <w:p>
      <w:pPr>
        <w:pStyle w:val="1047"/>
        <w:ind w:right="-92" w:firstLine="0"/>
        <w:spacing w:before="0" w:after="0" w:line="500" w:lineRule="atLeast"/>
        <w:rPr>
          <w:rFonts w:ascii="宋体" w:hAnsi="宋体" w:eastAsia="宋体"/>
        </w:rPr>
      </w:pPr>
      <w:r>
        <w:rPr>
          <w:rFonts w:hint="eastAsia" w:ascii="宋体" w:hAnsi="宋体" w:eastAsia="宋体"/>
        </w:rPr>
        <w:t xml:space="preserve">致：</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rPr>
        <w:t xml:space="preserve">（采购人）</w:t>
      </w:r>
      <w:r/>
    </w:p>
    <w:p>
      <w:pPr>
        <w:pStyle w:val="1047"/>
        <w:ind w:right="-92"/>
        <w:spacing w:before="0" w:after="0" w:line="500" w:lineRule="atLeast"/>
        <w:rPr>
          <w:rFonts w:ascii="宋体" w:hAnsi="宋体" w:eastAsia="宋体"/>
        </w:rPr>
      </w:pPr>
      <w:r>
        <w:rPr>
          <w:rFonts w:hint="eastAsia" w:ascii="宋体" w:hAnsi="宋体" w:eastAsia="宋体"/>
        </w:rPr>
        <w:t xml:space="preserve">根据贵方的（项目名称）招标文件，正式授权下述签字人_________________(姓名)代表我方______________（投标人的名称），全权处理本次项目投标的有关事宜。</w:t>
      </w:r>
      <w:r/>
    </w:p>
    <w:p>
      <w:pPr>
        <w:pStyle w:val="1047"/>
        <w:ind w:right="-92"/>
        <w:spacing w:before="0" w:after="0" w:line="500" w:lineRule="atLeast"/>
        <w:rPr>
          <w:rFonts w:ascii="宋体" w:hAnsi="宋体" w:eastAsia="宋体"/>
        </w:rPr>
      </w:pPr>
      <w:r>
        <w:rPr>
          <w:rFonts w:hint="eastAsia" w:ascii="宋体" w:hAnsi="宋体" w:eastAsia="宋体"/>
        </w:rPr>
        <w:t xml:space="preserve">据此函，__________签字人兹宣布同意如下：</w:t>
      </w:r>
      <w:r/>
    </w:p>
    <w:p>
      <w:pPr>
        <w:pStyle w:val="1047"/>
        <w:ind w:right="-92"/>
        <w:spacing w:before="0" w:after="0" w:line="500" w:lineRule="atLeast"/>
        <w:rPr>
          <w:rFonts w:ascii="宋体" w:hAnsi="宋体" w:eastAsia="宋体"/>
        </w:rPr>
      </w:pPr>
      <w:r>
        <w:rPr>
          <w:rFonts w:hint="eastAsia" w:ascii="宋体" w:hAnsi="宋体" w:eastAsia="宋体"/>
        </w:rPr>
        <w:t xml:space="preserve">1.按招标文件规定的各项要求，向买方提供所需货物或服务。</w:t>
      </w:r>
      <w:r/>
    </w:p>
    <w:p>
      <w:pPr>
        <w:pStyle w:val="1047"/>
        <w:ind w:right="-92"/>
        <w:spacing w:before="0" w:after="0" w:line="500" w:lineRule="atLeast"/>
        <w:rPr>
          <w:rFonts w:ascii="宋体" w:hAnsi="宋体" w:eastAsia="宋体"/>
        </w:rPr>
      </w:pPr>
      <w:r>
        <w:rPr>
          <w:rFonts w:hint="eastAsia" w:ascii="宋体" w:hAnsi="宋体" w:eastAsia="宋体"/>
        </w:rPr>
        <w:t xml:space="preserve">2.我们完全理解贵方不一定将合同授予最低报价的投标人。</w:t>
      </w:r>
      <w:r/>
    </w:p>
    <w:p>
      <w:pPr>
        <w:pStyle w:val="1047"/>
        <w:ind w:right="-92"/>
        <w:spacing w:before="0" w:after="0" w:line="500" w:lineRule="atLeast"/>
        <w:rPr>
          <w:rFonts w:ascii="宋体" w:hAnsi="宋体" w:eastAsia="宋体"/>
        </w:rPr>
      </w:pPr>
      <w:r>
        <w:rPr>
          <w:rFonts w:hint="eastAsia" w:ascii="宋体" w:hAnsi="宋体" w:eastAsia="宋体"/>
        </w:rPr>
        <w:t xml:space="preserve">3.我们已详细审核全部招标文件及其有效补充文件，我们知道必须放弃提出含糊不清或误解问题的权利。</w:t>
      </w:r>
      <w:r/>
    </w:p>
    <w:p>
      <w:pPr>
        <w:pStyle w:val="1047"/>
        <w:ind w:right="-92"/>
        <w:spacing w:before="0" w:after="0" w:line="500" w:lineRule="atLeast"/>
        <w:rPr>
          <w:rFonts w:ascii="宋体" w:hAnsi="宋体" w:eastAsia="宋体"/>
        </w:rPr>
      </w:pPr>
      <w:r>
        <w:rPr>
          <w:rFonts w:hint="eastAsia" w:ascii="宋体" w:hAnsi="宋体" w:eastAsia="宋体"/>
        </w:rPr>
        <w:t xml:space="preserve">4.我们同意从规定的开标日期起遵循本投标文件，并在规定的投标有效期期满之前均具有约束力。</w:t>
      </w:r>
      <w:r/>
    </w:p>
    <w:p>
      <w:pPr>
        <w:pStyle w:val="1047"/>
        <w:ind w:right="-92"/>
        <w:spacing w:before="0" w:after="0" w:line="500" w:lineRule="atLeast"/>
        <w:rPr>
          <w:rFonts w:ascii="宋体" w:hAnsi="宋体" w:eastAsia="宋体"/>
        </w:rPr>
      </w:pPr>
      <w:r>
        <w:rPr>
          <w:rFonts w:hint="eastAsia" w:ascii="宋体" w:hAnsi="宋体" w:eastAsia="宋体"/>
        </w:rPr>
        <w:t xml:space="preserve">5.如果在开标后规定的投标有效期内撤回投标或中标后拒绝签订合同，则按照国家相关法律法规受到相应处罚。</w:t>
      </w:r>
      <w:r/>
    </w:p>
    <w:p>
      <w:pPr>
        <w:pStyle w:val="1047"/>
        <w:ind w:right="-92"/>
        <w:spacing w:before="0" w:after="0" w:line="500" w:lineRule="atLeast"/>
        <w:rPr>
          <w:rFonts w:ascii="宋体" w:hAnsi="宋体" w:eastAsia="宋体"/>
        </w:rPr>
      </w:pPr>
      <w:r>
        <w:rPr>
          <w:rFonts w:hint="eastAsia" w:ascii="宋体" w:hAnsi="宋体" w:eastAsia="宋体"/>
        </w:rPr>
        <w:t xml:space="preserve">6.同意向贵方提供贵方可能另外要求的与投标有关的任何证据或资料，并保证我方已提供和将要提供的文件是真实的、准确的。</w:t>
      </w:r>
      <w:r/>
    </w:p>
    <w:p>
      <w:pPr>
        <w:pStyle w:val="1047"/>
        <w:ind w:right="-92"/>
        <w:spacing w:before="0" w:after="0" w:line="500" w:lineRule="atLeast"/>
        <w:rPr>
          <w:rFonts w:ascii="宋体" w:hAnsi="宋体" w:eastAsia="宋体"/>
        </w:rPr>
      </w:pPr>
      <w:r>
        <w:rPr>
          <w:rFonts w:hint="eastAsia" w:ascii="宋体" w:hAnsi="宋体" w:eastAsia="宋体"/>
        </w:rPr>
        <w:t xml:space="preserve">7.一旦我方中标,我方将根据招标文件的规定，严格履行合同的责任和义务,并保证在招标文件规定的时间完成项目，交付买方验收、使用。</w:t>
      </w:r>
      <w:r/>
    </w:p>
    <w:p>
      <w:pPr>
        <w:pStyle w:val="1047"/>
        <w:spacing w:before="0" w:after="0" w:line="500" w:lineRule="atLeast"/>
        <w:rPr>
          <w:rFonts w:ascii="宋体" w:hAnsi="宋体" w:eastAsia="宋体"/>
        </w:rPr>
      </w:pPr>
      <w:r>
        <w:rPr>
          <w:rFonts w:hint="eastAsia" w:ascii="宋体" w:hAnsi="宋体" w:eastAsia="宋体"/>
        </w:rPr>
        <w:t xml:space="preserve">8.与本投标有关的正式通讯地址为：</w:t>
      </w:r>
      <w:r/>
    </w:p>
    <w:p>
      <w:pPr>
        <w:pStyle w:val="1047"/>
        <w:ind w:left="420" w:right="-92"/>
        <w:spacing w:before="0" w:after="0" w:line="500" w:lineRule="atLeast"/>
        <w:rPr>
          <w:rFonts w:ascii="宋体" w:hAnsi="宋体" w:eastAsia="宋体"/>
          <w:szCs w:val="28"/>
        </w:rPr>
      </w:pPr>
      <w:r>
        <w:rPr>
          <w:rFonts w:ascii="宋体" w:hAnsi="宋体" w:eastAsia="宋体"/>
          <w:szCs w:val="28"/>
        </w:rPr>
      </w:r>
      <w:r/>
    </w:p>
    <w:p>
      <w:pPr>
        <w:pStyle w:val="1047"/>
        <w:spacing w:before="0" w:after="0" w:line="500" w:lineRule="atLeast"/>
        <w:rPr>
          <w:rFonts w:ascii="宋体" w:hAnsi="宋体" w:eastAsia="宋体"/>
          <w:szCs w:val="28"/>
        </w:rPr>
      </w:pPr>
      <w:r>
        <w:rPr>
          <w:rFonts w:hint="eastAsia" w:ascii="宋体" w:hAnsi="宋体" w:eastAsia="宋体"/>
          <w:szCs w:val="28"/>
        </w:rPr>
        <w:t xml:space="preserve">地        址： </w:t>
      </w:r>
      <w:r>
        <w:rPr>
          <w:rFonts w:ascii="宋体" w:hAnsi="宋体" w:eastAsia="宋体"/>
          <w:szCs w:val="28"/>
        </w:rPr>
        <w:t xml:space="preserve">                      </w:t>
      </w:r>
      <w:r>
        <w:rPr>
          <w:rFonts w:hint="eastAsia" w:ascii="宋体" w:hAnsi="宋体" w:eastAsia="宋体"/>
          <w:szCs w:val="28"/>
        </w:rPr>
        <w:t xml:space="preserve">邮        编：</w:t>
      </w:r>
      <w:r/>
    </w:p>
    <w:p>
      <w:pPr>
        <w:pStyle w:val="1047"/>
        <w:spacing w:before="0" w:after="0" w:line="500" w:lineRule="atLeast"/>
        <w:rPr>
          <w:rFonts w:ascii="宋体" w:hAnsi="宋体" w:eastAsia="宋体"/>
          <w:szCs w:val="28"/>
        </w:rPr>
      </w:pPr>
      <w:r>
        <w:rPr>
          <w:rFonts w:hint="eastAsia" w:ascii="宋体" w:hAnsi="宋体" w:eastAsia="宋体"/>
          <w:szCs w:val="28"/>
        </w:rPr>
        <w:t xml:space="preserve">电        话： </w:t>
      </w:r>
      <w:r>
        <w:rPr>
          <w:rFonts w:ascii="宋体" w:hAnsi="宋体" w:eastAsia="宋体"/>
          <w:szCs w:val="28"/>
        </w:rPr>
        <w:t xml:space="preserve">                      </w:t>
      </w:r>
      <w:r>
        <w:rPr>
          <w:rFonts w:hint="eastAsia" w:ascii="宋体" w:hAnsi="宋体" w:eastAsia="宋体"/>
          <w:szCs w:val="28"/>
        </w:rPr>
        <w:t xml:space="preserve">传        真：</w:t>
      </w:r>
      <w:r/>
    </w:p>
    <w:p>
      <w:pPr>
        <w:pStyle w:val="1047"/>
        <w:spacing w:before="0" w:after="0" w:line="500" w:lineRule="atLeast"/>
        <w:rPr>
          <w:rFonts w:ascii="宋体" w:hAnsi="宋体" w:eastAsia="宋体"/>
          <w:szCs w:val="28"/>
        </w:rPr>
      </w:pPr>
      <w:r>
        <w:rPr>
          <w:rFonts w:hint="eastAsia" w:ascii="宋体" w:hAnsi="宋体" w:eastAsia="宋体"/>
          <w:szCs w:val="28"/>
        </w:rPr>
        <w:t xml:space="preserve">投标人开户行：</w:t>
      </w:r>
      <w:r/>
    </w:p>
    <w:p>
      <w:pPr>
        <w:pStyle w:val="1047"/>
        <w:spacing w:before="0" w:after="0" w:line="500" w:lineRule="atLeast"/>
        <w:rPr>
          <w:rFonts w:ascii="宋体" w:hAnsi="宋体" w:eastAsia="宋体"/>
          <w:szCs w:val="28"/>
        </w:rPr>
      </w:pPr>
      <w:r>
        <w:rPr>
          <w:rFonts w:hint="eastAsia" w:ascii="宋体" w:hAnsi="宋体" w:eastAsia="宋体"/>
          <w:szCs w:val="28"/>
        </w:rPr>
        <w:t xml:space="preserve">账        户： </w:t>
      </w:r>
      <w:r/>
    </w:p>
    <w:p>
      <w:pPr>
        <w:pStyle w:val="1047"/>
        <w:spacing w:before="0" w:after="0" w:line="500" w:lineRule="atLeast"/>
        <w:rPr>
          <w:rFonts w:ascii="宋体" w:hAnsi="宋体" w:eastAsia="宋体"/>
          <w:szCs w:val="28"/>
        </w:rPr>
      </w:pPr>
      <w:r>
        <w:rPr>
          <w:rFonts w:hint="eastAsia" w:ascii="宋体" w:hAnsi="宋体" w:eastAsia="宋体"/>
          <w:szCs w:val="28"/>
        </w:rPr>
        <w:t xml:space="preserve">法定代表人（或负责人）或授权代表电话（手机号码）：</w:t>
      </w:r>
      <w:r/>
    </w:p>
    <w:p>
      <w:pPr>
        <w:pStyle w:val="1047"/>
        <w:spacing w:before="0" w:after="0" w:line="500" w:lineRule="atLeast"/>
        <w:rPr>
          <w:rFonts w:ascii="宋体" w:hAnsi="宋体" w:eastAsia="宋体"/>
          <w:szCs w:val="28"/>
        </w:rPr>
      </w:pPr>
      <w:r>
        <w:rPr>
          <w:rFonts w:hint="eastAsia" w:ascii="宋体" w:hAnsi="宋体" w:eastAsia="宋体"/>
          <w:szCs w:val="28"/>
        </w:rPr>
        <w:t xml:space="preserve">投标人名称（公章）： </w:t>
      </w:r>
      <w:r/>
    </w:p>
    <w:p>
      <w:pPr>
        <w:pStyle w:val="1047"/>
        <w:spacing w:before="0" w:after="0" w:line="500" w:lineRule="atLeast"/>
        <w:rPr>
          <w:rFonts w:ascii="宋体" w:hAnsi="宋体" w:eastAsia="宋体"/>
          <w:szCs w:val="28"/>
        </w:rPr>
      </w:pPr>
      <w:r>
        <w:rPr>
          <w:rFonts w:hint="eastAsia" w:ascii="宋体" w:hAnsi="宋体" w:eastAsia="宋体"/>
          <w:szCs w:val="28"/>
        </w:rPr>
        <w:t xml:space="preserve">日           期：________年____月____日</w:t>
      </w:r>
      <w:r/>
    </w:p>
    <w:p>
      <w:pPr>
        <w:pStyle w:val="1047"/>
        <w:spacing w:before="0" w:after="0" w:line="500" w:lineRule="atLeast"/>
        <w:rPr>
          <w:rFonts w:ascii="宋体" w:hAnsi="宋体" w:eastAsia="宋体"/>
          <w:szCs w:val="28"/>
        </w:rPr>
      </w:pPr>
      <w:r>
        <w:rPr>
          <w:rFonts w:ascii="宋体" w:hAnsi="宋体" w:eastAsia="宋体"/>
          <w:szCs w:val="28"/>
        </w:rPr>
      </w:r>
      <w:r/>
    </w:p>
    <w:p>
      <w:pPr>
        <w:pStyle w:val="1047"/>
        <w:ind w:right="-92" w:firstLine="0"/>
        <w:jc w:val="center"/>
        <w:spacing w:before="0" w:after="0" w:line="500" w:lineRule="atLeast"/>
        <w:rPr>
          <w:rFonts w:ascii="宋体" w:hAnsi="宋体" w:eastAsia="宋体"/>
          <w:b/>
          <w:szCs w:val="28"/>
        </w:rPr>
      </w:pPr>
      <w:r>
        <w:rPr>
          <w:rFonts w:hint="eastAsia" w:ascii="宋体" w:hAnsi="宋体" w:eastAsia="宋体"/>
          <w:b/>
          <w:sz w:val="28"/>
          <w:szCs w:val="28"/>
        </w:rPr>
        <w:t xml:space="preserve">五、开标一览表（格式）</w:t>
      </w:r>
      <w:r/>
    </w:p>
    <w:p>
      <w:pPr>
        <w:ind w:right="-92"/>
        <w:jc w:val="center"/>
        <w:spacing w:before="50" w:after="50" w:line="500" w:lineRule="atLeast"/>
        <w:rPr>
          <w:rFonts w:ascii="宋体" w:hAnsi="宋体"/>
          <w:sz w:val="28"/>
          <w:szCs w:val="28"/>
        </w:rPr>
      </w:pPr>
      <w:r>
        <w:rPr>
          <w:rFonts w:ascii="宋体" w:hAnsi="宋体"/>
          <w:sz w:val="28"/>
          <w:szCs w:val="28"/>
        </w:rPr>
      </w:r>
      <w:r/>
    </w:p>
    <w:tbl>
      <w:tblPr>
        <w:tblW w:w="978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40"/>
        <w:gridCol w:w="7445"/>
      </w:tblGrid>
      <w:tr>
        <w:trPr>
          <w:cantSplit/>
          <w:trHeight w:val="789"/>
        </w:trPr>
        <w:tc>
          <w:tcPr>
            <w:tcW w:w="2340" w:type="dxa"/>
            <w:vAlign w:val="center"/>
            <w:textDirection w:val="lrTb"/>
            <w:noWrap w:val="false"/>
          </w:tcPr>
          <w:p>
            <w:pPr>
              <w:ind w:right="-92" w:firstLine="480"/>
              <w:spacing w:line="500" w:lineRule="atLeast"/>
              <w:rPr>
                <w:rFonts w:ascii="宋体" w:hAnsi="宋体"/>
                <w:sz w:val="24"/>
                <w:szCs w:val="28"/>
              </w:rPr>
            </w:pPr>
            <w:r>
              <w:rPr>
                <w:rFonts w:hint="eastAsia" w:ascii="宋体" w:hAnsi="宋体"/>
                <w:sz w:val="24"/>
                <w:szCs w:val="28"/>
              </w:rPr>
              <w:t xml:space="preserve">项 目 编 号</w:t>
            </w:r>
            <w:r/>
          </w:p>
        </w:tc>
        <w:tc>
          <w:tcPr>
            <w:tcW w:w="7445" w:type="dxa"/>
            <w:vAlign w:val="center"/>
            <w:textDirection w:val="lrTb"/>
            <w:noWrap w:val="false"/>
          </w:tcPr>
          <w:p>
            <w:pPr>
              <w:pStyle w:val="996"/>
              <w:ind w:right="-92" w:firstLine="590"/>
              <w:jc w:val="both"/>
              <w:spacing w:line="500" w:lineRule="atLeast"/>
              <w:rPr>
                <w:rFonts w:ascii="宋体" w:hAnsi="宋体" w:eastAsia="宋体" w:cs="Arial"/>
                <w:sz w:val="24"/>
                <w:szCs w:val="28"/>
              </w:rPr>
            </w:pPr>
            <w:r>
              <w:rPr>
                <w:rFonts w:ascii="宋体" w:hAnsi="宋体" w:eastAsia="宋体" w:cs="Arial"/>
                <w:sz w:val="24"/>
                <w:szCs w:val="28"/>
              </w:rPr>
            </w:r>
            <w:r/>
          </w:p>
        </w:tc>
      </w:tr>
      <w:tr>
        <w:trPr>
          <w:cantSplit/>
          <w:trHeight w:val="789"/>
        </w:trPr>
        <w:tc>
          <w:tcPr>
            <w:tcW w:w="2340" w:type="dxa"/>
            <w:vAlign w:val="center"/>
            <w:textDirection w:val="lrTb"/>
            <w:noWrap w:val="false"/>
          </w:tcPr>
          <w:p>
            <w:pPr>
              <w:ind w:right="-92" w:firstLine="480"/>
              <w:spacing w:line="500" w:lineRule="atLeast"/>
              <w:rPr>
                <w:rFonts w:ascii="宋体" w:hAnsi="宋体"/>
                <w:sz w:val="24"/>
                <w:szCs w:val="28"/>
              </w:rPr>
            </w:pPr>
            <w:r>
              <w:rPr>
                <w:rFonts w:hint="eastAsia" w:ascii="宋体" w:hAnsi="宋体"/>
                <w:sz w:val="24"/>
                <w:szCs w:val="28"/>
              </w:rPr>
              <w:t xml:space="preserve">项 目 名 称</w:t>
            </w:r>
            <w:r/>
          </w:p>
        </w:tc>
        <w:tc>
          <w:tcPr>
            <w:tcW w:w="7445" w:type="dxa"/>
            <w:vAlign w:val="center"/>
            <w:textDirection w:val="lrTb"/>
            <w:noWrap w:val="false"/>
          </w:tcPr>
          <w:p>
            <w:pPr>
              <w:pStyle w:val="996"/>
              <w:ind w:right="-92"/>
              <w:jc w:val="both"/>
              <w:spacing w:line="500" w:lineRule="atLeast"/>
              <w:rPr>
                <w:rFonts w:ascii="宋体" w:hAnsi="宋体" w:eastAsia="宋体" w:cs="Arial"/>
                <w:sz w:val="24"/>
                <w:szCs w:val="28"/>
              </w:rPr>
            </w:pPr>
            <w:r>
              <w:rPr>
                <w:rFonts w:ascii="宋体" w:hAnsi="宋体" w:eastAsia="宋体" w:cs="Arial"/>
                <w:sz w:val="24"/>
                <w:szCs w:val="28"/>
              </w:rPr>
            </w:r>
            <w:r/>
          </w:p>
        </w:tc>
      </w:tr>
      <w:tr>
        <w:trPr>
          <w:cantSplit/>
          <w:trHeight w:val="789"/>
        </w:trPr>
        <w:tc>
          <w:tcPr>
            <w:tcW w:w="2340" w:type="dxa"/>
            <w:vAlign w:val="center"/>
            <w:textDirection w:val="lrTb"/>
            <w:noWrap w:val="false"/>
          </w:tcPr>
          <w:p>
            <w:pPr>
              <w:jc w:val="center"/>
              <w:spacing w:line="500" w:lineRule="atLeast"/>
              <w:rPr>
                <w:rFonts w:ascii="宋体" w:hAnsi="宋体"/>
                <w:sz w:val="24"/>
                <w:szCs w:val="28"/>
              </w:rPr>
            </w:pPr>
            <w:r>
              <w:rPr>
                <w:rFonts w:hint="eastAsia" w:ascii="宋体" w:hAnsi="宋体" w:cs="宋体"/>
                <w:color w:val="000000"/>
              </w:rPr>
              <w:t xml:space="preserve">核心产品（</w:t>
            </w:r>
            <w:r>
              <w:rPr>
                <w:rFonts w:hint="eastAsia" w:ascii="宋体" w:hAnsi="宋体"/>
                <w:sz w:val="24"/>
                <w:szCs w:val="24"/>
              </w:rPr>
              <w:t xml:space="preserve">900W电警抓拍单元</w:t>
            </w:r>
            <w:r>
              <w:rPr>
                <w:rFonts w:hint="eastAsia" w:ascii="宋体" w:hAnsi="宋体" w:cs="宋体"/>
                <w:color w:val="000000"/>
              </w:rPr>
              <w:t xml:space="preserve">）品牌</w:t>
            </w:r>
            <w:r/>
          </w:p>
        </w:tc>
        <w:tc>
          <w:tcPr>
            <w:tcW w:w="7445" w:type="dxa"/>
            <w:vAlign w:val="center"/>
            <w:textDirection w:val="lrTb"/>
            <w:noWrap w:val="false"/>
          </w:tcPr>
          <w:p>
            <w:pPr>
              <w:pStyle w:val="996"/>
              <w:ind w:right="-92"/>
              <w:jc w:val="both"/>
              <w:spacing w:line="500" w:lineRule="atLeast"/>
              <w:rPr>
                <w:rFonts w:ascii="宋体" w:hAnsi="宋体" w:eastAsia="宋体" w:cs="Arial"/>
                <w:sz w:val="24"/>
                <w:szCs w:val="28"/>
              </w:rPr>
            </w:pPr>
            <w:r>
              <w:rPr>
                <w:rFonts w:ascii="宋体" w:hAnsi="宋体" w:eastAsia="宋体" w:cs="Arial"/>
                <w:sz w:val="24"/>
                <w:szCs w:val="28"/>
              </w:rPr>
            </w:r>
            <w:r/>
          </w:p>
        </w:tc>
      </w:tr>
      <w:tr>
        <w:trPr>
          <w:cantSplit/>
          <w:trHeight w:val="789"/>
        </w:trPr>
        <w:tc>
          <w:tcPr>
            <w:tcW w:w="2340" w:type="dxa"/>
            <w:vAlign w:val="center"/>
            <w:textDirection w:val="lrTb"/>
            <w:noWrap w:val="false"/>
          </w:tcPr>
          <w:p>
            <w:pPr>
              <w:jc w:val="center"/>
              <w:spacing w:line="500" w:lineRule="atLeast"/>
              <w:rPr>
                <w:rFonts w:ascii="宋体" w:hAnsi="宋体" w:cs="宋体"/>
                <w:color w:val="000000"/>
              </w:rPr>
            </w:pPr>
            <w:r>
              <w:rPr>
                <w:rFonts w:hint="eastAsia" w:ascii="宋体" w:hAnsi="宋体" w:cs="宋体"/>
                <w:color w:val="000000"/>
              </w:rPr>
              <w:t xml:space="preserve">核心产品（</w:t>
            </w:r>
            <w:r>
              <w:rPr>
                <w:rFonts w:hint="eastAsia" w:ascii="宋体" w:hAnsi="宋体"/>
                <w:sz w:val="24"/>
                <w:szCs w:val="24"/>
              </w:rPr>
              <w:t xml:space="preserve">900W环保卡口抓拍单元</w:t>
            </w:r>
            <w:r>
              <w:rPr>
                <w:rFonts w:hint="eastAsia" w:ascii="宋体" w:hAnsi="宋体" w:cs="宋体"/>
                <w:color w:val="000000"/>
              </w:rPr>
              <w:t xml:space="preserve">）品牌</w:t>
            </w:r>
            <w:r/>
          </w:p>
        </w:tc>
        <w:tc>
          <w:tcPr>
            <w:tcW w:w="7445" w:type="dxa"/>
            <w:vAlign w:val="center"/>
            <w:textDirection w:val="lrTb"/>
            <w:noWrap w:val="false"/>
          </w:tcPr>
          <w:p>
            <w:pPr>
              <w:pStyle w:val="996"/>
              <w:ind w:right="-92"/>
              <w:jc w:val="both"/>
              <w:spacing w:line="500" w:lineRule="atLeast"/>
              <w:rPr>
                <w:rFonts w:ascii="宋体" w:hAnsi="宋体" w:eastAsia="宋体" w:cs="Arial"/>
                <w:sz w:val="24"/>
                <w:szCs w:val="28"/>
              </w:rPr>
            </w:pPr>
            <w:r>
              <w:rPr>
                <w:rFonts w:ascii="宋体" w:hAnsi="宋体" w:eastAsia="宋体" w:cs="Arial"/>
                <w:sz w:val="24"/>
                <w:szCs w:val="28"/>
              </w:rPr>
            </w:r>
            <w:r/>
          </w:p>
        </w:tc>
      </w:tr>
      <w:tr>
        <w:trPr>
          <w:cantSplit/>
          <w:trHeight w:val="789"/>
        </w:trPr>
        <w:tc>
          <w:tcPr>
            <w:tcW w:w="2340" w:type="dxa"/>
            <w:vAlign w:val="center"/>
            <w:textDirection w:val="lrTb"/>
            <w:noWrap w:val="false"/>
          </w:tcPr>
          <w:p>
            <w:pPr>
              <w:jc w:val="center"/>
              <w:spacing w:line="500" w:lineRule="atLeast"/>
              <w:rPr>
                <w:rFonts w:ascii="宋体" w:hAnsi="宋体" w:cs="宋体"/>
                <w:color w:val="000000"/>
              </w:rPr>
            </w:pPr>
            <w:r>
              <w:rPr>
                <w:rFonts w:hint="eastAsia" w:ascii="宋体" w:hAnsi="宋体" w:cs="宋体"/>
                <w:color w:val="000000"/>
              </w:rPr>
              <w:t xml:space="preserve">核心产品（</w:t>
            </w:r>
            <w:r>
              <w:rPr>
                <w:rFonts w:hint="eastAsia" w:ascii="宋体" w:hAnsi="宋体"/>
                <w:sz w:val="24"/>
                <w:szCs w:val="24"/>
              </w:rPr>
              <w:t xml:space="preserve">四合一环保爆闪灯</w:t>
            </w:r>
            <w:r>
              <w:rPr>
                <w:rFonts w:hint="eastAsia" w:ascii="宋体" w:hAnsi="宋体" w:cs="宋体"/>
                <w:color w:val="000000"/>
              </w:rPr>
              <w:t xml:space="preserve">）品牌</w:t>
            </w:r>
            <w:r/>
          </w:p>
        </w:tc>
        <w:tc>
          <w:tcPr>
            <w:tcW w:w="7445" w:type="dxa"/>
            <w:vAlign w:val="center"/>
            <w:textDirection w:val="lrTb"/>
            <w:noWrap w:val="false"/>
          </w:tcPr>
          <w:p>
            <w:pPr>
              <w:pStyle w:val="996"/>
              <w:ind w:right="-92"/>
              <w:jc w:val="both"/>
              <w:spacing w:line="500" w:lineRule="atLeast"/>
              <w:rPr>
                <w:rFonts w:ascii="宋体" w:hAnsi="宋体" w:eastAsia="宋体" w:cs="Arial"/>
                <w:sz w:val="24"/>
                <w:szCs w:val="28"/>
              </w:rPr>
            </w:pPr>
            <w:r>
              <w:rPr>
                <w:rFonts w:ascii="宋体" w:hAnsi="宋体" w:eastAsia="宋体" w:cs="Arial"/>
                <w:sz w:val="24"/>
                <w:szCs w:val="28"/>
              </w:rPr>
            </w:r>
            <w:r/>
          </w:p>
        </w:tc>
      </w:tr>
      <w:tr>
        <w:trPr>
          <w:cantSplit/>
          <w:trHeight w:val="821"/>
        </w:trPr>
        <w:tc>
          <w:tcPr>
            <w:gridSpan w:val="2"/>
            <w:tcW w:w="9785" w:type="dxa"/>
            <w:vAlign w:val="center"/>
            <w:textDirection w:val="lrTb"/>
            <w:noWrap w:val="false"/>
          </w:tcPr>
          <w:p>
            <w:pPr>
              <w:ind w:right="-92"/>
              <w:spacing w:line="500" w:lineRule="atLeast"/>
              <w:rPr>
                <w:rFonts w:ascii="宋体" w:hAnsi="宋体"/>
                <w:sz w:val="24"/>
                <w:szCs w:val="28"/>
              </w:rPr>
            </w:pPr>
            <w:r>
              <w:rPr>
                <w:rFonts w:hint="eastAsia" w:ascii="宋体" w:hAnsi="宋体" w:cs="宋体"/>
                <w:b/>
                <w:bCs/>
                <w:sz w:val="24"/>
                <w:szCs w:val="28"/>
              </w:rPr>
              <w:t xml:space="preserve">项目投标报价：（大写）</w:t>
            </w:r>
            <w:r>
              <w:rPr>
                <w:rFonts w:hint="eastAsia" w:ascii="宋体" w:hAnsi="宋体" w:cs="宋体"/>
                <w:b/>
                <w:bCs/>
                <w:sz w:val="24"/>
                <w:szCs w:val="28"/>
                <w:u w:val="single"/>
              </w:rPr>
              <w:t xml:space="preserve"> </w:t>
            </w:r>
            <w:r>
              <w:rPr>
                <w:rFonts w:ascii="宋体" w:hAnsi="宋体" w:cs="宋体"/>
                <w:b/>
                <w:bCs/>
                <w:sz w:val="24"/>
                <w:szCs w:val="28"/>
                <w:u w:val="single"/>
              </w:rPr>
              <w:t xml:space="preserve">                         </w:t>
            </w:r>
            <w:r>
              <w:rPr>
                <w:rFonts w:hint="eastAsia" w:ascii="宋体" w:hAnsi="宋体" w:cs="宋体"/>
                <w:b/>
                <w:bCs/>
                <w:sz w:val="24"/>
                <w:szCs w:val="28"/>
              </w:rPr>
              <w:t xml:space="preserve">（小写：</w:t>
            </w:r>
            <w:r>
              <w:rPr>
                <w:rFonts w:hint="eastAsia" w:ascii="宋体" w:hAnsi="宋体" w:cs="宋体"/>
                <w:b/>
                <w:bCs/>
                <w:sz w:val="24"/>
                <w:szCs w:val="28"/>
                <w:u w:val="single"/>
              </w:rPr>
              <w:t xml:space="preserve"> </w:t>
            </w:r>
            <w:r>
              <w:rPr>
                <w:rFonts w:ascii="宋体" w:hAnsi="宋体" w:cs="宋体"/>
                <w:b/>
                <w:bCs/>
                <w:sz w:val="24"/>
                <w:szCs w:val="28"/>
                <w:u w:val="single"/>
              </w:rPr>
              <w:t xml:space="preserve">           </w:t>
            </w:r>
            <w:r>
              <w:rPr>
                <w:rFonts w:hint="eastAsia" w:ascii="宋体" w:hAnsi="宋体" w:cs="宋体"/>
                <w:b/>
                <w:bCs/>
                <w:sz w:val="24"/>
                <w:szCs w:val="28"/>
              </w:rPr>
              <w:t xml:space="preserve">）</w:t>
            </w:r>
            <w:r/>
          </w:p>
        </w:tc>
      </w:tr>
      <w:tr>
        <w:trPr>
          <w:cantSplit/>
          <w:trHeight w:val="821"/>
        </w:trPr>
        <w:tc>
          <w:tcPr>
            <w:gridSpan w:val="2"/>
            <w:tcW w:w="9785" w:type="dxa"/>
            <w:vAlign w:val="center"/>
            <w:textDirection w:val="lrTb"/>
            <w:noWrap w:val="false"/>
          </w:tcPr>
          <w:p>
            <w:pPr>
              <w:ind w:right="-92"/>
              <w:spacing w:line="500" w:lineRule="atLeast"/>
              <w:rPr>
                <w:rFonts w:ascii="宋体" w:hAnsi="宋体"/>
                <w:b/>
                <w:bCs/>
                <w:sz w:val="24"/>
                <w:szCs w:val="28"/>
              </w:rPr>
            </w:pPr>
            <w:r>
              <w:rPr>
                <w:rFonts w:hint="eastAsia" w:ascii="宋体" w:hAnsi="宋体"/>
                <w:b/>
                <w:bCs/>
                <w:sz w:val="24"/>
                <w:szCs w:val="28"/>
              </w:rPr>
              <w:t xml:space="preserve">是否提供《企业类型声明函》：</w:t>
            </w:r>
            <w:r>
              <w:rPr>
                <w:rFonts w:hint="eastAsia" w:ascii="宋体" w:hAnsi="宋体"/>
                <w:b/>
                <w:bCs/>
                <w:sz w:val="24"/>
                <w:szCs w:val="28"/>
                <w:u w:val="single"/>
              </w:rPr>
              <w:t xml:space="preserve">  是/否   </w:t>
            </w:r>
            <w:r>
              <w:rPr>
                <w:rFonts w:hint="eastAsia" w:ascii="宋体" w:hAnsi="宋体"/>
                <w:b/>
                <w:bCs/>
                <w:sz w:val="24"/>
                <w:szCs w:val="28"/>
              </w:rPr>
              <w:t xml:space="preserve">           见</w:t>
            </w:r>
            <w:r>
              <w:rPr>
                <w:rFonts w:hint="eastAsia" w:ascii="宋体" w:hAnsi="宋体"/>
                <w:b/>
                <w:bCs/>
                <w:sz w:val="24"/>
                <w:szCs w:val="28"/>
                <w:u w:val="single"/>
              </w:rPr>
              <w:t xml:space="preserve">（          ）</w:t>
            </w:r>
            <w:r>
              <w:rPr>
                <w:rFonts w:hint="eastAsia" w:ascii="宋体" w:hAnsi="宋体"/>
                <w:b/>
                <w:bCs/>
                <w:sz w:val="24"/>
                <w:szCs w:val="28"/>
              </w:rPr>
              <w:t xml:space="preserve">页</w:t>
            </w:r>
            <w:r/>
          </w:p>
        </w:tc>
      </w:tr>
      <w:tr>
        <w:trPr>
          <w:cantSplit/>
          <w:trHeight w:val="807"/>
        </w:trPr>
        <w:tc>
          <w:tcPr>
            <w:gridSpan w:val="2"/>
            <w:tcW w:w="9785" w:type="dxa"/>
            <w:vAlign w:val="center"/>
            <w:textDirection w:val="lrTb"/>
            <w:noWrap w:val="false"/>
          </w:tcPr>
          <w:p>
            <w:pPr>
              <w:ind w:right="-92"/>
              <w:spacing w:line="500" w:lineRule="atLeast"/>
              <w:rPr>
                <w:rFonts w:ascii="宋体" w:hAnsi="宋体"/>
                <w:b/>
                <w:bCs/>
                <w:sz w:val="24"/>
                <w:szCs w:val="28"/>
              </w:rPr>
            </w:pPr>
            <w:r>
              <w:rPr>
                <w:rFonts w:hint="eastAsia" w:ascii="宋体" w:hAnsi="宋体" w:cs="宋体"/>
                <w:b/>
                <w:bCs/>
                <w:sz w:val="24"/>
                <w:szCs w:val="28"/>
              </w:rPr>
              <w:t xml:space="preserve">项目完成期限：</w:t>
            </w:r>
            <w:r/>
          </w:p>
        </w:tc>
      </w:tr>
      <w:tr>
        <w:trPr>
          <w:cantSplit/>
          <w:trHeight w:val="807"/>
        </w:trPr>
        <w:tc>
          <w:tcPr>
            <w:gridSpan w:val="2"/>
            <w:tcW w:w="9785" w:type="dxa"/>
            <w:vAlign w:val="center"/>
            <w:textDirection w:val="lrTb"/>
            <w:noWrap w:val="false"/>
          </w:tcPr>
          <w:p>
            <w:pPr>
              <w:ind w:right="-92"/>
              <w:spacing w:line="500" w:lineRule="atLeast"/>
              <w:rPr>
                <w:rFonts w:ascii="宋体" w:hAnsi="宋体" w:cs="宋体"/>
                <w:b/>
                <w:bCs/>
                <w:sz w:val="24"/>
                <w:szCs w:val="28"/>
              </w:rPr>
            </w:pPr>
            <w:r>
              <w:rPr>
                <w:rFonts w:hint="eastAsia" w:ascii="宋体" w:hAnsi="宋体" w:cs="宋体"/>
                <w:b/>
                <w:bCs/>
                <w:sz w:val="24"/>
                <w:szCs w:val="28"/>
              </w:rPr>
              <w:t xml:space="preserve">项目负责人：</w:t>
            </w:r>
            <w:r/>
          </w:p>
        </w:tc>
      </w:tr>
    </w:tbl>
    <w:p>
      <w:pPr>
        <w:ind w:right="-92"/>
        <w:spacing w:line="500" w:lineRule="atLeast"/>
        <w:rPr>
          <w:rFonts w:ascii="宋体" w:hAnsi="宋体"/>
          <w:sz w:val="24"/>
          <w:szCs w:val="28"/>
        </w:rPr>
      </w:pPr>
      <w:r>
        <w:rPr>
          <w:rFonts w:hint="eastAsia" w:ascii="宋体" w:hAnsi="宋体"/>
          <w:sz w:val="24"/>
          <w:szCs w:val="28"/>
        </w:rPr>
        <w:t xml:space="preserve">填写说明：</w:t>
      </w:r>
      <w:r/>
    </w:p>
    <w:p>
      <w:pPr>
        <w:numPr>
          <w:ilvl w:val="0"/>
          <w:numId w:val="7"/>
        </w:numPr>
        <w:ind w:right="-92"/>
        <w:spacing w:line="500" w:lineRule="atLeast"/>
        <w:rPr>
          <w:rFonts w:ascii="宋体" w:hAnsi="宋体"/>
          <w:sz w:val="24"/>
          <w:szCs w:val="28"/>
        </w:rPr>
      </w:pPr>
      <w:r>
        <w:rPr>
          <w:rFonts w:hint="eastAsia" w:ascii="宋体" w:hAnsi="宋体"/>
          <w:sz w:val="24"/>
          <w:szCs w:val="28"/>
        </w:rPr>
        <w:t xml:space="preserve">开标一览表不得填报选择性报价，否则将作为无效投标；</w:t>
      </w:r>
      <w:r/>
    </w:p>
    <w:p>
      <w:pPr>
        <w:numPr>
          <w:ilvl w:val="0"/>
          <w:numId w:val="7"/>
        </w:numPr>
        <w:ind w:right="-92"/>
        <w:spacing w:line="500" w:lineRule="atLeast"/>
        <w:rPr>
          <w:rFonts w:ascii="宋体" w:hAnsi="宋体"/>
          <w:sz w:val="24"/>
          <w:szCs w:val="28"/>
        </w:rPr>
      </w:pPr>
      <w:r>
        <w:rPr>
          <w:rFonts w:hint="eastAsia" w:ascii="宋体" w:hAnsi="宋体"/>
          <w:sz w:val="24"/>
          <w:szCs w:val="28"/>
        </w:rPr>
        <w:t xml:space="preserve">开标一览表中报价与投标分项明细报价表中不符时时，以开标一览表为准；</w:t>
      </w:r>
      <w:r/>
    </w:p>
    <w:p>
      <w:pPr>
        <w:ind w:right="-92" w:firstLine="480"/>
        <w:spacing w:line="500" w:lineRule="atLeast"/>
        <w:rPr>
          <w:rFonts w:ascii="宋体" w:hAnsi="宋体"/>
          <w:sz w:val="28"/>
          <w:szCs w:val="28"/>
        </w:rPr>
      </w:pPr>
      <w:r>
        <w:rPr>
          <w:rFonts w:ascii="宋体" w:hAnsi="宋体"/>
          <w:sz w:val="28"/>
          <w:szCs w:val="28"/>
        </w:rPr>
      </w:r>
      <w:r/>
    </w:p>
    <w:p>
      <w:pPr>
        <w:ind w:right="-92" w:firstLine="480"/>
        <w:jc w:val="center"/>
        <w:spacing w:line="500" w:lineRule="atLeast"/>
        <w:rPr>
          <w:rFonts w:ascii="宋体" w:hAnsi="宋体"/>
          <w:sz w:val="28"/>
          <w:szCs w:val="28"/>
        </w:rPr>
      </w:pPr>
      <w:r>
        <w:rPr>
          <w:rFonts w:hint="eastAsia" w:ascii="宋体" w:hAnsi="宋体"/>
          <w:bCs/>
          <w:sz w:val="28"/>
          <w:szCs w:val="28"/>
        </w:rPr>
        <w:t xml:space="preserve">供应商名称（公章）：</w:t>
      </w:r>
      <w:r/>
    </w:p>
    <w:p>
      <w:pPr>
        <w:ind w:right="-92" w:firstLine="3640"/>
        <w:spacing w:line="500" w:lineRule="atLeast"/>
        <w:rPr>
          <w:rFonts w:ascii="宋体" w:hAnsi="宋体"/>
          <w:sz w:val="28"/>
          <w:szCs w:val="28"/>
        </w:rPr>
      </w:pPr>
      <w:r>
        <w:rPr>
          <w:rFonts w:hint="eastAsia" w:ascii="宋体" w:hAnsi="宋体"/>
          <w:sz w:val="28"/>
          <w:szCs w:val="28"/>
        </w:rPr>
        <w:t xml:space="preserve">日期：  年 </w:t>
      </w:r>
      <w:r>
        <w:rPr>
          <w:rFonts w:ascii="宋体" w:hAnsi="宋体"/>
          <w:sz w:val="28"/>
          <w:szCs w:val="28"/>
        </w:rPr>
        <w:t xml:space="preserve">   </w:t>
      </w:r>
      <w:r>
        <w:rPr>
          <w:rFonts w:hint="eastAsia" w:ascii="宋体" w:hAnsi="宋体"/>
          <w:sz w:val="28"/>
          <w:szCs w:val="28"/>
        </w:rPr>
        <w:t xml:space="preserve">月 </w:t>
      </w:r>
      <w:r>
        <w:rPr>
          <w:rFonts w:ascii="宋体" w:hAnsi="宋体"/>
          <w:sz w:val="28"/>
          <w:szCs w:val="28"/>
        </w:rPr>
        <w:t xml:space="preserve">   </w:t>
      </w:r>
      <w:r>
        <w:rPr>
          <w:rFonts w:hint="eastAsia" w:ascii="宋体" w:hAnsi="宋体"/>
          <w:sz w:val="28"/>
          <w:szCs w:val="28"/>
        </w:rPr>
        <w:t xml:space="preserve">日</w:t>
      </w:r>
      <w:r/>
    </w:p>
    <w:p>
      <w:pPr>
        <w:pStyle w:val="1011"/>
        <w:ind w:left="1470" w:right="1470"/>
      </w:pPr>
      <w:r/>
      <w:r/>
    </w:p>
    <w:p>
      <w:pPr>
        <w:jc w:val="center"/>
        <w:spacing w:before="50" w:after="50"/>
        <w:rPr>
          <w:rFonts w:ascii="宋体" w:hAnsi="宋体"/>
          <w:sz w:val="28"/>
          <w:szCs w:val="28"/>
        </w:rPr>
      </w:pPr>
      <w:r>
        <w:rPr>
          <w:rFonts w:hint="eastAsia" w:ascii="宋体" w:hAnsi="宋体"/>
          <w:sz w:val="28"/>
          <w:szCs w:val="28"/>
        </w:rPr>
        <w:t xml:space="preserve">六、投标报价明细表（格式）</w:t>
      </w:r>
      <w:r/>
    </w:p>
    <w:p>
      <w:pPr>
        <w:jc w:val="cente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ind w:right="-92"/>
        <w:jc w:val="left"/>
        <w:spacing w:before="50" w:after="50" w:line="500" w:lineRule="atLeast"/>
        <w:rPr>
          <w:rFonts w:ascii="宋体" w:hAnsi="宋体"/>
          <w:sz w:val="28"/>
          <w:szCs w:val="28"/>
        </w:rPr>
      </w:pPr>
      <w:r>
        <w:rPr>
          <w:rFonts w:hint="eastAsia" w:ascii="宋体" w:hAnsi="宋体"/>
          <w:sz w:val="28"/>
          <w:szCs w:val="28"/>
        </w:rPr>
        <w:t xml:space="preserve">由投标人根据项目需求自制</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投标人全称（加盖公章）：</w:t>
      </w:r>
      <w:r/>
    </w:p>
    <w:p>
      <w:pPr>
        <w:rPr>
          <w:rFonts w:ascii="等线 Light" w:hAnsi="等线 Light" w:eastAsia="等线 Light"/>
          <w:sz w:val="24"/>
          <w:szCs w:val="24"/>
        </w:rPr>
      </w:pPr>
      <w:r>
        <w:rPr>
          <w:rFonts w:ascii="等线 Light" w:hAnsi="等线 Light" w:eastAsia="等线 Light"/>
          <w:sz w:val="24"/>
          <w:szCs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1、此表可以根据需要自行增减行数。</w:t>
      </w:r>
      <w:r/>
    </w:p>
    <w:p>
      <w:pPr>
        <w:ind w:right="-92"/>
        <w:jc w:val="center"/>
        <w:spacing w:before="50" w:after="50" w:line="500" w:lineRule="atLeast"/>
        <w:rPr>
          <w:rFonts w:ascii="宋体" w:hAnsi="宋体"/>
          <w:sz w:val="28"/>
          <w:szCs w:val="28"/>
        </w:rPr>
      </w:pPr>
      <w:r>
        <w:rPr>
          <w:rFonts w:ascii="宋体" w:hAnsi="宋体"/>
          <w:sz w:val="28"/>
          <w:szCs w:val="28"/>
        </w:rPr>
      </w:r>
      <w:r/>
    </w:p>
    <w:p>
      <w:pPr>
        <w:ind w:right="-92"/>
        <w:jc w:val="center"/>
        <w:spacing w:before="50" w:after="50" w:line="500" w:lineRule="atLeast"/>
        <w:rPr>
          <w:rFonts w:ascii="宋体" w:hAnsi="宋体"/>
          <w:b/>
          <w:sz w:val="28"/>
          <w:szCs w:val="28"/>
        </w:rPr>
      </w:pPr>
      <w:r>
        <w:rPr>
          <w:rFonts w:hint="eastAsia" w:ascii="宋体" w:hAnsi="宋体"/>
          <w:sz w:val="28"/>
          <w:szCs w:val="28"/>
        </w:rPr>
        <w:br w:type="page" w:clear="all"/>
      </w:r>
      <w:r>
        <w:rPr>
          <w:rFonts w:hint="eastAsia" w:ascii="宋体" w:hAnsi="宋体"/>
          <w:b/>
          <w:sz w:val="28"/>
          <w:szCs w:val="28"/>
        </w:rPr>
        <w:t xml:space="preserve">七、技术参数响应及偏离表（如有）</w:t>
      </w:r>
      <w:r/>
    </w:p>
    <w:p>
      <w:pPr>
        <w:ind w:right="-92"/>
        <w:jc w:val="center"/>
        <w:spacing w:line="500" w:lineRule="atLeast"/>
        <w:rPr>
          <w:rFonts w:ascii="宋体" w:hAnsi="宋体"/>
          <w:sz w:val="28"/>
          <w:szCs w:val="28"/>
        </w:rPr>
      </w:pPr>
      <w:r>
        <w:rPr>
          <w:rFonts w:ascii="宋体" w:hAnsi="宋体"/>
          <w:sz w:val="28"/>
          <w:szCs w:val="28"/>
        </w:rPr>
      </w:r>
      <w:r/>
    </w:p>
    <w:p>
      <w:pPr>
        <w:ind w:right="-92"/>
        <w:spacing w:line="500" w:lineRule="atLeast"/>
        <w:rPr>
          <w:rFonts w:ascii="宋体" w:hAnsi="宋体"/>
          <w:sz w:val="24"/>
          <w:szCs w:val="24"/>
        </w:rPr>
      </w:pPr>
      <w:r>
        <w:rPr>
          <w:rFonts w:hint="eastAsia" w:ascii="宋体" w:hAnsi="宋体"/>
          <w:sz w:val="24"/>
          <w:szCs w:val="24"/>
        </w:rPr>
        <w:t xml:space="preserve">投标人全称（加盖公章）：       </w:t>
      </w:r>
      <w:r/>
    </w:p>
    <w:tbl>
      <w:tblPr>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6"/>
        <w:gridCol w:w="2852"/>
        <w:gridCol w:w="2368"/>
        <w:gridCol w:w="2268"/>
        <w:gridCol w:w="1134"/>
      </w:tblGrid>
      <w:tr>
        <w:trPr>
          <w:cantSplit/>
        </w:trPr>
        <w:tc>
          <w:tcPr>
            <w:tcW w:w="876" w:type="dxa"/>
            <w:vAlign w:val="center"/>
            <w:textDirection w:val="lrTb"/>
            <w:noWrap w:val="false"/>
          </w:tcPr>
          <w:p>
            <w:pPr>
              <w:ind w:right="-92"/>
              <w:jc w:val="center"/>
              <w:spacing w:line="500" w:lineRule="atLeast"/>
              <w:rPr>
                <w:rFonts w:ascii="宋体" w:hAnsi="宋体"/>
                <w:b/>
                <w:sz w:val="24"/>
                <w:szCs w:val="24"/>
              </w:rPr>
            </w:pPr>
            <w:r>
              <w:rPr>
                <w:rFonts w:hint="eastAsia" w:ascii="宋体" w:hAnsi="宋体"/>
                <w:b/>
                <w:sz w:val="24"/>
                <w:szCs w:val="24"/>
              </w:rPr>
              <w:t xml:space="preserve">序号</w:t>
            </w:r>
            <w:r/>
          </w:p>
        </w:tc>
        <w:tc>
          <w:tcPr>
            <w:tcW w:w="2852" w:type="dxa"/>
            <w:vAlign w:val="center"/>
            <w:textDirection w:val="lrTb"/>
            <w:noWrap w:val="false"/>
          </w:tcPr>
          <w:p>
            <w:pPr>
              <w:ind w:right="-92"/>
              <w:jc w:val="center"/>
              <w:spacing w:line="500" w:lineRule="atLeast"/>
              <w:rPr>
                <w:rFonts w:ascii="宋体" w:hAnsi="宋体"/>
                <w:b/>
                <w:sz w:val="24"/>
                <w:szCs w:val="24"/>
              </w:rPr>
            </w:pPr>
            <w:r>
              <w:rPr>
                <w:rFonts w:hint="eastAsia" w:ascii="宋体" w:hAnsi="宋体"/>
                <w:b/>
                <w:sz w:val="24"/>
                <w:szCs w:val="24"/>
              </w:rPr>
              <w:t xml:space="preserve">招标要求</w:t>
            </w:r>
            <w:r/>
          </w:p>
        </w:tc>
        <w:tc>
          <w:tcPr>
            <w:tcW w:w="2368" w:type="dxa"/>
            <w:vAlign w:val="center"/>
            <w:textDirection w:val="lrTb"/>
            <w:noWrap w:val="false"/>
          </w:tcPr>
          <w:p>
            <w:pPr>
              <w:ind w:right="-92"/>
              <w:jc w:val="center"/>
              <w:spacing w:line="500" w:lineRule="atLeast"/>
              <w:rPr>
                <w:rFonts w:ascii="宋体" w:hAnsi="宋体"/>
                <w:b/>
                <w:sz w:val="24"/>
                <w:szCs w:val="24"/>
              </w:rPr>
            </w:pPr>
            <w:r>
              <w:rPr>
                <w:rFonts w:hint="eastAsia" w:ascii="宋体" w:hAnsi="宋体"/>
                <w:b/>
                <w:sz w:val="24"/>
                <w:szCs w:val="24"/>
              </w:rPr>
              <w:t xml:space="preserve">投标响应</w:t>
            </w:r>
            <w:r/>
          </w:p>
        </w:tc>
        <w:tc>
          <w:tcPr>
            <w:tcW w:w="2268" w:type="dxa"/>
            <w:vAlign w:val="center"/>
            <w:textDirection w:val="lrTb"/>
            <w:noWrap w:val="false"/>
          </w:tcPr>
          <w:p>
            <w:pPr>
              <w:ind w:right="-92"/>
              <w:jc w:val="center"/>
              <w:spacing w:line="500" w:lineRule="atLeast"/>
              <w:rPr>
                <w:rFonts w:ascii="宋体" w:hAnsi="宋体"/>
                <w:b/>
                <w:sz w:val="24"/>
                <w:szCs w:val="24"/>
              </w:rPr>
            </w:pPr>
            <w:r>
              <w:rPr>
                <w:rFonts w:hint="eastAsia" w:ascii="宋体" w:hAnsi="宋体"/>
                <w:b/>
                <w:sz w:val="24"/>
                <w:szCs w:val="24"/>
              </w:rPr>
              <w:t xml:space="preserve">超出、符合或偏离</w:t>
            </w:r>
            <w:r/>
          </w:p>
        </w:tc>
        <w:tc>
          <w:tcPr>
            <w:tcW w:w="1134" w:type="dxa"/>
            <w:vAlign w:val="center"/>
            <w:textDirection w:val="lrTb"/>
            <w:noWrap w:val="false"/>
          </w:tcPr>
          <w:p>
            <w:pPr>
              <w:ind w:right="-92"/>
              <w:jc w:val="center"/>
              <w:spacing w:line="500" w:lineRule="atLeast"/>
              <w:rPr>
                <w:rFonts w:ascii="宋体" w:hAnsi="宋体"/>
                <w:b/>
                <w:sz w:val="24"/>
                <w:szCs w:val="24"/>
              </w:rPr>
            </w:pPr>
            <w:r>
              <w:rPr>
                <w:rFonts w:hint="eastAsia" w:ascii="宋体" w:hAnsi="宋体"/>
                <w:b/>
                <w:sz w:val="24"/>
                <w:szCs w:val="24"/>
              </w:rPr>
              <w:t xml:space="preserve">原因</w:t>
            </w:r>
            <w:r/>
          </w:p>
        </w:tc>
      </w:tr>
      <w:tr>
        <w:trPr>
          <w:cantSplit/>
          <w:trHeight w:val="640"/>
        </w:trPr>
        <w:tc>
          <w:tcPr>
            <w:tcW w:w="876"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852"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3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2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1134"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r>
      <w:tr>
        <w:trPr>
          <w:cantSplit/>
          <w:trHeight w:val="640"/>
        </w:trPr>
        <w:tc>
          <w:tcPr>
            <w:tcW w:w="876"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852"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3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2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1134"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r>
      <w:tr>
        <w:trPr>
          <w:cantSplit/>
          <w:trHeight w:val="640"/>
        </w:trPr>
        <w:tc>
          <w:tcPr>
            <w:tcW w:w="876"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852"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3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2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1134"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r>
      <w:tr>
        <w:trPr>
          <w:cantSplit/>
          <w:trHeight w:val="640"/>
        </w:trPr>
        <w:tc>
          <w:tcPr>
            <w:tcW w:w="876"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852"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3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2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1134"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r>
      <w:tr>
        <w:trPr>
          <w:cantSplit/>
          <w:trHeight w:val="640"/>
        </w:trPr>
        <w:tc>
          <w:tcPr>
            <w:tcW w:w="876"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852"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3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2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1134"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r>
      <w:tr>
        <w:trPr>
          <w:cantSplit/>
          <w:trHeight w:val="640"/>
        </w:trPr>
        <w:tc>
          <w:tcPr>
            <w:tcW w:w="876"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852"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3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2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1134"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r>
      <w:tr>
        <w:trPr>
          <w:cantSplit/>
          <w:trHeight w:val="640"/>
        </w:trPr>
        <w:tc>
          <w:tcPr>
            <w:tcW w:w="876"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852"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3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2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1134"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r>
      <w:tr>
        <w:trPr>
          <w:cantSplit/>
          <w:trHeight w:val="640"/>
        </w:trPr>
        <w:tc>
          <w:tcPr>
            <w:tcW w:w="876"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852"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3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2268"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c>
          <w:tcPr>
            <w:tcW w:w="1134" w:type="dxa"/>
            <w:textDirection w:val="lrTb"/>
            <w:noWrap w:val="false"/>
          </w:tcPr>
          <w:p>
            <w:pPr>
              <w:ind w:right="-92"/>
              <w:jc w:val="center"/>
              <w:spacing w:line="500" w:lineRule="atLeast"/>
              <w:rPr>
                <w:rFonts w:ascii="宋体" w:hAnsi="宋体"/>
                <w:sz w:val="24"/>
                <w:szCs w:val="24"/>
              </w:rPr>
            </w:pPr>
            <w:r>
              <w:rPr>
                <w:rFonts w:ascii="宋体" w:hAnsi="宋体"/>
                <w:sz w:val="24"/>
                <w:szCs w:val="24"/>
              </w:rPr>
            </w:r>
            <w:r/>
          </w:p>
        </w:tc>
      </w:tr>
    </w:tbl>
    <w:p>
      <w:pPr>
        <w:ind w:right="-92"/>
        <w:spacing w:line="500" w:lineRule="atLeast"/>
        <w:rPr>
          <w:rFonts w:ascii="宋体" w:hAnsi="宋体"/>
          <w:sz w:val="24"/>
          <w:szCs w:val="24"/>
        </w:rPr>
      </w:pPr>
      <w:r>
        <w:rPr>
          <w:rFonts w:hint="eastAsia" w:ascii="宋体" w:hAnsi="宋体"/>
          <w:sz w:val="24"/>
          <w:szCs w:val="24"/>
        </w:rPr>
        <w:t xml:space="preserve">投标人全称（加盖公章）：</w:t>
      </w:r>
      <w:r/>
    </w:p>
    <w:p>
      <w:pPr>
        <w:ind w:right="-92"/>
        <w:spacing w:line="500" w:lineRule="atLeast"/>
        <w:rPr>
          <w:rFonts w:ascii="宋体" w:hAnsi="宋体"/>
          <w:sz w:val="24"/>
          <w:szCs w:val="24"/>
        </w:rPr>
      </w:pPr>
      <w:r>
        <w:rPr>
          <w:rFonts w:ascii="宋体" w:hAnsi="宋体"/>
          <w:sz w:val="24"/>
          <w:szCs w:val="24"/>
        </w:rPr>
      </w:r>
      <w:r/>
    </w:p>
    <w:p>
      <w:pPr>
        <w:ind w:right="-92"/>
        <w:spacing w:line="500" w:lineRule="atLeast"/>
        <w:rPr>
          <w:rFonts w:ascii="宋体" w:hAnsi="宋体"/>
          <w:sz w:val="24"/>
          <w:szCs w:val="24"/>
        </w:rPr>
      </w:pPr>
      <w:r>
        <w:rPr>
          <w:rFonts w:ascii="宋体" w:hAnsi="宋体"/>
          <w:sz w:val="24"/>
          <w:szCs w:val="24"/>
        </w:rPr>
      </w:r>
      <w:r/>
    </w:p>
    <w:p>
      <w:pPr>
        <w:ind w:right="-92"/>
        <w:spacing w:line="500" w:lineRule="atLeast"/>
        <w:rPr>
          <w:rFonts w:ascii="宋体" w:hAnsi="宋体"/>
          <w:sz w:val="24"/>
          <w:szCs w:val="24"/>
        </w:rPr>
      </w:pPr>
      <w:r>
        <w:rPr>
          <w:rFonts w:hint="eastAsia" w:ascii="宋体" w:hAnsi="宋体"/>
          <w:sz w:val="24"/>
          <w:szCs w:val="24"/>
        </w:rPr>
        <w:t xml:space="preserve">注：1、按照基本技术要求详细填列。</w:t>
      </w:r>
      <w:r/>
    </w:p>
    <w:p>
      <w:pPr>
        <w:ind w:right="-92" w:firstLine="480"/>
        <w:spacing w:line="500" w:lineRule="atLeast"/>
        <w:rPr>
          <w:rFonts w:ascii="宋体" w:hAnsi="宋体"/>
          <w:sz w:val="24"/>
          <w:szCs w:val="24"/>
        </w:rPr>
      </w:pPr>
      <w:r>
        <w:rPr>
          <w:rFonts w:hint="eastAsia" w:ascii="宋体" w:hAnsi="宋体"/>
          <w:sz w:val="24"/>
          <w:szCs w:val="24"/>
        </w:rPr>
        <w:t xml:space="preserve">2、行数不够，可自行添加。</w:t>
      </w:r>
      <w:r/>
    </w:p>
    <w:p>
      <w:pPr>
        <w:ind w:right="-92" w:firstLine="480"/>
        <w:spacing w:line="500" w:lineRule="atLeast"/>
        <w:rPr>
          <w:rFonts w:ascii="宋体" w:hAnsi="宋体"/>
          <w:bCs/>
          <w:sz w:val="24"/>
          <w:szCs w:val="24"/>
        </w:rPr>
      </w:pPr>
      <w:r>
        <w:rPr>
          <w:rFonts w:hint="eastAsia" w:ascii="宋体" w:hAnsi="宋体"/>
          <w:bCs/>
          <w:sz w:val="24"/>
          <w:szCs w:val="24"/>
        </w:rPr>
        <w:t xml:space="preserve">3、技术偏离表应针对项目需求逐条应答，缺项或漏项投标文件无效。</w:t>
      </w:r>
      <w:r/>
    </w:p>
    <w:p>
      <w:pPr>
        <w:ind w:right="-92"/>
        <w:spacing w:line="500" w:lineRule="atLeast"/>
        <w:rPr>
          <w:rFonts w:ascii="宋体" w:hAnsi="宋体"/>
          <w:sz w:val="28"/>
          <w:szCs w:val="28"/>
        </w:rPr>
      </w:pPr>
      <w:r>
        <w:rPr>
          <w:rFonts w:ascii="宋体" w:hAnsi="宋体"/>
          <w:sz w:val="28"/>
          <w:szCs w:val="28"/>
        </w:rPr>
      </w:r>
      <w:r/>
    </w:p>
    <w:p>
      <w:pPr>
        <w:ind w:right="-92"/>
        <w:jc w:val="center"/>
        <w:spacing w:line="500" w:lineRule="atLeast"/>
        <w:rPr>
          <w:rFonts w:ascii="宋体" w:hAnsi="宋体"/>
          <w:b/>
          <w:sz w:val="28"/>
          <w:szCs w:val="28"/>
        </w:rPr>
      </w:pPr>
      <w:r>
        <w:rPr>
          <w:rFonts w:ascii="宋体" w:hAnsi="宋体"/>
          <w:b/>
          <w:sz w:val="28"/>
          <w:szCs w:val="28"/>
        </w:rPr>
      </w:r>
      <w:r/>
    </w:p>
    <w:p>
      <w:pPr>
        <w:ind w:right="-92"/>
        <w:jc w:val="center"/>
        <w:spacing w:before="50" w:after="50" w:line="500" w:lineRule="atLeast"/>
        <w:rPr>
          <w:rFonts w:ascii="宋体" w:hAnsi="宋体"/>
          <w:b/>
          <w:sz w:val="28"/>
          <w:szCs w:val="28"/>
        </w:rPr>
      </w:pPr>
      <w:r/>
      <w:bookmarkStart w:id="363" w:name="_Hlt26955054"/>
      <w:r/>
      <w:bookmarkEnd w:id="362"/>
      <w:r/>
      <w:bookmarkEnd w:id="363"/>
      <w:r>
        <w:rPr>
          <w:rFonts w:hint="eastAsia" w:ascii="宋体" w:hAnsi="宋体"/>
          <w:sz w:val="28"/>
          <w:szCs w:val="28"/>
        </w:rPr>
        <w:br w:type="page" w:clear="all"/>
      </w:r>
      <w:r>
        <w:rPr>
          <w:rFonts w:hint="eastAsia" w:ascii="宋体" w:hAnsi="宋体"/>
          <w:b/>
          <w:sz w:val="28"/>
          <w:szCs w:val="28"/>
        </w:rPr>
        <w:t xml:space="preserve">八、商务条款响应及偏离表（如有）</w:t>
      </w:r>
      <w:r/>
    </w:p>
    <w:p>
      <w:pPr>
        <w:ind w:right="-92"/>
        <w:jc w:val="center"/>
        <w:spacing w:line="500" w:lineRule="atLeast"/>
        <w:rPr>
          <w:rFonts w:ascii="宋体" w:hAnsi="宋体"/>
          <w:sz w:val="28"/>
          <w:szCs w:val="28"/>
        </w:rPr>
      </w:pPr>
      <w:r>
        <w:rPr>
          <w:rFonts w:ascii="宋体" w:hAnsi="宋体"/>
          <w:sz w:val="28"/>
          <w:szCs w:val="28"/>
        </w:rPr>
      </w:r>
      <w:r/>
    </w:p>
    <w:p>
      <w:pPr>
        <w:ind w:right="-92"/>
        <w:spacing w:line="500" w:lineRule="atLeast"/>
        <w:rPr>
          <w:rFonts w:ascii="宋体" w:hAnsi="宋体"/>
          <w:sz w:val="28"/>
          <w:szCs w:val="28"/>
        </w:rPr>
      </w:pPr>
      <w:r>
        <w:rPr>
          <w:rFonts w:hint="eastAsia" w:ascii="宋体" w:hAnsi="宋体"/>
          <w:sz w:val="28"/>
          <w:szCs w:val="28"/>
        </w:rPr>
        <w:t xml:space="preserve">投标人全称（加盖公章）：        </w:t>
      </w:r>
      <w:r/>
    </w:p>
    <w:tbl>
      <w:tblPr>
        <w:tblW w:w="9493"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3114"/>
        <w:gridCol w:w="1843"/>
        <w:gridCol w:w="1417"/>
        <w:gridCol w:w="3119"/>
      </w:tblGrid>
      <w:tr>
        <w:trPr>
          <w:trHeight w:val="642"/>
        </w:trPr>
        <w:tc>
          <w:tcPr>
            <w:tcBorders>
              <w:top w:val="single" w:color="auto" w:sz="4" w:space="0"/>
              <w:left w:val="single" w:color="auto" w:sz="4" w:space="0"/>
              <w:bottom w:val="single" w:color="auto" w:sz="4" w:space="0"/>
              <w:right w:val="single" w:color="auto" w:sz="4" w:space="0"/>
            </w:tcBorders>
            <w:tcW w:w="3114" w:type="dxa"/>
            <w:textDirection w:val="lrTb"/>
            <w:noWrap w:val="false"/>
          </w:tcPr>
          <w:p>
            <w:pPr>
              <w:spacing w:before="156"/>
              <w:rPr>
                <w:rFonts w:ascii="宋体" w:hAnsi="宋体"/>
                <w:b/>
                <w:sz w:val="24"/>
                <w:szCs w:val="20"/>
              </w:rPr>
            </w:pPr>
            <w:r>
              <w:rPr>
                <w:rFonts w:hint="eastAsia" w:ascii="宋体" w:hAnsi="宋体" w:cs="微软雅黑"/>
                <w:b/>
                <w:sz w:val="24"/>
              </w:rPr>
              <w:t xml:space="preserve">项</w:t>
            </w:r>
            <w:r>
              <w:rPr>
                <w:rFonts w:hint="eastAsia" w:ascii="宋体" w:hAnsi="宋体" w:cs="MS Gothic"/>
                <w:b/>
                <w:sz w:val="24"/>
              </w:rPr>
              <w:t xml:space="preserve">目</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before="156"/>
              <w:rPr>
                <w:rFonts w:ascii="宋体" w:hAnsi="宋体"/>
                <w:b/>
                <w:sz w:val="24"/>
                <w:szCs w:val="20"/>
              </w:rPr>
            </w:pPr>
            <w:r>
              <w:rPr>
                <w:rFonts w:hint="eastAsia" w:ascii="宋体" w:hAnsi="宋体"/>
                <w:b/>
                <w:sz w:val="24"/>
              </w:rPr>
              <w:t xml:space="preserve">招</w:t>
            </w:r>
            <w:r>
              <w:rPr>
                <w:rFonts w:hint="eastAsia" w:ascii="宋体" w:hAnsi="宋体" w:cs="微软雅黑"/>
                <w:b/>
                <w:sz w:val="24"/>
              </w:rPr>
              <w:t xml:space="preserve">标</w:t>
            </w:r>
            <w:r>
              <w:rPr>
                <w:rFonts w:hint="eastAsia" w:ascii="宋体" w:hAnsi="宋体" w:cs="MS Gothic"/>
                <w:b/>
                <w:sz w:val="24"/>
              </w:rPr>
              <w:t xml:space="preserve">文件要求</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spacing w:before="156"/>
              <w:rPr>
                <w:rFonts w:ascii="宋体" w:hAnsi="宋体"/>
                <w:b/>
                <w:sz w:val="24"/>
                <w:szCs w:val="20"/>
              </w:rPr>
            </w:pPr>
            <w:r>
              <w:rPr>
                <w:rFonts w:hint="eastAsia" w:ascii="宋体" w:hAnsi="宋体"/>
                <w:b/>
                <w:sz w:val="24"/>
              </w:rPr>
              <w:t xml:space="preserve">是否响</w:t>
            </w:r>
            <w:r>
              <w:rPr>
                <w:rFonts w:hint="eastAsia" w:ascii="宋体" w:hAnsi="宋体" w:cs="微软雅黑"/>
                <w:b/>
                <w:sz w:val="24"/>
              </w:rPr>
              <w:t xml:space="preserve">应</w:t>
            </w:r>
            <w:r/>
          </w:p>
        </w:tc>
        <w:tc>
          <w:tcPr>
            <w:tcBorders>
              <w:top w:val="single" w:color="auto" w:sz="4" w:space="0"/>
              <w:left w:val="single" w:color="auto" w:sz="4" w:space="0"/>
              <w:bottom w:val="single" w:color="auto" w:sz="4" w:space="0"/>
              <w:right w:val="single" w:color="auto" w:sz="4" w:space="0"/>
            </w:tcBorders>
            <w:tcW w:w="3119" w:type="dxa"/>
            <w:textDirection w:val="lrTb"/>
            <w:noWrap w:val="false"/>
          </w:tcPr>
          <w:p>
            <w:pPr>
              <w:spacing w:before="156"/>
              <w:rPr>
                <w:rFonts w:ascii="宋体" w:hAnsi="宋体"/>
                <w:b/>
                <w:sz w:val="24"/>
                <w:szCs w:val="20"/>
              </w:rPr>
            </w:pPr>
            <w:r>
              <w:rPr>
                <w:rFonts w:hint="eastAsia" w:ascii="宋体" w:hAnsi="宋体"/>
                <w:b/>
                <w:sz w:val="24"/>
              </w:rPr>
              <w:t xml:space="preserve">投</w:t>
            </w:r>
            <w:r>
              <w:rPr>
                <w:rFonts w:hint="eastAsia" w:ascii="宋体" w:hAnsi="宋体" w:cs="微软雅黑"/>
                <w:b/>
                <w:sz w:val="24"/>
              </w:rPr>
              <w:t xml:space="preserve">标</w:t>
            </w:r>
            <w:r>
              <w:rPr>
                <w:rFonts w:hint="eastAsia" w:ascii="宋体" w:hAnsi="宋体" w:cs="MS Gothic"/>
                <w:b/>
                <w:sz w:val="24"/>
              </w:rPr>
              <w:t xml:space="preserve">人的承</w:t>
            </w:r>
            <w:r>
              <w:rPr>
                <w:rFonts w:hint="eastAsia" w:ascii="宋体" w:hAnsi="宋体" w:cs="微软雅黑"/>
                <w:b/>
                <w:sz w:val="24"/>
              </w:rPr>
              <w:t xml:space="preserve">诺</w:t>
            </w:r>
            <w:r>
              <w:rPr>
                <w:rFonts w:hint="eastAsia" w:ascii="宋体" w:hAnsi="宋体" w:cs="MS Gothic"/>
                <w:b/>
                <w:sz w:val="24"/>
              </w:rPr>
              <w:t xml:space="preserve">或</w:t>
            </w:r>
            <w:r>
              <w:rPr>
                <w:rFonts w:hint="eastAsia" w:ascii="宋体" w:hAnsi="宋体" w:cs="微软雅黑"/>
                <w:b/>
                <w:sz w:val="24"/>
              </w:rPr>
              <w:t xml:space="preserve">说</w:t>
            </w:r>
            <w:r>
              <w:rPr>
                <w:rFonts w:hint="eastAsia" w:ascii="宋体" w:hAnsi="宋体" w:cs="MS Gothic"/>
                <w:b/>
                <w:sz w:val="24"/>
              </w:rPr>
              <w:t xml:space="preserve">明</w:t>
            </w:r>
            <w:r/>
          </w:p>
        </w:tc>
      </w:tr>
      <w:tr>
        <w:trPr>
          <w:trHeight w:val="719"/>
        </w:trPr>
        <w:tc>
          <w:tcPr>
            <w:tcBorders>
              <w:top w:val="single" w:color="auto" w:sz="4" w:space="0"/>
              <w:left w:val="single" w:color="auto" w:sz="4" w:space="0"/>
              <w:bottom w:val="single" w:color="auto" w:sz="4" w:space="0"/>
              <w:right w:val="single" w:color="auto" w:sz="4" w:space="0"/>
            </w:tcBorders>
            <w:tcW w:w="3114" w:type="dxa"/>
            <w:textDirection w:val="lrTb"/>
            <w:noWrap w:val="false"/>
          </w:tcPr>
          <w:p>
            <w:pPr>
              <w:spacing w:before="156"/>
              <w:rPr>
                <w:rFonts w:ascii="宋体" w:hAnsi="宋体"/>
                <w:sz w:val="24"/>
                <w:szCs w:val="20"/>
              </w:rPr>
            </w:pPr>
            <w:r>
              <w:rPr>
                <w:rFonts w:hint="eastAsia" w:ascii="宋体" w:hAnsi="宋体"/>
                <w:sz w:val="24"/>
              </w:rPr>
              <w:t xml:space="preserve">售后技</w:t>
            </w:r>
            <w:r>
              <w:rPr>
                <w:rFonts w:hint="eastAsia" w:ascii="宋体" w:hAnsi="宋体" w:cs="微软雅黑"/>
                <w:sz w:val="24"/>
              </w:rPr>
              <w:t xml:space="preserve">术</w:t>
            </w:r>
            <w:r>
              <w:rPr>
                <w:rFonts w:hint="eastAsia" w:ascii="宋体" w:hAnsi="宋体" w:cs="MS Gothic"/>
                <w:sz w:val="24"/>
              </w:rPr>
              <w:t xml:space="preserve">服</w:t>
            </w:r>
            <w:r>
              <w:rPr>
                <w:rFonts w:hint="eastAsia" w:ascii="宋体" w:hAnsi="宋体" w:cs="微软雅黑"/>
                <w:sz w:val="24"/>
              </w:rPr>
              <w:t xml:space="preserve">务</w:t>
            </w:r>
            <w:r>
              <w:rPr>
                <w:rFonts w:hint="eastAsia" w:ascii="宋体" w:hAnsi="宋体" w:cs="MS Gothic"/>
                <w:sz w:val="24"/>
              </w:rPr>
              <w:t xml:space="preserve">要求</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before="156"/>
              <w:rPr>
                <w:rFonts w:ascii="宋体" w:hAnsi="宋体"/>
                <w:sz w:val="24"/>
                <w:szCs w:val="20"/>
              </w:rPr>
            </w:pPr>
            <w:r>
              <w:rPr>
                <w:rFonts w:ascii="宋体" w:hAnsi="宋体"/>
                <w:sz w:val="24"/>
                <w:szCs w:val="20"/>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spacing w:before="156"/>
              <w:rPr>
                <w:rFonts w:ascii="宋体" w:hAnsi="宋体"/>
                <w:sz w:val="24"/>
                <w:szCs w:val="20"/>
              </w:rPr>
            </w:pPr>
            <w:r>
              <w:rPr>
                <w:rFonts w:ascii="宋体" w:hAnsi="宋体"/>
                <w:sz w:val="24"/>
                <w:szCs w:val="20"/>
              </w:rPr>
            </w:r>
            <w:r/>
          </w:p>
        </w:tc>
        <w:tc>
          <w:tcPr>
            <w:tcBorders>
              <w:top w:val="single" w:color="auto" w:sz="4" w:space="0"/>
              <w:left w:val="single" w:color="auto" w:sz="4" w:space="0"/>
              <w:bottom w:val="single" w:color="auto" w:sz="4" w:space="0"/>
              <w:right w:val="single" w:color="auto" w:sz="4" w:space="0"/>
            </w:tcBorders>
            <w:tcW w:w="3119" w:type="dxa"/>
            <w:textDirection w:val="lrTb"/>
            <w:noWrap w:val="false"/>
          </w:tcPr>
          <w:p>
            <w:pPr>
              <w:spacing w:before="156"/>
              <w:rPr>
                <w:rFonts w:ascii="宋体" w:hAnsi="宋体"/>
                <w:sz w:val="24"/>
                <w:szCs w:val="20"/>
              </w:rPr>
            </w:pPr>
            <w:r>
              <w:rPr>
                <w:rFonts w:ascii="宋体" w:hAnsi="宋体"/>
                <w:sz w:val="24"/>
                <w:szCs w:val="20"/>
              </w:rPr>
            </w:r>
            <w:r/>
          </w:p>
        </w:tc>
      </w:tr>
      <w:tr>
        <w:trPr>
          <w:trHeight w:val="540"/>
        </w:trPr>
        <w:tc>
          <w:tcPr>
            <w:tcBorders>
              <w:top w:val="single" w:color="auto" w:sz="4" w:space="0"/>
              <w:left w:val="single" w:color="auto" w:sz="4" w:space="0"/>
              <w:bottom w:val="single" w:color="auto" w:sz="4" w:space="0"/>
              <w:right w:val="single" w:color="auto" w:sz="4" w:space="0"/>
            </w:tcBorders>
            <w:tcW w:w="3114" w:type="dxa"/>
            <w:textDirection w:val="lrTb"/>
            <w:noWrap w:val="false"/>
          </w:tcPr>
          <w:p>
            <w:pPr>
              <w:spacing w:before="156"/>
              <w:rPr>
                <w:rFonts w:ascii="宋体" w:hAnsi="宋体"/>
                <w:sz w:val="24"/>
                <w:szCs w:val="20"/>
              </w:rPr>
            </w:pPr>
            <w:r>
              <w:rPr>
                <w:rFonts w:hint="eastAsia" w:ascii="宋体" w:hAnsi="宋体"/>
                <w:sz w:val="24"/>
                <w:szCs w:val="20"/>
              </w:rPr>
              <w:t xml:space="preserve">项目完成期限</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before="156"/>
              <w:rPr>
                <w:rFonts w:ascii="宋体" w:hAnsi="宋体"/>
                <w:sz w:val="24"/>
                <w:szCs w:val="20"/>
              </w:rPr>
            </w:pPr>
            <w:r>
              <w:rPr>
                <w:rFonts w:ascii="宋体" w:hAnsi="宋体"/>
                <w:sz w:val="24"/>
                <w:szCs w:val="20"/>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ind w:left="43"/>
              <w:spacing w:before="156"/>
              <w:rPr>
                <w:rFonts w:ascii="宋体" w:hAnsi="宋体"/>
                <w:sz w:val="24"/>
                <w:szCs w:val="20"/>
              </w:rPr>
            </w:pPr>
            <w:r>
              <w:rPr>
                <w:rFonts w:ascii="宋体" w:hAnsi="宋体"/>
                <w:sz w:val="24"/>
                <w:szCs w:val="20"/>
              </w:rPr>
            </w:r>
            <w:r/>
          </w:p>
        </w:tc>
        <w:tc>
          <w:tcPr>
            <w:tcBorders>
              <w:top w:val="single" w:color="auto" w:sz="4" w:space="0"/>
              <w:left w:val="single" w:color="auto" w:sz="4" w:space="0"/>
              <w:bottom w:val="single" w:color="auto" w:sz="4" w:space="0"/>
              <w:right w:val="single" w:color="auto" w:sz="4" w:space="0"/>
            </w:tcBorders>
            <w:tcW w:w="3119" w:type="dxa"/>
            <w:textDirection w:val="lrTb"/>
            <w:noWrap w:val="false"/>
          </w:tcPr>
          <w:p>
            <w:pPr>
              <w:ind w:left="43"/>
              <w:spacing w:before="156"/>
              <w:rPr>
                <w:rFonts w:ascii="宋体" w:hAnsi="宋体"/>
                <w:sz w:val="24"/>
                <w:szCs w:val="20"/>
              </w:rPr>
            </w:pPr>
            <w:r>
              <w:rPr>
                <w:rFonts w:ascii="宋体" w:hAnsi="宋体"/>
                <w:sz w:val="24"/>
                <w:szCs w:val="20"/>
              </w:rPr>
            </w:r>
            <w:r/>
          </w:p>
        </w:tc>
      </w:tr>
      <w:tr>
        <w:trPr>
          <w:trHeight w:val="820"/>
        </w:trPr>
        <w:tc>
          <w:tcPr>
            <w:tcBorders>
              <w:top w:val="single" w:color="auto" w:sz="4" w:space="0"/>
              <w:left w:val="single" w:color="auto" w:sz="4" w:space="0"/>
              <w:bottom w:val="single" w:color="auto" w:sz="4" w:space="0"/>
              <w:right w:val="single" w:color="auto" w:sz="4" w:space="0"/>
            </w:tcBorders>
            <w:tcW w:w="3114" w:type="dxa"/>
            <w:textDirection w:val="lrTb"/>
            <w:noWrap w:val="false"/>
          </w:tcPr>
          <w:p>
            <w:pPr>
              <w:spacing w:before="156"/>
              <w:rPr>
                <w:rFonts w:ascii="宋体" w:hAnsi="宋体"/>
                <w:sz w:val="24"/>
                <w:szCs w:val="20"/>
              </w:rPr>
            </w:pPr>
            <w:r>
              <w:rPr>
                <w:rFonts w:hint="eastAsia" w:ascii="宋体" w:hAnsi="宋体"/>
                <w:sz w:val="24"/>
              </w:rPr>
              <w:t xml:space="preserve">付款方式</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before="156"/>
              <w:rPr>
                <w:rFonts w:ascii="宋体" w:hAnsi="宋体"/>
                <w:sz w:val="24"/>
                <w:szCs w:val="20"/>
              </w:rPr>
            </w:pPr>
            <w:r>
              <w:rPr>
                <w:rFonts w:ascii="宋体" w:hAnsi="宋体"/>
                <w:sz w:val="24"/>
                <w:szCs w:val="20"/>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spacing w:before="156"/>
              <w:rPr>
                <w:rFonts w:ascii="宋体" w:hAnsi="宋体"/>
                <w:sz w:val="24"/>
                <w:szCs w:val="20"/>
              </w:rPr>
            </w:pPr>
            <w:r>
              <w:rPr>
                <w:rFonts w:ascii="宋体" w:hAnsi="宋体"/>
                <w:sz w:val="24"/>
                <w:szCs w:val="20"/>
              </w:rPr>
            </w:r>
            <w:r/>
          </w:p>
        </w:tc>
        <w:tc>
          <w:tcPr>
            <w:tcBorders>
              <w:top w:val="single" w:color="auto" w:sz="4" w:space="0"/>
              <w:left w:val="single" w:color="auto" w:sz="4" w:space="0"/>
              <w:bottom w:val="single" w:color="auto" w:sz="4" w:space="0"/>
              <w:right w:val="single" w:color="auto" w:sz="4" w:space="0"/>
            </w:tcBorders>
            <w:tcW w:w="3119" w:type="dxa"/>
            <w:textDirection w:val="lrTb"/>
            <w:noWrap w:val="false"/>
          </w:tcPr>
          <w:p>
            <w:pPr>
              <w:spacing w:before="156"/>
              <w:rPr>
                <w:rFonts w:ascii="宋体" w:hAnsi="宋体"/>
                <w:sz w:val="24"/>
                <w:szCs w:val="20"/>
              </w:rPr>
            </w:pPr>
            <w:r>
              <w:rPr>
                <w:rFonts w:ascii="宋体" w:hAnsi="宋体"/>
                <w:sz w:val="24"/>
                <w:szCs w:val="20"/>
              </w:rPr>
            </w:r>
            <w:r/>
          </w:p>
        </w:tc>
      </w:tr>
      <w:tr>
        <w:trPr/>
        <w:tc>
          <w:tcPr>
            <w:tcBorders>
              <w:top w:val="single" w:color="auto" w:sz="4" w:space="0"/>
              <w:left w:val="single" w:color="auto" w:sz="4" w:space="0"/>
              <w:bottom w:val="single" w:color="auto" w:sz="4" w:space="0"/>
              <w:right w:val="single" w:color="auto" w:sz="4" w:space="0"/>
            </w:tcBorders>
            <w:tcW w:w="3114" w:type="dxa"/>
            <w:textDirection w:val="lrTb"/>
            <w:noWrap w:val="false"/>
          </w:tcPr>
          <w:p>
            <w:pPr>
              <w:spacing w:before="156"/>
              <w:rPr>
                <w:rFonts w:ascii="宋体" w:hAnsi="宋体"/>
                <w:sz w:val="24"/>
                <w:szCs w:val="20"/>
              </w:rPr>
            </w:pPr>
            <w:r>
              <w:rPr>
                <w:rFonts w:hint="eastAsia" w:ascii="宋体" w:hAnsi="宋体"/>
                <w:sz w:val="24"/>
              </w:rPr>
              <w:t xml:space="preserve">其他</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before="156"/>
              <w:rPr>
                <w:rFonts w:ascii="宋体" w:hAnsi="宋体"/>
                <w:sz w:val="24"/>
                <w:szCs w:val="20"/>
              </w:rPr>
            </w:pPr>
            <w:r>
              <w:rPr>
                <w:rFonts w:ascii="宋体" w:hAnsi="宋体"/>
                <w:sz w:val="24"/>
                <w:szCs w:val="20"/>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spacing w:before="156"/>
              <w:rPr>
                <w:rFonts w:ascii="宋体" w:hAnsi="宋体"/>
                <w:sz w:val="24"/>
                <w:szCs w:val="20"/>
              </w:rPr>
            </w:pPr>
            <w:r>
              <w:rPr>
                <w:rFonts w:ascii="宋体" w:hAnsi="宋体"/>
                <w:sz w:val="24"/>
                <w:szCs w:val="20"/>
              </w:rPr>
            </w:r>
            <w:r/>
          </w:p>
        </w:tc>
        <w:tc>
          <w:tcPr>
            <w:tcBorders>
              <w:top w:val="single" w:color="auto" w:sz="4" w:space="0"/>
              <w:left w:val="single" w:color="auto" w:sz="4" w:space="0"/>
              <w:bottom w:val="single" w:color="auto" w:sz="4" w:space="0"/>
              <w:right w:val="single" w:color="auto" w:sz="4" w:space="0"/>
            </w:tcBorders>
            <w:tcW w:w="3119" w:type="dxa"/>
            <w:textDirection w:val="lrTb"/>
            <w:noWrap w:val="false"/>
          </w:tcPr>
          <w:p>
            <w:pPr>
              <w:spacing w:before="156"/>
              <w:rPr>
                <w:rFonts w:ascii="宋体" w:hAnsi="宋体"/>
                <w:sz w:val="24"/>
                <w:szCs w:val="20"/>
              </w:rPr>
            </w:pPr>
            <w:r>
              <w:rPr>
                <w:rFonts w:ascii="宋体" w:hAnsi="宋体"/>
                <w:sz w:val="24"/>
                <w:szCs w:val="20"/>
              </w:rPr>
            </w:r>
            <w:r/>
          </w:p>
        </w:tc>
      </w:tr>
    </w:tbl>
    <w:p>
      <w:pPr>
        <w:ind w:right="-92"/>
        <w:spacing w:line="500" w:lineRule="atLeast"/>
        <w:rPr>
          <w:rFonts w:ascii="宋体" w:hAnsi="宋体"/>
          <w:sz w:val="28"/>
          <w:szCs w:val="28"/>
        </w:rPr>
      </w:pPr>
      <w:r>
        <w:rPr>
          <w:rFonts w:ascii="宋体" w:hAnsi="宋体"/>
          <w:sz w:val="28"/>
          <w:szCs w:val="28"/>
        </w:rPr>
      </w:r>
      <w:r/>
    </w:p>
    <w:p>
      <w:pPr>
        <w:ind w:right="-92"/>
        <w:spacing w:line="500" w:lineRule="atLeast"/>
        <w:rPr>
          <w:rFonts w:ascii="宋体" w:hAnsi="宋体"/>
          <w:sz w:val="28"/>
          <w:szCs w:val="28"/>
        </w:rPr>
      </w:pPr>
      <w:r>
        <w:rPr>
          <w:rFonts w:hint="eastAsia" w:ascii="宋体" w:hAnsi="宋体"/>
          <w:sz w:val="24"/>
          <w:szCs w:val="24"/>
        </w:rPr>
        <w:t xml:space="preserve">投标人全称（加盖公章）</w:t>
      </w:r>
      <w:r>
        <w:rPr>
          <w:rFonts w:hint="eastAsia" w:ascii="宋体" w:hAnsi="宋体"/>
          <w:sz w:val="28"/>
          <w:szCs w:val="28"/>
        </w:rPr>
        <w:t xml:space="preserve">：</w:t>
      </w:r>
      <w:r/>
    </w:p>
    <w:p>
      <w:pPr>
        <w:ind w:right="-92"/>
        <w:spacing w:line="500" w:lineRule="atLeast"/>
        <w:rPr>
          <w:rFonts w:ascii="宋体" w:hAnsi="宋体"/>
          <w:sz w:val="28"/>
          <w:szCs w:val="28"/>
        </w:rPr>
      </w:pPr>
      <w:r/>
      <w:bookmarkStart w:id="364" w:name="_Hlt26782999"/>
      <w:r/>
      <w:bookmarkStart w:id="365" w:name="_Hlt26955064"/>
      <w:r/>
      <w:bookmarkStart w:id="366" w:name="_Hlt26955066"/>
      <w:r/>
      <w:bookmarkStart w:id="367" w:name="_Hlt26609391"/>
      <w:r/>
      <w:bookmarkStart w:id="368" w:name="_Hlt24879081"/>
      <w:r/>
      <w:bookmarkStart w:id="369" w:name="_Hlt26580838"/>
      <w:r/>
      <w:bookmarkStart w:id="370" w:name="_Hlt26671372"/>
      <w:r/>
      <w:bookmarkStart w:id="371" w:name="_Hlt26955056"/>
      <w:r/>
      <w:bookmarkStart w:id="372" w:name="_Hlt26671374"/>
      <w:r/>
      <w:bookmarkStart w:id="373" w:name="_Hlt26671343"/>
      <w:r/>
      <w:bookmarkStart w:id="374" w:name="_Hlt26609389"/>
      <w:r/>
      <w:bookmarkStart w:id="375" w:name="_Toc462564146"/>
      <w:r/>
      <w:bookmarkEnd w:id="364"/>
      <w:r/>
      <w:bookmarkEnd w:id="365"/>
      <w:r/>
      <w:bookmarkEnd w:id="366"/>
      <w:r/>
      <w:bookmarkEnd w:id="367"/>
      <w:r/>
      <w:bookmarkEnd w:id="368"/>
      <w:r/>
      <w:bookmarkEnd w:id="369"/>
      <w:r/>
      <w:bookmarkEnd w:id="370"/>
      <w:r/>
      <w:bookmarkEnd w:id="371"/>
      <w:r/>
      <w:bookmarkEnd w:id="372"/>
      <w:r/>
      <w:bookmarkEnd w:id="373"/>
      <w:r/>
      <w:bookmarkEnd w:id="374"/>
      <w:r/>
      <w:r/>
    </w:p>
    <w:p>
      <w:pPr>
        <w:pStyle w:val="1005"/>
        <w:ind w:right="-92" w:firstLine="0"/>
        <w:spacing w:line="500" w:lineRule="atLeast"/>
        <w:rPr>
          <w:rFonts w:ascii="宋体" w:hAnsi="宋体"/>
          <w:sz w:val="28"/>
          <w:szCs w:val="28"/>
        </w:rPr>
      </w:pPr>
      <w:r>
        <w:rPr>
          <w:rFonts w:ascii="宋体" w:hAnsi="宋体"/>
          <w:sz w:val="28"/>
          <w:szCs w:val="28"/>
        </w:rPr>
      </w:r>
      <w:r/>
    </w:p>
    <w:p>
      <w:pPr>
        <w:ind w:right="-92"/>
        <w:jc w:val="center"/>
        <w:spacing w:before="50" w:after="50" w:line="500" w:lineRule="atLeast"/>
        <w:rPr>
          <w:rFonts w:ascii="宋体" w:hAnsi="宋体"/>
          <w:b/>
          <w:sz w:val="28"/>
          <w:szCs w:val="28"/>
        </w:rPr>
      </w:pPr>
      <w:r>
        <w:rPr>
          <w:rFonts w:hint="eastAsia" w:ascii="宋体" w:hAnsi="宋体"/>
          <w:sz w:val="28"/>
          <w:szCs w:val="28"/>
        </w:rPr>
        <w:br w:type="page" w:clear="all"/>
      </w:r>
      <w:r>
        <w:rPr>
          <w:rFonts w:hint="eastAsia" w:ascii="宋体" w:hAnsi="宋体"/>
          <w:b/>
          <w:sz w:val="28"/>
          <w:szCs w:val="28"/>
        </w:rPr>
        <w:t xml:space="preserve">九、</w:t>
      </w:r>
      <w:bookmarkStart w:id="376" w:name="_格式2__法定代表人授权书"/>
      <w:r/>
      <w:bookmarkEnd w:id="375"/>
      <w:r/>
      <w:bookmarkEnd w:id="376"/>
      <w:r>
        <w:rPr>
          <w:rFonts w:hint="eastAsia" w:ascii="宋体" w:hAnsi="宋体"/>
          <w:b/>
          <w:sz w:val="28"/>
          <w:szCs w:val="28"/>
        </w:rPr>
        <w:t xml:space="preserve">项目技术方案等</w:t>
      </w:r>
      <w:r/>
    </w:p>
    <w:p>
      <w:pPr>
        <w:ind w:right="-92"/>
        <w:jc w:val="center"/>
        <w:spacing w:before="50" w:after="50" w:line="500" w:lineRule="atLeast"/>
        <w:rPr>
          <w:rFonts w:ascii="宋体" w:hAnsi="宋体" w:cs="宋体"/>
          <w:b/>
          <w:sz w:val="28"/>
          <w:szCs w:val="28"/>
        </w:rPr>
      </w:pPr>
      <w:r>
        <w:rPr>
          <w:rFonts w:ascii="宋体" w:hAnsi="宋体"/>
          <w:sz w:val="28"/>
          <w:szCs w:val="28"/>
        </w:rPr>
        <w:br w:type="page" w:clear="all"/>
      </w:r>
      <w:r>
        <w:rPr>
          <w:rFonts w:hint="eastAsia" w:ascii="宋体" w:hAnsi="宋体"/>
          <w:b/>
          <w:sz w:val="28"/>
          <w:szCs w:val="28"/>
        </w:rPr>
        <w:t xml:space="preserve">十、</w:t>
      </w:r>
      <w:bookmarkStart w:id="377" w:name="_Toc19498"/>
      <w:r>
        <w:rPr>
          <w:rFonts w:hint="eastAsia" w:ascii="宋体" w:hAnsi="宋体" w:cs="宋体"/>
          <w:b/>
          <w:sz w:val="28"/>
          <w:szCs w:val="28"/>
        </w:rPr>
        <w:t xml:space="preserve">盐城市大丰区政府招标采购供应商承诺书</w:t>
      </w:r>
      <w:bookmarkEnd w:id="377"/>
      <w:r/>
      <w:r/>
    </w:p>
    <w:p>
      <w:pPr>
        <w:ind w:right="-92"/>
        <w:jc w:val="center"/>
        <w:spacing w:before="50" w:after="50" w:line="500" w:lineRule="atLeast"/>
        <w:rPr>
          <w:rFonts w:ascii="宋体" w:hAnsi="宋体" w:cs="宋体"/>
          <w:sz w:val="28"/>
          <w:szCs w:val="28"/>
        </w:rPr>
      </w:pPr>
      <w:r>
        <w:rPr>
          <w:rFonts w:ascii="宋体" w:hAnsi="宋体" w:cs="宋体"/>
          <w:sz w:val="28"/>
          <w:szCs w:val="28"/>
        </w:rPr>
      </w:r>
      <w:r/>
    </w:p>
    <w:p>
      <w:pPr>
        <w:ind w:right="-92" w:firstLine="480"/>
        <w:jc w:val="left"/>
        <w:spacing w:line="500" w:lineRule="atLeast"/>
        <w:rPr>
          <w:rFonts w:ascii="宋体" w:hAnsi="宋体" w:cs="宋体"/>
          <w:sz w:val="24"/>
          <w:szCs w:val="24"/>
          <w:u w:val="single"/>
        </w:rPr>
      </w:pPr>
      <w:r>
        <w:rPr>
          <w:rFonts w:hint="eastAsia" w:ascii="宋体" w:hAnsi="宋体" w:cs="宋体"/>
          <w:sz w:val="24"/>
          <w:szCs w:val="24"/>
        </w:rPr>
        <w:t xml:space="preserve">为营造公开、公平、公正、诚实守信的政府招标采购交易环境，树立诚信守法的投标人形象，本单位参加政府招标采购项目</w:t>
      </w:r>
      <w:r>
        <w:rPr>
          <w:rFonts w:hint="eastAsia" w:ascii="宋体" w:hAnsi="宋体" w:cs="宋体"/>
          <w:sz w:val="24"/>
          <w:szCs w:val="24"/>
          <w:u w:val="single"/>
        </w:rPr>
        <w:t xml:space="preserve">：                                       </w:t>
      </w:r>
      <w:r/>
    </w:p>
    <w:p>
      <w:pPr>
        <w:ind w:right="-92"/>
        <w:jc w:val="left"/>
        <w:spacing w:line="500" w:lineRule="atLeast"/>
        <w:rPr>
          <w:rFonts w:ascii="宋体" w:hAnsi="宋体" w:cs="宋体"/>
          <w:sz w:val="24"/>
          <w:szCs w:val="24"/>
        </w:rPr>
      </w:pPr>
      <w:r>
        <w:rPr>
          <w:rFonts w:hint="eastAsia" w:ascii="宋体" w:hAnsi="宋体" w:cs="宋体"/>
          <w:sz w:val="24"/>
          <w:szCs w:val="24"/>
        </w:rPr>
        <w:t xml:space="preserve">的招标采购活动，本人代表本单位作出以下承诺：</w:t>
      </w:r>
      <w:r/>
    </w:p>
    <w:p>
      <w:pPr>
        <w:ind w:right="-92" w:firstLine="480"/>
        <w:jc w:val="left"/>
        <w:spacing w:line="500" w:lineRule="atLeast"/>
        <w:rPr>
          <w:rFonts w:ascii="宋体" w:hAnsi="宋体" w:cs="宋体"/>
          <w:sz w:val="24"/>
          <w:szCs w:val="24"/>
        </w:rPr>
      </w:pPr>
      <w:r>
        <w:rPr>
          <w:rFonts w:hint="eastAsia" w:ascii="宋体" w:hAnsi="宋体" w:cs="宋体"/>
          <w:sz w:val="24"/>
          <w:szCs w:val="24"/>
        </w:rPr>
        <w:t xml:space="preserve">（一）本单位对所提交的企（事）业单位基本信息、企（事）业负责人、项目经理、技术负责人、从业资质和资格、业绩、财务状况、信誉等所有资料，均合法、真实、准确、有效，无任何伪造、修改、虚假成份，并对所提供资料的真实性负责；</w:t>
      </w:r>
      <w:r/>
    </w:p>
    <w:p>
      <w:pPr>
        <w:ind w:right="-92" w:firstLine="480"/>
        <w:jc w:val="left"/>
        <w:spacing w:line="500" w:lineRule="atLeast"/>
        <w:rPr>
          <w:rFonts w:ascii="宋体" w:hAnsi="宋体" w:cs="宋体"/>
          <w:sz w:val="24"/>
          <w:szCs w:val="24"/>
        </w:rPr>
      </w:pPr>
      <w:r>
        <w:rPr>
          <w:rFonts w:hint="eastAsia" w:ascii="宋体" w:hAnsi="宋体" w:cs="宋体"/>
          <w:sz w:val="24"/>
          <w:szCs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right="-92" w:firstLine="480"/>
        <w:jc w:val="left"/>
        <w:spacing w:line="500" w:lineRule="atLeast"/>
        <w:rPr>
          <w:rFonts w:ascii="宋体" w:hAnsi="宋体" w:cs="宋体"/>
          <w:sz w:val="24"/>
          <w:szCs w:val="24"/>
        </w:rPr>
      </w:pPr>
      <w:r>
        <w:rPr>
          <w:rFonts w:hint="eastAsia" w:ascii="宋体" w:hAnsi="宋体" w:cs="宋体"/>
          <w:sz w:val="24"/>
          <w:szCs w:val="24"/>
        </w:rPr>
        <w:t xml:space="preserve">（三）严格依照国家和省、市关于政府招标采购的法律、法规、规章、规范性文件，参加政府招标采购的投标活动；积极履行社会责任，促进廉政建设； </w:t>
      </w:r>
      <w:r/>
    </w:p>
    <w:p>
      <w:pPr>
        <w:ind w:right="-92"/>
        <w:jc w:val="left"/>
        <w:spacing w:line="500" w:lineRule="atLeast"/>
        <w:rPr>
          <w:rFonts w:ascii="宋体" w:hAnsi="宋体" w:cs="宋体"/>
          <w:sz w:val="24"/>
          <w:szCs w:val="24"/>
        </w:rPr>
      </w:pPr>
      <w:r>
        <w:rPr>
          <w:rFonts w:hint="eastAsia" w:ascii="宋体" w:hAnsi="宋体" w:cs="宋体"/>
          <w:sz w:val="24"/>
          <w:szCs w:val="24"/>
        </w:rPr>
        <w:t xml:space="preserve">   （四）严格遵守即时信息公示规定，及时维护和更新盐城市政府采购网、公共资源交易平台中与本单位相关的信息；</w:t>
      </w:r>
      <w:r/>
    </w:p>
    <w:p>
      <w:pPr>
        <w:ind w:right="-92" w:firstLine="480"/>
        <w:jc w:val="left"/>
        <w:spacing w:line="500" w:lineRule="atLeast"/>
        <w:rPr>
          <w:rFonts w:ascii="宋体" w:hAnsi="宋体" w:cs="宋体"/>
          <w:sz w:val="24"/>
          <w:szCs w:val="24"/>
        </w:rPr>
      </w:pPr>
      <w:r>
        <w:rPr>
          <w:rFonts w:hint="eastAsia" w:ascii="宋体" w:hAnsi="宋体" w:cs="宋体"/>
          <w:sz w:val="24"/>
          <w:szCs w:val="24"/>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right="-92" w:firstLine="367"/>
        <w:jc w:val="left"/>
        <w:spacing w:line="500" w:lineRule="atLeast"/>
        <w:rPr>
          <w:rFonts w:ascii="宋体" w:hAnsi="宋体" w:cs="宋体"/>
          <w:sz w:val="24"/>
          <w:szCs w:val="24"/>
        </w:rPr>
      </w:pPr>
      <w:r>
        <w:rPr>
          <w:rFonts w:hint="eastAsia" w:ascii="宋体" w:hAnsi="宋体" w:cs="宋体"/>
          <w:sz w:val="24"/>
          <w:szCs w:val="24"/>
        </w:rPr>
        <w:t xml:space="preserve">（六）自觉接受政府、行业组织、社会公众、新闻舆论的监督；</w:t>
      </w:r>
      <w:r/>
    </w:p>
    <w:p>
      <w:pPr>
        <w:ind w:right="-92" w:firstLine="367"/>
        <w:jc w:val="left"/>
        <w:spacing w:line="500" w:lineRule="atLeast"/>
        <w:rPr>
          <w:rFonts w:ascii="宋体" w:hAnsi="宋体" w:cs="宋体"/>
          <w:sz w:val="24"/>
          <w:szCs w:val="24"/>
        </w:rPr>
      </w:pPr>
      <w:r>
        <w:rPr>
          <w:rFonts w:hint="eastAsia" w:ascii="宋体" w:hAnsi="宋体" w:cs="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right="-92" w:firstLine="367"/>
        <w:jc w:val="left"/>
        <w:spacing w:line="500" w:lineRule="atLeast"/>
        <w:rPr>
          <w:rFonts w:ascii="宋体" w:hAnsi="宋体" w:cs="宋体"/>
          <w:sz w:val="24"/>
          <w:szCs w:val="24"/>
        </w:rPr>
      </w:pPr>
      <w:r>
        <w:rPr>
          <w:rFonts w:hint="eastAsia" w:ascii="宋体" w:hAnsi="宋体" w:cs="宋体"/>
          <w:sz w:val="24"/>
          <w:szCs w:val="24"/>
        </w:rPr>
        <w:t xml:space="preserve">（八）本人已认真阅读了上述承诺，并向本单位员工作了宣传教育。</w:t>
      </w:r>
      <w:r/>
    </w:p>
    <w:p>
      <w:pPr>
        <w:ind w:right="-92" w:firstLine="480"/>
        <w:jc w:val="left"/>
        <w:spacing w:line="500" w:lineRule="atLeast"/>
        <w:rPr>
          <w:rFonts w:ascii="宋体" w:hAnsi="宋体" w:cs="宋体"/>
          <w:sz w:val="24"/>
          <w:szCs w:val="24"/>
        </w:rPr>
      </w:pPr>
      <w:r>
        <w:rPr>
          <w:rFonts w:ascii="宋体" w:hAnsi="宋体" w:cs="宋体"/>
          <w:sz w:val="24"/>
          <w:szCs w:val="24"/>
        </w:rPr>
      </w:r>
      <w:r/>
    </w:p>
    <w:p>
      <w:pPr>
        <w:ind w:right="-92" w:firstLine="480"/>
        <w:jc w:val="left"/>
        <w:spacing w:line="500" w:lineRule="atLeast"/>
        <w:rPr>
          <w:rFonts w:ascii="宋体" w:hAnsi="宋体" w:cs="宋体"/>
          <w:sz w:val="24"/>
          <w:szCs w:val="24"/>
        </w:rPr>
      </w:pPr>
      <w:r>
        <w:rPr>
          <w:rFonts w:hint="eastAsia" w:ascii="宋体" w:hAnsi="宋体" w:cs="宋体"/>
          <w:sz w:val="24"/>
          <w:szCs w:val="24"/>
        </w:rPr>
        <w:t xml:space="preserve">法定代表人（或负责人）签名：             单位名称（盖章）：</w:t>
      </w:r>
      <w:r/>
    </w:p>
    <w:p>
      <w:pPr>
        <w:ind w:right="-92" w:firstLine="480"/>
        <w:jc w:val="right"/>
        <w:spacing w:line="500" w:lineRule="atLeast"/>
        <w:rPr>
          <w:rFonts w:ascii="宋体" w:hAnsi="宋体"/>
          <w:sz w:val="24"/>
          <w:szCs w:val="24"/>
        </w:rPr>
      </w:pPr>
      <w:r>
        <w:rPr>
          <w:rFonts w:hint="eastAsia" w:ascii="宋体" w:hAnsi="宋体" w:cs="宋体"/>
          <w:sz w:val="24"/>
          <w:szCs w:val="24"/>
        </w:rPr>
        <w:t xml:space="preserve">年    月    日 </w:t>
      </w:r>
      <w:r>
        <w:rPr>
          <w:rFonts w:ascii="宋体" w:hAnsi="宋体" w:cs="宋体"/>
          <w:sz w:val="24"/>
          <w:szCs w:val="24"/>
        </w:rPr>
        <w:t xml:space="preserve">             </w:t>
      </w:r>
      <w:r/>
    </w:p>
    <w:sectPr>
      <w:footerReference w:type="default" r:id="rId21"/>
      <w:footnotePr/>
      <w:endnotePr/>
      <w:type w:val="nextPage"/>
      <w:pgSz w:w="11906" w:h="16838" w:orient="portrait"/>
      <w:pgMar w:top="1440" w:right="1134"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方正小标宋_GBK">
    <w:panose1 w:val="020B0503020202020204"/>
  </w:font>
  <w:font w:name="楷体">
    <w:panose1 w:val="02010609060101010101"/>
  </w:font>
  <w:font w:name="Symbol">
    <w:panose1 w:val="05050102010706020507"/>
  </w:font>
  <w:font w:name="Wingdings">
    <w:panose1 w:val="05000000000000000000"/>
  </w:font>
  <w:font w:name="方正仿宋_GBK">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等线 Light">
    <w:panose1 w:val="02010600030101010101"/>
  </w:font>
  <w:font w:name="等线">
    <w:panose1 w:val="02010600030101010101"/>
  </w:font>
  <w:font w:name="仿宋">
    <w:panose1 w:val="0201060906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82533094"/>
      <w:rPr/>
    </w:sdtPr>
    <w:sdtContent>
      <w:p>
        <w:pPr>
          <w:pStyle w:val="1017"/>
          <w:jc w:val="center"/>
        </w:pPr>
        <w:r>
          <w:fldChar w:fldCharType="begin"/>
        </w:r>
        <w:r>
          <w:instrText xml:space="preserve">PAGE   \* MERGEFORMAT</w:instrText>
        </w:r>
        <w:r>
          <w:fldChar w:fldCharType="separate"/>
        </w:r>
        <w:r>
          <w:rPr>
            <w:lang w:val="zh-CN"/>
          </w:rPr>
          <w:t xml:space="preserve">38</w:t>
        </w:r>
        <w:r>
          <w:fldChar w:fldCharType="end"/>
        </w:r>
        <w:r/>
      </w:p>
    </w:sdtContent>
  </w:sdt>
  <w:p>
    <w:pPr>
      <w:pStyle w:val="1017"/>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49250" cy="232410"/>
              <wp:effectExtent l="0" t="0" r="0" b="0"/>
              <wp:wrapNone/>
              <wp:docPr id="1"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49250" cy="232410"/>
                      </a:xfrm>
                      <a:prstGeom prst="rect">
                        <a:avLst/>
                      </a:prstGeom>
                      <a:noFill/>
                      <a:ln>
                        <a:noFill/>
                      </a:ln>
                    </wps:spPr>
                    <wps:txbx>
                      <w:txbxContent>
                        <w:p>
                          <w:pPr>
                            <w:pStyle w:val="1017"/>
                            <w:ind w:firstLine="360"/>
                          </w:pPr>
                          <w:r>
                            <w:fldChar w:fldCharType="begin"/>
                          </w:r>
                          <w:r>
                            <w:instrText xml:space="preserve"> PAGE  \* MERGEFORMAT </w:instrText>
                          </w:r>
                          <w:r>
                            <w:fldChar w:fldCharType="separate"/>
                          </w:r>
                          <w:r>
                            <w:t xml:space="preserve">55</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7.5pt;height:18.3pt;mso-wrap-distance-left:9.0pt;mso-wrap-distance-top:0.0pt;mso-wrap-distance-right:9.0pt;mso-wrap-distance-bottom:0.0pt;v-text-anchor:top;visibility:visible;" filled="f" stroked="f">
              <v:textbox inset="0,0,0,0">
                <w:txbxContent>
                  <w:p>
                    <w:pPr>
                      <w:pStyle w:val="1017"/>
                      <w:ind w:firstLine="360"/>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ind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pPr>
    <w:r>
      <w:fldChar w:fldCharType="begin"/>
    </w:r>
    <w:r>
      <w:instrText xml:space="preserve">PAGE   \* MERGEFORMAT</w:instrText>
    </w:r>
    <w:r>
      <w:fldChar w:fldCharType="separate"/>
    </w:r>
    <w:r>
      <w:rPr>
        <w:lang w:val="zh-CN"/>
      </w:rPr>
      <w:t xml:space="preserve">127</w:t>
    </w:r>
    <w:r>
      <w:rPr>
        <w:lang w:val="zh-CN"/>
      </w:rPr>
      <w:fldChar w:fldCharType="end"/>
    </w:r>
    <w:r/>
  </w:p>
  <w:p>
    <w:pPr>
      <w:pStyle w:val="1017"/>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firstLine="36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firstLine="360"/>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ind w:left="63" w:right="63" w:firstLine="480"/>
      <w:jc w:val="center"/>
      <w:rPr>
        <w:rFonts w:ascii="宋体" w:hAnsi="宋体" w:cs="宋体"/>
      </w:rPr>
    </w:pPr>
    <w:r>
      <w:rPr>
        <w:rFonts w:ascii="宋体" w:hAnsi="宋体" w:cs="宋体"/>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firstLine="3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7"/>
      <w:isLgl w:val="false"/>
      <w:suff w:val="tab"/>
      <w:lvlText w:val="%1."/>
      <w:lvlJc w:val="left"/>
      <w:pPr>
        <w:tabs>
          <w:tab w:val="left" w:pos="853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94"/>
      <w:isLgl w:val="false"/>
      <w:suff w:val="nothing"/>
      <w:lvlText w:val="（%1）"/>
      <w:lvlJc w:val="left"/>
      <w:pPr/>
      <w:rPr>
        <w:rFonts w:ascii="Times New Roman" w:hAnsi="Times New Roman"/>
        <w:b w:val="0"/>
        <w:bCs w:val="0"/>
        <w:i w:val="0"/>
        <w:iCs w:val="0"/>
        <w:caps w:val="0"/>
        <w:strike w:val="0"/>
        <w:vanish w:val="0"/>
        <w:color w:val="000000"/>
        <w:spacing w:val="0"/>
        <w:position w:val="0"/>
        <w:u w:val="none"/>
      </w:rPr>
    </w:lvl>
    <w:lvl w:ilvl="1">
      <w:start w:val="1"/>
      <w:numFmt w:val="decimal"/>
      <w:isLgl w:val="false"/>
      <w:suff w:val="nothing"/>
      <w:lvlText w:val="%2）"/>
      <w:lvlJc w:val="left"/>
      <w:pPr>
        <w:ind w:left="1129" w:firstLine="0"/>
      </w:pPr>
    </w:lvl>
    <w:lvl w:ilvl="2">
      <w:start w:val="1"/>
      <w:numFmt w:val="lowerRoman"/>
      <w:isLgl w:val="false"/>
      <w:suff w:val="tab"/>
      <w:lvlText w:val="%3."/>
      <w:lvlJc w:val="right"/>
      <w:pPr>
        <w:ind w:left="1549" w:firstLine="0"/>
      </w:pPr>
    </w:lvl>
    <w:lvl w:ilvl="3">
      <w:start w:val="1"/>
      <w:numFmt w:val="decimal"/>
      <w:isLgl w:val="false"/>
      <w:suff w:val="tab"/>
      <w:lvlText w:val="%4）"/>
      <w:lvlJc w:val="left"/>
      <w:pPr>
        <w:ind w:left="1969" w:firstLine="0"/>
      </w:pPr>
    </w:lvl>
    <w:lvl w:ilvl="4">
      <w:start w:val="1"/>
      <w:numFmt w:val="lowerLetter"/>
      <w:isLgl w:val="false"/>
      <w:suff w:val="tab"/>
      <w:lvlText w:val="%5)"/>
      <w:lvlJc w:val="left"/>
      <w:pPr>
        <w:ind w:left="2389" w:firstLine="0"/>
      </w:pPr>
    </w:lvl>
    <w:lvl w:ilvl="5">
      <w:start w:val="1"/>
      <w:numFmt w:val="lowerRoman"/>
      <w:isLgl w:val="false"/>
      <w:suff w:val="tab"/>
      <w:lvlText w:val="%6."/>
      <w:lvlJc w:val="right"/>
      <w:pPr>
        <w:ind w:left="2809" w:firstLine="0"/>
      </w:pPr>
    </w:lvl>
    <w:lvl w:ilvl="6">
      <w:start w:val="1"/>
      <w:numFmt w:val="decimal"/>
      <w:isLgl w:val="false"/>
      <w:suff w:val="tab"/>
      <w:lvlText w:val="%7."/>
      <w:lvlJc w:val="left"/>
      <w:pPr>
        <w:ind w:left="3229" w:firstLine="0"/>
      </w:pPr>
    </w:lvl>
    <w:lvl w:ilvl="7">
      <w:start w:val="1"/>
      <w:numFmt w:val="lowerLetter"/>
      <w:isLgl w:val="false"/>
      <w:suff w:val="tab"/>
      <w:lvlText w:val="%8)"/>
      <w:lvlJc w:val="left"/>
      <w:pPr>
        <w:ind w:left="3649" w:firstLine="0"/>
      </w:pPr>
    </w:lvl>
    <w:lvl w:ilvl="8">
      <w:start w:val="1"/>
      <w:numFmt w:val="lowerRoman"/>
      <w:isLgl w:val="false"/>
      <w:suff w:val="tab"/>
      <w:lvlText w:val="%9."/>
      <w:lvlJc w:val="right"/>
      <w:pPr>
        <w:ind w:left="4069" w:firstLine="0"/>
      </w:pPr>
    </w:lvl>
  </w:abstractNum>
  <w:abstractNum w:abstractNumId="3">
    <w:multiLevelType w:val="hybridMultilevel"/>
    <w:lvl w:ilvl="0">
      <w:start w:val="1"/>
      <w:numFmt w:val="decimal"/>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06"/>
      <w:isLgl w:val="false"/>
      <w:suff w:val="space"/>
      <w:lvlText w:val="图%1."/>
      <w:lvlJc w:val="left"/>
      <w:pPr>
        <w:ind w:left="2263" w:hanging="420"/>
      </w:pPr>
      <w:rPr>
        <w:rFonts w:ascii="Times New Roman" w:hAnsi="Times New Roman" w:cs="Times New Roman"/>
        <w:b w:val="0"/>
        <w:bCs w:val="0"/>
        <w:i w:val="0"/>
        <w:iCs w:val="0"/>
        <w:caps w:val="0"/>
        <w:smallCaps w:val="0"/>
        <w:strike w:val="0"/>
        <w:vanish w:val="0"/>
        <w:color w:val="000000"/>
        <w:spacing w:val="0"/>
        <w:position w:val="0"/>
        <w:sz w:val="16"/>
        <w:szCs w:val="2"/>
        <w:u w:val="none"/>
        <w:shd w:val="clear" w:color="auto" w:fill="000000"/>
        <w:vertAlign w:val="baseline"/>
        <w:lang w:val="zh-CN" w:eastAsia="zh-CN" w:bidi="zh-CN"/>
      </w:rPr>
    </w:lvl>
    <w:lvl w:ilvl="1">
      <w:start w:val="1"/>
      <w:numFmt w:val="lowerLetter"/>
      <w:isLgl w:val="false"/>
      <w:suff w:val="tab"/>
      <w:lvlText w:val="%2)"/>
      <w:lvlJc w:val="left"/>
      <w:pPr>
        <w:ind w:left="2683" w:hanging="420"/>
      </w:pPr>
    </w:lvl>
    <w:lvl w:ilvl="2">
      <w:start w:val="1"/>
      <w:numFmt w:val="lowerRoman"/>
      <w:isLgl w:val="false"/>
      <w:suff w:val="tab"/>
      <w:lvlText w:val="%3."/>
      <w:lvlJc w:val="right"/>
      <w:pPr>
        <w:ind w:left="3103" w:hanging="420"/>
      </w:pPr>
    </w:lvl>
    <w:lvl w:ilvl="3">
      <w:start w:val="1"/>
      <w:numFmt w:val="decimal"/>
      <w:isLgl w:val="false"/>
      <w:suff w:val="tab"/>
      <w:lvlText w:val="%4."/>
      <w:lvlJc w:val="left"/>
      <w:pPr>
        <w:ind w:left="3523" w:hanging="420"/>
      </w:pPr>
    </w:lvl>
    <w:lvl w:ilvl="4">
      <w:start w:val="1"/>
      <w:numFmt w:val="lowerLetter"/>
      <w:isLgl w:val="false"/>
      <w:suff w:val="tab"/>
      <w:lvlText w:val="%5)"/>
      <w:lvlJc w:val="left"/>
      <w:pPr>
        <w:ind w:left="3943" w:hanging="420"/>
      </w:pPr>
    </w:lvl>
    <w:lvl w:ilvl="5">
      <w:start w:val="1"/>
      <w:numFmt w:val="lowerRoman"/>
      <w:isLgl w:val="false"/>
      <w:suff w:val="tab"/>
      <w:lvlText w:val="%6."/>
      <w:lvlJc w:val="right"/>
      <w:pPr>
        <w:ind w:left="4363" w:hanging="420"/>
      </w:pPr>
    </w:lvl>
    <w:lvl w:ilvl="6">
      <w:start w:val="1"/>
      <w:numFmt w:val="decimal"/>
      <w:isLgl w:val="false"/>
      <w:suff w:val="tab"/>
      <w:lvlText w:val="%7."/>
      <w:lvlJc w:val="left"/>
      <w:pPr>
        <w:ind w:left="4783" w:hanging="420"/>
      </w:pPr>
    </w:lvl>
    <w:lvl w:ilvl="7">
      <w:start w:val="1"/>
      <w:numFmt w:val="lowerLetter"/>
      <w:isLgl w:val="false"/>
      <w:suff w:val="tab"/>
      <w:lvlText w:val="%8)"/>
      <w:lvlJc w:val="left"/>
      <w:pPr>
        <w:ind w:left="5203" w:hanging="420"/>
      </w:pPr>
    </w:lvl>
    <w:lvl w:ilvl="8">
      <w:start w:val="1"/>
      <w:numFmt w:val="lowerRoman"/>
      <w:isLgl w:val="false"/>
      <w:suff w:val="tab"/>
      <w:lvlText w:val="%9."/>
      <w:lvlJc w:val="right"/>
      <w:pPr>
        <w:ind w:left="5623" w:hanging="420"/>
      </w:pPr>
    </w:lvl>
  </w:abstractNum>
  <w:abstractNum w:abstractNumId="5">
    <w:multiLevelType w:val="hybridMultilevel"/>
    <w:lvl w:ilvl="0">
      <w:start w:val="1"/>
      <w:numFmt w:val="decimal"/>
      <w:pStyle w:val="1062"/>
      <w:isLgl w:val="false"/>
      <w:suff w:val="tab"/>
      <w:lvlText w:val="%1."/>
      <w:lvlJc w:val="left"/>
      <w:pPr>
        <w:ind w:left="425" w:hanging="425"/>
        <w:tabs>
          <w:tab w:val="left" w:pos="425" w:leader="none"/>
        </w:tabs>
      </w:pPr>
      <w:rPr>
        <w:rFonts w:hint="eastAsia" w:ascii="Arial" w:hAnsi="Arial" w:eastAsia="宋体"/>
        <w:b/>
        <w:sz w:val="44"/>
      </w:rPr>
    </w:lvl>
    <w:lvl w:ilvl="1">
      <w:start w:val="1"/>
      <w:numFmt w:val="decimal"/>
      <w:isLgl w:val="false"/>
      <w:suff w:val="tab"/>
      <w:lvlText w:val="%1.%2."/>
      <w:lvlJc w:val="left"/>
      <w:pPr>
        <w:ind w:left="567" w:hanging="567"/>
        <w:tabs>
          <w:tab w:val="left" w:pos="567" w:leader="none"/>
        </w:tabs>
      </w:pPr>
      <w:rPr>
        <w:rFonts w:hint="eastAsia" w:ascii="Arial" w:hAnsi="Arial" w:eastAsia="宋体"/>
        <w:b/>
        <w:sz w:val="36"/>
      </w:rPr>
    </w:lvl>
    <w:lvl w:ilvl="2">
      <w:start w:val="1"/>
      <w:numFmt w:val="decimal"/>
      <w:isLgl w:val="false"/>
      <w:suff w:val="tab"/>
      <w:lvlText w:val="%1.%2.%3."/>
      <w:lvlJc w:val="left"/>
      <w:pPr>
        <w:ind w:left="709" w:hanging="709"/>
        <w:tabs>
          <w:tab w:val="left" w:pos="709" w:leader="none"/>
        </w:tabs>
      </w:pPr>
      <w:rPr>
        <w:rFonts w:hint="eastAsia" w:ascii="Arial" w:hAnsi="Arial" w:eastAsia="宋体"/>
        <w:b/>
        <w:sz w:val="32"/>
      </w:rPr>
    </w:lvl>
    <w:lvl w:ilvl="3">
      <w:start w:val="1"/>
      <w:numFmt w:val="decimal"/>
      <w:isLgl w:val="false"/>
      <w:suff w:val="tab"/>
      <w:lvlText w:val="%1.%2.%3.%4."/>
      <w:lvlJc w:val="left"/>
      <w:pPr>
        <w:ind w:left="851" w:hanging="851"/>
        <w:tabs>
          <w:tab w:val="left" w:pos="851" w:leader="none"/>
        </w:tabs>
      </w:pPr>
      <w:rPr>
        <w:rFonts w:hint="eastAsia" w:ascii="Arial" w:hAnsi="Arial" w:eastAsia="宋体"/>
        <w:b/>
        <w:sz w:val="30"/>
      </w:rPr>
    </w:lvl>
    <w:lvl w:ilvl="4">
      <w:start w:val="1"/>
      <w:numFmt w:val="decimal"/>
      <w:isLgl w:val="false"/>
      <w:suff w:val="tab"/>
      <w:lvlText w:val="%1.%2.%3.%4.%5."/>
      <w:lvlJc w:val="left"/>
      <w:pPr>
        <w:ind w:left="992" w:hanging="992"/>
        <w:tabs>
          <w:tab w:val="left" w:pos="992" w:leader="none"/>
        </w:tabs>
      </w:pPr>
      <w:rPr>
        <w:rFonts w:hint="eastAsia" w:ascii="Arial" w:hAnsi="Arial" w:eastAsia="宋体"/>
        <w:b/>
        <w:sz w:val="28"/>
      </w:rPr>
    </w:lvl>
    <w:lvl w:ilvl="5">
      <w:start w:val="1"/>
      <w:numFmt w:val="decimal"/>
      <w:isLgl w:val="false"/>
      <w:suff w:val="tab"/>
      <w:lvlText w:val="%1.%2.%3.%4.%5.%6."/>
      <w:lvlJc w:val="left"/>
      <w:pPr>
        <w:ind w:left="1134" w:hanging="1134"/>
        <w:tabs>
          <w:tab w:val="left" w:pos="1134" w:leader="none"/>
        </w:tabs>
      </w:pPr>
      <w:rPr>
        <w:rFonts w:hint="eastAsia" w:ascii="Arial" w:hAnsi="Arial" w:eastAsia="宋体"/>
        <w:b/>
        <w:sz w:val="24"/>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tab"/>
      <w:lvlText w:val="%1."/>
      <w:lvlJc w:val="left"/>
      <w:pPr>
        <w:ind w:left="432" w:hanging="432"/>
        <w:tabs>
          <w:tab w:val="left" w:pos="432" w:leader="none"/>
        </w:tabs>
      </w:pPr>
      <w:rPr>
        <w:rFonts w:ascii="Times New Roman" w:hAnsi="Times New Roman"/>
        <w:b w:val="0"/>
        <w:bCs w:val="0"/>
        <w:i w:val="0"/>
        <w:iCs w:val="0"/>
        <w:caps w:val="0"/>
        <w:smallCaps w:val="0"/>
        <w:strike w:val="0"/>
        <w:vanish w:val="0"/>
        <w:color w:val="000000"/>
        <w:spacing w:val="0"/>
        <w:position w:val="0"/>
        <w:szCs w:val="0"/>
        <w:u w:val="none"/>
        <w:vertAlign w:val="baseline"/>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lvlRestart w:val="0"/>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pStyle w:val="1000"/>
      <w:isLgl w:val="false"/>
      <w:suff w:val="tab"/>
      <w:lvlText w:val="%1.%2.%3.%4.%5.%6"/>
      <w:lvlJc w:val="left"/>
      <w:pPr>
        <w:ind w:left="220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num w:numId="1">
    <w:abstractNumId w:val="6"/>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lvlOverride w:ilvl="0">
      <w:lvl w:ilvl="0">
        <w:start w:val="1"/>
        <w:numFmt w:val="decimal"/>
        <w:pStyle w:val="1062"/>
        <w:isLgl w:val="false"/>
        <w:suff w:val="tab"/>
        <w:lvlText w:val="%1."/>
        <w:lvlJc w:val="left"/>
        <w:pPr>
          <w:ind w:left="425" w:hanging="425"/>
          <w:tabs>
            <w:tab w:val="left" w:pos="425" w:leader="none"/>
          </w:tabs>
        </w:pPr>
        <w:rPr>
          <w:rFonts w:hint="default" w:ascii="Times New Roman" w:hAnsi="Times New Roman" w:eastAsia="黑体" w:cs="Times New Roman"/>
          <w:b/>
          <w:sz w:val="36"/>
          <w:szCs w:val="36"/>
        </w:rPr>
      </w:lvl>
    </w:lvlOverride>
    <w:lvlOverride w:ilvl="1">
      <w:lvl w:ilvl="1">
        <w:start w:val="1"/>
        <w:numFmt w:val="decimal"/>
        <w:isLgl w:val="false"/>
        <w:suff w:val="tab"/>
        <w:lvlText w:val="%1.%2."/>
        <w:lvlJc w:val="left"/>
        <w:pPr>
          <w:ind w:left="567" w:hanging="567"/>
          <w:tabs>
            <w:tab w:val="left" w:pos="567" w:leader="none"/>
          </w:tabs>
        </w:pPr>
        <w:rPr>
          <w:rFonts w:hint="default" w:ascii="Times New Roman" w:hAnsi="Times New Roman" w:eastAsia="楷体" w:cs="Times New Roman"/>
          <w:b/>
          <w:sz w:val="32"/>
          <w:szCs w:val="32"/>
        </w:rPr>
      </w:lvl>
    </w:lvlOverride>
    <w:lvlOverride w:ilvl="2">
      <w:lvl w:ilvl="2">
        <w:start w:val="1"/>
        <w:numFmt w:val="decimal"/>
        <w:isLgl w:val="false"/>
        <w:suff w:val="tab"/>
        <w:lvlText w:val="%1.%2.%3."/>
        <w:lvlJc w:val="left"/>
        <w:pPr>
          <w:ind w:left="709" w:hanging="709"/>
          <w:tabs>
            <w:tab w:val="left" w:pos="709" w:leader="none"/>
          </w:tabs>
        </w:pPr>
        <w:rPr>
          <w:rFonts w:hint="default" w:ascii="Times New Roman" w:hAnsi="Times New Roman" w:eastAsia="宋体" w:cs="Times New Roman"/>
          <w:b/>
          <w:sz w:val="30"/>
          <w:szCs w:val="30"/>
        </w:rPr>
      </w:lvl>
    </w:lvlOverride>
    <w:lvlOverride w:ilvl="3">
      <w:lvl w:ilvl="3">
        <w:start w:val="1"/>
        <w:numFmt w:val="decimal"/>
        <w:isLgl w:val="false"/>
        <w:suff w:val="tab"/>
        <w:lvlText w:val="%1.%2.%3.%4."/>
        <w:lvlJc w:val="left"/>
        <w:pPr>
          <w:ind w:left="851" w:hanging="851"/>
          <w:tabs>
            <w:tab w:val="left" w:pos="851" w:leader="none"/>
          </w:tabs>
        </w:pPr>
        <w:rPr>
          <w:rFonts w:hint="default" w:ascii="Times New Roman" w:hAnsi="Times New Roman" w:eastAsia="宋体" w:cs="Times New Roman"/>
          <w:b/>
          <w:sz w:val="28"/>
          <w:szCs w:val="28"/>
        </w:rPr>
      </w:lvl>
    </w:lvlOverride>
    <w:lvlOverride w:ilvl="4">
      <w:lvl w:ilvl="4">
        <w:start w:val="1"/>
        <w:numFmt w:val="decimal"/>
        <w:isLgl w:val="false"/>
        <w:suff w:val="tab"/>
        <w:lvlText w:val="%1.%2.%3.%4.%5."/>
        <w:lvlJc w:val="left"/>
        <w:pPr>
          <w:ind w:left="1418" w:hanging="992"/>
          <w:tabs>
            <w:tab w:val="left" w:pos="1418" w:leader="none"/>
          </w:tabs>
        </w:pPr>
        <w:rPr>
          <w:rFonts w:hint="default" w:ascii="Times New Roman" w:hAnsi="Times New Roman" w:eastAsia="宋体" w:cs="Times New Roman"/>
          <w:b/>
          <w:sz w:val="24"/>
          <w:szCs w:val="24"/>
        </w:rPr>
      </w:lvl>
    </w:lvlOverride>
    <w:lvlOverride w:ilvl="5">
      <w:lvl w:ilvl="5">
        <w:start w:val="1"/>
        <w:numFmt w:val="decimal"/>
        <w:isLgl w:val="false"/>
        <w:suff w:val="tab"/>
        <w:lvlText w:val="%1.%2.%3.%4.%5.%6."/>
        <w:lvlJc w:val="left"/>
        <w:pPr>
          <w:ind w:left="1134" w:hanging="1134"/>
          <w:tabs>
            <w:tab w:val="left" w:pos="1134" w:leader="none"/>
          </w:tabs>
        </w:pPr>
        <w:rPr>
          <w:rFonts w:hint="default" w:ascii="Times New Roman" w:hAnsi="Times New Roman" w:eastAsia="宋体" w:cs="Times New Roman"/>
          <w:b/>
          <w:sz w:val="24"/>
        </w:rPr>
      </w:lvl>
    </w:lvlOverride>
    <w:lvlOverride w:ilvl="6">
      <w:lvl w:ilvl="6">
        <w:start w:val="1"/>
        <w:numFmt w:val="decimal"/>
        <w:isLgl w:val="false"/>
        <w:suff w:val="tab"/>
        <w:lvlText w:val="%1.%2.%3.%4.%5.%6.%7."/>
        <w:lvlJc w:val="left"/>
        <w:pPr>
          <w:ind w:left="1843" w:hanging="1276"/>
          <w:tabs>
            <w:tab w:val="left" w:pos="1843" w:leader="none"/>
          </w:tabs>
        </w:pPr>
        <w:rPr>
          <w:rFonts w:hint="default" w:ascii="Times New Roman" w:hAnsi="Times New Roman" w:cs="Times New Roman"/>
        </w:rPr>
      </w:lvl>
    </w:lvlOverride>
    <w:lvlOverride w:ilvl="7">
      <w:lvl w:ilvl="7">
        <w:start w:val="1"/>
        <w:numFmt w:val="decimal"/>
        <w:isLgl w:val="false"/>
        <w:suff w:val="tab"/>
        <w:lvlText w:val="%1.%2.%3.%4.%5.%6.%7.%8."/>
        <w:lvlJc w:val="left"/>
        <w:pPr>
          <w:ind w:left="1418" w:hanging="1418"/>
          <w:tabs>
            <w:tab w:val="left" w:pos="1418" w:leader="none"/>
          </w:tabs>
        </w:pPr>
        <w:rPr>
          <w:rFonts w:hint="default" w:ascii="Times New Roman" w:hAnsi="Times New Roman" w:cs="Times New Roman"/>
          <w:sz w:val="24"/>
          <w:szCs w:val="24"/>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2">
    <w:name w:val="Heading 1 Char"/>
    <w:basedOn w:val="1002"/>
    <w:link w:val="995"/>
    <w:uiPriority w:val="9"/>
    <w:rPr>
      <w:rFonts w:ascii="Arial" w:hAnsi="Arial" w:eastAsia="Arial" w:cs="Arial"/>
      <w:sz w:val="40"/>
      <w:szCs w:val="40"/>
    </w:rPr>
  </w:style>
  <w:style w:type="character" w:styleId="833">
    <w:name w:val="Heading 2 Char"/>
    <w:basedOn w:val="1002"/>
    <w:link w:val="996"/>
    <w:uiPriority w:val="9"/>
    <w:rPr>
      <w:rFonts w:ascii="Arial" w:hAnsi="Arial" w:eastAsia="Arial" w:cs="Arial"/>
      <w:sz w:val="34"/>
    </w:rPr>
  </w:style>
  <w:style w:type="character" w:styleId="834">
    <w:name w:val="Heading 3 Char"/>
    <w:basedOn w:val="1002"/>
    <w:link w:val="997"/>
    <w:uiPriority w:val="9"/>
    <w:rPr>
      <w:rFonts w:ascii="Arial" w:hAnsi="Arial" w:eastAsia="Arial" w:cs="Arial"/>
      <w:sz w:val="30"/>
      <w:szCs w:val="30"/>
    </w:rPr>
  </w:style>
  <w:style w:type="character" w:styleId="835">
    <w:name w:val="Heading 4 Char"/>
    <w:basedOn w:val="1002"/>
    <w:link w:val="998"/>
    <w:uiPriority w:val="9"/>
    <w:rPr>
      <w:rFonts w:ascii="Arial" w:hAnsi="Arial" w:eastAsia="Arial" w:cs="Arial"/>
      <w:b/>
      <w:bCs/>
      <w:sz w:val="26"/>
      <w:szCs w:val="26"/>
    </w:rPr>
  </w:style>
  <w:style w:type="character" w:styleId="836">
    <w:name w:val="Heading 5 Char"/>
    <w:basedOn w:val="1002"/>
    <w:link w:val="999"/>
    <w:uiPriority w:val="9"/>
    <w:rPr>
      <w:rFonts w:ascii="Arial" w:hAnsi="Arial" w:eastAsia="Arial" w:cs="Arial"/>
      <w:b/>
      <w:bCs/>
      <w:sz w:val="24"/>
      <w:szCs w:val="24"/>
    </w:rPr>
  </w:style>
  <w:style w:type="character" w:styleId="837">
    <w:name w:val="Heading 6 Char"/>
    <w:basedOn w:val="1002"/>
    <w:link w:val="1000"/>
    <w:uiPriority w:val="9"/>
    <w:rPr>
      <w:rFonts w:ascii="Arial" w:hAnsi="Arial" w:eastAsia="Arial" w:cs="Arial"/>
      <w:b/>
      <w:bCs/>
      <w:sz w:val="22"/>
      <w:szCs w:val="22"/>
    </w:rPr>
  </w:style>
  <w:style w:type="paragraph" w:styleId="838">
    <w:name w:val="Heading 7"/>
    <w:basedOn w:val="994"/>
    <w:next w:val="994"/>
    <w:link w:val="839"/>
    <w:uiPriority w:val="9"/>
    <w:unhideWhenUsed/>
    <w:qFormat/>
    <w:pPr>
      <w:keepLines/>
      <w:keepNext/>
      <w:spacing w:before="320" w:after="200"/>
      <w:outlineLvl w:val="6"/>
    </w:pPr>
    <w:rPr>
      <w:rFonts w:ascii="Arial" w:hAnsi="Arial" w:eastAsia="Arial" w:cs="Arial"/>
      <w:b/>
      <w:bCs/>
      <w:i/>
      <w:iCs/>
      <w:sz w:val="22"/>
      <w:szCs w:val="22"/>
    </w:rPr>
  </w:style>
  <w:style w:type="character" w:styleId="839">
    <w:name w:val="Heading 7 Char"/>
    <w:basedOn w:val="1002"/>
    <w:link w:val="838"/>
    <w:uiPriority w:val="9"/>
    <w:rPr>
      <w:rFonts w:ascii="Arial" w:hAnsi="Arial" w:eastAsia="Arial" w:cs="Arial"/>
      <w:b/>
      <w:bCs/>
      <w:i/>
      <w:iCs/>
      <w:sz w:val="22"/>
      <w:szCs w:val="22"/>
    </w:rPr>
  </w:style>
  <w:style w:type="paragraph" w:styleId="840">
    <w:name w:val="Heading 8"/>
    <w:basedOn w:val="994"/>
    <w:next w:val="994"/>
    <w:link w:val="841"/>
    <w:uiPriority w:val="9"/>
    <w:unhideWhenUsed/>
    <w:qFormat/>
    <w:pPr>
      <w:keepLines/>
      <w:keepNext/>
      <w:spacing w:before="320" w:after="200"/>
      <w:outlineLvl w:val="7"/>
    </w:pPr>
    <w:rPr>
      <w:rFonts w:ascii="Arial" w:hAnsi="Arial" w:eastAsia="Arial" w:cs="Arial"/>
      <w:i/>
      <w:iCs/>
      <w:sz w:val="22"/>
      <w:szCs w:val="22"/>
    </w:rPr>
  </w:style>
  <w:style w:type="character" w:styleId="841">
    <w:name w:val="Heading 8 Char"/>
    <w:basedOn w:val="1002"/>
    <w:link w:val="840"/>
    <w:uiPriority w:val="9"/>
    <w:rPr>
      <w:rFonts w:ascii="Arial" w:hAnsi="Arial" w:eastAsia="Arial" w:cs="Arial"/>
      <w:i/>
      <w:iCs/>
      <w:sz w:val="22"/>
      <w:szCs w:val="22"/>
    </w:rPr>
  </w:style>
  <w:style w:type="character" w:styleId="842">
    <w:name w:val="Heading 9 Char"/>
    <w:basedOn w:val="1002"/>
    <w:link w:val="1001"/>
    <w:uiPriority w:val="9"/>
    <w:rPr>
      <w:rFonts w:ascii="Arial" w:hAnsi="Arial" w:eastAsia="Arial" w:cs="Arial"/>
      <w:i/>
      <w:iCs/>
      <w:sz w:val="21"/>
      <w:szCs w:val="21"/>
    </w:rPr>
  </w:style>
  <w:style w:type="paragraph" w:styleId="843">
    <w:name w:val="No Spacing"/>
    <w:uiPriority w:val="1"/>
    <w:qFormat/>
    <w:pPr>
      <w:spacing w:before="0" w:after="0" w:line="240" w:lineRule="auto"/>
    </w:pPr>
  </w:style>
  <w:style w:type="paragraph" w:styleId="844">
    <w:name w:val="Title"/>
    <w:basedOn w:val="994"/>
    <w:next w:val="994"/>
    <w:link w:val="845"/>
    <w:uiPriority w:val="10"/>
    <w:qFormat/>
    <w:pPr>
      <w:contextualSpacing/>
      <w:spacing w:before="300" w:after="200"/>
    </w:pPr>
    <w:rPr>
      <w:sz w:val="48"/>
      <w:szCs w:val="48"/>
    </w:rPr>
  </w:style>
  <w:style w:type="character" w:styleId="845">
    <w:name w:val="Title Char"/>
    <w:basedOn w:val="1002"/>
    <w:link w:val="844"/>
    <w:uiPriority w:val="10"/>
    <w:rPr>
      <w:sz w:val="48"/>
      <w:szCs w:val="48"/>
    </w:rPr>
  </w:style>
  <w:style w:type="paragraph" w:styleId="846">
    <w:name w:val="Subtitle"/>
    <w:basedOn w:val="994"/>
    <w:next w:val="994"/>
    <w:link w:val="847"/>
    <w:uiPriority w:val="11"/>
    <w:qFormat/>
    <w:pPr>
      <w:spacing w:before="200" w:after="200"/>
    </w:pPr>
    <w:rPr>
      <w:sz w:val="24"/>
      <w:szCs w:val="24"/>
    </w:rPr>
  </w:style>
  <w:style w:type="character" w:styleId="847">
    <w:name w:val="Subtitle Char"/>
    <w:basedOn w:val="1002"/>
    <w:link w:val="846"/>
    <w:uiPriority w:val="11"/>
    <w:rPr>
      <w:sz w:val="24"/>
      <w:szCs w:val="24"/>
    </w:rPr>
  </w:style>
  <w:style w:type="paragraph" w:styleId="848">
    <w:name w:val="Quote"/>
    <w:basedOn w:val="994"/>
    <w:next w:val="994"/>
    <w:link w:val="849"/>
    <w:uiPriority w:val="29"/>
    <w:qFormat/>
    <w:pPr>
      <w:ind w:left="720" w:right="720"/>
    </w:pPr>
    <w:rPr>
      <w:i/>
    </w:rPr>
  </w:style>
  <w:style w:type="character" w:styleId="849">
    <w:name w:val="Quote Char"/>
    <w:link w:val="848"/>
    <w:uiPriority w:val="29"/>
    <w:rPr>
      <w:i/>
    </w:rPr>
  </w:style>
  <w:style w:type="paragraph" w:styleId="850">
    <w:name w:val="Intense Quote"/>
    <w:basedOn w:val="994"/>
    <w:next w:val="994"/>
    <w:link w:val="8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name w:val="Intense Quote Char"/>
    <w:link w:val="850"/>
    <w:uiPriority w:val="30"/>
    <w:rPr>
      <w:i/>
    </w:rPr>
  </w:style>
  <w:style w:type="character" w:styleId="852">
    <w:name w:val="Header Char"/>
    <w:basedOn w:val="1002"/>
    <w:link w:val="1018"/>
    <w:uiPriority w:val="99"/>
  </w:style>
  <w:style w:type="character" w:styleId="853">
    <w:name w:val="Footer Char"/>
    <w:basedOn w:val="1002"/>
    <w:link w:val="1017"/>
    <w:uiPriority w:val="99"/>
  </w:style>
  <w:style w:type="character" w:styleId="854">
    <w:name w:val="Caption Char"/>
    <w:basedOn w:val="1006"/>
    <w:link w:val="1017"/>
    <w:uiPriority w:val="99"/>
  </w:style>
  <w:style w:type="table" w:styleId="855">
    <w:name w:val="Table Grid Light"/>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6">
    <w:name w:val="Plain Table 1"/>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2"/>
    <w:basedOn w:val="10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3"/>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name w:val="Plain Table 4"/>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name w:val="Plain Table 5"/>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1">
    <w:name w:val="Grid Table 1 Light"/>
    <w:basedOn w:val="10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2">
    <w:name w:val="Grid Table 1 Light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3">
    <w:name w:val="Grid Table 1 Light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4">
    <w:name w:val="Grid Table 1 Light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5">
    <w:name w:val="Grid Table 1 Light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6">
    <w:name w:val="Grid Table 1 Light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7">
    <w:name w:val="Grid Table 1 Light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8">
    <w:name w:val="Grid Table 2"/>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9">
    <w:name w:val="Grid Table 2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0">
    <w:name w:val="Grid Table 2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2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2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2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4">
    <w:name w:val="Grid Table 2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5">
    <w:name w:val="Grid Table 3"/>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4"/>
    <w:basedOn w:val="10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name w:val="Grid Table 4 - Accent 1"/>
    <w:basedOn w:val="10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4">
    <w:name w:val="Grid Table 4 - Accent 2"/>
    <w:basedOn w:val="10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5">
    <w:name w:val="Grid Table 4 - Accent 3"/>
    <w:basedOn w:val="10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6">
    <w:name w:val="Grid Table 4 - Accent 4"/>
    <w:basedOn w:val="10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7">
    <w:name w:val="Grid Table 4 - Accent 5"/>
    <w:basedOn w:val="10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8">
    <w:name w:val="Grid Table 4 - Accent 6"/>
    <w:basedOn w:val="10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9">
    <w:name w:val="Grid Table 5 Dark"/>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0">
    <w:name w:val="Grid Table 5 Dark- Accent 1"/>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91">
    <w:name w:val="Grid Table 5 Dark - Accent 2"/>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92">
    <w:name w:val="Grid Table 5 Dark - Accent 3"/>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93">
    <w:name w:val="Grid Table 5 Dark- Accent 4"/>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94">
    <w:name w:val="Grid Table 5 Dark - Accent 5"/>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95">
    <w:name w:val="Grid Table 5 Dark - Accent 6"/>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6">
    <w:name w:val="Grid Table 6 Colorful"/>
    <w:basedOn w:val="10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7">
    <w:name w:val="Grid Table 6 Colorful - Accent 1"/>
    <w:basedOn w:val="10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98">
    <w:name w:val="Grid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99">
    <w:name w:val="Grid Table 6 Colorful - Accent 3"/>
    <w:basedOn w:val="10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00">
    <w:name w:val="Grid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01">
    <w:name w:val="Grid Table 6 Colorful - Accent 5"/>
    <w:basedOn w:val="10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02">
    <w:name w:val="Grid Table 6 Colorful - Accent 6"/>
    <w:basedOn w:val="10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03">
    <w:name w:val="Grid Table 7 Colorful"/>
    <w:basedOn w:val="10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4">
    <w:name w:val="Grid Table 7 Colorful - Accent 1"/>
    <w:basedOn w:val="10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5">
    <w:name w:val="Grid Table 7 Colorful - Accent 2"/>
    <w:basedOn w:val="10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6">
    <w:name w:val="Grid Table 7 Colorful - Accent 3"/>
    <w:basedOn w:val="10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7">
    <w:name w:val="Grid Table 7 Colorful - Accent 4"/>
    <w:basedOn w:val="10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8">
    <w:name w:val="Grid Table 7 Colorful - Accent 5"/>
    <w:basedOn w:val="10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9">
    <w:name w:val="Grid Table 7 Colorful - Accent 6"/>
    <w:basedOn w:val="10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0">
    <w:name w:val="List Table 1 Light"/>
    <w:basedOn w:val="10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name w:val="List Table 1 Light - Accent 1"/>
    <w:basedOn w:val="100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2">
    <w:name w:val="List Table 1 Light - Accent 2"/>
    <w:basedOn w:val="100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3">
    <w:name w:val="List Table 1 Light - Accent 3"/>
    <w:basedOn w:val="100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4">
    <w:name w:val="List Table 1 Light - Accent 4"/>
    <w:basedOn w:val="100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5">
    <w:name w:val="List Table 1 Light - Accent 5"/>
    <w:basedOn w:val="100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6">
    <w:name w:val="List Table 1 Light - Accent 6"/>
    <w:basedOn w:val="100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7">
    <w:name w:val="List Table 2"/>
    <w:basedOn w:val="10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8">
    <w:name w:val="List Table 2 - Accent 1"/>
    <w:basedOn w:val="10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9">
    <w:name w:val="List Table 2 - Accent 2"/>
    <w:basedOn w:val="10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0">
    <w:name w:val="List Table 2 - Accent 3"/>
    <w:basedOn w:val="10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1">
    <w:name w:val="List Table 2 - Accent 4"/>
    <w:basedOn w:val="10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2">
    <w:name w:val="List Table 2 - Accent 5"/>
    <w:basedOn w:val="10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3">
    <w:name w:val="List Table 2 - Accent 6"/>
    <w:basedOn w:val="10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4">
    <w:name w:val="List Table 3"/>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3 - Accent 1"/>
    <w:basedOn w:val="10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26">
    <w:name w:val="List Table 3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27">
    <w:name w:val="List Table 3 - Accent 3"/>
    <w:basedOn w:val="10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28">
    <w:name w:val="List Table 3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29">
    <w:name w:val="List Table 3 - Accent 5"/>
    <w:basedOn w:val="10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30">
    <w:name w:val="List Table 3 - Accent 6"/>
    <w:basedOn w:val="10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31">
    <w:name w:val="List Table 4"/>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4 - Accent 1"/>
    <w:basedOn w:val="10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33">
    <w:name w:val="List Table 4 - Accent 2"/>
    <w:basedOn w:val="10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34">
    <w:name w:val="List Table 4 - Accent 3"/>
    <w:basedOn w:val="10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35">
    <w:name w:val="List Table 4 - Accent 4"/>
    <w:basedOn w:val="10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36">
    <w:name w:val="List Table 4 - Accent 5"/>
    <w:basedOn w:val="10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37">
    <w:name w:val="List Table 4 - Accent 6"/>
    <w:basedOn w:val="10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38">
    <w:name w:val="List Table 5 Dark"/>
    <w:basedOn w:val="10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1"/>
    <w:basedOn w:val="10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2"/>
    <w:basedOn w:val="10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3"/>
    <w:basedOn w:val="10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4"/>
    <w:basedOn w:val="10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5"/>
    <w:basedOn w:val="10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6"/>
    <w:basedOn w:val="10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6 Colorful"/>
    <w:basedOn w:val="10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6">
    <w:name w:val="List Table 6 Colorful - Accent 1"/>
    <w:basedOn w:val="10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47">
    <w:name w:val="List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48">
    <w:name w:val="List Table 6 Colorful - Accent 3"/>
    <w:basedOn w:val="10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49">
    <w:name w:val="List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50">
    <w:name w:val="List Table 6 Colorful - Accent 5"/>
    <w:basedOn w:val="10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51">
    <w:name w:val="List Table 6 Colorful - Accent 6"/>
    <w:basedOn w:val="10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52">
    <w:name w:val="List Table 7 Colorful"/>
    <w:basedOn w:val="10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3">
    <w:name w:val="List Table 7 Colorful - Accent 1"/>
    <w:basedOn w:val="10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54">
    <w:name w:val="List Table 7 Colorful - Accent 2"/>
    <w:basedOn w:val="10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55">
    <w:name w:val="List Table 7 Colorful - Accent 3"/>
    <w:basedOn w:val="10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56">
    <w:name w:val="List Table 7 Colorful - Accent 4"/>
    <w:basedOn w:val="10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57">
    <w:name w:val="List Table 7 Colorful - Accent 5"/>
    <w:basedOn w:val="10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58">
    <w:name w:val="List Table 7 Colorful - Accent 6"/>
    <w:basedOn w:val="10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59">
    <w:name w:val="Lined - Accent"/>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0">
    <w:name w:val="Lined - Accent 1"/>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61">
    <w:name w:val="Lined - Accent 2"/>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2">
    <w:name w:val="Lined - Accent 3"/>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3">
    <w:name w:val="Lined - Accent 4"/>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4">
    <w:name w:val="Lined - Accent 5"/>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65">
    <w:name w:val="Lined - Accent 6"/>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6">
    <w:name w:val="Bordered &amp; Lined - Accent"/>
    <w:basedOn w:val="10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Bordered &amp; Lined - Accent 1"/>
    <w:basedOn w:val="10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68">
    <w:name w:val="Bordered &amp; Lined - Accent 2"/>
    <w:basedOn w:val="10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9">
    <w:name w:val="Bordered &amp; Lined - Accent 3"/>
    <w:basedOn w:val="10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0">
    <w:name w:val="Bordered &amp; Lined - Accent 4"/>
    <w:basedOn w:val="10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1">
    <w:name w:val="Bordered &amp; Lined - Accent 5"/>
    <w:basedOn w:val="10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72">
    <w:name w:val="Bordered &amp; Lined - Accent 6"/>
    <w:basedOn w:val="10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3">
    <w:name w:val="Bordered"/>
    <w:basedOn w:val="10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4">
    <w:name w:val="Bordered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5">
    <w:name w:val="Bordered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6">
    <w:name w:val="Bordered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7">
    <w:name w:val="Bordered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8">
    <w:name w:val="Bordered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9">
    <w:name w:val="Bordered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80">
    <w:name w:val="footnote text"/>
    <w:basedOn w:val="994"/>
    <w:link w:val="981"/>
    <w:uiPriority w:val="99"/>
    <w:semiHidden/>
    <w:unhideWhenUsed/>
    <w:pPr>
      <w:spacing w:after="40" w:line="240" w:lineRule="auto"/>
    </w:pPr>
    <w:rPr>
      <w:sz w:val="18"/>
    </w:rPr>
  </w:style>
  <w:style w:type="character" w:styleId="981">
    <w:name w:val="Footnote Text Char"/>
    <w:link w:val="980"/>
    <w:uiPriority w:val="99"/>
    <w:rPr>
      <w:sz w:val="18"/>
    </w:rPr>
  </w:style>
  <w:style w:type="character" w:styleId="982">
    <w:name w:val="footnote reference"/>
    <w:basedOn w:val="1002"/>
    <w:uiPriority w:val="99"/>
    <w:unhideWhenUsed/>
    <w:rPr>
      <w:vertAlign w:val="superscript"/>
    </w:rPr>
  </w:style>
  <w:style w:type="paragraph" w:styleId="983">
    <w:name w:val="endnote text"/>
    <w:basedOn w:val="994"/>
    <w:link w:val="984"/>
    <w:uiPriority w:val="99"/>
    <w:semiHidden/>
    <w:unhideWhenUsed/>
    <w:pPr>
      <w:spacing w:after="0" w:line="240" w:lineRule="auto"/>
    </w:pPr>
    <w:rPr>
      <w:sz w:val="20"/>
    </w:rPr>
  </w:style>
  <w:style w:type="character" w:styleId="984">
    <w:name w:val="Endnote Text Char"/>
    <w:link w:val="983"/>
    <w:uiPriority w:val="99"/>
    <w:rPr>
      <w:sz w:val="20"/>
    </w:rPr>
  </w:style>
  <w:style w:type="character" w:styleId="985">
    <w:name w:val="endnote reference"/>
    <w:basedOn w:val="1002"/>
    <w:uiPriority w:val="99"/>
    <w:semiHidden/>
    <w:unhideWhenUsed/>
    <w:rPr>
      <w:vertAlign w:val="superscript"/>
    </w:rPr>
  </w:style>
  <w:style w:type="paragraph" w:styleId="986">
    <w:name w:val="toc 4"/>
    <w:basedOn w:val="994"/>
    <w:next w:val="994"/>
    <w:uiPriority w:val="39"/>
    <w:unhideWhenUsed/>
    <w:pPr>
      <w:ind w:left="850" w:right="0" w:firstLine="0"/>
      <w:spacing w:after="57"/>
    </w:pPr>
  </w:style>
  <w:style w:type="paragraph" w:styleId="987">
    <w:name w:val="toc 5"/>
    <w:basedOn w:val="994"/>
    <w:next w:val="994"/>
    <w:uiPriority w:val="39"/>
    <w:unhideWhenUsed/>
    <w:pPr>
      <w:ind w:left="1134" w:right="0" w:firstLine="0"/>
      <w:spacing w:after="57"/>
    </w:pPr>
  </w:style>
  <w:style w:type="paragraph" w:styleId="988">
    <w:name w:val="toc 6"/>
    <w:basedOn w:val="994"/>
    <w:next w:val="994"/>
    <w:uiPriority w:val="39"/>
    <w:unhideWhenUsed/>
    <w:pPr>
      <w:ind w:left="1417" w:right="0" w:firstLine="0"/>
      <w:spacing w:after="57"/>
    </w:pPr>
  </w:style>
  <w:style w:type="paragraph" w:styleId="989">
    <w:name w:val="toc 7"/>
    <w:basedOn w:val="994"/>
    <w:next w:val="994"/>
    <w:uiPriority w:val="39"/>
    <w:unhideWhenUsed/>
    <w:pPr>
      <w:ind w:left="1701" w:right="0" w:firstLine="0"/>
      <w:spacing w:after="57"/>
    </w:pPr>
  </w:style>
  <w:style w:type="paragraph" w:styleId="990">
    <w:name w:val="toc 8"/>
    <w:basedOn w:val="994"/>
    <w:next w:val="994"/>
    <w:uiPriority w:val="39"/>
    <w:unhideWhenUsed/>
    <w:pPr>
      <w:ind w:left="1984" w:right="0" w:firstLine="0"/>
      <w:spacing w:after="57"/>
    </w:pPr>
  </w:style>
  <w:style w:type="paragraph" w:styleId="991">
    <w:name w:val="toc 9"/>
    <w:basedOn w:val="994"/>
    <w:next w:val="994"/>
    <w:uiPriority w:val="39"/>
    <w:unhideWhenUsed/>
    <w:pPr>
      <w:ind w:left="2268" w:right="0" w:firstLine="0"/>
      <w:spacing w:after="57"/>
    </w:pPr>
  </w:style>
  <w:style w:type="paragraph" w:styleId="992">
    <w:name w:val="TOC Heading"/>
    <w:uiPriority w:val="39"/>
    <w:unhideWhenUsed/>
  </w:style>
  <w:style w:type="paragraph" w:styleId="993">
    <w:name w:val="table of figures"/>
    <w:basedOn w:val="994"/>
    <w:next w:val="994"/>
    <w:uiPriority w:val="99"/>
    <w:unhideWhenUsed/>
    <w:pPr>
      <w:spacing w:after="0" w:afterAutospacing="0"/>
    </w:pPr>
  </w:style>
  <w:style w:type="paragraph" w:styleId="994" w:default="1">
    <w:name w:val="Normal"/>
    <w:qFormat/>
    <w:pPr>
      <w:jc w:val="both"/>
      <w:widowControl w:val="off"/>
    </w:pPr>
    <w:rPr>
      <w:sz w:val="21"/>
      <w:szCs w:val="21"/>
    </w:rPr>
  </w:style>
  <w:style w:type="paragraph" w:styleId="995">
    <w:name w:val="Heading 1"/>
    <w:basedOn w:val="994"/>
    <w:next w:val="994"/>
    <w:link w:val="1031"/>
    <w:uiPriority w:val="9"/>
    <w:qFormat/>
    <w:pPr>
      <w:jc w:val="center"/>
      <w:keepNext/>
      <w:outlineLvl w:val="0"/>
    </w:pPr>
    <w:rPr>
      <w:rFonts w:ascii="楷体_GB2312" w:hAnsi="宋体" w:eastAsia="楷体_GB2312"/>
      <w:sz w:val="28"/>
      <w:szCs w:val="28"/>
    </w:rPr>
  </w:style>
  <w:style w:type="paragraph" w:styleId="996">
    <w:name w:val="Heading 2"/>
    <w:basedOn w:val="994"/>
    <w:next w:val="994"/>
    <w:link w:val="1032"/>
    <w:uiPriority w:val="9"/>
    <w:qFormat/>
    <w:pPr>
      <w:jc w:val="center"/>
      <w:keepLines/>
      <w:keepNext/>
      <w:spacing w:before="260" w:after="260" w:line="416" w:lineRule="auto"/>
      <w:outlineLvl w:val="1"/>
    </w:pPr>
    <w:rPr>
      <w:rFonts w:ascii="Arial" w:hAnsi="Arial" w:eastAsia="幼圆"/>
      <w:b/>
      <w:bCs/>
      <w:sz w:val="44"/>
      <w:szCs w:val="44"/>
    </w:rPr>
  </w:style>
  <w:style w:type="paragraph" w:styleId="997">
    <w:name w:val="Heading 3"/>
    <w:basedOn w:val="994"/>
    <w:next w:val="994"/>
    <w:link w:val="1033"/>
    <w:qFormat/>
    <w:pPr>
      <w:keepLines/>
      <w:keepNext/>
      <w:spacing w:before="260" w:after="260" w:line="415" w:lineRule="auto"/>
      <w:outlineLvl w:val="2"/>
    </w:pPr>
    <w:rPr>
      <w:rFonts w:ascii="等线" w:hAnsi="等线" w:eastAsia="等线"/>
      <w:b/>
      <w:bCs/>
      <w:sz w:val="32"/>
      <w:szCs w:val="32"/>
    </w:rPr>
  </w:style>
  <w:style w:type="paragraph" w:styleId="998">
    <w:name w:val="Heading 4"/>
    <w:basedOn w:val="994"/>
    <w:next w:val="994"/>
    <w:link w:val="1034"/>
    <w:uiPriority w:val="9"/>
    <w:qFormat/>
    <w:pPr>
      <w:keepLines/>
      <w:keepNext/>
      <w:spacing w:before="280" w:after="290" w:line="374" w:lineRule="auto"/>
      <w:outlineLvl w:val="3"/>
    </w:pPr>
    <w:rPr>
      <w:rFonts w:ascii="Arial" w:hAnsi="Arial" w:eastAsia="黑体"/>
      <w:b/>
      <w:bCs/>
      <w:sz w:val="28"/>
      <w:szCs w:val="28"/>
    </w:rPr>
  </w:style>
  <w:style w:type="paragraph" w:styleId="999">
    <w:name w:val="Heading 5"/>
    <w:basedOn w:val="994"/>
    <w:next w:val="994"/>
    <w:link w:val="1064"/>
    <w:uiPriority w:val="9"/>
    <w:qFormat/>
    <w:pPr>
      <w:keepLines/>
      <w:keepNext/>
      <w:spacing w:before="280" w:after="290" w:line="376" w:lineRule="auto"/>
      <w:outlineLvl w:val="4"/>
    </w:pPr>
    <w:rPr>
      <w:rFonts w:ascii="Calibri" w:hAnsi="Calibri"/>
      <w:b/>
      <w:bCs/>
      <w:sz w:val="28"/>
      <w:szCs w:val="28"/>
    </w:rPr>
  </w:style>
  <w:style w:type="paragraph" w:styleId="1000">
    <w:name w:val="Heading 6"/>
    <w:basedOn w:val="994"/>
    <w:next w:val="994"/>
    <w:link w:val="1091"/>
    <w:semiHidden/>
    <w:unhideWhenUsed/>
    <w:qFormat/>
    <w:pPr>
      <w:numPr>
        <w:ilvl w:val="5"/>
        <w:numId w:val="1"/>
      </w:numPr>
      <w:ind w:left="1152" w:firstLine="0"/>
      <w:keepLines/>
      <w:keepNext/>
      <w:spacing w:before="240" w:after="64" w:line="317" w:lineRule="auto"/>
      <w:outlineLvl w:val="5"/>
    </w:pPr>
    <w:rPr>
      <w:rFonts w:ascii="Arial" w:hAnsi="Arial" w:eastAsia="黑体" w:cstheme="minorBidi"/>
      <w:b/>
      <w:sz w:val="24"/>
      <w:szCs w:val="22"/>
    </w:rPr>
  </w:style>
  <w:style w:type="paragraph" w:styleId="1001">
    <w:name w:val="Heading 9"/>
    <w:basedOn w:val="994"/>
    <w:next w:val="994"/>
    <w:link w:val="1090"/>
    <w:uiPriority w:val="9"/>
    <w:semiHidden/>
    <w:unhideWhenUsed/>
    <w:qFormat/>
    <w:pPr>
      <w:keepLines/>
      <w:keepNext/>
      <w:spacing w:before="240" w:after="64" w:line="320" w:lineRule="auto"/>
      <w:outlineLvl w:val="8"/>
    </w:pPr>
    <w:rPr>
      <w:rFonts w:asciiTheme="majorHAnsi" w:hAnsiTheme="majorHAnsi" w:eastAsiaTheme="majorEastAsia" w:cstheme="majorBidi"/>
    </w:rPr>
  </w:style>
  <w:style w:type="character" w:styleId="1002" w:default="1">
    <w:name w:val="Default Paragraph Font"/>
    <w:uiPriority w:val="1"/>
    <w:semiHidden/>
    <w:unhideWhenUsed/>
  </w:style>
  <w:style w:type="table" w:styleId="1003" w:default="1">
    <w:name w:val="Normal Table"/>
    <w:uiPriority w:val="99"/>
    <w:semiHidden/>
    <w:unhideWhenUsed/>
    <w:tblPr>
      <w:tblInd w:w="0" w:type="dxa"/>
      <w:tblCellMar>
        <w:left w:w="108" w:type="dxa"/>
        <w:top w:w="0" w:type="dxa"/>
        <w:right w:w="108" w:type="dxa"/>
        <w:bottom w:w="0" w:type="dxa"/>
      </w:tblCellMar>
    </w:tblPr>
  </w:style>
  <w:style w:type="numbering" w:styleId="1004" w:default="1">
    <w:name w:val="No List"/>
    <w:uiPriority w:val="99"/>
    <w:semiHidden/>
    <w:unhideWhenUsed/>
  </w:style>
  <w:style w:type="paragraph" w:styleId="1005">
    <w:name w:val="Normal Indent"/>
    <w:basedOn w:val="994"/>
    <w:link w:val="1035"/>
    <w:unhideWhenUsed/>
    <w:qFormat/>
    <w:pPr>
      <w:ind w:firstLine="420"/>
    </w:pPr>
    <w:rPr>
      <w:rFonts w:ascii="等线" w:hAnsi="等线" w:eastAsia="等线"/>
      <w:sz w:val="20"/>
      <w:szCs w:val="20"/>
    </w:rPr>
  </w:style>
  <w:style w:type="paragraph" w:styleId="1006">
    <w:name w:val="Caption"/>
    <w:basedOn w:val="994"/>
    <w:next w:val="994"/>
    <w:link w:val="1095"/>
    <w:unhideWhenUsed/>
    <w:qFormat/>
    <w:pPr>
      <w:numPr>
        <w:numId w:val="2"/>
      </w:numPr>
      <w:ind w:firstLine="0"/>
      <w:jc w:val="center"/>
      <w:spacing w:line="360" w:lineRule="auto"/>
    </w:pPr>
    <w:rPr>
      <w:rFonts w:ascii="Arial Unicode MS" w:hAnsi="Arial Unicode MS" w:cs="宋体"/>
      <w:szCs w:val="20"/>
    </w:rPr>
  </w:style>
  <w:style w:type="paragraph" w:styleId="1007">
    <w:name w:val="List Bullet"/>
    <w:basedOn w:val="994"/>
    <w:uiPriority w:val="99"/>
    <w:unhideWhenUsed/>
    <w:qFormat/>
    <w:pPr>
      <w:numPr>
        <w:numId w:val="3"/>
      </w:numPr>
      <w:tabs>
        <w:tab w:val="left" w:pos="360" w:leader="none"/>
      </w:tabs>
    </w:pPr>
  </w:style>
  <w:style w:type="paragraph" w:styleId="1008">
    <w:name w:val="annotation text"/>
    <w:basedOn w:val="994"/>
    <w:link w:val="1036"/>
    <w:uiPriority w:val="99"/>
    <w:unhideWhenUsed/>
    <w:qFormat/>
    <w:pPr>
      <w:jc w:val="left"/>
    </w:pPr>
  </w:style>
  <w:style w:type="paragraph" w:styleId="1009">
    <w:name w:val="Body Text"/>
    <w:basedOn w:val="994"/>
    <w:link w:val="1066"/>
    <w:unhideWhenUsed/>
    <w:qFormat/>
    <w:pPr>
      <w:spacing w:after="120"/>
    </w:pPr>
  </w:style>
  <w:style w:type="paragraph" w:styleId="1010">
    <w:name w:val="Body Text Indent"/>
    <w:basedOn w:val="994"/>
    <w:link w:val="1037"/>
    <w:uiPriority w:val="99"/>
    <w:unhideWhenUsed/>
    <w:qFormat/>
    <w:pPr>
      <w:ind w:firstLine="645"/>
    </w:pPr>
    <w:rPr>
      <w:rFonts w:ascii="楷体_GB2312" w:hAnsi="等线" w:eastAsia="楷体_GB2312"/>
      <w:sz w:val="32"/>
      <w:szCs w:val="32"/>
    </w:rPr>
  </w:style>
  <w:style w:type="paragraph" w:styleId="1011">
    <w:name w:val="Block Text"/>
    <w:basedOn w:val="994"/>
    <w:unhideWhenUsed/>
    <w:qFormat/>
    <w:pPr>
      <w:ind w:left="1440" w:right="1440"/>
      <w:spacing w:after="120"/>
    </w:pPr>
  </w:style>
  <w:style w:type="paragraph" w:styleId="1012">
    <w:name w:val="index 4"/>
    <w:basedOn w:val="994"/>
    <w:next w:val="994"/>
    <w:semiHidden/>
    <w:unhideWhenUsed/>
    <w:qFormat/>
    <w:pPr>
      <w:ind w:left="600"/>
      <w:spacing w:line="440" w:lineRule="exact"/>
    </w:pPr>
    <w:rPr>
      <w:rFonts w:ascii="等线" w:hAnsi="等线" w:eastAsia="等线"/>
      <w:szCs w:val="24"/>
    </w:rPr>
  </w:style>
  <w:style w:type="paragraph" w:styleId="1013">
    <w:name w:val="toc 3"/>
    <w:basedOn w:val="994"/>
    <w:next w:val="994"/>
    <w:uiPriority w:val="39"/>
    <w:qFormat/>
    <w:pPr>
      <w:ind w:left="840"/>
    </w:pPr>
  </w:style>
  <w:style w:type="paragraph" w:styleId="1014">
    <w:name w:val="Plain Text"/>
    <w:basedOn w:val="994"/>
    <w:link w:val="1038"/>
    <w:unhideWhenUsed/>
    <w:qFormat/>
    <w:pPr>
      <w:ind w:firstLine="482"/>
      <w:spacing w:line="520" w:lineRule="exact"/>
    </w:pPr>
    <w:rPr>
      <w:rFonts w:ascii="宋体" w:hAnsi="宋体"/>
      <w:sz w:val="24"/>
      <w:szCs w:val="24"/>
    </w:rPr>
  </w:style>
  <w:style w:type="paragraph" w:styleId="1015">
    <w:name w:val="Body Text Indent 2"/>
    <w:basedOn w:val="994"/>
    <w:link w:val="1085"/>
    <w:qFormat/>
    <w:pPr>
      <w:ind w:left="420"/>
      <w:spacing w:after="120" w:line="480" w:lineRule="auto"/>
    </w:pPr>
  </w:style>
  <w:style w:type="paragraph" w:styleId="1016">
    <w:name w:val="Balloon Text"/>
    <w:basedOn w:val="994"/>
    <w:link w:val="1039"/>
    <w:unhideWhenUsed/>
    <w:qFormat/>
    <w:rPr>
      <w:rFonts w:ascii="等线" w:hAnsi="等线" w:eastAsia="等线"/>
      <w:sz w:val="18"/>
      <w:szCs w:val="18"/>
    </w:rPr>
  </w:style>
  <w:style w:type="paragraph" w:styleId="1017">
    <w:name w:val="Footer"/>
    <w:basedOn w:val="994"/>
    <w:link w:val="1040"/>
    <w:uiPriority w:val="99"/>
    <w:unhideWhenUsed/>
    <w:qFormat/>
    <w:pPr>
      <w:jc w:val="left"/>
      <w:tabs>
        <w:tab w:val="center" w:pos="4153" w:leader="none"/>
        <w:tab w:val="right" w:pos="8306" w:leader="none"/>
      </w:tabs>
    </w:pPr>
    <w:rPr>
      <w:sz w:val="18"/>
      <w:szCs w:val="18"/>
    </w:rPr>
  </w:style>
  <w:style w:type="paragraph" w:styleId="1018">
    <w:name w:val="Header"/>
    <w:basedOn w:val="994"/>
    <w:link w:val="104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019">
    <w:name w:val="toc 1"/>
    <w:basedOn w:val="994"/>
    <w:next w:val="994"/>
    <w:uiPriority w:val="39"/>
    <w:qFormat/>
  </w:style>
  <w:style w:type="paragraph" w:styleId="1020">
    <w:name w:val="toc 2"/>
    <w:basedOn w:val="994"/>
    <w:next w:val="994"/>
    <w:uiPriority w:val="39"/>
    <w:qFormat/>
    <w:pPr>
      <w:ind w:left="420"/>
    </w:pPr>
  </w:style>
  <w:style w:type="paragraph" w:styleId="1021">
    <w:name w:val="Normal (Web)"/>
    <w:basedOn w:val="994"/>
    <w:uiPriority w:val="99"/>
    <w:unhideWhenUsed/>
    <w:qFormat/>
    <w:pPr>
      <w:jc w:val="left"/>
      <w:spacing w:before="100" w:beforeAutospacing="1" w:after="100" w:afterAutospacing="1"/>
      <w:widowControl/>
    </w:pPr>
    <w:rPr>
      <w:rFonts w:ascii="宋体" w:hAnsi="宋体" w:cs="宋体"/>
      <w:sz w:val="24"/>
      <w:szCs w:val="24"/>
    </w:rPr>
  </w:style>
  <w:style w:type="paragraph" w:styleId="1022">
    <w:name w:val="annotation subject"/>
    <w:basedOn w:val="1008"/>
    <w:next w:val="1008"/>
    <w:link w:val="1042"/>
    <w:uiPriority w:val="99"/>
    <w:unhideWhenUsed/>
    <w:qFormat/>
    <w:rPr>
      <w:b/>
      <w:bCs/>
    </w:rPr>
  </w:style>
  <w:style w:type="paragraph" w:styleId="1023">
    <w:name w:val="Body Text First Indent"/>
    <w:basedOn w:val="1009"/>
    <w:link w:val="1067"/>
    <w:uiPriority w:val="99"/>
    <w:unhideWhenUsed/>
    <w:qFormat/>
    <w:pPr>
      <w:ind w:firstLine="420"/>
    </w:pPr>
    <w:rPr>
      <w:rFonts w:ascii="Calibri" w:hAnsi="Calibri"/>
      <w:szCs w:val="22"/>
    </w:rPr>
  </w:style>
  <w:style w:type="paragraph" w:styleId="1024">
    <w:name w:val="Body Text First Indent 2"/>
    <w:basedOn w:val="1010"/>
    <w:link w:val="1084"/>
    <w:unhideWhenUsed/>
    <w:qFormat/>
    <w:pPr>
      <w:ind w:left="420" w:firstLine="420"/>
      <w:spacing w:after="120"/>
    </w:pPr>
    <w:rPr>
      <w:rFonts w:ascii="Times New Roman" w:hAnsi="Times New Roman" w:eastAsia="宋体"/>
      <w:sz w:val="21"/>
      <w:szCs w:val="21"/>
    </w:rPr>
  </w:style>
  <w:style w:type="table" w:styleId="1025">
    <w:name w:val="Table Grid"/>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top w:w="0" w:type="dxa"/>
        <w:right w:w="0" w:type="dxa"/>
        <w:bottom w:w="0" w:type="dxa"/>
      </w:tblCellMar>
    </w:tblPr>
  </w:style>
  <w:style w:type="character" w:styleId="1026">
    <w:name w:val="page number"/>
    <w:unhideWhenUsed/>
    <w:qFormat/>
    <w:rPr>
      <w:rFonts w:ascii="等线" w:hAnsi="等线" w:eastAsia="等线" w:cs="Times New Roman"/>
    </w:rPr>
  </w:style>
  <w:style w:type="character" w:styleId="1027">
    <w:name w:val="FollowedHyperlink"/>
    <w:basedOn w:val="1002"/>
    <w:uiPriority w:val="99"/>
    <w:semiHidden/>
    <w:unhideWhenUsed/>
    <w:qFormat/>
    <w:rPr>
      <w:color w:val="954f72" w:themeColor="followedHyperlink"/>
      <w:u w:val="single"/>
    </w:rPr>
  </w:style>
  <w:style w:type="character" w:styleId="1028">
    <w:name w:val="Hyperlink"/>
    <w:uiPriority w:val="99"/>
    <w:unhideWhenUsed/>
    <w:qFormat/>
    <w:rPr>
      <w:rFonts w:ascii="等线" w:hAnsi="等线" w:eastAsia="等线" w:cs="Times New Roman"/>
      <w:color w:val="555555"/>
      <w:u w:val="none"/>
    </w:rPr>
  </w:style>
  <w:style w:type="character" w:styleId="1029">
    <w:name w:val="annotation reference"/>
    <w:uiPriority w:val="99"/>
    <w:unhideWhenUsed/>
    <w:qFormat/>
    <w:rPr>
      <w:sz w:val="21"/>
      <w:szCs w:val="21"/>
    </w:rPr>
  </w:style>
  <w:style w:type="paragraph" w:styleId="1030" w:customStyle="1">
    <w:name w:val="Default"/>
    <w:qFormat/>
    <w:pPr>
      <w:widowControl w:val="off"/>
    </w:pPr>
    <w:rPr>
      <w:rFonts w:ascii="仿宋_GB2312" w:eastAsia="仿宋_GB2312" w:cs="仿宋_GB2312"/>
      <w:color w:val="000000"/>
      <w:sz w:val="24"/>
      <w:szCs w:val="24"/>
    </w:rPr>
  </w:style>
  <w:style w:type="character" w:styleId="1031" w:customStyle="1">
    <w:name w:val="标题 1 字符"/>
    <w:link w:val="995"/>
    <w:uiPriority w:val="9"/>
    <w:qFormat/>
    <w:rPr>
      <w:rFonts w:ascii="楷体_GB2312" w:hAnsi="宋体" w:eastAsia="楷体_GB2312" w:cs="宋体"/>
      <w:sz w:val="28"/>
      <w:szCs w:val="28"/>
    </w:rPr>
  </w:style>
  <w:style w:type="character" w:styleId="1032" w:customStyle="1">
    <w:name w:val="标题 2 字符"/>
    <w:link w:val="996"/>
    <w:uiPriority w:val="9"/>
    <w:qFormat/>
    <w:rPr>
      <w:rFonts w:ascii="Arial" w:hAnsi="Arial" w:eastAsia="幼圆" w:cs="Arial"/>
      <w:b/>
      <w:bCs/>
      <w:sz w:val="44"/>
      <w:szCs w:val="44"/>
    </w:rPr>
  </w:style>
  <w:style w:type="character" w:styleId="1033" w:customStyle="1">
    <w:name w:val="标题 3 字符1"/>
    <w:link w:val="997"/>
    <w:qFormat/>
    <w:rPr>
      <w:rFonts w:ascii="等线" w:hAnsi="等线" w:eastAsia="等线" w:cs="Times New Roman"/>
      <w:b/>
      <w:bCs/>
      <w:sz w:val="32"/>
      <w:szCs w:val="32"/>
    </w:rPr>
  </w:style>
  <w:style w:type="character" w:styleId="1034" w:customStyle="1">
    <w:name w:val="标题 4 字符"/>
    <w:link w:val="998"/>
    <w:uiPriority w:val="9"/>
    <w:qFormat/>
    <w:rPr>
      <w:rFonts w:ascii="Arial" w:hAnsi="Arial" w:eastAsia="黑体" w:cs="Arial"/>
      <w:b/>
      <w:bCs/>
      <w:sz w:val="28"/>
      <w:szCs w:val="28"/>
    </w:rPr>
  </w:style>
  <w:style w:type="character" w:styleId="1035" w:customStyle="1">
    <w:name w:val="正文缩进 字符"/>
    <w:link w:val="1005"/>
    <w:qFormat/>
    <w:rPr>
      <w:rFonts w:ascii="等线" w:hAnsi="等线" w:eastAsia="等线" w:cs="Times New Roman"/>
    </w:rPr>
  </w:style>
  <w:style w:type="character" w:styleId="1036" w:customStyle="1">
    <w:name w:val="批注文字 字符"/>
    <w:link w:val="1008"/>
    <w:uiPriority w:val="99"/>
    <w:qFormat/>
    <w:rPr>
      <w:rFonts w:ascii="Times New Roman" w:hAnsi="Times New Roman"/>
      <w:sz w:val="21"/>
      <w:szCs w:val="21"/>
    </w:rPr>
  </w:style>
  <w:style w:type="character" w:styleId="1037" w:customStyle="1">
    <w:name w:val="正文文本缩进 字符"/>
    <w:link w:val="1010"/>
    <w:uiPriority w:val="99"/>
    <w:qFormat/>
    <w:rPr>
      <w:rFonts w:ascii="楷体_GB2312" w:hAnsi="等线" w:eastAsia="楷体_GB2312" w:cs="Times New Roman"/>
      <w:sz w:val="32"/>
      <w:szCs w:val="32"/>
    </w:rPr>
  </w:style>
  <w:style w:type="character" w:styleId="1038" w:customStyle="1">
    <w:name w:val="纯文本 字符"/>
    <w:link w:val="1014"/>
    <w:qFormat/>
    <w:rPr>
      <w:rFonts w:ascii="宋体" w:hAnsi="宋体"/>
      <w:sz w:val="24"/>
      <w:szCs w:val="24"/>
    </w:rPr>
  </w:style>
  <w:style w:type="character" w:styleId="1039" w:customStyle="1">
    <w:name w:val="批注框文本 字符"/>
    <w:link w:val="1016"/>
    <w:qFormat/>
    <w:rPr>
      <w:rFonts w:ascii="等线" w:hAnsi="等线" w:eastAsia="等线" w:cs="Times New Roman"/>
      <w:sz w:val="18"/>
      <w:szCs w:val="18"/>
    </w:rPr>
  </w:style>
  <w:style w:type="character" w:styleId="1040" w:customStyle="1">
    <w:name w:val="页脚 字符"/>
    <w:link w:val="1017"/>
    <w:uiPriority w:val="99"/>
    <w:qFormat/>
    <w:rPr>
      <w:rFonts w:ascii="Times New Roman" w:hAnsi="Times New Roman"/>
      <w:sz w:val="18"/>
      <w:szCs w:val="18"/>
    </w:rPr>
  </w:style>
  <w:style w:type="character" w:styleId="1041" w:customStyle="1">
    <w:name w:val="页眉 字符"/>
    <w:link w:val="1018"/>
    <w:uiPriority w:val="99"/>
    <w:qFormat/>
    <w:rPr>
      <w:rFonts w:ascii="Times New Roman" w:hAnsi="Times New Roman"/>
      <w:sz w:val="18"/>
      <w:szCs w:val="18"/>
    </w:rPr>
  </w:style>
  <w:style w:type="character" w:styleId="1042" w:customStyle="1">
    <w:name w:val="批注主题 字符"/>
    <w:link w:val="1022"/>
    <w:uiPriority w:val="99"/>
    <w:qFormat/>
    <w:rPr>
      <w:rFonts w:ascii="Times New Roman" w:hAnsi="Times New Roman"/>
      <w:b/>
      <w:bCs/>
      <w:sz w:val="21"/>
      <w:szCs w:val="21"/>
    </w:rPr>
  </w:style>
  <w:style w:type="character" w:styleId="1043" w:customStyle="1">
    <w:name w:val="标题 3 字符"/>
    <w:uiPriority w:val="9"/>
    <w:qFormat/>
    <w:rPr>
      <w:rFonts w:ascii="Times New Roman" w:hAnsi="Times New Roman" w:eastAsia="宋体" w:cs="Times New Roman"/>
      <w:b/>
      <w:bCs/>
      <w:sz w:val="32"/>
      <w:szCs w:val="32"/>
    </w:rPr>
  </w:style>
  <w:style w:type="paragraph" w:styleId="1044" w:customStyle="1">
    <w:name w:val="纯文本1"/>
    <w:basedOn w:val="994"/>
    <w:qFormat/>
    <w:rPr>
      <w:rFonts w:ascii="宋体" w:hAnsi="Courier New" w:eastAsia="楷体_GB2312"/>
      <w:sz w:val="28"/>
      <w:szCs w:val="20"/>
    </w:rPr>
  </w:style>
  <w:style w:type="paragraph" w:styleId="1045" w:customStyle="1">
    <w:name w:val="font7"/>
    <w:basedOn w:val="994"/>
    <w:qFormat/>
    <w:pPr>
      <w:jc w:val="left"/>
      <w:spacing w:before="100" w:beforeAutospacing="1" w:after="100" w:afterAutospacing="1"/>
      <w:widowControl/>
    </w:pPr>
    <w:rPr>
      <w:rFonts w:ascii="宋体" w:hAnsi="宋体"/>
      <w:sz w:val="18"/>
      <w:szCs w:val="18"/>
    </w:rPr>
  </w:style>
  <w:style w:type="character" w:styleId="1046" w:customStyle="1">
    <w:name w:val="普通正文 Char"/>
    <w:link w:val="1047"/>
    <w:qFormat/>
    <w:rPr>
      <w:rFonts w:ascii="Arial" w:hAnsi="Arial" w:eastAsia="等线" w:cs="Arial"/>
      <w:sz w:val="24"/>
      <w:szCs w:val="24"/>
    </w:rPr>
  </w:style>
  <w:style w:type="paragraph" w:styleId="1047" w:customStyle="1">
    <w:name w:val="普通正文"/>
    <w:basedOn w:val="994"/>
    <w:link w:val="1046"/>
    <w:qFormat/>
    <w:pPr>
      <w:ind w:firstLine="480"/>
      <w:jc w:val="left"/>
      <w:spacing w:before="120" w:after="120" w:line="360" w:lineRule="auto"/>
    </w:pPr>
    <w:rPr>
      <w:rFonts w:ascii="Arial" w:hAnsi="Arial" w:eastAsia="等线"/>
      <w:sz w:val="24"/>
      <w:szCs w:val="24"/>
    </w:rPr>
  </w:style>
  <w:style w:type="character" w:styleId="1048" w:customStyle="1">
    <w:name w:val="列出段落 Char"/>
    <w:link w:val="1049"/>
    <w:qFormat/>
    <w:rPr>
      <w:rFonts w:ascii="Calibri" w:hAnsi="Calibri" w:eastAsia="等线" w:cs="Calibri"/>
      <w:sz w:val="24"/>
      <w:szCs w:val="24"/>
      <w:lang w:eastAsia="en-US" w:bidi="en-US"/>
    </w:rPr>
  </w:style>
  <w:style w:type="paragraph" w:styleId="1049" w:customStyle="1">
    <w:name w:val="列出段落1"/>
    <w:basedOn w:val="994"/>
    <w:link w:val="1048"/>
    <w:qFormat/>
    <w:pPr>
      <w:contextualSpacing/>
      <w:ind w:left="720"/>
      <w:jc w:val="left"/>
      <w:widowControl/>
    </w:pPr>
    <w:rPr>
      <w:rFonts w:ascii="Calibri" w:hAnsi="Calibri" w:eastAsia="等线" w:cs="Calibri"/>
      <w:sz w:val="24"/>
      <w:szCs w:val="24"/>
      <w:lang w:eastAsia="en-US" w:bidi="en-US"/>
    </w:rPr>
  </w:style>
  <w:style w:type="paragraph" w:styleId="1050" w:customStyle="1">
    <w:name w:val="Char"/>
    <w:basedOn w:val="994"/>
    <w:qFormat/>
    <w:pPr>
      <w:ind w:firstLine="200"/>
      <w:tabs>
        <w:tab w:val="left" w:pos="360" w:leader="none"/>
      </w:tabs>
    </w:pPr>
    <w:rPr>
      <w:sz w:val="28"/>
      <w:szCs w:val="30"/>
    </w:rPr>
  </w:style>
  <w:style w:type="character" w:styleId="1051" w:customStyle="1">
    <w:name w:val="NormalCharacter"/>
    <w:qFormat/>
    <w:rPr>
      <w:rFonts w:ascii="等线" w:hAnsi="等线" w:eastAsia="等线" w:cs="Times New Roman"/>
    </w:rPr>
  </w:style>
  <w:style w:type="paragraph" w:styleId="1052">
    <w:name w:val="List Paragraph"/>
    <w:basedOn w:val="994"/>
    <w:uiPriority w:val="34"/>
    <w:qFormat/>
    <w:pPr>
      <w:ind w:firstLine="420"/>
    </w:pPr>
    <w:rPr>
      <w:rFonts w:ascii="等线" w:hAnsi="等线" w:eastAsia="等线"/>
      <w:szCs w:val="22"/>
    </w:rPr>
  </w:style>
  <w:style w:type="paragraph" w:styleId="1053" w:customStyle="1">
    <w:name w:val="Table Paragraph"/>
    <w:basedOn w:val="994"/>
    <w:uiPriority w:val="1"/>
    <w:qFormat/>
    <w:pPr>
      <w:jc w:val="left"/>
    </w:pPr>
    <w:rPr>
      <w:rFonts w:ascii="等线" w:hAnsi="等线" w:eastAsia="等线"/>
      <w:sz w:val="22"/>
      <w:szCs w:val="22"/>
      <w:lang w:eastAsia="en-US"/>
    </w:rPr>
  </w:style>
  <w:style w:type="paragraph" w:styleId="1054" w:customStyle="1">
    <w:name w:val="样式 正文首行缩进 + 首行缩进:  1 字符"/>
    <w:basedOn w:val="1023"/>
    <w:next w:val="1007"/>
    <w:qFormat/>
    <w:pPr>
      <w:ind w:firstLine="200"/>
      <w:spacing w:after="40"/>
    </w:pPr>
    <w:rPr>
      <w:rFonts w:eastAsia="隶书" w:cs="宋体"/>
      <w:shd w:val="clear" w:color="auto" w:fill="ffffff"/>
    </w:rPr>
  </w:style>
  <w:style w:type="paragraph" w:styleId="1055" w:customStyle="1">
    <w:name w:val="样式 仿宋_GB2312 四号 行距: 1.5 倍行距"/>
    <w:basedOn w:val="994"/>
    <w:qFormat/>
    <w:pPr>
      <w:ind w:firstLine="560"/>
      <w:spacing w:line="360" w:lineRule="auto"/>
    </w:pPr>
    <w:rPr>
      <w:rFonts w:ascii="仿宋_GB2312" w:eastAsia="仿宋_GB2312" w:cs="宋体"/>
      <w:sz w:val="28"/>
      <w:szCs w:val="20"/>
    </w:rPr>
  </w:style>
  <w:style w:type="table" w:styleId="1056" w:customStyle="1">
    <w:name w:val="Table Normal"/>
    <w:uiPriority w:val="2"/>
    <w:unhideWhenUsed/>
    <w:qFormat/>
    <w:tblPr>
      <w:tblCellMar>
        <w:left w:w="0" w:type="dxa"/>
        <w:top w:w="0" w:type="dxa"/>
        <w:right w:w="0" w:type="dxa"/>
        <w:bottom w:w="0" w:type="dxa"/>
      </w:tblCellMar>
    </w:tblPr>
  </w:style>
  <w:style w:type="character" w:styleId="1057" w:customStyle="1">
    <w:name w:val="16"/>
    <w:qFormat/>
    <w:rPr>
      <w:rFonts w:hint="default" w:ascii="Times New Roman" w:hAnsi="Times New Roman" w:eastAsia="等线" w:cs="Times New Roman"/>
      <w:b/>
      <w:bCs/>
    </w:rPr>
  </w:style>
  <w:style w:type="paragraph" w:styleId="1058" w:customStyle="1">
    <w:name w:val="WPSOffice手动目录 1"/>
    <w:qFormat/>
    <w:rPr>
      <w:rFonts w:asciiTheme="minorHAnsi" w:hAnsiTheme="minorHAnsi" w:eastAsiaTheme="minorEastAsia" w:cstheme="minorBidi"/>
    </w:rPr>
  </w:style>
  <w:style w:type="paragraph" w:styleId="1059" w:customStyle="1">
    <w:name w:val="WPSOffice手动目录 2"/>
    <w:qFormat/>
    <w:pPr>
      <w:ind w:left="200"/>
    </w:pPr>
    <w:rPr>
      <w:rFonts w:asciiTheme="minorHAnsi" w:hAnsiTheme="minorHAnsi" w:eastAsiaTheme="minorEastAsia" w:cstheme="minorBidi"/>
    </w:rPr>
  </w:style>
  <w:style w:type="paragraph" w:styleId="1060" w:customStyle="1">
    <w:name w:val="WPSOffice手动目录 3"/>
    <w:qFormat/>
    <w:pPr>
      <w:ind w:left="400"/>
    </w:pPr>
    <w:rPr>
      <w:rFonts w:asciiTheme="minorHAnsi" w:hAnsiTheme="minorHAnsi" w:eastAsiaTheme="minorEastAsia" w:cstheme="minorBidi"/>
    </w:rPr>
  </w:style>
  <w:style w:type="paragraph" w:styleId="1061" w:customStyle="1">
    <w:name w:val="!正文"/>
    <w:basedOn w:val="994"/>
    <w:qFormat/>
    <w:pPr>
      <w:ind w:firstLine="200"/>
      <w:spacing w:line="360" w:lineRule="auto"/>
      <w:widowControl/>
    </w:pPr>
    <w:rPr>
      <w:rFonts w:asciiTheme="minorHAnsi" w:hAnsiTheme="minorHAnsi" w:eastAsiaTheme="minorEastAsia" w:cstheme="minorBidi"/>
      <w:sz w:val="24"/>
      <w:szCs w:val="28"/>
    </w:rPr>
  </w:style>
  <w:style w:type="paragraph" w:styleId="1062" w:customStyle="1">
    <w:name w:val="样式1"/>
    <w:basedOn w:val="994"/>
    <w:qFormat/>
    <w:pPr>
      <w:numPr>
        <w:numId w:val="4"/>
      </w:numPr>
      <w:jc w:val="left"/>
      <w:spacing w:before="340" w:after="340" w:line="360" w:lineRule="auto"/>
      <w:widowControl/>
      <w:outlineLvl w:val="0"/>
    </w:pPr>
    <w:rPr>
      <w:rFonts w:ascii="Arial" w:hAnsi="Arial"/>
      <w:b/>
      <w:sz w:val="32"/>
      <w:szCs w:val="32"/>
    </w:rPr>
  </w:style>
  <w:style w:type="character" w:styleId="1063" w:customStyle="1">
    <w:name w:val="font81"/>
    <w:basedOn w:val="1002"/>
    <w:qFormat/>
    <w:rPr>
      <w:rFonts w:hint="eastAsia" w:ascii="宋体" w:hAnsi="宋体" w:eastAsia="宋体" w:cs="宋体"/>
      <w:color w:val="000000"/>
      <w:sz w:val="24"/>
      <w:szCs w:val="24"/>
      <w:u w:val="none"/>
    </w:rPr>
  </w:style>
  <w:style w:type="character" w:styleId="1064" w:customStyle="1">
    <w:name w:val="标题 5 字符"/>
    <w:basedOn w:val="1002"/>
    <w:link w:val="999"/>
    <w:uiPriority w:val="9"/>
    <w:qFormat/>
    <w:rPr>
      <w:rFonts w:ascii="Calibri" w:hAnsi="Calibri"/>
      <w:b/>
      <w:bCs/>
      <w:sz w:val="28"/>
      <w:szCs w:val="28"/>
    </w:rPr>
  </w:style>
  <w:style w:type="paragraph" w:styleId="1065" w:customStyle="1">
    <w:name w:val="正文_2"/>
    <w:qFormat/>
    <w:pPr>
      <w:jc w:val="both"/>
      <w:widowControl w:val="off"/>
    </w:pPr>
    <w:rPr>
      <w:rFonts w:ascii="Calibri" w:hAnsi="Calibri"/>
      <w:sz w:val="21"/>
      <w:szCs w:val="22"/>
    </w:rPr>
  </w:style>
  <w:style w:type="character" w:styleId="1066" w:customStyle="1">
    <w:name w:val="正文文本 字符"/>
    <w:basedOn w:val="1002"/>
    <w:link w:val="1009"/>
    <w:uiPriority w:val="99"/>
    <w:qFormat/>
    <w:rPr>
      <w:sz w:val="21"/>
      <w:szCs w:val="21"/>
    </w:rPr>
  </w:style>
  <w:style w:type="character" w:styleId="1067" w:customStyle="1">
    <w:name w:val="正文首行缩进 字符"/>
    <w:basedOn w:val="1066"/>
    <w:link w:val="1023"/>
    <w:uiPriority w:val="99"/>
    <w:qFormat/>
    <w:rPr>
      <w:rFonts w:ascii="Calibri" w:hAnsi="Calibri"/>
      <w:sz w:val="21"/>
      <w:szCs w:val="22"/>
    </w:rPr>
  </w:style>
  <w:style w:type="character" w:styleId="1068" w:customStyle="1">
    <w:name w:val="标题 2 字符1"/>
    <w:qFormat/>
    <w:rPr>
      <w:rFonts w:ascii="Arial" w:hAnsi="Arial" w:eastAsia="黑体" w:cs="Times New Roman"/>
      <w:b/>
      <w:bCs/>
      <w:sz w:val="32"/>
      <w:szCs w:val="32"/>
    </w:rPr>
  </w:style>
  <w:style w:type="character" w:styleId="1069" w:customStyle="1">
    <w:name w:val="列出段落 字符"/>
    <w:uiPriority w:val="34"/>
    <w:qFormat/>
    <w:rPr>
      <w:sz w:val="21"/>
      <w:szCs w:val="24"/>
    </w:rPr>
  </w:style>
  <w:style w:type="paragraph" w:styleId="1070" w:customStyle="1">
    <w:name w:val="首行缩进"/>
    <w:basedOn w:val="994"/>
    <w:link w:val="1071"/>
    <w:qFormat/>
    <w:pPr>
      <w:ind w:firstLine="480"/>
      <w:spacing w:line="360" w:lineRule="auto"/>
    </w:pPr>
    <w:rPr>
      <w:rFonts w:ascii="宋体" w:hAnsi="宋体"/>
      <w:sz w:val="24"/>
      <w:szCs w:val="22"/>
      <w:lang w:val="zh-CN"/>
    </w:rPr>
  </w:style>
  <w:style w:type="character" w:styleId="1071" w:customStyle="1">
    <w:name w:val="首行缩进 Char"/>
    <w:link w:val="1070"/>
    <w:qFormat/>
    <w:rPr>
      <w:rFonts w:ascii="宋体" w:hAnsi="宋体"/>
      <w:sz w:val="24"/>
      <w:szCs w:val="22"/>
      <w:lang w:val="zh-CN"/>
    </w:rPr>
  </w:style>
  <w:style w:type="character" w:styleId="1072" w:customStyle="1">
    <w:name w:val="样式 正文缩进 + 首行缩进:  2 字符 Char"/>
    <w:link w:val="1073"/>
    <w:qFormat/>
    <w:rPr>
      <w:szCs w:val="21"/>
    </w:rPr>
  </w:style>
  <w:style w:type="paragraph" w:styleId="1073" w:customStyle="1">
    <w:name w:val="样式 正文缩进 + 首行缩进:  2 字符"/>
    <w:basedOn w:val="1005"/>
    <w:link w:val="1072"/>
    <w:qFormat/>
    <w:pPr>
      <w:ind w:firstLine="0"/>
      <w:widowControl/>
    </w:pPr>
    <w:rPr>
      <w:rFonts w:ascii="Times New Roman" w:hAnsi="Times New Roman" w:eastAsia="宋体"/>
      <w:szCs w:val="21"/>
    </w:rPr>
  </w:style>
  <w:style w:type="paragraph" w:styleId="1074" w:customStyle="1">
    <w:name w:val="9-正文"/>
    <w:basedOn w:val="994"/>
    <w:link w:val="1075"/>
    <w:qFormat/>
    <w:pPr>
      <w:ind w:firstLine="480"/>
      <w:spacing w:line="360" w:lineRule="auto"/>
    </w:pPr>
    <w:rPr>
      <w:rFonts w:ascii="等线" w:hAnsi="等线" w:eastAsia="等线"/>
      <w:sz w:val="24"/>
      <w:szCs w:val="24"/>
    </w:rPr>
  </w:style>
  <w:style w:type="character" w:styleId="1075" w:customStyle="1">
    <w:name w:val="9-正文 Char"/>
    <w:link w:val="1074"/>
    <w:qFormat/>
    <w:rPr>
      <w:rFonts w:ascii="等线" w:hAnsi="等线" w:eastAsia="等线"/>
      <w:sz w:val="24"/>
      <w:szCs w:val="24"/>
    </w:rPr>
  </w:style>
  <w:style w:type="paragraph" w:styleId="1076" w:customStyle="1">
    <w:name w:val="9-正文编号"/>
    <w:basedOn w:val="1074"/>
    <w:link w:val="1077"/>
    <w:qFormat/>
    <w:pPr>
      <w:ind w:left="846" w:hanging="422"/>
    </w:pPr>
    <w:rPr>
      <w:szCs w:val="21"/>
    </w:rPr>
  </w:style>
  <w:style w:type="character" w:styleId="1077" w:customStyle="1">
    <w:name w:val="9-正文编号 Char"/>
    <w:link w:val="1076"/>
    <w:qFormat/>
    <w:rPr>
      <w:rFonts w:ascii="等线" w:hAnsi="等线" w:eastAsia="等线"/>
      <w:sz w:val="24"/>
      <w:szCs w:val="21"/>
    </w:rPr>
  </w:style>
  <w:style w:type="character" w:styleId="1078" w:customStyle="1">
    <w:name w:val="常用-正文 Char"/>
    <w:link w:val="1079"/>
    <w:qFormat/>
    <w:rPr>
      <w:szCs w:val="21"/>
    </w:rPr>
  </w:style>
  <w:style w:type="paragraph" w:styleId="1079" w:customStyle="1">
    <w:name w:val="常用-正文"/>
    <w:basedOn w:val="994"/>
    <w:link w:val="1078"/>
    <w:qFormat/>
    <w:pPr>
      <w:ind w:firstLine="200"/>
      <w:spacing w:line="360" w:lineRule="auto"/>
    </w:pPr>
    <w:rPr>
      <w:sz w:val="20"/>
    </w:rPr>
  </w:style>
  <w:style w:type="paragraph" w:styleId="1080" w:customStyle="1">
    <w:name w:val="*正文"/>
    <w:basedOn w:val="994"/>
    <w:link w:val="1081"/>
    <w:qFormat/>
    <w:pPr>
      <w:ind w:firstLine="200"/>
      <w:jc w:val="left"/>
      <w:spacing w:line="360" w:lineRule="auto"/>
      <w:widowControl/>
    </w:pPr>
    <w:rPr>
      <w:rFonts w:ascii="宋体" w:hAnsi="宋体"/>
      <w:sz w:val="24"/>
      <w:szCs w:val="20"/>
    </w:rPr>
  </w:style>
  <w:style w:type="character" w:styleId="1081" w:customStyle="1">
    <w:name w:val="*正文 Char"/>
    <w:link w:val="1080"/>
    <w:qFormat/>
    <w:rPr>
      <w:rFonts w:ascii="宋体" w:hAnsi="宋体"/>
      <w:sz w:val="24"/>
    </w:rPr>
  </w:style>
  <w:style w:type="table" w:styleId="1082" w:customStyle="1">
    <w:name w:val="浅色列表1"/>
    <w:basedOn w:val="1003"/>
    <w:uiPriority w:val="61"/>
    <w:qFormat/>
    <w:rPr>
      <w:rFonts w:ascii="等线" w:hAnsi="等线" w:eastAsia="等线"/>
    </w:rPr>
    <w:tblPr>
      <w:tblBorders>
        <w:top w:val="single" w:color="000000" w:sz="8" w:space="0"/>
        <w:left w:val="single" w:color="000000" w:sz="8" w:space="0"/>
        <w:bottom w:val="single" w:color="000000" w:sz="8" w:space="0"/>
        <w:right w:val="single" w:color="000000" w:sz="8" w:space="0"/>
      </w:tblBorders>
    </w:tblPr>
    <w:tblStylePr w:type="band1Horz">
      <w:tcPr>
        <w:tcBorders>
          <w:top w:val="single" w:color="auto" w:sz="8" w:space="0"/>
          <w:left w:val="single" w:color="auto" w:sz="8" w:space="0"/>
          <w:bottom w:val="single" w:color="auto" w:sz="8" w:space="0"/>
          <w:right w:val="single" w:color="auto" w:sz="8" w:space="0"/>
          <w:insideH w:val="none" w:color="000000" w:sz="4" w:space="0"/>
          <w:insideV w:val="none" w:color="000000" w:sz="4" w:space="0"/>
        </w:tcBorders>
      </w:tcPr>
    </w:tblStylePr>
    <w:tblStylePr w:type="band1Vert">
      <w:tcPr>
        <w:tcBorders>
          <w:top w:val="single" w:color="auto" w:sz="8" w:space="0"/>
          <w:left w:val="single" w:color="auto" w:sz="8" w:space="0"/>
          <w:bottom w:val="single" w:color="auto" w:sz="8" w:space="0"/>
          <w:right w:val="single" w:color="auto" w:sz="8" w:space="0"/>
          <w:insideH w:val="none" w:color="000000" w:sz="4" w:space="0"/>
          <w:insideV w:val="none" w:color="000000" w:sz="4" w:space="0"/>
        </w:tcBorders>
      </w:tcPr>
    </w:tblStylePr>
    <w:tblStylePr w:type="firstRow">
      <w:pPr>
        <w:spacing w:before="0" w:after="0" w:line="240" w:lineRule="auto"/>
      </w:pPr>
      <w:tcPr>
        <w:shd w:val="clear" w:color="auto" w:fill="000000"/>
      </w:tcPr>
    </w:tblStylePr>
    <w:tblStylePr w:type="lastRow">
      <w:pPr>
        <w:spacing w:before="0" w:after="0" w:line="240" w:lineRule="auto"/>
      </w:pPr>
      <w:tcPr>
        <w:tcBorders>
          <w:top w:val="single" w:color="auto" w:sz="6" w:space="0"/>
          <w:left w:val="single" w:color="auto" w:sz="8" w:space="0"/>
          <w:bottom w:val="single" w:color="auto" w:sz="8" w:space="0"/>
          <w:right w:val="single" w:color="auto" w:sz="8" w:space="0"/>
          <w:insideH w:val="none" w:color="000000" w:sz="4" w:space="0"/>
          <w:insideV w:val="none" w:color="000000" w:sz="4" w:space="0"/>
        </w:tcBorders>
      </w:tcPr>
    </w:tblStylePr>
  </w:style>
  <w:style w:type="paragraph" w:styleId="1083" w:customStyle="1">
    <w:name w:val="TOC 标题1"/>
    <w:basedOn w:val="995"/>
    <w:next w:val="994"/>
    <w:uiPriority w:val="39"/>
    <w:unhideWhenUsed/>
    <w:qFormat/>
    <w:pPr>
      <w:jc w:val="left"/>
      <w:keepLines/>
      <w:spacing w:before="240" w:line="259" w:lineRule="auto"/>
      <w:widowControl/>
      <w:outlineLvl w:val="9"/>
    </w:pPr>
    <w:rPr>
      <w:rFonts w:asciiTheme="majorHAnsi" w:hAnsiTheme="majorHAnsi" w:eastAsiaTheme="majorEastAsia" w:cstheme="majorBidi"/>
      <w:color w:val="2e74b5" w:themeColor="accent1" w:themeShade="BF"/>
      <w:sz w:val="32"/>
      <w:szCs w:val="32"/>
    </w:rPr>
  </w:style>
  <w:style w:type="character" w:styleId="1084" w:customStyle="1">
    <w:name w:val="正文首行缩进 2 字符"/>
    <w:basedOn w:val="1037"/>
    <w:link w:val="1024"/>
    <w:qFormat/>
    <w:rPr>
      <w:rFonts w:ascii="楷体_GB2312" w:hAnsi="等线" w:eastAsia="楷体_GB2312" w:cs="Times New Roman"/>
      <w:sz w:val="21"/>
      <w:szCs w:val="21"/>
    </w:rPr>
  </w:style>
  <w:style w:type="character" w:styleId="1085" w:customStyle="1">
    <w:name w:val="正文文本缩进 2 字符"/>
    <w:basedOn w:val="1002"/>
    <w:link w:val="1015"/>
    <w:qFormat/>
    <w:rPr>
      <w:sz w:val="21"/>
      <w:szCs w:val="21"/>
    </w:rPr>
  </w:style>
  <w:style w:type="character" w:styleId="1086" w:customStyle="1">
    <w:name w:val="font21"/>
    <w:basedOn w:val="1002"/>
    <w:qFormat/>
    <w:rPr>
      <w:rFonts w:ascii="宋体" w:hAnsi="宋体" w:eastAsia="宋体" w:cs="宋体"/>
      <w:color w:val="000000"/>
      <w:sz w:val="22"/>
      <w:szCs w:val="22"/>
      <w:u w:val="none"/>
    </w:rPr>
  </w:style>
  <w:style w:type="paragraph" w:styleId="1087" w:customStyle="1">
    <w:name w:val="正文1"/>
    <w:qFormat/>
    <w:pPr>
      <w:jc w:val="both"/>
    </w:pPr>
    <w:rPr>
      <w:sz w:val="21"/>
      <w:szCs w:val="21"/>
    </w:rPr>
  </w:style>
  <w:style w:type="paragraph" w:styleId="1088" w:customStyle="1">
    <w:name w:val="正文2"/>
    <w:qFormat/>
    <w:pPr>
      <w:jc w:val="both"/>
    </w:pPr>
    <w:rPr>
      <w:rFonts w:ascii="Calibri" w:hAnsi="Calibri" w:cs="Calibri"/>
      <w:sz w:val="21"/>
      <w:szCs w:val="21"/>
    </w:rPr>
  </w:style>
  <w:style w:type="paragraph" w:styleId="1089" w:customStyle="1">
    <w:name w:val="正文文本1"/>
    <w:basedOn w:val="994"/>
    <w:next w:val="994"/>
    <w:semiHidden/>
    <w:qFormat/>
    <w:pPr>
      <w:spacing w:before="100" w:beforeAutospacing="1" w:after="120"/>
    </w:pPr>
  </w:style>
  <w:style w:type="character" w:styleId="1090" w:customStyle="1">
    <w:name w:val="标题 9 字符"/>
    <w:basedOn w:val="1002"/>
    <w:link w:val="1001"/>
    <w:uiPriority w:val="9"/>
    <w:semiHidden/>
    <w:qFormat/>
    <w:rPr>
      <w:rFonts w:asciiTheme="majorHAnsi" w:hAnsiTheme="majorHAnsi" w:eastAsiaTheme="majorEastAsia" w:cstheme="majorBidi"/>
      <w:sz w:val="21"/>
      <w:szCs w:val="21"/>
    </w:rPr>
  </w:style>
  <w:style w:type="character" w:styleId="1091" w:customStyle="1">
    <w:name w:val="标题 6 字符"/>
    <w:basedOn w:val="1002"/>
    <w:link w:val="1000"/>
    <w:semiHidden/>
    <w:qFormat/>
    <w:rPr>
      <w:rFonts w:ascii="Arial" w:hAnsi="Arial" w:eastAsia="黑体" w:cstheme="minorBidi"/>
      <w:b/>
      <w:sz w:val="24"/>
      <w:szCs w:val="22"/>
    </w:rPr>
  </w:style>
  <w:style w:type="paragraph" w:styleId="1092" w:customStyle="1">
    <w:name w:val="样式 首行缩进:  0 字符"/>
    <w:basedOn w:val="994"/>
    <w:link w:val="1093"/>
    <w:qFormat/>
    <w:pPr>
      <w:ind w:firstLine="200"/>
      <w:spacing w:line="360" w:lineRule="auto"/>
    </w:pPr>
    <w:rPr>
      <w:rFonts w:ascii="Arial" w:hAnsi="Arial" w:cs="宋体"/>
      <w:sz w:val="24"/>
      <w:szCs w:val="20"/>
    </w:rPr>
  </w:style>
  <w:style w:type="character" w:styleId="1093" w:customStyle="1">
    <w:name w:val="样式 首行缩进:  0 字符 Char"/>
    <w:link w:val="1092"/>
    <w:qFormat/>
    <w:rPr>
      <w:rFonts w:ascii="Arial" w:hAnsi="Arial" w:cs="宋体"/>
      <w:sz w:val="24"/>
    </w:rPr>
  </w:style>
  <w:style w:type="paragraph" w:styleId="1094" w:customStyle="1">
    <w:name w:val="正文（1）"/>
    <w:basedOn w:val="994"/>
    <w:link w:val="1096"/>
    <w:qFormat/>
    <w:pPr>
      <w:numPr>
        <w:numId w:val="5"/>
      </w:numPr>
      <w:spacing w:line="360" w:lineRule="auto"/>
    </w:pPr>
    <w:rPr>
      <w:rFonts w:eastAsia="仿宋"/>
      <w:sz w:val="24"/>
    </w:rPr>
  </w:style>
  <w:style w:type="character" w:styleId="1095" w:customStyle="1">
    <w:name w:val="题注 字符"/>
    <w:basedOn w:val="1002"/>
    <w:link w:val="1006"/>
    <w:qFormat/>
    <w:rPr>
      <w:rFonts w:ascii="Arial Unicode MS" w:hAnsi="Arial Unicode MS" w:cs="宋体"/>
      <w:sz w:val="21"/>
    </w:rPr>
  </w:style>
  <w:style w:type="character" w:styleId="1096" w:customStyle="1">
    <w:name w:val="正文（1） Char"/>
    <w:basedOn w:val="1002"/>
    <w:link w:val="1094"/>
    <w:qFormat/>
    <w:rPr>
      <w:rFonts w:eastAsia="仿宋"/>
      <w:sz w:val="24"/>
      <w:szCs w:val="21"/>
    </w:rPr>
  </w:style>
  <w:style w:type="paragraph" w:styleId="1097" w:customStyle="1">
    <w:name w:val="表后"/>
    <w:basedOn w:val="994"/>
    <w:link w:val="1098"/>
    <w:qFormat/>
    <w:pPr>
      <w:ind w:firstLine="260"/>
      <w:spacing w:line="360" w:lineRule="auto"/>
    </w:pPr>
    <w:rPr>
      <w:rFonts w:asciiTheme="minorHAnsi" w:hAnsiTheme="minorHAnsi" w:eastAsiaTheme="minorEastAsia" w:cstheme="minorBidi"/>
      <w:sz w:val="13"/>
      <w:szCs w:val="22"/>
    </w:rPr>
  </w:style>
  <w:style w:type="character" w:styleId="1098" w:customStyle="1">
    <w:name w:val="表后 Char"/>
    <w:basedOn w:val="1002"/>
    <w:link w:val="1097"/>
    <w:qFormat/>
    <w:rPr>
      <w:rFonts w:asciiTheme="minorHAnsi" w:hAnsiTheme="minorHAnsi" w:eastAsiaTheme="minorEastAsia" w:cstheme="minorBidi"/>
      <w:sz w:val="13"/>
      <w:szCs w:val="22"/>
    </w:rPr>
  </w:style>
  <w:style w:type="paragraph" w:styleId="1099" w:customStyle="1">
    <w:name w:val="msonormal"/>
    <w:basedOn w:val="994"/>
    <w:qFormat/>
    <w:pPr>
      <w:jc w:val="left"/>
      <w:spacing w:before="100" w:beforeAutospacing="1" w:after="100" w:afterAutospacing="1"/>
      <w:widowControl/>
    </w:pPr>
    <w:rPr>
      <w:rFonts w:ascii="宋体" w:hAnsi="宋体" w:cs="宋体"/>
      <w:sz w:val="24"/>
      <w:szCs w:val="24"/>
    </w:rPr>
  </w:style>
  <w:style w:type="paragraph" w:styleId="1100" w:customStyle="1">
    <w:name w:val="font5"/>
    <w:basedOn w:val="994"/>
    <w:qFormat/>
    <w:pPr>
      <w:jc w:val="left"/>
      <w:spacing w:before="100" w:beforeAutospacing="1" w:after="100" w:afterAutospacing="1"/>
      <w:widowControl/>
    </w:pPr>
    <w:rPr>
      <w:rFonts w:ascii="宋体" w:hAnsi="宋体" w:cs="宋体"/>
      <w:sz w:val="20"/>
      <w:szCs w:val="20"/>
    </w:rPr>
  </w:style>
  <w:style w:type="paragraph" w:styleId="1101" w:customStyle="1">
    <w:name w:val="font6"/>
    <w:basedOn w:val="994"/>
    <w:qFormat/>
    <w:pPr>
      <w:jc w:val="left"/>
      <w:spacing w:before="100" w:beforeAutospacing="1" w:after="100" w:afterAutospacing="1"/>
      <w:widowControl/>
    </w:pPr>
    <w:rPr>
      <w:rFonts w:ascii="Tahoma" w:hAnsi="Tahoma" w:cs="Tahoma"/>
      <w:sz w:val="18"/>
      <w:szCs w:val="18"/>
    </w:rPr>
  </w:style>
  <w:style w:type="paragraph" w:styleId="1102" w:customStyle="1">
    <w:name w:val="font8"/>
    <w:basedOn w:val="994"/>
    <w:qFormat/>
    <w:pPr>
      <w:jc w:val="left"/>
      <w:spacing w:before="100" w:beforeAutospacing="1" w:after="100" w:afterAutospacing="1"/>
      <w:widowControl/>
    </w:pPr>
    <w:rPr>
      <w:rFonts w:ascii="宋体" w:hAnsi="宋体" w:cs="宋体"/>
      <w:b/>
      <w:bCs/>
      <w:sz w:val="18"/>
      <w:szCs w:val="18"/>
    </w:rPr>
  </w:style>
  <w:style w:type="paragraph" w:styleId="1103" w:customStyle="1">
    <w:name w:val="font9"/>
    <w:basedOn w:val="994"/>
    <w:qFormat/>
    <w:pPr>
      <w:jc w:val="left"/>
      <w:spacing w:before="100" w:beforeAutospacing="1" w:after="100" w:afterAutospacing="1"/>
      <w:widowControl/>
    </w:pPr>
    <w:rPr>
      <w:rFonts w:ascii="宋体" w:hAnsi="宋体" w:cs="宋体"/>
      <w:sz w:val="18"/>
      <w:szCs w:val="18"/>
    </w:rPr>
  </w:style>
  <w:style w:type="paragraph" w:styleId="1104" w:customStyle="1">
    <w:name w:val="font10"/>
    <w:basedOn w:val="994"/>
    <w:qFormat/>
    <w:pPr>
      <w:jc w:val="left"/>
      <w:spacing w:before="100" w:beforeAutospacing="1" w:after="100" w:afterAutospacing="1"/>
      <w:widowControl/>
    </w:pPr>
    <w:rPr>
      <w:rFonts w:ascii="等线" w:hAnsi="等线" w:eastAsia="等线" w:cs="宋体"/>
      <w:sz w:val="18"/>
      <w:szCs w:val="18"/>
    </w:rPr>
  </w:style>
  <w:style w:type="paragraph" w:styleId="1105" w:customStyle="1">
    <w:name w:val="font11"/>
    <w:basedOn w:val="994"/>
    <w:qFormat/>
    <w:pPr>
      <w:jc w:val="left"/>
      <w:spacing w:before="100" w:beforeAutospacing="1" w:after="100" w:afterAutospacing="1"/>
      <w:widowControl/>
    </w:pPr>
    <w:rPr>
      <w:rFonts w:ascii="Calibri" w:hAnsi="Calibri" w:cs="Calibri"/>
      <w:sz w:val="20"/>
      <w:szCs w:val="20"/>
    </w:rPr>
  </w:style>
  <w:style w:type="paragraph" w:styleId="1106" w:customStyle="1">
    <w:name w:val="xl63"/>
    <w:basedOn w:val="994"/>
    <w:qFormat/>
    <w:pPr>
      <w:jc w:val="left"/>
      <w:spacing w:before="100" w:beforeAutospacing="1" w:after="100" w:afterAutospacing="1"/>
      <w:widowControl/>
    </w:pPr>
    <w:rPr>
      <w:rFonts w:ascii="宋体" w:hAnsi="宋体" w:cs="宋体"/>
      <w:sz w:val="24"/>
      <w:szCs w:val="24"/>
    </w:rPr>
  </w:style>
  <w:style w:type="paragraph" w:styleId="1107" w:customStyle="1">
    <w:name w:val="xl64"/>
    <w:basedOn w:val="994"/>
    <w:qFormat/>
    <w:pPr>
      <w:jc w:val="center"/>
      <w:spacing w:before="100" w:beforeAutospacing="1" w:after="100" w:afterAutospacing="1"/>
      <w:widowControl/>
    </w:pPr>
    <w:rPr>
      <w:rFonts w:ascii="宋体" w:hAnsi="宋体" w:cs="宋体"/>
      <w:sz w:val="24"/>
      <w:szCs w:val="24"/>
    </w:rPr>
  </w:style>
  <w:style w:type="paragraph" w:styleId="1108" w:customStyle="1">
    <w:name w:val="xl65"/>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9" w:customStyle="1">
    <w:name w:val="xl66"/>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10" w:customStyle="1">
    <w:name w:val="xl67"/>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11" w:customStyle="1">
    <w:name w:val="xl68"/>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12" w:customStyle="1">
    <w:name w:val="xl69"/>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3" w:customStyle="1">
    <w:name w:val="xl70"/>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14" w:customStyle="1">
    <w:name w:val="xl71"/>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5" w:customStyle="1">
    <w:name w:val="xl72"/>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6" w:customStyle="1">
    <w:name w:val="xl73"/>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17" w:customStyle="1">
    <w:name w:val="xl74"/>
    <w:basedOn w:val="994"/>
    <w:qFormat/>
    <w:pPr>
      <w:jc w:val="center"/>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b/>
      <w:bCs/>
      <w:sz w:val="28"/>
      <w:szCs w:val="28"/>
    </w:rPr>
  </w:style>
  <w:style w:type="paragraph" w:styleId="1118" w:customStyle="1">
    <w:name w:val="xl75"/>
    <w:basedOn w:val="994"/>
    <w:qFormat/>
    <w:pPr>
      <w:jc w:val="center"/>
      <w:spacing w:before="100" w:beforeAutospacing="1" w:after="100" w:afterAutospacing="1"/>
      <w:widowControl/>
      <w:pBdr>
        <w:top w:val="single" w:color="auto" w:sz="4" w:space="0"/>
        <w:bottom w:val="single" w:color="auto" w:sz="4" w:space="0"/>
      </w:pBdr>
    </w:pPr>
    <w:rPr>
      <w:rFonts w:ascii="微软雅黑" w:hAnsi="微软雅黑" w:eastAsia="微软雅黑" w:cs="宋体"/>
      <w:b/>
      <w:bCs/>
      <w:sz w:val="28"/>
      <w:szCs w:val="28"/>
    </w:rPr>
  </w:style>
  <w:style w:type="paragraph" w:styleId="1119" w:customStyle="1">
    <w:name w:val="xl76"/>
    <w:basedOn w:val="994"/>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b/>
      <w:bCs/>
      <w:sz w:val="28"/>
      <w:szCs w:val="28"/>
    </w:rPr>
  </w:style>
  <w:style w:type="paragraph" w:styleId="1120" w:customStyle="1">
    <w:name w:val="xl77"/>
    <w:basedOn w:val="99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szCs w:val="20"/>
    </w:rPr>
  </w:style>
  <w:style w:type="paragraph" w:styleId="1121" w:customStyle="1">
    <w:name w:val="xl78"/>
    <w:basedOn w:val="99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1122" w:customStyle="1">
    <w:name w:val="xl79"/>
    <w:basedOn w:val="99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123" w:customStyle="1">
    <w:name w:val="xl80"/>
    <w:basedOn w:val="99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124" w:customStyle="1">
    <w:name w:val="xl81"/>
    <w:basedOn w:val="99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125" w:customStyle="1">
    <w:name w:val="xl82"/>
    <w:basedOn w:val="99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126" w:customStyle="1">
    <w:name w:val="xl83"/>
    <w:basedOn w:val="99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127" w:customStyle="1">
    <w:name w:val="xl84"/>
    <w:basedOn w:val="99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character" w:styleId="1128" w:customStyle="1">
    <w:name w:val="纯文本 Char"/>
    <w:qFormat/>
    <w:rPr>
      <w:rFonts w:ascii="宋体" w:hAnsi="Courier New"/>
      <w:sz w:val="24"/>
    </w:rPr>
  </w:style>
  <w:style w:type="character" w:styleId="1129" w:customStyle="1">
    <w:name w:val="UserStyle_0"/>
    <w:semiHidden/>
    <w:qFormat/>
    <w:rPr>
      <w:rFonts w:ascii="Calibri" w:hAnsi="Calibri" w:eastAsia="宋体"/>
      <w:sz w:val="21"/>
      <w:szCs w:val="24"/>
      <w:lang w:val="en-US" w:eastAsia="zh-CN" w:bidi="ar-SA"/>
    </w:rPr>
  </w:style>
  <w:style w:type="character" w:styleId="1130" w:customStyle="1">
    <w:name w:val="列表段落 字符1"/>
    <w:uiPriority w:val="34"/>
    <w:qFormat/>
    <w:rPr>
      <w:sz w:val="21"/>
    </w:rPr>
  </w:style>
  <w:style w:type="paragraph" w:styleId="1131" w:customStyle="1">
    <w:name w:val="正文（缩进）"/>
    <w:basedOn w:val="994"/>
    <w:qFormat/>
    <w:pPr>
      <w:ind w:firstLine="480"/>
      <w:jc w:val="left"/>
      <w:spacing w:before="156" w:after="156" w:line="360" w:lineRule="auto"/>
      <w:widowControl/>
    </w:pPr>
    <w:rPr>
      <w:rFonts w:ascii="Arial" w:hAnsi="Arial" w:eastAsia="Arial" w:cs="Arial"/>
      <w:color w:val="000000"/>
      <w:sz w:val="24"/>
    </w:rPr>
  </w:style>
  <w:style w:type="paragraph" w:styleId="1132" w:customStyle="1">
    <w:name w:val="！正文（四号字）"/>
    <w:qFormat/>
    <w:pPr>
      <w:ind w:firstLine="200"/>
      <w:jc w:val="both"/>
      <w:spacing w:line="360" w:lineRule="auto"/>
    </w:pPr>
    <w:rPr>
      <w:rFonts w:ascii="Calibri" w:hAnsi="Calibri"/>
      <w:sz w:val="24"/>
      <w:szCs w:val="28"/>
    </w:rPr>
  </w:style>
  <w:style w:type="paragraph" w:styleId="1133" w:customStyle="1">
    <w:name w:val="msolistparagraph"/>
    <w:basedOn w:val="994"/>
    <w:qFormat/>
    <w:pPr>
      <w:ind w:firstLine="420"/>
      <w:spacing w:line="360" w:lineRule="auto"/>
    </w:pPr>
    <w:rPr>
      <w:rFonts w:hint="eastAsia" w:ascii="等线" w:hAnsi="等线"/>
      <w:sz w:val="24"/>
      <w:szCs w:val="22"/>
    </w:rPr>
  </w:style>
  <w:style w:type="paragraph" w:styleId="1134" w:customStyle="1">
    <w:name w:val="KX正文"/>
    <w:basedOn w:val="994"/>
    <w:qFormat/>
    <w:pPr>
      <w:ind w:firstLine="200"/>
      <w:jc w:val="left"/>
      <w:spacing w:line="440" w:lineRule="exact"/>
    </w:pPr>
    <w:rPr>
      <w:rFonts w:ascii="仿宋_GB2312" w:hAnsi="Calibri" w:eastAsia="仿宋_GB2312"/>
      <w:sz w:val="28"/>
      <w:szCs w:val="20"/>
    </w:rPr>
  </w:style>
  <w:style w:type="character" w:styleId="1135" w:customStyle="1">
    <w:name w:val="font31"/>
    <w:basedOn w:val="1002"/>
    <w:qFormat/>
    <w:rPr>
      <w:rFonts w:hint="eastAsia" w:ascii="宋体" w:hAnsi="宋体" w:eastAsia="宋体" w:cs="宋体"/>
      <w:color w:val="000000"/>
      <w:sz w:val="20"/>
      <w:szCs w:val="20"/>
      <w:u w:val="none"/>
    </w:rPr>
  </w:style>
  <w:style w:type="character" w:styleId="1136" w:customStyle="1">
    <w:name w:val="font101"/>
    <w:basedOn w:val="1002"/>
    <w:qFormat/>
    <w:rPr>
      <w:rFonts w:hint="eastAsia" w:ascii="宋体" w:hAnsi="宋体" w:eastAsia="宋体" w:cs="宋体"/>
      <w:b/>
      <w:bCs/>
      <w:color w:val="000000"/>
      <w:sz w:val="20"/>
      <w:szCs w:val="20"/>
      <w:u w:val="none"/>
    </w:rPr>
  </w:style>
  <w:style w:type="character" w:styleId="1137" w:customStyle="1">
    <w:name w:val="font51"/>
    <w:basedOn w:val="1002"/>
    <w:qFormat/>
    <w:rPr>
      <w:rFonts w:hint="eastAsia" w:ascii="宋体" w:hAnsi="宋体" w:eastAsia="宋体" w:cs="宋体"/>
      <w:color w:val="auto"/>
      <w:sz w:val="20"/>
      <w:szCs w:val="20"/>
      <w:u w:val="none"/>
    </w:rPr>
  </w:style>
  <w:style w:type="character" w:styleId="1138" w:customStyle="1">
    <w:name w:val="font61"/>
    <w:basedOn w:val="1002"/>
    <w:qFormat/>
    <w:rPr>
      <w:rFonts w:hint="eastAsia" w:ascii="宋体" w:hAnsi="宋体" w:eastAsia="宋体" w:cs="宋体"/>
      <w:b/>
      <w:bCs/>
      <w:color w:val="auto"/>
      <w:sz w:val="20"/>
      <w:szCs w:val="20"/>
      <w:u w:val="none"/>
    </w:rPr>
  </w:style>
  <w:style w:type="paragraph" w:styleId="1139" w:customStyle="1">
    <w:name w:val="p0"/>
    <w:basedOn w:val="994"/>
    <w:qFormat/>
    <w:pPr>
      <w:widowControl/>
    </w:pPr>
  </w:style>
  <w:style w:type="character" w:styleId="1140" w:customStyle="1">
    <w:name w:val="font71"/>
    <w:basedOn w:val="1002"/>
    <w:qFormat/>
    <w:rPr>
      <w:rFonts w:ascii="Calibri" w:hAnsi="Calibri" w:cs="Calibri"/>
      <w:color w:val="auto"/>
      <w:sz w:val="20"/>
      <w:szCs w:val="20"/>
      <w:u w:val="none"/>
    </w:rPr>
  </w:style>
  <w:style w:type="character" w:styleId="1141" w:customStyle="1">
    <w:name w:val="font91"/>
    <w:basedOn w:val="1002"/>
    <w:qFormat/>
    <w:rPr>
      <w:rFonts w:hint="eastAsia" w:ascii="宋体" w:hAnsi="宋体" w:eastAsia="宋体" w:cs="宋体"/>
      <w:color w:val="000000"/>
      <w:sz w:val="20"/>
      <w:szCs w:val="20"/>
      <w:u w:val="none"/>
    </w:rPr>
  </w:style>
  <w:style w:type="character" w:styleId="1142" w:customStyle="1">
    <w:name w:val="font131"/>
    <w:basedOn w:val="1002"/>
    <w:qFormat/>
    <w:rPr>
      <w:rFonts w:ascii="Calibri" w:hAnsi="Calibri" w:cs="Calibri"/>
      <w:color w:val="000000"/>
      <w:sz w:val="20"/>
      <w:szCs w:val="20"/>
      <w:u w:val="none"/>
    </w:rPr>
  </w:style>
  <w:style w:type="character" w:styleId="1143" w:customStyle="1">
    <w:name w:val="font141"/>
    <w:basedOn w:val="1002"/>
    <w:qFormat/>
    <w:rPr>
      <w:rFonts w:hint="eastAsia" w:ascii="宋体" w:hAnsi="宋体" w:eastAsia="宋体" w:cs="宋体"/>
      <w:color w:val="000000"/>
      <w:sz w:val="20"/>
      <w:szCs w:val="20"/>
      <w:u w:val="none"/>
    </w:rPr>
  </w:style>
  <w:style w:type="paragraph" w:styleId="1144" w:customStyle="1">
    <w:name w:val="font0"/>
    <w:basedOn w:val="994"/>
    <w:qFormat/>
    <w:pPr>
      <w:jc w:val="left"/>
      <w:spacing w:before="100" w:beforeAutospacing="1" w:after="100" w:afterAutospacing="1"/>
      <w:widowControl/>
    </w:pPr>
    <w:rPr>
      <w:rFonts w:ascii="宋体" w:hAnsi="宋体" w:cs="宋体"/>
      <w:color w:val="000000"/>
      <w:sz w:val="22"/>
      <w:szCs w:val="22"/>
    </w:rPr>
  </w:style>
  <w:style w:type="paragraph" w:styleId="1145" w:customStyle="1">
    <w:name w:val="font1"/>
    <w:basedOn w:val="994"/>
    <w:qFormat/>
    <w:pPr>
      <w:jc w:val="left"/>
      <w:spacing w:before="100" w:beforeAutospacing="1" w:after="100" w:afterAutospacing="1"/>
      <w:widowControl/>
    </w:pPr>
    <w:rPr>
      <w:rFonts w:ascii="宋体" w:hAnsi="宋体" w:cs="宋体"/>
      <w:color w:val="000000"/>
      <w:sz w:val="40"/>
      <w:szCs w:val="40"/>
    </w:rPr>
  </w:style>
  <w:style w:type="paragraph" w:styleId="1146" w:customStyle="1">
    <w:name w:val="font2"/>
    <w:basedOn w:val="994"/>
    <w:qFormat/>
    <w:pPr>
      <w:jc w:val="left"/>
      <w:spacing w:before="100" w:beforeAutospacing="1" w:after="100" w:afterAutospacing="1"/>
      <w:widowControl/>
    </w:pPr>
    <w:rPr>
      <w:rFonts w:ascii="方正仿宋_GBK" w:hAnsi="宋体" w:eastAsia="方正仿宋_GBK" w:cs="宋体"/>
      <w:b/>
      <w:bCs/>
      <w:color w:val="000000"/>
      <w:sz w:val="24"/>
      <w:szCs w:val="24"/>
    </w:rPr>
  </w:style>
  <w:style w:type="paragraph" w:styleId="1147" w:customStyle="1">
    <w:name w:val="font3"/>
    <w:basedOn w:val="994"/>
    <w:qFormat/>
    <w:pPr>
      <w:jc w:val="left"/>
      <w:spacing w:before="100" w:beforeAutospacing="1" w:after="100" w:afterAutospacing="1"/>
      <w:widowControl/>
    </w:pPr>
    <w:rPr>
      <w:rFonts w:ascii="方正仿宋_GBK" w:hAnsi="宋体" w:eastAsia="方正仿宋_GBK" w:cs="宋体"/>
      <w:b/>
      <w:bCs/>
      <w:color w:val="000000"/>
      <w:sz w:val="24"/>
      <w:szCs w:val="24"/>
    </w:rPr>
  </w:style>
  <w:style w:type="paragraph" w:styleId="1148" w:customStyle="1">
    <w:name w:val="font4"/>
    <w:basedOn w:val="994"/>
    <w:qFormat/>
    <w:pPr>
      <w:jc w:val="left"/>
      <w:spacing w:before="100" w:beforeAutospacing="1" w:after="100" w:afterAutospacing="1"/>
      <w:widowControl/>
    </w:pPr>
    <w:rPr>
      <w:rFonts w:ascii="方正仿宋_GBK" w:hAnsi="宋体" w:eastAsia="方正仿宋_GBK" w:cs="宋体"/>
      <w:color w:val="000000"/>
      <w:sz w:val="20"/>
      <w:szCs w:val="20"/>
    </w:rPr>
  </w:style>
  <w:style w:type="paragraph" w:styleId="1149" w:customStyle="1">
    <w:name w:val="et2"/>
    <w:basedOn w:val="994"/>
    <w:qFormat/>
    <w:pPr>
      <w:jc w:val="center"/>
      <w:spacing w:before="100" w:beforeAutospacing="1" w:after="100" w:afterAutospacing="1"/>
      <w:widowControl/>
    </w:pPr>
    <w:rPr>
      <w:rFonts w:ascii="宋体" w:hAnsi="宋体" w:cs="宋体"/>
      <w:sz w:val="24"/>
      <w:szCs w:val="24"/>
    </w:rPr>
  </w:style>
  <w:style w:type="paragraph" w:styleId="1150" w:customStyle="1">
    <w:name w:val="et4"/>
    <w:basedOn w:val="994"/>
    <w:qFormat/>
    <w:pPr>
      <w:jc w:val="center"/>
      <w:spacing w:before="100" w:beforeAutospacing="1" w:after="100" w:afterAutospacing="1"/>
      <w:widowControl/>
    </w:pPr>
    <w:rPr>
      <w:rFonts w:ascii="宋体" w:hAnsi="宋体" w:cs="宋体"/>
      <w:sz w:val="24"/>
      <w:szCs w:val="24"/>
    </w:rPr>
  </w:style>
  <w:style w:type="paragraph" w:styleId="1151" w:customStyle="1">
    <w:name w:val="et5"/>
    <w:basedOn w:val="994"/>
    <w:qFormat/>
    <w:pPr>
      <w:jc w:val="center"/>
      <w:spacing w:before="100" w:beforeAutospacing="1" w:after="100" w:afterAutospacing="1"/>
      <w:widowControl/>
    </w:pPr>
    <w:rPr>
      <w:rFonts w:ascii="宋体" w:hAnsi="宋体" w:cs="宋体"/>
      <w:sz w:val="40"/>
      <w:szCs w:val="40"/>
    </w:rPr>
  </w:style>
  <w:style w:type="paragraph" w:styleId="1152" w:customStyle="1">
    <w:name w:val="et7"/>
    <w:basedOn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仿宋_GBK" w:hAnsi="宋体" w:eastAsia="方正仿宋_GBK" w:cs="宋体"/>
      <w:b/>
      <w:bCs/>
      <w:sz w:val="24"/>
      <w:szCs w:val="24"/>
    </w:rPr>
  </w:style>
  <w:style w:type="paragraph" w:styleId="1153" w:customStyle="1">
    <w:name w:val="et9"/>
    <w:basedOn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仿宋_GBK" w:hAnsi="宋体" w:eastAsia="方正仿宋_GBK" w:cs="宋体"/>
      <w:b/>
      <w:bCs/>
      <w:color w:val="000000"/>
      <w:sz w:val="24"/>
      <w:szCs w:val="24"/>
    </w:rPr>
  </w:style>
  <w:style w:type="paragraph" w:styleId="1154" w:customStyle="1">
    <w:name w:val="et10"/>
    <w:basedOn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仿宋_GBK" w:hAnsi="宋体" w:eastAsia="方正仿宋_GBK" w:cs="宋体"/>
      <w:sz w:val="20"/>
      <w:szCs w:val="20"/>
    </w:rPr>
  </w:style>
  <w:style w:type="paragraph" w:styleId="1155" w:customStyle="1">
    <w:name w:val="et11"/>
    <w:basedOn w:val="994"/>
    <w:qFormat/>
    <w:pPr>
      <w:jc w:val="center"/>
      <w:spacing w:before="100" w:beforeAutospacing="1" w:after="100" w:afterAutospacing="1"/>
      <w:widowControl/>
      <w:pBdr>
        <w:top w:val="single" w:color="000000" w:sz="4" w:space="0"/>
        <w:left w:val="single" w:color="000000" w:sz="4" w:space="0"/>
        <w:right w:val="single" w:color="000000" w:sz="4" w:space="0"/>
      </w:pBdr>
    </w:pPr>
    <w:rPr>
      <w:rFonts w:ascii="方正仿宋_GBK" w:hAnsi="宋体" w:eastAsia="方正仿宋_GBK" w:cs="宋体"/>
      <w:sz w:val="20"/>
      <w:szCs w:val="20"/>
    </w:rPr>
  </w:style>
  <w:style w:type="paragraph" w:styleId="1156" w:customStyle="1">
    <w:name w:val="et13"/>
    <w:basedOn w:val="994"/>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方正仿宋_GBK" w:hAnsi="宋体" w:eastAsia="方正仿宋_GBK" w:cs="宋体"/>
      <w:sz w:val="20"/>
      <w:szCs w:val="20"/>
    </w:rPr>
  </w:style>
  <w:style w:type="paragraph" w:styleId="1157" w:customStyle="1">
    <w:name w:val="et14"/>
    <w:basedOn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58" w:customStyle="1">
    <w:name w:val="et15"/>
    <w:basedOn w:val="994"/>
    <w:qFormat/>
    <w:pPr>
      <w:jc w:val="center"/>
      <w:spacing w:before="100" w:beforeAutospacing="1" w:after="100" w:afterAutospacing="1"/>
      <w:widowControl/>
      <w:pBdr>
        <w:left w:val="single" w:color="000000" w:sz="4" w:space="0"/>
        <w:right w:val="single" w:color="000000" w:sz="4" w:space="0"/>
      </w:pBdr>
    </w:pPr>
    <w:rPr>
      <w:rFonts w:ascii="方正仿宋_GBK" w:hAnsi="宋体" w:eastAsia="方正仿宋_GBK" w:cs="宋体"/>
      <w:sz w:val="20"/>
      <w:szCs w:val="20"/>
    </w:rPr>
  </w:style>
  <w:style w:type="paragraph" w:styleId="1159" w:customStyle="1">
    <w:name w:val="et17"/>
    <w:basedOn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160" w:customStyle="1">
    <w:name w:val="et20"/>
    <w:basedOn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61" w:customStyle="1">
    <w:name w:val="et21"/>
    <w:basedOn w:val="994"/>
    <w:qFormat/>
    <w:pPr>
      <w:jc w:val="center"/>
      <w:spacing w:before="100" w:beforeAutospacing="1" w:after="100" w:afterAutospacing="1"/>
      <w:widowControl/>
      <w:pBdr>
        <w:left w:val="single" w:color="000000" w:sz="4" w:space="0"/>
        <w:right w:val="single" w:color="000000" w:sz="4" w:space="0"/>
      </w:pBdr>
    </w:pPr>
    <w:rPr>
      <w:rFonts w:ascii="方正仿宋_GBK" w:hAnsi="宋体" w:eastAsia="方正仿宋_GBK" w:cs="宋体"/>
      <w:sz w:val="20"/>
      <w:szCs w:val="20"/>
    </w:rPr>
  </w:style>
  <w:style w:type="paragraph" w:styleId="1162" w:customStyle="1">
    <w:name w:val="et22"/>
    <w:basedOn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仿宋_GBK" w:hAnsi="宋体" w:eastAsia="方正仿宋_GBK" w:cs="宋体"/>
      <w:sz w:val="20"/>
      <w:szCs w:val="20"/>
    </w:rPr>
  </w:style>
  <w:style w:type="paragraph" w:styleId="1163" w:customStyle="1">
    <w:name w:val="et23"/>
    <w:basedOn w:val="994"/>
    <w:qFormat/>
    <w:pPr>
      <w:jc w:val="center"/>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方正仿宋_GBK" w:hAnsi="宋体" w:eastAsia="方正仿宋_GBK" w:cs="宋体"/>
      <w:b/>
      <w:bCs/>
      <w:color w:val="000000"/>
      <w:sz w:val="24"/>
      <w:szCs w:val="24"/>
    </w:rPr>
  </w:style>
  <w:style w:type="paragraph" w:styleId="1164" w:customStyle="1">
    <w:name w:val="et24"/>
    <w:basedOn w:val="9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65" w:customStyle="1">
    <w:name w:val="et25"/>
    <w:basedOn w:val="99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仿宋_GBK" w:hAnsi="宋体" w:eastAsia="方正仿宋_GBK" w:cs="宋体"/>
      <w:sz w:val="20"/>
      <w:szCs w:val="20"/>
    </w:rPr>
  </w:style>
  <w:style w:type="paragraph" w:styleId="1166" w:customStyle="1">
    <w:name w:val="et27"/>
    <w:basedOn w:val="994"/>
    <w:pPr>
      <w:jc w:val="center"/>
      <w:spacing w:before="100" w:beforeAutospacing="1" w:after="100" w:afterAutospacing="1"/>
      <w:widowControl/>
      <w:pBdr>
        <w:top w:val="single" w:color="000000" w:sz="4" w:space="0"/>
        <w:left w:val="single" w:color="000000" w:sz="4" w:space="0"/>
        <w:right w:val="single" w:color="000000" w:sz="4" w:space="0"/>
      </w:pBdr>
    </w:pPr>
    <w:rPr>
      <w:rFonts w:ascii="方正仿宋_GBK" w:hAnsi="宋体" w:eastAsia="方正仿宋_GBK" w:cs="宋体"/>
      <w:sz w:val="20"/>
      <w:szCs w:val="20"/>
    </w:rPr>
  </w:style>
  <w:style w:type="paragraph" w:styleId="1167" w:customStyle="1">
    <w:name w:val="et28"/>
    <w:basedOn w:val="994"/>
    <w:pPr>
      <w:jc w:val="center"/>
      <w:spacing w:before="100" w:beforeAutospacing="1" w:after="100" w:afterAutospacing="1"/>
      <w:widowControl/>
      <w:pBdr>
        <w:left w:val="single" w:color="000000" w:sz="4" w:space="0"/>
        <w:right w:val="single" w:color="000000" w:sz="4" w:space="0"/>
      </w:pBdr>
    </w:pPr>
    <w:rPr>
      <w:rFonts w:ascii="方正仿宋_GBK" w:hAnsi="宋体" w:eastAsia="方正仿宋_GBK" w:cs="宋体"/>
      <w:sz w:val="20"/>
      <w:szCs w:val="20"/>
    </w:rPr>
  </w:style>
  <w:style w:type="paragraph" w:styleId="1168" w:customStyle="1">
    <w:name w:val="et29"/>
    <w:basedOn w:val="994"/>
    <w:pPr>
      <w:jc w:val="center"/>
      <w:spacing w:before="100" w:beforeAutospacing="1" w:after="100" w:afterAutospacing="1"/>
      <w:widowControl/>
      <w:pBdr>
        <w:left w:val="single" w:color="000000" w:sz="4" w:space="0"/>
        <w:bottom w:val="single" w:color="000000" w:sz="4" w:space="0"/>
        <w:right w:val="single" w:color="000000" w:sz="4" w:space="0"/>
      </w:pBdr>
    </w:pPr>
    <w:rPr>
      <w:rFonts w:ascii="方正仿宋_GBK" w:hAnsi="宋体" w:eastAsia="方正仿宋_GBK" w:cs="宋体"/>
      <w:sz w:val="20"/>
      <w:szCs w:val="20"/>
    </w:rPr>
  </w:style>
  <w:style w:type="paragraph" w:styleId="1169" w:customStyle="1">
    <w:name w:val="et31"/>
    <w:basedOn w:val="99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仿宋_GBK" w:hAnsi="宋体" w:eastAsia="方正仿宋_GBK" w:cs="宋体"/>
      <w:color w:val="000000"/>
      <w:sz w:val="20"/>
      <w:szCs w:val="20"/>
    </w:rPr>
  </w:style>
  <w:style w:type="paragraph" w:styleId="1170" w:customStyle="1">
    <w:name w:val="et32"/>
    <w:basedOn w:val="994"/>
    <w:pPr>
      <w:jc w:val="center"/>
      <w:spacing w:before="100" w:beforeAutospacing="1" w:after="100" w:afterAutospacing="1"/>
      <w:widowControl/>
      <w:pBdr>
        <w:left w:val="single" w:color="000000" w:sz="4" w:space="0"/>
        <w:bottom w:val="single" w:color="000000" w:sz="4" w:space="0"/>
        <w:right w:val="single" w:color="000000" w:sz="4" w:space="0"/>
      </w:pBdr>
    </w:pPr>
    <w:rPr>
      <w:rFonts w:ascii="方正仿宋_GBK" w:hAnsi="宋体" w:eastAsia="方正仿宋_GBK" w:cs="宋体"/>
      <w:sz w:val="20"/>
      <w:szCs w:val="20"/>
    </w:rPr>
  </w:style>
  <w:style w:type="paragraph" w:styleId="1171" w:customStyle="1">
    <w:name w:val="et33"/>
    <w:basedOn w:val="99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72" w:customStyle="1">
    <w:name w:val="et34"/>
    <w:basedOn w:val="99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szCs w:val="24"/>
    </w:rPr>
  </w:style>
  <w:style w:type="paragraph" w:styleId="1173" w:customStyle="1">
    <w:name w:val="et35"/>
    <w:basedOn w:val="994"/>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174" w:customStyle="1">
    <w:name w:val="et36"/>
    <w:basedOn w:val="9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75" w:customStyle="1">
    <w:name w:val="et37"/>
    <w:basedOn w:val="99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仿宋_GBK" w:hAnsi="宋体" w:eastAsia="方正仿宋_GBK" w:cs="宋体"/>
      <w:color w:val="000000"/>
      <w:sz w:val="20"/>
      <w:szCs w:val="20"/>
    </w:rPr>
  </w:style>
  <w:style w:type="paragraph" w:styleId="1176" w:customStyle="1">
    <w:name w:val="et39"/>
    <w:basedOn w:val="99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szCs w:val="24"/>
    </w:rPr>
  </w:style>
  <w:style w:type="paragraph" w:styleId="1177" w:customStyle="1">
    <w:name w:val="et40"/>
    <w:basedOn w:val="994"/>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4"/>
      <w:szCs w:val="24"/>
    </w:rPr>
  </w:style>
  <w:style w:type="paragraph" w:styleId="1178" w:customStyle="1">
    <w:name w:val="et41"/>
    <w:basedOn w:val="99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179" w:customStyle="1">
    <w:name w:val="et43"/>
    <w:basedOn w:val="99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180" w:customStyle="1">
    <w:name w:val="et44"/>
    <w:basedOn w:val="99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方正仿宋_GBK" w:hAnsi="宋体" w:eastAsia="方正仿宋_GBK" w:cs="宋体"/>
      <w:color w:val="000000"/>
      <w:sz w:val="20"/>
      <w:szCs w:val="20"/>
    </w:rPr>
  </w:style>
  <w:style w:type="paragraph" w:styleId="1181" w:customStyle="1">
    <w:name w:val="et46"/>
    <w:basedOn w:val="994"/>
    <w:pPr>
      <w:jc w:val="center"/>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82" w:customStyle="1">
    <w:name w:val="et47"/>
    <w:basedOn w:val="99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183" w:customStyle="1">
    <w:name w:val="et48"/>
    <w:basedOn w:val="99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184" w:customStyle="1">
    <w:name w:val="et49"/>
    <w:basedOn w:val="99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185" w:customStyle="1">
    <w:name w:val="et50"/>
    <w:basedOn w:val="99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szCs w:val="24"/>
    </w:rPr>
  </w:style>
  <w:style w:type="paragraph" w:styleId="1186" w:customStyle="1">
    <w:name w:val="et51"/>
    <w:basedOn w:val="994"/>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4"/>
      <w:szCs w:val="24"/>
    </w:rPr>
  </w:style>
  <w:style w:type="paragraph" w:styleId="1187" w:customStyle="1">
    <w:name w:val="et52"/>
    <w:basedOn w:val="9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szCs w:val="24"/>
    </w:rPr>
  </w:style>
  <w:style w:type="paragraph" w:styleId="1188" w:customStyle="1">
    <w:name w:val="et53"/>
    <w:basedOn w:val="9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szCs w:val="24"/>
    </w:rPr>
  </w:style>
  <w:style w:type="paragraph" w:styleId="1189" w:customStyle="1">
    <w:name w:val="et54"/>
    <w:basedOn w:val="99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190" w:customStyle="1">
    <w:name w:val="et56"/>
    <w:basedOn w:val="99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191" w:customStyle="1">
    <w:name w:val="et60"/>
    <w:basedOn w:val="99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hyperlink" Target="http://czj.yancheng.gov.cn/col/col2383/index.html&#65289;&#33719;&#21462;&#25307;&#26631;&#25991;&#20214;&#65292;&#24182;&#20110;2024&#24180;11&#26376;7&#26085;"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自定义 1">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F715B58B-3CE3-4A40-9A44-A124E6C0E1D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高峰</dc:creator>
  <cp:lastModifiedBy>邹海君</cp:lastModifiedBy>
  <cp:revision>171</cp:revision>
  <dcterms:created xsi:type="dcterms:W3CDTF">2024-09-23T02:08:00Z</dcterms:created>
  <dcterms:modified xsi:type="dcterms:W3CDTF">2024-10-30T08:29:50Z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48A37A90BB5441E5BA3BB5F2D545C520_13</vt:lpwstr>
  </property>
</Properties>
</file>