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rPr>
          <w:rFonts w:eastAsia="黑体"/>
          <w:b/>
          <w:bCs/>
          <w:sz w:val="84"/>
        </w:rPr>
      </w:pPr>
      <w:r>
        <w:rPr>
          <w:rFonts w:eastAsia="黑体"/>
          <w:b/>
          <w:bCs/>
          <w:sz w:val="84"/>
        </w:rPr>
      </w:r>
      <w:r/>
    </w:p>
    <w:p>
      <w:pPr>
        <w:pStyle w:val="1021"/>
        <w:ind w:firstLine="0"/>
        <w:jc w:val="center"/>
        <w:rPr>
          <w:rFonts w:eastAsia="黑体"/>
          <w:b/>
          <w:bCs/>
          <w:sz w:val="84"/>
        </w:rPr>
      </w:pPr>
      <w:r>
        <w:rPr>
          <w:rFonts w:hint="eastAsia" w:eastAsia="黑体"/>
          <w:b/>
          <w:bCs/>
          <w:sz w:val="84"/>
        </w:rPr>
        <w:t xml:space="preserve">招　标　文　件</w:t>
      </w:r>
      <w:r/>
    </w:p>
    <w:p>
      <w:pPr>
        <w:pStyle w:val="1021"/>
        <w:ind w:firstLine="2249"/>
        <w:rPr>
          <w:b/>
          <w:bCs/>
          <w:sz w:val="32"/>
        </w:rPr>
      </w:pPr>
      <w:r>
        <w:rPr>
          <w:b/>
          <w:bCs/>
          <w:sz w:val="32"/>
        </w:rPr>
      </w:r>
      <w:r/>
    </w:p>
    <w:p>
      <w:pPr>
        <w:pStyle w:val="1021"/>
        <w:ind w:firstLine="2249"/>
        <w:rPr>
          <w:b/>
          <w:bCs/>
          <w:sz w:val="32"/>
        </w:rPr>
      </w:pPr>
      <w:r>
        <w:rPr>
          <w:b/>
          <w:bCs/>
          <w:sz w:val="32"/>
        </w:rPr>
      </w:r>
      <w:r/>
    </w:p>
    <w:p>
      <w:pPr>
        <w:pStyle w:val="1021"/>
        <w:ind w:firstLine="2249"/>
        <w:rPr>
          <w:b/>
          <w:bCs/>
          <w:sz w:val="32"/>
        </w:rPr>
      </w:pPr>
      <w:r>
        <w:rPr>
          <w:b/>
          <w:bCs/>
          <w:sz w:val="32"/>
        </w:rPr>
      </w:r>
      <w:r/>
    </w:p>
    <w:p>
      <w:pPr>
        <w:pStyle w:val="1021"/>
        <w:ind w:firstLine="2249"/>
        <w:rPr>
          <w:b/>
          <w:bCs/>
          <w:sz w:val="32"/>
        </w:rPr>
      </w:pPr>
      <w:r>
        <w:rPr>
          <w:b/>
          <w:bCs/>
          <w:sz w:val="32"/>
        </w:rPr>
      </w:r>
      <w:r/>
    </w:p>
    <w:p>
      <w:pPr>
        <w:pStyle w:val="1021"/>
        <w:ind w:firstLine="2249"/>
        <w:rPr>
          <w:b/>
          <w:bCs/>
          <w:sz w:val="32"/>
        </w:rPr>
      </w:pPr>
      <w:r>
        <w:rPr>
          <w:b/>
          <w:bCs/>
          <w:sz w:val="32"/>
        </w:rPr>
      </w:r>
      <w:r/>
    </w:p>
    <w:p>
      <w:pPr>
        <w:pStyle w:val="1021"/>
        <w:rPr>
          <w:b/>
          <w:bCs/>
          <w:sz w:val="32"/>
        </w:rPr>
      </w:pPr>
      <w:r>
        <w:rPr>
          <w:rFonts w:hint="eastAsia"/>
          <w:b/>
          <w:bCs/>
          <w:sz w:val="32"/>
        </w:rPr>
        <w:t xml:space="preserve">项目名称：扬州市江都区电子政务外网统一互联网出口线路及运维服务</w:t>
      </w:r>
      <w:r/>
    </w:p>
    <w:p>
      <w:pPr>
        <w:pStyle w:val="1021"/>
        <w:spacing w:before="0" w:after="0"/>
        <w:rPr>
          <w:rFonts w:hint="default"/>
          <w:b/>
          <w:bCs/>
          <w:sz w:val="32"/>
          <w:lang w:val="en-US" w:eastAsia="zh-CN"/>
        </w:rPr>
      </w:pPr>
      <w:r>
        <w:rPr>
          <w:rFonts w:hint="eastAsia"/>
          <w:b/>
          <w:bCs/>
          <w:sz w:val="32"/>
        </w:rPr>
        <w:t xml:space="preserve">项目编号：JSZC-321003-JZCG-G2024-0018</w:t>
      </w:r>
      <w:r/>
    </w:p>
    <w:p>
      <w:pPr>
        <w:pStyle w:val="1021"/>
        <w:ind w:firstLine="0"/>
        <w:spacing w:before="0" w:after="0"/>
        <w:rPr>
          <w:rFonts w:ascii="宋体" w:hAnsi="宋体"/>
        </w:rPr>
      </w:pPr>
      <w:r>
        <w:rPr>
          <w:rFonts w:ascii="宋体" w:hAnsi="宋体"/>
        </w:rPr>
      </w:r>
      <w:r/>
    </w:p>
    <w:p>
      <w:pPr>
        <w:pStyle w:val="1021"/>
        <w:ind w:firstLine="0"/>
        <w:spacing w:before="0" w:after="0"/>
        <w:rPr>
          <w:rFonts w:ascii="宋体" w:hAnsi="宋体"/>
        </w:rPr>
      </w:pPr>
      <w:r>
        <w:rPr>
          <w:rFonts w:ascii="宋体" w:hAnsi="宋体"/>
        </w:rPr>
      </w:r>
      <w:r/>
    </w:p>
    <w:p>
      <w:pPr>
        <w:pStyle w:val="1021"/>
        <w:ind w:firstLine="0"/>
        <w:spacing w:before="0" w:after="0"/>
        <w:rPr>
          <w:rFonts w:ascii="宋体" w:hAnsi="宋体"/>
        </w:rPr>
      </w:pPr>
      <w:r>
        <w:rPr>
          <w:rFonts w:ascii="宋体" w:hAnsi="宋体"/>
        </w:rPr>
      </w:r>
      <w:r/>
    </w:p>
    <w:p>
      <w:pPr>
        <w:pStyle w:val="1021"/>
        <w:ind w:firstLine="0"/>
        <w:spacing w:before="0" w:after="0"/>
        <w:rPr>
          <w:rFonts w:ascii="宋体" w:hAnsi="宋体"/>
        </w:rPr>
      </w:pPr>
      <w:r>
        <w:rPr>
          <w:rFonts w:ascii="宋体" w:hAnsi="宋体"/>
        </w:rPr>
      </w:r>
      <w:r/>
    </w:p>
    <w:p>
      <w:pPr>
        <w:pStyle w:val="1021"/>
        <w:ind w:firstLine="0"/>
        <w:spacing w:before="0" w:after="0"/>
        <w:rPr>
          <w:rFonts w:ascii="宋体" w:hAnsi="宋体"/>
        </w:rPr>
      </w:pPr>
      <w:r>
        <w:rPr>
          <w:rFonts w:ascii="宋体" w:hAnsi="宋体"/>
        </w:rPr>
      </w:r>
      <w:r/>
    </w:p>
    <w:p>
      <w:pPr>
        <w:pStyle w:val="1021"/>
        <w:ind w:firstLine="0"/>
        <w:spacing w:before="0" w:after="0"/>
        <w:rPr>
          <w:rFonts w:ascii="宋体" w:hAnsi="宋体"/>
        </w:rPr>
      </w:pPr>
      <w:r>
        <w:rPr>
          <w:rFonts w:ascii="宋体" w:hAnsi="宋体"/>
        </w:rPr>
      </w:r>
      <w:r/>
    </w:p>
    <w:p>
      <w:pPr>
        <w:pStyle w:val="1021"/>
        <w:ind w:firstLine="0"/>
        <w:spacing w:before="0" w:after="0"/>
        <w:rPr>
          <w:rFonts w:ascii="宋体" w:hAnsi="宋体"/>
        </w:rPr>
      </w:pPr>
      <w:r>
        <w:rPr>
          <w:rFonts w:ascii="宋体" w:hAnsi="宋体"/>
        </w:rPr>
      </w:r>
      <w:r/>
    </w:p>
    <w:p>
      <w:pPr>
        <w:pStyle w:val="1021"/>
        <w:ind w:firstLine="0"/>
        <w:jc w:val="center"/>
        <w:rPr>
          <w:rFonts w:hint="eastAsia" w:eastAsia="宋体"/>
          <w:b/>
          <w:bCs/>
          <w:sz w:val="32"/>
          <w:lang w:val="en-US" w:eastAsia="zh-CN"/>
        </w:rPr>
      </w:pPr>
      <w:r>
        <w:rPr>
          <w:rFonts w:hint="eastAsia"/>
          <w:b/>
          <w:bCs/>
          <w:sz w:val="32"/>
        </w:rPr>
        <w:t xml:space="preserve">扬州市公共资源交易中心</w:t>
      </w:r>
      <w:r>
        <w:rPr>
          <w:rFonts w:hint="eastAsia"/>
          <w:b/>
          <w:bCs/>
          <w:sz w:val="32"/>
          <w:lang w:val="en-US" w:eastAsia="zh-CN"/>
        </w:rPr>
        <w:t xml:space="preserve">邗江分中心</w:t>
      </w:r>
      <w:r/>
    </w:p>
    <w:p>
      <w:pPr>
        <w:pStyle w:val="1021"/>
        <w:ind w:firstLine="0"/>
        <w:jc w:val="center"/>
        <w:rPr>
          <w:b/>
          <w:bCs/>
          <w:sz w:val="32"/>
        </w:rPr>
      </w:pPr>
      <w:r>
        <w:rPr>
          <w:rFonts w:hint="eastAsia"/>
          <w:b/>
          <w:bCs/>
          <w:sz w:val="32"/>
        </w:rPr>
        <w:t xml:space="preserve">2024年</w:t>
      </w:r>
      <w:r>
        <w:rPr>
          <w:rFonts w:hint="eastAsia"/>
          <w:b/>
          <w:bCs/>
          <w:sz w:val="32"/>
          <w:lang w:val="en-US" w:eastAsia="zh-CN"/>
        </w:rPr>
        <w:t xml:space="preserve">8</w:t>
      </w:r>
      <w:r>
        <w:rPr>
          <w:rFonts w:hint="eastAsia"/>
          <w:b/>
          <w:bCs/>
          <w:sz w:val="32"/>
        </w:rPr>
        <w:t xml:space="preserve">月</w:t>
      </w:r>
      <w:r/>
    </w:p>
    <w:p>
      <w:pPr>
        <w:pStyle w:val="1021"/>
        <w:ind w:firstLine="0"/>
        <w:jc w:val="center"/>
        <w:rPr>
          <w:b/>
          <w:bCs/>
          <w:sz w:val="40"/>
          <w:szCs w:val="40"/>
        </w:rPr>
      </w:pPr>
      <w:r/>
      <w:bookmarkStart w:id="0" w:name="_Toc120614210"/>
      <w:r/>
      <w:bookmarkStart w:id="1" w:name="_Toc513029200"/>
      <w:r/>
      <w:bookmarkStart w:id="2" w:name="_Toc20823272"/>
      <w:r/>
      <w:bookmarkStart w:id="3" w:name="_Toc16938516"/>
      <w:r/>
      <w:bookmarkStart w:id="4" w:name="_Toc523127445"/>
      <w:r/>
      <w:bookmarkStart w:id="5" w:name="_Toc479757206"/>
      <w:r/>
      <w:r/>
    </w:p>
    <w:p>
      <w:pPr>
        <w:pStyle w:val="1021"/>
        <w:ind w:firstLine="0"/>
        <w:jc w:val="center"/>
        <w:rPr>
          <w:rFonts w:ascii="仿宋_GB2312" w:eastAsia="仿宋_GB2312"/>
          <w:b/>
          <w:sz w:val="28"/>
        </w:rPr>
      </w:pPr>
      <w:r>
        <w:rPr>
          <w:rFonts w:hint="eastAsia"/>
          <w:b/>
          <w:bCs/>
          <w:sz w:val="40"/>
          <w:szCs w:val="40"/>
        </w:rPr>
        <w:t xml:space="preserve">总目录</w:t>
      </w:r>
      <w:r/>
    </w:p>
    <w:p>
      <w:pPr>
        <w:pStyle w:val="1016"/>
        <w:tabs>
          <w:tab w:val="right" w:pos="8953" w:leader="dot"/>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"_Toc22326" \o "#_Toc22326" </w:instrText>
      </w:r>
      <w:r>
        <w:fldChar w:fldCharType="separate"/>
      </w:r>
      <w:r>
        <w:rPr>
          <w:rFonts w:hint="eastAsia"/>
          <w:bCs/>
        </w:rPr>
        <w:t xml:space="preserve">第一章  投标邀请</w:t>
      </w:r>
      <w:r>
        <w:tab/>
      </w:r>
      <w:r>
        <w:fldChar w:fldCharType="begin"/>
      </w:r>
      <w:r>
        <w:instrText xml:space="preserve"> PAGEREF _Toc22326 </w:instrText>
      </w:r>
      <w:r>
        <w:fldChar w:fldCharType="separate"/>
      </w:r>
      <w:r>
        <w:t xml:space="preserve">3</w:t>
      </w:r>
      <w:r>
        <w:fldChar w:fldCharType="end"/>
      </w:r>
      <w:r>
        <w:fldChar w:fldCharType="end"/>
      </w:r>
      <w:r/>
    </w:p>
    <w:p>
      <w:pPr>
        <w:pStyle w:val="1016"/>
        <w:tabs>
          <w:tab w:val="right" w:pos="8953" w:leader="dot"/>
        </w:tabs>
      </w:pPr>
      <w:r>
        <w:fldChar w:fldCharType="begin"/>
      </w:r>
      <w:r>
        <w:instrText xml:space="preserve"> HYPERLINK \l "_Toc20518" \o "#_Toc20518" </w:instrText>
      </w:r>
      <w:r>
        <w:fldChar w:fldCharType="separate"/>
      </w:r>
      <w:r>
        <w:rPr>
          <w:rFonts w:hint="eastAsia"/>
          <w:bCs/>
        </w:rPr>
        <w:t xml:space="preserve">第二章  投标人须知</w:t>
      </w:r>
      <w:r>
        <w:tab/>
      </w:r>
      <w:r>
        <w:rPr>
          <w:rFonts w:hint="eastAsia"/>
          <w:lang w:val="en-US" w:eastAsia="zh-CN"/>
        </w:rPr>
        <w:t xml:space="preserve">6</w:t>
      </w:r>
      <w:r>
        <w:fldChar w:fldCharType="end"/>
      </w:r>
      <w:r/>
    </w:p>
    <w:p>
      <w:pPr>
        <w:pStyle w:val="1016"/>
        <w:tabs>
          <w:tab w:val="right" w:pos="8953" w:leader="dot"/>
        </w:tabs>
        <w:rPr>
          <w:rFonts w:hint="eastAsia" w:eastAsia="宋体"/>
          <w:lang w:val="en-US" w:eastAsia="zh-CN"/>
        </w:rPr>
      </w:pPr>
      <w:r>
        <w:fldChar w:fldCharType="begin"/>
      </w:r>
      <w:r>
        <w:instrText xml:space="preserve"> HYPERLINK \l "_Toc5617" \o "#_Toc5617" </w:instrText>
      </w:r>
      <w:r>
        <w:fldChar w:fldCharType="separate"/>
      </w:r>
      <w:r>
        <w:rPr>
          <w:rFonts w:hint="eastAsia"/>
          <w:bCs/>
        </w:rPr>
        <w:t xml:space="preserve">第三章  合同文本</w:t>
      </w:r>
      <w:r>
        <w:tab/>
      </w:r>
      <w:r>
        <w:rPr>
          <w:rFonts w:hint="eastAsia"/>
          <w:lang w:val="en-US" w:eastAsia="zh-CN"/>
        </w:rPr>
        <w:t xml:space="preserve">1</w:t>
      </w:r>
      <w:r>
        <w:fldChar w:fldCharType="end"/>
      </w:r>
      <w:r>
        <w:rPr>
          <w:rFonts w:hint="eastAsia"/>
          <w:lang w:val="en-US" w:eastAsia="zh-CN"/>
        </w:rPr>
        <w:t xml:space="preserve">6</w:t>
      </w:r>
      <w:r/>
    </w:p>
    <w:p>
      <w:pPr>
        <w:pStyle w:val="1016"/>
        <w:tabs>
          <w:tab w:val="right" w:pos="8953" w:leader="dot"/>
        </w:tabs>
        <w:rPr>
          <w:rFonts w:hint="eastAsia" w:eastAsia="宋体"/>
          <w:lang w:val="en-US" w:eastAsia="zh-CN"/>
        </w:rPr>
      </w:pPr>
      <w:r>
        <w:fldChar w:fldCharType="begin"/>
      </w:r>
      <w:r>
        <w:instrText xml:space="preserve"> HYPERLINK \l "_Toc14893" \o "#_Toc14893" </w:instrText>
      </w:r>
      <w:r>
        <w:fldChar w:fldCharType="separate"/>
      </w:r>
      <w:r>
        <w:rPr>
          <w:rFonts w:hint="eastAsia"/>
          <w:bCs/>
        </w:rPr>
        <w:t xml:space="preserve">第四章  采购需求</w:t>
      </w:r>
      <w:r>
        <w:tab/>
      </w:r>
      <w:r>
        <w:rPr>
          <w:rFonts w:hint="eastAsia"/>
          <w:lang w:val="en-US" w:eastAsia="zh-CN"/>
        </w:rPr>
        <w:t xml:space="preserve">1</w:t>
      </w:r>
      <w:r>
        <w:fldChar w:fldCharType="end"/>
      </w:r>
      <w:r>
        <w:rPr>
          <w:rFonts w:hint="eastAsia"/>
          <w:lang w:val="en-US" w:eastAsia="zh-CN"/>
        </w:rPr>
        <w:t xml:space="preserve">9</w:t>
      </w:r>
      <w:r/>
    </w:p>
    <w:p>
      <w:pPr>
        <w:pStyle w:val="1016"/>
        <w:tabs>
          <w:tab w:val="right" w:pos="8953" w:leader="dot"/>
        </w:tabs>
        <w:rPr>
          <w:rFonts w:hint="eastAsia" w:eastAsia="宋体"/>
          <w:lang w:val="en-US" w:eastAsia="zh-CN"/>
        </w:rPr>
      </w:pPr>
      <w:r>
        <w:fldChar w:fldCharType="begin"/>
      </w:r>
      <w:r>
        <w:instrText xml:space="preserve"> HYPERLINK \l "_Toc5710" \o "#_Toc5710" </w:instrText>
      </w:r>
      <w:r>
        <w:fldChar w:fldCharType="separate"/>
      </w:r>
      <w:r>
        <w:rPr>
          <w:rFonts w:hint="eastAsia"/>
          <w:bCs/>
        </w:rPr>
        <w:t xml:space="preserve">第五章  评标方法与评标标准</w:t>
      </w:r>
      <w:r>
        <w:tab/>
      </w:r>
      <w:r>
        <w:rPr>
          <w:rFonts w:hint="eastAsia"/>
          <w:lang w:val="en-US" w:eastAsia="zh-CN"/>
        </w:rPr>
        <w:t xml:space="preserve">4</w:t>
      </w:r>
      <w:r>
        <w:rPr>
          <w:rFonts w:hint="eastAsia"/>
        </w:rPr>
        <w:fldChar w:fldCharType="end"/>
      </w:r>
      <w:r>
        <w:rPr>
          <w:rFonts w:hint="eastAsia"/>
          <w:lang w:val="en-US" w:eastAsia="zh-CN"/>
        </w:rPr>
        <w:t xml:space="preserve">1</w:t>
      </w:r>
      <w:r/>
    </w:p>
    <w:p>
      <w:pPr>
        <w:pStyle w:val="1016"/>
        <w:tabs>
          <w:tab w:val="right" w:pos="8953" w:leader="dot"/>
        </w:tabs>
        <w:rPr>
          <w:rFonts w:hint="eastAsia" w:eastAsia="宋体"/>
          <w:lang w:val="en-US" w:eastAsia="zh-CN"/>
        </w:rPr>
      </w:pPr>
      <w:r>
        <w:fldChar w:fldCharType="begin"/>
      </w:r>
      <w:r>
        <w:instrText xml:space="preserve"> HYPERLINK \l "_Toc27232" \o "#_Toc27232" </w:instrText>
      </w:r>
      <w:r>
        <w:fldChar w:fldCharType="separate"/>
      </w:r>
      <w:r>
        <w:rPr>
          <w:rFonts w:hint="eastAsia"/>
          <w:bCs/>
        </w:rPr>
        <w:t xml:space="preserve">第六章  投标文件格式</w:t>
      </w:r>
      <w:r>
        <w:tab/>
      </w:r>
      <w:r>
        <w:rPr>
          <w:rFonts w:hint="eastAsia"/>
          <w:lang w:val="en-US" w:eastAsia="zh-CN"/>
        </w:rPr>
        <w:t xml:space="preserve">4</w:t>
      </w:r>
      <w:r>
        <w:rPr>
          <w:rFonts w:hint="eastAsia"/>
        </w:rPr>
        <w:fldChar w:fldCharType="end"/>
      </w:r>
      <w:r>
        <w:rPr>
          <w:rFonts w:hint="eastAsia"/>
          <w:lang w:val="en-US" w:eastAsia="zh-CN"/>
        </w:rPr>
        <w:t xml:space="preserve">5</w:t>
      </w:r>
      <w:r/>
    </w:p>
    <w:p>
      <w:pPr>
        <w:jc w:val="left"/>
      </w:pPr>
      <w:r>
        <w:rPr>
          <w:rFonts w:hint="eastAsia"/>
        </w:rPr>
        <w:fldChar w:fldCharType="end"/>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24"/>
        <w:rPr>
          <w:rFonts w:hint="eastAsia"/>
          <w:b/>
          <w:bCs/>
        </w:rPr>
      </w:pPr>
      <w:r>
        <w:rPr>
          <w:rFonts w:hint="eastAsia"/>
        </w:rPr>
        <w:br w:type="page" w:clear="all"/>
      </w:r>
      <w:bookmarkStart w:id="6" w:name="_Toc669"/>
      <w:r/>
      <w:bookmarkStart w:id="7" w:name="_Toc22326"/>
      <w:r>
        <w:rPr>
          <w:rFonts w:hint="eastAsia"/>
          <w:b/>
          <w:bCs/>
        </w:rPr>
        <w:t xml:space="preserve">第一章</w:t>
      </w:r>
      <w:bookmarkEnd w:id="0"/>
      <w:r>
        <w:rPr>
          <w:rFonts w:hint="eastAsia"/>
          <w:b/>
          <w:bCs/>
        </w:rPr>
        <w:t xml:space="preserve">投标邀请</w:t>
      </w:r>
      <w:bookmarkEnd w:id="6"/>
      <w:r/>
      <w:bookmarkEnd w:id="7"/>
      <w:r/>
      <w:r/>
    </w:p>
    <w:p>
      <w:pPr>
        <w:rPr>
          <w:rFonts w:ascii="宋体" w:hAnsi="宋体"/>
          <w:sz w:val="24"/>
          <w:szCs w:val="24"/>
        </w:rPr>
      </w:pPr>
      <w:r/>
      <w:bookmarkStart w:id="8" w:name="_Toc35393621"/>
      <w:r/>
      <w:bookmarkStart w:id="9" w:name="_Toc28359002"/>
      <w:r/>
      <w:bookmarkStart w:id="10" w:name="_Toc28359079"/>
      <w:r/>
      <w:bookmarkStart w:id="11" w:name="_Toc38985263"/>
      <w:r/>
      <w:bookmarkStart w:id="12" w:name="_Hlk24379207"/>
      <w:r/>
      <w:bookmarkStart w:id="13" w:name="_Toc35393790"/>
      <w:r/>
      <w:r/>
    </w:p>
    <w:p>
      <w:pPr>
        <w:ind w:firstLine="480"/>
        <w:rPr>
          <w:rFonts w:hint="eastAsia" w:ascii="宋体" w:hAnsi="宋体"/>
          <w:sz w:val="24"/>
          <w:szCs w:val="24"/>
        </w:rPr>
      </w:pPr>
      <w:r>
        <w:rPr>
          <w:rFonts w:hint="eastAsia" w:ascii="宋体" w:hAnsi="宋体"/>
          <w:sz w:val="24"/>
          <w:szCs w:val="24"/>
        </w:rPr>
        <w:t xml:space="preserve">受扬州市江都区大数据发展服务中心的委托，扬州市公共资源交易中心</w:t>
      </w:r>
      <w:r>
        <w:rPr>
          <w:rFonts w:hint="eastAsia" w:ascii="宋体" w:hAnsi="宋体"/>
          <w:sz w:val="24"/>
          <w:szCs w:val="24"/>
          <w:lang w:val="en-US" w:eastAsia="zh-CN"/>
        </w:rPr>
        <w:t xml:space="preserve">邗江分中心</w:t>
      </w:r>
      <w:r>
        <w:rPr>
          <w:rFonts w:hint="eastAsia" w:ascii="宋体" w:hAnsi="宋体"/>
          <w:sz w:val="24"/>
          <w:szCs w:val="24"/>
        </w:rPr>
        <w:t xml:space="preserve">就扬州市江都区电子政务外网统一互联网出口线路及运维服务(JSZC-321003-JZCG-G2024-0018)项目进行公开招标采购，欢迎符合条件的供应商投标。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为了确保江都区电子政务外网安全稳定运行以及满足日益增长的出口带宽需求，</w:t>
      </w:r>
      <w:r>
        <w:rPr>
          <w:rFonts w:hint="eastAsia" w:ascii="宋体" w:hAnsi="宋体"/>
          <w:sz w:val="24"/>
          <w:szCs w:val="24"/>
        </w:rPr>
        <w:t xml:space="preserve">结合省市电子政务外网管理工作要求，为我区各种政务应用提供可靠、高速、可控的网络环境。江都区电子政务外网统一互联网出口实行双运营商出口模式。当主运营商网络出现故障时，自动切换至备用运营商网络出口。按照“等保三级”要求，提供电子政务外网相关网络设备和配套安全设备租赁服务，以保证电子政务外网互联网出口的稳定运行。提供区行政中心网络及二楼网络机房运维管理服务（含各楼层交换机租赁服务），以及电子政务网安全等级保护测评服务。贯彻落实“一机两网”安全管控要求，提供符合电子政务外网建设要求的“零信任”网络终端安全管控服务。</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本项目分为主用线路（包一）和备用线路（包二）两个包。</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包一：招标内容为主用线路（带宽6Gbps）、主用线路核心网络设备、配套安全设备及区行政中心网络及二楼网络机房运维管理服务（含楼层交换机租赁服务）；提供符合电子政务外网建设要求的“零信任”网络终端安全管控服务。</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包二：招标内容为备用线路（带宽</w:t>
      </w:r>
      <w:r>
        <w:rPr>
          <w:rFonts w:hint="eastAsia" w:ascii="宋体" w:hAnsi="宋体"/>
          <w:sz w:val="24"/>
          <w:szCs w:val="24"/>
          <w:lang w:val="en-US" w:eastAsia="zh-CN"/>
        </w:rPr>
        <w:t xml:space="preserve">3</w:t>
      </w:r>
      <w:r>
        <w:rPr>
          <w:rFonts w:hint="eastAsia" w:ascii="宋体" w:hAnsi="宋体"/>
          <w:sz w:val="24"/>
          <w:szCs w:val="24"/>
        </w:rPr>
        <w:t xml:space="preserve">Gbps）、备用线路核心网络设备、配套安全设备及电子政务外网三级等保测评服务。</w:t>
      </w:r>
      <w:r/>
    </w:p>
    <w:p>
      <w:pPr>
        <w:ind w:firstLine="480"/>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本项目按包一、包二顺序进行开标、评标、定标。投标人可投其中任何一包，也可两包兼投，但只能按顺序中标一个包。</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扬州市江都区电子政务外网统一互联网出口线路及运维服务项目的潜在投标人可在</w:t>
      </w:r>
      <w:r>
        <w:rPr>
          <w:rFonts w:hint="eastAsia" w:ascii="宋体" w:hAnsi="宋体"/>
          <w:sz w:val="24"/>
          <w:szCs w:val="24"/>
          <w:u w:val="single"/>
        </w:rPr>
        <w:t xml:space="preserve">“江苏政府采购网”“扬州市政府采购网”自行免费下载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sz w:val="24"/>
          <w:szCs w:val="24"/>
          <w:u w:val="single"/>
        </w:rPr>
        <w:t xml:space="preserve">年8月</w:t>
      </w:r>
      <w:r>
        <w:rPr>
          <w:rFonts w:hint="eastAsia" w:ascii="宋体" w:hAnsi="宋体"/>
          <w:sz w:val="24"/>
          <w:szCs w:val="24"/>
          <w:u w:val="single"/>
          <w:lang w:val="en-US" w:eastAsia="zh-CN"/>
        </w:rPr>
        <w:t xml:space="preserve">30</w:t>
      </w:r>
      <w:r>
        <w:rPr>
          <w:rFonts w:hint="eastAsia" w:ascii="宋体" w:hAnsi="宋体"/>
          <w:sz w:val="24"/>
          <w:szCs w:val="24"/>
          <w:u w:val="single"/>
        </w:rPr>
        <w:t xml:space="preserve">日</w:t>
      </w:r>
      <w:r>
        <w:rPr>
          <w:rFonts w:ascii="宋体" w:hAnsi="宋体"/>
          <w:bCs/>
          <w:sz w:val="24"/>
          <w:szCs w:val="24"/>
          <w:u w:val="single"/>
        </w:rPr>
        <w:t xml:space="preserve">09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ascii="宋体" w:hAnsi="宋体"/>
          <w:bCs/>
          <w:sz w:val="24"/>
          <w:szCs w:val="24"/>
          <w:u w:val="single"/>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30"/>
      </w:pPr>
      <w:r>
        <w:rPr>
          <w:rFonts w:hint="eastAsia"/>
        </w:rPr>
        <w:t xml:space="preserve">一、项目基本情况</w:t>
      </w:r>
      <w:bookmarkEnd w:id="8"/>
      <w:r/>
      <w:bookmarkEnd w:id="9"/>
      <w:r/>
      <w:bookmarkEnd w:id="10"/>
      <w:r/>
      <w:bookmarkEnd w:id="11"/>
      <w:r/>
      <w:bookmarkEnd w:id="12"/>
      <w:r/>
      <w:bookmarkEnd w:id="13"/>
      <w:r/>
      <w:r/>
    </w:p>
    <w:p>
      <w:pPr>
        <w:ind w:firstLine="480"/>
        <w:rPr>
          <w:rFonts w:hint="eastAsia" w:ascii="宋体" w:hAnsi="宋体"/>
          <w:sz w:val="24"/>
          <w:szCs w:val="24"/>
        </w:rPr>
      </w:pPr>
      <w:r/>
      <w:bookmarkStart w:id="14" w:name="_Toc38985264"/>
      <w:r/>
      <w:bookmarkStart w:id="15" w:name="_Toc28359080"/>
      <w:r/>
      <w:bookmarkStart w:id="16" w:name="_Toc35393791"/>
      <w:r/>
      <w:bookmarkStart w:id="17" w:name="_Toc35393622"/>
      <w:r/>
      <w:bookmarkStart w:id="18" w:name="_Toc28359003"/>
      <w:r>
        <w:rPr>
          <w:rFonts w:hint="eastAsia" w:ascii="宋体" w:hAnsi="宋体"/>
          <w:sz w:val="24"/>
          <w:szCs w:val="24"/>
        </w:rPr>
        <w:t xml:space="preserve">1.项目编号：JSZC-321003-JZCG-G2024-0018</w:t>
      </w:r>
      <w:r/>
    </w:p>
    <w:p>
      <w:pPr>
        <w:ind w:firstLine="480"/>
        <w:rPr>
          <w:rFonts w:ascii="宋体" w:hAnsi="宋体"/>
          <w:sz w:val="24"/>
          <w:szCs w:val="24"/>
        </w:rPr>
      </w:pPr>
      <w:r>
        <w:rPr>
          <w:rFonts w:hint="eastAsia" w:ascii="宋体" w:hAnsi="宋体"/>
          <w:sz w:val="24"/>
          <w:szCs w:val="24"/>
        </w:rPr>
        <w:t xml:space="preserve">2.项目名称：扬州市江都区电子政务外网统一互联网出口线路及运维服务</w:t>
      </w:r>
      <w:r/>
    </w:p>
    <w:p>
      <w:pPr>
        <w:ind w:firstLine="480"/>
        <w:rPr>
          <w:rFonts w:ascii="宋体" w:hAnsi="宋体"/>
          <w:sz w:val="24"/>
          <w:szCs w:val="24"/>
        </w:rPr>
      </w:pPr>
      <w:r>
        <w:rPr>
          <w:rFonts w:hint="eastAsia" w:ascii="宋体" w:hAnsi="宋体"/>
          <w:sz w:val="24"/>
          <w:szCs w:val="24"/>
        </w:rPr>
        <w:t xml:space="preserve">3.预算金额：556万元</w:t>
      </w:r>
      <w:r>
        <w:rPr>
          <w:rFonts w:hint="eastAsia" w:ascii="宋体" w:hAnsi="宋体"/>
          <w:sz w:val="24"/>
          <w:szCs w:val="24"/>
          <w:lang w:eastAsia="zh-CN"/>
        </w:rPr>
        <w:t xml:space="preserve">，</w:t>
      </w:r>
      <w:r>
        <w:rPr>
          <w:rFonts w:hint="eastAsia" w:ascii="宋体" w:hAnsi="宋体"/>
          <w:sz w:val="24"/>
          <w:szCs w:val="24"/>
        </w:rPr>
        <w:t xml:space="preserve">主用线路（包一）</w:t>
      </w:r>
      <w:r>
        <w:rPr>
          <w:rFonts w:hint="eastAsia" w:ascii="宋体" w:hAnsi="宋体"/>
          <w:sz w:val="24"/>
          <w:szCs w:val="24"/>
          <w:lang w:val="en-US" w:eastAsia="zh-CN"/>
        </w:rPr>
        <w:t xml:space="preserve">386</w:t>
      </w:r>
      <w:r>
        <w:rPr>
          <w:rFonts w:hint="eastAsia" w:ascii="宋体" w:hAnsi="宋体"/>
          <w:sz w:val="24"/>
          <w:szCs w:val="24"/>
        </w:rPr>
        <w:t xml:space="preserve">万元，备用线路（包二）</w:t>
      </w:r>
      <w:r>
        <w:rPr>
          <w:rFonts w:hint="eastAsia" w:ascii="宋体" w:hAnsi="宋体"/>
          <w:sz w:val="24"/>
          <w:szCs w:val="24"/>
          <w:lang w:val="en-US" w:eastAsia="zh-CN"/>
        </w:rPr>
        <w:t xml:space="preserve">170</w:t>
      </w:r>
      <w:r>
        <w:rPr>
          <w:rFonts w:hint="eastAsia" w:ascii="宋体" w:hAnsi="宋体"/>
          <w:sz w:val="24"/>
          <w:szCs w:val="24"/>
        </w:rPr>
        <w:t xml:space="preserve">万元。</w:t>
      </w:r>
      <w:r/>
    </w:p>
    <w:p>
      <w:pPr>
        <w:ind w:firstLine="480"/>
        <w:rPr>
          <w:rFonts w:hint="eastAsia" w:ascii="宋体" w:hAnsi="宋体" w:eastAsia="宋体"/>
          <w:sz w:val="24"/>
          <w:szCs w:val="24"/>
          <w:lang w:eastAsia="zh-CN"/>
        </w:rPr>
      </w:pPr>
      <w:r>
        <w:rPr>
          <w:rFonts w:hint="eastAsia" w:ascii="宋体" w:hAnsi="宋体" w:eastAsia="宋体"/>
          <w:sz w:val="24"/>
          <w:szCs w:val="24"/>
          <w:lang w:eastAsia="zh-CN"/>
        </w:rPr>
      </w:r>
      <w:r/>
    </w:p>
    <w:p>
      <w:pPr>
        <w:ind w:firstLine="480"/>
        <w:rPr>
          <w:rFonts w:ascii="宋体" w:hAnsi="宋体"/>
          <w:sz w:val="24"/>
          <w:szCs w:val="24"/>
        </w:rPr>
      </w:pPr>
      <w:r>
        <w:rPr>
          <w:rFonts w:hint="eastAsia" w:ascii="宋体" w:hAnsi="宋体"/>
          <w:sz w:val="24"/>
          <w:szCs w:val="24"/>
        </w:rPr>
        <w:t xml:space="preserve">4.本项目设定最高限价，主用线路（包一）</w:t>
      </w:r>
      <w:r>
        <w:rPr>
          <w:rFonts w:hint="eastAsia" w:ascii="宋体" w:hAnsi="宋体"/>
          <w:sz w:val="24"/>
          <w:szCs w:val="24"/>
          <w:lang w:val="en-US" w:eastAsia="zh-CN"/>
        </w:rPr>
        <w:t xml:space="preserve">386</w:t>
      </w:r>
      <w:r>
        <w:rPr>
          <w:rFonts w:hint="eastAsia" w:ascii="宋体" w:hAnsi="宋体"/>
          <w:sz w:val="24"/>
          <w:szCs w:val="24"/>
        </w:rPr>
        <w:t xml:space="preserve">万元，备用线路（包二）</w:t>
      </w:r>
      <w:r>
        <w:rPr>
          <w:rFonts w:hint="eastAsia" w:ascii="宋体" w:hAnsi="宋体"/>
          <w:sz w:val="24"/>
          <w:szCs w:val="24"/>
          <w:lang w:val="en-US" w:eastAsia="zh-CN"/>
        </w:rPr>
        <w:t xml:space="preserve">170</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5.采购需求（简介）：详细内容见本招标文件第四章采购需求。 </w:t>
      </w:r>
      <w:r/>
    </w:p>
    <w:p>
      <w:pPr>
        <w:ind w:firstLine="480"/>
        <w:rPr>
          <w:rFonts w:ascii="宋体" w:hAnsi="宋体" w:cs="宋体"/>
          <w:sz w:val="24"/>
          <w:szCs w:val="24"/>
        </w:rPr>
      </w:pPr>
      <w:r>
        <w:rPr>
          <w:rFonts w:ascii="宋体" w:hAnsi="宋体"/>
          <w:sz w:val="24"/>
          <w:szCs w:val="24"/>
        </w:rPr>
        <w:t xml:space="preserve">6</w:t>
      </w:r>
      <w:r>
        <w:rPr>
          <w:rFonts w:hint="eastAsia" w:ascii="宋体" w:hAnsi="宋体"/>
          <w:sz w:val="24"/>
          <w:szCs w:val="24"/>
        </w:rPr>
        <w:t xml:space="preserve">.合同履行期限：3年，起始日期以合同约定为准。</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p>
    <w:p>
      <w:pPr>
        <w:pStyle w:val="930"/>
        <w:ind w:firstLine="498"/>
        <w:spacing w:before="145" w:after="145" w:line="360" w:lineRule="auto"/>
      </w:pPr>
      <w:r>
        <w:rPr>
          <w:rFonts w:hint="eastAsia"/>
        </w:rPr>
        <w:t xml:space="preserve">二、申请人的资格要求：</w:t>
      </w:r>
      <w:bookmarkEnd w:id="14"/>
      <w:r/>
      <w:bookmarkEnd w:id="15"/>
      <w:r/>
      <w:bookmarkEnd w:id="16"/>
      <w:r/>
      <w:bookmarkEnd w:id="17"/>
      <w:r/>
      <w:bookmarkEnd w:id="18"/>
      <w:r/>
      <w:r/>
    </w:p>
    <w:p>
      <w:pPr>
        <w:ind w:firstLine="482"/>
        <w:spacing w:line="312" w:lineRule="auto"/>
        <w:rPr>
          <w:rFonts w:hint="eastAsia" w:ascii="宋体" w:hAnsi="宋体"/>
          <w:sz w:val="24"/>
          <w:szCs w:val="24"/>
        </w:rPr>
      </w:pPr>
      <w:r/>
      <w:bookmarkStart w:id="19" w:name="_Toc38985265"/>
      <w:r/>
      <w:bookmarkStart w:id="20" w:name="_Toc35393623"/>
      <w:r/>
      <w:bookmarkStart w:id="21" w:name="_Toc28359004"/>
      <w:r/>
      <w:bookmarkStart w:id="22" w:name="_Toc35393792"/>
      <w:r/>
      <w:bookmarkStart w:id="23" w:name="_Toc28359081"/>
      <w:r>
        <w:rPr>
          <w:rFonts w:hint="eastAsia" w:ascii="宋体" w:hAnsi="宋体"/>
          <w:sz w:val="24"/>
          <w:szCs w:val="24"/>
        </w:rPr>
        <w:t xml:space="preserve">（一）通用资格要求</w:t>
      </w:r>
      <w:r/>
    </w:p>
    <w:p>
      <w:pPr>
        <w:ind w:firstLine="482"/>
        <w:spacing w:line="312"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2"/>
        <w:spacing w:line="312" w:lineRule="auto"/>
        <w:rPr>
          <w:rFonts w:hint="eastAsia"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2"/>
        <w:spacing w:line="312" w:lineRule="auto"/>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2"/>
        <w:spacing w:line="312" w:lineRule="auto"/>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12" w:lineRule="auto"/>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2"/>
        <w:spacing w:line="312" w:lineRule="auto"/>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2"/>
        <w:spacing w:line="312" w:lineRule="auto"/>
        <w:rPr>
          <w:rFonts w:hint="eastAsia" w:ascii="宋体" w:hAnsi="宋体"/>
          <w:sz w:val="24"/>
          <w:szCs w:val="24"/>
        </w:rPr>
      </w:pPr>
      <w:r>
        <w:rPr>
          <w:rFonts w:hint="eastAsia" w:ascii="宋体" w:hAnsi="宋体"/>
          <w:sz w:val="24"/>
          <w:szCs w:val="24"/>
        </w:rPr>
        <w:t xml:space="preserve">1.6供应商信用承诺函。</w:t>
      </w:r>
      <w:r/>
    </w:p>
    <w:p>
      <w:pPr>
        <w:ind w:firstLine="482"/>
        <w:spacing w:line="312" w:lineRule="auto"/>
        <w:rPr>
          <w:rFonts w:hint="eastAsia"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2"/>
        <w:spacing w:line="312" w:lineRule="auto"/>
        <w:rPr>
          <w:rFonts w:hint="eastAsia" w:ascii="宋体" w:hAnsi="宋体"/>
          <w:sz w:val="24"/>
          <w:szCs w:val="24"/>
          <w:lang w:eastAsia="zh-CN"/>
        </w:rPr>
      </w:pPr>
      <w:r>
        <w:rPr>
          <w:rFonts w:hint="eastAsia" w:ascii="宋体" w:hAnsi="宋体"/>
          <w:sz w:val="24"/>
          <w:szCs w:val="24"/>
        </w:rPr>
        <w:t xml:space="preserve">3.落实政府采购政策需满足的资格要求：</w:t>
      </w:r>
      <w:r>
        <w:rPr>
          <w:rFonts w:hint="eastAsia" w:ascii="宋体" w:hAnsi="宋体"/>
          <w:sz w:val="24"/>
          <w:szCs w:val="24"/>
          <w:lang w:val="en-US" w:eastAsia="zh-CN"/>
        </w:rPr>
        <w:t xml:space="preserve">无</w:t>
      </w:r>
      <w:r/>
    </w:p>
    <w:p>
      <w:pPr>
        <w:ind w:firstLine="482"/>
        <w:spacing w:line="312"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 联合体投标。</w:t>
      </w:r>
      <w:r/>
    </w:p>
    <w:p>
      <w:pPr>
        <w:ind w:firstLine="480"/>
        <w:spacing w:line="360" w:lineRule="auto"/>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进口产品投标。</w:t>
      </w:r>
      <w:r/>
    </w:p>
    <w:p>
      <w:pPr>
        <w:ind w:firstLine="480"/>
        <w:rPr>
          <w:rFonts w:hint="eastAsia" w:ascii="宋体" w:hAnsi="宋体" w:eastAsia="宋体"/>
          <w:i/>
          <w:iCs/>
          <w:sz w:val="24"/>
          <w:szCs w:val="24"/>
          <w:u w:val="single"/>
          <w:lang w:val="en-US" w:eastAsia="zh-CN"/>
        </w:rPr>
      </w:pPr>
      <w:r>
        <w:rPr>
          <w:rFonts w:hint="eastAsia" w:ascii="宋体" w:hAnsi="宋体"/>
          <w:sz w:val="24"/>
          <w:szCs w:val="24"/>
        </w:rPr>
        <w:t xml:space="preserve">（二）本项目的特定资格要求：</w:t>
      </w:r>
      <w:r>
        <w:rPr>
          <w:rFonts w:hint="eastAsia" w:ascii="宋体" w:hAnsi="宋体"/>
          <w:sz w:val="24"/>
          <w:szCs w:val="24"/>
          <w:lang w:val="en-US" w:eastAsia="zh-CN"/>
        </w:rPr>
        <w:t xml:space="preserve">无</w:t>
      </w:r>
      <w:r/>
    </w:p>
    <w:p>
      <w:pPr>
        <w:pStyle w:val="930"/>
        <w:ind w:firstLine="498"/>
        <w:spacing w:before="145" w:after="145" w:line="360" w:lineRule="auto"/>
      </w:pPr>
      <w:r>
        <w:rPr>
          <w:rFonts w:hint="eastAsia"/>
        </w:rPr>
        <w:t xml:space="preserve">三、获取招标文件</w:t>
      </w:r>
      <w:bookmarkEnd w:id="19"/>
      <w:r/>
      <w:bookmarkEnd w:id="20"/>
      <w:r/>
      <w:bookmarkEnd w:id="21"/>
      <w:r/>
      <w:bookmarkEnd w:id="22"/>
      <w:r/>
      <w:bookmarkEnd w:id="23"/>
      <w:r/>
      <w:r/>
    </w:p>
    <w:p>
      <w:pPr>
        <w:ind w:firstLine="540"/>
        <w:spacing w:line="360" w:lineRule="auto"/>
      </w:pPr>
      <w:r>
        <w:rPr>
          <w:rFonts w:hint="eastAsia" w:ascii="宋体" w:hAnsi="宋体" w:cs="宋体"/>
          <w:sz w:val="24"/>
          <w:szCs w:val="24"/>
        </w:rPr>
        <w:t xml:space="preserve">1.时间：2024年</w:t>
      </w:r>
      <w:r>
        <w:rPr>
          <w:rFonts w:hint="eastAsia" w:ascii="宋体" w:hAnsi="宋体" w:cs="宋体"/>
          <w:sz w:val="24"/>
          <w:szCs w:val="24"/>
          <w:lang w:val="en-US" w:eastAsia="zh-CN"/>
        </w:rPr>
        <w:t xml:space="preserve">8</w:t>
      </w:r>
      <w:r>
        <w:rPr>
          <w:rFonts w:hint="eastAsia" w:ascii="宋体" w:hAnsi="宋体" w:cs="宋体"/>
          <w:sz w:val="24"/>
          <w:szCs w:val="24"/>
        </w:rPr>
        <w:t xml:space="preserve">月</w:t>
      </w:r>
      <w:r>
        <w:rPr>
          <w:rFonts w:hint="eastAsia" w:ascii="宋体" w:hAnsi="宋体" w:cs="宋体"/>
          <w:sz w:val="24"/>
          <w:szCs w:val="24"/>
          <w:lang w:val="en-US" w:eastAsia="zh-CN"/>
        </w:rPr>
        <w:t xml:space="preserve">9</w:t>
      </w:r>
      <w:r>
        <w:rPr>
          <w:rFonts w:hint="eastAsia" w:ascii="宋体" w:hAnsi="宋体" w:cs="宋体"/>
          <w:sz w:val="24"/>
          <w:szCs w:val="24"/>
        </w:rPr>
        <w:t xml:space="preserve">日至2024年8月</w:t>
      </w:r>
      <w:r>
        <w:rPr>
          <w:rFonts w:hint="eastAsia" w:ascii="宋体" w:hAnsi="宋体" w:cs="宋体"/>
          <w:sz w:val="24"/>
          <w:szCs w:val="24"/>
          <w:lang w:val="en-US" w:eastAsia="zh-CN"/>
        </w:rPr>
        <w:t xml:space="preserve">30</w:t>
      </w:r>
      <w:r>
        <w:rPr>
          <w:rFonts w:hint="eastAsia" w:ascii="宋体" w:hAnsi="宋体" w:cs="宋体"/>
          <w:sz w:val="24"/>
          <w:szCs w:val="24"/>
        </w:rPr>
        <w:t xml:space="preserve">日，每日上午00:00-12:00，下午12:00-23:59（北京时间，法定节假日除外）</w:t>
      </w:r>
      <w:r/>
    </w:p>
    <w:p>
      <w:pPr>
        <w:ind w:firstLine="540"/>
        <w:spacing w:line="360" w:lineRule="auto"/>
      </w:pPr>
      <w:r>
        <w:rPr>
          <w:rFonts w:hint="eastAsia" w:ascii="宋体" w:hAnsi="宋体" w:cs="宋体"/>
          <w:sz w:val="24"/>
          <w:szCs w:val="24"/>
        </w:rPr>
        <w:t xml:space="preserve">2.地点：扬州市政府采购网，江苏省政府采购网</w:t>
      </w:r>
      <w:r/>
    </w:p>
    <w:p>
      <w:pPr>
        <w:ind w:firstLine="540"/>
        <w:spacing w:line="360" w:lineRule="auto"/>
      </w:pPr>
      <w:r>
        <w:rPr>
          <w:rFonts w:hint="eastAsia" w:ascii="宋体" w:hAnsi="宋体" w:cs="宋体"/>
          <w:sz w:val="24"/>
          <w:szCs w:val="24"/>
        </w:rPr>
        <w:t xml:space="preserve">3:方式：网上获取</w:t>
      </w:r>
      <w:r/>
    </w:p>
    <w:p>
      <w:pPr>
        <w:ind w:firstLine="540"/>
        <w:spacing w:line="360" w:lineRule="auto"/>
        <w:rPr>
          <w:rFonts w:ascii="宋体" w:hAnsi="宋体" w:cs="宋体"/>
        </w:rPr>
      </w:pPr>
      <w:r>
        <w:rPr>
          <w:rFonts w:hint="eastAsia" w:ascii="宋体" w:hAnsi="宋体" w:cs="宋体"/>
          <w:sz w:val="24"/>
          <w:szCs w:val="24"/>
        </w:rPr>
        <w:t xml:space="preserve">4:售价：0.00元</w:t>
      </w:r>
      <w:r/>
    </w:p>
    <w:p>
      <w:pPr>
        <w:pStyle w:val="930"/>
        <w:ind w:firstLine="498"/>
        <w:spacing w:before="145" w:after="145" w:line="360" w:lineRule="auto"/>
      </w:pPr>
      <w:r>
        <w:rPr>
          <w:rFonts w:hint="eastAsia"/>
        </w:rPr>
        <w:t xml:space="preserve">四、提交投标文件截止时间、开标时间和地点</w:t>
      </w:r>
      <w:r/>
    </w:p>
    <w:p>
      <w:pPr>
        <w:ind w:firstLine="540"/>
        <w:spacing w:line="360" w:lineRule="auto"/>
        <w:rPr>
          <w:rFonts w:ascii="宋体" w:hAnsi="宋体"/>
          <w:bCs/>
          <w:sz w:val="24"/>
          <w:szCs w:val="24"/>
        </w:rPr>
      </w:pPr>
      <w:r>
        <w:rPr>
          <w:rFonts w:hint="eastAsia" w:ascii="宋体" w:hAnsi="宋体"/>
          <w:bCs/>
          <w:sz w:val="24"/>
          <w:szCs w:val="24"/>
        </w:rPr>
        <w:t xml:space="preserve">1. </w:t>
      </w:r>
      <w:r>
        <w:rPr>
          <w:rFonts w:ascii="宋体" w:hAnsi="宋体" w:cs="宋体"/>
          <w:sz w:val="24"/>
          <w:szCs w:val="24"/>
        </w:rPr>
        <w:t xml:space="preserve">2024</w:t>
      </w:r>
      <w:r>
        <w:rPr>
          <w:rFonts w:hint="eastAsia" w:ascii="宋体" w:hAnsi="宋体" w:cs="宋体"/>
          <w:sz w:val="24"/>
          <w:szCs w:val="24"/>
        </w:rPr>
        <w:t xml:space="preserve">年8月</w:t>
      </w:r>
      <w:r>
        <w:rPr>
          <w:rFonts w:hint="eastAsia" w:ascii="宋体" w:hAnsi="宋体" w:cs="宋体"/>
          <w:sz w:val="24"/>
          <w:szCs w:val="24"/>
          <w:lang w:val="en-US" w:eastAsia="zh-CN"/>
        </w:rPr>
        <w:t xml:space="preserve">30</w:t>
      </w:r>
      <w:r>
        <w:rPr>
          <w:rFonts w:hint="eastAsia" w:ascii="宋体" w:hAnsi="宋体" w:cs="宋体"/>
          <w:sz w:val="24"/>
          <w:szCs w:val="24"/>
        </w:rPr>
        <w:t xml:space="preserve">日</w:t>
      </w:r>
      <w:r>
        <w:rPr>
          <w:rFonts w:ascii="宋体" w:hAnsi="宋体" w:cs="宋体"/>
          <w:sz w:val="24"/>
          <w:szCs w:val="24"/>
        </w:rPr>
        <w:t xml:space="preserve">09</w:t>
      </w:r>
      <w:r>
        <w:rPr>
          <w:rFonts w:hint="eastAsia" w:ascii="宋体" w:hAnsi="宋体" w:cs="宋体"/>
          <w:sz w:val="24"/>
          <w:szCs w:val="24"/>
        </w:rPr>
        <w:t xml:space="preserve">点</w:t>
      </w:r>
      <w:r>
        <w:rPr>
          <w:rFonts w:hint="eastAsia" w:ascii="宋体" w:hAnsi="宋体" w:cs="宋体"/>
          <w:sz w:val="24"/>
          <w:szCs w:val="24"/>
          <w:lang w:val="en-US" w:eastAsia="zh-CN"/>
        </w:rPr>
        <w:t xml:space="preserve">0</w:t>
      </w:r>
      <w:r>
        <w:rPr>
          <w:rFonts w:ascii="宋体" w:hAnsi="宋体" w:cs="宋体"/>
          <w:sz w:val="24"/>
          <w:szCs w:val="24"/>
        </w:rPr>
        <w:t xml:space="preserve">0</w:t>
      </w:r>
      <w:r>
        <w:rPr>
          <w:rFonts w:hint="eastAsia" w:ascii="宋体" w:hAnsi="宋体" w:cs="宋体"/>
          <w:sz w:val="24"/>
          <w:szCs w:val="24"/>
        </w:rPr>
        <w:t xml:space="preserve">分（北京时间）</w:t>
      </w:r>
      <w:r/>
    </w:p>
    <w:p>
      <w:pPr>
        <w:ind w:firstLine="480"/>
        <w:rPr>
          <w:rFonts w:ascii="宋体" w:hAnsi="宋体"/>
          <w:bCs/>
          <w:sz w:val="24"/>
          <w:szCs w:val="24"/>
          <w:u w:val="single"/>
        </w:rPr>
      </w:pPr>
      <w:r>
        <w:rPr>
          <w:rFonts w:hint="eastAsia" w:ascii="宋体" w:hAnsi="宋体"/>
          <w:sz w:val="24"/>
          <w:szCs w:val="24"/>
        </w:rPr>
        <w:t xml:space="preserve">2.地点：“苏采云”平台。</w:t>
      </w:r>
      <w:r/>
    </w:p>
    <w:p>
      <w:pPr>
        <w:pStyle w:val="930"/>
        <w:ind w:firstLine="498"/>
        <w:spacing w:before="145" w:after="145" w:line="360" w:lineRule="auto"/>
      </w:pPr>
      <w:r/>
      <w:bookmarkStart w:id="24" w:name="_Toc28359007"/>
      <w:r/>
      <w:bookmarkStart w:id="25" w:name="_Toc35393794"/>
      <w:r/>
      <w:bookmarkStart w:id="26" w:name="_Toc35393625"/>
      <w:r/>
      <w:bookmarkStart w:id="27" w:name="_Toc38985267"/>
      <w:r/>
      <w:bookmarkStart w:id="28" w:name="_Toc28359084"/>
      <w:r>
        <w:rPr>
          <w:rFonts w:hint="eastAsia"/>
        </w:rPr>
        <w:t xml:space="preserve">五、公告期限</w:t>
      </w:r>
      <w:bookmarkEnd w:id="24"/>
      <w:r/>
      <w:bookmarkEnd w:id="25"/>
      <w:r/>
      <w:bookmarkEnd w:id="26"/>
      <w:r/>
      <w:bookmarkEnd w:id="27"/>
      <w:r/>
      <w:bookmarkEnd w:id="28"/>
      <w:r/>
      <w:r/>
    </w:p>
    <w:p>
      <w:pPr>
        <w:ind w:firstLine="480"/>
        <w:rPr>
          <w:rFonts w:ascii="宋体" w:hAnsi="宋体" w:cs="宋体"/>
          <w:sz w:val="24"/>
          <w:szCs w:val="24"/>
        </w:rPr>
      </w:pPr>
      <w:r/>
      <w:bookmarkStart w:id="29" w:name="_Toc35393795"/>
      <w:r/>
      <w:bookmarkStart w:id="30" w:name="_Toc35393626"/>
      <w:r/>
      <w:bookmarkStart w:id="31" w:name="_Toc38985268"/>
      <w:r>
        <w:rPr>
          <w:rFonts w:hint="eastAsia" w:ascii="宋体" w:hAnsi="宋体" w:cs="宋体"/>
          <w:sz w:val="24"/>
          <w:szCs w:val="24"/>
        </w:rPr>
        <w:t xml:space="preserve">自本公告发布之日起5个工作日。</w:t>
      </w:r>
      <w:r/>
    </w:p>
    <w:p>
      <w:pPr>
        <w:pStyle w:val="930"/>
        <w:ind w:firstLine="498"/>
        <w:spacing w:before="145" w:after="145" w:line="360" w:lineRule="auto"/>
      </w:pPr>
      <w:r>
        <w:rPr>
          <w:rFonts w:hint="eastAsia"/>
        </w:rPr>
        <w:t xml:space="preserve">六、其他补充事宜</w:t>
      </w:r>
      <w:bookmarkEnd w:id="29"/>
      <w:r/>
      <w:bookmarkEnd w:id="30"/>
      <w:r/>
      <w:bookmarkEnd w:id="31"/>
      <w:r/>
      <w:r/>
    </w:p>
    <w:p>
      <w:pPr>
        <w:ind w:firstLine="480"/>
        <w:rPr>
          <w:rFonts w:ascii="宋体" w:hAnsi="宋体" w:cs="宋体"/>
          <w:sz w:val="24"/>
          <w:szCs w:val="24"/>
        </w:rPr>
      </w:pPr>
      <w:r>
        <w:rPr>
          <w:rFonts w:hint="eastAsia" w:ascii="宋体" w:hAnsi="宋体" w:cs="宋体"/>
          <w:sz w:val="24"/>
          <w:szCs w:val="24"/>
        </w:rPr>
        <w:t xml:space="preserve">无</w:t>
      </w:r>
      <w:r/>
    </w:p>
    <w:p>
      <w:pPr>
        <w:pStyle w:val="930"/>
        <w:ind w:firstLine="498"/>
        <w:spacing w:before="145" w:after="145" w:line="360" w:lineRule="auto"/>
      </w:pPr>
      <w:r/>
      <w:bookmarkStart w:id="32" w:name="_Toc38985269"/>
      <w:r/>
      <w:bookmarkStart w:id="33" w:name="_Toc28359008"/>
      <w:r/>
      <w:bookmarkStart w:id="34" w:name="_Toc28359085"/>
      <w:r/>
      <w:bookmarkStart w:id="35" w:name="_Toc35393627"/>
      <w:r/>
      <w:bookmarkStart w:id="36" w:name="_Toc35393796"/>
      <w:r>
        <w:rPr>
          <w:rFonts w:hint="eastAsia"/>
        </w:rPr>
        <w:t xml:space="preserve">七、本次招标联系方式</w:t>
      </w:r>
      <w:bookmarkEnd w:id="32"/>
      <w:r/>
      <w:bookmarkEnd w:id="33"/>
      <w:r/>
      <w:bookmarkEnd w:id="34"/>
      <w:r/>
      <w:bookmarkEnd w:id="35"/>
      <w:r/>
      <w:bookmarkEnd w:id="36"/>
      <w:r/>
      <w:r/>
    </w:p>
    <w:p>
      <w:pPr>
        <w:ind w:left="1079" w:hanging="300"/>
        <w:jc w:val="left"/>
        <w:spacing w:line="360" w:lineRule="auto"/>
        <w:rPr>
          <w:rFonts w:ascii="宋体" w:hAnsi="宋体"/>
          <w:color w:val="000000" w:themeColor="text1"/>
          <w:sz w:val="24"/>
          <w:szCs w:val="24"/>
          <w14:textFill>
            <w14:solidFill>
              <w14:schemeClr w14:val="tx1"/>
            </w14:solidFill>
          </w14:textFill>
        </w:rPr>
      </w:pPr>
      <w:r/>
      <w:bookmarkStart w:id="37" w:name="_Toc28359087"/>
      <w:r/>
      <w:bookmarkStart w:id="38" w:name="_Toc28359010"/>
      <w:r>
        <w:rPr>
          <w:rFonts w:hint="eastAsia" w:ascii="宋体" w:hAnsi="宋体"/>
          <w:color w:val="000000" w:themeColor="text1"/>
          <w:sz w:val="24"/>
          <w:szCs w:val="24"/>
          <w14:textFill>
            <w14:solidFill>
              <w14:schemeClr w14:val="tx1"/>
            </w14:solidFill>
          </w14:textFill>
        </w:rPr>
        <w:t xml:space="preserve">1.采购人信息</w:t>
      </w:r>
      <w:r/>
    </w:p>
    <w:p>
      <w:pPr>
        <w:ind w:left="1079" w:hanging="30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称：扬州市江都区大数据发展服务中心</w:t>
      </w:r>
      <w:r/>
    </w:p>
    <w:p>
      <w:pPr>
        <w:ind w:left="1079" w:hanging="30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址：扬州市江都区长江路150号</w:t>
      </w:r>
      <w:r/>
    </w:p>
    <w:p>
      <w:pPr>
        <w:ind w:left="1079" w:hanging="300"/>
        <w:jc w:val="left"/>
        <w:spacing w:line="360" w:lineRule="auto"/>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全爱国</w:t>
      </w:r>
      <w:r/>
    </w:p>
    <w:p>
      <w:pPr>
        <w:ind w:left="1079" w:hanging="300"/>
        <w:jc w:val="left"/>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bookmarkStart w:id="39" w:name="_Toc28359086"/>
      <w:r/>
      <w:bookmarkStart w:id="40" w:name="_Toc28359009"/>
      <w:r>
        <w:rPr>
          <w:rFonts w:hint="eastAsia" w:ascii="宋体" w:hAnsi="宋体"/>
          <w:color w:val="000000" w:themeColor="text1"/>
          <w:sz w:val="24"/>
          <w:szCs w:val="24"/>
          <w14:textFill>
            <w14:solidFill>
              <w14:schemeClr w14:val="tx1"/>
            </w14:solidFill>
          </w14:textFill>
        </w:rPr>
        <w:t xml:space="preserve">0514-</w:t>
      </w:r>
      <w:r>
        <w:rPr>
          <w:rFonts w:hint="eastAsia" w:ascii="宋体" w:hAnsi="宋体"/>
          <w:color w:val="000000" w:themeColor="text1"/>
          <w:sz w:val="24"/>
          <w:szCs w:val="24"/>
          <w:lang w:eastAsia="zh-CN"/>
          <w14:textFill>
            <w14:solidFill>
              <w14:schemeClr w14:val="tx1"/>
            </w14:solidFill>
          </w14:textFill>
        </w:rPr>
        <w:t xml:space="preserve">86978303</w:t>
      </w:r>
      <w:r/>
    </w:p>
    <w:p>
      <w:pPr>
        <w:ind w:left="1079" w:hanging="30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bookmarkEnd w:id="37"/>
      <w:r/>
      <w:bookmarkEnd w:id="38"/>
      <w:r/>
      <w:bookmarkEnd w:id="39"/>
      <w:r/>
      <w:bookmarkEnd w:id="40"/>
      <w:r>
        <w:rPr>
          <w:rFonts w:hint="eastAsia" w:ascii="宋体" w:hAnsi="宋体"/>
          <w:color w:val="000000" w:themeColor="text1"/>
          <w:sz w:val="24"/>
          <w:szCs w:val="24"/>
          <w14:textFill>
            <w14:solidFill>
              <w14:schemeClr w14:val="tx1"/>
            </w14:solidFill>
          </w14:textFill>
        </w:rPr>
        <w:t xml:space="preserve">扬州市公共资源交易中心</w:t>
      </w:r>
      <w:r>
        <w:rPr>
          <w:rFonts w:hint="eastAsia" w:ascii="宋体" w:hAnsi="宋体"/>
          <w:color w:val="000000" w:themeColor="text1"/>
          <w:sz w:val="24"/>
          <w:szCs w:val="24"/>
          <w:lang w:val="en-US" w:eastAsia="zh-CN"/>
          <w14:textFill>
            <w14:solidFill>
              <w14:schemeClr w14:val="tx1"/>
            </w14:solidFill>
          </w14:textFill>
        </w:rPr>
        <w:t xml:space="preserve">邗江</w:t>
      </w:r>
      <w:r>
        <w:rPr>
          <w:rFonts w:hint="eastAsia" w:ascii="宋体" w:hAnsi="宋体"/>
          <w:color w:val="000000" w:themeColor="text1"/>
          <w:sz w:val="24"/>
          <w:szCs w:val="24"/>
          <w14:textFill>
            <w14:solidFill>
              <w14:schemeClr w14:val="tx1"/>
            </w14:solidFill>
          </w14:textFill>
        </w:rPr>
        <w:t xml:space="preserve">分中心信息</w:t>
      </w:r>
      <w:r/>
    </w:p>
    <w:p>
      <w:pPr>
        <w:ind w:left="1079" w:hanging="30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址：扬州市邗江区国展路28号恒通AI科创大厦三楼</w:t>
      </w:r>
      <w:r/>
    </w:p>
    <w:p>
      <w:pPr>
        <w:ind w:left="1079" w:hanging="300"/>
        <w:jc w:val="left"/>
        <w:spacing w:line="360" w:lineRule="auto"/>
        <w:rPr>
          <w:rFonts w:hint="eastAsia" w:ascii="宋体" w:hAnsi="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 系 人：</w:t>
      </w:r>
      <w:r>
        <w:rPr>
          <w:rFonts w:hint="eastAsia" w:ascii="宋体" w:hAnsi="宋体"/>
          <w:color w:val="000000" w:themeColor="text1"/>
          <w:sz w:val="24"/>
          <w:szCs w:val="24"/>
          <w:lang w:val="en-US" w:eastAsia="zh-CN"/>
          <w14:textFill>
            <w14:solidFill>
              <w14:schemeClr w14:val="tx1"/>
            </w14:solidFill>
          </w14:textFill>
        </w:rPr>
        <w:t xml:space="preserve">姚红俊</w:t>
      </w:r>
      <w:r/>
    </w:p>
    <w:p>
      <w:pPr>
        <w:ind w:left="1079" w:hanging="30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联系方式：0514-82882275</w:t>
      </w:r>
      <w:r/>
    </w:p>
    <w:p>
      <w:pPr>
        <w:pStyle w:val="930"/>
        <w:ind w:firstLine="498"/>
        <w:spacing w:before="145" w:after="145" w:line="360" w:lineRule="auto"/>
      </w:pPr>
      <w:r>
        <w:rPr>
          <w:rFonts w:hint="eastAsia"/>
        </w:rPr>
        <w:t xml:space="preserve">八、其他</w:t>
      </w:r>
      <w:r/>
    </w:p>
    <w:p>
      <w:pPr>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cs="宋体"/>
          <w:sz w:val="24"/>
        </w:rPr>
        <w:t xml:space="preserve">http://zfcg.yangzhou.gov.cn/zfcg/xzzx/202309/4d7de1f7865f4a2894fc22bc452f94d8.shtml</w:t>
      </w:r>
      <w:r>
        <w:rPr>
          <w:rFonts w:hint="eastAsia" w:ascii="宋体" w:hAnsi="宋体" w:cs="宋体"/>
          <w:sz w:val="24"/>
        </w:rPr>
        <w:t xml:space="preserve">，</w:t>
      </w:r>
      <w:r>
        <w:rPr>
          <w:rFonts w:ascii="宋体" w:hAnsi="宋体" w:cs="宋体"/>
          <w:sz w:val="24"/>
        </w:rPr>
        <w:t xml:space="preserve">请按《操作手册》要求制作、上传电子投标文件。</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w:t>
      </w:r>
      <w:r>
        <w:rPr>
          <w:rFonts w:ascii="宋体" w:hAnsi="宋体" w:cs="宋体"/>
          <w:sz w:val="24"/>
        </w:rPr>
        <w:t xml:space="preserve">（请至扬州市文昌东路9号广陵新城市民中心1号楼5楼办理，具体联系方式：18952716110）</w:t>
      </w:r>
      <w:r>
        <w:rPr>
          <w:rFonts w:hint="eastAsia" w:ascii="宋体" w:hAnsi="宋体"/>
          <w:bCs/>
          <w:sz w:val="24"/>
          <w:szCs w:val="24"/>
        </w:rPr>
        <w:t xml:space="preserve">。</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2.有关本次招标的事项若存在变动或修改，敬请及时关注扬州市公共资源交易中心邗江分中心在“江苏政府采购网”“扬州市政府采购网”发布的更正公告。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ascii="宋体" w:hAnsi="宋体"/>
          <w:sz w:val="24"/>
          <w:szCs w:val="24"/>
        </w:rPr>
      </w:pPr>
      <w:r>
        <w:rPr>
          <w:rFonts w:ascii="宋体" w:hAnsi="宋体"/>
          <w:sz w:val="24"/>
          <w:szCs w:val="24"/>
        </w:rPr>
        <w:br w:type="page" w:clear="all"/>
      </w:r>
      <w:r/>
    </w:p>
    <w:p>
      <w:pPr>
        <w:pStyle w:val="924"/>
        <w:rPr>
          <w:rFonts w:hint="eastAsia"/>
        </w:rPr>
      </w:pPr>
      <w:r/>
      <w:bookmarkStart w:id="41" w:name="_Toc120614211"/>
      <w:r/>
      <w:bookmarkStart w:id="42" w:name="_Toc20518"/>
      <w:r/>
      <w:bookmarkStart w:id="43" w:name="_Toc13339"/>
      <w:r>
        <w:rPr>
          <w:rFonts w:hint="eastAsia"/>
          <w:b/>
          <w:bCs/>
        </w:rPr>
        <w:t xml:space="preserve">第二章</w:t>
      </w:r>
      <w:bookmarkEnd w:id="1"/>
      <w:r/>
      <w:bookmarkEnd w:id="2"/>
      <w:r/>
      <w:bookmarkEnd w:id="3"/>
      <w:r/>
      <w:bookmarkEnd w:id="4"/>
      <w:r/>
      <w:bookmarkEnd w:id="5"/>
      <w:r/>
      <w:bookmarkEnd w:id="41"/>
      <w:r/>
      <w:bookmarkStart w:id="44" w:name="_Toc513029202"/>
      <w:r/>
      <w:bookmarkStart w:id="45" w:name="_Toc120614213"/>
      <w:r/>
      <w:bookmarkStart w:id="46" w:name="_Toc16938518"/>
      <w:r/>
      <w:bookmarkStart w:id="47" w:name="_Toc20823274"/>
      <w:r>
        <w:rPr>
          <w:rFonts w:hint="eastAsia"/>
          <w:b/>
          <w:bCs/>
        </w:rPr>
        <w:t xml:space="preserve">投标人须知</w:t>
      </w:r>
      <w:bookmarkEnd w:id="42"/>
      <w:r/>
      <w:bookmarkEnd w:id="43"/>
      <w:r/>
      <w:bookmarkEnd w:id="44"/>
      <w:r/>
      <w:bookmarkEnd w:id="45"/>
      <w:r/>
      <w:bookmarkEnd w:id="46"/>
      <w:r/>
      <w:bookmarkEnd w:id="47"/>
      <w:r/>
      <w:r/>
    </w:p>
    <w:p>
      <w:pPr>
        <w:pStyle w:val="930"/>
        <w:ind w:firstLine="498"/>
        <w:spacing w:before="145" w:after="145" w:line="360" w:lineRule="auto"/>
      </w:pPr>
      <w:r/>
      <w:bookmarkStart w:id="48" w:name="_Toc16938519"/>
      <w:r/>
      <w:bookmarkStart w:id="49" w:name="_Toc20823275"/>
      <w:r/>
      <w:bookmarkStart w:id="50" w:name="_Toc120614214"/>
      <w:r/>
      <w:bookmarkStart w:id="51" w:name="_Toc513029203"/>
      <w:r/>
      <w:bookmarkStart w:id="52" w:name="_Toc120614221"/>
      <w:r/>
      <w:bookmarkStart w:id="53" w:name="_Toc479757207"/>
      <w:r/>
      <w:bookmarkStart w:id="54" w:name="_Toc16938558"/>
      <w:r/>
      <w:bookmarkStart w:id="55" w:name="_Toc513029242"/>
      <w:r/>
      <w:bookmarkStart w:id="56" w:name="_Toc20823314"/>
      <w:r>
        <w:rPr>
          <w:rFonts w:hint="eastAsia"/>
        </w:rPr>
        <w:t xml:space="preserve">一、总则</w:t>
      </w:r>
      <w:bookmarkEnd w:id="48"/>
      <w:r/>
      <w:bookmarkEnd w:id="49"/>
      <w:r/>
      <w:bookmarkEnd w:id="50"/>
      <w:r/>
      <w:bookmarkEnd w:id="51"/>
      <w:r/>
      <w:r/>
    </w:p>
    <w:p>
      <w:pPr>
        <w:pStyle w:val="932"/>
        <w:ind w:firstLine="420"/>
        <w:spacing w:before="0" w:after="0" w:line="240" w:lineRule="auto"/>
        <w:rPr>
          <w:b w:val="0"/>
          <w:bCs w:val="0"/>
        </w:rPr>
      </w:pPr>
      <w:r/>
      <w:bookmarkStart w:id="57" w:name="_Hlt16619475"/>
      <w:r/>
      <w:bookmarkEnd w:id="57"/>
      <w:r/>
      <w:bookmarkStart w:id="58" w:name="_Toc458694821"/>
      <w:r/>
      <w:bookmarkStart w:id="59" w:name="_Toc16938520"/>
      <w:r/>
      <w:bookmarkStart w:id="60" w:name="_Toc513029204"/>
      <w:r/>
      <w:bookmarkStart w:id="61" w:name="_Toc20823276"/>
      <w:r>
        <w:rPr>
          <w:rFonts w:hint="eastAsia"/>
          <w:b w:val="0"/>
          <w:bCs w:val="0"/>
        </w:rPr>
        <w:t xml:space="preserve">1</w:t>
      </w:r>
      <w:bookmarkEnd w:id="58"/>
      <w:r>
        <w:rPr>
          <w:rFonts w:hint="eastAsia"/>
          <w:b w:val="0"/>
          <w:bCs w:val="0"/>
        </w:rPr>
        <w:t xml:space="preserve">、招标方式</w:t>
      </w:r>
      <w:bookmarkEnd w:id="59"/>
      <w:r/>
      <w:bookmarkEnd w:id="60"/>
      <w:r/>
      <w:bookmarkEnd w:id="61"/>
      <w:r/>
      <w:r/>
    </w:p>
    <w:p>
      <w:pPr>
        <w:ind w:firstLine="480"/>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p>
    <w:p>
      <w:pPr>
        <w:pStyle w:val="932"/>
        <w:ind w:firstLine="420"/>
        <w:spacing w:before="0" w:after="0" w:line="240" w:lineRule="auto"/>
        <w:rPr>
          <w:b w:val="0"/>
          <w:bCs w:val="0"/>
        </w:rPr>
      </w:pPr>
      <w:r/>
      <w:bookmarkStart w:id="62" w:name="_Toc20823277"/>
      <w:r/>
      <w:bookmarkStart w:id="63" w:name="_Toc513029205"/>
      <w:r/>
      <w:bookmarkStart w:id="64" w:name="_Toc16938521"/>
      <w:r>
        <w:rPr>
          <w:rFonts w:hint="eastAsia"/>
          <w:b w:val="0"/>
          <w:bCs w:val="0"/>
        </w:rPr>
        <w:t xml:space="preserve">2、合格的投标人</w:t>
      </w:r>
      <w:bookmarkEnd w:id="62"/>
      <w:r/>
      <w:bookmarkEnd w:id="63"/>
      <w:r/>
      <w:bookmarkEnd w:id="64"/>
      <w:r/>
      <w:r/>
    </w:p>
    <w:p>
      <w:pPr>
        <w:ind w:firstLine="480"/>
        <w:spacing w:line="40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满足本文件实质性要求和条件的规定。</w:t>
      </w:r>
      <w:r/>
    </w:p>
    <w:p>
      <w:pPr>
        <w:pStyle w:val="932"/>
        <w:ind w:firstLine="420"/>
        <w:spacing w:before="0" w:after="0" w:line="240" w:lineRule="auto"/>
        <w:rPr>
          <w:b w:val="0"/>
          <w:bCs w:val="0"/>
        </w:rPr>
      </w:pPr>
      <w:r/>
      <w:bookmarkStart w:id="65" w:name="_Toc513029206"/>
      <w:r/>
      <w:bookmarkStart w:id="66" w:name="_Toc16938522"/>
      <w:r/>
      <w:bookmarkStart w:id="67" w:name="_Toc20823278"/>
      <w:r>
        <w:rPr>
          <w:rFonts w:hint="eastAsia"/>
          <w:b w:val="0"/>
          <w:bCs w:val="0"/>
        </w:rPr>
        <w:t xml:space="preserve">3、适用法律</w:t>
      </w:r>
      <w:bookmarkEnd w:id="65"/>
      <w:r/>
      <w:bookmarkEnd w:id="66"/>
      <w:r/>
      <w:bookmarkEnd w:id="67"/>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32"/>
        <w:ind w:firstLine="420"/>
        <w:spacing w:before="0" w:after="0" w:line="240" w:lineRule="auto"/>
        <w:rPr>
          <w:b w:val="0"/>
          <w:bCs w:val="0"/>
        </w:rPr>
      </w:pPr>
      <w:r/>
      <w:bookmarkStart w:id="68" w:name="_Toc462564067"/>
      <w:r/>
      <w:bookmarkStart w:id="69" w:name="_Toc20823279"/>
      <w:r/>
      <w:bookmarkStart w:id="70" w:name="_Toc513029207"/>
      <w:r/>
      <w:bookmarkStart w:id="71" w:name="_Toc16938523"/>
      <w:r>
        <w:rPr>
          <w:rFonts w:hint="eastAsia"/>
          <w:b w:val="0"/>
          <w:bCs w:val="0"/>
        </w:rPr>
        <w:t xml:space="preserve">4、投标费用</w:t>
      </w:r>
      <w:bookmarkEnd w:id="68"/>
      <w:r/>
      <w:bookmarkEnd w:id="69"/>
      <w:r/>
      <w:bookmarkEnd w:id="70"/>
      <w:r/>
      <w:bookmarkEnd w:id="71"/>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投标人应自行承担所有与参加投标有关的费用，无论投标过程中的做法和结果如何，扬州市公共资源交易中心</w:t>
      </w:r>
      <w:r>
        <w:rPr>
          <w:rFonts w:hint="eastAsia" w:ascii="宋体" w:hAnsi="宋体"/>
          <w:sz w:val="24"/>
          <w:lang w:val="en-US" w:eastAsia="zh-CN"/>
        </w:rPr>
        <w:t xml:space="preserve">邗江</w:t>
      </w:r>
      <w:r>
        <w:rPr>
          <w:rFonts w:hint="eastAsia" w:ascii="宋体" w:hAnsi="宋体"/>
          <w:sz w:val="24"/>
        </w:rPr>
        <w:t xml:space="preserve">分中心（以下简称交易中心）在任何情况下均无义务和责任承担这些费用。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4.2本次招标交易中心和采购人不收取标书工本费与中标服务费。</w:t>
      </w:r>
      <w:r/>
    </w:p>
    <w:p>
      <w:pPr>
        <w:pStyle w:val="932"/>
        <w:ind w:firstLine="602"/>
        <w:spacing w:before="0" w:after="0" w:line="48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0"/>
        <w:ind w:firstLine="321"/>
        <w:spacing w:before="145" w:after="145" w:line="360" w:lineRule="auto"/>
      </w:pPr>
      <w:r/>
      <w:bookmarkStart w:id="72" w:name="_Toc120614215"/>
      <w:r/>
      <w:bookmarkStart w:id="73" w:name="_Toc20823281"/>
      <w:r/>
      <w:bookmarkStart w:id="74" w:name="_Toc16938525"/>
      <w:r/>
      <w:bookmarkStart w:id="75" w:name="_Toc513029209"/>
      <w:r>
        <w:rPr>
          <w:rFonts w:hint="eastAsia"/>
        </w:rPr>
        <w:t xml:space="preserve">二、招标文件</w:t>
      </w:r>
      <w:bookmarkEnd w:id="72"/>
      <w:r/>
      <w:bookmarkEnd w:id="73"/>
      <w:r/>
      <w:bookmarkEnd w:id="74"/>
      <w:r/>
      <w:bookmarkEnd w:id="75"/>
      <w:r/>
      <w:r/>
    </w:p>
    <w:p>
      <w:pPr>
        <w:pStyle w:val="932"/>
        <w:ind w:firstLine="420"/>
        <w:spacing w:before="0" w:after="0" w:line="240" w:lineRule="auto"/>
        <w:rPr>
          <w:b w:val="0"/>
          <w:bCs w:val="0"/>
        </w:rPr>
      </w:pPr>
      <w:r/>
      <w:bookmarkStart w:id="76" w:name="_Toc513029210"/>
      <w:r/>
      <w:bookmarkStart w:id="77" w:name="_Toc20823282"/>
      <w:r/>
      <w:bookmarkStart w:id="78" w:name="_Toc16938526"/>
      <w:r>
        <w:rPr>
          <w:rFonts w:hint="eastAsia"/>
          <w:b w:val="0"/>
          <w:bCs w:val="0"/>
        </w:rPr>
        <w:t xml:space="preserve">6、招标文件构成</w:t>
      </w:r>
      <w:bookmarkEnd w:id="76"/>
      <w:r/>
      <w:bookmarkEnd w:id="77"/>
      <w:r/>
      <w:bookmarkEnd w:id="78"/>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（2）投标人须知</w:t>
      </w:r>
      <w:r/>
    </w:p>
    <w:p>
      <w:pPr>
        <w:ind w:firstLine="360"/>
        <w:spacing w:line="400" w:lineRule="exact"/>
        <w:rPr>
          <w:rFonts w:ascii="宋体" w:hAnsi="宋体"/>
          <w:sz w:val="24"/>
          <w:szCs w:val="24"/>
        </w:rPr>
      </w:pPr>
      <w:r>
        <w:rPr>
          <w:rFonts w:hint="eastAsia" w:ascii="宋体" w:hAnsi="宋体"/>
          <w:sz w:val="24"/>
          <w:szCs w:val="24"/>
        </w:rPr>
        <w:t xml:space="preserve">（3）合同文本</w:t>
      </w:r>
      <w:r/>
    </w:p>
    <w:p>
      <w:pPr>
        <w:ind w:firstLine="360"/>
        <w:spacing w:line="400" w:lineRule="exact"/>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（6）投标文件格式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560"/>
        <w:spacing w:before="0" w:after="0" w:line="240" w:lineRule="auto"/>
        <w:rPr>
          <w:b w:val="0"/>
          <w:bCs w:val="0"/>
        </w:rPr>
      </w:pPr>
      <w:r/>
      <w:bookmarkStart w:id="79" w:name="_Toc462564070"/>
      <w:r/>
      <w:bookmarkStart w:id="80" w:name="_Toc513029211"/>
      <w:r/>
      <w:bookmarkStart w:id="81" w:name="_Toc16938527"/>
      <w:r/>
      <w:bookmarkStart w:id="82" w:name="_Toc20823283"/>
      <w:r>
        <w:rPr>
          <w:rFonts w:hint="eastAsia"/>
          <w:b w:val="0"/>
          <w:bCs w:val="0"/>
        </w:rPr>
        <w:t xml:space="preserve">7、招标文件的澄清</w:t>
      </w:r>
      <w:bookmarkEnd w:id="79"/>
      <w:r/>
      <w:bookmarkEnd w:id="80"/>
      <w:r/>
      <w:bookmarkEnd w:id="81"/>
      <w:r/>
      <w:bookmarkEnd w:id="82"/>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p>
    <w:p>
      <w:pPr>
        <w:pStyle w:val="932"/>
        <w:ind w:firstLine="560"/>
        <w:spacing w:before="0" w:after="0" w:line="240" w:lineRule="auto"/>
        <w:rPr>
          <w:b w:val="0"/>
          <w:bCs w:val="0"/>
        </w:rPr>
      </w:pPr>
      <w:r/>
      <w:bookmarkStart w:id="83" w:name="_Toc462564071"/>
      <w:r/>
      <w:bookmarkStart w:id="84" w:name="_Toc20823284"/>
      <w:r/>
      <w:bookmarkStart w:id="85" w:name="_Toc513029212"/>
      <w:r/>
      <w:bookmarkStart w:id="86" w:name="_Toc16938528"/>
      <w:r>
        <w:rPr>
          <w:rFonts w:hint="eastAsia"/>
          <w:b w:val="0"/>
          <w:bCs w:val="0"/>
        </w:rPr>
        <w:t xml:space="preserve">8、招标文件的修改</w:t>
      </w:r>
      <w:bookmarkEnd w:id="83"/>
      <w:r/>
      <w:bookmarkEnd w:id="84"/>
      <w:r/>
      <w:bookmarkEnd w:id="85"/>
      <w:r/>
      <w:bookmarkEnd w:id="86"/>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0"/>
        <w:ind w:firstLine="482"/>
        <w:spacing w:before="145" w:after="145" w:line="360" w:lineRule="auto"/>
      </w:pPr>
      <w:r/>
      <w:bookmarkStart w:id="87" w:name="_Toc513029213"/>
      <w:r/>
      <w:bookmarkStart w:id="88" w:name="_Toc120614216"/>
      <w:r/>
      <w:bookmarkStart w:id="89" w:name="_Toc16938529"/>
      <w:r/>
      <w:bookmarkStart w:id="90" w:name="_Toc20823285"/>
      <w:r/>
      <w:bookmarkStart w:id="91" w:name="_Toc462564072"/>
      <w:r>
        <w:rPr>
          <w:rFonts w:hint="eastAsia"/>
        </w:rPr>
        <w:t xml:space="preserve">三、投标文件的编制</w:t>
      </w:r>
      <w:bookmarkEnd w:id="87"/>
      <w:r/>
      <w:bookmarkEnd w:id="88"/>
      <w:r/>
      <w:bookmarkEnd w:id="89"/>
      <w:r/>
      <w:bookmarkEnd w:id="90"/>
      <w:r/>
      <w:bookmarkEnd w:id="91"/>
      <w:r/>
      <w:r/>
    </w:p>
    <w:p>
      <w:pPr>
        <w:pStyle w:val="932"/>
        <w:ind w:firstLine="560"/>
        <w:spacing w:before="0" w:after="0" w:line="240" w:lineRule="auto"/>
        <w:rPr>
          <w:bCs w:val="0"/>
        </w:rPr>
      </w:pPr>
      <w:r/>
      <w:bookmarkStart w:id="92" w:name="_Toc513029214"/>
      <w:r/>
      <w:bookmarkStart w:id="93" w:name="_Toc16938530"/>
      <w:r/>
      <w:bookmarkStart w:id="94" w:name="_Toc20823286"/>
      <w:r/>
      <w:bookmarkStart w:id="95" w:name="_Toc462564073"/>
      <w:r>
        <w:rPr>
          <w:rFonts w:hint="eastAsia"/>
          <w:b w:val="0"/>
          <w:bCs w:val="0"/>
        </w:rPr>
        <w:t xml:space="preserve">9、投标文件的语言及度量衡单位</w:t>
      </w:r>
      <w:bookmarkEnd w:id="92"/>
      <w:r/>
      <w:bookmarkEnd w:id="93"/>
      <w:r/>
      <w:bookmarkEnd w:id="94"/>
      <w:r/>
      <w:bookmarkEnd w:id="95"/>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2"/>
        <w:ind w:firstLine="420"/>
        <w:spacing w:before="0" w:after="0" w:line="240" w:lineRule="auto"/>
        <w:rPr>
          <w:b w:val="0"/>
          <w:bCs w:val="0"/>
        </w:rPr>
      </w:pPr>
      <w:r/>
      <w:bookmarkStart w:id="96" w:name="_Toc16938531"/>
      <w:r/>
      <w:bookmarkStart w:id="97" w:name="_Toc462564074"/>
      <w:r/>
      <w:bookmarkStart w:id="98" w:name="_Toc20823287"/>
      <w:r/>
      <w:bookmarkStart w:id="99" w:name="_Toc513029215"/>
      <w:r>
        <w:rPr>
          <w:rFonts w:hint="eastAsia"/>
          <w:b w:val="0"/>
          <w:bCs w:val="0"/>
        </w:rPr>
        <w:t xml:space="preserve">10、投标文件构成</w:t>
      </w:r>
      <w:bookmarkEnd w:id="96"/>
      <w:r/>
      <w:bookmarkEnd w:id="97"/>
      <w:r/>
      <w:bookmarkEnd w:id="98"/>
      <w:r/>
      <w:bookmarkEnd w:id="99"/>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32"/>
        <w:ind w:firstLine="420"/>
        <w:spacing w:before="0" w:after="0" w:line="240" w:lineRule="auto"/>
        <w:rPr>
          <w:b w:val="0"/>
          <w:bCs w:val="0"/>
        </w:rPr>
      </w:pPr>
      <w:r/>
      <w:bookmarkStart w:id="100" w:name="_Hlt26668975"/>
      <w:r/>
      <w:bookmarkEnd w:id="100"/>
      <w:r/>
      <w:bookmarkStart w:id="101" w:name="_Hlt26954838"/>
      <w:r/>
      <w:bookmarkEnd w:id="101"/>
      <w:r/>
      <w:bookmarkStart w:id="102" w:name="_Hlt26670360"/>
      <w:r/>
      <w:bookmarkEnd w:id="102"/>
      <w:r/>
      <w:bookmarkStart w:id="103" w:name="_Toc49090509"/>
      <w:r/>
      <w:bookmarkStart w:id="104" w:name="_Toc513029219"/>
      <w:r/>
      <w:bookmarkStart w:id="105" w:name="_Toc14577357"/>
      <w:r/>
      <w:bookmarkStart w:id="106" w:name="_Toc14577354"/>
      <w:r/>
      <w:bookmarkStart w:id="107" w:name="_Toc513029216"/>
      <w:r/>
      <w:bookmarkStart w:id="108" w:name="_Toc49090507"/>
      <w:r>
        <w:rPr>
          <w:rFonts w:hint="eastAsia"/>
          <w:b w:val="0"/>
          <w:bCs w:val="0"/>
        </w:rPr>
        <w:t xml:space="preserve">11、证明投标人及投标标的符合招标文件规定的文件</w:t>
      </w:r>
      <w:bookmarkEnd w:id="103"/>
      <w:r/>
      <w:bookmarkEnd w:id="104"/>
      <w:r/>
      <w:bookmarkEnd w:id="105"/>
      <w:r/>
      <w:bookmarkEnd w:id="106"/>
      <w:r/>
      <w:bookmarkEnd w:id="107"/>
      <w:r/>
      <w:bookmarkEnd w:id="108"/>
      <w:r/>
      <w:r/>
    </w:p>
    <w:p>
      <w:pPr>
        <w:spacing w:line="480" w:lineRule="exact"/>
        <w:rPr>
          <w:rFonts w:ascii="宋体" w:hAnsi="宋体"/>
          <w:sz w:val="24"/>
          <w:szCs w:val="24"/>
        </w:rPr>
      </w:pPr>
      <w:r/>
      <w:bookmarkStart w:id="109" w:name="_Toc14577355"/>
      <w:r/>
      <w:bookmarkStart w:id="110"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2"/>
        <w:ind w:firstLine="420"/>
        <w:spacing w:before="0" w:after="0" w:line="240" w:lineRule="auto"/>
        <w:rPr>
          <w:b w:val="0"/>
          <w:bCs w:val="0"/>
        </w:rPr>
      </w:pPr>
      <w:r>
        <w:rPr>
          <w:rFonts w:hint="eastAsia"/>
          <w:b w:val="0"/>
          <w:bCs w:val="0"/>
        </w:rPr>
        <w:t xml:space="preserve">12、投标分项报价</w:t>
      </w:r>
      <w:bookmarkEnd w:id="109"/>
      <w:r/>
      <w:bookmarkStart w:id="111" w:name="_Hlt26670373"/>
      <w:r/>
      <w:bookmarkEnd w:id="111"/>
      <w:r>
        <w:rPr>
          <w:rFonts w:hint="eastAsia"/>
          <w:b w:val="0"/>
          <w:bCs w:val="0"/>
        </w:rPr>
        <w:t xml:space="preserve">表</w:t>
      </w:r>
      <w:bookmarkEnd w:id="110"/>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2" w:name="_Hlt26954840"/>
      <w:r/>
      <w:bookmarkEnd w:id="112"/>
      <w:r>
        <w:rPr>
          <w:rFonts w:hint="eastAsia" w:ascii="宋体" w:hAnsi="宋体"/>
          <w:sz w:val="24"/>
        </w:rPr>
        <w:t xml:space="preserve">标人应按照招标文件规定格式填报投标分项报价表</w:t>
      </w:r>
      <w:bookmarkStart w:id="113" w:name="_Hlt26670399"/>
      <w:r/>
      <w:bookmarkEnd w:id="113"/>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2"/>
        <w:ind w:firstLine="420"/>
        <w:spacing w:before="0" w:after="0" w:line="240" w:lineRule="auto"/>
        <w:rPr>
          <w:b w:val="0"/>
          <w:bCs w:val="0"/>
        </w:rPr>
      </w:pPr>
      <w:r/>
      <w:bookmarkStart w:id="114" w:name="_Hlt26954842"/>
      <w:r/>
      <w:bookmarkEnd w:id="114"/>
      <w:r/>
      <w:bookmarkStart w:id="115" w:name="_Hlt26670403"/>
      <w:r/>
      <w:bookmarkEnd w:id="115"/>
      <w:r/>
      <w:bookmarkStart w:id="116" w:name="_Hlt26670482"/>
      <w:r/>
      <w:bookmarkEnd w:id="116"/>
      <w:r/>
      <w:bookmarkStart w:id="117" w:name="_Hlt26954844"/>
      <w:r/>
      <w:bookmarkEnd w:id="117"/>
      <w:r/>
      <w:bookmarkStart w:id="118" w:name="_Hlt26670486"/>
      <w:r/>
      <w:bookmarkEnd w:id="118"/>
      <w:r/>
      <w:bookmarkStart w:id="119" w:name="_Hlt26954846"/>
      <w:r/>
      <w:bookmarkEnd w:id="119"/>
      <w:r/>
      <w:bookmarkStart w:id="120" w:name="_Hlt26668983"/>
      <w:r/>
      <w:bookmarkEnd w:id="120"/>
      <w:r/>
      <w:bookmarkStart w:id="121" w:name="_Hlt26954731"/>
      <w:r/>
      <w:bookmarkEnd w:id="121"/>
      <w:r/>
      <w:bookmarkStart w:id="122" w:name="_Hlt26954848"/>
      <w:r/>
      <w:bookmarkEnd w:id="122"/>
      <w:r/>
      <w:bookmarkStart w:id="123" w:name="_Hlt26670425"/>
      <w:r/>
      <w:bookmarkEnd w:id="123"/>
      <w:r>
        <w:rPr>
          <w:rFonts w:hint="eastAsia"/>
          <w:b w:val="0"/>
          <w:bCs w:val="0"/>
        </w:rPr>
        <w:t xml:space="preserve">13、技术要求响应及偏离表、商务要求响应及偏离表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32"/>
        <w:ind w:firstLine="420"/>
        <w:spacing w:before="0" w:after="0" w:line="240" w:lineRule="auto"/>
        <w:rPr>
          <w:b w:val="0"/>
          <w:bCs w:val="0"/>
        </w:rPr>
      </w:pPr>
      <w:r/>
      <w:bookmarkStart w:id="124" w:name="_Toc49090510"/>
      <w:r/>
      <w:bookmarkStart w:id="125" w:name="_Toc14577359"/>
      <w:r>
        <w:rPr>
          <w:rFonts w:hint="eastAsia"/>
          <w:b w:val="0"/>
          <w:bCs w:val="0"/>
        </w:rPr>
        <w:t xml:space="preserve">14、投标函和开标一览表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4"/>
      <w:r/>
      <w:bookmarkEnd w:id="125"/>
      <w:r/>
      <w:r/>
    </w:p>
    <w:p>
      <w:pPr>
        <w:pStyle w:val="932"/>
        <w:ind w:firstLine="420"/>
        <w:spacing w:before="0" w:after="0" w:line="240" w:lineRule="auto"/>
        <w:rPr>
          <w:b w:val="0"/>
          <w:bCs w:val="0"/>
        </w:rPr>
      </w:pPr>
      <w:r/>
      <w:bookmarkStart w:id="126" w:name="_Hlt26670489"/>
      <w:r/>
      <w:bookmarkEnd w:id="126"/>
      <w:r/>
      <w:bookmarkStart w:id="127" w:name="_Hlt26954850"/>
      <w:r/>
      <w:bookmarkEnd w:id="127"/>
      <w:r/>
      <w:bookmarkStart w:id="128" w:name="_Hlt26954734"/>
      <w:r/>
      <w:bookmarkEnd w:id="128"/>
      <w:r/>
      <w:bookmarkStart w:id="129" w:name="_Toc14577360"/>
      <w:r/>
      <w:bookmarkStart w:id="130" w:name="_Toc49090511"/>
      <w:r>
        <w:rPr>
          <w:rFonts w:hint="eastAsia"/>
          <w:b w:val="0"/>
          <w:bCs w:val="0"/>
        </w:rPr>
        <w:t xml:space="preserve">15、投标有效期</w:t>
      </w:r>
      <w:bookmarkEnd w:id="129"/>
      <w:r/>
      <w:bookmarkEnd w:id="130"/>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2"/>
        <w:ind w:firstLine="420"/>
        <w:spacing w:before="0" w:after="0" w:line="240" w:lineRule="auto"/>
        <w:rPr>
          <w:b w:val="0"/>
          <w:bCs w:val="0"/>
        </w:rPr>
      </w:pPr>
      <w:r>
        <w:rPr>
          <w:rFonts w:hint="eastAsia"/>
          <w:b w:val="0"/>
          <w:bCs w:val="0"/>
        </w:rPr>
        <w:t xml:space="preserve">16、投标有效期的延长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0"/>
        <w:ind w:firstLine="482"/>
        <w:spacing w:before="145" w:after="145" w:line="360" w:lineRule="auto"/>
      </w:pPr>
      <w:r/>
      <w:bookmarkStart w:id="131" w:name="_Hlt26954739"/>
      <w:r/>
      <w:bookmarkEnd w:id="131"/>
      <w:r/>
      <w:bookmarkStart w:id="132" w:name="_Hlt26954852"/>
      <w:r/>
      <w:bookmarkEnd w:id="132"/>
      <w:r/>
      <w:bookmarkStart w:id="133" w:name="_Toc513029224"/>
      <w:r/>
      <w:bookmarkStart w:id="134" w:name="_Toc120614217"/>
      <w:r/>
      <w:bookmarkStart w:id="135" w:name="_Toc16938540"/>
      <w:r/>
      <w:bookmarkStart w:id="136" w:name="_Toc20823296"/>
      <w:r>
        <w:rPr>
          <w:rFonts w:hint="eastAsia"/>
        </w:rPr>
        <w:t xml:space="preserve">四、投标文件的递交</w:t>
      </w:r>
      <w:bookmarkEnd w:id="133"/>
      <w:r/>
      <w:bookmarkEnd w:id="134"/>
      <w:r/>
      <w:bookmarkEnd w:id="135"/>
      <w:r/>
      <w:bookmarkEnd w:id="136"/>
      <w:r/>
      <w:r/>
    </w:p>
    <w:p>
      <w:pPr>
        <w:pStyle w:val="932"/>
        <w:ind w:firstLine="560"/>
        <w:spacing w:before="0" w:after="0" w:line="240" w:lineRule="auto"/>
        <w:rPr>
          <w:rFonts w:ascii="黑体"/>
          <w:b w:val="0"/>
          <w:bCs w:val="0"/>
        </w:rPr>
      </w:pPr>
      <w:r/>
      <w:bookmarkStart w:id="137" w:name="_Toc462564084"/>
      <w:r/>
      <w:bookmarkStart w:id="138" w:name="_Toc20823297"/>
      <w:r/>
      <w:bookmarkStart w:id="139" w:name="_Toc513029225"/>
      <w:r/>
      <w:bookmarkStart w:id="140" w:name="_Toc16938541"/>
      <w:r>
        <w:rPr>
          <w:rFonts w:hint="eastAsia"/>
          <w:b w:val="0"/>
          <w:bCs w:val="0"/>
        </w:rPr>
        <w:t xml:space="preserve">17、</w:t>
      </w:r>
      <w:r>
        <w:rPr>
          <w:rFonts w:hint="eastAsia" w:ascii="黑体"/>
          <w:b w:val="0"/>
          <w:bCs w:val="0"/>
        </w:rPr>
        <w:t xml:space="preserve">投标文件</w:t>
      </w:r>
      <w:bookmarkEnd w:id="137"/>
      <w:r/>
      <w:bookmarkEnd w:id="138"/>
      <w:r/>
      <w:bookmarkEnd w:id="139"/>
      <w:r/>
      <w:bookmarkEnd w:id="140"/>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2"/>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1" w:name="_Toc16938542"/>
      <w:r/>
      <w:bookmarkStart w:id="142" w:name="_Toc513029226"/>
      <w:r/>
      <w:bookmarkStart w:id="143" w:name="_Toc20823298"/>
      <w:r/>
      <w:r/>
    </w:p>
    <w:p>
      <w:pPr>
        <w:pStyle w:val="932"/>
        <w:ind w:firstLine="420"/>
        <w:spacing w:line="240" w:lineRule="auto"/>
        <w:rPr>
          <w:b w:val="0"/>
        </w:rPr>
      </w:pPr>
      <w:r>
        <w:rPr>
          <w:rFonts w:hint="eastAsia"/>
          <w:b w:val="0"/>
        </w:rPr>
        <w:t xml:space="preserve">18、投标截止</w:t>
      </w:r>
      <w:bookmarkEnd w:id="141"/>
      <w:r/>
      <w:bookmarkEnd w:id="142"/>
      <w:r/>
      <w:bookmarkEnd w:id="143"/>
      <w:r>
        <w:rPr>
          <w:rFonts w:hint="eastAsia"/>
          <w:b w:val="0"/>
        </w:rPr>
        <w:t xml:space="preserve">时间</w:t>
      </w:r>
      <w:r/>
    </w:p>
    <w:p>
      <w:pPr>
        <w:ind w:firstLine="480"/>
        <w:spacing w:line="500" w:lineRule="exact"/>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p>
    <w:p>
      <w:pPr>
        <w:pStyle w:val="932"/>
        <w:ind w:firstLine="420"/>
        <w:spacing w:before="0" w:after="0" w:line="240" w:lineRule="auto"/>
        <w:rPr>
          <w:b w:val="0"/>
          <w:bCs w:val="0"/>
        </w:rPr>
      </w:pPr>
      <w:r/>
      <w:bookmarkStart w:id="144" w:name="_Toc20823299"/>
      <w:r/>
      <w:bookmarkStart w:id="145" w:name="_Toc16938543"/>
      <w:r/>
      <w:bookmarkStart w:id="146" w:name="_Toc513029227"/>
      <w:r>
        <w:rPr>
          <w:rFonts w:hint="eastAsia"/>
          <w:b w:val="0"/>
          <w:bCs w:val="0"/>
        </w:rPr>
        <w:t xml:space="preserve">19、投标文件</w:t>
      </w:r>
      <w:bookmarkEnd w:id="144"/>
      <w:r/>
      <w:bookmarkEnd w:id="145"/>
      <w:r/>
      <w:bookmarkEnd w:id="146"/>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32"/>
        <w:ind w:firstLine="420"/>
        <w:spacing w:before="0" w:after="0" w:line="240" w:lineRule="auto"/>
        <w:rPr>
          <w:b w:val="0"/>
          <w:bCs w:val="0"/>
        </w:rPr>
      </w:pPr>
      <w:r/>
      <w:bookmarkStart w:id="147" w:name="_Toc20823300"/>
      <w:r/>
      <w:bookmarkStart w:id="148" w:name="_Toc513029228"/>
      <w:r/>
      <w:bookmarkStart w:id="149" w:name="_Toc16938544"/>
      <w:r>
        <w:rPr>
          <w:rFonts w:hint="eastAsia"/>
          <w:b w:val="0"/>
          <w:bCs w:val="0"/>
        </w:rPr>
        <w:t xml:space="preserve">20、投标文件的撤回和修改</w:t>
      </w:r>
      <w:bookmarkEnd w:id="147"/>
      <w:r/>
      <w:bookmarkEnd w:id="148"/>
      <w:r/>
      <w:bookmarkEnd w:id="149"/>
      <w:r/>
      <w:r/>
    </w:p>
    <w:p>
      <w:pPr>
        <w:ind w:firstLine="480"/>
        <w:spacing w:line="480" w:lineRule="exact"/>
        <w:rPr>
          <w:rFonts w:ascii="宋体" w:hAnsi="宋体"/>
          <w:sz w:val="24"/>
        </w:rPr>
      </w:pPr>
      <w:r>
        <w:rPr>
          <w:rFonts w:hint="eastAsia" w:ascii="宋体" w:hAnsi="宋体"/>
          <w:sz w:val="24"/>
        </w:rPr>
        <w:t xml:space="preserve">20.1 投标文件的撤回</w:t>
      </w:r>
      <w:r/>
    </w:p>
    <w:p>
      <w:pPr>
        <w:ind w:firstLine="480"/>
        <w:spacing w:line="480" w:lineRule="exact"/>
        <w:rPr>
          <w:rFonts w:ascii="宋体" w:hAnsi="宋体"/>
          <w:sz w:val="24"/>
        </w:rPr>
      </w:pPr>
      <w:r>
        <w:rPr>
          <w:rFonts w:hint="eastAsia" w:ascii="宋体" w:hAnsi="宋体"/>
          <w:sz w:val="24"/>
        </w:rPr>
        <w:t xml:space="preserve">21.1.1 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投标文件的修改</w:t>
      </w:r>
      <w:r/>
    </w:p>
    <w:p>
      <w:pPr>
        <w:ind w:firstLine="480"/>
        <w:spacing w:line="48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30"/>
        <w:ind w:firstLine="482"/>
        <w:spacing w:before="145" w:after="145" w:line="360" w:lineRule="auto"/>
      </w:pPr>
      <w:r/>
      <w:bookmarkStart w:id="150" w:name="_Toc513029229"/>
      <w:r/>
      <w:bookmarkStart w:id="151" w:name="_Toc120614218"/>
      <w:r/>
      <w:bookmarkStart w:id="152" w:name="_Toc20823301"/>
      <w:r/>
      <w:bookmarkStart w:id="153" w:name="_Toc16938545"/>
      <w:r>
        <w:rPr>
          <w:rFonts w:hint="eastAsia"/>
        </w:rPr>
        <w:t xml:space="preserve">五、开标与评标</w:t>
      </w:r>
      <w:bookmarkEnd w:id="150"/>
      <w:r/>
      <w:bookmarkEnd w:id="151"/>
      <w:r/>
      <w:bookmarkEnd w:id="152"/>
      <w:r/>
      <w:bookmarkEnd w:id="153"/>
      <w:r/>
      <w:r/>
    </w:p>
    <w:p>
      <w:pPr>
        <w:pStyle w:val="932"/>
        <w:ind w:firstLine="420"/>
        <w:spacing w:before="0" w:after="0" w:line="240" w:lineRule="auto"/>
        <w:rPr>
          <w:b w:val="0"/>
          <w:bCs w:val="0"/>
        </w:rPr>
      </w:pPr>
      <w:r/>
      <w:bookmarkStart w:id="154" w:name="_Toc513029230"/>
      <w:r/>
      <w:bookmarkStart w:id="155" w:name="_Toc16938546"/>
      <w:r/>
      <w:bookmarkStart w:id="156" w:name="_Toc20823302"/>
      <w:r>
        <w:rPr>
          <w:rFonts w:hint="eastAsia"/>
          <w:b w:val="0"/>
          <w:bCs w:val="0"/>
        </w:rPr>
        <w:t xml:space="preserve">21、开标</w:t>
      </w:r>
      <w:bookmarkEnd w:id="154"/>
      <w:r/>
      <w:bookmarkEnd w:id="155"/>
      <w:r/>
      <w:bookmarkEnd w:id="156"/>
      <w:r/>
      <w:r/>
    </w:p>
    <w:p>
      <w:pPr>
        <w:ind w:firstLine="480"/>
        <w:spacing w:line="500" w:lineRule="exact"/>
        <w:rPr>
          <w:rFonts w:hint="eastAsia" w:ascii="宋体" w:hAnsi="宋体"/>
          <w:sz w:val="24"/>
        </w:rPr>
      </w:pPr>
      <w:r>
        <w:rPr>
          <w:rFonts w:hint="eastAsia" w:ascii="宋体" w:hAnsi="宋体"/>
          <w:sz w:val="24"/>
        </w:rPr>
        <w:t xml:space="preserve">21.1 交易中心将在招标公告中规定的时间和地点组织公开开标。投标人应当按照《操作手册》规定，参加开标活动和在苏采云系统规定的时间内对投标文件进行解密。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21.2开标仪式由交易中心组织。苏采云系统将自动对项目进行开标，并宣布各投标人名称和投标价格。</w:t>
      </w:r>
      <w:r/>
    </w:p>
    <w:p>
      <w:pPr>
        <w:ind w:firstLine="480"/>
        <w:spacing w:line="50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32"/>
        <w:ind w:firstLine="420"/>
        <w:spacing w:before="0" w:after="0" w:line="240" w:lineRule="auto"/>
        <w:rPr>
          <w:b w:val="0"/>
          <w:bCs w:val="0"/>
        </w:rPr>
      </w:pPr>
      <w:r/>
      <w:bookmarkStart w:id="157" w:name="_Toc20823303"/>
      <w:r/>
      <w:bookmarkStart w:id="158" w:name="_Toc513029231"/>
      <w:r/>
      <w:bookmarkStart w:id="159" w:name="_Toc16938547"/>
      <w:r>
        <w:rPr>
          <w:rFonts w:hint="eastAsia"/>
          <w:b w:val="0"/>
          <w:bCs w:val="0"/>
        </w:rPr>
        <w:t xml:space="preserve">22、评标委员会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932"/>
        <w:ind w:firstLine="420"/>
        <w:spacing w:before="0" w:after="0" w:line="240" w:lineRule="auto"/>
        <w:rPr>
          <w:rFonts w:ascii="黑体"/>
          <w:b w:val="0"/>
          <w:bCs w:val="0"/>
        </w:rPr>
      </w:pPr>
      <w:r>
        <w:rPr>
          <w:rFonts w:hint="eastAsia" w:ascii="黑体"/>
          <w:b w:val="0"/>
          <w:bCs w:val="0"/>
        </w:rPr>
        <w:t xml:space="preserve">23、评标过程的保密与公正</w:t>
      </w:r>
      <w:bookmarkEnd w:id="157"/>
      <w:r/>
      <w:bookmarkEnd w:id="158"/>
      <w:r/>
      <w:bookmarkEnd w:id="159"/>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32"/>
        <w:ind w:firstLine="420"/>
        <w:spacing w:before="0" w:after="0" w:line="240" w:lineRule="auto"/>
        <w:rPr>
          <w:b w:val="0"/>
          <w:bCs w:val="0"/>
        </w:rPr>
      </w:pPr>
      <w:r/>
      <w:bookmarkStart w:id="160" w:name="_Toc16938548"/>
      <w:r/>
      <w:bookmarkStart w:id="161" w:name="_Toc513029232"/>
      <w:r/>
      <w:bookmarkStart w:id="162" w:name="_Toc20823304"/>
      <w:r>
        <w:rPr>
          <w:rFonts w:hint="eastAsia"/>
          <w:b w:val="0"/>
          <w:bCs w:val="0"/>
        </w:rPr>
        <w:t xml:space="preserve">24、投标文件的澄清</w:t>
      </w:r>
      <w:bookmarkEnd w:id="160"/>
      <w:r/>
      <w:bookmarkEnd w:id="161"/>
      <w:r/>
      <w:bookmarkEnd w:id="162"/>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2"/>
        <w:ind w:firstLine="420"/>
        <w:spacing w:before="0" w:after="0" w:line="240" w:lineRule="auto"/>
        <w:rPr>
          <w:b w:val="0"/>
          <w:bCs w:val="0"/>
        </w:rPr>
      </w:pPr>
      <w:r/>
      <w:bookmarkStart w:id="163" w:name="_Toc513029233"/>
      <w:r/>
      <w:bookmarkStart w:id="164" w:name="_Toc16938549"/>
      <w:r/>
      <w:bookmarkStart w:id="165" w:name="_Toc20823305"/>
      <w:r>
        <w:rPr>
          <w:rFonts w:hint="eastAsia"/>
          <w:b w:val="0"/>
          <w:bCs w:val="0"/>
        </w:rPr>
        <w:t xml:space="preserve">25、对投标文件的初审</w:t>
      </w:r>
      <w:bookmarkEnd w:id="163"/>
      <w:r/>
      <w:bookmarkEnd w:id="164"/>
      <w:r/>
      <w:bookmarkEnd w:id="165"/>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6" w:name="_Toc513029234"/>
      <w:r/>
      <w:bookmarkStart w:id="167" w:name="_Toc20823306"/>
      <w:r/>
      <w:bookmarkStart w:id="168"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p>
    <w:p>
      <w:pPr>
        <w:pStyle w:val="932"/>
        <w:ind w:firstLine="420"/>
        <w:spacing w:before="0" w:after="0" w:line="240" w:lineRule="auto"/>
        <w:rPr>
          <w:b w:val="0"/>
          <w:bCs w:val="0"/>
        </w:rPr>
      </w:pPr>
      <w:r>
        <w:rPr>
          <w:rFonts w:hint="eastAsia"/>
          <w:b w:val="0"/>
          <w:bCs w:val="0"/>
        </w:rPr>
        <w:t xml:space="preserve">26、</w:t>
      </w:r>
      <w:bookmarkEnd w:id="166"/>
      <w:r/>
      <w:bookmarkEnd w:id="167"/>
      <w:r/>
      <w:bookmarkEnd w:id="168"/>
      <w:r>
        <w:rPr>
          <w:rFonts w:hint="eastAsia"/>
          <w:b w:val="0"/>
          <w:bCs w:val="0"/>
        </w:rPr>
        <w:t xml:space="preserve">无效投标条款和废标条款</w:t>
      </w:r>
      <w:r/>
    </w:p>
    <w:p>
      <w:pPr>
        <w:ind w:left="479"/>
        <w:spacing w:line="440" w:lineRule="exact"/>
        <w:rPr>
          <w:rFonts w:ascii="宋体" w:hAnsi="宋体"/>
          <w:bCs/>
          <w:sz w:val="24"/>
        </w:rPr>
      </w:pPr>
      <w:r/>
      <w:bookmarkStart w:id="169" w:name="_Toc20823307"/>
      <w:r/>
      <w:bookmarkStart w:id="170" w:name="_Toc513029235"/>
      <w:r/>
      <w:bookmarkStart w:id="171" w:name="_Toc16938551"/>
      <w:r>
        <w:rPr>
          <w:rFonts w:hint="eastAsia" w:ascii="宋体" w:hAnsi="宋体"/>
          <w:bCs/>
          <w:sz w:val="24"/>
        </w:rPr>
        <w:t xml:space="preserve">26.1无效投标条款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26.2废标条款</w:t>
      </w:r>
      <w:r/>
    </w:p>
    <w:p>
      <w:pPr>
        <w:ind w:left="479"/>
        <w:spacing w:line="44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30"/>
        <w:ind w:firstLine="482"/>
        <w:spacing w:before="145" w:after="145" w:line="360" w:lineRule="auto"/>
      </w:pPr>
      <w:r/>
      <w:bookmarkStart w:id="172" w:name="_Toc120614219"/>
      <w:r>
        <w:rPr>
          <w:rFonts w:hint="eastAsia"/>
        </w:rPr>
        <w:t xml:space="preserve">六、</w:t>
      </w:r>
      <w:bookmarkEnd w:id="169"/>
      <w:r/>
      <w:bookmarkEnd w:id="170"/>
      <w:r/>
      <w:bookmarkEnd w:id="171"/>
      <w:r>
        <w:rPr>
          <w:rFonts w:hint="eastAsia"/>
        </w:rPr>
        <w:t xml:space="preserve">定标</w:t>
      </w:r>
      <w:bookmarkEnd w:id="172"/>
      <w:r/>
      <w:r/>
    </w:p>
    <w:p>
      <w:pPr>
        <w:pStyle w:val="932"/>
        <w:ind w:firstLine="600"/>
        <w:spacing w:before="0" w:after="0" w:line="240" w:lineRule="auto"/>
        <w:rPr>
          <w:rFonts w:ascii="黑体" w:hAnsi="宋体" w:cs="Times New Roman"/>
          <w:b w:val="0"/>
          <w:sz w:val="30"/>
          <w:szCs w:val="30"/>
        </w:rPr>
      </w:pPr>
      <w:r/>
      <w:bookmarkStart w:id="173" w:name="_Toc513029238"/>
      <w:r/>
      <w:bookmarkStart w:id="174" w:name="_Toc16938554"/>
      <w:r/>
      <w:bookmarkStart w:id="175" w:name="_Toc20823310"/>
      <w:r>
        <w:rPr>
          <w:rFonts w:hint="eastAsia" w:ascii="黑体" w:hAnsi="宋体" w:cs="Times New Roman"/>
          <w:b w:val="0"/>
          <w:sz w:val="30"/>
          <w:szCs w:val="30"/>
        </w:rPr>
        <w:t xml:space="preserve">27、</w:t>
      </w:r>
      <w:bookmarkEnd w:id="173"/>
      <w:r>
        <w:rPr>
          <w:rFonts w:hint="eastAsia" w:ascii="黑体" w:hAnsi="宋体" w:cs="Times New Roman"/>
          <w:b w:val="0"/>
          <w:sz w:val="30"/>
          <w:szCs w:val="30"/>
        </w:rPr>
        <w:t xml:space="preserve">确定</w:t>
      </w:r>
      <w:bookmarkEnd w:id="174"/>
      <w:r/>
      <w:bookmarkEnd w:id="175"/>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交易中心将在“江苏政府采购网”、“扬州市政府采购网”发布中标公告，公告期限为1个工作日。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3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28、质疑处理</w:t>
      </w:r>
      <w:bookmarkEnd w:id="176"/>
      <w:r/>
      <w:r/>
    </w:p>
    <w:p>
      <w:pPr>
        <w:ind w:firstLine="480"/>
        <w:spacing w:line="48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交易中心</w:t>
      </w:r>
      <w:r>
        <w:rPr>
          <w:rFonts w:ascii="宋体" w:hAnsi="宋体"/>
          <w:sz w:val="24"/>
          <w:szCs w:val="24"/>
        </w:rPr>
        <w:t xml:space="preserve">提出，由</w:t>
      </w:r>
      <w:r>
        <w:rPr>
          <w:rFonts w:hint="eastAsia" w:ascii="宋体" w:hAnsi="宋体"/>
          <w:sz w:val="24"/>
          <w:szCs w:val="24"/>
        </w:rPr>
        <w:t xml:space="preserve">交易中心负责</w:t>
      </w:r>
      <w:r>
        <w:rPr>
          <w:rFonts w:ascii="宋体" w:hAnsi="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交易中心及采购人只接收以纸质原件形式送达的质疑。</w:t>
      </w:r>
      <w:r/>
    </w:p>
    <w:p>
      <w:pPr>
        <w:ind w:firstLine="480"/>
        <w:spacing w:line="480" w:lineRule="exact"/>
        <w:rPr>
          <w:rFonts w:ascii="宋体" w:hAnsi="宋体"/>
          <w:sz w:val="24"/>
          <w:szCs w:val="24"/>
        </w:rPr>
      </w:pPr>
      <w:r>
        <w:rPr>
          <w:rFonts w:hint="eastAsia" w:ascii="宋体" w:hAnsi="宋体"/>
          <w:sz w:val="24"/>
          <w:szCs w:val="24"/>
        </w:rPr>
        <w:t xml:space="preserve">交易中心质疑接收人及联系方式详见招标文件第一章。</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3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0"/>
        <w:spacing w:before="145" w:after="145" w:line="360" w:lineRule="auto"/>
      </w:pPr>
      <w:r/>
      <w:bookmarkStart w:id="177" w:name="_Toc120614220"/>
      <w:r/>
      <w:bookmarkStart w:id="178" w:name="_Toc513029236"/>
      <w:r/>
      <w:bookmarkStart w:id="179" w:name="_Toc16938552"/>
      <w:r/>
      <w:bookmarkStart w:id="180" w:name="_Toc20823308"/>
      <w:r>
        <w:rPr>
          <w:rFonts w:hint="eastAsia"/>
        </w:rPr>
        <w:t xml:space="preserve">七、授予合同</w:t>
      </w:r>
      <w:bookmarkEnd w:id="177"/>
      <w:r/>
      <w:bookmarkEnd w:id="178"/>
      <w:r/>
      <w:bookmarkEnd w:id="179"/>
      <w:r/>
      <w:bookmarkEnd w:id="180"/>
      <w:r/>
      <w:r/>
    </w:p>
    <w:p>
      <w:pPr>
        <w:pStyle w:val="932"/>
        <w:ind w:firstLine="600"/>
        <w:spacing w:before="0" w:after="0" w:line="240" w:lineRule="auto"/>
        <w:rPr>
          <w:rFonts w:ascii="黑体" w:hAnsi="宋体" w:cs="Times New Roman"/>
          <w:b w:val="0"/>
          <w:sz w:val="30"/>
          <w:szCs w:val="30"/>
        </w:rPr>
      </w:pPr>
      <w:r/>
      <w:bookmarkStart w:id="181" w:name="_Toc16938553"/>
      <w:r/>
      <w:bookmarkStart w:id="182" w:name="_Toc513029237"/>
      <w:r/>
      <w:bookmarkStart w:id="183" w:name="_Toc20823309"/>
      <w:r>
        <w:rPr>
          <w:rFonts w:hint="eastAsia" w:ascii="黑体" w:hAnsi="宋体" w:cs="Times New Roman"/>
          <w:b w:val="0"/>
          <w:sz w:val="30"/>
          <w:szCs w:val="30"/>
        </w:rPr>
        <w:t xml:space="preserve">30. 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w:t>
      </w:r>
      <w:r>
        <w:rPr>
          <w:rFonts w:hint="eastAsia" w:ascii="宋体" w:hAnsi="宋体"/>
          <w:sz w:val="24"/>
          <w:szCs w:val="24"/>
          <w:lang w:val="en-US" w:eastAsia="zh-CN"/>
        </w:rPr>
        <w:t xml:space="preserve">三十</w:t>
      </w:r>
      <w:r>
        <w:rPr>
          <w:rFonts w:hint="eastAsia" w:ascii="宋体" w:hAnsi="宋体"/>
          <w:sz w:val="24"/>
          <w:szCs w:val="24"/>
        </w:rPr>
        <w:t xml:space="preserve">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81"/>
      <w:r/>
      <w:bookmarkEnd w:id="182"/>
      <w:r/>
      <w:bookmarkEnd w:id="183"/>
      <w:r/>
      <w:r/>
    </w:p>
    <w:p>
      <w:pPr>
        <w:pStyle w:val="93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31、政府采购履约资金扶持政策</w:t>
      </w:r>
      <w:r/>
    </w:p>
    <w:p>
      <w:pPr>
        <w:ind w:firstLine="600"/>
        <w:spacing w:line="480" w:lineRule="exact"/>
        <w:rPr>
          <w:rFonts w:hint="eastAsia" w:ascii="宋体" w:hAnsi="宋体"/>
          <w:bCs/>
          <w:sz w:val="24"/>
          <w:szCs w:val="24"/>
        </w:rPr>
      </w:pPr>
      <w:r>
        <w:rPr>
          <w:rFonts w:hint="eastAsia" w:ascii="宋体" w:hAnsi="宋体"/>
          <w:bCs/>
          <w:sz w:val="24"/>
          <w:szCs w:val="24"/>
        </w:rPr>
        <w:t xml:space="preserve">中标人可凭政府采购合同办理融资贷款，详情请见江苏政府采购网“政采贷”专栏。</w:t>
      </w:r>
      <w:r/>
    </w:p>
    <w:p>
      <w:pPr>
        <w:ind w:firstLine="600"/>
        <w:spacing w:line="4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r/>
      <w:r/>
    </w:p>
    <w:p>
      <w:pPr>
        <w:rPr>
          <w:rFonts w:ascii="黑体" w:eastAsia="黑体"/>
          <w:bCs/>
          <w:sz w:val="44"/>
        </w:rPr>
      </w:pPr>
      <w:r>
        <w:rPr>
          <w:rFonts w:ascii="黑体" w:eastAsia="黑体"/>
          <w:bCs/>
          <w:sz w:val="44"/>
        </w:rPr>
      </w:r>
      <w:r/>
    </w:p>
    <w:p>
      <w:pPr>
        <w:pStyle w:val="924"/>
        <w:rPr>
          <w:rStyle w:val="925"/>
          <w:rFonts w:hint="eastAsia"/>
          <w:b/>
          <w:bCs/>
        </w:rPr>
      </w:pPr>
      <w:r/>
      <w:bookmarkStart w:id="184" w:name="_Toc11104"/>
      <w:r/>
      <w:bookmarkStart w:id="185" w:name="_Toc5617"/>
      <w:r>
        <w:rPr>
          <w:rStyle w:val="925"/>
          <w:rFonts w:hint="eastAsia"/>
          <w:b/>
          <w:bCs/>
        </w:rPr>
        <w:br w:type="page" w:clear="all"/>
      </w:r>
      <w:r/>
      <w:r>
        <w:rPr>
          <w:rStyle w:val="925"/>
          <w:rFonts w:hint="eastAsia"/>
          <w:b/>
          <w:bCs/>
        </w:rPr>
        <w:t xml:space="preserve">第三章合同</w:t>
      </w:r>
      <w:bookmarkEnd w:id="52"/>
      <w:r/>
      <w:bookmarkEnd w:id="53"/>
      <w:r/>
      <w:bookmarkEnd w:id="54"/>
      <w:r/>
      <w:bookmarkEnd w:id="55"/>
      <w:r/>
      <w:bookmarkEnd w:id="56"/>
      <w:r>
        <w:rPr>
          <w:rStyle w:val="925"/>
          <w:rFonts w:hint="eastAsia"/>
          <w:b/>
          <w:bCs/>
        </w:rPr>
        <w:t xml:space="preserve">文本</w:t>
      </w:r>
      <w:bookmarkEnd w:id="184"/>
      <w:r/>
      <w:bookmarkEnd w:id="185"/>
      <w:r/>
      <w:r/>
      <w:r>
        <w:rPr>
          <w:rStyle w:val="925"/>
          <w:rFonts w:hint="eastAsia"/>
          <w:b/>
          <w:bCs/>
        </w:rPr>
      </w:r>
    </w:p>
    <w:p>
      <w:pPr>
        <w:ind w:firstLine="480"/>
        <w:spacing w:line="500" w:lineRule="exact"/>
        <w:rPr>
          <w:rFonts w:ascii="宋体" w:hAnsi="宋体"/>
          <w:bCs/>
          <w:sz w:val="24"/>
        </w:rPr>
      </w:pPr>
      <w:r/>
      <w:bookmarkStart w:id="186" w:name="_Toc20823315"/>
      <w:r/>
      <w:bookmarkStart w:id="187" w:name="_Toc16938559"/>
      <w:r/>
      <w:bookmarkStart w:id="188" w:name="_Toc513029243"/>
      <w:r>
        <w:rPr>
          <w:rFonts w:hint="eastAsia" w:ascii="宋体" w:hAnsi="宋体"/>
          <w:bCs/>
          <w:sz w:val="24"/>
        </w:rPr>
        <w:t xml:space="preserve">以下为中标后签定本项目合同的通用条款，中标人不得提出实质性的修改。</w:t>
      </w:r>
      <w:r/>
    </w:p>
    <w:p>
      <w:pPr>
        <w:ind w:firstLine="640"/>
        <w:spacing w:line="500" w:lineRule="exact"/>
        <w:rPr>
          <w:rFonts w:ascii="宋体" w:hAnsi="宋体"/>
          <w:bCs/>
          <w:sz w:val="32"/>
          <w:szCs w:val="32"/>
          <w:highlight w:val="yellow"/>
        </w:rPr>
      </w:pPr>
      <w:r>
        <w:rPr>
          <w:rFonts w:ascii="宋体" w:hAnsi="宋体"/>
          <w:bCs/>
          <w:sz w:val="32"/>
          <w:szCs w:val="32"/>
          <w:highlight w:val="yellow"/>
        </w:rPr>
      </w:r>
      <w:r/>
    </w:p>
    <w:p>
      <w:pPr>
        <w:jc w:val="center"/>
        <w:rPr>
          <w:b/>
          <w:bCs/>
          <w:sz w:val="30"/>
          <w:szCs w:val="30"/>
        </w:rPr>
      </w:pPr>
      <w:r>
        <w:rPr>
          <w:rFonts w:hint="eastAsia"/>
          <w:b/>
          <w:bCs/>
          <w:sz w:val="30"/>
          <w:szCs w:val="30"/>
        </w:rPr>
        <w:t xml:space="preserve">江苏省政府采购合同（服务）（合同编号）</w:t>
      </w:r>
      <w:r/>
    </w:p>
    <w:p>
      <w:pPr>
        <w:pStyle w:val="948"/>
        <w:spacing w:before="120" w:after="120"/>
        <w:rPr>
          <w:rFonts w:hAnsi="宋体"/>
          <w:sz w:val="24"/>
          <w:szCs w:val="24"/>
        </w:rPr>
      </w:pPr>
      <w:r>
        <w:rPr>
          <w:rFonts w:hAnsi="宋体"/>
          <w:sz w:val="24"/>
          <w:szCs w:val="24"/>
        </w:rPr>
        <w:t xml:space="preserve">项目名称：                                       项目编号：</w:t>
      </w:r>
      <w:r/>
    </w:p>
    <w:p>
      <w:pPr>
        <w:pStyle w:val="948"/>
        <w:spacing w:before="120" w:after="120"/>
        <w:rPr>
          <w:rFonts w:hAnsi="宋体"/>
          <w:sz w:val="24"/>
          <w:szCs w:val="24"/>
        </w:rPr>
      </w:pPr>
      <w:r>
        <w:rPr>
          <w:rFonts w:hAnsi="宋体"/>
          <w:sz w:val="24"/>
          <w:szCs w:val="24"/>
        </w:rPr>
        <w:t xml:space="preserve">甲方：（买方）_________</w:t>
      </w:r>
      <w:r/>
    </w:p>
    <w:p>
      <w:pPr>
        <w:pStyle w:val="948"/>
        <w:spacing w:before="120" w:after="120"/>
        <w:rPr>
          <w:rFonts w:hAnsi="宋体"/>
          <w:sz w:val="24"/>
          <w:szCs w:val="24"/>
        </w:rPr>
      </w:pPr>
      <w:r>
        <w:rPr>
          <w:rFonts w:hAnsi="宋体"/>
          <w:sz w:val="24"/>
          <w:szCs w:val="24"/>
        </w:rPr>
        <w:t xml:space="preserve">乙方：（卖方）_________</w:t>
      </w:r>
      <w:r/>
    </w:p>
    <w:p>
      <w:pPr>
        <w:pStyle w:val="948"/>
        <w:spacing w:before="120" w:after="120"/>
        <w:rPr>
          <w:rFonts w:hAnsi="宋体"/>
          <w:b/>
          <w:sz w:val="24"/>
          <w:szCs w:val="24"/>
        </w:rPr>
      </w:pPr>
      <w:r>
        <w:rPr>
          <w:rFonts w:hAnsi="宋体"/>
          <w:sz w:val="24"/>
          <w:szCs w:val="24"/>
        </w:rPr>
        <w:t xml:space="preserve">甲、乙双方根据</w:t>
      </w:r>
      <w:r>
        <w:rPr>
          <w:rFonts w:hint="eastAsia" w:hAnsi="宋体"/>
          <w:sz w:val="24"/>
          <w:szCs w:val="24"/>
        </w:rPr>
        <w:t xml:space="preserve">扬州市公共资源交易中心</w:t>
      </w:r>
      <w:r>
        <w:rPr>
          <w:rFonts w:hint="eastAsia" w:hAnsi="宋体"/>
          <w:sz w:val="24"/>
          <w:szCs w:val="24"/>
          <w:lang w:val="en-US" w:eastAsia="zh-CN"/>
        </w:rPr>
        <w:t xml:space="preserve">邗江分中心</w:t>
      </w:r>
      <w:r>
        <w:rPr>
          <w:rFonts w:hAnsi="宋体"/>
          <w:sz w:val="24"/>
          <w:szCs w:val="24"/>
        </w:rPr>
        <w:t xml:space="preserve">项目公开招标的结果，签署本合同。</w:t>
      </w:r>
      <w:r/>
    </w:p>
    <w:p>
      <w:pPr>
        <w:pStyle w:val="9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48"/>
        <w:spacing w:before="120" w:after="120"/>
        <w:rPr>
          <w:rFonts w:hAnsi="宋体"/>
          <w:sz w:val="24"/>
          <w:szCs w:val="24"/>
        </w:rPr>
      </w:pPr>
      <w:r>
        <w:rPr>
          <w:rFonts w:hint="eastAsia" w:hAnsi="宋体"/>
          <w:sz w:val="24"/>
          <w:szCs w:val="24"/>
        </w:rPr>
        <w:t xml:space="preserve">1.3 标的数量（规模）：</w:t>
      </w:r>
      <w:r/>
    </w:p>
    <w:p>
      <w:pPr>
        <w:pStyle w:val="948"/>
        <w:spacing w:before="120" w:after="120"/>
        <w:rPr>
          <w:rFonts w:hAnsi="宋体"/>
          <w:sz w:val="24"/>
          <w:szCs w:val="24"/>
        </w:rPr>
      </w:pPr>
      <w:r>
        <w:rPr>
          <w:rFonts w:hint="eastAsia" w:hAnsi="宋体"/>
          <w:sz w:val="24"/>
          <w:szCs w:val="24"/>
        </w:rPr>
        <w:t xml:space="preserve">1.4 履行时间（期限）：</w:t>
      </w:r>
      <w:r/>
    </w:p>
    <w:p>
      <w:pPr>
        <w:pStyle w:val="948"/>
        <w:spacing w:before="120" w:after="120"/>
        <w:rPr>
          <w:rFonts w:hAnsi="宋体"/>
          <w:sz w:val="24"/>
          <w:szCs w:val="24"/>
        </w:rPr>
      </w:pPr>
      <w:r>
        <w:rPr>
          <w:rFonts w:hint="eastAsia" w:hAnsi="宋体"/>
          <w:sz w:val="24"/>
          <w:szCs w:val="24"/>
        </w:rPr>
        <w:t xml:space="preserve">1.5 履行地点：</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48"/>
        <w:spacing w:before="120" w:after="120"/>
        <w:rPr>
          <w:rFonts w:hAnsi="宋体"/>
          <w:b/>
          <w:sz w:val="24"/>
          <w:szCs w:val="24"/>
        </w:rPr>
      </w:pPr>
      <w:r>
        <w:rPr>
          <w:rFonts w:hAnsi="宋体"/>
          <w:b/>
          <w:sz w:val="24"/>
          <w:szCs w:val="24"/>
        </w:rPr>
        <w:t xml:space="preserve">二、合同金额</w:t>
      </w:r>
      <w:r/>
    </w:p>
    <w:p>
      <w:pPr>
        <w:pStyle w:val="94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8"/>
        <w:spacing w:before="120" w:after="120"/>
        <w:rPr>
          <w:rFonts w:hAnsi="宋体"/>
          <w:b/>
          <w:sz w:val="24"/>
          <w:szCs w:val="24"/>
        </w:rPr>
      </w:pPr>
      <w:r>
        <w:rPr>
          <w:rFonts w:hAnsi="宋体"/>
          <w:b/>
          <w:sz w:val="24"/>
          <w:szCs w:val="24"/>
        </w:rPr>
        <w:t xml:space="preserve">三、技术资料</w:t>
      </w:r>
      <w:r/>
    </w:p>
    <w:p>
      <w:pPr>
        <w:pStyle w:val="948"/>
        <w:ind w:left="410" w:hanging="410"/>
        <w:spacing w:before="120" w:after="12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8"/>
        <w:ind w:left="412" w:hanging="412"/>
        <w:spacing w:before="120" w:after="120"/>
        <w:rPr>
          <w:rFonts w:hAnsi="宋体"/>
          <w:b/>
          <w:sz w:val="24"/>
          <w:szCs w:val="24"/>
        </w:rPr>
      </w:pPr>
      <w:r>
        <w:rPr>
          <w:rFonts w:hAnsi="宋体"/>
          <w:b/>
          <w:sz w:val="24"/>
          <w:szCs w:val="24"/>
        </w:rPr>
        <w:t xml:space="preserve">四、知识产权</w:t>
      </w:r>
      <w:r/>
    </w:p>
    <w:p>
      <w:pPr>
        <w:pStyle w:val="948"/>
        <w:ind w:left="408" w:hanging="408"/>
        <w:spacing w:before="120" w:after="120"/>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8"/>
        <w:spacing w:before="120" w:after="120"/>
        <w:rPr>
          <w:rFonts w:hAnsi="宋体"/>
          <w:sz w:val="24"/>
          <w:szCs w:val="24"/>
          <w:u w:val="single"/>
        </w:rPr>
      </w:pPr>
      <w:r>
        <w:rPr>
          <w:rFonts w:hAnsi="宋体"/>
          <w:b/>
          <w:sz w:val="24"/>
          <w:szCs w:val="24"/>
        </w:rPr>
        <w:t xml:space="preserve">五、产权担保</w:t>
      </w:r>
      <w:r/>
    </w:p>
    <w:p>
      <w:pPr>
        <w:pStyle w:val="94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48"/>
        <w:ind w:left="410" w:hanging="410"/>
        <w:spacing w:before="120" w:after="120"/>
        <w:rPr>
          <w:rFonts w:hAnsi="宋体"/>
          <w:b/>
          <w:color w:val="000000" w:themeColor="text1"/>
          <w:sz w:val="24"/>
          <w:szCs w:val="24"/>
          <w14:textFill>
            <w14:solidFill>
              <w14:schemeClr w14:val="tx1"/>
            </w14:solidFill>
          </w14:textFill>
        </w:rPr>
      </w:pPr>
      <w:r>
        <w:rPr>
          <w:rFonts w:hAnsi="宋体"/>
          <w:b/>
          <w:sz w:val="24"/>
          <w:szCs w:val="24"/>
        </w:rPr>
        <w:t xml:space="preserve">六、履</w:t>
      </w:r>
      <w:r>
        <w:rPr>
          <w:rFonts w:hAnsi="宋体"/>
          <w:b/>
          <w:color w:val="000000" w:themeColor="text1"/>
          <w:sz w:val="24"/>
          <w:szCs w:val="24"/>
          <w14:textFill>
            <w14:solidFill>
              <w14:schemeClr w14:val="tx1"/>
            </w14:solidFill>
          </w14:textFill>
        </w:rPr>
        <w:t xml:space="preserve">约保证金</w:t>
      </w:r>
      <w:r/>
    </w:p>
    <w:p>
      <w:pPr>
        <w:ind w:firstLine="480"/>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履约保证金：双方签订合同后10个工作日内，乙方可以自主选择支票、汇票、本票、保函等非现金形式缴纳中标金额5%作为本合同的履约保证金。</w:t>
      </w:r>
      <w:r/>
    </w:p>
    <w:p>
      <w:pPr>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6.1合同履行结束后，甲方应及时退还缴纳的履约保证金。</w:t>
      </w:r>
      <w:r/>
    </w:p>
    <w:p>
      <w:pPr>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6.2履约保证金退还方式：按照乙方缴纳的方式进行退还。</w:t>
      </w:r>
      <w:r/>
    </w:p>
    <w:p>
      <w:pPr>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6.3履约保证金退还时间：项目验收合格后15日内。</w:t>
      </w:r>
      <w:r/>
    </w:p>
    <w:p>
      <w:pPr>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6.4履约保证金退还条件：乙方在履约期间未给甲方造成损失或造成的损失经扣除后存有结余的。</w:t>
      </w:r>
      <w:r/>
    </w:p>
    <w:p>
      <w:pPr>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6.5履约保证金不予退还的情形：履约保证金额不足以弥补乙方违约造成甲方损失的。</w:t>
      </w:r>
      <w:r/>
    </w:p>
    <w:p>
      <w:pPr>
        <w:spacing w:before="145" w:after="145"/>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6.6履约保证金逾期退还的违约责任：按中国人民银行同期贷款基准利率上浮20%后的利率支付超期资金占用费，但因乙方自身原因导致无法及时退还的除外。</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7.1乙方不得将合同标的转包给他人履行。</w:t>
      </w:r>
      <w:r/>
    </w:p>
    <w:p>
      <w:pPr>
        <w:spacing w:before="145" w:after="145"/>
        <w:rPr>
          <w:rFonts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4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ind w:firstLine="480"/>
        <w:spacing w:before="145" w:after="145"/>
        <w:rPr>
          <w:rFonts w:hint="default" w:ascii="宋体" w:hAnsi="宋体"/>
          <w:sz w:val="24"/>
          <w:szCs w:val="24"/>
          <w:lang w:val="en-US" w:eastAsia="zh-CN"/>
        </w:rPr>
      </w:pPr>
      <w:r>
        <w:rPr>
          <w:rFonts w:hint="eastAsia" w:ascii="宋体" w:hAnsi="宋体"/>
          <w:sz w:val="24"/>
          <w:szCs w:val="24"/>
          <w:lang w:val="en-US" w:eastAsia="zh-CN"/>
        </w:rPr>
        <w:t xml:space="preserve">中标价即合同价，</w:t>
      </w:r>
      <w:r>
        <w:rPr>
          <w:rFonts w:hint="default" w:ascii="宋体" w:hAnsi="宋体"/>
          <w:sz w:val="24"/>
          <w:szCs w:val="24"/>
          <w:lang w:val="en-US" w:eastAsia="zh-CN"/>
        </w:rPr>
        <w:t xml:space="preserve">签订合同后，甲方自收到乙方发票后</w:t>
      </w:r>
      <w:r>
        <w:rPr>
          <w:rFonts w:hint="eastAsia" w:ascii="宋体" w:hAnsi="宋体"/>
          <w:sz w:val="24"/>
          <w:szCs w:val="24"/>
          <w:lang w:val="en-US" w:eastAsia="zh-CN"/>
        </w:rPr>
        <w:t xml:space="preserve">10个工作</w:t>
      </w:r>
      <w:r>
        <w:rPr>
          <w:rFonts w:hint="default" w:ascii="宋体" w:hAnsi="宋体"/>
          <w:sz w:val="24"/>
          <w:szCs w:val="24"/>
          <w:lang w:val="en-US" w:eastAsia="zh-CN"/>
        </w:rPr>
        <w:t xml:space="preserve">日内，</w:t>
      </w:r>
      <w:r>
        <w:rPr>
          <w:rFonts w:hint="eastAsia" w:ascii="宋体" w:hAnsi="宋体"/>
          <w:sz w:val="24"/>
          <w:szCs w:val="24"/>
          <w:lang w:val="en-US" w:eastAsia="zh-CN"/>
        </w:rPr>
        <w:t xml:space="preserve">预</w:t>
      </w:r>
      <w:r>
        <w:rPr>
          <w:rFonts w:hint="default" w:ascii="宋体" w:hAnsi="宋体"/>
          <w:sz w:val="24"/>
          <w:szCs w:val="24"/>
          <w:lang w:val="en-US" w:eastAsia="zh-CN"/>
        </w:rPr>
        <w:t xml:space="preserve">付合同</w:t>
      </w:r>
      <w:r>
        <w:rPr>
          <w:rFonts w:hint="eastAsia" w:ascii="宋体" w:hAnsi="宋体"/>
          <w:sz w:val="24"/>
          <w:szCs w:val="24"/>
          <w:lang w:val="en-US" w:eastAsia="zh-CN"/>
        </w:rPr>
        <w:t xml:space="preserve">价款</w:t>
      </w:r>
      <w:r>
        <w:rPr>
          <w:rFonts w:hint="default" w:ascii="宋体" w:hAnsi="宋体"/>
          <w:sz w:val="24"/>
          <w:szCs w:val="24"/>
          <w:lang w:val="en-US" w:eastAsia="zh-CN"/>
        </w:rPr>
        <w:t xml:space="preserve">的</w:t>
      </w:r>
      <w:r>
        <w:rPr>
          <w:rFonts w:hint="eastAsia" w:ascii="宋体" w:hAnsi="宋体"/>
          <w:sz w:val="24"/>
          <w:szCs w:val="24"/>
          <w:lang w:val="en-US" w:eastAsia="zh-CN"/>
        </w:rPr>
        <w:t xml:space="preserve">3</w:t>
      </w:r>
      <w:r>
        <w:rPr>
          <w:rFonts w:hint="default" w:ascii="宋体" w:hAnsi="宋体"/>
          <w:sz w:val="24"/>
          <w:szCs w:val="24"/>
          <w:lang w:val="en-US" w:eastAsia="zh-CN"/>
        </w:rPr>
        <w:t xml:space="preserve">0%</w:t>
      </w:r>
      <w:r>
        <w:rPr>
          <w:rFonts w:hint="eastAsia" w:ascii="宋体" w:hAnsi="宋体"/>
          <w:sz w:val="24"/>
          <w:szCs w:val="24"/>
          <w:lang w:val="en-US" w:eastAsia="zh-CN"/>
        </w:rPr>
        <w:t xml:space="preserve">，剩余价款按季度支付，每次支付金额为合同价款*70%的1/12，依据采购人考核评分结果如实支付，</w:t>
      </w:r>
      <w:r>
        <w:rPr>
          <w:rFonts w:hint="eastAsia" w:ascii="宋体" w:hAnsi="宋体"/>
          <w:sz w:val="24"/>
          <w:szCs w:val="24"/>
        </w:rPr>
        <w:t xml:space="preserve">合同到期经甲方验收合格后付清尾款</w:t>
      </w:r>
      <w:r>
        <w:rPr>
          <w:rFonts w:hint="eastAsia" w:ascii="宋体" w:hAnsi="宋体"/>
          <w:sz w:val="24"/>
          <w:szCs w:val="24"/>
          <w:lang w:eastAsia="zh-CN"/>
        </w:rPr>
        <w:t xml:space="preserve">，</w:t>
      </w:r>
      <w:r>
        <w:rPr>
          <w:rFonts w:hint="eastAsia" w:ascii="宋体" w:hAnsi="宋体"/>
          <w:sz w:val="24"/>
          <w:szCs w:val="24"/>
          <w:lang w:val="en-US" w:eastAsia="zh-CN"/>
        </w:rPr>
        <w:t xml:space="preserve">每次</w:t>
      </w:r>
      <w:r>
        <w:rPr>
          <w:rFonts w:hint="default" w:ascii="宋体" w:hAnsi="宋体"/>
          <w:sz w:val="24"/>
          <w:szCs w:val="24"/>
          <w:lang w:val="en-US" w:eastAsia="zh-CN"/>
        </w:rPr>
        <w:t xml:space="preserve">甲方自收到乙方发票后</w:t>
      </w:r>
      <w:r>
        <w:rPr>
          <w:rFonts w:hint="eastAsia" w:ascii="宋体" w:hAnsi="宋体"/>
          <w:sz w:val="24"/>
          <w:szCs w:val="24"/>
          <w:lang w:val="en-US" w:eastAsia="zh-CN"/>
        </w:rPr>
        <w:t xml:space="preserve">10个工作</w:t>
      </w:r>
      <w:r>
        <w:rPr>
          <w:rFonts w:hint="default" w:ascii="宋体" w:hAnsi="宋体"/>
          <w:sz w:val="24"/>
          <w:szCs w:val="24"/>
          <w:lang w:val="en-US" w:eastAsia="zh-CN"/>
        </w:rPr>
        <w:t xml:space="preserve">日内</w:t>
      </w:r>
      <w:r>
        <w:rPr>
          <w:rFonts w:hint="eastAsia" w:ascii="宋体" w:hAnsi="宋体"/>
          <w:sz w:val="24"/>
          <w:szCs w:val="24"/>
          <w:lang w:val="en-US" w:eastAsia="zh-CN"/>
        </w:rPr>
        <w:t xml:space="preserve">支付季度款项。</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8"/>
        <w:ind w:left="480" w:hanging="480"/>
        <w:spacing w:before="120" w:after="120"/>
        <w:rPr>
          <w:rFonts w:hAnsi="宋体"/>
          <w:sz w:val="24"/>
          <w:szCs w:val="24"/>
        </w:rPr>
      </w:pPr>
      <w:r>
        <w:rPr>
          <w:rFonts w:hint="eastAsia" w:hAnsi="宋体"/>
          <w:sz w:val="24"/>
          <w:szCs w:val="24"/>
        </w:rPr>
        <w:t xml:space="preserve">10.1 甲方依法组织履约验收工作。</w:t>
      </w:r>
      <w:r/>
    </w:p>
    <w:p>
      <w:pPr>
        <w:pStyle w:val="948"/>
        <w:ind w:left="480" w:hanging="480"/>
        <w:spacing w:before="120" w:after="120"/>
        <w:rPr>
          <w:rFonts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8"/>
        <w:ind w:left="480" w:hanging="480"/>
        <w:spacing w:before="120" w:after="120"/>
        <w:rPr>
          <w:rFonts w:hAnsi="宋体"/>
          <w:sz w:val="24"/>
          <w:szCs w:val="24"/>
        </w:rPr>
      </w:pPr>
      <w:r>
        <w:rPr>
          <w:rFonts w:hint="eastAsia" w:hAnsi="宋体"/>
          <w:sz w:val="24"/>
          <w:szCs w:val="24"/>
        </w:rPr>
        <w:t xml:space="preserve">10.3 对于实际使用人和甲方分离的项目，甲方邀请实际使用人参与验收。</w:t>
      </w:r>
      <w:r/>
    </w:p>
    <w:p>
      <w:pPr>
        <w:pStyle w:val="948"/>
        <w:ind w:left="480" w:hanging="480"/>
        <w:spacing w:before="120" w:after="120"/>
        <w:rPr>
          <w:rFonts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48"/>
        <w:ind w:left="480" w:hanging="480"/>
        <w:spacing w:before="120" w:after="120"/>
        <w:rPr>
          <w:rFonts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8"/>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总值的违约金。</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支付手续的,甲方应按逾期付款总额每日向乙方支付违约金。</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Ansi="宋体"/>
          <w:sz w:val="24"/>
          <w:szCs w:val="24"/>
        </w:rPr>
        <w:t xml:space="preserve">的违约金，如造成甲方损失超过违约金的，超出部分由乙方继续承担赔偿责任。 </w:t>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48"/>
        <w:spacing w:before="120" w:after="12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8"/>
        <w:ind w:left="480" w:hanging="480"/>
        <w:spacing w:before="120" w:after="120" w:line="0" w:lineRule="atLeast"/>
        <w:rPr>
          <w:rFonts w:hAnsi="宋体"/>
          <w:sz w:val="24"/>
          <w:szCs w:val="24"/>
        </w:rPr>
      </w:pPr>
      <w:r>
        <w:rPr>
          <w:rFonts w:hAnsi="宋体"/>
          <w:sz w:val="24"/>
          <w:szCs w:val="24"/>
        </w:rPr>
        <w:t xml:space="preserve">  甲方：                        乙方： </w:t>
      </w:r>
      <w:r/>
    </w:p>
    <w:p>
      <w:pPr>
        <w:pStyle w:val="948"/>
        <w:spacing w:before="120" w:after="120" w:line="0" w:lineRule="atLeast"/>
        <w:rPr>
          <w:rFonts w:hAnsi="宋体"/>
          <w:sz w:val="24"/>
          <w:szCs w:val="24"/>
        </w:rPr>
      </w:pPr>
      <w:r>
        <w:rPr>
          <w:rFonts w:hAnsi="宋体"/>
          <w:sz w:val="24"/>
          <w:szCs w:val="24"/>
        </w:rPr>
        <w:t xml:space="preserve">  地址：                       地址： </w:t>
      </w:r>
      <w:r/>
    </w:p>
    <w:p>
      <w:pPr>
        <w:pStyle w:val="9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8"/>
        <w:ind w:firstLine="240"/>
        <w:spacing w:before="120" w:after="120" w:line="0" w:lineRule="atLeast"/>
      </w:pPr>
      <w:r>
        <w:rPr>
          <w:rFonts w:hint="eastAsia" w:hAnsi="宋体"/>
          <w:sz w:val="24"/>
          <w:szCs w:val="24"/>
        </w:rPr>
        <w:t xml:space="preserve">联系电话：                    联系电话：          </w:t>
      </w:r>
      <w:r/>
    </w:p>
    <w:p>
      <w:pPr>
        <w:pStyle w:val="948"/>
        <w:jc w:val="center"/>
        <w:spacing w:before="120" w:after="120" w:line="0" w:lineRule="atLeast"/>
      </w:pPr>
      <w:r>
        <w:t xml:space="preserve">签订日期：      年  月  日</w:t>
      </w:r>
      <w:bookmarkEnd w:id="186"/>
      <w:r/>
      <w:bookmarkEnd w:id="187"/>
      <w:r/>
      <w:bookmarkEnd w:id="188"/>
      <w:r/>
      <w:bookmarkStart w:id="189" w:name="_Hlt16619369"/>
      <w:r/>
      <w:bookmarkEnd w:id="189"/>
      <w:r/>
      <w:bookmarkStart w:id="190" w:name="_Hlt16619350"/>
      <w:r/>
      <w:bookmarkStart w:id="191" w:name="_Toc20823346"/>
      <w:r/>
      <w:bookmarkStart w:id="192" w:name="_Toc120614244"/>
      <w:r/>
      <w:bookmarkStart w:id="193" w:name="_Toc16938590"/>
      <w:r/>
      <w:bookmarkStart w:id="194" w:name="_Toc479757211"/>
      <w:r/>
      <w:bookmarkStart w:id="195" w:name="_Toc462564139"/>
      <w:r/>
      <w:r/>
    </w:p>
    <w:p>
      <w:pPr>
        <w:pStyle w:val="924"/>
        <w:rPr>
          <w:rFonts w:hAnsi="宋体"/>
          <w:sz w:val="24"/>
          <w:szCs w:val="24"/>
        </w:rPr>
      </w:pPr>
      <w:r>
        <w:br w:type="page" w:clear="all"/>
      </w:r>
      <w:bookmarkStart w:id="196" w:name="_Toc6785"/>
      <w:r/>
      <w:bookmarkStart w:id="197" w:name="_Toc14893"/>
      <w:r>
        <w:rPr>
          <w:rStyle w:val="925"/>
          <w:rFonts w:hint="eastAsia"/>
          <w:b/>
          <w:bCs/>
        </w:rPr>
        <w:t xml:space="preserve">第</w:t>
      </w:r>
      <w:bookmarkEnd w:id="190"/>
      <w:r>
        <w:rPr>
          <w:rStyle w:val="925"/>
          <w:rFonts w:hint="eastAsia"/>
          <w:b/>
          <w:bCs/>
        </w:rPr>
        <w:t xml:space="preserve">四章采购需求</w:t>
      </w:r>
      <w:bookmarkEnd w:id="191"/>
      <w:r/>
      <w:bookmarkEnd w:id="192"/>
      <w:r/>
      <w:bookmarkEnd w:id="193"/>
      <w:r/>
      <w:bookmarkEnd w:id="196"/>
      <w:r/>
      <w:bookmarkEnd w:id="197"/>
      <w:r/>
      <w:r/>
    </w:p>
    <w:p>
      <w:pPr>
        <w:spacing w:line="0" w:lineRule="atLeast"/>
        <w:rPr>
          <w:rFonts w:ascii="宋体" w:hAnsi="宋体"/>
          <w:color w:val="000000"/>
          <w:sz w:val="24"/>
          <w:szCs w:val="24"/>
        </w:rPr>
      </w:pPr>
      <w:r/>
      <w:bookmarkStart w:id="198" w:name="_Toc49090575"/>
      <w:r/>
      <w:bookmarkStart w:id="199" w:name="_Toc26554093"/>
      <w:r/>
      <w:r/>
    </w:p>
    <w:p>
      <w:pPr>
        <w:spacing w:line="0" w:lineRule="atLeast"/>
        <w:rPr>
          <w:rFonts w:ascii="宋体" w:hAnsi="宋体"/>
          <w:color w:val="000000"/>
          <w:sz w:val="24"/>
          <w:szCs w:val="24"/>
          <w:highlight w:val="yellow"/>
        </w:rPr>
      </w:pPr>
      <w:r>
        <w:rPr>
          <w:rFonts w:hint="eastAsia" w:ascii="宋体" w:hAnsi="宋体"/>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1.严格执行政府采购关于支持</w:t>
      </w:r>
      <w:r>
        <w:rPr>
          <w:rFonts w:hint="eastAsia"/>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lang w:val="en-US" w:eastAsia="zh-CN"/>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tbl>
      <w:tblPr>
        <w:tblStyle w:val="707"/>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line="360" w:lineRule="auto"/>
              <w:rPr>
                <w:bCs/>
                <w:iCs/>
                <w:sz w:val="24"/>
                <w:szCs w:val="24"/>
              </w:rPr>
            </w:pPr>
            <w:r>
              <w:rPr>
                <w:rFonts w:hint="eastAsia"/>
                <w:bCs/>
                <w:iCs/>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line="360" w:lineRule="auto"/>
              <w:rPr>
                <w:bCs/>
                <w:iCs/>
                <w:sz w:val="24"/>
                <w:szCs w:val="24"/>
              </w:rPr>
            </w:pPr>
            <w:r>
              <w:rPr>
                <w:rFonts w:hint="eastAsia"/>
                <w:bCs/>
                <w:iCs/>
                <w:sz w:val="24"/>
                <w:szCs w:val="24"/>
              </w:rPr>
              <w:t xml:space="preserve">对应中小企业划分标准所属行业</w:t>
            </w:r>
            <w:r/>
          </w:p>
        </w:tc>
      </w:tr>
      <w:t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line="360" w:lineRule="auto"/>
              <w:rPr>
                <w:rFonts w:hint="eastAsia"/>
                <w:bCs/>
                <w:iCs/>
                <w:sz w:val="24"/>
                <w:szCs w:val="24"/>
              </w:rPr>
            </w:pPr>
            <w:r>
              <w:rPr>
                <w:rFonts w:hint="eastAsia"/>
                <w:bCs/>
                <w:iCs/>
                <w:sz w:val="24"/>
                <w:szCs w:val="24"/>
              </w:rPr>
              <w:t xml:space="preserve">扬州市江都区电子政务外网统一互联网出口线路及运维服务</w:t>
            </w:r>
            <w:r/>
          </w:p>
          <w:p>
            <w:pPr>
              <w:ind w:firstLine="480"/>
              <w:jc w:val="center"/>
              <w:spacing w:line="360" w:lineRule="auto"/>
              <w:rPr>
                <w:rFonts w:hint="eastAsia" w:eastAsia="宋体"/>
                <w:bCs/>
                <w:iCs/>
                <w:sz w:val="24"/>
                <w:szCs w:val="24"/>
                <w:lang w:eastAsia="zh-CN"/>
              </w:rPr>
            </w:pPr>
            <w:r>
              <w:rPr>
                <w:rFonts w:hint="eastAsia"/>
                <w:bCs/>
                <w:iCs/>
                <w:sz w:val="24"/>
                <w:szCs w:val="24"/>
                <w:lang w:eastAsia="zh-CN"/>
              </w:rPr>
              <w:t xml:space="preserve">（</w:t>
            </w:r>
            <w:r>
              <w:rPr>
                <w:rFonts w:hint="eastAsia"/>
                <w:bCs/>
                <w:iCs/>
                <w:sz w:val="24"/>
                <w:szCs w:val="24"/>
                <w:lang w:val="en-US" w:eastAsia="zh-CN"/>
              </w:rPr>
              <w:t xml:space="preserve">包一、包二</w:t>
            </w:r>
            <w:r>
              <w:rPr>
                <w:rFonts w:hint="eastAsia"/>
                <w:bCs/>
                <w:iCs/>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line="360" w:lineRule="auto"/>
              <w:rPr>
                <w:rFonts w:hint="eastAsia"/>
                <w:bCs/>
                <w:iCs/>
                <w:sz w:val="24"/>
                <w:szCs w:val="24"/>
              </w:rPr>
            </w:pPr>
            <w:r>
              <w:rPr>
                <w:rFonts w:hint="eastAsia"/>
                <w:bCs/>
                <w:iCs/>
                <w:sz w:val="24"/>
                <w:szCs w:val="24"/>
              </w:rPr>
            </w:r>
            <w:r/>
          </w:p>
          <w:p>
            <w:pPr>
              <w:ind w:firstLine="480"/>
              <w:jc w:val="center"/>
              <w:spacing w:line="360" w:lineRule="auto"/>
              <w:rPr>
                <w:rFonts w:ascii="宋体" w:hAnsi="宋体" w:cs="宋体"/>
                <w:shd w:val="clear" w:color="auto" w:fill="ffffff"/>
              </w:rPr>
            </w:pPr>
            <w:r>
              <w:rPr>
                <w:rFonts w:hint="eastAsia"/>
                <w:bCs/>
                <w:iCs/>
                <w:sz w:val="24"/>
                <w:szCs w:val="24"/>
                <w:highlight w:val="none"/>
                <w:shd w:val="clear" w:color="auto"/>
              </w:rPr>
              <w:t xml:space="preserve">软件和信息技术服务业</w:t>
            </w:r>
            <w:r/>
          </w:p>
        </w:tc>
      </w:tr>
    </w:tbl>
    <w:p>
      <w:pPr>
        <w:ind w:firstLine="422"/>
        <w:spacing w:line="360" w:lineRule="auto"/>
        <w:rPr>
          <w:rFonts w:ascii="宋体" w:hAnsi="宋体" w:cs="宋体"/>
          <w:b/>
        </w:rPr>
      </w:pPr>
      <w:r>
        <w:rPr>
          <w:rFonts w:ascii="宋体" w:hAnsi="宋体" w:cs="宋体"/>
          <w:b/>
        </w:rPr>
      </w:r>
      <w:r/>
    </w:p>
    <w:p>
      <w:pPr>
        <w:ind w:firstLine="482"/>
        <w:spacing w:line="360" w:lineRule="exact"/>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分包一：主用线路及配套网络与安全设备和运维管理服务</w:t>
      </w:r>
      <w:r/>
    </w:p>
    <w:p>
      <w:pPr>
        <w:ind w:firstLine="482"/>
        <w:spacing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一、服务需求：</w:t>
      </w:r>
      <w:r/>
    </w:p>
    <w:p>
      <w:pPr>
        <w:ind w:firstLine="480"/>
        <w:spacing w:line="360" w:lineRule="auto"/>
        <w:rPr>
          <w:rFonts w:hint="eastAsia" w:ascii="宋体" w:hAnsi="宋体" w:eastAsia="宋体" w:cs="宋体"/>
          <w:sz w:val="24"/>
          <w:szCs w:val="24"/>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bidi="ar-SA"/>
        </w:rPr>
        <w:t xml:space="preserve">为了确保江都区电子政务外网安全稳定运行以及满足日益增长的出口带宽需求，结合省市电子政务外网管理工作要求，</w:t>
      </w:r>
      <w:r>
        <w:rPr>
          <w:rFonts w:hint="eastAsia" w:ascii="宋体" w:hAnsi="宋体" w:eastAsia="宋体" w:cs="宋体"/>
          <w:sz w:val="24"/>
          <w:szCs w:val="24"/>
          <w:lang w:val="en-US" w:eastAsia="zh-CN" w:bidi="ar-SA"/>
        </w:rPr>
        <w:t xml:space="preserve">为我区各种政务应用提供可靠、高速、可控的网络环境</w:t>
      </w:r>
      <w:r>
        <w:rPr>
          <w:rFonts w:hint="eastAsia" w:ascii="宋体" w:hAnsi="宋体" w:eastAsia="宋体" w:cs="宋体"/>
          <w:sz w:val="24"/>
          <w:szCs w:val="24"/>
          <w:lang w:val="en-US" w:eastAsia="zh-CN" w:bidi="ar-SA"/>
        </w:rPr>
        <w:t xml:space="preserve">。提供江都区电子政务外网统一互联网出口主用线路。同时按照“等保三级”要求，</w:t>
      </w:r>
      <w:r>
        <w:rPr>
          <w:rFonts w:hint="eastAsia" w:ascii="宋体" w:hAnsi="宋体" w:eastAsia="宋体" w:cs="宋体"/>
          <w:sz w:val="24"/>
          <w:szCs w:val="24"/>
          <w:lang w:val="en-US" w:eastAsia="zh-CN" w:bidi="ar-SA"/>
        </w:rPr>
        <w:t xml:space="preserve">提供电子政务外网主用线路相关网络设备和配套安全设备租赁服务，</w:t>
      </w:r>
      <w:r>
        <w:rPr>
          <w:rFonts w:hint="eastAsia" w:ascii="宋体" w:hAnsi="宋体" w:eastAsia="宋体" w:cs="宋体"/>
          <w:sz w:val="24"/>
          <w:szCs w:val="24"/>
          <w:lang w:val="en-US" w:eastAsia="zh-CN" w:bidi="ar-SA"/>
        </w:rPr>
        <w:t xml:space="preserve">以保证电子政务外网互联网出口的稳定运行。提供</w:t>
      </w:r>
      <w:r>
        <w:rPr>
          <w:rFonts w:hint="eastAsia" w:ascii="宋体" w:hAnsi="宋体" w:eastAsia="宋体" w:cs="宋体"/>
          <w:sz w:val="24"/>
          <w:szCs w:val="24"/>
          <w:lang w:val="en-US" w:eastAsia="zh-CN" w:bidi="ar-SA"/>
        </w:rPr>
        <w:t xml:space="preserve">区行政中心网络及二楼网络机房运维管理服务（含各楼层交换机租赁服务）。贯彻落实“一机两网”安全管控要求，提供符合电子政务外网建设要求的“零信任”网络终端安全管控服务。</w:t>
      </w:r>
      <w:r/>
    </w:p>
    <w:p>
      <w:pPr>
        <w:ind w:firstLine="482"/>
        <w:spacing w:line="360" w:lineRule="auto"/>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二、采购服务清单：</w:t>
      </w:r>
      <w:r/>
    </w:p>
    <w:tbl>
      <w:tblPr>
        <w:tblStyle w:val="707"/>
        <w:tblpPr w:horzAnchor="page" w:tblpXSpec="center" w:vertAnchor="text" w:tblpY="238" w:leftFromText="180" w:topFromText="0" w:rightFromText="180" w:bottomFromText="0"/>
        <w:tblW w:w="85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71"/>
        <w:gridCol w:w="3064"/>
        <w:gridCol w:w="740"/>
        <w:gridCol w:w="878"/>
      </w:tblGrid>
      <w:tr>
        <w:trPr>
          <w:jc w:val="center"/>
          <w:trHeight w:val="20"/>
        </w:trPr>
        <w:tc>
          <w:tcPr>
            <w:shd w:val="clear" w:color="auto" w:fill="bfbfbf"/>
            <w:tcW w:w="724"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shd w:val="clear" w:color="auto" w:fill="bfbfbf"/>
            <w:tcW w:w="3171"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名称</w:t>
            </w:r>
            <w:r/>
          </w:p>
        </w:tc>
        <w:tc>
          <w:tcPr>
            <w:shd w:val="clear" w:color="auto" w:fill="bfbfbf"/>
            <w:tcW w:w="3064"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配置描述</w:t>
            </w:r>
            <w:r/>
          </w:p>
        </w:tc>
        <w:tc>
          <w:tcPr>
            <w:shd w:val="clear" w:color="auto" w:fill="bfbfbf"/>
            <w:tcW w:w="740"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数量</w:t>
            </w:r>
            <w:r/>
          </w:p>
        </w:tc>
        <w:tc>
          <w:tcPr>
            <w:shd w:val="clear" w:color="auto" w:fill="bfbfbf"/>
            <w:tcW w:w="878"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单位</w:t>
            </w:r>
            <w:r/>
          </w:p>
        </w:tc>
      </w:tr>
      <w:tr>
        <w:trPr>
          <w:jc w:val="center"/>
          <w:trHeight w:val="385"/>
        </w:trPr>
        <w:tc>
          <w:tcPr>
            <w:tcW w:w="72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317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互联网出口主用线路</w:t>
            </w:r>
            <w:r/>
          </w:p>
        </w:tc>
        <w:tc>
          <w:tcPr>
            <w:tcW w:w="306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详见“技术参数要求”1.1</w:t>
            </w:r>
            <w:r/>
          </w:p>
        </w:tc>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78"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条</w:t>
            </w:r>
            <w:r/>
          </w:p>
        </w:tc>
      </w:tr>
      <w:tr>
        <w:trPr>
          <w:jc w:val="center"/>
          <w:trHeight w:val="419"/>
        </w:trPr>
        <w:tc>
          <w:tcPr>
            <w:tcW w:w="72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W w:w="317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核心交换机</w:t>
            </w:r>
            <w:r/>
          </w:p>
        </w:tc>
        <w:tc>
          <w:tcPr>
            <w:tcW w:w="306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详见“技术参数要求”1.2</w:t>
            </w:r>
            <w:r/>
          </w:p>
        </w:tc>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78"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台</w:t>
            </w:r>
            <w:r/>
          </w:p>
        </w:tc>
      </w:tr>
      <w:tr>
        <w:trPr>
          <w:jc w:val="center"/>
          <w:trHeight w:val="419"/>
        </w:trPr>
        <w:tc>
          <w:tcPr>
            <w:tcW w:w="72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317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
              </w:rPr>
              <w:t xml:space="preserve">安全日志审计设备</w:t>
            </w:r>
            <w:r/>
          </w:p>
        </w:tc>
        <w:tc>
          <w:tcPr>
            <w:tcW w:w="306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详见“技术参数要求”1.3</w:t>
            </w:r>
            <w:r/>
          </w:p>
        </w:tc>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W w:w="878"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台</w:t>
            </w:r>
            <w:r/>
          </w:p>
        </w:tc>
      </w:tr>
      <w:tr>
        <w:trPr>
          <w:jc w:val="center"/>
          <w:trHeight w:val="419"/>
        </w:trPr>
        <w:tc>
          <w:tcPr>
            <w:tcW w:w="72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p>
        </w:tc>
        <w:tc>
          <w:tcPr>
            <w:tcW w:w="317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安全运维审计设备</w:t>
            </w:r>
            <w:r/>
          </w:p>
        </w:tc>
        <w:tc>
          <w:tcPr>
            <w:tcW w:w="306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详见“技术参数要求”1.4</w:t>
            </w:r>
            <w:r/>
          </w:p>
        </w:tc>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78"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台</w:t>
            </w:r>
            <w:r/>
          </w:p>
        </w:tc>
      </w:tr>
      <w:tr>
        <w:trPr>
          <w:jc w:val="center"/>
          <w:trHeight w:val="90"/>
        </w:trPr>
        <w:tc>
          <w:tcPr>
            <w:tcW w:w="72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p>
        </w:tc>
        <w:tc>
          <w:tcPr>
            <w:tcW w:w="317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“零信任”网络终端安全管控系统</w:t>
            </w:r>
            <w:r/>
          </w:p>
        </w:tc>
        <w:tc>
          <w:tcPr>
            <w:tcW w:w="306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详见“技术参数要求”1.5</w:t>
            </w:r>
            <w:r/>
          </w:p>
        </w:tc>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78"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w:t>
            </w:r>
            <w:r/>
          </w:p>
        </w:tc>
      </w:tr>
      <w:tr>
        <w:trPr>
          <w:jc w:val="center"/>
          <w:trHeight w:val="419"/>
        </w:trPr>
        <w:tc>
          <w:tcPr>
            <w:tcW w:w="72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w:t>
            </w:r>
            <w:r/>
          </w:p>
        </w:tc>
        <w:tc>
          <w:tcPr>
            <w:tcW w:w="317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区行政中心网络及二楼网络机房运维管理服务(含楼层交换机租赁)</w:t>
            </w:r>
            <w:r/>
          </w:p>
        </w:tc>
        <w:tc>
          <w:tcPr>
            <w:tcW w:w="3064"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详见“技术参数要求”1.6</w:t>
            </w:r>
            <w:r/>
          </w:p>
        </w:tc>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78"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spacing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三、服务期限：</w:t>
      </w:r>
      <w:r/>
    </w:p>
    <w:p>
      <w:pPr>
        <w:ind w:firstLine="42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三年（36个月），起始日期以合同约定为准。</w:t>
      </w:r>
      <w:r/>
    </w:p>
    <w:p>
      <w:p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spacing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四、技术参数要求  </w:t>
      </w:r>
      <w:r/>
    </w:p>
    <w:p>
      <w:pPr>
        <w:numPr>
          <w:ilvl w:val="0"/>
          <w:numId w:val="7"/>
        </w:numPr>
        <w:ind w:left="425" w:hanging="425"/>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设备参数要求</w:t>
      </w:r>
      <w:r/>
    </w:p>
    <w:p>
      <w:pPr>
        <w:numPr>
          <w:ilvl w:val="1"/>
          <w:numId w:val="7"/>
        </w:numPr>
        <w:ind w:left="1260" w:hanging="420"/>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互联网出口主用线路</w:t>
      </w:r>
      <w:r/>
    </w:p>
    <w:tbl>
      <w:tblPr>
        <w:tblStyle w:val="707"/>
        <w:tblW w:w="84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7661"/>
      </w:tblGrid>
      <w:tr>
        <w:trPr>
          <w:jc w:val="center"/>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技术要求</w:t>
            </w:r>
            <w:r/>
          </w:p>
        </w:tc>
      </w:tr>
      <w:tr>
        <w:trPr>
          <w:jc w:val="center"/>
        </w:trPr>
        <w:tc>
          <w:tcPr>
            <w:tcBorders>
              <w:top w:val="single" w:color="auto" w:sz="4" w:space="0"/>
              <w:left w:val="single" w:color="auto" w:sz="4" w:space="0"/>
              <w:right w:val="single" w:color="auto" w:sz="4" w:space="0"/>
            </w:tcBorders>
            <w:tcW w:w="760"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i/>
                <w:iCs/>
                <w:sz w:val="24"/>
                <w:szCs w:val="24"/>
                <w:u w:val="single"/>
                <w:lang w:val="en-US" w:eastAsia="zh-CN" w:bidi="ar-SA"/>
              </w:rPr>
              <w:t xml:space="preserve">提供独享、有效的</w:t>
            </w:r>
            <w:r>
              <w:rPr>
                <w:rFonts w:hint="eastAsia" w:ascii="宋体" w:hAnsi="宋体" w:eastAsia="宋体" w:cs="宋体"/>
                <w:i/>
                <w:iCs/>
                <w:sz w:val="24"/>
                <w:szCs w:val="24"/>
                <w:u w:val="single"/>
                <w:shd w:val="clear" w:color="auto" w:fill="ffffff"/>
                <w:lang w:val="en-US" w:eastAsia="zh-CN" w:bidi="ar-SA"/>
              </w:rPr>
              <w:t xml:space="preserve">互联网</w:t>
            </w:r>
            <w:r>
              <w:rPr>
                <w:rFonts w:hint="eastAsia" w:ascii="宋体" w:hAnsi="宋体" w:eastAsia="宋体" w:cs="宋体"/>
                <w:i/>
                <w:iCs/>
                <w:sz w:val="24"/>
                <w:szCs w:val="24"/>
                <w:u w:val="single"/>
                <w:lang w:val="en-US" w:eastAsia="zh-CN" w:bidi="ar-SA"/>
              </w:rPr>
              <w:t xml:space="preserve">专线，出口带宽≥</w:t>
            </w:r>
            <w:r>
              <w:rPr>
                <w:rFonts w:hint="eastAsia" w:ascii="宋体" w:hAnsi="宋体" w:eastAsia="宋体" w:cs="宋体"/>
                <w:i/>
                <w:iCs/>
                <w:sz w:val="24"/>
                <w:szCs w:val="24"/>
                <w:u w:val="single"/>
                <w:lang w:val="en-US" w:eastAsia="zh-CN" w:bidi="ar-SA"/>
              </w:rPr>
              <w:t xml:space="preserve">6 Gbps</w:t>
            </w:r>
            <w:r>
              <w:rPr>
                <w:rFonts w:hint="eastAsia" w:ascii="宋体" w:hAnsi="宋体" w:eastAsia="宋体" w:cs="宋体"/>
                <w:i/>
                <w:iCs/>
                <w:sz w:val="24"/>
                <w:szCs w:val="24"/>
                <w:u w:val="single"/>
                <w:lang w:val="en-US" w:eastAsia="zh-CN" w:bidi="ar-SA"/>
              </w:rPr>
              <w:t xml:space="preserve">，且上行带宽和下行带宽一致。此带宽</w:t>
            </w:r>
            <w:r>
              <w:rPr>
                <w:rFonts w:hint="eastAsia" w:ascii="宋体" w:hAnsi="宋体" w:eastAsia="宋体" w:cs="宋体"/>
                <w:i/>
                <w:iCs/>
                <w:sz w:val="24"/>
                <w:szCs w:val="24"/>
                <w:u w:val="single"/>
                <w:shd w:val="clear" w:color="auto" w:fill="ffffff"/>
                <w:lang w:val="en-US" w:eastAsia="zh-CN" w:bidi="ar-SA"/>
              </w:rPr>
              <w:t xml:space="preserve">不包含局域网网内带宽。</w:t>
            </w:r>
            <w:r>
              <w:rPr>
                <w:rFonts w:hint="eastAsia" w:ascii="宋体" w:hAnsi="宋体" w:eastAsia="宋体" w:cs="宋体"/>
                <w:b/>
                <w:bCs/>
                <w:i/>
                <w:iCs/>
                <w:sz w:val="24"/>
                <w:szCs w:val="24"/>
                <w:u w:val="single"/>
                <w:shd w:val="clear" w:color="auto" w:fill="ffffff"/>
                <w:lang w:val="en-US" w:eastAsia="zh-CN" w:bidi="ar-SA"/>
              </w:rPr>
              <w:t xml:space="preserve">（投标人需提供承诺函,格式自拟，原件扫描上传）</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提供的互联网出口专线具备国际带宽出口。</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提供运营商设备端和区电子政务外网网络中心端设备互联的公网IP，且保证运营商和区电子政务外网网络中心互联的线路或相关设备故障时，此IP路由不可达。</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所提供的出口线路不允许做任何形式的NAT（Network Address Translation，网络地址转换）。</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i/>
                <w:iCs/>
                <w:sz w:val="24"/>
                <w:szCs w:val="24"/>
                <w:u w:val="single"/>
                <w:lang w:val="en-US" w:eastAsia="zh-CN" w:bidi="ar-SA"/>
              </w:rPr>
              <w:t xml:space="preserve">提供≥60个公网IPv4地址（并保证后期IPv6平滑升级），所提供每一个公网IP都可以开通基于互联网的HTTP等应用服务，并提供ISP备案支持。</w:t>
            </w:r>
            <w:r>
              <w:rPr>
                <w:rFonts w:hint="eastAsia" w:ascii="宋体" w:hAnsi="宋体" w:eastAsia="宋体" w:cs="宋体"/>
                <w:b/>
                <w:bCs/>
                <w:i/>
                <w:iCs/>
                <w:sz w:val="24"/>
                <w:szCs w:val="24"/>
                <w:u w:val="single"/>
                <w:shd w:val="clear" w:color="auto" w:fill="ffffff"/>
                <w:lang w:val="en-US" w:eastAsia="zh-CN" w:bidi="ar-SA"/>
              </w:rPr>
              <w:t xml:space="preserve">（投标人需提供承诺函,格式自拟，原件扫描上传）</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提供中标方到区电子政务外网网络中心端设备上的线路及辅材配件，保证线路可用。</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7661"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区电子政务外网网络中心的互联网出口线路须连接到运营商（或其区县的）主节点设备上，保证低延迟高速率。接入链路入口以不多于1跳数连接运营商（或其区县的）网络核心层。</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7661"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带宽年可用率≥99.9%。</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7661"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每条接入链路提供稳定传输时延，ping百度等国内大网站的时延≤10ms、时延抖动≤4ms。需提供免费测试服务。测试内容包含网络使用质量、常用网站下载情况等。</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7661"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符合国家法律法规和行业标准要求，保证网络中心及各接入单位使用通信业务安全通畅。</w:t>
            </w:r>
            <w:r/>
          </w:p>
        </w:tc>
      </w:tr>
      <w:tr>
        <w:trPr>
          <w:jc w:val="center"/>
        </w:trPr>
        <w:tc>
          <w:tcPr>
            <w:tcBorders>
              <w:left w:val="single" w:color="auto" w:sz="4" w:space="0"/>
              <w:right w:val="single" w:color="auto" w:sz="4" w:space="0"/>
            </w:tcBorders>
            <w:tcW w:w="76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7661"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保证网络线路畅通，7*24小时快速反应，10分钟内响应，2小时到现场，4小时内排除。</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1"/>
          <w:numId w:val="7"/>
        </w:numPr>
        <w:ind w:left="1260" w:hanging="420"/>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核心交换机</w:t>
      </w:r>
      <w:r/>
    </w:p>
    <w:tbl>
      <w:tblPr>
        <w:tblStyle w:val="707"/>
        <w:tblW w:w="78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75"/>
        <w:gridCol w:w="4140"/>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技术指标</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指标要求</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双主控、双电源、4个网络板、1块48口万兆光口板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业务槽位</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交换网槽位</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交换容量(bps)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大于等于32T/80T</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包转发率(pps)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大于等于14400M</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交换架构</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正交网板、Clos交换</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风道类</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标准前后风道</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设备虚拟化</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支持VS（Virtual System）</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支持CSS（Cluster Switch System）</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网络虚拟化</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支持TRILL</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虚拟机感</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支持nCenter</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网络融合</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支持FCoE</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支持DCBX、PFC、ETS</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数据中心互联</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支持EVN</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SDN特性</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支持OPS、虚拟化硬件网关等</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流量分析</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支持Netstream功能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支持sFlow功能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IP路由</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支持RIP、OSPF、ISIS、BGP等IPv4动态路由协议</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支持RIPng、OSPFv3、ISISv6、BGP4+等IPv6动态路由协议</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MPLS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支持MPLS基本功能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支持MPLS VPN/ VPLS /VPLS over GRE</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QoS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支持基于Layer2、Layer3、Layer4优先级等的组合流分类</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支持ACL、CAR、Remark等动作</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支持PQ、WFQ、PQ+WFQ等队列调度方式</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支持WRED、尾丢弃等拥塞避免机制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支持流量整形</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安全和管理</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支持ICMP实现ping和traceroute功能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支持RMON</w:t>
            </w:r>
            <w:r/>
          </w:p>
        </w:tc>
      </w:tr>
    </w:tbl>
    <w:p>
      <w:pPr>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r>
      <w:r/>
    </w:p>
    <w:p>
      <w:pPr>
        <w:rPr>
          <w:rFonts w:hint="eastAsia" w:ascii="宋体" w:hAnsi="宋体" w:eastAsia="宋体" w:cs="宋体"/>
          <w:b/>
          <w:bCs/>
          <w:i/>
          <w:iCs/>
          <w:sz w:val="24"/>
          <w:szCs w:val="24"/>
          <w:u w:val="single"/>
          <w:lang w:eastAsia="zh-CN"/>
        </w:rPr>
      </w:pPr>
      <w:r>
        <w:rPr>
          <w:rFonts w:hint="eastAsia" w:ascii="宋体" w:hAnsi="宋体" w:eastAsia="宋体" w:cs="宋体"/>
          <w:b w:val="0"/>
          <w:bCs w:val="0"/>
          <w:i w:val="0"/>
          <w:iCs w:val="0"/>
          <w:sz w:val="24"/>
          <w:szCs w:val="24"/>
          <w:u w:val="none"/>
          <w:lang w:val="en-US" w:eastAsia="zh-CN"/>
        </w:rPr>
        <w:t xml:space="preserve">1.2.1</w:t>
      </w:r>
      <w:r>
        <w:rPr>
          <w:rFonts w:hint="eastAsia" w:ascii="宋体" w:hAnsi="宋体" w:eastAsia="宋体" w:cs="宋体"/>
          <w:b w:val="0"/>
          <w:bCs w:val="0"/>
          <w:i/>
          <w:iCs/>
          <w:sz w:val="24"/>
          <w:szCs w:val="24"/>
          <w:u w:val="single"/>
        </w:rPr>
        <w:t xml:space="preserve">投标人（供应商）须提供承诺函，承诺设备、服务满足《绿色数据中心政府采购需求标准（试行）》的相关要求</w:t>
      </w:r>
      <w:r>
        <w:rPr>
          <w:rFonts w:hint="eastAsia" w:ascii="宋体" w:hAnsi="宋体" w:eastAsia="宋体" w:cs="宋体"/>
          <w:b/>
          <w:bCs/>
          <w:i/>
          <w:iCs/>
          <w:sz w:val="24"/>
          <w:szCs w:val="24"/>
          <w:u w:val="single"/>
        </w:rPr>
        <w:t xml:space="preserve">(投标人需提供承诺函，格式自拟，原件扫描上传）</w:t>
      </w:r>
      <w:r>
        <w:rPr>
          <w:rFonts w:hint="eastAsia" w:ascii="宋体" w:hAnsi="宋体" w:eastAsia="宋体" w:cs="宋体"/>
          <w:b/>
          <w:bCs/>
          <w:i/>
          <w:iCs/>
          <w:sz w:val="24"/>
          <w:szCs w:val="24"/>
          <w:u w:val="single"/>
          <w:lang w:eastAsia="zh-CN"/>
        </w:rPr>
        <w:t xml:space="preserve">。</w:t>
      </w:r>
      <w:r/>
    </w:p>
    <w:p>
      <w:pPr>
        <w:pStyle w:val="708"/>
        <w:numPr>
          <w:ilvl w:val="0"/>
          <w:numId w:val="0"/>
        </w:numPr>
        <w:jc w:val="both"/>
        <w:widowControl w:val="off"/>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r>
      <w:r/>
    </w:p>
    <w:tbl>
      <w:tblPr>
        <w:tblStyle w:val="707"/>
        <w:tblW w:w="78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595"/>
        <w:gridCol w:w="1755"/>
        <w:gridCol w:w="2385"/>
      </w:tblGrid>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固定端口以太网交换机能效比值（</w:t>
            </w:r>
            <w:r>
              <w:rPr>
                <w:rStyle w:val="1074"/>
                <w:rFonts w:hint="eastAsia" w:ascii="宋体" w:hAnsi="宋体" w:eastAsia="宋体" w:cs="宋体"/>
                <w:sz w:val="24"/>
                <w:szCs w:val="24"/>
                <w:lang w:val="en-US" w:eastAsia="zh-CN" w:bidi="ar"/>
              </w:rPr>
              <w:t xml:space="preserve">TEER</w:t>
            </w:r>
            <w:r>
              <w:rPr>
                <w:rStyle w:val="1075"/>
                <w:rFonts w:hint="eastAsia" w:ascii="宋体" w:hAnsi="宋体" w:eastAsia="宋体" w:cs="宋体"/>
                <w:sz w:val="24"/>
                <w:szCs w:val="24"/>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300</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单路电源输出效率</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Style w:val="1075"/>
                <w:rFonts w:hint="eastAsia" w:ascii="宋体" w:hAnsi="宋体" w:eastAsia="宋体" w:cs="宋体"/>
                <w:sz w:val="24"/>
                <w:szCs w:val="24"/>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88%</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Style w:val="1075"/>
                <w:rFonts w:hint="eastAsia" w:ascii="宋体" w:hAnsi="宋体" w:eastAsia="宋体" w:cs="宋体"/>
                <w:sz w:val="24"/>
                <w:szCs w:val="24"/>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92%</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Style w:val="1075"/>
                <w:rFonts w:hint="eastAsia" w:ascii="宋体" w:hAnsi="宋体" w:eastAsia="宋体" w:cs="宋体"/>
                <w:sz w:val="24"/>
                <w:szCs w:val="24"/>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88%</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单路电源最低功率因数</w:t>
            </w:r>
            <w:r>
              <w:rPr>
                <w:rStyle w:val="1074"/>
                <w:rFonts w:hint="eastAsia" w:ascii="宋体" w:hAnsi="宋体" w:eastAsia="宋体" w:cs="宋体"/>
                <w:sz w:val="24"/>
                <w:szCs w:val="24"/>
                <w:lang w:val="en-US" w:eastAsia="zh-CN" w:bidi="ar"/>
              </w:rPr>
              <w:t xml:space="preserve">(50%</w:t>
            </w:r>
            <w:r>
              <w:rPr>
                <w:rStyle w:val="1075"/>
                <w:rFonts w:hint="eastAsia" w:ascii="宋体" w:hAnsi="宋体" w:eastAsia="宋体" w:cs="宋体"/>
                <w:sz w:val="24"/>
                <w:szCs w:val="24"/>
                <w:lang w:val="en-US" w:eastAsia="zh-CN" w:bidi="ar"/>
              </w:rPr>
              <w:t xml:space="preserve">负载下的</w:t>
            </w:r>
            <w:r>
              <w:rPr>
                <w:rStyle w:val="1074"/>
                <w:rFonts w:hint="eastAsia" w:ascii="宋体" w:hAnsi="宋体" w:eastAsia="宋体" w:cs="宋体"/>
                <w:sz w:val="24"/>
                <w:szCs w:val="24"/>
                <w:lang w:val="en-US" w:eastAsia="zh-CN" w:bidi="ar"/>
              </w:rPr>
              <w:t xml:space="preserve">)</w:t>
            </w:r>
            <w:r>
              <w:rPr>
                <w:rStyle w:val="1075"/>
                <w:rFonts w:hint="eastAsia" w:ascii="宋体" w:hAnsi="宋体" w:eastAsia="宋体" w:cs="宋体"/>
                <w:sz w:val="24"/>
                <w:szCs w:val="24"/>
                <w:lang w:val="en-US" w:eastAsia="zh-CN" w:bidi="ar"/>
              </w:rPr>
              <w:t xml:space="preserve">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0.90</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多路电源输出效率</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rPr>
                <w:rStyle w:val="1075"/>
                <w:rFonts w:hint="eastAsia" w:ascii="宋体" w:hAnsi="宋体" w:eastAsia="宋体" w:cs="宋体"/>
                <w:sz w:val="24"/>
                <w:szCs w:val="24"/>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85%</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rPr>
                <w:rStyle w:val="1075"/>
                <w:rFonts w:hint="eastAsia" w:ascii="宋体" w:hAnsi="宋体" w:eastAsia="宋体" w:cs="宋体"/>
                <w:sz w:val="24"/>
                <w:szCs w:val="24"/>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89%</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rPr>
                <w:rStyle w:val="1075"/>
                <w:rFonts w:hint="eastAsia" w:ascii="宋体" w:hAnsi="宋体" w:eastAsia="宋体" w:cs="宋体"/>
                <w:sz w:val="24"/>
                <w:szCs w:val="24"/>
                <w:lang w:val="en-US" w:eastAsia="zh-CN" w:bidi="ar"/>
              </w:rPr>
              <w:t xml:space="preserve">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85%</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多路电源最低功率因数</w:t>
            </w:r>
            <w:r>
              <w:rPr>
                <w:rStyle w:val="1074"/>
                <w:rFonts w:hint="eastAsia" w:ascii="宋体" w:hAnsi="宋体" w:eastAsia="宋体" w:cs="宋体"/>
                <w:sz w:val="24"/>
                <w:szCs w:val="24"/>
                <w:lang w:val="en-US" w:eastAsia="zh-CN" w:bidi="ar"/>
              </w:rPr>
              <w:t xml:space="preserve">(50%</w:t>
            </w:r>
            <w:r>
              <w:rPr>
                <w:rStyle w:val="1075"/>
                <w:rFonts w:hint="eastAsia" w:ascii="宋体" w:hAnsi="宋体" w:eastAsia="宋体" w:cs="宋体"/>
                <w:sz w:val="24"/>
                <w:szCs w:val="24"/>
                <w:lang w:val="en-US" w:eastAsia="zh-CN" w:bidi="ar"/>
              </w:rPr>
              <w:t xml:space="preserve">负载下的</w:t>
            </w:r>
            <w:r>
              <w:rPr>
                <w:rStyle w:val="1074"/>
                <w:rFonts w:hint="eastAsia" w:ascii="宋体" w:hAnsi="宋体" w:eastAsia="宋体" w:cs="宋体"/>
                <w:sz w:val="24"/>
                <w:szCs w:val="24"/>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0.90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噪声发射</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有人值守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7.6 Bels</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无人值守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Style w:val="1074"/>
                <w:rFonts w:hint="eastAsia" w:ascii="宋体" w:hAnsi="宋体" w:eastAsia="宋体" w:cs="宋体"/>
                <w:sz w:val="24"/>
                <w:szCs w:val="24"/>
                <w:lang w:val="en-US" w:eastAsia="zh-CN" w:bidi="ar"/>
              </w:rPr>
              <w:t xml:space="preserve">8.1 Bels</w:t>
            </w:r>
            <w:r/>
          </w:p>
        </w:tc>
      </w:tr>
    </w:tbl>
    <w:p>
      <w:pPr>
        <w:rPr>
          <w:rFonts w:hint="eastAsia" w:ascii="宋体" w:hAnsi="宋体" w:eastAsia="宋体" w:cs="宋体"/>
          <w:i/>
          <w:iCs/>
          <w:sz w:val="24"/>
          <w:szCs w:val="24"/>
          <w:u w:val="single"/>
        </w:rPr>
      </w:pPr>
      <w:r>
        <w:rPr>
          <w:rFonts w:hint="eastAsia" w:ascii="宋体" w:hAnsi="宋体" w:eastAsia="宋体" w:cs="宋体"/>
          <w:i/>
          <w:iCs/>
          <w:sz w:val="24"/>
          <w:szCs w:val="24"/>
          <w:u w:val="single"/>
        </w:rPr>
      </w:r>
      <w:r/>
    </w:p>
    <w:p>
      <w:pPr>
        <w:rPr>
          <w:rFonts w:hint="eastAsia" w:ascii="宋体" w:hAnsi="宋体" w:eastAsia="宋体" w:cs="宋体"/>
          <w:b/>
          <w:bCs/>
          <w:i/>
          <w:iCs/>
          <w:sz w:val="24"/>
          <w:szCs w:val="24"/>
          <w:u w:val="single"/>
          <w:lang w:val="en-US" w:eastAsia="zh-CN"/>
        </w:rPr>
      </w:pPr>
      <w:r>
        <w:rPr>
          <w:rFonts w:hint="eastAsia" w:ascii="宋体" w:hAnsi="宋体" w:eastAsia="宋体" w:cs="宋体"/>
          <w:b w:val="0"/>
          <w:bCs w:val="0"/>
          <w:i w:val="0"/>
          <w:iCs w:val="0"/>
          <w:sz w:val="24"/>
          <w:szCs w:val="24"/>
          <w:u w:val="none"/>
          <w:lang w:val="en-US" w:eastAsia="zh-CN"/>
        </w:rPr>
        <w:t xml:space="preserve">1.</w:t>
      </w:r>
      <w:r>
        <w:rPr>
          <w:rFonts w:hint="eastAsia" w:ascii="宋体" w:hAnsi="宋体" w:eastAsia="宋体" w:cs="宋体"/>
          <w:b w:val="0"/>
          <w:bCs w:val="0"/>
          <w:i w:val="0"/>
          <w:iCs w:val="0"/>
          <w:sz w:val="24"/>
          <w:szCs w:val="24"/>
          <w:u w:val="none"/>
          <w:lang w:eastAsia="zh-CN"/>
        </w:rPr>
        <w:t xml:space="preserve">2</w:t>
      </w:r>
      <w:r>
        <w:rPr>
          <w:rFonts w:hint="eastAsia" w:ascii="宋体" w:hAnsi="宋体" w:eastAsia="宋体" w:cs="宋体"/>
          <w:b w:val="0"/>
          <w:bCs w:val="0"/>
          <w:i w:val="0"/>
          <w:iCs w:val="0"/>
          <w:sz w:val="24"/>
          <w:szCs w:val="24"/>
          <w:u w:val="none"/>
          <w:lang w:val="en-US" w:eastAsia="zh-CN"/>
        </w:rPr>
        <w:t xml:space="preserve">.2.</w:t>
      </w:r>
      <w:r>
        <w:rPr>
          <w:rFonts w:hint="eastAsia" w:ascii="宋体" w:hAnsi="宋体" w:eastAsia="宋体" w:cs="宋体"/>
          <w:b w:val="0"/>
          <w:bCs w:val="0"/>
          <w:i w:val="0"/>
          <w:iCs w:val="0"/>
          <w:sz w:val="24"/>
          <w:szCs w:val="24"/>
          <w:u w:val="none"/>
          <w:lang w:eastAsia="zh-CN"/>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1"/>
          <w:numId w:val="7"/>
        </w:numPr>
        <w:ind w:left="1260" w:hanging="420"/>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安全日志审计设备</w:t>
      </w:r>
      <w:r/>
    </w:p>
    <w:tbl>
      <w:tblPr>
        <w:tblStyle w:val="707"/>
        <w:tblW w:w="84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4"/>
        <w:gridCol w:w="7069"/>
      </w:tblGrid>
      <w:tr>
        <w:trPr>
          <w:jc w:val="center"/>
          <w:trHeight w:val="638"/>
        </w:trPr>
        <w:tc>
          <w:tcPr>
            <w:tcW w:w="1394" w:type="dxa"/>
            <w:vAlign w:val="center"/>
            <w:textDirection w:val="lrTb"/>
            <w:noWrap w:val="false"/>
          </w:tcPr>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指标项</w:t>
            </w:r>
            <w:r/>
          </w:p>
        </w:tc>
        <w:tc>
          <w:tcPr>
            <w:tcW w:w="7069" w:type="dxa"/>
            <w:vAlign w:val="center"/>
            <w:textDirection w:val="lrTb"/>
            <w:noWrap w:val="false"/>
          </w:tcPr>
          <w:p>
            <w:pPr>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详细要求</w:t>
            </w:r>
            <w:r/>
          </w:p>
        </w:tc>
      </w:tr>
      <w:tr>
        <w:trPr>
          <w:jc w:val="center"/>
          <w:trHeight w:val="638"/>
        </w:trPr>
        <w:tc>
          <w:tcPr>
            <w:tcW w:w="1394" w:type="dxa"/>
            <w:vAlign w:val="center"/>
            <w:textDirection w:val="lrTb"/>
            <w:noWrap w:val="false"/>
          </w:tcPr>
          <w:p>
            <w:pPr>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基本参数</w:t>
            </w:r>
            <w:r/>
          </w:p>
        </w:tc>
        <w:tc>
          <w:tcPr>
            <w:tcW w:w="7069" w:type="dxa"/>
            <w:vAlign w:val="center"/>
            <w:textDirection w:val="lrTb"/>
            <w:noWrap w:val="false"/>
          </w:tcPr>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auto"/>
                <w:sz w:val="24"/>
                <w:szCs w:val="24"/>
                <w:lang w:eastAsia="zh-CN"/>
              </w:rPr>
              <w:t xml:space="preserve">▲</w:t>
            </w:r>
            <w:r>
              <w:rPr>
                <w:rFonts w:hint="eastAsia" w:ascii="宋体" w:hAnsi="宋体" w:eastAsia="宋体" w:cs="宋体"/>
                <w:bCs/>
                <w:color w:val="000000" w:themeColor="text1"/>
                <w:sz w:val="24"/>
                <w:szCs w:val="24"/>
                <w14:textFill>
                  <w14:solidFill>
                    <w14:schemeClr w14:val="tx1"/>
                  </w14:solidFill>
                </w14:textFill>
              </w:rPr>
              <w:t xml:space="preserve">标准机架式设备，高度≥2U,千兆电口≥6个，千兆光口≥4个，冗余电源。系统盘≥256G Msata，数据盘≥4T。冗余电源，日志采集处理均值≥3000EPS，日志源≥50个。</w:t>
            </w:r>
            <w:r/>
          </w:p>
        </w:tc>
      </w:tr>
      <w:tr>
        <w:trPr>
          <w:jc w:val="center"/>
          <w:trHeight w:val="694"/>
        </w:trPr>
        <w:tc>
          <w:tcPr>
            <w:tcW w:w="1394" w:type="dxa"/>
            <w:vAlign w:val="center"/>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数据采集</w:t>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支持安全设备、网络设备、中间件、服务器、数据库、操作系统、业务系统等不少于26类300种日志对象的日志数据采集。</w:t>
            </w:r>
            <w:r/>
          </w:p>
        </w:tc>
      </w:tr>
      <w:tr>
        <w:trPr>
          <w:jc w:val="center"/>
          <w:trHeight w:val="944"/>
        </w:trPr>
        <w:tc>
          <w:tcPr>
            <w:tcW w:w="1394" w:type="dxa"/>
            <w:vAlign w:val="center"/>
            <w:vMerge w:val="continue"/>
            <w:textDirection w:val="lrTb"/>
            <w:noWrap w:val="false"/>
          </w:tcPr>
          <w:p>
            <w:pPr>
              <w:ind w:firstLine="2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支持独立展示每个被采集源最近24小时的日志数量趋势，便于掌握设备的安全事件情况，支持独立展示每个设备日志的最新采集时间，便于了解设备日志的采集状态；</w:t>
            </w:r>
            <w:r/>
          </w:p>
        </w:tc>
      </w:tr>
      <w:tr>
        <w:trPr>
          <w:jc w:val="center"/>
          <w:trHeight w:val="690"/>
        </w:trPr>
        <w:tc>
          <w:tcPr>
            <w:tcW w:w="1394" w:type="dxa"/>
            <w:vAlign w:val="center"/>
            <w:vMerge w:val="continue"/>
            <w:textDirection w:val="lrTb"/>
            <w:noWrap w:val="false"/>
          </w:tcPr>
          <w:p>
            <w:pPr>
              <w:ind w:firstLine="2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069" w:type="dxa"/>
            <w:vAlign w:val="center"/>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支持对日志流量非常大但是日志重要程度低的syslog类型日志源进行限制接收速率，降低对系统资源的占用，保障重要日志的收集</w:t>
            </w:r>
            <w:r>
              <w:rPr>
                <w:rFonts w:hint="eastAsia" w:ascii="宋体" w:hAnsi="宋体" w:eastAsia="宋体" w:cs="宋体"/>
                <w:color w:val="auto"/>
                <w:sz w:val="24"/>
                <w:szCs w:val="24"/>
                <w:lang w:eastAsia="zh-CN"/>
              </w:rPr>
              <w:t xml:space="preserve">。</w:t>
            </w:r>
            <w:r/>
          </w:p>
        </w:tc>
      </w:tr>
      <w:tr>
        <w:trPr>
          <w:jc w:val="center"/>
          <w:trHeight w:val="368"/>
        </w:trPr>
        <w:tc>
          <w:tcPr>
            <w:tcW w:w="1394" w:type="dxa"/>
            <w:vAlign w:val="center"/>
            <w:vMerge w:val="continue"/>
            <w:textDirection w:val="lrTb"/>
            <w:noWrap w:val="false"/>
          </w:tcPr>
          <w:p>
            <w:pPr>
              <w:ind w:firstLine="2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支持对每个日志源设置过滤条件规则，自动过滤无用日志；</w:t>
            </w:r>
            <w:r/>
          </w:p>
        </w:tc>
      </w:tr>
      <w:tr>
        <w:trPr>
          <w:jc w:val="center"/>
          <w:trHeight w:val="366"/>
        </w:trPr>
        <w:tc>
          <w:tcPr>
            <w:tcW w:w="1394" w:type="dxa"/>
            <w:vAlign w:val="center"/>
            <w:vMerge w:val="continue"/>
            <w:textDirection w:val="lrTb"/>
            <w:noWrap w:val="false"/>
          </w:tcPr>
          <w:p>
            <w:pPr>
              <w:ind w:firstLine="2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支持日志转发给第三方系统平台，支持设置多个日志转发IP地址，支持转发格式化日志或仅转发原始日志；</w:t>
            </w:r>
            <w:r/>
          </w:p>
        </w:tc>
      </w:tr>
      <w:tr>
        <w:trPr>
          <w:jc w:val="center"/>
          <w:trHeight w:val="435"/>
        </w:trPr>
        <w:tc>
          <w:tcPr>
            <w:tcW w:w="1394" w:type="dxa"/>
            <w:vAlign w:val="center"/>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数据存储</w:t>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支持对所管理设备的日志原始数据完整存储，支持数据本地集中存储、网络存储；</w:t>
            </w:r>
            <w:r/>
          </w:p>
        </w:tc>
      </w:tr>
      <w:tr>
        <w:trPr>
          <w:jc w:val="center"/>
          <w:trHeight w:val="434"/>
        </w:trPr>
        <w:tc>
          <w:tcPr>
            <w:tcW w:w="1394" w:type="dxa"/>
            <w:vAlign w:val="center"/>
            <w:vMerge w:val="continue"/>
            <w:textDirection w:val="lrTb"/>
            <w:noWrap w:val="false"/>
          </w:tcPr>
          <w:p>
            <w:pPr>
              <w:ind w:firstLine="2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069" w:type="dxa"/>
            <w:vAlign w:val="center"/>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支持根据设备重要程度设置独立设置每个被采集源的日志、报表数据存储时间为1个月、3个月、6个月和永久保存等参数</w:t>
            </w:r>
            <w:r>
              <w:rPr>
                <w:rFonts w:hint="eastAsia" w:ascii="宋体" w:hAnsi="宋体" w:eastAsia="宋体" w:cs="宋体"/>
                <w:color w:val="auto"/>
                <w:sz w:val="24"/>
                <w:szCs w:val="24"/>
                <w:lang w:eastAsia="zh-CN"/>
              </w:rPr>
              <w:t xml:space="preserve">。</w:t>
            </w:r>
            <w:r/>
          </w:p>
        </w:tc>
      </w:tr>
      <w:tr>
        <w:trPr>
          <w:jc w:val="center"/>
          <w:trHeight w:val="434"/>
        </w:trPr>
        <w:tc>
          <w:tcPr>
            <w:tcW w:w="1394" w:type="dxa"/>
            <w:vAlign w:val="center"/>
            <w:vMerge w:val="continue"/>
            <w:textDirection w:val="lrTb"/>
            <w:noWrap w:val="false"/>
          </w:tcPr>
          <w:p>
            <w:pPr>
              <w:ind w:firstLine="2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支持自定义存储位置，支持多盘并行存储，当磁盘满后自动切换存储位置，支持磁盘阵列、SAN、DAS等外部高性能存储；</w:t>
            </w:r>
            <w:r/>
          </w:p>
        </w:tc>
      </w:tr>
      <w:tr>
        <w:trPr>
          <w:jc w:val="center"/>
          <w:trHeight w:val="543"/>
        </w:trPr>
        <w:tc>
          <w:tcPr>
            <w:tcW w:w="1394" w:type="dxa"/>
            <w:vAlign w:val="center"/>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数据查询</w:t>
            </w:r>
            <w:r/>
          </w:p>
        </w:tc>
        <w:tc>
          <w:tcPr>
            <w:tcW w:w="7069" w:type="dxa"/>
            <w:vAlign w:val="center"/>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000000" w:themeColor="text1"/>
                <w:sz w:val="24"/>
                <w:szCs w:val="24"/>
                <w14:textFill>
                  <w14:solidFill>
                    <w14:schemeClr w14:val="tx1"/>
                  </w14:solidFill>
                </w14:textFill>
              </w:rPr>
              <w:t xml:space="preserve">支持首页以全国地图、全球地图展示最近24小时日志访问源和访问目的的分布，能根据颜色区分访问来源和访问目的数据量大小，能够通过首页地图快速下钻查询指定区域的日志详细信息；</w:t>
            </w:r>
            <w:r/>
          </w:p>
        </w:tc>
      </w:tr>
      <w:tr>
        <w:trPr>
          <w:jc w:val="center"/>
          <w:trHeight w:val="235"/>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支持对常用查询条件进行保存，可重复使用；支持查询条件缓存，通过快速调用系统右侧隐藏栏中缓存的查询条件，提升常用条件的检索速度；</w:t>
            </w:r>
            <w:r/>
          </w:p>
        </w:tc>
      </w:tr>
      <w:tr>
        <w:trPr>
          <w:jc w:val="center"/>
          <w:trHeight w:val="538"/>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000000" w:themeColor="text1"/>
                <w:sz w:val="24"/>
                <w:szCs w:val="24"/>
                <w14:textFill>
                  <w14:solidFill>
                    <w14:schemeClr w14:val="tx1"/>
                  </w14:solidFill>
                </w14:textFill>
              </w:rPr>
              <w:t xml:space="preserve">支持为不同类型日志设置不同的查询条件和显示条件；</w:t>
            </w:r>
            <w:r/>
          </w:p>
        </w:tc>
      </w:tr>
      <w:tr>
        <w:trPr>
          <w:jc w:val="center"/>
          <w:trHeight w:val="155"/>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支持基于时间轴展示日志数据分布，能够通过时间轴进行查询分析；</w:t>
            </w:r>
            <w:r/>
          </w:p>
        </w:tc>
      </w:tr>
      <w:tr>
        <w:trPr>
          <w:jc w:val="center"/>
          <w:trHeight w:val="155"/>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支持多种运维管理工具，可对日志源进行HTTP、HTTPS、SSH、SCP、SFTP、FTP、MYSQL、ORACLE、SQLSERVER等操作。</w:t>
            </w:r>
            <w:r/>
          </w:p>
        </w:tc>
      </w:tr>
      <w:tr>
        <w:trPr>
          <w:jc w:val="center"/>
          <w:trHeight w:val="423"/>
        </w:trPr>
        <w:tc>
          <w:tcPr>
            <w:tcW w:w="1394" w:type="dxa"/>
            <w:vAlign w:val="center"/>
            <w:vMerge w:val="restart"/>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告警管理</w:t>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支持首页展示当日告警情况统计；支持展示当日最新告警TOP10、TOP30和TOP50；</w:t>
            </w:r>
            <w:r/>
          </w:p>
        </w:tc>
      </w:tr>
      <w:tr>
        <w:trPr>
          <w:jc w:val="center"/>
          <w:trHeight w:val="417"/>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内置系统运行相关告警规则，包括检测到新日志源、节点掉线、主动日志源长期不外发日志、存储上限告警、主机认证失败等，可启用/禁用规则；</w:t>
            </w:r>
            <w:r/>
          </w:p>
        </w:tc>
      </w:tr>
      <w:tr>
        <w:trPr>
          <w:jc w:val="center"/>
          <w:trHeight w:val="417"/>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支持基于时间轴展示告警数据分布，能够通过时间轴进行查询分析；</w:t>
            </w:r>
            <w:r/>
          </w:p>
        </w:tc>
      </w:tr>
      <w:tr>
        <w:trPr>
          <w:jc w:val="center"/>
          <w:trHeight w:val="235"/>
        </w:trPr>
        <w:tc>
          <w:tcPr>
            <w:tcW w:w="1394"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告警响应方式</w:t>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支持邮件、Snmp Trap、声音、声光、短信、一信通响应、数据库响应等多种告警方式，支持报警内容引用字段变量参数。</w:t>
            </w:r>
            <w:r/>
          </w:p>
        </w:tc>
      </w:tr>
      <w:tr>
        <w:trPr>
          <w:jc w:val="center"/>
          <w:trHeight w:val="235"/>
        </w:trPr>
        <w:tc>
          <w:tcPr>
            <w:tcW w:w="139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可以针对不同类型、不同种类以及不同安全级别的安全事件制定不同的告警方式。</w:t>
            </w:r>
            <w:r/>
          </w:p>
        </w:tc>
      </w:tr>
      <w:tr>
        <w:trPr>
          <w:jc w:val="center"/>
          <w:trHeight w:val="531"/>
        </w:trPr>
        <w:tc>
          <w:tcPr>
            <w:tcW w:w="1394"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日志源管理</w:t>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支持手动添加日志源，管理员可以对日志源进行查看、批量修改、添加、编辑、删除以及启\禁用的操作；</w:t>
            </w:r>
            <w:r/>
          </w:p>
        </w:tc>
      </w:tr>
      <w:tr>
        <w:trPr>
          <w:jc w:val="center"/>
          <w:trHeight w:val="90"/>
        </w:trPr>
        <w:tc>
          <w:tcPr>
            <w:tcW w:w="139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ff0000"/>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支持对重点日志源的关注设置，并可通过关注列表快速查看重点日志源的状态、当日日志量、采集日志总量、最近接收时间、业务组等基础信息；</w:t>
            </w:r>
            <w:r/>
          </w:p>
        </w:tc>
      </w:tr>
      <w:tr>
        <w:trPr>
          <w:jc w:val="center"/>
          <w:trHeight w:val="310"/>
        </w:trPr>
        <w:tc>
          <w:tcPr>
            <w:tcW w:w="139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支持按照日志源名称、IP地址、日志源类型、接受时间及状态等维度对日志源列表进行排序；</w:t>
            </w:r>
            <w:r/>
          </w:p>
        </w:tc>
      </w:tr>
      <w:tr>
        <w:trPr>
          <w:jc w:val="center"/>
          <w:trHeight w:val="310"/>
        </w:trPr>
        <w:tc>
          <w:tcPr>
            <w:tcW w:w="139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支持为日志源指定类型、名称、IP地址、收集节点、收集方式、以及日志源启停状态等属性信息；</w:t>
            </w:r>
            <w:r/>
          </w:p>
        </w:tc>
      </w:tr>
      <w:tr>
        <w:trPr>
          <w:jc w:val="center"/>
          <w:trHeight w:val="365"/>
        </w:trPr>
        <w:tc>
          <w:tcPr>
            <w:tcW w:w="1394"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日志分析</w:t>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系统内置常见安全事件关联分析规则；</w:t>
            </w:r>
            <w:r/>
          </w:p>
        </w:tc>
      </w:tr>
      <w:tr>
        <w:trPr>
          <w:jc w:val="center"/>
          <w:trHeight w:val="363"/>
        </w:trPr>
        <w:tc>
          <w:tcPr>
            <w:tcW w:w="139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内置系统运行相关告警规则，包括检测到新日志源、节点掉线、主动日志源长期不外发日志、存储上限告警、主机认证失败等，可启用/禁用规则；</w:t>
            </w:r>
            <w:r/>
          </w:p>
        </w:tc>
      </w:tr>
      <w:tr>
        <w:trPr>
          <w:jc w:val="center"/>
          <w:trHeight w:val="363"/>
        </w:trPr>
        <w:tc>
          <w:tcPr>
            <w:tcW w:w="1394"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系统内置多种维度的数据在线分析模型，在数据查询结果界面直接对查询结果数据进行多维度在线数据分析，分析结果实时展示，分析模型包括但不限于树图、散点图、关系图、折线图、时序图、柱状图等。</w:t>
            </w:r>
            <w:r/>
          </w:p>
        </w:tc>
      </w:tr>
      <w:tr>
        <w:trPr>
          <w:jc w:val="center"/>
          <w:trHeight w:val="370"/>
        </w:trPr>
        <w:tc>
          <w:tcPr>
            <w:tcW w:w="1394" w:type="dxa"/>
            <w:vAlign w:val="center"/>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系统管理</w:t>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支持用户按角色管理，支持三权分立；</w:t>
            </w:r>
            <w:r/>
          </w:p>
        </w:tc>
      </w:tr>
      <w:tr>
        <w:trPr>
          <w:jc w:val="center"/>
          <w:trHeight w:val="367"/>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支持将日志源管理权限分配给不同的操作管理员，不同用户管理不同日志源的日志，互不干扰；</w:t>
            </w:r>
            <w:r/>
          </w:p>
        </w:tc>
      </w:tr>
      <w:tr>
        <w:trPr>
          <w:jc w:val="center"/>
          <w:trHeight w:val="367"/>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支持设置非法用户访问控制策略；</w:t>
            </w:r>
            <w:r/>
          </w:p>
        </w:tc>
      </w:tr>
      <w:tr>
        <w:trPr>
          <w:jc w:val="center"/>
          <w:trHeight w:val="367"/>
        </w:trPr>
        <w:tc>
          <w:tcPr>
            <w:tcW w:w="1394" w:type="dxa"/>
            <w:vAlign w:val="center"/>
            <w:vMerge w:val="continue"/>
            <w:textDirection w:val="lrTb"/>
            <w:noWrap w:val="false"/>
          </w:tcPr>
          <w:p>
            <w:pPr>
              <w:ind w:firstLine="240"/>
              <w:rPr>
                <w:rFonts w:hint="eastAsia" w:ascii="宋体" w:hAnsi="宋体" w:eastAsia="宋体" w:cs="宋体"/>
                <w:sz w:val="24"/>
                <w:szCs w:val="24"/>
              </w:rPr>
            </w:pPr>
            <w:r>
              <w:rPr>
                <w:rFonts w:hint="eastAsia" w:ascii="宋体" w:hAnsi="宋体" w:eastAsia="宋体" w:cs="宋体"/>
                <w:sz w:val="24"/>
                <w:szCs w:val="24"/>
              </w:rPr>
            </w:r>
            <w:r/>
          </w:p>
        </w:tc>
        <w:tc>
          <w:tcPr>
            <w:tcW w:w="7069"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系统具有防恶意暴力破解账号与口令功能，口令错误次数可设置，超过错误次数锁定，锁定时间可设置。</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1"/>
          <w:numId w:val="7"/>
        </w:numPr>
        <w:ind w:left="1260" w:hanging="420"/>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安全运维审计设备</w:t>
      </w:r>
      <w:r/>
    </w:p>
    <w:tbl>
      <w:tblPr>
        <w:tblStyle w:val="707"/>
        <w:tblW w:w="84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137"/>
      </w:tblGrid>
      <w:tr>
        <w:trPr>
          <w:jc w:val="center"/>
          <w:trHeight w:val="312"/>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b/>
                <w:color w:val="auto"/>
                <w:sz w:val="24"/>
                <w:szCs w:val="24"/>
              </w:rPr>
            </w:pPr>
            <w:r/>
            <w:bookmarkStart w:id="200" w:name="_Hlk34904790"/>
            <w:r>
              <w:rPr>
                <w:rFonts w:hint="eastAsia" w:ascii="宋体" w:hAnsi="宋体" w:eastAsia="宋体" w:cs="宋体"/>
                <w:b/>
                <w:color w:val="auto"/>
                <w:sz w:val="24"/>
                <w:szCs w:val="24"/>
              </w:rPr>
              <w:t xml:space="preserve">指标项</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详细要求</w:t>
            </w:r>
            <w:r/>
          </w:p>
        </w:tc>
      </w:tr>
      <w:tr>
        <w:trPr>
          <w:jc w:val="center"/>
          <w:trHeight w:val="312"/>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基本参数</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标准机架式设备</w:t>
            </w:r>
            <w:r>
              <w:rPr>
                <w:rFonts w:hint="eastAsia" w:ascii="宋体" w:hAnsi="宋体" w:eastAsia="宋体" w:cs="宋体"/>
                <w:bCs/>
                <w:color w:val="auto"/>
                <w:sz w:val="24"/>
                <w:szCs w:val="24"/>
              </w:rPr>
              <w:t xml:space="preserve">,千兆电口≥4个，千兆光口≥4个(已含千兆多模光模块),冗余电源,扩展槽位≥2个,</w:t>
            </w:r>
            <w:r>
              <w:rPr>
                <w:rFonts w:hint="eastAsia" w:ascii="宋体" w:hAnsi="宋体" w:eastAsia="宋体" w:cs="宋体"/>
                <w:bCs/>
                <w:color w:val="auto"/>
                <w:sz w:val="24"/>
                <w:szCs w:val="24"/>
                <w:lang w:val="en-US" w:eastAsia="zh-CN"/>
              </w:rPr>
              <w:t xml:space="preserve">存储</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4T，内存</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16G，</w:t>
            </w:r>
            <w:r>
              <w:rPr>
                <w:rFonts w:hint="eastAsia" w:ascii="宋体" w:hAnsi="宋体" w:eastAsia="宋体" w:cs="宋体"/>
                <w:bCs/>
                <w:color w:val="auto"/>
                <w:sz w:val="24"/>
                <w:szCs w:val="24"/>
              </w:rPr>
              <w:t xml:space="preserve">不低于50个主机/设备许可，用户数不限制，图形并发≥25，字符并发≥50；</w:t>
            </w:r>
            <w:r/>
          </w:p>
        </w:tc>
      </w:tr>
      <w:tr>
        <w:trPr>
          <w:jc w:val="center"/>
          <w:trHeight w:val="307"/>
        </w:trPr>
        <w:tc>
          <w:tcPr>
            <w:tcBorders>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证书管理</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支持第三方证书用户自行上传用作校验的CA证书和CRL列表；本地CA支持根证书的重新生成及替换；支持根据根证书签发出客户端证书；支持发布生成吊销列表；</w:t>
            </w:r>
            <w:r/>
          </w:p>
        </w:tc>
      </w:tr>
      <w:tr>
        <w:trPr>
          <w:jc w:val="center"/>
          <w:trHeight w:val="151"/>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消息管理</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支持管理员通过发布公告的形式，发送通知给所有指定用户；</w:t>
            </w:r>
            <w:r/>
          </w:p>
        </w:tc>
      </w:tr>
      <w:tr>
        <w:trPr>
          <w:jc w:val="center"/>
          <w:trHeight w:val="299"/>
        </w:trPr>
        <w:tc>
          <w:tcPr>
            <w:tcBorders>
              <w:top w:val="single" w:color="auto" w:sz="4" w:space="0"/>
              <w:left w:val="single" w:color="auto" w:sz="4" w:space="0"/>
              <w:right w:val="single" w:color="auto" w:sz="4" w:space="0"/>
            </w:tcBorders>
            <w:tcW w:w="1332" w:type="dxa"/>
            <w:vAlign w:val="center"/>
            <w:vMerge w:val="restart"/>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资产管理</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支持混合云资源的管理，即公有云及局域网资源，支持主机、服务器、网络设备、安全设备、数据库等的资产管理；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满足公有云、数据中心多种运维场景。</w:t>
            </w:r>
            <w:r/>
          </w:p>
        </w:tc>
      </w:tr>
      <w:tr>
        <w:trPr>
          <w:jc w:val="center"/>
          <w:trHeight w:val="299"/>
        </w:trPr>
        <w:tc>
          <w:tcPr>
            <w:tcBorders>
              <w:top w:val="single" w:color="auto" w:sz="4" w:space="0"/>
              <w:left w:val="single" w:color="auto" w:sz="4" w:space="0"/>
              <w:right w:val="single" w:color="auto" w:sz="4" w:space="0"/>
            </w:tcBorders>
            <w:tcW w:w="1332" w:type="dxa"/>
            <w:vAlign w:val="center"/>
            <w:vMerge w:val="continue"/>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首页动态展现资源总量、活动用户、实时会话、待审批工单、当日运维记录、资产运行状态、今日运维总数、今日运维时长TOP10、今日告警总数、今日运维指令TOP10等信息，方便管理员实时查看系统运行情况掌握资产会话连接情况。</w:t>
            </w:r>
            <w:r/>
          </w:p>
        </w:tc>
      </w:tr>
      <w:tr>
        <w:trPr>
          <w:jc w:val="center"/>
          <w:trHeight w:val="204"/>
        </w:trPr>
        <w:tc>
          <w:tcPr>
            <w:tcBorders>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自动发现</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公有云设备支持一键同步功能；支持局域网自动扫描网段内主机并支持导入系统。</w:t>
            </w:r>
            <w:r/>
          </w:p>
        </w:tc>
      </w:tr>
      <w:tr>
        <w:trPr>
          <w:jc w:val="center"/>
          <w:trHeight w:val="307"/>
        </w:trPr>
        <w:tc>
          <w:tcPr>
            <w:tcBorders>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账号管理</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支持改密结果自动发送到制定改密计划的管理员邮箱；密码采用密码信封加密保存，以保证安全性；支持密码分段发送。</w:t>
            </w:r>
            <w:r/>
          </w:p>
        </w:tc>
      </w:tr>
      <w:tr>
        <w:trPr>
          <w:jc w:val="center"/>
          <w:trHeight w:val="299"/>
        </w:trPr>
        <w:tc>
          <w:tcPr>
            <w:tcBorders>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授权关系</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提供授权关系查看功能，图形化直观展示用户、资产、协议、账号的授权关系；</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会话分享</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支持会话请求远程协助，且协同会话保持实时同步；</w:t>
            </w:r>
            <w:r/>
          </w:p>
        </w:tc>
      </w:tr>
      <w:tr>
        <w:trPr>
          <w:jc w:val="center"/>
          <w:trHeight w:val="29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图形协议审计</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图像审计支持OCR图像识别技术；</w:t>
            </w:r>
            <w:r/>
          </w:p>
        </w:tc>
      </w:tr>
      <w:tr>
        <w:trPr>
          <w:jc w:val="center"/>
          <w:trHeight w:val="1125"/>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全文检索</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全文审计检索，可以对操作行为中的用户、用户IP、资产、资产IP、资产账号、协议、操作指令、操作结果信息进行全文检索、过滤，检索方式支持并集和交集设置，提高查询效率，更方便的进行用户关联追溯。</w:t>
            </w:r>
            <w:r/>
          </w:p>
        </w:tc>
      </w:tr>
      <w:tr>
        <w:trPr>
          <w:jc w:val="center"/>
          <w:trHeight w:val="29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审计报表</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报表针从会话、指令等多个维度进行统计；</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系统内置丰富报表统计模板：协议运维排名、资产运维次数top10、资产运维趋势top10、用户运维趋势top10、协议运维趋势、用户运维次数top10、指令分布top10、top10指令资产分布、指令用户分布top10、指令资产账号分布、指令排名、指令趋势、风险指令次数、风险指令top10等多种类型报表模板。</w:t>
            </w:r>
            <w:r/>
          </w:p>
        </w:tc>
      </w:tr>
      <w:tr>
        <w:trPr>
          <w:jc w:val="center"/>
          <w:trHeight w:val="29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自动化运维</w:t>
            </w:r>
            <w:r/>
          </w:p>
        </w:tc>
        <w:tc>
          <w:tcPr>
            <w:tcBorders>
              <w:top w:val="single" w:color="auto" w:sz="4" w:space="0"/>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支持自动执行运维脚本。运维脚本分为内置和自定义两种。支持脚本类型为sh和exp两种；</w:t>
            </w:r>
            <w:r/>
          </w:p>
        </w:tc>
      </w:tr>
      <w:tr>
        <w:trPr>
          <w:jc w:val="center"/>
          <w:trHeight w:val="29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安全管理</w:t>
            </w:r>
            <w:r/>
          </w:p>
        </w:tc>
        <w:tc>
          <w:tcPr>
            <w:tcBorders>
              <w:left w:val="single" w:color="auto" w:sz="4" w:space="0"/>
              <w:bottom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支持管理口与业务口分离；</w:t>
            </w:r>
            <w:r/>
          </w:p>
        </w:tc>
      </w:tr>
      <w:tr>
        <w:trPr>
          <w:jc w:val="center"/>
          <w:trHeight w:val="29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虚拟化</w:t>
            </w:r>
            <w:r/>
          </w:p>
        </w:tc>
        <w:tc>
          <w:tcPr>
            <w:tcBorders>
              <w:left w:val="single" w:color="auto" w:sz="4" w:space="0"/>
              <w:right w:val="single" w:color="auto" w:sz="4" w:space="0"/>
            </w:tcBorders>
            <w:tcW w:w="713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支持对堡垒机虚拟为多台逻辑堡垒机，虚拟堡垒机之间实现独立配置、独立数据。实现IT资源的动态分配、灵活调度、跨域共享，提高IT资源利用率。</w:t>
            </w:r>
            <w:bookmarkEnd w:id="200"/>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1"/>
          <w:numId w:val="7"/>
        </w:numPr>
        <w:ind w:left="1260" w:hanging="420"/>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“零信任”网络终端安全管控系统</w:t>
      </w:r>
      <w:r/>
    </w:p>
    <w:tbl>
      <w:tblPr>
        <w:tblStyle w:val="707"/>
        <w:tblW w:w="84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7559"/>
      </w:tblGrid>
      <w:tr>
        <w:trPr>
          <w:jc w:val="center"/>
        </w:trPr>
        <w:tc>
          <w:tcPr>
            <w:tcBorders>
              <w:top w:val="single" w:color="auto" w:sz="4" w:space="0"/>
              <w:left w:val="single" w:color="auto" w:sz="4" w:space="0"/>
              <w:bottom w:val="single" w:color="auto" w:sz="4" w:space="0"/>
              <w:right w:val="single" w:color="auto" w:sz="4" w:space="0"/>
            </w:tcBorders>
            <w:tcW w:w="926" w:type="dxa"/>
            <w:vAlign w:val="top"/>
            <w:textDirection w:val="lrTb"/>
            <w:noWrap w:val="false"/>
          </w:tcPr>
          <w:p>
            <w:pPr>
              <w:jc w:val="center"/>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指标项</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jc w:val="center"/>
              <w:widowControl/>
              <w:rPr>
                <w:rFonts w:hint="eastAsia" w:ascii="宋体" w:hAnsi="宋体" w:eastAsia="宋体" w:cs="宋体"/>
                <w:b/>
                <w:bCs/>
                <w:sz w:val="24"/>
                <w:szCs w:val="24"/>
                <w:lang w:val="en-US" w:eastAsia="zh-CN" w:bidi="ar"/>
              </w:rPr>
            </w:pPr>
            <w:r>
              <w:rPr>
                <w:rFonts w:hint="eastAsia" w:ascii="宋体" w:hAnsi="宋体" w:eastAsia="宋体" w:cs="宋体"/>
                <w:b/>
                <w:bCs/>
                <w:sz w:val="24"/>
                <w:szCs w:val="24"/>
                <w:lang w:val="en-US" w:eastAsia="zh-CN" w:bidi="ar"/>
              </w:rPr>
              <w:t xml:space="preserve">服务要求</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基本要求</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▲需提供可信访问控制台、应用代理网关，满足支持多种国产操作系统环境，支持并发连接数≥60000QPS，并发用户数</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eastAsia="zh-CN" w:bidi="ar"/>
              </w:rPr>
              <w:t xml:space="preserve">3000人，客户端需支持win、MacOS、iOS、Android 、XC等主流操作系统。在各系统均有独立客户端。</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提供不少于三年软件平台升级更新服务。</w:t>
            </w:r>
            <w:r/>
          </w:p>
        </w:tc>
      </w:tr>
      <w:tr>
        <w:trPr>
          <w:jc w:val="center"/>
        </w:trPr>
        <w:tc>
          <w:tcPr>
            <w:tcBorders>
              <w:top w:val="single" w:color="auto" w:sz="4" w:space="0"/>
              <w:left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应用发布</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支持业务应用、业务资源组配置，支持业务接入方式配置，可对应代理模式或路由模式，支持业务应用HTTPS强制转化，确保传输安全，支持业务应用透明代理模式，以满足不同业务安全性要求。</w:t>
            </w:r>
            <w:r/>
          </w:p>
        </w:tc>
      </w:tr>
      <w:tr>
        <w:trPr>
          <w:jc w:val="center"/>
        </w:trPr>
        <w:tc>
          <w:tcPr>
            <w:tcBorders>
              <w:left w:val="single" w:color="auto" w:sz="4" w:space="0"/>
              <w:right w:val="single" w:color="auto" w:sz="4" w:space="0"/>
            </w:tcBorders>
            <w:tcW w:w="926" w:type="dxa"/>
            <w:vAlign w:val="center"/>
            <w:vMerge w:val="continue"/>
            <w:textDirection w:val="lrTb"/>
            <w:noWrap w:val="false"/>
          </w:tcPr>
          <w:p>
            <w:pPr>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pStyle w:val="1072"/>
              <w:ind w:left="29" w:right="154" w:firstLine="2"/>
              <w:spacing w:before="7"/>
              <w:rPr>
                <w:rFonts w:hint="eastAsia" w:ascii="宋体" w:hAnsi="宋体" w:eastAsia="宋体" w:cs="宋体"/>
                <w:sz w:val="24"/>
                <w:szCs w:val="24"/>
                <w:lang w:eastAsia="zh-CN" w:bidi="ar"/>
              </w:rPr>
            </w:pPr>
            <w:r>
              <w:rPr>
                <w:rFonts w:hint="eastAsia" w:ascii="宋体" w:hAnsi="宋体" w:eastAsia="宋体" w:cs="宋体"/>
                <w:spacing w:val="2"/>
                <w:sz w:val="24"/>
                <w:szCs w:val="24"/>
                <w:lang w:eastAsia="zh-CN"/>
              </w:rPr>
              <w:t xml:space="preserve">▲支持私有</w:t>
            </w:r>
            <w:r>
              <w:rPr>
                <w:rFonts w:hint="eastAsia" w:ascii="宋体" w:hAnsi="宋体" w:eastAsia="宋体" w:cs="宋体"/>
                <w:sz w:val="24"/>
                <w:szCs w:val="24"/>
                <w:lang w:eastAsia="zh-CN"/>
              </w:rPr>
              <w:t xml:space="preserve">DNS</w:t>
            </w:r>
            <w:r>
              <w:rPr>
                <w:rFonts w:hint="eastAsia" w:ascii="宋体" w:hAnsi="宋体" w:eastAsia="宋体" w:cs="宋体"/>
                <w:spacing w:val="2"/>
                <w:sz w:val="24"/>
                <w:szCs w:val="24"/>
                <w:lang w:eastAsia="zh-CN"/>
              </w:rPr>
              <w:t xml:space="preserve">发布应用资源，而无需客户提供独立的</w:t>
            </w:r>
            <w:r>
              <w:rPr>
                <w:rFonts w:hint="eastAsia" w:ascii="宋体" w:hAnsi="宋体" w:eastAsia="宋体" w:cs="宋体"/>
                <w:sz w:val="24"/>
                <w:szCs w:val="24"/>
                <w:lang w:eastAsia="zh-CN"/>
              </w:rPr>
              <w:t xml:space="preserve">DNS</w:t>
            </w:r>
            <w:r>
              <w:rPr>
                <w:rFonts w:hint="eastAsia" w:ascii="宋体" w:hAnsi="宋体" w:eastAsia="宋体" w:cs="宋体"/>
                <w:spacing w:val="2"/>
                <w:sz w:val="24"/>
                <w:szCs w:val="24"/>
                <w:lang w:eastAsia="zh-CN"/>
              </w:rPr>
              <w:t xml:space="preserve">解析</w:t>
            </w:r>
            <w:r>
              <w:rPr>
                <w:rFonts w:hint="eastAsia" w:ascii="宋体" w:hAnsi="宋体" w:eastAsia="宋体" w:cs="宋体"/>
                <w:spacing w:val="-34"/>
                <w:sz w:val="24"/>
                <w:szCs w:val="24"/>
                <w:lang w:eastAsia="zh-CN"/>
              </w:rPr>
              <w:t xml:space="preserve"> </w:t>
            </w:r>
            <w:r>
              <w:rPr>
                <w:rFonts w:hint="eastAsia" w:ascii="宋体" w:hAnsi="宋体" w:eastAsia="宋体" w:cs="宋体"/>
                <w:spacing w:val="2"/>
                <w:sz w:val="24"/>
                <w:szCs w:val="24"/>
                <w:lang w:eastAsia="zh-CN"/>
              </w:rPr>
              <w:t xml:space="preserve">，就可确保在访问业务</w:t>
            </w:r>
            <w:r>
              <w:rPr>
                <w:rFonts w:hint="eastAsia" w:ascii="宋体" w:hAnsi="宋体" w:eastAsia="宋体" w:cs="宋体"/>
                <w:spacing w:val="1"/>
                <w:sz w:val="24"/>
                <w:szCs w:val="24"/>
                <w:lang w:eastAsia="zh-CN"/>
              </w:rPr>
              <w:t xml:space="preserve">时感知不到业务的真实地址，实现进一步</w:t>
            </w:r>
            <w:r>
              <w:rPr>
                <w:rFonts w:hint="eastAsia" w:ascii="宋体" w:hAnsi="宋体" w:eastAsia="宋体" w:cs="宋体"/>
                <w:spacing w:val="2"/>
                <w:sz w:val="24"/>
                <w:szCs w:val="24"/>
                <w:lang w:eastAsia="zh-CN"/>
              </w:rPr>
              <w:t xml:space="preserve">进一步业务隐藏。</w:t>
            </w:r>
            <w:r/>
          </w:p>
        </w:tc>
      </w:tr>
      <w:tr>
        <w:trPr>
          <w:jc w:val="center"/>
        </w:trPr>
        <w:tc>
          <w:tcPr>
            <w:tcBorders>
              <w:left w:val="single" w:color="auto" w:sz="4" w:space="0"/>
              <w:bottom w:val="single" w:color="auto" w:sz="4" w:space="0"/>
              <w:right w:val="single" w:color="auto" w:sz="4" w:space="0"/>
            </w:tcBorders>
            <w:tcW w:w="926" w:type="dxa"/>
            <w:vAlign w:val="center"/>
            <w:vMerge w:val="continue"/>
            <w:textDirection w:val="lrTb"/>
            <w:noWrap w:val="false"/>
          </w:tcPr>
          <w:p>
            <w:pPr>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pStyle w:val="1072"/>
              <w:ind w:left="29" w:right="154" w:firstLine="2"/>
              <w:spacing w:before="7"/>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▲支持内部业务部署反向连接</w:t>
            </w:r>
            <w:r>
              <w:rPr>
                <w:rFonts w:hint="eastAsia" w:ascii="宋体" w:hAnsi="宋体" w:eastAsia="宋体" w:cs="宋体"/>
                <w:sz w:val="24"/>
                <w:szCs w:val="24"/>
                <w:lang w:eastAsia="zh-CN"/>
              </w:rPr>
              <w:t xml:space="preserve">Agent</w:t>
            </w:r>
            <w:r>
              <w:rPr>
                <w:rFonts w:hint="eastAsia" w:ascii="宋体" w:hAnsi="宋体" w:eastAsia="宋体" w:cs="宋体"/>
                <w:spacing w:val="2"/>
                <w:sz w:val="24"/>
                <w:szCs w:val="24"/>
                <w:lang w:eastAsia="zh-CN"/>
              </w:rPr>
              <w:t xml:space="preserve">，从而实现业务从内部网络主动外连到零信任代理网关</w:t>
            </w:r>
            <w:r>
              <w:rPr>
                <w:rFonts w:hint="eastAsia" w:ascii="宋体" w:hAnsi="宋体" w:eastAsia="宋体" w:cs="宋体"/>
                <w:spacing w:val="-35"/>
                <w:sz w:val="24"/>
                <w:szCs w:val="24"/>
                <w:lang w:eastAsia="zh-CN"/>
              </w:rPr>
              <w:t xml:space="preserve"> </w:t>
            </w:r>
            <w:r>
              <w:rPr>
                <w:rFonts w:hint="eastAsia" w:ascii="宋体" w:hAnsi="宋体" w:eastAsia="宋体" w:cs="宋体"/>
                <w:spacing w:val="2"/>
                <w:sz w:val="24"/>
                <w:szCs w:val="24"/>
                <w:lang w:eastAsia="zh-CN"/>
              </w:rPr>
              <w:t xml:space="preserve">，</w:t>
            </w:r>
            <w:r>
              <w:rPr>
                <w:rFonts w:hint="eastAsia" w:ascii="宋体" w:hAnsi="宋体" w:eastAsia="宋体" w:cs="宋体"/>
                <w:spacing w:val="1"/>
                <w:sz w:val="24"/>
                <w:szCs w:val="24"/>
                <w:lang w:eastAsia="zh-CN"/>
              </w:rPr>
              <w:t xml:space="preserve">从而避免现有网络架构</w:t>
            </w:r>
            <w:r>
              <w:rPr>
                <w:rFonts w:hint="eastAsia" w:ascii="宋体" w:hAnsi="宋体" w:eastAsia="宋体" w:cs="宋体"/>
                <w:spacing w:val="2"/>
                <w:sz w:val="24"/>
                <w:szCs w:val="24"/>
                <w:lang w:eastAsia="zh-CN"/>
              </w:rPr>
              <w:t xml:space="preserve">改动。</w:t>
            </w:r>
            <w:r/>
          </w:p>
        </w:tc>
      </w:tr>
      <w:tr>
        <w:trPr>
          <w:jc w:val="center"/>
        </w:trPr>
        <w:tc>
          <w:tcPr>
            <w:tcBorders>
              <w:top w:val="single" w:color="auto" w:sz="4" w:space="0"/>
              <w:left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身份管理</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支持用户身份全生命周期管理，作为本项目统一身份认证中心，对外提供身份认证服务，支持从多上游权威数据源同步组织数据，可将身份子集管理权限再分配，实现统一存储，分级管理。</w:t>
            </w:r>
            <w:r/>
          </w:p>
        </w:tc>
      </w:tr>
      <w:tr>
        <w:trPr>
          <w:jc w:val="center"/>
          <w:trHeight w:val="343"/>
        </w:trPr>
        <w:tc>
          <w:tcPr>
            <w:tcBorders>
              <w:left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
              </w:rPr>
              <w:t xml:space="preserve">▲OTP动态验证码支持设置验证周期，支持1-3个周期范围内验证码有效。</w:t>
            </w:r>
            <w:r/>
          </w:p>
        </w:tc>
      </w:tr>
      <w:tr>
        <w:trPr>
          <w:jc w:val="center"/>
        </w:trPr>
        <w:tc>
          <w:tcPr>
            <w:tcBorders>
              <w:left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支持用户组配置，并支持多级用户组关联配置，支持用户手工输入、批量导入创建用户，支持用户状态设置。</w:t>
            </w:r>
            <w:r/>
          </w:p>
        </w:tc>
      </w:tr>
      <w:tr>
        <w:trPr>
          <w:jc w:val="center"/>
        </w:trPr>
        <w:tc>
          <w:tcPr>
            <w:tcBorders>
              <w:left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支持身份同步，支持向应用系统同步组织机构/用户数据，提供自动同步框架或引擎，以方便供应功能的管理和扩展；支持图形页面化配置数据同步流程，支持周期性与外部身份源进行同步。</w:t>
            </w:r>
            <w:r/>
          </w:p>
        </w:tc>
      </w:tr>
      <w:tr>
        <w:trPr>
          <w:jc w:val="center"/>
        </w:trPr>
        <w:tc>
          <w:tcPr>
            <w:tcBorders>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
              </w:rPr>
            </w:pPr>
            <w:r>
              <w:rPr>
                <w:rFonts w:hint="eastAsia" w:ascii="宋体" w:hAnsi="宋体" w:eastAsia="宋体" w:cs="宋体"/>
                <w:spacing w:val="2"/>
                <w:sz w:val="24"/>
                <w:szCs w:val="24"/>
                <w:lang w:val="en-US" w:eastAsia="zh-CN" w:bidi="ar-SA"/>
              </w:rPr>
              <w:t xml:space="preserve">▲为满足基于身份证书的证书认证</w:t>
            </w:r>
            <w:r>
              <w:rPr>
                <w:rFonts w:hint="eastAsia" w:ascii="宋体" w:hAnsi="宋体" w:eastAsia="宋体" w:cs="宋体"/>
                <w:spacing w:val="-33"/>
                <w:sz w:val="24"/>
                <w:szCs w:val="24"/>
                <w:lang w:val="en-US" w:eastAsia="zh-CN" w:bidi="ar-SA"/>
              </w:rPr>
              <w:t xml:space="preserve"> ，</w:t>
            </w:r>
            <w:r>
              <w:rPr>
                <w:rFonts w:hint="eastAsia" w:ascii="宋体" w:hAnsi="宋体" w:eastAsia="宋体" w:cs="宋体"/>
                <w:spacing w:val="2"/>
                <w:sz w:val="24"/>
                <w:szCs w:val="24"/>
                <w:lang w:val="en-US" w:eastAsia="zh-CN" w:bidi="ar-SA"/>
              </w:rPr>
              <w:t xml:space="preserve">需提前创建身份证书。支持批量导入证书（</w:t>
            </w:r>
            <w:r>
              <w:rPr>
                <w:rFonts w:hint="eastAsia" w:ascii="宋体" w:hAnsi="宋体" w:eastAsia="宋体" w:cs="宋体"/>
                <w:sz w:val="24"/>
                <w:szCs w:val="24"/>
                <w:lang w:val="en-US" w:eastAsia="zh-CN" w:bidi="ar-SA"/>
              </w:rPr>
              <w:t xml:space="preserve">ZIP</w:t>
            </w:r>
            <w:r>
              <w:rPr>
                <w:rFonts w:hint="eastAsia" w:ascii="宋体" w:hAnsi="宋体" w:eastAsia="宋体" w:cs="宋体"/>
                <w:spacing w:val="2"/>
                <w:sz w:val="24"/>
                <w:szCs w:val="24"/>
                <w:lang w:val="en-US" w:eastAsia="zh-CN" w:bidi="ar-SA"/>
              </w:rPr>
              <w:t xml:space="preserve">压缩格式</w:t>
            </w:r>
            <w:r>
              <w:rPr>
                <w:rFonts w:hint="eastAsia" w:ascii="宋体" w:hAnsi="宋体" w:eastAsia="宋体" w:cs="宋体"/>
                <w:spacing w:val="-8"/>
                <w:sz w:val="24"/>
                <w:szCs w:val="24"/>
                <w:lang w:val="en-US" w:eastAsia="zh-CN" w:bidi="ar-SA"/>
              </w:rPr>
              <w:t xml:space="preserve">），</w:t>
            </w:r>
            <w:r>
              <w:rPr>
                <w:rFonts w:hint="eastAsia" w:ascii="宋体" w:hAnsi="宋体" w:eastAsia="宋体" w:cs="宋体"/>
                <w:spacing w:val="2"/>
                <w:sz w:val="24"/>
                <w:szCs w:val="24"/>
                <w:lang w:val="en-US" w:eastAsia="zh-CN" w:bidi="ar-SA"/>
              </w:rPr>
              <w:t xml:space="preserve">并支持配置统一初始化密码。</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认证管理</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支持三方身份对接，包括但不仅限于LDAP、AD、CAS等。支持标准协议，包括SAML、OpenID、OAuth等协议。</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▲支持基于用户组配置认证策略（多因素认证、多因素认证方式等，包括不限于账号密码、扫码认证、令牌OTP、手势、指纹、人脸等认证方式集成扩展。支持认证方式自定义、多因素认证方式自定义。</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支持认证方式统一API服务，支持对业务系统风险安全级别的划分，可根据不同安全级别配置不同的认证方式。</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授权管理</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▲支持基于角色的授权策略配置，配置主体、客体角色授权。支持基于属性的授权策略配置，可为角色授权提供属性条件过滤规则与控制。支持可信终端环境风险授权策略统一管理功能。</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授权管理可支持登录安全策略和信任评估策略两种模式。分别对应访问进入的策略控制和访问过程中动态策略控制。</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支持网络隔离策略控制，支持应用流控策略，支持按请求大小、单位时间请求数、用户流控等进行应用流控策略管理。</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用户/代理会话</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支持用户会话自动创建、维护、销毁全生命周期管理，支持代理会话查看，支持4、7层应用协议代理，支持SSL监听端口、管理端端口配置，支持单用户会话数控制，支持基于SPA单包授权端口隐藏。</w:t>
            </w:r>
            <w:r/>
          </w:p>
        </w:tc>
      </w:tr>
      <w:tr>
        <w:trPr>
          <w:jc w:val="center"/>
        </w:trPr>
        <w:tc>
          <w:tcPr>
            <w:tcBorders>
              <w:top w:val="single" w:color="auto" w:sz="4" w:space="0"/>
              <w:left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权限设置</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
              </w:rPr>
            </w:pPr>
            <w:r>
              <w:rPr>
                <w:rFonts w:hint="eastAsia" w:ascii="宋体" w:hAnsi="宋体" w:eastAsia="宋体" w:cs="宋体"/>
                <w:spacing w:val="3"/>
                <w:sz w:val="24"/>
                <w:szCs w:val="24"/>
                <w:lang w:val="en-US" w:eastAsia="zh-CN" w:bidi="ar-SA"/>
              </w:rPr>
              <w:t xml:space="preserve">登录安全策略支持基于用户组/用户配置单账号允许终端绑定数；并可配置终端环境感知规则。以此支持基于用户的</w:t>
            </w:r>
            <w:r>
              <w:rPr>
                <w:rFonts w:hint="eastAsia" w:ascii="宋体" w:hAnsi="宋体" w:eastAsia="宋体" w:cs="宋体"/>
                <w:spacing w:val="2"/>
                <w:sz w:val="24"/>
                <w:szCs w:val="24"/>
                <w:lang w:val="en-US" w:eastAsia="zh-CN" w:bidi="ar-SA"/>
              </w:rPr>
              <w:t xml:space="preserve">登录权限控制，</w:t>
            </w:r>
            <w:r>
              <w:rPr>
                <w:rFonts w:hint="eastAsia" w:ascii="宋体" w:hAnsi="宋体" w:eastAsia="宋体" w:cs="宋体"/>
                <w:spacing w:val="-48"/>
                <w:sz w:val="24"/>
                <w:szCs w:val="24"/>
                <w:lang w:val="en-US" w:eastAsia="zh-CN" w:bidi="ar-SA"/>
              </w:rPr>
              <w:t xml:space="preserve"> </w:t>
            </w:r>
            <w:r>
              <w:rPr>
                <w:rFonts w:hint="eastAsia" w:ascii="宋体" w:hAnsi="宋体" w:eastAsia="宋体" w:cs="宋体"/>
                <w:spacing w:val="2"/>
                <w:sz w:val="24"/>
                <w:szCs w:val="24"/>
                <w:lang w:val="en-US" w:eastAsia="zh-CN" w:bidi="ar-SA"/>
              </w:rPr>
              <w:t xml:space="preserve">同时可配置多条登录安全策略下设置规则</w:t>
            </w:r>
            <w:r>
              <w:rPr>
                <w:rFonts w:hint="eastAsia" w:ascii="宋体" w:hAnsi="宋体" w:eastAsia="宋体" w:cs="宋体"/>
                <w:spacing w:val="1"/>
                <w:sz w:val="24"/>
                <w:szCs w:val="24"/>
                <w:lang w:val="en-US" w:eastAsia="zh-CN" w:bidi="ar-SA"/>
              </w:rPr>
              <w:t xml:space="preserve">优先级。</w:t>
            </w:r>
            <w:r/>
          </w:p>
        </w:tc>
      </w:tr>
      <w:tr>
        <w:trPr>
          <w:jc w:val="center"/>
        </w:trPr>
        <w:tc>
          <w:tcPr>
            <w:tcBorders>
              <w:left w:val="single" w:color="auto" w:sz="4" w:space="0"/>
              <w:right w:val="single" w:color="auto" w:sz="4" w:space="0"/>
            </w:tcBorders>
            <w:tcW w:w="926" w:type="dxa"/>
            <w:vAlign w:val="center"/>
            <w:vMerge w:val="continue"/>
            <w:textDirection w:val="lrTb"/>
            <w:noWrap w:val="false"/>
          </w:tcPr>
          <w:p>
            <w:pPr>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
              </w:rPr>
            </w:pPr>
            <w:r>
              <w:rPr>
                <w:rFonts w:hint="eastAsia" w:ascii="宋体" w:hAnsi="宋体" w:eastAsia="宋体" w:cs="宋体"/>
                <w:spacing w:val="2"/>
                <w:sz w:val="24"/>
                <w:szCs w:val="24"/>
                <w:lang w:val="en-US" w:eastAsia="zh-CN" w:bidi="ar-SA"/>
              </w:rPr>
              <w:t xml:space="preserve">▲支持基于应用资源的流控策略，支持按请求大小、单位时间请求数、请求并发总流控/用户流控等进行应用流控策略管理，并支持可配置流控策略开启时间段。</w:t>
            </w:r>
            <w:r/>
          </w:p>
        </w:tc>
      </w:tr>
      <w:tr>
        <w:trPr>
          <w:jc w:val="center"/>
        </w:trPr>
        <w:tc>
          <w:tcPr>
            <w:tcBorders>
              <w:left w:val="single" w:color="auto" w:sz="4" w:space="0"/>
              <w:bottom w:val="single" w:color="auto" w:sz="4" w:space="0"/>
              <w:right w:val="single" w:color="auto" w:sz="4" w:space="0"/>
            </w:tcBorders>
            <w:tcW w:w="926" w:type="dxa"/>
            <w:vAlign w:val="center"/>
            <w:vMerge w:val="continue"/>
            <w:textDirection w:val="lrTb"/>
            <w:noWrap w:val="false"/>
          </w:tcPr>
          <w:p>
            <w:pPr>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
              </w:rPr>
            </w:pPr>
            <w:r>
              <w:rPr>
                <w:rFonts w:hint="eastAsia" w:ascii="宋体" w:hAnsi="宋体" w:eastAsia="宋体" w:cs="宋体"/>
                <w:spacing w:val="2"/>
                <w:sz w:val="24"/>
                <w:szCs w:val="24"/>
                <w:lang w:val="en-US" w:eastAsia="zh-CN" w:bidi="ar-SA"/>
              </w:rPr>
              <w:t xml:space="preserve">支持限制终端设备上的某一个或某几个安全应用才能使用连接通道进行业务访问，如企业浏览器应用、</w:t>
            </w:r>
            <w:r>
              <w:rPr>
                <w:rFonts w:hint="eastAsia" w:ascii="宋体" w:hAnsi="宋体" w:eastAsia="宋体" w:cs="宋体"/>
                <w:sz w:val="24"/>
                <w:szCs w:val="24"/>
                <w:lang w:val="en-US" w:eastAsia="zh-CN" w:bidi="ar-SA"/>
              </w:rPr>
              <w:t xml:space="preserve">IM</w:t>
            </w:r>
            <w:r>
              <w:rPr>
                <w:rFonts w:hint="eastAsia" w:ascii="宋体" w:hAnsi="宋体" w:eastAsia="宋体" w:cs="宋体"/>
                <w:spacing w:val="2"/>
                <w:sz w:val="24"/>
                <w:szCs w:val="24"/>
                <w:lang w:val="en-US" w:eastAsia="zh-CN" w:bidi="ar-SA"/>
              </w:rPr>
              <w:t xml:space="preserve">协</w:t>
            </w:r>
            <w:r>
              <w:rPr>
                <w:rFonts w:hint="eastAsia" w:ascii="宋体" w:hAnsi="宋体" w:eastAsia="宋体" w:cs="宋体"/>
                <w:spacing w:val="1"/>
                <w:sz w:val="24"/>
                <w:szCs w:val="24"/>
                <w:lang w:val="en-US" w:eastAsia="zh-CN" w:bidi="ar-SA"/>
              </w:rPr>
              <w:t xml:space="preserve">同办公</w:t>
            </w:r>
            <w:r>
              <w:rPr>
                <w:rFonts w:hint="eastAsia" w:ascii="宋体" w:hAnsi="宋体" w:eastAsia="宋体" w:cs="宋体"/>
                <w:spacing w:val="4"/>
                <w:sz w:val="24"/>
                <w:szCs w:val="24"/>
                <w:lang w:val="en-US" w:eastAsia="zh-CN" w:bidi="ar-SA"/>
              </w:rPr>
              <w:t xml:space="preserve">应用等。并支持基于</w:t>
            </w:r>
            <w:r>
              <w:rPr>
                <w:rFonts w:hint="eastAsia" w:ascii="宋体" w:hAnsi="宋体" w:eastAsia="宋体" w:cs="宋体"/>
                <w:sz w:val="24"/>
                <w:szCs w:val="24"/>
                <w:lang w:val="en-US" w:eastAsia="zh-CN" w:bidi="ar-SA"/>
              </w:rPr>
              <w:t xml:space="preserve">windows</w:t>
            </w:r>
            <w:r>
              <w:rPr>
                <w:rFonts w:hint="eastAsia" w:ascii="宋体" w:hAnsi="宋体" w:eastAsia="宋体" w:cs="宋体"/>
                <w:spacing w:val="4"/>
                <w:sz w:val="24"/>
                <w:szCs w:val="24"/>
                <w:lang w:val="en-US" w:eastAsia="zh-CN" w:bidi="ar-SA"/>
              </w:rPr>
              <w:t xml:space="preserve">和</w:t>
            </w:r>
            <w:r>
              <w:rPr>
                <w:rFonts w:hint="eastAsia" w:ascii="宋体" w:hAnsi="宋体" w:eastAsia="宋体" w:cs="宋体"/>
                <w:sz w:val="24"/>
                <w:szCs w:val="24"/>
                <w:lang w:val="en-US" w:eastAsia="zh-CN" w:bidi="ar-SA"/>
              </w:rPr>
              <w:t xml:space="preserve">Android</w:t>
            </w:r>
            <w:r>
              <w:rPr>
                <w:rFonts w:hint="eastAsia" w:ascii="宋体" w:hAnsi="宋体" w:eastAsia="宋体" w:cs="宋体"/>
                <w:spacing w:val="4"/>
                <w:sz w:val="24"/>
                <w:szCs w:val="24"/>
                <w:lang w:val="en-US" w:eastAsia="zh-CN" w:bidi="ar-SA"/>
              </w:rPr>
              <w:t xml:space="preserve">进行不同配置。</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传输安全</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▲支持国密</w:t>
            </w:r>
            <w:r>
              <w:rPr>
                <w:rFonts w:hint="eastAsia" w:ascii="宋体" w:hAnsi="宋体" w:eastAsia="宋体" w:cs="宋体"/>
                <w:sz w:val="24"/>
                <w:szCs w:val="24"/>
                <w:lang w:val="en-US" w:eastAsia="zh-CN" w:bidi="ar-SA"/>
              </w:rPr>
              <w:t xml:space="preserve">SM</w:t>
            </w:r>
            <w:r>
              <w:rPr>
                <w:rFonts w:hint="eastAsia" w:ascii="宋体" w:hAnsi="宋体" w:eastAsia="宋体" w:cs="宋体"/>
                <w:spacing w:val="3"/>
                <w:sz w:val="24"/>
                <w:szCs w:val="24"/>
                <w:lang w:val="en-US" w:eastAsia="zh-CN" w:bidi="ar-SA"/>
              </w:rPr>
              <w:t xml:space="preserve">2-</w:t>
            </w:r>
            <w:r>
              <w:rPr>
                <w:rFonts w:hint="eastAsia" w:ascii="宋体" w:hAnsi="宋体" w:eastAsia="宋体" w:cs="宋体"/>
                <w:sz w:val="24"/>
                <w:szCs w:val="24"/>
                <w:lang w:val="en-US" w:eastAsia="zh-CN" w:bidi="ar-SA"/>
              </w:rPr>
              <w:t xml:space="preserve">SM</w:t>
            </w:r>
            <w:r>
              <w:rPr>
                <w:rFonts w:hint="eastAsia" w:ascii="宋体" w:hAnsi="宋体" w:eastAsia="宋体" w:cs="宋体"/>
                <w:spacing w:val="3"/>
                <w:sz w:val="24"/>
                <w:szCs w:val="24"/>
                <w:lang w:val="en-US" w:eastAsia="zh-CN" w:bidi="ar-SA"/>
              </w:rPr>
              <w:t xml:space="preserve">4算法</w:t>
            </w:r>
            <w:r>
              <w:rPr>
                <w:rFonts w:hint="eastAsia" w:ascii="宋体" w:hAnsi="宋体" w:eastAsia="宋体" w:cs="宋体"/>
                <w:sz w:val="24"/>
                <w:szCs w:val="24"/>
                <w:lang w:val="en-US" w:eastAsia="zh-CN" w:bidi="ar"/>
              </w:rPr>
              <w:t xml:space="preserve">，支持标准TLS1.0/TLS1.1加解密，支持应用配置HTTP强制转换HTTPS，自动完成HTTP到HTTPS加密服务。</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管理TLS加解密算法的强度，支持自定义最新算法会话协商：AES128-SHA,AES256-SHA,ECDHE-RSA-AES128-GCM-SHA256,ECDHE-RSA-AES256-GCM-SHA384,ECDHE-RSA-AES128-SHA,ECDHE-RSA-AES256-SHA,DES-CBC3-SHA,RC4-SHA,RC4-MD5等。</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数据安全</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在代理模式下业务访问时，支持设置B/S安全水印功能，支持显示/隐式水印配置，可自定义显示水印内容。</w:t>
            </w:r>
            <w:r/>
          </w:p>
        </w:tc>
      </w:tr>
      <w:tr>
        <w:trPr>
          <w:jc w:val="center"/>
        </w:trPr>
        <w:tc>
          <w:tcPr>
            <w:tcBorders>
              <w:top w:val="single" w:color="auto" w:sz="4" w:space="0"/>
              <w:left w:val="single" w:color="auto" w:sz="4" w:space="0"/>
              <w:right w:val="single" w:color="auto" w:sz="4" w:space="0"/>
            </w:tcBorders>
            <w:tcW w:w="926" w:type="dxa"/>
            <w:vAlign w:val="center"/>
            <w:vMerge w:val="restart"/>
            <w:textDirection w:val="lrTb"/>
            <w:noWrap w:val="false"/>
          </w:tcPr>
          <w:p>
            <w:pPr>
              <w:jc w:val="left"/>
              <w:tabs>
                <w:tab w:val="left" w:pos="348"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终端环境感知</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支持所有终端类型环境感知评估，包括windows、MacOS、Android、iOS、XC终端环境感知，支持所有终端环境感知评估在唯一系统或唯一组件上配置，以降低服务器资源配置以及减少管理员配置工作量。</w:t>
            </w:r>
            <w:r/>
          </w:p>
        </w:tc>
      </w:tr>
      <w:tr>
        <w:trPr>
          <w:jc w:val="center"/>
          <w:trHeight w:val="90"/>
        </w:trPr>
        <w:tc>
          <w:tcPr>
            <w:tcBorders>
              <w:left w:val="single" w:color="auto" w:sz="4" w:space="0"/>
              <w:right w:val="single" w:color="auto" w:sz="4" w:space="0"/>
            </w:tcBorders>
            <w:tcW w:w="926" w:type="dxa"/>
            <w:vAlign w:val="center"/>
            <w:vMerge w:val="continue"/>
            <w:textDirection w:val="lrTb"/>
            <w:noWrap w:val="false"/>
          </w:tcPr>
          <w:p>
            <w:pPr>
              <w:jc w:val="left"/>
              <w:tabs>
                <w:tab w:val="left" w:pos="348" w:leader="none"/>
              </w:tabs>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XC系统感知内容：支持应用合规感知、系统基线感知2大类。如应用合规感知-软件感知的内容至少包括 必装软件、违规软件、风险软件 三大类。且匹配方式需包括“精准匹配”和“字符串包含”两种，可定义软件版本号匹配，支持管理员自定义不满足后的处理意见。</w:t>
            </w:r>
            <w:r/>
          </w:p>
        </w:tc>
      </w:tr>
      <w:tr>
        <w:trPr>
          <w:jc w:val="center"/>
          <w:trHeight w:val="90"/>
        </w:trPr>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设备识别</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可采集硬件信息，包括CPU、内存、磁盘、IP、MAC操作系统等信息，并上报至环境感知后端平台。</w:t>
            </w:r>
            <w:r/>
          </w:p>
        </w:tc>
      </w:tr>
      <w:tr>
        <w:trPr>
          <w:jc w:val="center"/>
        </w:trPr>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系统安全感知</w:t>
            </w:r>
            <w:r/>
          </w:p>
        </w:tc>
        <w:tc>
          <w:tcPr>
            <w:tcBorders>
              <w:top w:val="single" w:color="auto" w:sz="4" w:space="0"/>
              <w:left w:val="single" w:color="auto" w:sz="4" w:space="0"/>
              <w:bottom w:val="single" w:color="auto" w:sz="4" w:space="0"/>
              <w:right w:val="single" w:color="auto" w:sz="4" w:space="0"/>
            </w:tcBorders>
            <w:tcW w:w="7559" w:type="dxa"/>
            <w:vAlign w:val="top"/>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支持感知终端中系统配置安全风险，从身份鉴别、安全设计、系统版本/补丁、是否安装违规的软件，运行违规的进程、存在违规的注册表和服务项行为等维度进行安全感知。</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1"/>
          <w:numId w:val="7"/>
        </w:numPr>
        <w:ind w:left="1260" w:hanging="420"/>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区行政中心网络及二楼网络机房运维管理服务(含楼层交换机租赁)</w:t>
      </w:r>
      <w:r/>
    </w:p>
    <w:tbl>
      <w:tblPr>
        <w:tblStyle w:val="707"/>
        <w:tblW w:w="8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7156"/>
      </w:tblGrid>
      <w:tr>
        <w:trPr>
          <w:jc w:val="center"/>
          <w:trHeight w:val="274"/>
        </w:trPr>
        <w:tc>
          <w:tcPr>
            <w:tcW w:w="1357"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技术指标</w:t>
            </w:r>
            <w:r/>
          </w:p>
        </w:tc>
        <w:tc>
          <w:tcPr>
            <w:tcW w:w="7156"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指标要求</w:t>
            </w:r>
            <w:r/>
          </w:p>
        </w:tc>
      </w:tr>
      <w:tr>
        <w:trPr>
          <w:jc w:val="center"/>
          <w:trHeight w:val="623"/>
        </w:trPr>
        <w:tc>
          <w:tcPr>
            <w:tcW w:w="1357" w:type="dxa"/>
            <w:vAlign w:val="center"/>
            <w:vMerge w:val="restart"/>
            <w:textDirection w:val="lrTb"/>
            <w:noWrap w:val="false"/>
          </w:tcPr>
          <w:p>
            <w:pPr>
              <w:numPr>
                <w:ilvl w:val="0"/>
                <w:numId w:val="0"/>
              </w:numPr>
              <w:jc w:val="center"/>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楼层交换机参数要求</w:t>
            </w:r>
            <w:r/>
          </w:p>
        </w:tc>
        <w:tc>
          <w:tcPr>
            <w:tcW w:w="7156" w:type="dxa"/>
            <w:vAlign w:val="center"/>
            <w:textDirection w:val="lrTb"/>
            <w:noWrap w:val="false"/>
          </w:tcPr>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不少于48个10/100/1000Base-T以太网口，不少于2个100/1000Base-x SFP光口</w:t>
            </w:r>
            <w:r/>
          </w:p>
        </w:tc>
      </w:tr>
      <w:tr>
        <w:trPr>
          <w:jc w:val="center"/>
          <w:trHeight w:val="676"/>
        </w:trPr>
        <w:tc>
          <w:tcPr>
            <w:tcW w:w="1357" w:type="dxa"/>
            <w:vAlign w:val="center"/>
            <w:vMerge w:val="continue"/>
            <w:textDirection w:val="lrTb"/>
            <w:noWrap w:val="false"/>
          </w:tcPr>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r>
            <w:r/>
          </w:p>
        </w:tc>
        <w:tc>
          <w:tcPr>
            <w:tcW w:w="7156" w:type="dxa"/>
            <w:vAlign w:val="center"/>
            <w:textDirection w:val="lrTb"/>
            <w:noWrap w:val="false"/>
          </w:tcPr>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背板带宽不小于52Gbps，包转发率不小于39Mpps</w:t>
            </w:r>
            <w:r/>
          </w:p>
        </w:tc>
      </w:tr>
      <w:tr>
        <w:trPr>
          <w:jc w:val="center"/>
          <w:trHeight w:val="434"/>
        </w:trPr>
        <w:tc>
          <w:tcPr>
            <w:tcW w:w="1357" w:type="dxa"/>
            <w:vAlign w:val="center"/>
            <w:vMerge w:val="continue"/>
            <w:textDirection w:val="lrTb"/>
            <w:noWrap w:val="false"/>
          </w:tcPr>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r>
            <w:r/>
          </w:p>
        </w:tc>
        <w:tc>
          <w:tcPr>
            <w:tcW w:w="7156" w:type="dxa"/>
            <w:vAlign w:val="center"/>
            <w:textDirection w:val="lrTb"/>
            <w:noWrap w:val="false"/>
          </w:tcPr>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VLAN支持4K VLAN，支持管理VLAN</w:t>
            </w:r>
            <w:r/>
          </w:p>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QOS支持SP、WRR、SP+WRR三种调度方式，支持每端口8个队列，802.1p/DSCP优先级调度</w:t>
            </w:r>
            <w:r/>
          </w:p>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组播管理支持IGMP Snooping，最多支持 510个组播组</w:t>
            </w:r>
            <w:r/>
          </w:p>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网络管理支持SNMP v1/v2c/v3，支持WEB网管，支持Telnet，支持DHCP-client，支持NTP时钟，支持一键还原纠错</w:t>
            </w:r>
            <w:r/>
          </w:p>
          <w:p>
            <w:pPr>
              <w:numPr>
                <w:ilvl w:val="0"/>
                <w:numId w:val="0"/>
              </w:numPr>
              <w:jc w:val="left"/>
              <w:widowControl/>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hi-IN"/>
              </w:rPr>
              <w:t xml:space="preserve">安全管理支持硬件ACL，支持基于端口的MAC过滤，支持端口风暴抑制，支持SSL</w:t>
            </w:r>
            <w:r/>
          </w:p>
        </w:tc>
      </w:tr>
      <w:tr>
        <w:trPr>
          <w:jc w:val="center"/>
          <w:trHeight w:val="434"/>
        </w:trPr>
        <w:tc>
          <w:tcPr>
            <w:tcW w:w="1357" w:type="dxa"/>
            <w:vAlign w:val="center"/>
            <w:textDirection w:val="lrTb"/>
            <w:noWrap w:val="false"/>
          </w:tcPr>
          <w:p>
            <w:pPr>
              <w:jc w:val="center"/>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ar-SA"/>
              </w:rPr>
              <w:t xml:space="preserve">设备维护服务</w:t>
            </w:r>
            <w:r/>
          </w:p>
        </w:tc>
        <w:tc>
          <w:tcPr>
            <w:tcW w:w="7156" w:type="dxa"/>
            <w:vAlign w:val="center"/>
            <w:textDirection w:val="lrTb"/>
            <w:noWrap w:val="false"/>
          </w:tcPr>
          <w:p>
            <w:pPr>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ar-SA"/>
              </w:rPr>
              <w:t xml:space="preserve">每月定期现场设备硬件健康巡检，每半年机房运行环境评估服务，按需进行关键业务系统高可用演练支持服务，日常系统维护流程的咨询与评估服务，日常对其他未出保设备的厂商支持协调工作</w:t>
            </w:r>
            <w:r/>
          </w:p>
        </w:tc>
      </w:tr>
      <w:tr>
        <w:trPr>
          <w:jc w:val="center"/>
          <w:trHeight w:val="434"/>
        </w:trPr>
        <w:tc>
          <w:tcPr>
            <w:tcW w:w="1357" w:type="dxa"/>
            <w:vAlign w:val="center"/>
            <w:textDirection w:val="lrTb"/>
            <w:noWrap w:val="false"/>
          </w:tcPr>
          <w:p>
            <w:pPr>
              <w:jc w:val="center"/>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ar-SA"/>
              </w:rPr>
              <w:t xml:space="preserve">设备巡检服务</w:t>
            </w:r>
            <w:r/>
          </w:p>
        </w:tc>
        <w:tc>
          <w:tcPr>
            <w:tcW w:w="7156" w:type="dxa"/>
            <w:vAlign w:val="center"/>
            <w:textDirection w:val="lrTb"/>
            <w:noWrap w:val="false"/>
          </w:tcPr>
          <w:p>
            <w:pPr>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ar-SA"/>
              </w:rPr>
              <w:t xml:space="preserve">重大节假日前设备全面健康检查，包括机房设备及供电系统、UPS系统、精密空调系统等设备，及时发现设备隐患，排除故障。中标方应确保所有配套设备安全稳定运行，如出现故障应第一时间进行免费维修或更换，不得影响用户正常使用</w:t>
            </w:r>
            <w:r/>
          </w:p>
        </w:tc>
      </w:tr>
      <w:tr>
        <w:trPr>
          <w:jc w:val="center"/>
          <w:trHeight w:val="434"/>
        </w:trPr>
        <w:tc>
          <w:tcPr>
            <w:tcW w:w="1357" w:type="dxa"/>
            <w:vAlign w:val="center"/>
            <w:textDirection w:val="lrTb"/>
            <w:noWrap w:val="false"/>
          </w:tcPr>
          <w:p>
            <w:pPr>
              <w:jc w:val="center"/>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ar-SA"/>
              </w:rPr>
              <w:t xml:space="preserve">网络运维服务</w:t>
            </w:r>
            <w:r/>
          </w:p>
        </w:tc>
        <w:tc>
          <w:tcPr>
            <w:tcW w:w="7156" w:type="dxa"/>
            <w:vAlign w:val="center"/>
            <w:textDirection w:val="lrTb"/>
            <w:noWrap w:val="false"/>
          </w:tcPr>
          <w:p>
            <w:pPr>
              <w:rPr>
                <w:rFonts w:hint="eastAsia" w:ascii="宋体" w:hAnsi="宋体" w:eastAsia="宋体" w:cs="宋体"/>
                <w:sz w:val="24"/>
                <w:szCs w:val="24"/>
                <w:lang w:val="en-US" w:eastAsia="zh-CN" w:bidi="hi-IN"/>
              </w:rPr>
            </w:pPr>
            <w:r>
              <w:rPr>
                <w:rFonts w:hint="eastAsia" w:ascii="宋体" w:hAnsi="宋体" w:eastAsia="宋体" w:cs="宋体"/>
                <w:sz w:val="24"/>
                <w:szCs w:val="24"/>
                <w:lang w:val="en-US" w:eastAsia="zh-CN" w:bidi="ar-SA"/>
              </w:rPr>
              <w:t xml:space="preserve">成立网络运维小组，协助区行政中心各入驻单位完成相关网络及设备的安装、调试、配置、安全加固等操作。定期开展网络稳定性及安全性检查，确保电子政务外网及区行政中心网络的安全、稳定运行</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7"/>
        </w:numPr>
        <w:ind w:left="425" w:hanging="425"/>
        <w:spacing w:line="360" w:lineRule="auto"/>
        <w:rPr>
          <w:rFonts w:hint="eastAsia" w:ascii="宋体" w:hAnsi="宋体" w:eastAsia="宋体" w:cs="宋体"/>
          <w:b/>
          <w:bCs/>
          <w:i/>
          <w:iCs/>
          <w:sz w:val="24"/>
          <w:szCs w:val="24"/>
          <w:u w:val="single"/>
          <w:lang w:val="en-US" w:eastAsia="zh-CN" w:bidi="ar-SA"/>
        </w:rPr>
        <w:outlineLvl w:val="2"/>
      </w:pPr>
      <w:r>
        <w:rPr>
          <w:rFonts w:hint="eastAsia" w:ascii="宋体" w:hAnsi="宋体" w:eastAsia="宋体" w:cs="宋体"/>
          <w:b/>
          <w:bCs/>
          <w:sz w:val="24"/>
          <w:szCs w:val="24"/>
          <w:lang w:val="en-US" w:eastAsia="zh-CN" w:bidi="ar-SA"/>
        </w:rPr>
        <w:t xml:space="preserve">总体要求</w:t>
      </w:r>
      <w:r/>
    </w:p>
    <w:p>
      <w:pPr>
        <w:numPr>
          <w:ilvl w:val="0"/>
          <w:numId w:val="0"/>
        </w:numPr>
        <w:ind w:firstLine="480"/>
        <w:spacing w:line="360" w:lineRule="auto"/>
        <w:rPr>
          <w:rFonts w:hint="eastAsia" w:ascii="宋体" w:hAnsi="宋体" w:eastAsia="宋体" w:cs="宋体"/>
          <w:b/>
          <w:bCs/>
          <w:i/>
          <w:iCs/>
          <w:sz w:val="24"/>
          <w:szCs w:val="24"/>
          <w:u w:val="single"/>
          <w:lang w:val="en-US" w:eastAsia="zh-CN" w:bidi="ar-SA"/>
        </w:rPr>
        <w:outlineLvl w:val="2"/>
      </w:pPr>
      <w:r>
        <w:rPr>
          <w:rFonts w:hint="eastAsia" w:ascii="宋体" w:hAnsi="宋体" w:eastAsia="宋体" w:cs="宋体"/>
          <w:b w:val="0"/>
          <w:bCs w:val="0"/>
          <w:i/>
          <w:iCs/>
          <w:sz w:val="24"/>
          <w:szCs w:val="24"/>
          <w:u w:val="single"/>
          <w:lang w:val="en-US" w:eastAsia="zh-CN" w:bidi="ar-SA"/>
        </w:rPr>
        <w:t xml:space="preserve">（1）所有提供的系统软件及配套设备需支持国产化要求，在服务期限内提供免费维保服务，并有相应的功能版本升级和技术支持服务</w:t>
      </w:r>
      <w:r>
        <w:rPr>
          <w:rFonts w:hint="eastAsia" w:ascii="宋体" w:hAnsi="宋体" w:eastAsia="宋体" w:cs="宋体"/>
          <w:b/>
          <w:bCs/>
          <w:i/>
          <w:iCs/>
          <w:sz w:val="24"/>
          <w:szCs w:val="24"/>
          <w:u w:val="single"/>
          <w:lang w:val="en-US" w:eastAsia="zh-CN" w:bidi="ar-SA"/>
        </w:rPr>
        <w:t xml:space="preserve">（投标人需提供承诺函,格式自拟，原件扫描上传）</w:t>
      </w:r>
      <w:r/>
    </w:p>
    <w:p>
      <w:pPr>
        <w:ind w:firstLine="480"/>
        <w:spacing w:line="360" w:lineRule="auto"/>
        <w:rPr>
          <w:rFonts w:hint="eastAsia" w:ascii="宋体" w:hAnsi="宋体" w:eastAsia="宋体" w:cs="宋体"/>
          <w:i/>
          <w:iCs/>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cs="宋体"/>
          <w:i/>
          <w:iCs/>
          <w:sz w:val="24"/>
          <w:szCs w:val="24"/>
          <w:highlight w:val="none"/>
          <w:u w:val="single"/>
          <w:lang w:val="en-US" w:eastAsia="zh-CN" w:bidi="ar-SA"/>
        </w:rPr>
        <w:t xml:space="preserve">（2）</w:t>
      </w:r>
      <w:r>
        <w:rPr>
          <w:rFonts w:hint="eastAsia" w:ascii="宋体" w:hAnsi="宋体" w:eastAsia="宋体" w:cs="宋体"/>
          <w:i/>
          <w:iCs/>
          <w:sz w:val="24"/>
          <w:szCs w:val="24"/>
          <w:highlight w:val="none"/>
          <w:u w:val="single"/>
          <w:lang w:val="en-US" w:eastAsia="zh-CN" w:bidi="ar-SA"/>
        </w:rPr>
        <w:t xml:space="preserve">为保证本项目顺利实施，投标供应商须</w:t>
      </w:r>
      <w:r>
        <w:rPr>
          <w:rFonts w:hint="eastAsia" w:ascii="宋体" w:hAnsi="宋体" w:cs="宋体"/>
          <w:i/>
          <w:iCs/>
          <w:sz w:val="24"/>
          <w:szCs w:val="24"/>
          <w:highlight w:val="none"/>
          <w:u w:val="single"/>
          <w:lang w:val="en-US" w:eastAsia="zh-CN" w:bidi="ar-SA"/>
        </w:rPr>
        <w:t xml:space="preserve">提供</w:t>
      </w:r>
      <w:r>
        <w:rPr>
          <w:rFonts w:hint="eastAsia" w:ascii="宋体" w:hAnsi="宋体" w:eastAsia="宋体" w:cs="宋体"/>
          <w:i/>
          <w:iCs/>
          <w:sz w:val="24"/>
          <w:szCs w:val="24"/>
          <w:highlight w:val="none"/>
          <w:u w:val="single"/>
          <w:lang w:val="en-US" w:eastAsia="zh-CN" w:bidi="ar-SA"/>
        </w:rPr>
        <w:t xml:space="preserve">网络覆盖及网络信号传输畅通满足本项目采购需求</w:t>
      </w:r>
      <w:r>
        <w:rPr>
          <w:rFonts w:hint="eastAsia" w:ascii="宋体" w:hAnsi="宋体" w:cs="宋体"/>
          <w:i/>
          <w:iCs/>
          <w:sz w:val="24"/>
          <w:szCs w:val="24"/>
          <w:highlight w:val="none"/>
          <w:u w:val="single"/>
          <w:lang w:val="en-US" w:eastAsia="zh-CN" w:bidi="ar-SA"/>
        </w:rPr>
        <w:t xml:space="preserve">的证明材料</w:t>
      </w:r>
      <w:r>
        <w:rPr>
          <w:rFonts w:hint="eastAsia" w:ascii="宋体" w:hAnsi="宋体" w:eastAsia="宋体" w:cs="宋体"/>
          <w:i/>
          <w:iCs/>
          <w:sz w:val="24"/>
          <w:szCs w:val="24"/>
          <w:highlight w:val="none"/>
          <w:u w:val="single"/>
          <w:lang w:val="en-US" w:eastAsia="zh-CN" w:bidi="ar-SA"/>
        </w:rPr>
        <w:t xml:space="preserve">。</w:t>
      </w:r>
      <w:r>
        <w:rPr>
          <w:rFonts w:hint="eastAsia" w:ascii="宋体" w:hAnsi="宋体" w:eastAsia="宋体" w:cs="宋体"/>
          <w:b/>
          <w:bCs/>
          <w:i/>
          <w:iCs/>
          <w:sz w:val="24"/>
          <w:szCs w:val="24"/>
          <w:highlight w:val="none"/>
          <w:u w:val="single"/>
          <w:lang w:val="en-US" w:eastAsia="zh-CN" w:bidi="ar-SA"/>
        </w:rPr>
        <w:t xml:space="preserve">（投标人需提供</w:t>
      </w:r>
      <w:r>
        <w:rPr>
          <w:rFonts w:hint="eastAsia" w:ascii="宋体" w:hAnsi="宋体" w:cs="宋体"/>
          <w:b/>
          <w:bCs/>
          <w:i/>
          <w:iCs/>
          <w:sz w:val="24"/>
          <w:szCs w:val="24"/>
          <w:highlight w:val="none"/>
          <w:u w:val="single"/>
          <w:lang w:val="en-US" w:eastAsia="zh-CN" w:bidi="ar-SA"/>
        </w:rPr>
        <w:t xml:space="preserve">证明材料</w:t>
      </w:r>
      <w:r>
        <w:rPr>
          <w:rFonts w:hint="eastAsia" w:ascii="宋体" w:hAnsi="宋体" w:eastAsia="宋体" w:cs="宋体"/>
          <w:b/>
          <w:bCs/>
          <w:i/>
          <w:iCs/>
          <w:sz w:val="24"/>
          <w:szCs w:val="24"/>
          <w:highlight w:val="none"/>
          <w:u w:val="single"/>
          <w:lang w:val="en-US" w:eastAsia="zh-CN" w:bidi="ar-SA"/>
        </w:rPr>
        <w:t xml:space="preserve">，原件扫描上传）</w:t>
      </w:r>
      <w:r/>
    </w:p>
    <w:p>
      <w:pPr>
        <w:pStyle w:val="708"/>
        <w:numPr>
          <w:ilvl w:val="0"/>
          <w:numId w:val="0"/>
        </w:numPr>
        <w:rPr>
          <w:rFonts w:hint="eastAsia"/>
          <w:lang w:val="en-US" w:eastAsia="zh-CN"/>
        </w:rPr>
      </w:pPr>
      <w:r>
        <w:rPr>
          <w:rFonts w:hint="eastAsia"/>
          <w:lang w:val="en-US" w:eastAsia="zh-CN"/>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7"/>
        </w:numPr>
        <w:ind w:left="425" w:hanging="425"/>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技术方案</w:t>
      </w:r>
      <w:r/>
    </w:p>
    <w:tbl>
      <w:tblPr>
        <w:tblStyle w:val="707"/>
        <w:tblW w:w="884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1"/>
        <w:gridCol w:w="7388"/>
      </w:tblGrid>
      <w:tr>
        <w:trPr>
          <w:jc w:val="center"/>
        </w:trPr>
        <w:tc>
          <w:tcPr>
            <w:tcW w:w="1461"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类别</w:t>
            </w:r>
            <w:r/>
          </w:p>
        </w:tc>
        <w:tc>
          <w:tcPr>
            <w:tcW w:w="7388"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指标要求</w:t>
            </w:r>
            <w:r/>
          </w:p>
        </w:tc>
      </w:tr>
      <w:tr>
        <w:trPr>
          <w:jc w:val="center"/>
        </w:trPr>
        <w:tc>
          <w:tcPr>
            <w:tcW w:w="146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总体方案</w:t>
            </w:r>
            <w:r/>
          </w:p>
        </w:tc>
        <w:tc>
          <w:tcPr>
            <w:tcW w:w="7388" w:type="dxa"/>
            <w:vAlign w:val="center"/>
            <w:textDirection w:val="lrTb"/>
            <w:noWrap w:val="false"/>
          </w:tcPr>
          <w:p>
            <w:pPr>
              <w:rPr>
                <w:rFonts w:hint="eastAsia" w:ascii="宋体" w:hAnsi="宋体" w:eastAsia="宋体" w:cs="宋体"/>
                <w:i/>
                <w:iCs/>
                <w:sz w:val="24"/>
                <w:szCs w:val="24"/>
                <w:lang w:val="en-US" w:eastAsia="zh-CN" w:bidi="ar-SA"/>
              </w:rPr>
            </w:pPr>
            <w:r>
              <w:rPr>
                <w:rFonts w:hint="eastAsia" w:ascii="宋体" w:hAnsi="宋体" w:eastAsia="宋体" w:cs="宋体"/>
                <w:sz w:val="24"/>
                <w:szCs w:val="24"/>
                <w:lang w:val="en-US" w:eastAsia="zh-CN" w:bidi="ar-SA"/>
              </w:rPr>
              <w:t xml:space="preserve">投标人需要在充分了解区电子政务网的基础上，根据本次项目采购文件服务要求，提供项目总体方案（包括但不限于建设总体思路、网络拓扑设计、组网技术说明等）。对区电子政务网有丰富的运维经验，深入调研，对应用现状描述、建设需求理解准确，提供的解决方案，技术先进、描述详尽。</w:t>
            </w:r>
            <w:r/>
          </w:p>
        </w:tc>
      </w:tr>
      <w:tr>
        <w:trPr>
          <w:jc w:val="center"/>
        </w:trPr>
        <w:tc>
          <w:tcPr>
            <w:tcW w:w="146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信息安全防护方案</w:t>
            </w:r>
            <w:r/>
          </w:p>
        </w:tc>
        <w:tc>
          <w:tcPr>
            <w:tcW w:w="7388"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投标人需在充分了解区电子政务网的基础上，根据“等保三级”要求，详细描述信息安全防护体系的技术方案，方案要求设计合理，有完整网络拓朴图，技术可行性强，满足“等保三级”要求。</w:t>
            </w:r>
            <w:r/>
          </w:p>
        </w:tc>
      </w:tr>
      <w:tr>
        <w:trPr>
          <w:jc w:val="center"/>
        </w:trPr>
        <w:tc>
          <w:tcPr>
            <w:tcW w:w="146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“零信任”安全管控实施方案</w:t>
            </w:r>
            <w:r/>
          </w:p>
        </w:tc>
        <w:tc>
          <w:tcPr>
            <w:tcW w:w="7388"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投标人需根据电子政务外网“一机两网”管控相关要求，详细描述“零信任”安全管控的技术方案，方案满足电子政务外网接入规范要求《GW0206-2014 接入政务外网的局域网安全技术规范》，实现对访问政务外网的终端进行身份鉴别、准入控制和安全审计功能，方案要求细致全面合理，技术可行性强，满足电子政务外网“一机两网”管控要求，同时提供“零信任”实施保障方案，方案包含实施、培训和使用保障等相关内容。</w:t>
            </w:r>
            <w:r/>
          </w:p>
        </w:tc>
      </w:tr>
      <w:tr>
        <w:trPr>
          <w:jc w:val="center"/>
        </w:trPr>
        <w:tc>
          <w:tcPr>
            <w:tcW w:w="1461"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项目实施方案</w:t>
            </w:r>
            <w:r/>
          </w:p>
        </w:tc>
        <w:tc>
          <w:tcPr>
            <w:tcW w:w="7388"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应根据招标文件要求提供具体详实的项目实施方案（包括但不限于施工组织、施工计划、技术人员配置、相关软硬件设备配备等）。投标人拟投入本项目的实施小组组织机构齐全，各项制度健全，责任分工明确，拟选派至少1名项目经理具备同类项目实施经验。</w:t>
            </w:r>
            <w:r/>
          </w:p>
          <w:p>
            <w:pPr>
              <w:rPr>
                <w:rFonts w:hint="eastAsia" w:ascii="宋体" w:hAnsi="宋体" w:eastAsia="宋体" w:cs="宋体"/>
                <w:iCs/>
                <w:sz w:val="24"/>
                <w:szCs w:val="24"/>
                <w:lang w:val="en-US" w:eastAsia="zh-CN" w:bidi="ar-SA"/>
              </w:rPr>
            </w:pPr>
            <w:r>
              <w:rPr>
                <w:rFonts w:hint="eastAsia" w:ascii="宋体" w:hAnsi="宋体" w:eastAsia="宋体" w:cs="宋体"/>
                <w:sz w:val="24"/>
                <w:szCs w:val="24"/>
                <w:lang w:val="en-US" w:eastAsia="zh-CN" w:bidi="ar-SA"/>
              </w:rPr>
              <w:t xml:space="preserve">实施时间要求：</w:t>
            </w:r>
            <w:r>
              <w:rPr>
                <w:rFonts w:hint="eastAsia" w:ascii="宋体" w:hAnsi="宋体" w:eastAsia="宋体" w:cs="宋体"/>
                <w:iCs/>
                <w:sz w:val="24"/>
                <w:szCs w:val="24"/>
                <w:lang w:val="en-US" w:eastAsia="zh-CN" w:bidi="ar-SA"/>
              </w:rPr>
              <w:t xml:space="preserve">自中标日起，在一个月内完成实施工作。</w:t>
            </w:r>
            <w:r/>
          </w:p>
        </w:tc>
      </w:tr>
      <w:tr>
        <w:trPr>
          <w:jc w:val="center"/>
        </w:trPr>
        <w:tc>
          <w:tcPr>
            <w:tcW w:w="1461"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项目管理方案</w:t>
            </w:r>
            <w:r/>
          </w:p>
        </w:tc>
        <w:tc>
          <w:tcPr>
            <w:tcW w:w="7388"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管理方案（包括但不限于项目管理环节、管理人员配备、运维服务体系、主动巡检计划、备品备件服务等）。每月向采购人提供通信线路运行质量报告，（报告内容包括但不限于通信线路的基础信息、各线路的光衰、网络时延、丢包率等状态信息），确保通信线路各项运行指标正常。</w:t>
            </w:r>
            <w:r/>
          </w:p>
        </w:tc>
      </w:tr>
      <w:tr>
        <w:trPr>
          <w:jc w:val="center"/>
        </w:trPr>
        <w:tc>
          <w:tcPr>
            <w:tcW w:w="1461"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互联网出口线路割接方案</w:t>
            </w:r>
            <w:r/>
          </w:p>
        </w:tc>
        <w:tc>
          <w:tcPr>
            <w:tcW w:w="7388"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对于既有线路需进行割接的，中标人需提供详细割接方案，割接方案中需详细描述割接动作的各个步骤和所需时间，割接步骤安排合理，可操作性强，并要求达到</w:t>
            </w:r>
            <w:r>
              <w:rPr>
                <w:rFonts w:hint="eastAsia" w:ascii="宋体" w:hAnsi="宋体" w:eastAsia="宋体" w:cs="宋体"/>
                <w:iCs/>
                <w:sz w:val="24"/>
                <w:szCs w:val="24"/>
                <w:lang w:val="en-US" w:eastAsia="zh-CN" w:bidi="ar-SA"/>
              </w:rPr>
              <w:t xml:space="preserve">原线路及业务系统的无缝衔接，实施过程中不得影响现有业务的正常运行和电子政务网、互联网的正常使用</w:t>
            </w:r>
            <w:r>
              <w:rPr>
                <w:rFonts w:hint="eastAsia" w:ascii="宋体" w:hAnsi="宋体" w:eastAsia="宋体" w:cs="宋体"/>
                <w:sz w:val="24"/>
                <w:szCs w:val="24"/>
                <w:lang w:val="en-US" w:eastAsia="zh-CN" w:bidi="ar-SA"/>
              </w:rPr>
              <w:t xml:space="preserve">。</w:t>
            </w:r>
            <w:r/>
          </w:p>
        </w:tc>
      </w:tr>
      <w:tr>
        <w:trPr>
          <w:jc w:val="center"/>
        </w:trPr>
        <w:tc>
          <w:tcPr>
            <w:tcW w:w="1461"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电子政务外网业务系统割接方案</w:t>
            </w:r>
            <w:r/>
          </w:p>
        </w:tc>
        <w:tc>
          <w:tcPr>
            <w:tcW w:w="7388"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对于既有业务系统因互联网出口线路割接需更换业务系统互联网ip地址的，中标人需提供详细业务割接方案，割接方案中需详细描述割接动作的各个步骤和所需时间，割接步骤安排合理，可操作性强，并要求</w:t>
            </w:r>
            <w:r>
              <w:rPr>
                <w:rFonts w:hint="eastAsia" w:ascii="宋体" w:hAnsi="宋体" w:eastAsia="宋体" w:cs="宋体"/>
                <w:iCs/>
                <w:sz w:val="24"/>
                <w:szCs w:val="24"/>
                <w:lang w:val="en-US" w:eastAsia="zh-CN" w:bidi="ar-SA"/>
              </w:rPr>
              <w:t xml:space="preserve">实施过程中不得影响现有业务的正常运行和电子政务外网、互联网的正常使用</w:t>
            </w:r>
            <w:r>
              <w:rPr>
                <w:rFonts w:hint="eastAsia" w:ascii="宋体" w:hAnsi="宋体" w:eastAsia="宋体" w:cs="宋体"/>
                <w:sz w:val="24"/>
                <w:szCs w:val="24"/>
                <w:lang w:val="en-US" w:eastAsia="zh-CN" w:bidi="ar-SA"/>
              </w:rPr>
              <w:t xml:space="preserve">。</w:t>
            </w:r>
            <w:r/>
          </w:p>
        </w:tc>
      </w:tr>
      <w:tr>
        <w:trPr>
          <w:jc w:val="center"/>
        </w:trPr>
        <w:tc>
          <w:tcPr>
            <w:tcW w:w="1461"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应急保障方案</w:t>
            </w:r>
            <w:r/>
          </w:p>
        </w:tc>
        <w:tc>
          <w:tcPr>
            <w:tcW w:w="7388"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依据投标人针对本项目线路安全稳定运行而提供的应急保障方案（包含但不限于应急处理流程、应急处置方案、应急保障措施等）。</w:t>
            </w:r>
            <w:r/>
          </w:p>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中标人需根据采购人的要求，及时派出技术维护人员到重要保障任务现场提供服务保障，遇有重要安保任务（重大活动、会议等），需提前检查线路及设备，并配备现场值守人员，遇到网络故障立即处置。</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numPr>
          <w:ilvl w:val="0"/>
          <w:numId w:val="7"/>
        </w:numPr>
        <w:ind w:left="425" w:hanging="425"/>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售后服务要求</w:t>
      </w:r>
      <w:r/>
    </w:p>
    <w:tbl>
      <w:tblPr>
        <w:tblStyle w:val="707"/>
        <w:tblW w:w="87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7296"/>
      </w:tblGrid>
      <w:tr>
        <w:trPr>
          <w:jc w:val="center"/>
        </w:trPr>
        <w:tc>
          <w:tcPr>
            <w:tcW w:w="1455"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W w:w="7296"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指标要求</w:t>
            </w:r>
            <w:r/>
          </w:p>
        </w:tc>
      </w:tr>
      <w:tr>
        <w:trPr>
          <w:jc w:val="center"/>
        </w:trPr>
        <w:tc>
          <w:tcPr>
            <w:tcW w:w="1455"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售后服务方案要求</w:t>
            </w:r>
            <w:r/>
          </w:p>
        </w:tc>
        <w:tc>
          <w:tcPr>
            <w:tcW w:w="7296"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提供维护服务保障体系和完整合理得售后服务方案，售后服务方案中需包含服务机构、服务内容、响应时间、故障处理、恢复时效、人员力量、支撑保障等内容；对照采购需求售后服务方案内容需全面、详细。</w:t>
            </w:r>
            <w:r/>
          </w:p>
        </w:tc>
      </w:tr>
      <w:tr>
        <w:trPr>
          <w:jc w:val="center"/>
          <w:trHeight w:val="1059"/>
        </w:trPr>
        <w:tc>
          <w:tcPr>
            <w:tcW w:w="1455"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售后服务能力要求</w:t>
            </w:r>
            <w:r/>
          </w:p>
        </w:tc>
        <w:tc>
          <w:tcPr>
            <w:tcW w:w="7296"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投标人需设有7*24小时故障报修受理服务机构，有故障2小时内到达现场，一般故障4小时内解决排除，特殊故障排除最长时间不超过24小时。一般故障指前端设备发生故障，特殊故障指系统软硬件疑难故障。</w:t>
            </w:r>
            <w:r/>
          </w:p>
        </w:tc>
      </w:tr>
      <w:tr>
        <w:trPr>
          <w:jc w:val="center"/>
        </w:trPr>
        <w:tc>
          <w:tcPr>
            <w:tcW w:w="1455"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项目培训方案要求</w:t>
            </w:r>
            <w:r/>
          </w:p>
        </w:tc>
        <w:tc>
          <w:tcPr>
            <w:tcW w:w="7296"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投标人提供详实合理可行和全面的培训方案（包括但不限于培训计划、培训内容等）。</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7"/>
        </w:numPr>
        <w:ind w:left="425" w:hanging="425"/>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质量及实施要求</w:t>
      </w:r>
      <w:r/>
    </w:p>
    <w:tbl>
      <w:tblPr>
        <w:tblStyle w:val="707"/>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7200"/>
      </w:tblGrid>
      <w:tr>
        <w:trPr>
          <w:jc w:val="center"/>
        </w:trPr>
        <w:tc>
          <w:tcPr>
            <w:tcW w:w="1322"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W w:w="7200"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指标要求</w:t>
            </w:r>
            <w:r/>
          </w:p>
        </w:tc>
      </w:tr>
      <w:tr>
        <w:trPr>
          <w:jc w:val="center"/>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7200"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所提供的线路、设备等符合国家及省市相关技术标准</w:t>
            </w:r>
            <w:r/>
          </w:p>
        </w:tc>
      </w:tr>
      <w:tr>
        <w:trPr>
          <w:jc w:val="center"/>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7200"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为保证线路使用和业务的连续性，中标方在本项目实施期间内所产生的所有费用（包含但不仅限于原线路的租用费用、割接过程中所产生的人工费等其他费用）由中标方承担。</w:t>
            </w:r>
            <w:r/>
          </w:p>
        </w:tc>
      </w:tr>
      <w:tr>
        <w:trPr>
          <w:jc w:val="center"/>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7200"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投标方中标后，如因部件停产等原因致使前端设备无法正常供货的，应提不低于原部件性能、功能的产品进行替代并经最终用户同意后继续供货，服务期限内免费提供。</w:t>
            </w:r>
            <w:r/>
          </w:p>
        </w:tc>
      </w:tr>
      <w:tr>
        <w:trPr>
          <w:jc w:val="center"/>
          <w:trHeight w:val="820"/>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7200"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服务期限内，设备发生故障后，投标方驻场工程师及采购人无法自行排除时，投标方应保证尽快派遣更高级别的工程师携带备品备件上门服务，6小时内到达现场处理，若24小时内无法排除故障，须提供备用机器，不得影响使用单位的使用需要。</w:t>
            </w:r>
            <w:r/>
          </w:p>
        </w:tc>
      </w:tr>
      <w:tr>
        <w:trPr>
          <w:jc w:val="center"/>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W w:w="7200"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对建设方提出的合理服务要求，中标人必须即时进行电话、邮件或远程网络支持，并在4小时内到场服务，如不到场，建设方有权自行处理，相关费用由中标方负责。</w:t>
            </w:r>
            <w:r/>
          </w:p>
        </w:tc>
      </w:tr>
      <w:tr>
        <w:trPr>
          <w:jc w:val="center"/>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W w:w="7200"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本项目自中标日起，在一个月内完成实施工作，中标方须保证与原线路及业务系统的无缝衔接</w:t>
            </w:r>
            <w:r>
              <w:rPr>
                <w:rFonts w:hint="eastAsia" w:ascii="宋体" w:hAnsi="宋体" w:eastAsia="宋体" w:cs="宋体"/>
                <w:sz w:val="24"/>
                <w:szCs w:val="24"/>
                <w:highlight w:val="none"/>
                <w:lang w:val="en-US" w:eastAsia="zh-CN" w:bidi="ar-SA"/>
              </w:rPr>
              <w:t xml:space="preserve">（对接联系人：全爱国，联系方式：</w:t>
            </w:r>
            <w:r>
              <w:rPr>
                <w:rFonts w:hint="eastAsia" w:ascii="宋体" w:hAnsi="宋体"/>
                <w:color w:val="000000" w:themeColor="text1"/>
                <w:sz w:val="24"/>
                <w:szCs w:val="24"/>
                <w:highlight w:val="none"/>
                <w14:textFill>
                  <w14:solidFill>
                    <w14:schemeClr w14:val="tx1"/>
                  </w14:solidFill>
                </w14:textFill>
              </w:rPr>
              <w:t xml:space="preserve">0514-</w:t>
            </w:r>
            <w:r>
              <w:rPr>
                <w:rFonts w:hint="eastAsia" w:ascii="宋体" w:hAnsi="宋体"/>
                <w:color w:val="000000" w:themeColor="text1"/>
                <w:sz w:val="24"/>
                <w:szCs w:val="24"/>
                <w:highlight w:val="none"/>
                <w:lang w:eastAsia="zh-CN"/>
                <w14:textFill>
                  <w14:solidFill>
                    <w14:schemeClr w14:val="tx1"/>
                  </w14:solidFill>
                </w14:textFill>
              </w:rPr>
              <w:t xml:space="preserve">86978303</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lang w:val="en-US" w:eastAsia="zh-CN" w:bidi="ar-SA"/>
              </w:rPr>
              <w:t xml:space="preserve">，实施过程中不得影响现有业务的正常运行和电子政务网、互联网的正常使用。如中标后不能实现与原线路及业务系统的无缝衔接</w:t>
            </w:r>
            <w:r>
              <w:rPr>
                <w:rFonts w:hint="eastAsia" w:ascii="宋体" w:hAnsi="宋体" w:eastAsia="宋体" w:cs="宋体"/>
                <w:sz w:val="24"/>
                <w:szCs w:val="24"/>
                <w:highlight w:val="none"/>
                <w:lang w:val="en-US" w:eastAsia="zh-CN" w:bidi="ar-SA"/>
              </w:rPr>
              <w:t xml:space="preserve">，自行承担相应责任</w:t>
            </w:r>
            <w:r>
              <w:rPr>
                <w:rFonts w:hint="eastAsia" w:ascii="宋体" w:hAnsi="宋体" w:eastAsia="宋体" w:cs="宋体"/>
                <w:sz w:val="24"/>
                <w:szCs w:val="24"/>
                <w:lang w:val="en-US" w:eastAsia="zh-CN" w:bidi="ar-SA"/>
              </w:rPr>
              <w:t xml:space="preserve">。</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7"/>
        </w:numPr>
        <w:ind w:left="425" w:hanging="425"/>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综合考核</w:t>
      </w:r>
      <w:r/>
    </w:p>
    <w:p>
      <w:pPr>
        <w:ind w:firstLine="480"/>
        <w:jc w:val="both"/>
        <w:spacing w:before="120" w:after="12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合同期内强化综合考评，建立激励奖惩机制。合同执行期间，采购人对维保服务情况进行综合考评（详见综合评分表）。考评分总分100分，95分为合格，考核评定由采购人业务科室人员进行打分。每阶段考核总分达到95分以上（含95分）为合格，该阶段项目费全额支付；每低于1分，该阶段应支付费扣除1%。</w:t>
      </w:r>
      <w:r/>
    </w:p>
    <w:p>
      <w:pPr>
        <w:ind w:firstLine="482"/>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电子政务外网项目维护综合考核评分表</w:t>
      </w:r>
      <w:r/>
    </w:p>
    <w:p>
      <w:pPr>
        <w:ind w:firstLine="482"/>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   年  月  日-    年  月  日）</w:t>
      </w:r>
      <w:r/>
    </w:p>
    <w:p>
      <w:pPr>
        <w:ind w:firstLine="480"/>
        <w:jc w:val="left"/>
        <w:spacing w:before="120" w:after="120"/>
        <w:widowControl w:val="off"/>
        <w:rPr>
          <w:rFonts w:hint="eastAsia" w:ascii="宋体" w:hAnsi="宋体" w:eastAsia="宋体" w:cs="宋体"/>
          <w:bCs/>
          <w:sz w:val="24"/>
          <w:szCs w:val="24"/>
          <w:u w:val="single"/>
          <w:lang w:val="en-US" w:eastAsia="zh-CN" w:bidi="ar-SA"/>
        </w:rPr>
      </w:pPr>
      <w:r>
        <w:rPr>
          <w:rFonts w:hint="eastAsia" w:ascii="宋体" w:hAnsi="宋体" w:eastAsia="宋体" w:cs="宋体"/>
          <w:bCs/>
          <w:sz w:val="24"/>
          <w:szCs w:val="24"/>
          <w:lang w:val="en-US" w:eastAsia="zh-CN" w:bidi="ar-SA"/>
        </w:rPr>
        <w:t xml:space="preserve">中标商：                            总分：</w:t>
      </w:r>
      <w:r/>
    </w:p>
    <w:tbl>
      <w:tblPr>
        <w:tblStyle w:val="707"/>
        <w:tblW w:w="86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915"/>
        <w:gridCol w:w="2010"/>
        <w:gridCol w:w="2025"/>
        <w:gridCol w:w="1421"/>
        <w:gridCol w:w="1245"/>
      </w:tblGrid>
      <w:tr>
        <w:trPr>
          <w:jc w:val="center"/>
        </w:trPr>
        <w:tc>
          <w:tcPr>
            <w:tcW w:w="1021"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评分项目</w:t>
            </w:r>
            <w:r/>
          </w:p>
        </w:tc>
        <w:tc>
          <w:tcPr>
            <w:tcW w:w="915"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标准分值</w:t>
            </w:r>
            <w:r/>
          </w:p>
        </w:tc>
        <w:tc>
          <w:tcPr>
            <w:tcW w:w="2010"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内容和标准</w:t>
            </w:r>
            <w:r/>
          </w:p>
        </w:tc>
        <w:tc>
          <w:tcPr>
            <w:tcW w:w="2025"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积分方法</w:t>
            </w:r>
            <w:r/>
          </w:p>
        </w:tc>
        <w:tc>
          <w:tcPr>
            <w:tcW w:w="1421"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得分</w:t>
            </w:r>
            <w:r/>
          </w:p>
        </w:tc>
        <w:tc>
          <w:tcPr>
            <w:tcW w:w="1245"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得分详情</w:t>
            </w:r>
            <w:r/>
          </w:p>
        </w:tc>
      </w:tr>
      <w:tr>
        <w:trPr>
          <w:jc w:val="cente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系统、线路巡检</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40</w:t>
            </w:r>
            <w:r/>
          </w:p>
        </w:tc>
        <w:tc>
          <w:tcPr>
            <w:tcW w:w="2010"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工作日检查招标文件中设备、网络连接是否运行正常。每季度至少检查1次所有中标线路是否运行正常，必须有巡检记录（内容包括但不限于：时间、地点、检查人员、设备及网络运行情况）。</w:t>
            </w:r>
            <w:r/>
          </w:p>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巡检记录登记真实、完整。</w:t>
            </w:r>
            <w:r/>
          </w:p>
        </w:tc>
        <w:tc>
          <w:tcPr>
            <w:tcW w:w="202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1、巡检记录登记为正常，但被业主发现设备、线路故障的，每次扣1分。</w:t>
            </w:r>
            <w:r/>
          </w:p>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2、未按时巡查，每次扣1分；因未巡查，致未能及时发现设备或线路故障的，每次扣2分。</w:t>
            </w:r>
            <w:r/>
          </w:p>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总扣分不超过20分。</w:t>
            </w:r>
            <w:r/>
          </w:p>
        </w:tc>
        <w:tc>
          <w:tcPr>
            <w:tcW w:w="14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4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jc w:val="cente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设备安全修复</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w:t>
            </w:r>
            <w:r/>
          </w:p>
        </w:tc>
        <w:tc>
          <w:tcPr>
            <w:tcW w:w="2010"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根据各级网络安全通报、等保测评建议及时完成设备安全漏洞修复。</w:t>
            </w:r>
            <w:r/>
          </w:p>
        </w:tc>
        <w:tc>
          <w:tcPr>
            <w:tcW w:w="202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未按计划完成的，每次扣1分；导致严重后果的，每次扣2分；总扣分不超过20分。</w:t>
            </w:r>
            <w:r/>
          </w:p>
        </w:tc>
        <w:tc>
          <w:tcPr>
            <w:tcW w:w="14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4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jc w:val="cente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故障修复</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25</w:t>
            </w:r>
            <w:r/>
          </w:p>
        </w:tc>
        <w:tc>
          <w:tcPr>
            <w:tcW w:w="2010"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根据项目需求和合同约定对发生的故障及时响应、处理并修复。</w:t>
            </w:r>
            <w:r/>
          </w:p>
        </w:tc>
        <w:tc>
          <w:tcPr>
            <w:tcW w:w="202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障碍未在合同约定时间内修复，每次扣1分；由于障碍未及时处理造成影响的，每次扣2分。总扣分不超过15分。</w:t>
            </w:r>
            <w:r/>
          </w:p>
        </w:tc>
        <w:tc>
          <w:tcPr>
            <w:tcW w:w="14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4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jc w:val="cente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服务质量</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w:t>
            </w:r>
            <w:r/>
          </w:p>
        </w:tc>
        <w:tc>
          <w:tcPr>
            <w:tcW w:w="2010"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与采购人及接入单位沟通态度良好，及时完成</w:t>
            </w:r>
            <w:r>
              <w:rPr>
                <w:rFonts w:hint="eastAsia" w:ascii="宋体" w:hAnsi="宋体" w:eastAsia="宋体" w:cs="宋体"/>
                <w:sz w:val="24"/>
                <w:szCs w:val="24"/>
                <w:lang w:val="en-US" w:eastAsia="zh-CN" w:bidi="ar-SA"/>
              </w:rPr>
              <w:t xml:space="preserve">新增紧急工作任务</w:t>
            </w:r>
            <w:r>
              <w:rPr>
                <w:rFonts w:hint="eastAsia" w:ascii="宋体" w:hAnsi="宋体" w:eastAsia="宋体" w:cs="宋体"/>
                <w:bCs/>
                <w:sz w:val="24"/>
                <w:szCs w:val="24"/>
                <w:lang w:val="en-US" w:eastAsia="zh-CN" w:bidi="ar-SA"/>
              </w:rPr>
              <w:t xml:space="preserve">。</w:t>
            </w:r>
            <w:r/>
          </w:p>
        </w:tc>
        <w:tc>
          <w:tcPr>
            <w:tcW w:w="202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与采购人及接入单位沟通态度不好，接到投诉每次扣1分。总扣分不超过10分。</w:t>
            </w:r>
            <w:r/>
          </w:p>
        </w:tc>
        <w:tc>
          <w:tcPr>
            <w:tcW w:w="14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4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spacing w:line="360" w:lineRule="exact"/>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br w:type="page" w:clear="all"/>
      </w:r>
      <w:r>
        <w:rPr>
          <w:rFonts w:hint="eastAsia" w:ascii="宋体" w:hAnsi="宋体" w:eastAsia="宋体" w:cs="宋体"/>
          <w:b/>
          <w:bCs/>
          <w:sz w:val="24"/>
          <w:szCs w:val="24"/>
          <w:lang w:val="en-US" w:eastAsia="zh-CN" w:bidi="ar-SA"/>
        </w:rPr>
        <w:t xml:space="preserve">分包二：备用线路及配套网络与安全设备和等保测评服务</w:t>
      </w:r>
      <w:r/>
    </w:p>
    <w:p>
      <w:pPr>
        <w:ind w:firstLine="482"/>
        <w:spacing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一、服务需求：</w:t>
      </w:r>
      <w:r/>
    </w:p>
    <w:p>
      <w:pPr>
        <w:ind w:firstLine="480"/>
        <w:spacing w:line="360" w:lineRule="auto"/>
        <w:rPr>
          <w:rFonts w:hint="eastAsia" w:ascii="宋体" w:hAnsi="宋体" w:eastAsia="宋体" w:cs="宋体"/>
          <w:sz w:val="24"/>
          <w:szCs w:val="24"/>
          <w:lang w:val="en-US" w:eastAsia="zh-CN" w:bidi="ar-SA"/>
        </w:rPr>
        <w:pBdr>
          <w:top w:val="none" w:color="auto" w:sz="0" w:space="1"/>
          <w:left w:val="none" w:color="auto" w:sz="0" w:space="4"/>
          <w:bottom w:val="none" w:color="auto" w:sz="0" w:space="1"/>
          <w:right w:val="none" w:color="auto" w:sz="0" w:space="4"/>
        </w:pBdr>
      </w:pPr>
      <w:r>
        <w:rPr>
          <w:rFonts w:hint="eastAsia" w:ascii="宋体" w:hAnsi="宋体" w:eastAsia="宋体" w:cs="宋体"/>
          <w:sz w:val="24"/>
          <w:szCs w:val="24"/>
          <w:lang w:val="en-US" w:eastAsia="zh-CN" w:bidi="ar-SA"/>
        </w:rPr>
        <w:t xml:space="preserve">为了确保江都区电子政务外网安全稳定运行以及满足日益增长的出口带宽需求，结合省市电子政务外网管理工作要求，</w:t>
      </w:r>
      <w:r>
        <w:rPr>
          <w:rFonts w:hint="eastAsia" w:ascii="宋体" w:hAnsi="宋体" w:eastAsia="宋体" w:cs="宋体"/>
          <w:sz w:val="24"/>
          <w:szCs w:val="24"/>
          <w:lang w:val="en-US" w:eastAsia="zh-CN" w:bidi="ar-SA"/>
        </w:rPr>
        <w:t xml:space="preserve">为我区各种政务应用提供可靠、高速、可控的网络环境</w:t>
      </w:r>
      <w:r>
        <w:rPr>
          <w:rFonts w:hint="eastAsia" w:ascii="宋体" w:hAnsi="宋体" w:eastAsia="宋体" w:cs="宋体"/>
          <w:sz w:val="24"/>
          <w:szCs w:val="24"/>
          <w:lang w:val="en-US" w:eastAsia="zh-CN" w:bidi="ar-SA"/>
        </w:rPr>
        <w:t xml:space="preserve">。提供江都区电子政务外网统一互联网出口备用线路和</w:t>
      </w:r>
      <w:r>
        <w:rPr>
          <w:rFonts w:hint="eastAsia" w:ascii="宋体" w:hAnsi="宋体" w:eastAsia="宋体" w:cs="宋体"/>
          <w:sz w:val="24"/>
          <w:szCs w:val="24"/>
          <w:lang w:val="en-US" w:eastAsia="zh-CN" w:bidi="ar-SA"/>
        </w:rPr>
        <w:t xml:space="preserve">设备租赁服务，</w:t>
      </w:r>
      <w:r>
        <w:rPr>
          <w:rFonts w:hint="eastAsia" w:ascii="宋体" w:hAnsi="宋体" w:eastAsia="宋体" w:cs="宋体"/>
          <w:sz w:val="24"/>
          <w:szCs w:val="24"/>
          <w:lang w:val="en-US" w:eastAsia="zh-CN" w:bidi="ar-SA"/>
        </w:rPr>
        <w:t xml:space="preserve">当主用线路网络出现故障时，自动切换至备用线路网络出口以保证电子政务外网互联网出口的稳定运行。同时提供</w:t>
      </w:r>
      <w:r>
        <w:rPr>
          <w:rFonts w:hint="eastAsia" w:ascii="宋体" w:hAnsi="宋体" w:eastAsia="宋体" w:cs="宋体"/>
          <w:sz w:val="24"/>
          <w:szCs w:val="24"/>
          <w:lang w:val="en-US" w:eastAsia="zh-CN" w:bidi="ar-SA"/>
        </w:rPr>
        <w:t xml:space="preserve">电子政务网安全等级保护测评服务。</w:t>
      </w:r>
      <w:r/>
    </w:p>
    <w:p>
      <w:pPr>
        <w:ind w:firstLine="482"/>
        <w:spacing w:line="360" w:lineRule="auto"/>
        <w:rPr>
          <w:rFonts w:hint="eastAsia" w:ascii="宋体" w:hAnsi="宋体" w:eastAsia="宋体" w:cs="宋体"/>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二、采购服务清单：  </w:t>
      </w:r>
      <w:r/>
    </w:p>
    <w:tbl>
      <w:tblPr>
        <w:tblStyle w:val="707"/>
        <w:tblW w:w="85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2965"/>
        <w:gridCol w:w="3086"/>
        <w:gridCol w:w="911"/>
        <w:gridCol w:w="867"/>
      </w:tblGrid>
      <w:tr>
        <w:trPr>
          <w:jc w:val="center"/>
          <w:trHeight w:val="20"/>
        </w:trPr>
        <w:tc>
          <w:tcPr>
            <w:shd w:val="clear" w:color="auto" w:fill="bfbfbf"/>
            <w:tcW w:w="740"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shd w:val="clear" w:color="auto" w:fill="bfbfbf"/>
            <w:tcW w:w="2965"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名称</w:t>
            </w:r>
            <w:r/>
          </w:p>
        </w:tc>
        <w:tc>
          <w:tcPr>
            <w:shd w:val="clear" w:color="auto" w:fill="bfbfbf"/>
            <w:tcW w:w="3086"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配置描述</w:t>
            </w:r>
            <w:r/>
          </w:p>
        </w:tc>
        <w:tc>
          <w:tcPr>
            <w:shd w:val="clear" w:color="auto" w:fill="bfbfbf"/>
            <w:tcW w:w="911"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数量</w:t>
            </w:r>
            <w:r/>
          </w:p>
        </w:tc>
        <w:tc>
          <w:tcPr>
            <w:shd w:val="clear" w:color="auto" w:fill="bfbfbf"/>
            <w:tcW w:w="867" w:type="dxa"/>
            <w:vAlign w:val="top"/>
            <w:textDirection w:val="lrTb"/>
            <w:noWrap w:val="false"/>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sz w:val="24"/>
                <w:szCs w:val="24"/>
                <w:lang w:val="en-US" w:eastAsia="zh-CN" w:bidi="ar-SA"/>
              </w:rPr>
              <w:t xml:space="preserve">单位</w:t>
            </w:r>
            <w:r/>
          </w:p>
        </w:tc>
      </w:tr>
      <w:tr>
        <w:trPr>
          <w:jc w:val="center"/>
          <w:trHeight w:val="385"/>
        </w:trPr>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2965"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互联网出口备用线路</w:t>
            </w:r>
            <w:r/>
          </w:p>
        </w:tc>
        <w:tc>
          <w:tcPr>
            <w:tcW w:w="3086"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详见“技术参数要求”1.1</w:t>
            </w:r>
            <w:r/>
          </w:p>
        </w:tc>
        <w:tc>
          <w:tcPr>
            <w:tcW w:w="91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67"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条</w:t>
            </w:r>
            <w:r/>
          </w:p>
        </w:tc>
      </w:tr>
      <w:tr>
        <w:trPr>
          <w:jc w:val="center"/>
          <w:trHeight w:val="419"/>
        </w:trPr>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tcW w:w="2965"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核心交换机</w:t>
            </w:r>
            <w:r/>
          </w:p>
        </w:tc>
        <w:tc>
          <w:tcPr>
            <w:tcW w:w="3086"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详见“技术参数要求”1.2</w:t>
            </w:r>
            <w:r/>
          </w:p>
        </w:tc>
        <w:tc>
          <w:tcPr>
            <w:tcW w:w="91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867"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台</w:t>
            </w:r>
            <w:r/>
          </w:p>
        </w:tc>
      </w:tr>
      <w:tr>
        <w:trPr>
          <w:jc w:val="center"/>
          <w:trHeight w:val="419"/>
        </w:trPr>
        <w:tc>
          <w:tcPr>
            <w:tcW w:w="740"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p>
        </w:tc>
        <w:tc>
          <w:tcPr>
            <w:tcW w:w="2965" w:type="dxa"/>
            <w:vAlign w:val="center"/>
            <w:textDirection w:val="lrTb"/>
            <w:noWrap w:val="false"/>
          </w:tcPr>
          <w:p>
            <w:pPr>
              <w:ind w:left="425"/>
              <w:rPr>
                <w:rFonts w:hint="eastAsia" w:ascii="宋体" w:hAnsi="宋体" w:eastAsia="宋体" w:cs="宋体"/>
                <w:b w:val="0"/>
                <w:bCs w:val="0"/>
                <w:sz w:val="24"/>
                <w:szCs w:val="24"/>
                <w:highlight w:val="none"/>
                <w:lang w:val="en-US" w:eastAsia="zh-CN" w:bidi="ar-SA"/>
              </w:rPr>
              <w:outlineLvl w:val="2"/>
            </w:pPr>
            <w:r>
              <w:rPr>
                <w:rFonts w:hint="eastAsia" w:ascii="宋体" w:hAnsi="宋体" w:eastAsia="宋体" w:cs="宋体"/>
                <w:b w:val="0"/>
                <w:bCs w:val="0"/>
                <w:sz w:val="24"/>
                <w:szCs w:val="24"/>
                <w:highlight w:val="none"/>
                <w:lang w:val="en-US" w:eastAsia="zh-CN" w:bidi="ar-SA"/>
              </w:rPr>
              <w:t xml:space="preserve">网上行为管理设备</w:t>
            </w:r>
            <w:r/>
          </w:p>
        </w:tc>
        <w:tc>
          <w:tcPr>
            <w:tcW w:w="3086"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详见“技术参数要求”1.3</w:t>
            </w:r>
            <w:r/>
          </w:p>
        </w:tc>
        <w:tc>
          <w:tcPr>
            <w:tcW w:w="911"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w:t>
            </w:r>
            <w:r/>
          </w:p>
        </w:tc>
        <w:tc>
          <w:tcPr>
            <w:tcW w:w="867" w:type="dxa"/>
            <w:vAlign w:val="center"/>
            <w:textDirection w:val="lrTb"/>
            <w:noWrap w:val="false"/>
          </w:tcPr>
          <w:p>
            <w:pPr>
              <w:jc w:val="center"/>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台</w:t>
            </w:r>
            <w:r/>
          </w:p>
        </w:tc>
      </w:tr>
      <w:tr>
        <w:trPr>
          <w:jc w:val="center"/>
          <w:trHeight w:val="419"/>
        </w:trPr>
        <w:tc>
          <w:tcPr>
            <w:tcW w:w="740"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w:t>
            </w:r>
            <w:r/>
          </w:p>
        </w:tc>
        <w:tc>
          <w:tcPr>
            <w:tcW w:w="2965"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
              </w:rPr>
              <w:t xml:space="preserve">电子政务外网等保测评服务</w:t>
            </w:r>
            <w:r/>
          </w:p>
        </w:tc>
        <w:tc>
          <w:tcPr>
            <w:tcW w:w="3086"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详见“技术参数要求”1.4</w:t>
            </w:r>
            <w:r/>
          </w:p>
        </w:tc>
        <w:tc>
          <w:tcPr>
            <w:tcW w:w="911"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867" w:type="dxa"/>
            <w:vAlign w:val="center"/>
            <w:textDirection w:val="lrTb"/>
            <w:noWrap w:val="false"/>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年</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spacing w:line="360" w:lineRule="auto"/>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t xml:space="preserve">三、服务期限：</w:t>
      </w:r>
      <w:r/>
    </w:p>
    <w:p>
      <w:pPr>
        <w:ind w:firstLine="42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三年（36个月），起始日期以合同约定为准。</w:t>
      </w:r>
      <w:r/>
    </w:p>
    <w:p>
      <w:pPr>
        <w:ind w:firstLine="420"/>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2"/>
        <w:spacing w:line="360" w:lineRule="auto"/>
        <w:rPr>
          <w:rFonts w:hint="eastAsia" w:ascii="宋体" w:hAnsi="宋体" w:eastAsia="宋体" w:cs="宋体"/>
          <w:b/>
          <w:bCs/>
          <w:sz w:val="24"/>
          <w:szCs w:val="24"/>
          <w:highlight w:val="red"/>
          <w:lang w:val="en-US" w:eastAsia="zh-CN" w:bidi="ar-SA"/>
        </w:rPr>
        <w:outlineLvl w:val="1"/>
      </w:pPr>
      <w:r>
        <w:rPr>
          <w:rFonts w:hint="eastAsia" w:ascii="宋体" w:hAnsi="宋体" w:eastAsia="宋体" w:cs="宋体"/>
          <w:b/>
          <w:bCs/>
          <w:sz w:val="24"/>
          <w:szCs w:val="24"/>
          <w:lang w:val="en-US" w:eastAsia="zh-CN" w:bidi="ar-SA"/>
        </w:rPr>
        <w:t xml:space="preserve">四、技术参数要求  </w:t>
      </w:r>
      <w:r/>
    </w:p>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numPr>
          <w:ilvl w:val="0"/>
          <w:numId w:val="8"/>
        </w:numPr>
        <w:ind w:left="425" w:hanging="425"/>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设备参数要求</w:t>
      </w:r>
      <w:r/>
    </w:p>
    <w:p>
      <w:pPr>
        <w:numPr>
          <w:ilvl w:val="1"/>
          <w:numId w:val="8"/>
        </w:numPr>
        <w:ind w:left="1260" w:hanging="420"/>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互联网出口备用线路</w:t>
      </w:r>
      <w:r/>
    </w:p>
    <w:tbl>
      <w:tblPr>
        <w:tblStyle w:val="707"/>
        <w:tblW w:w="857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7645"/>
      </w:tblGrid>
      <w:tr>
        <w:trPr>
          <w:jc w:val="center"/>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技术要求</w:t>
            </w:r>
            <w:r/>
          </w:p>
        </w:tc>
      </w:tr>
      <w:tr>
        <w:trPr>
          <w:jc w:val="center"/>
        </w:trPr>
        <w:tc>
          <w:tcPr>
            <w:tcBorders>
              <w:top w:val="single" w:color="auto" w:sz="4" w:space="0"/>
              <w:left w:val="single" w:color="auto" w:sz="4" w:space="0"/>
              <w:right w:val="single" w:color="auto" w:sz="4" w:space="0"/>
            </w:tcBorders>
            <w:tcW w:w="928" w:type="dxa"/>
            <w:vAlign w:val="center"/>
            <w:textDirection w:val="lrTb"/>
            <w:noWrap w:val="false"/>
          </w:tcPr>
          <w:p>
            <w:pPr>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i/>
                <w:iCs/>
                <w:sz w:val="24"/>
                <w:szCs w:val="24"/>
                <w:u w:val="single"/>
                <w:lang w:val="en-US" w:eastAsia="zh-CN" w:bidi="ar-SA"/>
              </w:rPr>
              <w:t xml:space="preserve">提供独享、有效的</w:t>
            </w:r>
            <w:r>
              <w:rPr>
                <w:rFonts w:hint="eastAsia" w:ascii="宋体" w:hAnsi="宋体" w:eastAsia="宋体" w:cs="宋体"/>
                <w:i/>
                <w:iCs/>
                <w:sz w:val="24"/>
                <w:szCs w:val="24"/>
                <w:u w:val="single"/>
                <w:shd w:val="clear" w:color="auto" w:fill="ffffff"/>
                <w:lang w:val="en-US" w:eastAsia="zh-CN" w:bidi="ar-SA"/>
              </w:rPr>
              <w:t xml:space="preserve">互联网</w:t>
            </w:r>
            <w:r>
              <w:rPr>
                <w:rFonts w:hint="eastAsia" w:ascii="宋体" w:hAnsi="宋体" w:eastAsia="宋体" w:cs="宋体"/>
                <w:i/>
                <w:iCs/>
                <w:sz w:val="24"/>
                <w:szCs w:val="24"/>
                <w:u w:val="single"/>
                <w:lang w:val="en-US" w:eastAsia="zh-CN" w:bidi="ar-SA"/>
              </w:rPr>
              <w:t xml:space="preserve">专线，出口带宽≥3</w:t>
            </w:r>
            <w:r>
              <w:rPr>
                <w:rFonts w:hint="eastAsia" w:ascii="宋体" w:hAnsi="宋体" w:eastAsia="宋体" w:cs="宋体"/>
                <w:i/>
                <w:iCs/>
                <w:sz w:val="24"/>
                <w:szCs w:val="24"/>
                <w:u w:val="single"/>
                <w:lang w:val="en-US" w:eastAsia="zh-CN" w:bidi="ar-SA"/>
              </w:rPr>
              <w:t xml:space="preserve"> Gbps</w:t>
            </w:r>
            <w:r>
              <w:rPr>
                <w:rFonts w:hint="eastAsia" w:ascii="宋体" w:hAnsi="宋体" w:eastAsia="宋体" w:cs="宋体"/>
                <w:i/>
                <w:iCs/>
                <w:sz w:val="24"/>
                <w:szCs w:val="24"/>
                <w:u w:val="single"/>
                <w:lang w:val="en-US" w:eastAsia="zh-CN" w:bidi="ar-SA"/>
              </w:rPr>
              <w:t xml:space="preserve">，且上行带宽与下行带宽一致。此带宽</w:t>
            </w:r>
            <w:r>
              <w:rPr>
                <w:rFonts w:hint="eastAsia" w:ascii="宋体" w:hAnsi="宋体" w:eastAsia="宋体" w:cs="宋体"/>
                <w:i/>
                <w:iCs/>
                <w:sz w:val="24"/>
                <w:szCs w:val="24"/>
                <w:u w:val="single"/>
                <w:shd w:val="clear" w:color="auto" w:fill="ffffff"/>
                <w:lang w:val="en-US" w:eastAsia="zh-CN" w:bidi="ar-SA"/>
              </w:rPr>
              <w:t xml:space="preserve">不包含局域网网内带宽。</w:t>
            </w:r>
            <w:r>
              <w:rPr>
                <w:rFonts w:hint="eastAsia" w:ascii="宋体" w:hAnsi="宋体" w:eastAsia="宋体" w:cs="宋体"/>
                <w:b/>
                <w:bCs/>
                <w:i/>
                <w:iCs/>
                <w:sz w:val="24"/>
                <w:szCs w:val="24"/>
                <w:u w:val="single"/>
                <w:shd w:val="clear" w:color="auto" w:fill="ffffff"/>
                <w:lang w:val="en-US" w:eastAsia="zh-CN" w:bidi="ar-SA"/>
              </w:rPr>
              <w:t xml:space="preserve">（投标人需提供承诺函，格式自拟，原件扫描上传）</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提供的互联网出口专线具备国际带宽出口。</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提供运营商设备端和区电子政务外网网络中心端设备互联的公网IP，且保证运营商和区电子政务外网网络中心互联的线路或相关设备故障时，此IP路由不可达。</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所提供的出口线路不允许做任何形式的NAT（Network Address Translation，网络地址转换）。</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i/>
                <w:iCs/>
                <w:sz w:val="24"/>
                <w:szCs w:val="24"/>
                <w:u w:val="single"/>
                <w:lang w:val="en-US" w:eastAsia="zh-CN" w:bidi="ar-SA"/>
              </w:rPr>
              <w:t xml:space="preserve">提供≥20个公网IPv4地址（并保证后期IPv6平滑升级），所提供每一个公网IP都可以开通基于互联网的HTTP等应用服务，并提供ISP备案支持。</w:t>
            </w:r>
            <w:r>
              <w:rPr>
                <w:rFonts w:hint="eastAsia" w:ascii="宋体" w:hAnsi="宋体" w:eastAsia="宋体" w:cs="宋体"/>
                <w:b/>
                <w:bCs/>
                <w:i/>
                <w:iCs/>
                <w:sz w:val="24"/>
                <w:szCs w:val="24"/>
                <w:u w:val="single"/>
                <w:shd w:val="clear" w:color="auto" w:fill="ffffff"/>
                <w:lang w:val="en-US" w:eastAsia="zh-CN" w:bidi="ar-SA"/>
              </w:rPr>
              <w:t xml:space="preserve">（投标人需提供承诺函，格式自拟，原件扫描上传）</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提供中标方到区电子政务外网网络中心端设备上的线路及辅材配件，保证线路可用。</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764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区电子政务外网网络中心的互联网出口线路须连接到运营商（或其区县的）主节点设备上，保证低延迟高速率。接入链路入口以不多于1跳数连接运营商（或其区县的）网络核心层。</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7645"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带宽年可用率≥99.9%。</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7645"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每条接入链路提供稳定传输时延，ping百度等国内大网站的时延≤10ms、时延抖动≤4ms。需提供免费测试服务。测试内容包含网络使用质量、常用网站下载情况等。</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7645"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符合国家法律法规和行业标准要求，保证网络中心及各接入单位使用通信业务安全通畅。</w:t>
            </w:r>
            <w:r/>
          </w:p>
        </w:tc>
      </w:tr>
      <w:tr>
        <w:trPr>
          <w:jc w:val="center"/>
        </w:trPr>
        <w:tc>
          <w:tcPr>
            <w:tcBorders>
              <w:left w:val="single" w:color="auto" w:sz="4" w:space="0"/>
              <w:right w:val="single" w:color="auto" w:sz="4" w:space="0"/>
            </w:tcBorders>
            <w:tcW w:w="92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w:t>
            </w:r>
            <w:r/>
          </w:p>
        </w:tc>
        <w:tc>
          <w:tcPr>
            <w:tcBorders>
              <w:top w:val="single" w:color="auto" w:sz="4" w:space="0"/>
              <w:left w:val="single" w:color="auto" w:sz="4" w:space="0"/>
              <w:bottom w:val="single" w:color="auto" w:sz="4" w:space="0"/>
              <w:right w:val="single" w:color="auto" w:sz="4" w:space="0"/>
            </w:tcBorders>
            <w:tcW w:w="7645" w:type="dxa"/>
            <w:vAlign w:val="top"/>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保证网络线路畅通，7*24小时快速反应，10分钟内响应，2小时到现场，4小时内排除。</w:t>
            </w:r>
            <w:r/>
          </w:p>
        </w:tc>
      </w:tr>
    </w:tbl>
    <w:p>
      <w:pPr>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1"/>
          <w:numId w:val="8"/>
        </w:numPr>
        <w:ind w:left="1260" w:hanging="420"/>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核心交换机   </w:t>
      </w:r>
      <w:r/>
    </w:p>
    <w:tbl>
      <w:tblPr>
        <w:tblStyle w:val="707"/>
        <w:tblW w:w="78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75"/>
        <w:gridCol w:w="4140"/>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技术指标</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指标要求</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双主控、双电源、4个网络板、1块48口万兆光口板  </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业务槽位</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大于等于8</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交换网槽位</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大于等于6</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交换容量(bps)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大于等于32T/80T</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包转发率(pps)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大于等于14400M</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交换架构</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正交网板、Clos交换</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风道类</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标准前后风道</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设备虚拟化</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支持VS（Virtual System）</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支持CSS（Cluster Switch System）</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网络虚拟化</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支持TRILL</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虚拟机感</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支持nCenter</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网络融合</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支持FCoE</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支持DCBX、PFC、ETS</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数据中心互联</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支持EVN</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SDN特性</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支持OPS、虚拟化硬件网关等</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流量分析</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支持Netstream功能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支持sFlow功能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IP路由</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支持RIP、OSPF、ISIS、BGP等IPv4动态路由协议</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支持RIPng、OSPFv3、ISISv6、BGP4+等IPv6动态路由协议</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MPLS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支持MPLS基本功能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支持MPLS VPN/ VPLS /VPLS over GRE</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QoS</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支持基于Layer2、Layer3、Layer4优先级等的组合流分类</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支持ACL、CAR、Remark等动作</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支持PQ、WFQ、PQ+WFQ等队列调度方式</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支持WRED、尾丢弃等拥塞避免机制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支持流量整形</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安全和管理</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支持ICMP实现ping和traceroute功能</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支持RMON</w:t>
            </w:r>
            <w:r/>
          </w:p>
        </w:tc>
      </w:tr>
    </w:tbl>
    <w:p>
      <w:pPr>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lang w:val="en-US" w:eastAsia="zh-CN"/>
        </w:rPr>
      </w:r>
      <w:r/>
    </w:p>
    <w:p>
      <w:pPr>
        <w:rPr>
          <w:rFonts w:hint="eastAsia" w:ascii="宋体" w:hAnsi="宋体" w:eastAsia="宋体" w:cs="宋体"/>
          <w:b/>
          <w:bCs/>
          <w:i/>
          <w:iCs/>
          <w:sz w:val="24"/>
          <w:szCs w:val="24"/>
          <w:u w:val="single"/>
          <w:lang w:eastAsia="zh-CN"/>
        </w:rPr>
      </w:pPr>
      <w:r>
        <w:rPr>
          <w:rFonts w:hint="eastAsia" w:ascii="宋体" w:hAnsi="宋体" w:eastAsia="宋体" w:cs="宋体"/>
          <w:b w:val="0"/>
          <w:bCs w:val="0"/>
          <w:i w:val="0"/>
          <w:iCs w:val="0"/>
          <w:sz w:val="24"/>
          <w:szCs w:val="24"/>
          <w:u w:val="none"/>
          <w:lang w:val="en-US" w:eastAsia="zh-CN"/>
        </w:rPr>
        <w:t xml:space="preserve">1.2.1</w:t>
      </w:r>
      <w:r>
        <w:rPr>
          <w:rFonts w:hint="eastAsia" w:ascii="宋体" w:hAnsi="宋体" w:eastAsia="宋体" w:cs="宋体"/>
          <w:b w:val="0"/>
          <w:bCs w:val="0"/>
          <w:i/>
          <w:iCs/>
          <w:sz w:val="24"/>
          <w:szCs w:val="24"/>
          <w:u w:val="single"/>
        </w:rPr>
        <w:t xml:space="preserve">投标人（供应商）须提供承诺函，承诺设备、服务满足《绿色数据中心政府采购需求标准（试行）》的相关要求</w:t>
      </w:r>
      <w:r>
        <w:rPr>
          <w:rFonts w:hint="eastAsia" w:ascii="宋体" w:hAnsi="宋体" w:eastAsia="宋体" w:cs="宋体"/>
          <w:b/>
          <w:bCs/>
          <w:i/>
          <w:iCs/>
          <w:sz w:val="24"/>
          <w:szCs w:val="24"/>
          <w:u w:val="single"/>
        </w:rPr>
        <w:t xml:space="preserve">(投标人需提供承诺函，格式自拟，原件扫描上传）</w:t>
      </w:r>
      <w:r>
        <w:rPr>
          <w:rFonts w:hint="eastAsia" w:ascii="宋体" w:hAnsi="宋体" w:eastAsia="宋体" w:cs="宋体"/>
          <w:b/>
          <w:bCs/>
          <w:i/>
          <w:iCs/>
          <w:sz w:val="24"/>
          <w:szCs w:val="24"/>
          <w:u w:val="single"/>
          <w:lang w:eastAsia="zh-CN"/>
        </w:rPr>
        <w:t xml:space="preserve">。</w:t>
      </w:r>
      <w:r/>
    </w:p>
    <w:p>
      <w:pPr>
        <w:pStyle w:val="708"/>
        <w:numPr>
          <w:ilvl w:val="0"/>
          <w:numId w:val="0"/>
        </w:numPr>
        <w:ind w:left="420"/>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r>
      <w:r/>
    </w:p>
    <w:tbl>
      <w:tblPr>
        <w:tblStyle w:val="707"/>
        <w:tblW w:w="7815"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2595"/>
        <w:gridCol w:w="1755"/>
        <w:gridCol w:w="2385"/>
      </w:tblGrid>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固定端口以太网交换机能效比值（TEER）</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单路电源输出效率</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单路电源最低功率因数(50%负载下的)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≥0.90</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多路电源输出效率</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100%负载</w:t>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r>
      <w:tr>
        <w:trPr>
          <w:jc w:val="cente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多路电源最低功率因数(50%负载下的)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≥0.90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噪声发射</w:t>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有人值守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 Bels</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9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无人值守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 Bels</w:t>
            </w:r>
            <w:r/>
          </w:p>
        </w:tc>
      </w:tr>
    </w:tbl>
    <w:p>
      <w:pPr>
        <w:pStyle w:val="708"/>
        <w:numPr>
          <w:ilvl w:val="0"/>
          <w:numId w:val="0"/>
        </w:numPr>
        <w:ind w:left="420"/>
        <w:rPr>
          <w:rFonts w:hint="eastAsia" w:ascii="宋体" w:hAnsi="宋体" w:eastAsia="宋体" w:cs="宋体"/>
          <w:b/>
          <w:bCs/>
          <w:i/>
          <w:iCs/>
          <w:sz w:val="24"/>
          <w:szCs w:val="24"/>
          <w:u w:val="single"/>
          <w:lang w:eastAsia="zh-CN"/>
        </w:rPr>
      </w:pPr>
      <w:r>
        <w:rPr>
          <w:rFonts w:hint="eastAsia" w:ascii="宋体" w:hAnsi="宋体" w:eastAsia="宋体" w:cs="宋体"/>
          <w:b/>
          <w:bCs/>
          <w:i/>
          <w:iCs/>
          <w:sz w:val="24"/>
          <w:szCs w:val="24"/>
          <w:u w:val="single"/>
          <w:lang w:eastAsia="zh-CN"/>
        </w:rPr>
      </w:r>
      <w:r/>
    </w:p>
    <w:p>
      <w:pPr>
        <w:rPr>
          <w:rFonts w:hint="eastAsia" w:ascii="宋体" w:hAnsi="宋体" w:eastAsia="宋体" w:cs="宋体"/>
          <w:b/>
          <w:bCs/>
          <w:i/>
          <w:iCs/>
          <w:sz w:val="24"/>
          <w:szCs w:val="24"/>
          <w:u w:val="single"/>
          <w:lang w:val="en-US" w:eastAsia="zh-CN"/>
        </w:rPr>
      </w:pPr>
      <w:r>
        <w:rPr>
          <w:rFonts w:hint="eastAsia" w:ascii="宋体" w:hAnsi="宋体" w:eastAsia="宋体" w:cs="宋体"/>
          <w:b w:val="0"/>
          <w:bCs w:val="0"/>
          <w:i w:val="0"/>
          <w:iCs w:val="0"/>
          <w:sz w:val="24"/>
          <w:szCs w:val="24"/>
          <w:u w:val="none"/>
          <w:lang w:val="en-US" w:eastAsia="zh-CN"/>
        </w:rPr>
        <w:t xml:space="preserve">1.</w:t>
      </w:r>
      <w:r>
        <w:rPr>
          <w:rFonts w:hint="eastAsia" w:ascii="宋体" w:hAnsi="宋体" w:eastAsia="宋体" w:cs="宋体"/>
          <w:b w:val="0"/>
          <w:bCs w:val="0"/>
          <w:i w:val="0"/>
          <w:iCs w:val="0"/>
          <w:sz w:val="24"/>
          <w:szCs w:val="24"/>
          <w:u w:val="none"/>
          <w:lang w:eastAsia="zh-CN"/>
        </w:rPr>
        <w:t xml:space="preserve">2</w:t>
      </w:r>
      <w:r>
        <w:rPr>
          <w:rFonts w:hint="eastAsia" w:ascii="宋体" w:hAnsi="宋体" w:eastAsia="宋体" w:cs="宋体"/>
          <w:b w:val="0"/>
          <w:bCs w:val="0"/>
          <w:i w:val="0"/>
          <w:iCs w:val="0"/>
          <w:sz w:val="24"/>
          <w:szCs w:val="24"/>
          <w:u w:val="none"/>
          <w:lang w:val="en-US" w:eastAsia="zh-CN"/>
        </w:rPr>
        <w:t xml:space="preserve">.2.</w:t>
      </w:r>
      <w:r>
        <w:rPr>
          <w:rFonts w:hint="eastAsia" w:ascii="宋体" w:hAnsi="宋体" w:eastAsia="宋体" w:cs="宋体"/>
          <w:b w:val="0"/>
          <w:bCs w:val="0"/>
          <w:i w:val="0"/>
          <w:iCs w:val="0"/>
          <w:sz w:val="24"/>
          <w:szCs w:val="24"/>
          <w:u w:val="none"/>
          <w:lang w:eastAsia="zh-CN"/>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1"/>
          <w:numId w:val="8"/>
        </w:numPr>
        <w:ind w:left="1260" w:hanging="420"/>
        <w:spacing w:line="360" w:lineRule="auto"/>
        <w:rPr>
          <w:rFonts w:hint="eastAsia" w:ascii="宋体" w:hAnsi="宋体" w:eastAsia="宋体" w:cs="宋体"/>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网上行为管理设备</w:t>
      </w:r>
      <w:r/>
    </w:p>
    <w:tbl>
      <w:tblPr>
        <w:tblStyle w:val="707"/>
        <w:tblW w:w="8668" w:type="dxa"/>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395"/>
      </w:tblGrid>
      <w:tr>
        <w:trPr>
          <w:trHeight w:val="367"/>
        </w:trPr>
        <w:tc>
          <w:tcPr>
            <w:shd w:val="clear" w:color="000000" w:fill="ffffff"/>
            <w:tcW w:w="1273" w:type="dxa"/>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功能项</w:t>
            </w:r>
            <w:r/>
          </w:p>
        </w:tc>
        <w:tc>
          <w:tcPr>
            <w:shd w:val="clear" w:color="000000" w:fill="ffffff"/>
            <w:tcW w:w="7395" w:type="dxa"/>
            <w:vAlign w:val="center"/>
            <w:textDirection w:val="lrTb"/>
            <w:noWrap w:val="false"/>
          </w:tcPr>
          <w:p>
            <w:pPr>
              <w:jc w:val="center"/>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功能要求说明</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硬件规格</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2U标准机架设备，冗余电源。设备配置6个千兆电口(支持2对bypass)，4个千兆光口，4个万兆光口，1个接口扩展槽，4TB硬盘。</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性能指标</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设备最大支持5G带宽环境，网络层吞吐量≥32G，并发连接数≥2000万，新建连接数≥46万；</w:t>
            </w:r>
            <w:r/>
          </w:p>
        </w:tc>
      </w:tr>
      <w:tr>
        <w:trPr>
          <w:trHeight w:val="90"/>
        </w:trPr>
        <w:tc>
          <w:tcPr>
            <w:shd w:val="clear" w:color="000000" w:fill="ffffff"/>
            <w:tcW w:w="1273" w:type="dxa"/>
            <w:vAlign w:val="center"/>
            <w:vMerge w:val="restart"/>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实时状态</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为保障网络正常运行在主线路出现问题时，支持4G网络。</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支持首页分析显示接入用户人数、终端类型；带宽质量分析、实时流量排名；资产类型分布、新设备发现趋势、终端违规检查项排行、终端违规用户排行；</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用户属性</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支持为用户添加属性（职位、临时项目组、邮件组等），能够根据用户属性配置上网权限策略、流控策略，审计策略等。</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负载均衡</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支持服务器负载均衡，支持一个公网IP映射到内网多台服务器，服务器间支持连接和源地址hash,支持服务器健康检查；</w:t>
            </w:r>
            <w:r/>
          </w:p>
        </w:tc>
      </w:tr>
      <w:tr>
        <w:trPr>
          <w:trHeight w:val="90"/>
        </w:trPr>
        <w:tc>
          <w:tcPr>
            <w:shd w:val="clear" w:color="000000" w:fill="ffffff"/>
            <w:tcW w:w="1273" w:type="dxa"/>
            <w:vAlign w:val="center"/>
            <w:vMerge w:val="restart"/>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认证管理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支持终端用户账号绑定手机号码和微信号，绑定后可以通过手机验证码和微信扫码实现上网快捷登录认证。</w:t>
            </w:r>
            <w:r/>
          </w:p>
        </w:tc>
      </w:tr>
      <w:tr>
        <w:trPr>
          <w:trHeight w:val="46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支持通过钉钉、企业微信、口袋助理等第三方协同办公软件进行授权认证；</w:t>
            </w:r>
            <w:r/>
          </w:p>
        </w:tc>
      </w:tr>
      <w:tr>
        <w:trPr>
          <w:trHeight w:val="691"/>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通道化流控</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支持在不同线路上，根据不同的应用、目标IP、时间段、日期、用户/用户组、位置、终端类型来保证或者限制流量，可根据百分比或数值设置通道带宽，并支持设置各通道的优先级。</w:t>
            </w:r>
            <w:r/>
          </w:p>
        </w:tc>
      </w:tr>
      <w:tr>
        <w:trPr>
          <w:trHeight w:val="691"/>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动态流量调整</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支持在设置流量策略后，根据整体线路或者某流量通道内的空闲情况，自动启用和停止使用流量控制策略，以提升带宽的高使用率；空闲值可自定义。</w:t>
            </w:r>
            <w:r/>
          </w:p>
        </w:tc>
      </w:tr>
      <w:tr>
        <w:trPr>
          <w:trHeight w:val="9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P2P智能流控</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采用对点流量识别技术，可对网络中P2P行为进行过滤；</w:t>
            </w:r>
            <w:r/>
          </w:p>
        </w:tc>
      </w:tr>
      <w:tr>
        <w:trPr>
          <w:trHeight w:val="9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流量可视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能够实时看到各级流控通道的状态：包括所属线路、瞬时速率、通道占用比例、用户数、保证带宽、最大带宽，启用状态等；</w:t>
            </w:r>
            <w:r/>
          </w:p>
        </w:tc>
      </w:tr>
      <w:tr>
        <w:trPr>
          <w:trHeight w:val="691"/>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应用控制策略</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提供智能策略分析功能，支持策略命中分析、策略冗余分析、策略冲突检查，并可在WEB界面显示检测结果；支持实时和周期性对所有安全策略进行分析。</w:t>
            </w:r>
            <w:r/>
          </w:p>
        </w:tc>
      </w:tr>
      <w:tr>
        <w:trPr>
          <w:trHeight w:val="90"/>
        </w:trPr>
        <w:tc>
          <w:tcPr>
            <w:shd w:val="clear" w:color="000000" w:fill="ffffff"/>
            <w:tcW w:w="1273" w:type="dxa"/>
            <w:vAlign w:val="center"/>
            <w:vMerge w:val="restart"/>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应用识别规则库</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设备内置应用识别规则库，应用规则数至少12000条，支持超过7300种的应用，支持超过500种的海外应用，并保持至少两个星期更新一次，保证应用识别的准确率；</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网络部署支持虚拟网线部署，且支持vlan标签的过滤；</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系统内置多个常见场景的应用标签，且标签支持管理员自定义；</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提供WEB防护功能，可对防盗链、CSRF攻击、CC等攻击行为进行防护；</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支持端口扫描功能，用于直观的了解网内主机所存在的安全问题；</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支持BYOD特征库，可识别ios版和安卓版移动互联网软件如微博、微信等特征；</w:t>
            </w:r>
            <w:r/>
          </w:p>
        </w:tc>
      </w:tr>
      <w:tr>
        <w:trPr>
          <w:trHeight w:val="9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密码管理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支持弱密码扫描功能，即时了解网内主机是否存在弱口令，内置弱口令库，并可自定义字典库；</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URL过滤</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具有网络攻击流量过滤功能，支持滤除网络攻击流量</w:t>
            </w:r>
            <w:r/>
          </w:p>
        </w:tc>
      </w:tr>
      <w:tr>
        <w:trPr>
          <w:trHeight w:val="9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SaaS应用规则</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支持超过900种主流Saas应用，对Saas应用有默认分类标签，帮助客户统一配置策略。 </w:t>
            </w:r>
            <w:r/>
          </w:p>
        </w:tc>
      </w:tr>
      <w:tr>
        <w:trPr>
          <w:trHeight w:val="9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URL库管理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能够针对各种URL类型做识别和分类，同时所有URL类型都支持区分“网站浏览”、“文件上传”、“其他上传”、“HTTPS”等细分行为并分别做权限控制。</w:t>
            </w:r>
            <w:r/>
          </w:p>
        </w:tc>
      </w:tr>
      <w:tr>
        <w:trPr>
          <w:trHeight w:val="9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发帖管理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支持加密的网页、论坛、BBS上的发帖行为精细化管理：过滤同时匹配三个以上关键字过滤的网络发帖行为、允许用户浏览帖子但不准发帖功能。</w:t>
            </w:r>
            <w:r/>
          </w:p>
        </w:tc>
      </w:tr>
      <w:tr>
        <w:trPr>
          <w:trHeight w:val="830"/>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威胁情报功能</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提供威胁情报功能，支持全网威胁情报的搜索查询，可供攻击溯源，预知风险;支持威胁情报订阅，及时对突发威胁进行防护建议;支持20余种威胁分类，包括C&amp;C、僵木蠕、勒索、钓鱼、垃圾邮件等；</w:t>
            </w:r>
            <w:r/>
          </w:p>
        </w:tc>
      </w:tr>
      <w:tr>
        <w:trPr>
          <w:trHeight w:val="90"/>
        </w:trPr>
        <w:tc>
          <w:tcPr>
            <w:shd w:val="clear" w:color="000000" w:fill="ffffff"/>
            <w:tcW w:w="1273" w:type="dxa"/>
            <w:vAlign w:val="center"/>
            <w:vMerge w:val="restart"/>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网页访问审计</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支持记录全部或者指定类别URL、网页标题、网页内容等信息，支持网页内容审计后的网页快照功能。</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支持自定义关键字对象，在应用控制的时候匹配类型包含关键字和数字，关键字可选择等于，数字可选择“大于”、“小于”、“等于”、“不等于”四种匹配模式；</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支持即时通讯应用管控的精细化管理，可管控微信的“发文件”、“收发消息”、“视频语音”、“登陆”等行为；</w:t>
            </w:r>
            <w:r/>
          </w:p>
        </w:tc>
      </w:tr>
      <w:tr>
        <w:trPr>
          <w:trHeight w:val="9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支持网络社区应用管控的精细化管理，可管控“登录”、“发表”、“网页浏览”、“上传”等行为；</w:t>
            </w:r>
            <w:r/>
          </w:p>
        </w:tc>
      </w:tr>
      <w:tr>
        <w:trPr>
          <w:trHeight w:val="830"/>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支持单用户全天行为分析报表，一个界面同时展示用户名、用户组、在线时长、虚拟身份（如QQ号码、微博账号等）、日志关联情况、全天流量使用分布、网站访问类别分布、全天关键网络行为轴等信息；</w:t>
            </w:r>
            <w:r/>
          </w:p>
        </w:tc>
      </w:tr>
      <w:tr>
        <w:trPr>
          <w:trHeight w:val="427"/>
        </w:trPr>
        <w:tc>
          <w:tcPr>
            <w:shd w:val="clear" w:color="000000" w:fill="ffffff"/>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加密网页管理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支持客户端SSL解密，客户端会自动推送根证书安装；</w:t>
            </w:r>
            <w:r/>
          </w:p>
        </w:tc>
      </w:tr>
      <w:tr>
        <w:trPr>
          <w:trHeight w:val="427"/>
        </w:trPr>
        <w:tc>
          <w:tcPr>
            <w:shd w:val="clear" w:color="000000" w:fill="ffffff"/>
            <w:tcW w:w="1273" w:type="dxa"/>
            <w:vAlign w:val="center"/>
            <w:vMerge w:val="restart"/>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防私接路由</w:t>
            </w:r>
            <w:r/>
          </w:p>
        </w:tc>
        <w:tc>
          <w:tcPr>
            <w:shd w:val="clear" w:color="000000" w:fill="ffffff"/>
            <w:tcW w:w="7395" w:type="dxa"/>
            <w:vAlign w:val="top"/>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可识别私接主机个数，并可制定策略分别设置私接终端类型个数为阀值进行封堵，支持自定义阻断时间，同时支持基于IP及IP段配置白名单；</w:t>
            </w:r>
            <w:r/>
          </w:p>
        </w:tc>
      </w:tr>
      <w:tr>
        <w:trPr>
          <w:trHeight w:val="427"/>
        </w:trPr>
        <w:tc>
          <w:tcPr>
            <w:shd w:val="clear" w:color="000000" w:fill="ffffff"/>
            <w:tcW w:w="1273" w:type="dxa"/>
            <w:vAlign w:val="center"/>
            <w:vMerge w:val="continue"/>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000000" w:fill="ffffff"/>
            <w:tcW w:w="7395" w:type="dxa"/>
            <w:vAlign w:val="center"/>
            <w:textDirection w:val="lrTb"/>
            <w:noWrap w:val="false"/>
          </w:tcPr>
          <w:p>
            <w:pP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支持二维码认证，终端可以通过管理员扫描二维码授权方式上网；</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终端安全管理</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支持杀毒功能，可对HTTP、FTP、POP3、SNMP、IMAP协议的病毒进行查杀；支持ZIP、RAR等压缩文件的病毒查杀。压缩默认支持5层，最大20层。</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日志中心</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支持内置、外置日志中心；支持分级配置管理员日志查看权限，支持以USB-Key方式验证接入日志中心的管理员身份。</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可靠性</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SA"/>
              </w:rPr>
              <w:t xml:space="preserve">产品具有稳定可靠，无中高危风险漏洞，</w:t>
            </w:r>
            <w:r>
              <w:rPr>
                <w:rFonts w:hint="eastAsia" w:ascii="宋体" w:hAnsi="宋体" w:cs="宋体"/>
                <w:color w:val="000000"/>
                <w:sz w:val="24"/>
                <w:szCs w:val="24"/>
                <w:highlight w:val="none"/>
                <w:lang w:val="en-US" w:eastAsia="zh-CN" w:bidi="ar-SA"/>
              </w:rPr>
              <w:t xml:space="preserve">提供相关证明材料</w:t>
            </w:r>
            <w:r>
              <w:rPr>
                <w:rFonts w:hint="eastAsia" w:ascii="宋体" w:hAnsi="宋体" w:eastAsia="宋体" w:cs="宋体"/>
                <w:color w:val="000000"/>
                <w:sz w:val="24"/>
                <w:szCs w:val="24"/>
                <w:highlight w:val="none"/>
                <w:lang w:val="en-US" w:eastAsia="zh-CN" w:bidi="ar-SA"/>
              </w:rPr>
              <w:t xml:space="preserve">。</w:t>
            </w:r>
            <w:r/>
          </w:p>
        </w:tc>
      </w:tr>
      <w:tr>
        <w:trPr>
          <w:trHeight w:val="90"/>
        </w:trPr>
        <w:tc>
          <w:tcPr>
            <w:shd w:val="clear" w:color="auto" w:fill="auto"/>
            <w:tcW w:w="1273"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服务要求</w:t>
            </w:r>
            <w:r/>
          </w:p>
        </w:tc>
        <w:tc>
          <w:tcPr>
            <w:shd w:val="clear" w:color="000000" w:fill="ffffff"/>
            <w:tcW w:w="7395" w:type="dxa"/>
            <w:vAlign w:val="center"/>
            <w:textDirection w:val="lrTb"/>
            <w:noWrap w:val="false"/>
          </w:tcPr>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此次配置3年规则库升级和3年硬件维保服务。</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1"/>
          <w:numId w:val="8"/>
        </w:numPr>
        <w:ind w:left="1260" w:hanging="420"/>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电子政务外网等保测评服务</w:t>
      </w:r>
      <w:r/>
    </w:p>
    <w:tbl>
      <w:tblPr>
        <w:tblStyle w:val="707"/>
        <w:tblW w:w="87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7396"/>
      </w:tblGrid>
      <w:tr>
        <w:trPr>
          <w:jc w:val="center"/>
        </w:trPr>
        <w:tc>
          <w:tcPr>
            <w:tcW w:w="1322"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p>
        </w:tc>
        <w:tc>
          <w:tcPr>
            <w:tcW w:w="7396"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指标要求</w:t>
            </w:r>
            <w:r/>
          </w:p>
        </w:tc>
      </w:tr>
      <w:tr>
        <w:trPr>
          <w:jc w:val="center"/>
        </w:trPr>
        <w:tc>
          <w:tcPr>
            <w:tcW w:w="132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7396"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服务期内每年聘请具有网络安全等保测评资质的公司，对江都区电子政务外网按时开展相应的等保测评及风险评估工作，并出具正式等保测评及风险评估报告，中标方应根据测评报告进行相应的整改工作，确保达到等保三级要求。</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8"/>
        </w:numPr>
        <w:ind w:left="425" w:hanging="425"/>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总体要求</w:t>
      </w:r>
      <w:r/>
    </w:p>
    <w:p>
      <w:pPr>
        <w:numPr>
          <w:ilvl w:val="0"/>
          <w:numId w:val="0"/>
        </w:numPr>
        <w:ind w:firstLine="480"/>
        <w:spacing w:line="360" w:lineRule="auto"/>
        <w:rPr>
          <w:rFonts w:hint="eastAsia" w:ascii="宋体" w:hAnsi="宋体" w:eastAsia="宋体" w:cs="宋体"/>
          <w:b/>
          <w:bCs/>
          <w:i/>
          <w:iCs/>
          <w:sz w:val="24"/>
          <w:szCs w:val="24"/>
          <w:highlight w:val="none"/>
          <w:u w:val="single"/>
          <w:lang w:val="en-US" w:eastAsia="zh-CN" w:bidi="ar-SA"/>
        </w:rPr>
        <w:outlineLvl w:val="2"/>
      </w:pPr>
      <w:r>
        <w:rPr>
          <w:rFonts w:hint="eastAsia" w:ascii="宋体" w:hAnsi="宋体" w:eastAsia="宋体" w:cs="宋体"/>
          <w:b w:val="0"/>
          <w:bCs w:val="0"/>
          <w:i/>
          <w:iCs/>
          <w:sz w:val="24"/>
          <w:szCs w:val="24"/>
          <w:highlight w:val="none"/>
          <w:u w:val="single"/>
          <w:lang w:val="en-US" w:eastAsia="zh-CN" w:bidi="ar-SA"/>
        </w:rPr>
        <w:t xml:space="preserve">{1}所有提供的系统软件及配套设备需支持国产化要求，在服务期限内提供免费维保服务，并有相应的功能版本升级和技术支持服务（</w:t>
      </w:r>
      <w:r>
        <w:rPr>
          <w:rFonts w:hint="eastAsia" w:ascii="宋体" w:hAnsi="宋体" w:eastAsia="宋体" w:cs="宋体"/>
          <w:b/>
          <w:bCs/>
          <w:i/>
          <w:iCs/>
          <w:sz w:val="24"/>
          <w:szCs w:val="24"/>
          <w:highlight w:val="none"/>
          <w:u w:val="single"/>
          <w:lang w:val="en-US" w:eastAsia="zh-CN" w:bidi="ar-SA"/>
        </w:rPr>
        <w:t xml:space="preserve">投标人需提供承诺函,格式自拟，原件扫描上传）</w:t>
      </w:r>
      <w:r/>
    </w:p>
    <w:p>
      <w:pPr>
        <w:ind w:firstLine="480"/>
        <w:spacing w:line="360" w:lineRule="auto"/>
        <w:rPr>
          <w:rFonts w:hint="eastAsia" w:ascii="宋体" w:hAnsi="宋体" w:eastAsia="宋体" w:cs="宋体"/>
          <w:i/>
          <w:iCs/>
          <w:sz w:val="24"/>
          <w:szCs w:val="24"/>
          <w:highlight w:val="yellow"/>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cs="宋体"/>
          <w:i/>
          <w:iCs/>
          <w:sz w:val="24"/>
          <w:szCs w:val="24"/>
          <w:highlight w:val="none"/>
          <w:u w:val="single"/>
          <w:lang w:val="en-US" w:eastAsia="zh-CN" w:bidi="ar-SA"/>
        </w:rPr>
        <w:t xml:space="preserve">（2）</w:t>
      </w:r>
      <w:r>
        <w:rPr>
          <w:rFonts w:hint="eastAsia" w:ascii="宋体" w:hAnsi="宋体" w:eastAsia="宋体" w:cs="宋体"/>
          <w:i/>
          <w:iCs/>
          <w:sz w:val="24"/>
          <w:szCs w:val="24"/>
          <w:highlight w:val="none"/>
          <w:u w:val="single"/>
          <w:lang w:val="en-US" w:eastAsia="zh-CN" w:bidi="ar-SA"/>
        </w:rPr>
        <w:t xml:space="preserve">为保证本项目顺利实施，投标供应商须</w:t>
      </w:r>
      <w:r>
        <w:rPr>
          <w:rFonts w:hint="eastAsia" w:ascii="宋体" w:hAnsi="宋体" w:cs="宋体"/>
          <w:i/>
          <w:iCs/>
          <w:sz w:val="24"/>
          <w:szCs w:val="24"/>
          <w:highlight w:val="none"/>
          <w:u w:val="single"/>
          <w:lang w:val="en-US" w:eastAsia="zh-CN" w:bidi="ar-SA"/>
        </w:rPr>
        <w:t xml:space="preserve">提供</w:t>
      </w:r>
      <w:r>
        <w:rPr>
          <w:rFonts w:hint="eastAsia" w:ascii="宋体" w:hAnsi="宋体" w:eastAsia="宋体" w:cs="宋体"/>
          <w:i/>
          <w:iCs/>
          <w:sz w:val="24"/>
          <w:szCs w:val="24"/>
          <w:highlight w:val="none"/>
          <w:u w:val="single"/>
          <w:lang w:val="en-US" w:eastAsia="zh-CN" w:bidi="ar-SA"/>
        </w:rPr>
        <w:t xml:space="preserve">网络覆盖及网络信号传输畅通满足本项目采购需求</w:t>
      </w:r>
      <w:r>
        <w:rPr>
          <w:rFonts w:hint="eastAsia" w:ascii="宋体" w:hAnsi="宋体" w:cs="宋体"/>
          <w:i/>
          <w:iCs/>
          <w:sz w:val="24"/>
          <w:szCs w:val="24"/>
          <w:highlight w:val="none"/>
          <w:u w:val="single"/>
          <w:lang w:val="en-US" w:eastAsia="zh-CN" w:bidi="ar-SA"/>
        </w:rPr>
        <w:t xml:space="preserve">的证明材料</w:t>
      </w:r>
      <w:r>
        <w:rPr>
          <w:rFonts w:hint="eastAsia" w:ascii="宋体" w:hAnsi="宋体" w:eastAsia="宋体" w:cs="宋体"/>
          <w:i/>
          <w:iCs/>
          <w:sz w:val="24"/>
          <w:szCs w:val="24"/>
          <w:highlight w:val="none"/>
          <w:u w:val="single"/>
          <w:lang w:val="en-US" w:eastAsia="zh-CN" w:bidi="ar-SA"/>
        </w:rPr>
        <w:t xml:space="preserve">。</w:t>
      </w:r>
      <w:r>
        <w:rPr>
          <w:rFonts w:hint="eastAsia" w:ascii="宋体" w:hAnsi="宋体" w:eastAsia="宋体" w:cs="宋体"/>
          <w:b/>
          <w:bCs/>
          <w:i/>
          <w:iCs/>
          <w:sz w:val="24"/>
          <w:szCs w:val="24"/>
          <w:highlight w:val="none"/>
          <w:u w:val="single"/>
          <w:lang w:val="en-US" w:eastAsia="zh-CN" w:bidi="ar-SA"/>
        </w:rPr>
        <w:t xml:space="preserve">（投标人需提供</w:t>
      </w:r>
      <w:r>
        <w:rPr>
          <w:rFonts w:hint="eastAsia" w:ascii="宋体" w:hAnsi="宋体" w:cs="宋体"/>
          <w:b/>
          <w:bCs/>
          <w:i/>
          <w:iCs/>
          <w:sz w:val="24"/>
          <w:szCs w:val="24"/>
          <w:highlight w:val="none"/>
          <w:u w:val="single"/>
          <w:lang w:val="en-US" w:eastAsia="zh-CN" w:bidi="ar-SA"/>
        </w:rPr>
        <w:t xml:space="preserve">证明材料</w:t>
      </w:r>
      <w:r>
        <w:rPr>
          <w:rFonts w:hint="eastAsia" w:ascii="宋体" w:hAnsi="宋体" w:eastAsia="宋体" w:cs="宋体"/>
          <w:b/>
          <w:bCs/>
          <w:i/>
          <w:iCs/>
          <w:sz w:val="24"/>
          <w:szCs w:val="24"/>
          <w:highlight w:val="none"/>
          <w:u w:val="single"/>
          <w:lang w:val="en-US" w:eastAsia="zh-CN" w:bidi="ar-SA"/>
        </w:rPr>
        <w:t xml:space="preserve">，原件扫描上传）</w:t>
      </w:r>
      <w:r/>
    </w:p>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8"/>
        </w:numPr>
        <w:ind w:left="425" w:hanging="425"/>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技术方案  </w:t>
      </w:r>
      <w:r/>
    </w:p>
    <w:tbl>
      <w:tblPr>
        <w:tblStyle w:val="707"/>
        <w:tblW w:w="8807" w:type="dxa"/>
        <w:tblInd w:w="1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7675"/>
      </w:tblGrid>
      <w:tr>
        <w:trPr/>
        <w:tc>
          <w:tcPr>
            <w:tcW w:w="1132"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类别</w:t>
            </w:r>
            <w:r/>
          </w:p>
        </w:tc>
        <w:tc>
          <w:tcPr>
            <w:tcW w:w="7675" w:type="dxa"/>
            <w:vAlign w:val="center"/>
            <w:textDirection w:val="lrTb"/>
            <w:noWrap w:val="false"/>
          </w:tcPr>
          <w:p>
            <w:pPr>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指标要求</w:t>
            </w:r>
            <w:r/>
          </w:p>
        </w:tc>
      </w:tr>
      <w:tr>
        <w:trPr/>
        <w:tc>
          <w:tcPr>
            <w:tcW w:w="113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总体方案</w:t>
            </w:r>
            <w:r/>
          </w:p>
        </w:tc>
        <w:tc>
          <w:tcPr>
            <w:tcW w:w="7675" w:type="dxa"/>
            <w:vAlign w:val="center"/>
            <w:textDirection w:val="lrTb"/>
            <w:noWrap w:val="false"/>
          </w:tcPr>
          <w:p>
            <w:pPr>
              <w:rPr>
                <w:rFonts w:hint="eastAsia" w:ascii="宋体" w:hAnsi="宋体" w:eastAsia="宋体" w:cs="宋体"/>
                <w:i/>
                <w:iCs/>
                <w:sz w:val="24"/>
                <w:szCs w:val="24"/>
                <w:lang w:val="en-US" w:eastAsia="zh-CN" w:bidi="ar-SA"/>
              </w:rPr>
            </w:pPr>
            <w:r>
              <w:rPr>
                <w:rFonts w:hint="eastAsia" w:ascii="宋体" w:hAnsi="宋体" w:eastAsia="宋体" w:cs="宋体"/>
                <w:sz w:val="24"/>
                <w:szCs w:val="24"/>
                <w:lang w:val="en-US" w:eastAsia="zh-CN" w:bidi="ar-SA"/>
              </w:rPr>
              <w:t xml:space="preserve">投标人需要在充分了解区电子政务网的基础上，根据本次项目采购文件服务要求，提供项目总体方案（包括但不限于建设总体思路、网络拓扑设计、组网技术说明等）。对区电子政务网有丰富的运维经验，深入调研，对应用现状描述、建设需求理解准确，提供的解决方案，技术先进、描述详尽。</w:t>
            </w:r>
            <w:r/>
          </w:p>
        </w:tc>
      </w:tr>
      <w:tr>
        <w:trPr/>
        <w:tc>
          <w:tcPr>
            <w:tcW w:w="113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项目实施方案</w:t>
            </w:r>
            <w:r/>
          </w:p>
        </w:tc>
        <w:tc>
          <w:tcPr>
            <w:tcW w:w="7675"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应根据招标文件要求提供具体详实的项目实施方案（包括但不限于施工组织、施工计划、技术人员配置、相关软硬件设备配备等）。投标人拟投入本项目的实施小组组织机构齐全，各项制度健全，责任分工明确，拟选派至少1名项目经理具备同类项目实施经验。</w:t>
            </w:r>
            <w:r/>
          </w:p>
          <w:p>
            <w:pPr>
              <w:rPr>
                <w:rFonts w:hint="eastAsia" w:ascii="宋体" w:hAnsi="宋体" w:eastAsia="宋体" w:cs="宋体"/>
                <w:iCs/>
                <w:sz w:val="24"/>
                <w:szCs w:val="24"/>
                <w:lang w:val="en-US" w:eastAsia="zh-CN" w:bidi="ar-SA"/>
              </w:rPr>
            </w:pPr>
            <w:r>
              <w:rPr>
                <w:rFonts w:hint="eastAsia" w:ascii="宋体" w:hAnsi="宋体" w:eastAsia="宋体" w:cs="宋体"/>
                <w:sz w:val="24"/>
                <w:szCs w:val="24"/>
                <w:lang w:val="en-US" w:eastAsia="zh-CN" w:bidi="ar-SA"/>
              </w:rPr>
              <w:t xml:space="preserve">实施时间要求：</w:t>
            </w:r>
            <w:r>
              <w:rPr>
                <w:rFonts w:hint="eastAsia" w:ascii="宋体" w:hAnsi="宋体" w:eastAsia="宋体" w:cs="宋体"/>
                <w:iCs/>
                <w:sz w:val="24"/>
                <w:szCs w:val="24"/>
                <w:lang w:val="en-US" w:eastAsia="zh-CN" w:bidi="ar-SA"/>
              </w:rPr>
              <w:t xml:space="preserve">自中标日起，在一个月内完成实施工作。</w:t>
            </w:r>
            <w:r/>
          </w:p>
        </w:tc>
      </w:tr>
      <w:tr>
        <w:trPr/>
        <w:tc>
          <w:tcPr>
            <w:tcW w:w="113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项目管理方案</w:t>
            </w:r>
            <w:r/>
          </w:p>
        </w:tc>
        <w:tc>
          <w:tcPr>
            <w:tcW w:w="7675"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管理方案（包括但不限于项目管理环节、管理人员配备、运维服务体系、主动巡检计划、备品备件服务等）。每月向采购人提供通信线路运行质量报告，（报告内容包括但不限于通信线路的基础信息、各线路的光衰、网络时延、丢包率等状态信息），确保通信线路各项运行指标正常。</w:t>
            </w:r>
            <w:r/>
          </w:p>
        </w:tc>
      </w:tr>
      <w:tr>
        <w:trPr/>
        <w:tc>
          <w:tcPr>
            <w:tcW w:w="1132"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信息安全防护方案</w:t>
            </w:r>
            <w:r/>
          </w:p>
        </w:tc>
        <w:tc>
          <w:tcPr>
            <w:tcW w:w="7675" w:type="dxa"/>
            <w:vAlign w:val="center"/>
            <w:textDirection w:val="lrTb"/>
            <w:noWrap w:val="false"/>
          </w:tcPr>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投标人需在充分了解区电子政务网的基础上，根据“等保三级”要求，详细描述信息安全防护体系的技术方案，方案要求设计合理，有完整网络拓朴图，技术可行性强，满足“等保三级”要求。</w:t>
            </w:r>
            <w:r/>
          </w:p>
        </w:tc>
      </w:tr>
      <w:tr>
        <w:trPr/>
        <w:tc>
          <w:tcPr>
            <w:tcW w:w="1132"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互联网出口线路割接方案</w:t>
            </w:r>
            <w:r/>
          </w:p>
        </w:tc>
        <w:tc>
          <w:tcPr>
            <w:tcW w:w="767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对于既有线路需进行割接的，中标人需提供详细割接方案，割接方案中需详细描述割接动作的各个步骤和所需时间，割接步骤安排合理，可操作性强，并要求达到</w:t>
            </w:r>
            <w:r>
              <w:rPr>
                <w:rFonts w:hint="eastAsia" w:ascii="宋体" w:hAnsi="宋体" w:eastAsia="宋体" w:cs="宋体"/>
                <w:iCs/>
                <w:sz w:val="24"/>
                <w:szCs w:val="24"/>
                <w:lang w:val="en-US" w:eastAsia="zh-CN" w:bidi="ar-SA"/>
              </w:rPr>
              <w:t xml:space="preserve">原线路及业务系统的无缝衔接，实施过程中不得影响现有业务的正常运行和电子政务网、互联网的正常使用</w:t>
            </w:r>
            <w:r>
              <w:rPr>
                <w:rFonts w:hint="eastAsia" w:ascii="宋体" w:hAnsi="宋体" w:eastAsia="宋体" w:cs="宋体"/>
                <w:sz w:val="24"/>
                <w:szCs w:val="24"/>
                <w:lang w:val="en-US" w:eastAsia="zh-CN" w:bidi="ar-SA"/>
              </w:rPr>
              <w:t xml:space="preserve">。</w:t>
            </w:r>
            <w:r/>
          </w:p>
        </w:tc>
      </w:tr>
      <w:tr>
        <w:trPr/>
        <w:tc>
          <w:tcPr>
            <w:tcW w:w="1132"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电子政务外网业务系统割接方案</w:t>
            </w:r>
            <w:r/>
          </w:p>
        </w:tc>
        <w:tc>
          <w:tcPr>
            <w:tcW w:w="767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对于既有业务系统因互联网出口线路割接需更换业务系统互联网ip地址的，中标人需提供详细业务割接方案，割接方案中需详细描述割接动作的各个步骤和所需时间，割接步骤安排合理，可操作性强，并要求</w:t>
            </w:r>
            <w:r>
              <w:rPr>
                <w:rFonts w:hint="eastAsia" w:ascii="宋体" w:hAnsi="宋体" w:eastAsia="宋体" w:cs="宋体"/>
                <w:iCs/>
                <w:sz w:val="24"/>
                <w:szCs w:val="24"/>
                <w:lang w:val="en-US" w:eastAsia="zh-CN" w:bidi="ar-SA"/>
              </w:rPr>
              <w:t xml:space="preserve">实施过程中不得影响现有业务的正常运行和电子政务外网、互联网的正常使用</w:t>
            </w:r>
            <w:r>
              <w:rPr>
                <w:rFonts w:hint="eastAsia" w:ascii="宋体" w:hAnsi="宋体" w:eastAsia="宋体" w:cs="宋体"/>
                <w:sz w:val="24"/>
                <w:szCs w:val="24"/>
                <w:lang w:val="en-US" w:eastAsia="zh-CN" w:bidi="ar-SA"/>
              </w:rPr>
              <w:t xml:space="preserve">。</w:t>
            </w:r>
            <w:r/>
          </w:p>
        </w:tc>
      </w:tr>
      <w:tr>
        <w:trPr/>
        <w:tc>
          <w:tcPr>
            <w:tcW w:w="1132"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等保测评实施方案</w:t>
            </w:r>
            <w:r/>
          </w:p>
        </w:tc>
        <w:tc>
          <w:tcPr>
            <w:tcW w:w="7675" w:type="dxa"/>
            <w:vAlign w:val="center"/>
            <w:textDirection w:val="lrTb"/>
            <w:noWrap w:val="false"/>
          </w:tcPr>
          <w:p>
            <w:pPr>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依据等保测评要求提供等保测评实施方案，方案包括但不限于测评流程、实施计划、实施内容、整改措施等相关内容。</w:t>
            </w:r>
            <w:r/>
          </w:p>
        </w:tc>
      </w:tr>
      <w:tr>
        <w:trPr/>
        <w:tc>
          <w:tcPr>
            <w:tcW w:w="1132" w:type="dxa"/>
            <w:vAlign w:val="center"/>
            <w:textDirection w:val="lrTb"/>
            <w:noWrap w:val="false"/>
          </w:tcPr>
          <w:p>
            <w:pPr>
              <w:jc w:val="center"/>
              <w:spacing w:line="36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应急保障方案</w:t>
            </w:r>
            <w:r/>
          </w:p>
        </w:tc>
        <w:tc>
          <w:tcPr>
            <w:tcW w:w="7675"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依据投标人针对本项目线路安全稳定运行而提供的应急保障方案（包含但不限于应急处理流程、应急处置方案、应急保障措施等）。</w:t>
            </w:r>
            <w:r/>
          </w:p>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中标人需根据采购人的要求，及时派出技术维护人员到重要保障任务现场提供服务保障，遇有重要安保任务（重大活动、会议等），需提前检查线路及设备，并配备现场值守人员，遇到网络故障立即处置。</w:t>
            </w:r>
            <w:r/>
          </w:p>
        </w:tc>
      </w:tr>
    </w:tbl>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numPr>
          <w:ilvl w:val="0"/>
          <w:numId w:val="8"/>
        </w:numPr>
        <w:ind w:left="425" w:hanging="425"/>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售后服务要求</w:t>
      </w:r>
      <w:r/>
    </w:p>
    <w:tbl>
      <w:tblPr>
        <w:tblStyle w:val="707"/>
        <w:tblW w:w="8829"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5"/>
        <w:gridCol w:w="7654"/>
      </w:tblGrid>
      <w:tr>
        <w:trPr/>
        <w:tc>
          <w:tcPr>
            <w:tcW w:w="1175"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654"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指标要求</w:t>
            </w:r>
            <w:r/>
          </w:p>
        </w:tc>
      </w:tr>
      <w:tr>
        <w:trPr/>
        <w:tc>
          <w:tcPr>
            <w:tcW w:w="1175"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售后服务方案要求</w:t>
            </w:r>
            <w:r/>
          </w:p>
        </w:tc>
        <w:tc>
          <w:tcPr>
            <w:tcW w:w="7654"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维护服务保障体系和完整合理得售后服务方案，售后服务方案中需包含服务机构、服务内容、响应时间、故障处理、恢复时效、人员力量、支撑保障等内容；其中人员力量需提供该项目团队成员相关资质文件及身份证、正式职员证明材料，对照采购需求售后服务方案内容需全面、详细。</w:t>
            </w:r>
            <w:r/>
          </w:p>
        </w:tc>
      </w:tr>
      <w:tr>
        <w:trPr/>
        <w:tc>
          <w:tcPr>
            <w:tcW w:w="1175"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售后服务能力要求</w:t>
            </w:r>
            <w:r/>
          </w:p>
        </w:tc>
        <w:tc>
          <w:tcPr>
            <w:tcW w:w="7654"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投标人需设有7*24小时故障报修受理服务机构，有故障2小时内到达现场，一般故障4小时内解决排除，特殊故障排除最长时间不超过24小时。一般故障指前端设备发生故障，特殊故障指系统软硬件疑难故障。</w:t>
            </w:r>
            <w:r/>
          </w:p>
        </w:tc>
      </w:tr>
      <w:tr>
        <w:trPr/>
        <w:tc>
          <w:tcPr>
            <w:tcW w:w="1175" w:type="dxa"/>
            <w:vAlign w:val="center"/>
            <w:textDirection w:val="lrTb"/>
            <w:noWrap w:val="false"/>
          </w:tcPr>
          <w:p>
            <w:pPr>
              <w:jc w:val="center"/>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项目培训方案要求</w:t>
            </w:r>
            <w:r/>
          </w:p>
        </w:tc>
        <w:tc>
          <w:tcPr>
            <w:tcW w:w="7654" w:type="dxa"/>
            <w:vAlign w:val="center"/>
            <w:textDirection w:val="lrTb"/>
            <w:noWrap w:val="false"/>
          </w:tcPr>
          <w:p>
            <w:pPr>
              <w:jc w:val="left"/>
              <w:spacing w:line="36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投标人提供详实合理可行和全面的培训方案（包括但不限于培训计划、培训内容等）。</w:t>
            </w:r>
            <w:r/>
          </w:p>
        </w:tc>
      </w:tr>
    </w:tbl>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r>
      <w:r/>
    </w:p>
    <w:p>
      <w:pPr>
        <w:numPr>
          <w:ilvl w:val="0"/>
          <w:numId w:val="8"/>
        </w:numPr>
        <w:ind w:left="425" w:hanging="425"/>
        <w:spacing w:line="360" w:lineRule="auto"/>
        <w:rPr>
          <w:rFonts w:hint="eastAsia" w:ascii="宋体" w:hAnsi="宋体" w:eastAsia="宋体" w:cs="宋体"/>
          <w:b/>
          <w:bCs/>
          <w:sz w:val="24"/>
          <w:szCs w:val="24"/>
          <w:highlight w:val="none"/>
          <w:lang w:val="en-US" w:eastAsia="zh-CN" w:bidi="ar-SA"/>
        </w:rPr>
        <w:outlineLvl w:val="2"/>
      </w:pPr>
      <w:r>
        <w:rPr>
          <w:rFonts w:hint="eastAsia" w:ascii="宋体" w:hAnsi="宋体" w:eastAsia="宋体" w:cs="宋体"/>
          <w:b/>
          <w:bCs/>
          <w:sz w:val="24"/>
          <w:szCs w:val="24"/>
          <w:highlight w:val="none"/>
          <w:lang w:val="en-US" w:eastAsia="zh-CN" w:bidi="ar-SA"/>
        </w:rPr>
        <w:t xml:space="preserve">质量及实施要求</w:t>
      </w:r>
      <w:r/>
    </w:p>
    <w:tbl>
      <w:tblPr>
        <w:tblStyle w:val="707"/>
        <w:tblW w:w="8850"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7654"/>
      </w:tblGrid>
      <w:tr>
        <w:trPr/>
        <w:tc>
          <w:tcPr>
            <w:tcW w:w="1196"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654"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指标要求</w:t>
            </w:r>
            <w:r/>
          </w:p>
        </w:tc>
      </w:tr>
      <w:tr>
        <w:trPr/>
        <w:tc>
          <w:tcPr>
            <w:tcW w:w="11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654"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所提供的线路、设备等符合国家及省市相关技术标准</w:t>
            </w:r>
            <w:r/>
          </w:p>
        </w:tc>
      </w:tr>
      <w:tr>
        <w:trPr/>
        <w:tc>
          <w:tcPr>
            <w:tcW w:w="11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7654"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为保证线路使用和业务的连续性，中标方在本项目实施期间内所产生的所有费用（包含但不仅限于原线路的租用费用、割接过程中所产生的人工费等其他费用）由中标方承担。</w:t>
            </w:r>
            <w:r/>
          </w:p>
        </w:tc>
      </w:tr>
      <w:tr>
        <w:trPr/>
        <w:tc>
          <w:tcPr>
            <w:tcW w:w="11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7654"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投标方中标后，如因部件停产等原因致使前端设备无法正常供货的，应提不低于原部件性能、功能的产品进行替代并经最终用户同意后继续供货，服务期限内免费提供。</w:t>
            </w:r>
            <w:r/>
          </w:p>
        </w:tc>
      </w:tr>
      <w:tr>
        <w:trPr/>
        <w:tc>
          <w:tcPr>
            <w:tcW w:w="11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654"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在服务期限内，设备发生故障后，投标方驻场工程师及采购人无法自行排除时，投标方应保证尽快派遣更高级别的工程师携带备品备件上门服务，6小时内到达现场处理，若24小时内无法排除故障，须提供备用机器，不得影响使用单位的使用需要。</w:t>
            </w:r>
            <w:r/>
          </w:p>
        </w:tc>
      </w:tr>
      <w:tr>
        <w:trPr/>
        <w:tc>
          <w:tcPr>
            <w:tcW w:w="11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654"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对建设方提出的合理服务要求，中标人必须即时进行电话、邮件或远程网络支持，并在4小时内到场服务，如不到场，建设方有权自行处理，相关费用由中标方负责。</w:t>
            </w:r>
            <w:r/>
          </w:p>
        </w:tc>
      </w:tr>
      <w:tr>
        <w:trPr/>
        <w:tc>
          <w:tcPr>
            <w:tcW w:w="119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654"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本项目自中标日起，在一个月内完成实施工作，中标方须保证与原线路及业务系统的无缝衔接（对接联系人：全爱国，联系方式：</w:t>
            </w:r>
            <w:r>
              <w:rPr>
                <w:rFonts w:hint="eastAsia" w:ascii="宋体" w:hAnsi="宋体"/>
                <w:color w:val="000000" w:themeColor="text1"/>
                <w:sz w:val="24"/>
                <w:szCs w:val="24"/>
                <w:highlight w:val="none"/>
                <w14:textFill>
                  <w14:solidFill>
                    <w14:schemeClr w14:val="tx1"/>
                  </w14:solidFill>
                </w14:textFill>
              </w:rPr>
              <w:t xml:space="preserve">0514-</w:t>
            </w:r>
            <w:r>
              <w:rPr>
                <w:rFonts w:hint="eastAsia" w:ascii="宋体" w:hAnsi="宋体"/>
                <w:color w:val="000000" w:themeColor="text1"/>
                <w:sz w:val="24"/>
                <w:szCs w:val="24"/>
                <w:highlight w:val="none"/>
                <w:lang w:eastAsia="zh-CN"/>
                <w14:textFill>
                  <w14:solidFill>
                    <w14:schemeClr w14:val="tx1"/>
                  </w14:solidFill>
                </w14:textFill>
              </w:rPr>
              <w:t xml:space="preserve">86978303</w:t>
            </w:r>
            <w:r>
              <w:rPr>
                <w:rFonts w:hint="eastAsia" w:ascii="宋体" w:hAnsi="宋体" w:eastAsia="宋体" w:cs="宋体"/>
                <w:sz w:val="24"/>
                <w:szCs w:val="24"/>
                <w:highlight w:val="none"/>
                <w:lang w:val="en-US" w:eastAsia="zh-CN" w:bidi="ar-SA"/>
              </w:rPr>
              <w:t xml:space="preserve">），实施过程中不得影响现有业务的正常运行和电子政务网、互联网的正常使用。如中标后不能实现与原线路及业务系统的无缝衔接，自行承担相应责任。</w:t>
            </w:r>
            <w:r/>
          </w:p>
        </w:tc>
      </w:tr>
    </w:tbl>
    <w:p>
      <w:pP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numPr>
          <w:ilvl w:val="0"/>
          <w:numId w:val="8"/>
        </w:numPr>
        <w:ind w:left="425" w:hanging="425"/>
        <w:spacing w:line="360" w:lineRule="auto"/>
        <w:rPr>
          <w:rFonts w:hint="eastAsia" w:ascii="宋体" w:hAnsi="宋体" w:eastAsia="宋体" w:cs="宋体"/>
          <w:b/>
          <w:bCs/>
          <w:sz w:val="24"/>
          <w:szCs w:val="24"/>
          <w:lang w:val="en-US" w:eastAsia="zh-CN" w:bidi="ar-SA"/>
        </w:rPr>
        <w:outlineLvl w:val="2"/>
      </w:pPr>
      <w:r>
        <w:rPr>
          <w:rFonts w:hint="eastAsia" w:ascii="宋体" w:hAnsi="宋体" w:eastAsia="宋体" w:cs="宋体"/>
          <w:b/>
          <w:bCs/>
          <w:sz w:val="24"/>
          <w:szCs w:val="24"/>
          <w:lang w:val="en-US" w:eastAsia="zh-CN" w:bidi="ar-SA"/>
        </w:rPr>
        <w:t xml:space="preserve">综合考核</w:t>
      </w:r>
      <w:r/>
    </w:p>
    <w:p>
      <w:pPr>
        <w:ind w:firstLine="480"/>
        <w:jc w:val="both"/>
        <w:spacing w:before="120" w:after="12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合同期内强化综合考评，建立激励奖惩机制。合同执行期间，采购人对维保服务情况进行综合考评（详见综合评分表）。考评分总分100分，95分为合格，考核评定由采购人业务科室人员进行打分。每阶段考核总分达到95分以上（含95分）为合格，该阶段项目费全额支付；每低于1分，该阶段应支付费扣除1%。</w:t>
      </w:r>
      <w:r/>
    </w:p>
    <w:p>
      <w:pPr>
        <w:ind w:firstLine="482"/>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电子政务外网项目维护综合考核评分表</w:t>
      </w:r>
      <w:r/>
    </w:p>
    <w:p>
      <w:pPr>
        <w:ind w:firstLine="482"/>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   年  月  日-    年  月  日）</w:t>
      </w:r>
      <w:r/>
    </w:p>
    <w:p>
      <w:pPr>
        <w:ind w:firstLine="480"/>
        <w:jc w:val="left"/>
        <w:spacing w:before="120" w:after="120"/>
        <w:widowControl w:val="off"/>
        <w:rPr>
          <w:rFonts w:hint="eastAsia" w:ascii="宋体" w:hAnsi="宋体" w:eastAsia="宋体" w:cs="宋体"/>
          <w:bCs/>
          <w:sz w:val="24"/>
          <w:szCs w:val="24"/>
          <w:u w:val="single"/>
          <w:lang w:val="en-US" w:eastAsia="zh-CN" w:bidi="ar-SA"/>
        </w:rPr>
      </w:pPr>
      <w:r>
        <w:rPr>
          <w:rFonts w:hint="eastAsia" w:ascii="宋体" w:hAnsi="宋体" w:eastAsia="宋体" w:cs="宋体"/>
          <w:bCs/>
          <w:sz w:val="24"/>
          <w:szCs w:val="24"/>
          <w:lang w:val="en-US" w:eastAsia="zh-CN" w:bidi="ar-SA"/>
        </w:rPr>
        <w:t xml:space="preserve">中标商：                            总分：</w:t>
      </w:r>
      <w:r/>
    </w:p>
    <w:tbl>
      <w:tblPr>
        <w:tblStyle w:val="707"/>
        <w:tblW w:w="88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915"/>
        <w:gridCol w:w="2283"/>
        <w:gridCol w:w="2293"/>
        <w:gridCol w:w="1039"/>
        <w:gridCol w:w="1262"/>
      </w:tblGrid>
      <w:tr>
        <w:trPr/>
        <w:tc>
          <w:tcPr>
            <w:tcW w:w="1021"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评分项目</w:t>
            </w:r>
            <w:r/>
          </w:p>
        </w:tc>
        <w:tc>
          <w:tcPr>
            <w:tcW w:w="915"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标准分值</w:t>
            </w:r>
            <w:r/>
          </w:p>
        </w:tc>
        <w:tc>
          <w:tcPr>
            <w:tcW w:w="2283"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内容和标准</w:t>
            </w:r>
            <w:r/>
          </w:p>
        </w:tc>
        <w:tc>
          <w:tcPr>
            <w:tcW w:w="2293"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积分方法</w:t>
            </w:r>
            <w:r/>
          </w:p>
        </w:tc>
        <w:tc>
          <w:tcPr>
            <w:tcW w:w="1039"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得分</w:t>
            </w:r>
            <w:r/>
          </w:p>
        </w:tc>
        <w:tc>
          <w:tcPr>
            <w:tcW w:w="1262" w:type="dxa"/>
            <w:vAlign w:val="top"/>
            <w:textDirection w:val="lrTb"/>
            <w:noWrap w:val="false"/>
          </w:tcPr>
          <w:p>
            <w:pPr>
              <w:jc w:val="center"/>
              <w:spacing w:before="120" w:after="12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得分详情</w:t>
            </w:r>
            <w:r/>
          </w:p>
        </w:tc>
      </w:tr>
      <w:t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系统、线路巡检</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40</w:t>
            </w:r>
            <w:r/>
          </w:p>
        </w:tc>
        <w:tc>
          <w:tcPr>
            <w:tcW w:w="228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工作日检查招标文件中设备、网络连接是否运行正常。每季度至少检查1次所有中标线路是否运行正常，必须有巡检记录（内容包括但不限于：时间、地点、检查人员、设备及网络运行情况）。</w:t>
            </w:r>
            <w:r/>
          </w:p>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巡检记录登记真实、完整。</w:t>
            </w:r>
            <w:r/>
          </w:p>
        </w:tc>
        <w:tc>
          <w:tcPr>
            <w:tcW w:w="229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1、巡检记录登记为正常，但被业主发现设备、线路故障的，每次扣1分。</w:t>
            </w:r>
            <w:r/>
          </w:p>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2、未按时巡查，每次扣1分；因未巡查，致未能及时发现设备或线路故障的，每次扣2分。</w:t>
            </w:r>
            <w:r/>
          </w:p>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总扣分不超过20分。</w:t>
            </w:r>
            <w:r/>
          </w:p>
        </w:tc>
        <w:tc>
          <w:tcPr>
            <w:tcW w:w="1039"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62"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设备安全修复</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w:t>
            </w:r>
            <w:r/>
          </w:p>
        </w:tc>
        <w:tc>
          <w:tcPr>
            <w:tcW w:w="228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根据各级网络安全通报、等保测评建议及时完成设备安全漏洞修复。</w:t>
            </w:r>
            <w:r/>
          </w:p>
        </w:tc>
        <w:tc>
          <w:tcPr>
            <w:tcW w:w="229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未按计划完成的，每次扣1分；导致严重后果的，每次扣2分；总扣分不超过20分。</w:t>
            </w:r>
            <w:r/>
          </w:p>
        </w:tc>
        <w:tc>
          <w:tcPr>
            <w:tcW w:w="1039"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62"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故障修复</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25</w:t>
            </w:r>
            <w:r/>
          </w:p>
        </w:tc>
        <w:tc>
          <w:tcPr>
            <w:tcW w:w="228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根据项目需求和合同约定对发生的故障及时响应、处理并修复。</w:t>
            </w:r>
            <w:r/>
          </w:p>
        </w:tc>
        <w:tc>
          <w:tcPr>
            <w:tcW w:w="229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障碍未在合同约定时间内修复，每次扣1分；由于障碍未及时处理造成影响的，每次扣2分。总扣分不超过15分。</w:t>
            </w:r>
            <w:r/>
          </w:p>
        </w:tc>
        <w:tc>
          <w:tcPr>
            <w:tcW w:w="1039"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62"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c>
          <w:tcPr>
            <w:tcW w:w="1021"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服务质量</w:t>
            </w:r>
            <w:r/>
          </w:p>
        </w:tc>
        <w:tc>
          <w:tcPr>
            <w:tcW w:w="915"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w:t>
            </w:r>
            <w:r/>
          </w:p>
        </w:tc>
        <w:tc>
          <w:tcPr>
            <w:tcW w:w="228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与采购人及接入单位沟通态度良好，及时完成</w:t>
            </w:r>
            <w:r>
              <w:rPr>
                <w:rFonts w:hint="eastAsia" w:ascii="宋体" w:hAnsi="宋体" w:eastAsia="宋体" w:cs="宋体"/>
                <w:sz w:val="24"/>
                <w:szCs w:val="24"/>
                <w:lang w:val="en-US" w:eastAsia="zh-CN" w:bidi="ar-SA"/>
              </w:rPr>
              <w:t xml:space="preserve">新增紧急工作任务</w:t>
            </w:r>
            <w:r>
              <w:rPr>
                <w:rFonts w:hint="eastAsia" w:ascii="宋体" w:hAnsi="宋体" w:eastAsia="宋体" w:cs="宋体"/>
                <w:bCs/>
                <w:sz w:val="24"/>
                <w:szCs w:val="24"/>
                <w:lang w:val="en-US" w:eastAsia="zh-CN" w:bidi="ar-SA"/>
              </w:rPr>
              <w:t xml:space="preserve">。</w:t>
            </w:r>
            <w:r/>
          </w:p>
        </w:tc>
        <w:tc>
          <w:tcPr>
            <w:tcW w:w="2293"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与采购人及接入单位沟通态度不好，接到投诉每次扣1分。总扣分不超过10分。</w:t>
            </w:r>
            <w:r/>
          </w:p>
        </w:tc>
        <w:tc>
          <w:tcPr>
            <w:tcW w:w="1039"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262" w:type="dxa"/>
            <w:vAlign w:val="top"/>
            <w:textDirection w:val="lrTb"/>
            <w:noWrap w:val="false"/>
          </w:tcPr>
          <w:p>
            <w:pPr>
              <w:jc w:val="left"/>
              <w:spacing w:before="120" w:after="120"/>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24"/>
        <w:rPr>
          <w:rFonts w:hint="eastAsia"/>
          <w:b/>
          <w:bCs/>
        </w:rPr>
      </w:pPr>
      <w:r/>
      <w:bookmarkStart w:id="201" w:name="_Toc9666"/>
      <w:r/>
      <w:bookmarkStart w:id="202" w:name="_Toc5710"/>
      <w:r/>
      <w:bookmarkStart w:id="203" w:name="_Toc120614281"/>
      <w:r>
        <w:rPr>
          <w:rFonts w:hint="eastAsia"/>
          <w:b/>
          <w:bCs/>
        </w:rPr>
        <w:t xml:space="preserve">第五章评标方法与评标标准</w:t>
      </w:r>
      <w:bookmarkEnd w:id="201"/>
      <w:r/>
      <w:bookmarkEnd w:id="202"/>
      <w:r/>
      <w:r/>
    </w:p>
    <w:p>
      <w:r/>
      <w:r/>
    </w:p>
    <w:p>
      <w:pPr>
        <w:pStyle w:val="1021"/>
        <w:ind w:firstLine="439"/>
        <w:rPr>
          <w:rFonts w:cs="Arial"/>
          <w:color w:val="0000ff"/>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。本项目推荐中标候选人3家。</w:t>
      </w:r>
      <w:r/>
    </w:p>
    <w:p>
      <w:pPr>
        <w:pStyle w:val="1021"/>
        <w:ind w:firstLine="441"/>
        <w:rPr>
          <w:rFonts w:ascii="宋体" w:hAnsi="宋体"/>
          <w:b/>
        </w:rPr>
      </w:pPr>
      <w:r>
        <w:rPr>
          <w:rFonts w:hint="eastAsia" w:ascii="宋体" w:hAnsi="宋体"/>
          <w:b/>
        </w:rPr>
        <w:t xml:space="preserve">政府采购政策功能落实：</w:t>
      </w:r>
      <w:r/>
    </w:p>
    <w:p>
      <w:pPr>
        <w:pStyle w:val="1021"/>
        <w:spacing w:line="240" w:lineRule="auto"/>
        <w:rPr>
          <w:rFonts w:cs="Arial"/>
        </w:rPr>
      </w:pPr>
      <w:r>
        <w:rPr>
          <w:rFonts w:hint="eastAsia" w:cs="Arial"/>
        </w:rPr>
        <w:t xml:space="preserve">1、小微型企业价格扣除</w:t>
      </w:r>
      <w:r/>
    </w:p>
    <w:p>
      <w:pPr>
        <w:pStyle w:val="1021"/>
        <w:ind w:firstLine="360"/>
        <w:spacing w:line="240" w:lineRule="auto"/>
        <w:rPr>
          <w:rFonts w:cs="Arial"/>
        </w:rPr>
      </w:pPr>
      <w:r>
        <w:rPr>
          <w:rFonts w:hint="eastAsia" w:cs="Arial"/>
        </w:rPr>
        <w:t xml:space="preserve">（1）本项目对小型和微型企业提供的服务给予</w:t>
      </w:r>
      <w:r>
        <w:rPr>
          <w:rFonts w:hint="eastAsia" w:cs="Arial"/>
          <w:lang w:val="en-US" w:eastAsia="zh-CN"/>
        </w:rPr>
        <w:t xml:space="preserve">20%</w:t>
      </w:r>
      <w:r>
        <w:rPr>
          <w:rFonts w:hint="eastAsia" w:cs="Arial"/>
        </w:rPr>
        <w:t xml:space="preserve">的扣除价格，用扣除后的价格参与评审。</w:t>
      </w:r>
      <w:r/>
    </w:p>
    <w:p>
      <w:pPr>
        <w:pStyle w:val="1021"/>
        <w:ind w:firstLine="360"/>
        <w:spacing w:line="240" w:lineRule="auto"/>
        <w:rPr>
          <w:rFonts w:cs="Arial"/>
        </w:rPr>
      </w:pPr>
      <w:r>
        <w:rPr>
          <w:rFonts w:hint="eastAsia" w:cs="Arial"/>
        </w:rPr>
        <w:t xml:space="preserve">（2）供应商需按照采购文件的要求提供相应的《小微企业声明函》。</w:t>
      </w:r>
      <w:r/>
    </w:p>
    <w:p>
      <w:pPr>
        <w:pStyle w:val="1021"/>
        <w:ind w:firstLine="360"/>
        <w:spacing w:line="240" w:lineRule="auto"/>
        <w:rPr>
          <w:rFonts w:cs="Arial"/>
        </w:rPr>
      </w:pPr>
      <w:r>
        <w:rPr>
          <w:rFonts w:hint="eastAsia" w:cs="Arial"/>
        </w:rPr>
        <w:t xml:space="preserve">（3）企业标准请参照《关于印发中小企业划型标准规定的通知》（工信部联企业[2011]300号）文件规定自行填写。</w:t>
      </w:r>
      <w:r/>
    </w:p>
    <w:p>
      <w:pPr>
        <w:pStyle w:val="1021"/>
        <w:spacing w:line="240" w:lineRule="auto"/>
        <w:rPr>
          <w:rFonts w:cs="Arial"/>
        </w:rPr>
      </w:pPr>
      <w:r>
        <w:rPr>
          <w:rFonts w:hint="eastAsia" w:cs="Arial"/>
        </w:rPr>
        <w:t xml:space="preserve">2、残疾人福利单位价格扣除</w:t>
      </w:r>
      <w:r/>
    </w:p>
    <w:p>
      <w:pPr>
        <w:pStyle w:val="1021"/>
        <w:ind w:left="120" w:firstLine="360"/>
        <w:spacing w:line="240" w:lineRule="auto"/>
        <w:rPr>
          <w:rFonts w:cs="Arial"/>
        </w:rPr>
      </w:pPr>
      <w:r>
        <w:rPr>
          <w:rFonts w:hint="eastAsia" w:cs="Arial"/>
        </w:rPr>
        <w:t xml:space="preserve">（1）本项目对残疾人福利性单位视同小型、微型企业，给予</w:t>
      </w:r>
      <w:r>
        <w:rPr>
          <w:rFonts w:hint="eastAsia" w:cs="Arial"/>
          <w:lang w:val="en-US" w:eastAsia="zh-CN"/>
        </w:rPr>
        <w:t xml:space="preserve">20%</w:t>
      </w:r>
      <w:r>
        <w:rPr>
          <w:rFonts w:hint="eastAsia" w:cs="Arial"/>
        </w:rPr>
        <w:t xml:space="preserve">的价格扣除，用扣除后的价格参与评审。</w:t>
      </w:r>
      <w:r/>
    </w:p>
    <w:p>
      <w:pPr>
        <w:pStyle w:val="1021"/>
        <w:ind w:left="120" w:firstLine="360"/>
        <w:spacing w:line="240" w:lineRule="auto"/>
        <w:rPr>
          <w:rFonts w:cs="Arial"/>
        </w:rPr>
      </w:pPr>
      <w:r>
        <w:rPr>
          <w:rFonts w:hint="eastAsia" w:cs="Arial"/>
        </w:rPr>
        <w:t xml:space="preserve">（2）残疾人福利单位需按照采购文件的要求提供《残疾人福利性单位声明函》。</w:t>
      </w:r>
      <w:r/>
    </w:p>
    <w:p>
      <w:pPr>
        <w:pStyle w:val="1021"/>
        <w:ind w:left="120" w:firstLine="360"/>
        <w:spacing w:line="240" w:lineRule="auto"/>
        <w:rPr>
          <w:rFonts w:cs="Arial"/>
        </w:rPr>
      </w:pPr>
      <w:r>
        <w:rPr>
          <w:rFonts w:hint="eastAsia" w:cs="Arial"/>
        </w:rPr>
        <w:t xml:space="preserve">（3）残疾人福利单位标准请参照《关于促进残疾人就业政府采购政策的通知》（财库〔2017〕141号）。</w:t>
      </w:r>
      <w:r/>
    </w:p>
    <w:p>
      <w:pPr>
        <w:pStyle w:val="1021"/>
        <w:spacing w:line="240" w:lineRule="auto"/>
        <w:rPr>
          <w:rFonts w:cs="Arial"/>
        </w:rPr>
      </w:pPr>
      <w:r>
        <w:rPr>
          <w:rFonts w:hint="eastAsia" w:cs="Arial"/>
        </w:rPr>
        <w:t xml:space="preserve">3、监狱和戒毒企业价格扣除</w:t>
      </w:r>
      <w:r/>
    </w:p>
    <w:p>
      <w:pPr>
        <w:pStyle w:val="1021"/>
        <w:spacing w:line="240" w:lineRule="auto"/>
        <w:rPr>
          <w:rFonts w:cs="Arial"/>
        </w:rPr>
      </w:pPr>
      <w:r>
        <w:rPr>
          <w:rFonts w:hint="eastAsia" w:cs="Arial"/>
        </w:rPr>
        <w:t xml:space="preserve">（1）本项目对监狱和戒毒企业（简称监狱企业）视同小型、微型企业，给予</w:t>
      </w:r>
      <w:r>
        <w:rPr>
          <w:rFonts w:hint="eastAsia" w:cs="Arial"/>
          <w:lang w:val="en-US" w:eastAsia="zh-CN"/>
        </w:rPr>
        <w:t xml:space="preserve">20%</w:t>
      </w:r>
      <w:r>
        <w:rPr>
          <w:rFonts w:hint="eastAsia" w:cs="Arial"/>
        </w:rPr>
        <w:t xml:space="preserve">的价格扣除，用扣除后的价格参与评审。</w:t>
      </w:r>
      <w:r/>
    </w:p>
    <w:p>
      <w:pPr>
        <w:pStyle w:val="1021"/>
        <w:spacing w:line="240" w:lineRule="auto"/>
        <w:rPr>
          <w:rFonts w:cs="Arial"/>
        </w:rPr>
      </w:pPr>
      <w:r>
        <w:rPr>
          <w:rFonts w:hint="eastAsia" w:cs="Aria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1"/>
        <w:spacing w:line="240" w:lineRule="auto"/>
        <w:rPr>
          <w:rFonts w:cs="Arial"/>
        </w:rPr>
      </w:pPr>
      <w:r>
        <w:rPr>
          <w:rFonts w:hint="eastAsia" w:cs="Arial"/>
        </w:rPr>
        <w:t xml:space="preserve">（3）监狱企业标准请参照《关于政府采购支持监狱企业发展有关问题的通知》（</w:t>
      </w:r>
      <w:r>
        <w:rPr>
          <w:rFonts w:cs="Arial"/>
        </w:rPr>
        <w:t xml:space="preserve">财库[2014]68号</w:t>
      </w:r>
      <w:r>
        <w:rPr>
          <w:rFonts w:hint="eastAsia" w:cs="Arial"/>
        </w:rPr>
        <w:t xml:space="preserve">）。</w:t>
      </w:r>
      <w:r/>
    </w:p>
    <w:p>
      <w:pPr>
        <w:pStyle w:val="1021"/>
        <w:spacing w:line="240" w:lineRule="auto"/>
        <w:rPr>
          <w:rFonts w:cs="Arial"/>
        </w:rPr>
      </w:pPr>
      <w:r>
        <w:rPr>
          <w:rFonts w:hint="eastAsia" w:cs="Arial"/>
        </w:rPr>
        <w:t xml:space="preserve">4、残疾人福利单位、监狱企业属于小型、微型企业的，不重复享受政策。</w:t>
      </w:r>
      <w:r/>
    </w:p>
    <w:p>
      <w:pPr>
        <w:pStyle w:val="1021"/>
        <w:spacing w:line="240" w:lineRule="auto"/>
        <w:rPr>
          <w:rFonts w:cs="Arial"/>
        </w:rPr>
      </w:pPr>
      <w:r>
        <w:rPr>
          <w:rFonts w:hint="eastAsia" w:cs="Aria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Arial"/>
          <w:lang w:val="en-US" w:eastAsia="zh-CN"/>
        </w:rPr>
        <w:t xml:space="preserve">6%</w:t>
      </w:r>
      <w:r>
        <w:rPr>
          <w:rFonts w:hint="eastAsia" w:cs="Arial"/>
        </w:rPr>
        <w:t xml:space="preserve">的价格扣除，用扣除后的价格参与评审。</w:t>
      </w:r>
      <w:r/>
    </w:p>
    <w:p>
      <w:pPr>
        <w:pStyle w:val="1021"/>
        <w:spacing w:line="400" w:lineRule="exact"/>
        <w:rPr>
          <w:rFonts w:cs="Arial"/>
        </w:rPr>
      </w:pPr>
      <w:r>
        <w:rPr>
          <w:rFonts w:hint="eastAsia" w:cs="Arial"/>
        </w:rPr>
        <w:t xml:space="preserve">6、联合体各方均为小型、微型企业（残疾人福利单位、监狱企业）的，联合体</w:t>
      </w:r>
      <w:bookmarkStart w:id="227" w:name="_GoBack"/>
      <w:r/>
      <w:bookmarkEnd w:id="227"/>
      <w:r>
        <w:rPr>
          <w:rFonts w:hint="eastAsia" w:cs="Arial"/>
        </w:rPr>
        <w:t xml:space="preserve">享受</w:t>
      </w:r>
      <w:r>
        <w:rPr>
          <w:rFonts w:hint="eastAsia" w:cs="Arial"/>
          <w:lang w:val="en-US" w:eastAsia="zh-CN"/>
        </w:rPr>
        <w:t xml:space="preserve">20%</w:t>
      </w:r>
      <w:r>
        <w:rPr>
          <w:rFonts w:hint="eastAsia" w:cs="Arial"/>
        </w:rPr>
        <w:t xml:space="preserve">价格扣除，用扣除后的价格参与评审。</w:t>
      </w:r>
      <w:r/>
    </w:p>
    <w:p>
      <w:pPr>
        <w:pStyle w:val="737"/>
        <w:rPr>
          <w:rFonts w:hint="eastAsia" w:ascii="宋体" w:hAnsi="宋体"/>
          <w:b/>
        </w:rPr>
      </w:pPr>
      <w:r>
        <w:rPr>
          <w:rFonts w:hint="eastAsia" w:ascii="宋体" w:hAnsi="宋体"/>
          <w:b/>
        </w:rPr>
        <w:t xml:space="preserve">评标方法与评标标准</w:t>
      </w:r>
      <w:r/>
    </w:p>
    <w:p>
      <w:pPr>
        <w:ind w:firstLine="0"/>
        <w:jc w:val="left"/>
        <w:spacing w:before="120" w:after="120" w:line="360" w:lineRule="auto"/>
        <w:widowControl w:val="off"/>
        <w:rPr>
          <w:rFonts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分包一：</w:t>
      </w:r>
      <w:r/>
    </w:p>
    <w:tbl>
      <w:tblPr>
        <w:tblStyle w:val="707"/>
        <w:tblW w:w="84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742"/>
        <w:gridCol w:w="5469"/>
      </w:tblGrid>
      <w:tr>
        <w:trPr>
          <w:cantSplit/>
          <w:jc w:val="center"/>
          <w:trHeight w:val="425"/>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
              </w:rPr>
              <w:t xml:space="preserve">项  目</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center"/>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
              </w:rPr>
              <w:t xml:space="preserve">评  分  标  准</w:t>
            </w:r>
            <w:r/>
          </w:p>
        </w:tc>
      </w:tr>
      <w:tr>
        <w:trPr>
          <w:cantSplit/>
          <w:jc w:val="center"/>
          <w:trHeight w:val="872"/>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价 格</w:t>
            </w:r>
            <w:r/>
          </w:p>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（10分）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满足招标文件要求投标价格最低的投标报价为评标基准价，其价格为满分10分，其他投标人的价格分按照下列公式计算：</w:t>
            </w:r>
            <w:r/>
          </w:p>
          <w:p>
            <w:pPr>
              <w:ind w:firstLine="480"/>
              <w:spacing w:line="273"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投标报价得分=（评标基准价/其他投标报价）×10×100%，小数点后保留2位。</w:t>
            </w:r>
            <w:r/>
          </w:p>
          <w:p>
            <w:pPr>
              <w:ind w:firstLine="480"/>
              <w:spacing w:line="273" w:lineRule="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注：若投标人的报价明显低于其他通过资格性和符合性审查的投标报价的，投标人须提供相关证明材料证明其报价的合理性，否则视为无效报价。</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技术性能</w:t>
            </w:r>
            <w:r/>
          </w:p>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（40分）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对照采购文件第四章项目需求中标▲项技术服务指标要求进行评分，</w:t>
            </w:r>
            <w:r>
              <w:rPr>
                <w:rFonts w:hint="eastAsia" w:ascii="宋体" w:hAnsi="宋体" w:eastAsia="宋体" w:cs="宋体"/>
                <w:sz w:val="24"/>
                <w:szCs w:val="24"/>
                <w:lang w:val="en-US" w:eastAsia="zh-CN" w:bidi="ar-SA"/>
              </w:rPr>
              <w:t xml:space="preserve">标▲项共计20项，每有1项达到或优于招标文件要求的得2分，满分40分。</w:t>
            </w:r>
            <w:r/>
          </w:p>
          <w:p>
            <w:pPr>
              <w:ind w:firstLine="480"/>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sz w:val="24"/>
                <w:szCs w:val="24"/>
                <w:lang w:val="en-US" w:eastAsia="zh-CN" w:bidi="ar-SA"/>
              </w:rPr>
              <w:t xml:space="preserve">注：标“</w:t>
            </w:r>
            <w:r>
              <w:rPr>
                <w:rFonts w:hint="eastAsia" w:ascii="宋体" w:hAnsi="宋体" w:eastAsia="宋体" w:cs="宋体"/>
                <w:color w:val="000000"/>
                <w:sz w:val="24"/>
                <w:szCs w:val="24"/>
                <w:lang w:val="en-US" w:eastAsia="zh-CN" w:bidi="ar"/>
              </w:rPr>
              <w:t xml:space="preserve">▲”项</w:t>
            </w:r>
            <w:r>
              <w:rPr>
                <w:rFonts w:hint="eastAsia" w:ascii="宋体" w:hAnsi="宋体" w:eastAsia="宋体" w:cs="宋体"/>
                <w:sz w:val="24"/>
                <w:szCs w:val="24"/>
                <w:lang w:val="en-US" w:eastAsia="zh-CN" w:bidi="ar-SA"/>
              </w:rPr>
              <w:t xml:space="preserve">各投标人应提供证明材料（如白皮书、彩页、手册、</w:t>
            </w:r>
            <w:r>
              <w:rPr>
                <w:rFonts w:hint="eastAsia" w:ascii="宋体" w:hAnsi="宋体" w:eastAsia="宋体" w:cs="宋体"/>
                <w:sz w:val="24"/>
                <w:szCs w:val="24"/>
                <w:highlight w:val="none"/>
                <w:lang w:val="en-US" w:eastAsia="zh-CN" w:bidi="ar-SA"/>
              </w:rPr>
              <w:t xml:space="preserve">网页截图</w:t>
            </w:r>
            <w:r>
              <w:rPr>
                <w:rFonts w:hint="eastAsia" w:ascii="宋体" w:hAnsi="宋体" w:eastAsia="宋体" w:cs="宋体"/>
                <w:sz w:val="24"/>
                <w:szCs w:val="24"/>
                <w:lang w:val="en-US" w:eastAsia="zh-CN" w:bidi="ar-SA"/>
              </w:rPr>
              <w:t xml:space="preserve">等其他相关证明材料原件扫描上传）。</w:t>
            </w:r>
            <w:r/>
          </w:p>
        </w:tc>
      </w:tr>
      <w:tr>
        <w:trPr>
          <w:jc w:val="center"/>
          <w:trHeight w:val="699"/>
        </w:trPr>
        <w:tc>
          <w:tcPr>
            <w:tcBorders>
              <w:top w:val="single" w:color="auto" w:sz="4" w:space="0"/>
              <w:left w:val="single" w:color="auto" w:sz="4" w:space="0"/>
              <w:right w:val="single" w:color="auto" w:sz="4" w:space="0"/>
            </w:tcBorders>
            <w:tcW w:w="1267" w:type="dxa"/>
            <w:vAlign w:val="center"/>
            <w:vMerge w:val="restart"/>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技术方案</w:t>
            </w:r>
            <w:r/>
          </w:p>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（40分）</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项目总体方案（5分）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项目实施方案（5分）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项目管理方案（5分）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信息安全防护方案（5分）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“零信任”安全管控实施方案（5分）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互联网出口线路割接方案（5分）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电子政务外网业务系统割接方案（5分）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bottom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应急保障方案（5分）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cantSplit/>
          <w:jc w:val="center"/>
          <w:trHeight w:val="943"/>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售后服务</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sz w:val="24"/>
                <w:szCs w:val="24"/>
                <w:lang w:val="en-US" w:eastAsia="zh-CN" w:bidi="ar"/>
              </w:rPr>
              <w:t xml:space="preserve">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售后服务方案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售后服务能力和项目培训方案优</w:t>
            </w:r>
            <w:r>
              <w:rPr>
                <w:rFonts w:hint="eastAsia" w:ascii="宋体" w:hAnsi="宋体" w:eastAsia="宋体" w:cs="宋体"/>
                <w:color w:val="000000"/>
                <w:sz w:val="24"/>
                <w:szCs w:val="24"/>
                <w:lang w:bidi="ar"/>
              </w:rPr>
              <w:t xml:space="preserve">于招标文件要求的得</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分，符合招标文件要求的得</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分，不符合招标交件或未提供的不得分。</w:t>
            </w:r>
            <w:r/>
          </w:p>
        </w:tc>
      </w:tr>
      <w:tr>
        <w:trPr>
          <w:cantSplit/>
          <w:jc w:val="center"/>
          <w:trHeight w:val="861"/>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000000"/>
                <w:sz w:val="24"/>
                <w:szCs w:val="24"/>
                <w:lang w:val="en-US" w:eastAsia="zh-CN" w:bidi="ar-SA"/>
              </w:rPr>
            </w:pPr>
            <w:r>
              <w:rPr>
                <w:rFonts w:hint="eastAsia" w:ascii="宋体" w:hAnsi="宋体" w:eastAsia="宋体" w:cs="宋体"/>
                <w:bCs/>
                <w:sz w:val="24"/>
                <w:szCs w:val="24"/>
                <w:lang w:val="en-US" w:eastAsia="zh-CN" w:bidi="ar"/>
              </w:rPr>
              <w:t xml:space="preserve">类似业绩</w:t>
            </w:r>
            <w:r/>
          </w:p>
          <w:p>
            <w:pPr>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（5分）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1、2021年1月以来（以合同签订时间为准）签约的类似本包项目合同，每有1个得1分，满分5分。</w:t>
            </w:r>
            <w:r>
              <w:rPr>
                <w:rFonts w:hint="eastAsia" w:ascii="宋体" w:hAnsi="宋体" w:eastAsia="宋体" w:cs="宋体"/>
                <w:sz w:val="24"/>
                <w:szCs w:val="24"/>
                <w:highlight w:val="none"/>
                <w:lang w:val="en-US" w:eastAsia="zh-CN" w:bidi="ar-SA"/>
              </w:rPr>
              <w:t xml:space="preserve">（提供合同原件，扫描上传）</w:t>
            </w:r>
            <w:r/>
          </w:p>
        </w:tc>
      </w:tr>
    </w:tbl>
    <w:p>
      <w:pP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0"/>
        <w:jc w:val="left"/>
        <w:spacing w:before="120" w:after="12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分包二： </w:t>
      </w:r>
      <w:r/>
    </w:p>
    <w:tbl>
      <w:tblPr>
        <w:tblStyle w:val="707"/>
        <w:tblW w:w="84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742"/>
        <w:gridCol w:w="5469"/>
      </w:tblGrid>
      <w:tr>
        <w:trPr>
          <w:cantSplit/>
          <w:jc w:val="center"/>
          <w:trHeight w:val="425"/>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项  目</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center"/>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评  分  标  准</w:t>
            </w:r>
            <w:r/>
          </w:p>
        </w:tc>
      </w:tr>
      <w:tr>
        <w:trPr>
          <w:cantSplit/>
          <w:jc w:val="center"/>
          <w:trHeight w:val="872"/>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价 格</w:t>
            </w:r>
            <w:r/>
          </w:p>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（10分）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满足招标文件要求投标价格最低的投标报价为评标基准价，其价格为满分10分，其他投标人的价格分按照下列公式计算：</w:t>
            </w:r>
            <w:r/>
          </w:p>
          <w:p>
            <w:pPr>
              <w:ind w:firstLine="480"/>
              <w:spacing w:line="273"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投标报价得分=（评标基准价/其他投标报价）×10×100%，小数点后保留2位。</w:t>
            </w:r>
            <w:r/>
          </w:p>
          <w:p>
            <w:pPr>
              <w:ind w:firstLine="480"/>
              <w:spacing w:line="273"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注：若投标人的报价明显低于其他通过资格性和符合性审查的投标报价的，投标人须提供相关证明材料证明其报价的合理性，否则视为无效报价。</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技术性能</w:t>
            </w:r>
            <w:r/>
          </w:p>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对照采购文件第四章项目需求中标▲项技术服务指标要求进行评分，标▲项共计20项，每有1项达到或优于招标文件要求的得2分，满分40分。</w:t>
            </w:r>
            <w:r/>
          </w:p>
          <w:p>
            <w:pPr>
              <w:ind w:firstLine="480"/>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注：标“▲”项各投标人应提供证明材料（如白皮书、彩页、手册、网页截图等其他相关证明材料原件扫描上传）。</w:t>
            </w:r>
            <w:r/>
          </w:p>
        </w:tc>
      </w:tr>
      <w:tr>
        <w:trPr>
          <w:jc w:val="center"/>
          <w:trHeight w:val="699"/>
        </w:trPr>
        <w:tc>
          <w:tcPr>
            <w:tcBorders>
              <w:top w:val="single" w:color="auto" w:sz="4" w:space="0"/>
              <w:left w:val="single" w:color="auto" w:sz="4" w:space="0"/>
              <w:right w:val="single" w:color="auto" w:sz="4" w:space="0"/>
            </w:tcBorders>
            <w:tcW w:w="1267" w:type="dxa"/>
            <w:vAlign w:val="center"/>
            <w:vMerge w:val="restart"/>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技术方案</w:t>
            </w:r>
            <w:r/>
          </w:p>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（40分）</w:t>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项目总体方案（5分）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项目实施方案（5分）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lang w:val="en-US" w:eastAsia="zh-CN" w:bidi="ar"/>
              </w:rPr>
              <w:t xml:space="preserve">项目管理方案（5分）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信息安全防护方案（5分）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互联网出口线路割接方案（5分）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电子政务外网业务系统割接方案（5分）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等保测评实施方案（5分）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jc w:val="center"/>
          <w:trHeight w:val="699"/>
        </w:trPr>
        <w:tc>
          <w:tcPr>
            <w:tcBorders>
              <w:left w:val="single" w:color="auto" w:sz="4" w:space="0"/>
              <w:bottom w:val="single" w:color="auto" w:sz="4" w:space="0"/>
              <w:right w:val="single" w:color="auto" w:sz="4" w:space="0"/>
            </w:tcBorders>
            <w:tcW w:w="1267" w:type="dxa"/>
            <w:vAlign w:val="center"/>
            <w:vMerge w:val="continue"/>
            <w:textDirection w:val="lrTb"/>
            <w:noWrap w:val="false"/>
          </w:tcPr>
          <w:p>
            <w:pPr>
              <w:jc w:val="center"/>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应急保障方案（5分）</w:t>
            </w:r>
            <w:r/>
          </w:p>
        </w:tc>
        <w:tc>
          <w:tcPr>
            <w:tcBorders>
              <w:top w:val="single" w:color="auto" w:sz="4" w:space="0"/>
              <w:left w:val="none" w:color="000000" w:sz="4" w:space="0"/>
              <w:bottom w:val="single" w:color="auto" w:sz="4" w:space="0"/>
              <w:right w:val="single" w:color="auto" w:sz="4" w:space="0"/>
            </w:tcBorders>
            <w:tcW w:w="5469" w:type="dxa"/>
            <w:vAlign w:val="center"/>
            <w:textDirection w:val="lrTb"/>
            <w:noWrap w:val="false"/>
          </w:tcPr>
          <w:p>
            <w:pPr>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方案内容优于招标文件要求的得5分，符合招标文件要求的得3分，不符合招标交件或未提供的不得分。</w:t>
            </w:r>
            <w:r/>
          </w:p>
        </w:tc>
      </w:tr>
      <w:tr>
        <w:trPr>
          <w:cantSplit/>
          <w:jc w:val="center"/>
          <w:trHeight w:val="851"/>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售后服务</w:t>
            </w:r>
            <w:r/>
          </w:p>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rPr>
              <w:t xml:space="preserve">售后服务方案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售后服务能力和项目培训方案优</w:t>
            </w:r>
            <w:r>
              <w:rPr>
                <w:rFonts w:hint="eastAsia" w:ascii="宋体" w:hAnsi="宋体" w:eastAsia="宋体" w:cs="宋体"/>
                <w:color w:val="000000"/>
                <w:sz w:val="24"/>
                <w:szCs w:val="24"/>
                <w:lang w:bidi="ar"/>
              </w:rPr>
              <w:t xml:space="preserve">于招标文件要求的得</w:t>
            </w: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分，符合招标文件要求的得</w:t>
            </w: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bidi="ar"/>
              </w:rPr>
              <w:t xml:space="preserve">分，不符合招标交件或未提供的不得分。</w:t>
            </w:r>
            <w:r/>
          </w:p>
        </w:tc>
      </w:tr>
      <w:tr>
        <w:trPr>
          <w:cantSplit/>
          <w:jc w:val="center"/>
          <w:trHeight w:val="1376"/>
        </w:trPr>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Cs/>
                <w:sz w:val="24"/>
                <w:szCs w:val="24"/>
                <w:highlight w:val="none"/>
                <w:lang w:val="en-US" w:eastAsia="zh-CN" w:bidi="ar"/>
              </w:rPr>
              <w:t xml:space="preserve">类似业绩</w:t>
            </w:r>
            <w:r/>
          </w:p>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（5分）</w:t>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ind w:firstLine="480"/>
              <w:spacing w:line="273"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1、2021年1月以来（以合同签订时间为准）签约的类似本包项目合同，每有1个得1分，满分5分。</w:t>
            </w:r>
            <w:r>
              <w:rPr>
                <w:rFonts w:hint="eastAsia" w:ascii="宋体" w:hAnsi="宋体" w:eastAsia="宋体" w:cs="宋体"/>
                <w:sz w:val="24"/>
                <w:szCs w:val="24"/>
                <w:highlight w:val="none"/>
                <w:lang w:val="en-US" w:eastAsia="zh-CN" w:bidi="ar-SA"/>
              </w:rPr>
              <w:t xml:space="preserve">（提供合同原件，扫描上传）</w:t>
            </w:r>
            <w:r/>
          </w:p>
        </w:tc>
      </w:tr>
    </w:tbl>
    <w:p>
      <w:r/>
      <w:r/>
    </w:p>
    <w:p>
      <w:r/>
      <w:r/>
    </w:p>
    <w:p>
      <w:r/>
      <w:r/>
    </w:p>
    <w:p>
      <w:pPr>
        <w:pStyle w:val="737"/>
      </w:pPr>
      <w:r/>
      <w:r/>
    </w:p>
    <w:p>
      <w:r/>
      <w:r/>
    </w:p>
    <w:p>
      <w:r/>
      <w:r/>
    </w:p>
    <w:p>
      <w:pPr>
        <w:pStyle w:val="924"/>
        <w:rPr>
          <w:rFonts w:hint="eastAsia"/>
          <w:b/>
          <w:bCs/>
        </w:rPr>
      </w:pPr>
      <w:r/>
      <w:bookmarkStart w:id="204" w:name="_Toc13255"/>
      <w:r/>
      <w:bookmarkStart w:id="205" w:name="_Toc27232"/>
      <w:r>
        <w:rPr>
          <w:rFonts w:hint="eastAsia"/>
          <w:b/>
          <w:bCs/>
        </w:rPr>
        <w:br w:type="page" w:clear="all"/>
      </w:r>
      <w:r/>
    </w:p>
    <w:p>
      <w:pPr>
        <w:pStyle w:val="924"/>
        <w:rPr>
          <w:rFonts w:hint="eastAsia"/>
          <w:b/>
          <w:bCs/>
        </w:rPr>
      </w:pPr>
      <w:r>
        <w:rPr>
          <w:rFonts w:hint="eastAsia"/>
          <w:b/>
          <w:bCs/>
        </w:rPr>
        <w:t xml:space="preserve">第六章投标</w:t>
      </w:r>
      <w:bookmarkEnd w:id="198"/>
      <w:r/>
      <w:bookmarkEnd w:id="199"/>
      <w:r/>
      <w:bookmarkEnd w:id="203"/>
      <w:r>
        <w:rPr>
          <w:rFonts w:hint="eastAsia"/>
          <w:b/>
          <w:bCs/>
        </w:rPr>
        <w:t xml:space="preserve">文件格式</w:t>
      </w:r>
      <w:bookmarkEnd w:id="204"/>
      <w:r/>
      <w:bookmarkEnd w:id="205"/>
      <w:r/>
      <w:r/>
    </w:p>
    <w:p>
      <w:pPr>
        <w:jc w:val="center"/>
        <w:rPr>
          <w:rFonts w:ascii="宋体" w:hAnsi="宋体"/>
          <w:b/>
          <w:sz w:val="72"/>
        </w:rPr>
      </w:pPr>
      <w:r/>
      <w:bookmarkStart w:id="206" w:name="_Hlt26671244"/>
      <w:r/>
      <w:bookmarkEnd w:id="206"/>
      <w:r/>
      <w:bookmarkStart w:id="207" w:name="_Hlt26955039"/>
      <w:r/>
      <w:bookmarkEnd w:id="207"/>
      <w:r/>
      <w:bookmarkStart w:id="208" w:name="_Toc49090576"/>
      <w:r/>
      <w:bookmarkStart w:id="209" w:name="_Toc120614282"/>
      <w:r/>
      <w:bookmarkStart w:id="210" w:name="_Toc26554094"/>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项 目 编 号：</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jc w:val="both"/>
        <w:rPr>
          <w:rFonts w:ascii="宋体" w:hAnsi="宋体" w:eastAsia="宋体" w:cs="Times New Roman"/>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eastAsia="宋体" w:cs="Times New Roman"/>
          <w:b/>
          <w:bCs/>
          <w:sz w:val="32"/>
          <w:szCs w:val="32"/>
        </w:rPr>
        <w:t xml:space="preserve">投标文件目录</w:t>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ascii="宋体" w:hAnsi="宋体"/>
          <w:i/>
          <w:sz w:val="24"/>
          <w:u w:val="single"/>
        </w:rPr>
      </w:pPr>
      <w:r>
        <w:rPr>
          <w:rFonts w:hint="eastAsia" w:ascii="宋体" w:hAnsi="宋体"/>
          <w:i/>
          <w:sz w:val="24"/>
          <w:u w:val="single"/>
        </w:rPr>
        <w:t xml:space="preserve">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w:t>
      </w:r>
      <w:r>
        <w:rPr>
          <w:rFonts w:hint="eastAsia" w:ascii="宋体" w:hAnsi="宋体"/>
          <w:i w:val="0"/>
          <w:iCs/>
          <w:sz w:val="24"/>
          <w:u w:val="none"/>
        </w:rPr>
        <w:t xml:space="preserve">中小企业声明函、</w:t>
      </w:r>
      <w:r>
        <w:rPr>
          <w:rFonts w:hint="eastAsia" w:ascii="宋体" w:hAnsi="宋体"/>
          <w:sz w:val="24"/>
        </w:rPr>
        <w:t xml:space="preserve">残疾人福利性单位声明函）</w:t>
      </w:r>
      <w:r/>
    </w:p>
    <w:p>
      <w:pPr>
        <w:ind w:firstLine="480"/>
        <w:spacing w:line="440" w:lineRule="exact"/>
        <w:rPr>
          <w:rFonts w:ascii="宋体" w:hAnsi="宋体"/>
          <w:sz w:val="24"/>
          <w:highlight w:val="yellow"/>
        </w:rPr>
      </w:pPr>
      <w:r>
        <w:rPr>
          <w:rFonts w:hint="eastAsia" w:ascii="宋体" w:hAnsi="宋体"/>
          <w:sz w:val="24"/>
        </w:rPr>
        <w:t xml:space="preserve">十一、联合体协议</w:t>
      </w:r>
      <w:r/>
    </w:p>
    <w:p>
      <w:pPr>
        <w:ind w:firstLine="480"/>
        <w:spacing w:line="440" w:lineRule="exact"/>
        <w:rPr>
          <w:rFonts w:ascii="宋体" w:hAnsi="宋体"/>
          <w:iCs/>
          <w:sz w:val="24"/>
        </w:rPr>
      </w:pPr>
      <w:r>
        <w:rPr>
          <w:rFonts w:hint="eastAsia" w:ascii="宋体" w:hAnsi="宋体"/>
          <w:iCs/>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37"/>
        <w:rPr>
          <w:rFonts w:hAnsi="宋体"/>
        </w:rPr>
      </w:pPr>
      <w:r>
        <w:rPr>
          <w:rFonts w:hAnsi="宋体"/>
        </w:rPr>
      </w:r>
      <w:r/>
    </w:p>
    <w:p>
      <w:pPr>
        <w:rPr>
          <w:rFonts w:ascii="宋体" w:hAnsi="宋体"/>
          <w:sz w:val="24"/>
        </w:rPr>
      </w:pPr>
      <w:r>
        <w:rPr>
          <w:rFonts w:ascii="宋体" w:hAnsi="宋体"/>
          <w:sz w:val="24"/>
        </w:rPr>
      </w:r>
      <w:r/>
    </w:p>
    <w:p>
      <w:pPr>
        <w:pStyle w:val="737"/>
        <w:rPr>
          <w:rFonts w:hAnsi="宋体"/>
        </w:rPr>
      </w:pPr>
      <w:r>
        <w:rPr>
          <w:rFonts w:hAnsi="宋体"/>
        </w:rPr>
      </w:r>
      <w:r/>
    </w:p>
    <w:p>
      <w:pPr>
        <w:rPr>
          <w:rFonts w:ascii="宋体" w:hAnsi="宋体"/>
          <w:sz w:val="24"/>
        </w:rPr>
      </w:pPr>
      <w:r>
        <w:rPr>
          <w:rFonts w:ascii="宋体" w:hAnsi="宋体"/>
          <w:sz w:val="24"/>
        </w:rPr>
      </w:r>
      <w:r/>
    </w:p>
    <w:p>
      <w:pPr>
        <w:pStyle w:val="737"/>
        <w:rPr>
          <w:rFonts w:hAnsi="宋体"/>
        </w:rPr>
      </w:pPr>
      <w:r>
        <w:rPr>
          <w:rFonts w:hAnsi="宋体"/>
        </w:rPr>
      </w:r>
      <w:r/>
    </w:p>
    <w:p>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8"/>
      <w:r/>
      <w:bookmarkEnd w:id="209"/>
      <w:r/>
      <w:bookmarkEnd w:id="210"/>
      <w:r/>
      <w:r/>
    </w:p>
    <w:p>
      <w:pPr>
        <w:rPr>
          <w:rFonts w:ascii="黑体" w:hAnsi="黑体" w:eastAsia="黑体"/>
          <w:i/>
          <w:sz w:val="32"/>
          <w:szCs w:val="32"/>
          <w:u w:val="single"/>
        </w:rPr>
      </w:pPr>
      <w:r/>
      <w:bookmarkStart w:id="211" w:name="_Toc120614284"/>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rPr>
      </w:pPr>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927"/>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ascii="宋体" w:hAnsi="宋体"/>
          <w:bCs/>
          <w:sz w:val="24"/>
        </w:rPr>
      </w:pPr>
      <w:r>
        <w:rPr>
          <w:rFonts w:ascii="宋体" w:hAnsi="宋体"/>
          <w:bCs/>
          <w:sz w:val="24"/>
        </w:rPr>
      </w:r>
      <w:r/>
    </w:p>
    <w:p>
      <w:pPr>
        <w:jc w:val="center"/>
        <w:rPr>
          <w:rFonts w:ascii="宋体" w:hAnsi="宋体"/>
          <w:sz w:val="24"/>
        </w:rPr>
      </w:pPr>
      <w:r>
        <w:rPr>
          <w:rFonts w:ascii="宋体" w:hAnsi="宋体"/>
          <w:sz w:val="24"/>
        </w:rPr>
      </w:r>
      <w:r/>
    </w:p>
    <w:p>
      <w:pPr>
        <w:jc w:val="center"/>
        <w:rPr>
          <w:rFonts w:ascii="宋体" w:hAnsi="宋体"/>
          <w:sz w:val="24"/>
        </w:rPr>
      </w:pPr>
      <w:r>
        <w:rPr>
          <w:rFonts w:ascii="宋体" w:hAnsi="宋体"/>
          <w:sz w:val="24"/>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jc w:val="both"/>
        <w:rPr>
          <w:rFonts w:hint="eastAsia" w:ascii="宋体" w:hAnsi="宋体"/>
          <w:sz w:val="24"/>
        </w:rPr>
      </w:pPr>
      <w:r>
        <w:rPr>
          <w:rFonts w:hint="eastAsia" w:ascii="宋体" w:hAnsi="宋体"/>
          <w:sz w:val="24"/>
        </w:rPr>
        <w:t xml:space="preserve">本授权书声明：____________（投标人名称）授权________________（被授权人的姓名）为我方就***号项目采购活动的合法代理人，以本单位名义全权处理一切与该项目采购有关的事务。</w:t>
      </w:r>
      <w:r/>
    </w:p>
    <w:p>
      <w:pPr>
        <w:jc w:val="both"/>
        <w:rPr>
          <w:rFonts w:hint="eastAsia" w:ascii="宋体" w:hAnsi="宋体"/>
          <w:sz w:val="24"/>
        </w:rPr>
      </w:pPr>
      <w:r>
        <w:rPr>
          <w:rFonts w:hint="eastAsia" w:ascii="宋体" w:hAnsi="宋体"/>
          <w:sz w:val="24"/>
        </w:rPr>
        <w:t xml:space="preserve">本授权书于______年____月____日起生效，特此声明。</w:t>
      </w:r>
      <w:r/>
    </w:p>
    <w:p>
      <w:pPr>
        <w:jc w:val="both"/>
        <w:rPr>
          <w:rFonts w:hint="eastAsia" w:ascii="宋体" w:hAnsi="宋体"/>
          <w:sz w:val="24"/>
        </w:rPr>
      </w:pPr>
      <w:r>
        <w:rPr>
          <w:rFonts w:hint="eastAsia" w:ascii="宋体" w:hAnsi="宋体"/>
          <w:sz w:val="24"/>
        </w:rPr>
        <w:t xml:space="preserve">          被授权人身份证号码：                              </w:t>
      </w:r>
      <w:r/>
    </w:p>
    <w:p>
      <w:pPr>
        <w:jc w:val="both"/>
        <w:rPr>
          <w:rFonts w:hint="eastAsia" w:ascii="宋体" w:hAnsi="宋体"/>
          <w:sz w:val="24"/>
        </w:rPr>
      </w:pPr>
      <w:r>
        <w:rPr>
          <w:rFonts w:hint="eastAsia" w:ascii="宋体" w:hAnsi="宋体"/>
          <w:sz w:val="24"/>
        </w:rPr>
        <w:t xml:space="preserve">          被授权人联系电话：（手机）                          </w:t>
      </w:r>
      <w:r/>
    </w:p>
    <w:p>
      <w:pPr>
        <w:jc w:val="both"/>
        <w:rPr>
          <w:rFonts w:hint="eastAsia" w:ascii="宋体" w:hAnsi="宋体"/>
          <w:sz w:val="24"/>
        </w:rPr>
      </w:pPr>
      <w:r>
        <w:rPr>
          <w:rFonts w:hint="eastAsia" w:ascii="宋体" w:hAnsi="宋体"/>
          <w:sz w:val="24"/>
        </w:rPr>
        <w:t xml:space="preserve">授权单位名称：（加盖CA电子公章）</w:t>
      </w:r>
      <w:r/>
    </w:p>
    <w:p>
      <w:pPr>
        <w:jc w:val="both"/>
        <w:rPr>
          <w:rFonts w:hint="eastAsia" w:ascii="宋体" w:hAnsi="宋体"/>
          <w:sz w:val="24"/>
        </w:rPr>
      </w:pPr>
      <w:r>
        <w:rPr>
          <w:rFonts w:hint="eastAsia" w:ascii="宋体" w:hAnsi="宋体"/>
          <w:sz w:val="24"/>
        </w:rPr>
        <w:t xml:space="preserve">      单位地址：                                         </w:t>
      </w:r>
      <w:r/>
    </w:p>
    <w:p>
      <w:pPr>
        <w:jc w:val="both"/>
        <w:rPr>
          <w:rFonts w:ascii="黑体" w:hAnsi="黑体" w:eastAsia="黑体"/>
          <w:i/>
          <w:sz w:val="32"/>
          <w:szCs w:val="32"/>
          <w:u w:val="single"/>
        </w:rPr>
      </w:pPr>
      <w:r>
        <w:rPr>
          <w:rFonts w:hint="eastAsia" w:ascii="宋体" w:hAnsi="宋体"/>
          <w:sz w:val="24"/>
        </w:rPr>
        <w:t xml:space="preserve">      日期：                                         </w:t>
      </w:r>
      <w:r>
        <w:rPr>
          <w:rFonts w:ascii="宋体" w:hAnsi="宋体"/>
          <w:sz w:val="24"/>
        </w:rPr>
        <w:br w:type="page" w:clear="all"/>
      </w:r>
      <w:r>
        <w:rPr>
          <w:rFonts w:hint="eastAsia" w:ascii="黑体" w:hAnsi="黑体" w:eastAsia="黑体"/>
          <w:i/>
          <w:sz w:val="32"/>
          <w:szCs w:val="32"/>
          <w:u w:val="single"/>
        </w:rPr>
        <w:t xml:space="preserve">九、投标函</w:t>
      </w:r>
      <w:r/>
    </w:p>
    <w:p>
      <w:pPr>
        <w:pStyle w:val="1021"/>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扬州市公共资源交易中心邗江分中心</w:t>
      </w:r>
      <w:r/>
    </w:p>
    <w:p>
      <w:pPr>
        <w:pStyle w:val="1021"/>
        <w:spacing w:before="0" w:after="0" w:line="420" w:lineRule="exact"/>
        <w:rPr>
          <w:rFonts w:ascii="宋体" w:hAnsi="宋体"/>
          <w:szCs w:val="21"/>
        </w:rPr>
      </w:pPr>
      <w:r>
        <w:rPr>
          <w:rFonts w:hint="eastAsia" w:ascii="宋体" w:hAnsi="宋体"/>
          <w:szCs w:val="21"/>
        </w:rPr>
        <w:t xml:space="preserve">根据贵方的        号招标文件，正式授权下述签字人______(姓名)代表我方______________（投标人的名称），全权处理本次项目投标的有关事宜。</w:t>
      </w:r>
      <w:r/>
    </w:p>
    <w:p>
      <w:pPr>
        <w:pStyle w:val="1021"/>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02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2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2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1"/>
        <w:ind w:left="420"/>
        <w:spacing w:before="0" w:after="0" w:line="420" w:lineRule="exact"/>
        <w:rPr>
          <w:rFonts w:ascii="宋体" w:hAnsi="宋体"/>
          <w:szCs w:val="21"/>
        </w:rPr>
      </w:pPr>
      <w:r>
        <w:rPr>
          <w:rFonts w:hint="eastAsia" w:ascii="宋体" w:hAnsi="宋体"/>
          <w:szCs w:val="21"/>
        </w:rPr>
        <w:t xml:space="preserve">地          址：</w:t>
      </w:r>
      <w:r/>
    </w:p>
    <w:p>
      <w:pPr>
        <w:pStyle w:val="1021"/>
        <w:ind w:left="420"/>
        <w:spacing w:before="0" w:after="0" w:line="420" w:lineRule="exact"/>
        <w:rPr>
          <w:rFonts w:ascii="宋体" w:hAnsi="宋体"/>
          <w:szCs w:val="21"/>
        </w:rPr>
      </w:pPr>
      <w:r>
        <w:rPr>
          <w:rFonts w:hint="eastAsia" w:ascii="宋体" w:hAnsi="宋体"/>
          <w:szCs w:val="21"/>
        </w:rPr>
        <w:t xml:space="preserve">邮          编：</w:t>
      </w:r>
      <w:r/>
    </w:p>
    <w:p>
      <w:pPr>
        <w:pStyle w:val="1021"/>
        <w:ind w:left="420"/>
        <w:spacing w:before="0" w:after="0" w:line="420" w:lineRule="exact"/>
        <w:rPr>
          <w:rFonts w:ascii="宋体" w:hAnsi="宋体"/>
          <w:szCs w:val="21"/>
        </w:rPr>
      </w:pPr>
      <w:r>
        <w:rPr>
          <w:rFonts w:hint="eastAsia" w:ascii="宋体" w:hAnsi="宋体"/>
          <w:szCs w:val="21"/>
        </w:rPr>
        <w:t xml:space="preserve">电          话：</w:t>
      </w:r>
      <w:r/>
    </w:p>
    <w:p>
      <w:pPr>
        <w:pStyle w:val="1021"/>
        <w:ind w:left="420"/>
        <w:spacing w:before="0" w:after="0" w:line="420" w:lineRule="exact"/>
        <w:rPr>
          <w:rFonts w:ascii="宋体" w:hAnsi="宋体"/>
          <w:szCs w:val="21"/>
        </w:rPr>
      </w:pPr>
      <w:r>
        <w:rPr>
          <w:rFonts w:hint="eastAsia" w:ascii="宋体" w:hAnsi="宋体"/>
          <w:szCs w:val="21"/>
        </w:rPr>
        <w:t xml:space="preserve">传          真：</w:t>
      </w:r>
      <w:r/>
    </w:p>
    <w:p>
      <w:pPr>
        <w:pStyle w:val="1021"/>
        <w:ind w:left="420"/>
        <w:spacing w:before="0" w:after="0" w:line="420" w:lineRule="exact"/>
        <w:rPr>
          <w:rFonts w:ascii="宋体" w:hAnsi="宋体"/>
          <w:szCs w:val="21"/>
        </w:rPr>
      </w:pPr>
      <w:r>
        <w:rPr>
          <w:rFonts w:hint="eastAsia" w:ascii="宋体" w:hAnsi="宋体"/>
          <w:szCs w:val="21"/>
        </w:rPr>
        <w:t xml:space="preserve">投标人开户行：</w:t>
      </w:r>
      <w:r/>
    </w:p>
    <w:p>
      <w:pPr>
        <w:pStyle w:val="1021"/>
        <w:ind w:left="420"/>
        <w:spacing w:before="0" w:after="0" w:line="420" w:lineRule="exact"/>
        <w:rPr>
          <w:rFonts w:ascii="宋体" w:hAnsi="宋体"/>
          <w:szCs w:val="21"/>
        </w:rPr>
      </w:pPr>
      <w:r>
        <w:rPr>
          <w:rFonts w:hint="eastAsia" w:ascii="宋体" w:hAnsi="宋体"/>
          <w:szCs w:val="21"/>
        </w:rPr>
        <w:t xml:space="preserve">账          号： </w:t>
      </w:r>
      <w:r/>
    </w:p>
    <w:p>
      <w:pPr>
        <w:pStyle w:val="1021"/>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spacing w:line="460" w:lineRule="exact"/>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pStyle w:val="708"/>
        <w:numPr>
          <w:ilvl w:val="0"/>
          <w:numId w:val="0"/>
        </w:numPr>
        <w:jc w:val="both"/>
        <w:widowControl w:val="off"/>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rPr>
      </w:pPr>
      <w:r>
        <w:rPr>
          <w:rFonts w:hint="eastAsia" w:ascii="黑体" w:hAnsi="黑体" w:eastAsia="黑体"/>
          <w:b/>
          <w:iCs/>
          <w:sz w:val="32"/>
          <w:szCs w:val="32"/>
        </w:rPr>
        <w:t xml:space="preserve">中小企业声明函（服务）</w:t>
      </w:r>
      <w:r>
        <w:rPr>
          <w:rFonts w:hint="eastAsia" w:ascii="黑体" w:hAnsi="黑体" w:eastAsia="黑体"/>
          <w:b/>
          <w:sz w:val="32"/>
          <w:szCs w:val="32"/>
        </w:rPr>
        <w:t xml:space="preserve">（分包号：**）</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w:t>
      </w:r>
      <w:r>
        <w:rPr>
          <w:rFonts w:hint="eastAsia" w:ascii="宋体" w:hAnsi="宋体"/>
          <w:sz w:val="24"/>
          <w:szCs w:val="24"/>
          <w:lang w:val="en-US" w:eastAsia="zh-CN"/>
        </w:rPr>
        <w:t xml:space="preserve">邗江分中心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center"/>
        <w:rPr>
          <w:b/>
          <w:bCs/>
          <w:color w:val="0070c0"/>
        </w:rPr>
      </w:pPr>
      <w:r/>
      <w:bookmarkStart w:id="212" w:name="_Toc150519795"/>
      <w:r>
        <w:rPr>
          <w:rFonts w:hint="eastAsia" w:ascii="Arial" w:hAnsi="Arial" w:eastAsia="幼圆" w:cs="微软雅黑"/>
          <w:b/>
          <w:bCs/>
          <w:color w:val="0b5fd1"/>
        </w:rPr>
        <w:br w:type="page" w:clear="all"/>
      </w:r>
      <w:r>
        <w:rPr>
          <w:rFonts w:hint="eastAsia"/>
          <w:b/>
          <w:bCs/>
          <w:color w:val="0070c0"/>
        </w:rPr>
        <w:t xml:space="preserve">中小微企业划型标准</w:t>
      </w:r>
      <w:bookmarkEnd w:id="212"/>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07"/>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w:t>
      </w:r>
      <w:r>
        <w:rPr>
          <w:rFonts w:hint="eastAsia" w:ascii="宋体" w:hAnsi="宋体"/>
          <w:sz w:val="24"/>
          <w:lang w:val="en-US" w:eastAsia="zh-CN"/>
        </w:rPr>
        <w:t xml:space="preserve">邗江分中心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p>
    <w:p>
      <w:pPr>
        <w:ind w:firstLine="645"/>
        <w:spacing w:line="560" w:lineRule="exact"/>
        <w:rPr>
          <w:rFonts w:ascii="宋体" w:hAnsi="宋体"/>
          <w:sz w:val="24"/>
        </w:rPr>
      </w:pP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hint="eastAsia" w:ascii="黑体" w:hAnsi="黑体" w:eastAsia="黑体"/>
          <w:b/>
          <w:sz w:val="32"/>
          <w:szCs w:val="32"/>
        </w:rPr>
        <w:t xml:space="preserve">投标分项报价表（分包号：**）</w:t>
      </w:r>
      <w:r/>
    </w:p>
    <w:tbl>
      <w:tblPr>
        <w:tblStyle w:val="70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技术要求响应及偏离表（分包号：**）</w:t>
      </w:r>
      <w:r/>
    </w:p>
    <w:tbl>
      <w:tblPr>
        <w:tblStyle w:val="70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pStyle w:val="721"/>
      </w:pPr>
      <w:r/>
      <w:r/>
    </w:p>
    <w:p>
      <w:pPr>
        <w:pStyle w:val="721"/>
      </w:pPr>
      <w:r/>
      <w:r/>
    </w:p>
    <w:p>
      <w:pPr>
        <w:pStyle w:val="721"/>
      </w:pPr>
      <w:r/>
      <w:bookmarkEnd w:id="211"/>
      <w:r/>
      <w:r/>
    </w:p>
    <w:p>
      <w:pPr>
        <w:pStyle w:val="721"/>
      </w:pPr>
      <w:r/>
      <w:r/>
    </w:p>
    <w:p>
      <w:pPr>
        <w:pStyle w:val="721"/>
      </w:pPr>
      <w:r/>
      <w:r/>
    </w:p>
    <w:p>
      <w:pPr>
        <w:pStyle w:val="721"/>
      </w:pPr>
      <w:r/>
      <w:r/>
    </w:p>
    <w:p>
      <w:pPr>
        <w:jc w:val="center"/>
        <w:rPr>
          <w:rFonts w:ascii="黑体" w:hAnsi="黑体" w:eastAsia="黑体"/>
          <w:b/>
          <w:sz w:val="32"/>
          <w:szCs w:val="32"/>
        </w:rPr>
      </w:pPr>
      <w:r/>
      <w:bookmarkStart w:id="213" w:name="_Hlt26955054"/>
      <w:r/>
      <w:bookmarkEnd w:id="213"/>
      <w:r>
        <w:rPr>
          <w:rFonts w:hint="eastAsia" w:ascii="黑体" w:hAnsi="黑体" w:eastAsia="黑体"/>
          <w:b/>
          <w:sz w:val="32"/>
          <w:szCs w:val="32"/>
        </w:rPr>
        <w:t xml:space="preserve">商务要求响应及偏离表（分包号：**）</w:t>
      </w:r>
      <w:r/>
    </w:p>
    <w:tbl>
      <w:tblPr>
        <w:tblStyle w:val="70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bookmarkStart w:id="214" w:name="_Hlt26955056"/>
            <w:r/>
            <w:bookmarkEnd w:id="214"/>
            <w:r/>
            <w:bookmarkStart w:id="215" w:name="_Hlt26580838"/>
            <w:r/>
            <w:bookmarkEnd w:id="215"/>
            <w:r/>
            <w:bookmarkStart w:id="216" w:name="_Hlt26671343"/>
            <w:r/>
            <w:bookmarkEnd w:id="216"/>
            <w:r/>
            <w:bookmarkStart w:id="217" w:name="_Hlt26671372"/>
            <w:r/>
            <w:bookmarkEnd w:id="217"/>
            <w:r/>
            <w:bookmarkStart w:id="218" w:name="_Hlt26955064"/>
            <w:r/>
            <w:bookmarkEnd w:id="218"/>
            <w:r/>
            <w:bookmarkStart w:id="219" w:name="_Hlt26782999"/>
            <w:r/>
            <w:bookmarkEnd w:id="219"/>
            <w:r/>
            <w:bookmarkStart w:id="220" w:name="_Hlt26609391"/>
            <w:r/>
            <w:bookmarkEnd w:id="220"/>
            <w:r/>
            <w:bookmarkStart w:id="221" w:name="_Hlt24879081"/>
            <w:r/>
            <w:bookmarkEnd w:id="221"/>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bookmarkEnd w:id="194"/>
      <w:r/>
      <w:bookmarkEnd w:id="195"/>
      <w:r/>
      <w:r/>
    </w:p>
    <w:p>
      <w:pPr>
        <w:pStyle w:val="927"/>
        <w:ind w:firstLine="0"/>
        <w:rPr>
          <w:rFonts w:ascii="宋体" w:hAnsi="宋体"/>
          <w:sz w:val="24"/>
        </w:rPr>
      </w:pPr>
      <w:r/>
      <w:bookmarkStart w:id="222" w:name="_Hlt26955066"/>
      <w:r/>
      <w:bookmarkEnd w:id="222"/>
      <w:r/>
      <w:bookmarkStart w:id="223" w:name="_Hlt26609389"/>
      <w:r/>
      <w:bookmarkEnd w:id="223"/>
      <w:r/>
      <w:bookmarkStart w:id="224" w:name="_Hlt26671374"/>
      <w:r/>
      <w:bookmarkEnd w:id="224"/>
      <w:r/>
      <w:bookmarkStart w:id="225" w:name="_Toc462564146"/>
      <w:r/>
      <w:bookmarkEnd w:id="225"/>
      <w:r/>
      <w:r/>
    </w:p>
    <w:p>
      <w:pPr>
        <w:jc w:val="center"/>
        <w:rPr>
          <w:rFonts w:ascii="黑体" w:hAnsi="黑体" w:eastAsia="黑体"/>
          <w:b/>
          <w:sz w:val="32"/>
          <w:szCs w:val="32"/>
        </w:rPr>
      </w:pPr>
      <w:r/>
      <w:bookmarkStart w:id="226" w:name="_格式2__法定代表人授权书"/>
      <w:r/>
      <w:bookmarkEnd w:id="226"/>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pStyle w:val="721"/>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hint="eastAsia" w:ascii="黑体" w:hAnsi="黑体" w:eastAsia="黑体"/>
          <w:b/>
          <w:i/>
          <w:sz w:val="32"/>
          <w:szCs w:val="32"/>
          <w:u w:val="single"/>
        </w:rPr>
      </w:pPr>
      <w:r>
        <w:rPr>
          <w:rFonts w:hint="eastAsia" w:ascii="黑体" w:hAnsi="黑体" w:eastAsia="黑体"/>
          <w:b/>
          <w:i/>
          <w:sz w:val="32"/>
          <w:szCs w:val="32"/>
          <w:u w:val="single"/>
        </w:rPr>
      </w:r>
      <w:r/>
    </w:p>
    <w:p>
      <w:pPr>
        <w:rPr>
          <w:rFonts w:eastAsia="仿宋_GB2312"/>
          <w:sz w:val="24"/>
          <w:szCs w:val="20"/>
        </w:rPr>
      </w:pPr>
      <w:r>
        <w:rPr>
          <w:rFonts w:hint="eastAsia" w:ascii="黑体" w:hAnsi="黑体" w:eastAsia="黑体"/>
          <w:b/>
          <w:i/>
          <w:sz w:val="32"/>
          <w:szCs w:val="32"/>
          <w:u w:val="single"/>
        </w:rPr>
        <w:t xml:space="preserve">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0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21"/>
              <w:ind w:firstLine="0"/>
              <w:spacing w:before="0" w:after="0" w:line="500" w:lineRule="exact"/>
              <w:rPr>
                <w:rFonts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1021"/>
              <w:ind w:firstLine="0"/>
              <w:spacing w:before="0" w:after="0" w:line="500" w:lineRule="exact"/>
              <w:rPr>
                <w:rFonts w:ascii="宋体" w:hAnsi="宋体" w:cs="宋体"/>
              </w:rPr>
            </w:pPr>
            <w:r>
              <w:rPr>
                <w:rFonts w:hint="eastAsia" w:ascii="宋体" w:hAnsi="宋体" w:cs="宋体"/>
              </w:rPr>
              <w:t xml:space="preserve">大写：                             （人民币：圆）</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年月日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rPr>
          <w:rFonts w:hint="eastAsia" w:ascii="黑体" w:hAnsi="黑体" w:eastAsia="黑体"/>
          <w:b/>
          <w:iCs/>
          <w:sz w:val="32"/>
          <w:szCs w:val="32"/>
        </w:rPr>
      </w:pPr>
      <w:r>
        <w:rPr>
          <w:rFonts w:hint="eastAsia" w:ascii="黑体" w:hAnsi="黑体" w:eastAsia="黑体"/>
          <w:b/>
          <w:iCs/>
          <w:sz w:val="32"/>
          <w:szCs w:val="32"/>
        </w:rPr>
        <w:br w:type="page" w:clear="all"/>
      </w:r>
      <w:r/>
    </w:p>
    <w:p>
      <w:pPr>
        <w:rPr>
          <w:rFonts w:ascii="黑体" w:hAnsi="黑体" w:eastAsia="黑体"/>
          <w:b/>
          <w:iCs/>
          <w:sz w:val="32"/>
          <w:szCs w:val="32"/>
        </w:rPr>
      </w:pPr>
      <w:r>
        <w:rPr>
          <w:rFonts w:hint="eastAsia" w:ascii="黑体" w:hAnsi="黑体" w:eastAsia="黑体"/>
          <w:b/>
          <w:iCs/>
          <w:sz w:val="32"/>
          <w:szCs w:val="32"/>
        </w:rPr>
        <w:t xml:space="preserve">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0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7"/>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Calibri">
    <w:panose1 w:val="020F0502020204030204"/>
  </w:font>
  <w:font w:name="微软雅黑">
    <w:panose1 w:val="020B050302020402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3"/>
        <w:rFonts w:ascii="宋体" w:hAnsi="宋体"/>
      </w:rPr>
      <w:framePr w:wrap="around" w:vAnchor="text" w:hAnchor="margin" w:xAlign="center" w:y="1"/>
    </w:pPr>
    <w:r>
      <w:rPr>
        <w:rFonts w:ascii="宋体" w:hAnsi="宋体"/>
      </w:rPr>
      <w:fldChar w:fldCharType="begin"/>
    </w:r>
    <w:r>
      <w:rPr>
        <w:rStyle w:val="973"/>
        <w:rFonts w:ascii="宋体" w:hAnsi="宋体"/>
      </w:rPr>
      <w:instrText xml:space="preserve">PAGE  </w:instrText>
    </w:r>
    <w:r>
      <w:rPr>
        <w:rFonts w:ascii="宋体" w:hAnsi="宋体"/>
      </w:rPr>
      <w:fldChar w:fldCharType="separate"/>
    </w:r>
    <w:r>
      <w:rPr>
        <w:rStyle w:val="973"/>
        <w:rFonts w:ascii="宋体" w:hAnsi="宋体"/>
      </w:rPr>
      <w:t xml:space="preserve">2</w:t>
    </w:r>
    <w:r>
      <w:rPr>
        <w:rFonts w:ascii="宋体" w:hAnsi="宋体"/>
      </w:rPr>
      <w:fldChar w:fldCharType="end"/>
    </w:r>
    <w:r/>
  </w:p>
  <w:p>
    <w:pPr>
      <w:pStyle w:val="95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pStyle w:val="713"/>
      <w:isLgl w:val="false"/>
      <w:suff w:val="tab"/>
      <w:lvlText w:val="%1、"/>
      <w:lvlJc w:val="left"/>
      <w:pPr>
        <w:ind w:left="360" w:hanging="360"/>
      </w:pPr>
      <w:rPr>
        <w:rFonts w:hint="default"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70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pStyle w:val="1073"/>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6"/>
      <w:isLgl w:val="false"/>
      <w:suff w:val="nothing"/>
      <w:lvlText w:val=""/>
      <w:lvlJc w:val="left"/>
      <w:pPr>
        <w:ind w:left="0" w:firstLine="0"/>
      </w:pPr>
      <w:rPr>
        <w:rFonts w:hint="eastAsia"/>
      </w:rPr>
    </w:lvl>
    <w:lvl w:ilvl="6">
      <w:start w:val="1"/>
      <w:numFmt w:val="decimal"/>
      <w:pStyle w:val="938"/>
      <w:isLgl w:val="false"/>
      <w:suff w:val="nothing"/>
      <w:lvlText w:val=""/>
      <w:lvlJc w:val="left"/>
      <w:pPr>
        <w:ind w:left="0" w:firstLine="0"/>
      </w:pPr>
      <w:rPr>
        <w:rFonts w:hint="eastAsia"/>
      </w:rPr>
    </w:lvl>
    <w:lvl w:ilvl="7">
      <w:start w:val="1"/>
      <w:numFmt w:val="decimal"/>
      <w:pStyle w:val="940"/>
      <w:isLgl w:val="false"/>
      <w:suff w:val="nothing"/>
      <w:lvlText w:val=""/>
      <w:lvlJc w:val="left"/>
      <w:pPr>
        <w:ind w:left="0" w:firstLine="0"/>
      </w:pPr>
      <w:rPr>
        <w:rFonts w:hint="eastAsia"/>
      </w:rPr>
    </w:lvl>
    <w:lvl w:ilvl="8">
      <w:start w:val="1"/>
      <w:numFmt w:val="decimal"/>
      <w:pStyle w:val="94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pStyle w:val="10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3"/>
  </w:num>
  <w:num w:numId="5">
    <w:abstractNumId w:val="7"/>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uiPriority w:val="0"/>
    <w:qFormat/>
    <w:pPr>
      <w:jc w:val="both"/>
      <w:widowControl w:val="off"/>
    </w:pPr>
    <w:rPr>
      <w:rFonts w:hint="default" w:ascii="Times New Roman" w:hAnsi="Times New Roman" w:eastAsia="宋体" w:cs="Times New Roman"/>
      <w:sz w:val="21"/>
      <w:szCs w:val="21"/>
    </w:rPr>
  </w:style>
  <w:style w:type="paragraph" w:styleId="697">
    <w:name w:val="Heading 1"/>
    <w:basedOn w:val="696"/>
    <w:next w:val="696"/>
    <w:link w:val="758"/>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709"/>
    <w:link w:val="759"/>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60"/>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61"/>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62"/>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63"/>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65"/>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66"/>
    <w:uiPriority w:val="9"/>
    <w:unhideWhenUsed/>
    <w:qFormat/>
    <w:pPr>
      <w:keepLines/>
      <w:keepNext/>
      <w:spacing w:before="320" w:after="200"/>
      <w:outlineLvl w:val="8"/>
    </w:pPr>
    <w:rPr>
      <w:rFonts w:ascii="Arial" w:hAnsi="Arial" w:eastAsia="Arial" w:cs="Arial"/>
      <w:i/>
      <w:iCs/>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Layout w:type="fixed"/>
      <w:tblCellMar>
        <w:left w:w="108" w:type="dxa"/>
        <w:top w:w="0" w:type="dxa"/>
        <w:right w:w="108" w:type="dxa"/>
        <w:bottom w:w="0" w:type="dxa"/>
      </w:tblCellMar>
    </w:tblPr>
  </w:style>
  <w:style w:type="paragraph" w:styleId="708">
    <w:name w:val="List Bullet 2"/>
    <w:basedOn w:val="696"/>
    <w:uiPriority w:val="99"/>
    <w:semiHidden/>
    <w:unhideWhenUsed/>
    <w:qFormat/>
    <w:pPr>
      <w:numPr>
        <w:ilvl w:val="0"/>
        <w:numId w:val="1"/>
      </w:numPr>
    </w:pPr>
  </w:style>
  <w:style w:type="paragraph" w:styleId="709">
    <w:name w:val="Normal Indent"/>
    <w:basedOn w:val="696"/>
    <w:next w:val="696"/>
    <w:uiPriority w:val="0"/>
    <w:qFormat/>
    <w:pPr>
      <w:ind w:firstLine="420"/>
    </w:pPr>
  </w:style>
  <w:style w:type="paragraph" w:styleId="710">
    <w:name w:val="toc 7"/>
    <w:basedOn w:val="696"/>
    <w:next w:val="696"/>
    <w:uiPriority w:val="39"/>
    <w:unhideWhenUsed/>
    <w:qFormat/>
    <w:pPr>
      <w:ind w:left="1701"/>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ody Text Indent"/>
    <w:basedOn w:val="696"/>
    <w:uiPriority w:val="0"/>
    <w:qFormat/>
    <w:pPr>
      <w:ind w:firstLine="645"/>
    </w:pPr>
    <w:rPr>
      <w:rFonts w:ascii="楷体_GB2312" w:eastAsia="楷体_GB2312"/>
      <w:sz w:val="32"/>
      <w:szCs w:val="32"/>
    </w:rPr>
  </w:style>
  <w:style w:type="paragraph" w:styleId="713">
    <w:name w:val="index 4"/>
    <w:basedOn w:val="696"/>
    <w:next w:val="696"/>
    <w:uiPriority w:val="99"/>
    <w:unhideWhenUsed/>
    <w:qFormat/>
    <w:pPr>
      <w:numPr>
        <w:ilvl w:val="0"/>
        <w:numId w:val="2"/>
      </w:numPr>
      <w:ind w:left="907" w:hanging="907"/>
      <w:tabs>
        <w:tab w:val="left" w:pos="907" w:leader="none"/>
      </w:tabs>
    </w:pPr>
    <w:rPr>
      <w:rFonts w:ascii="Calibri" w:hAnsi="Calibri"/>
      <w:szCs w:val="24"/>
    </w:rPr>
  </w:style>
  <w:style w:type="paragraph" w:styleId="714">
    <w:name w:val="toc 5"/>
    <w:basedOn w:val="696"/>
    <w:next w:val="696"/>
    <w:uiPriority w:val="39"/>
    <w:unhideWhenUsed/>
    <w:qFormat/>
    <w:pPr>
      <w:ind w:left="1134"/>
      <w:spacing w:after="57"/>
    </w:pPr>
  </w:style>
  <w:style w:type="paragraph" w:styleId="715">
    <w:name w:val="toc 3"/>
    <w:basedOn w:val="696"/>
    <w:next w:val="696"/>
    <w:uiPriority w:val="39"/>
    <w:unhideWhenUsed/>
    <w:qFormat/>
    <w:pPr>
      <w:ind w:left="567"/>
      <w:spacing w:after="57"/>
    </w:pPr>
  </w:style>
  <w:style w:type="paragraph" w:styleId="716">
    <w:name w:val="Plain Text"/>
    <w:basedOn w:val="696"/>
    <w:uiPriority w:val="0"/>
    <w:qFormat/>
    <w:rPr>
      <w:rFonts w:ascii="宋体" w:hAnsi="Courier New" w:cs="Courier New"/>
    </w:rPr>
  </w:style>
  <w:style w:type="paragraph" w:styleId="717">
    <w:name w:val="toc 8"/>
    <w:basedOn w:val="696"/>
    <w:next w:val="696"/>
    <w:uiPriority w:val="39"/>
    <w:unhideWhenUsed/>
    <w:qFormat/>
    <w:pPr>
      <w:ind w:left="1984"/>
      <w:spacing w:after="57"/>
    </w:pPr>
  </w:style>
  <w:style w:type="paragraph" w:styleId="718">
    <w:name w:val="endnote text"/>
    <w:basedOn w:val="696"/>
    <w:link w:val="785"/>
    <w:uiPriority w:val="99"/>
    <w:semiHidden/>
    <w:unhideWhenUsed/>
    <w:qFormat/>
    <w:rPr>
      <w:sz w:val="20"/>
    </w:rPr>
  </w:style>
  <w:style w:type="paragraph" w:styleId="719">
    <w:name w:val="Balloon Text"/>
    <w:basedOn w:val="696"/>
    <w:link w:val="1034"/>
    <w:uiPriority w:val="99"/>
    <w:semiHidden/>
    <w:unhideWhenUsed/>
    <w:qFormat/>
    <w:rPr>
      <w:sz w:val="18"/>
      <w:szCs w:val="18"/>
    </w:rPr>
  </w:style>
  <w:style w:type="paragraph" w:styleId="720">
    <w:name w:val="Footer"/>
    <w:basedOn w:val="696"/>
    <w:link w:val="786"/>
    <w:uiPriority w:val="99"/>
    <w:unhideWhenUsed/>
    <w:qFormat/>
    <w:pPr>
      <w:tabs>
        <w:tab w:val="center" w:pos="7143" w:leader="none"/>
        <w:tab w:val="right" w:pos="14287" w:leader="none"/>
      </w:tabs>
    </w:pPr>
  </w:style>
  <w:style w:type="paragraph" w:styleId="721">
    <w:name w:val="Body Text First Indent 2"/>
    <w:basedOn w:val="712"/>
    <w:uiPriority w:val="0"/>
    <w:qFormat/>
    <w:pPr>
      <w:ind w:firstLine="420"/>
      <w:spacing w:line="360" w:lineRule="auto"/>
    </w:pPr>
    <w:rPr>
      <w:rFonts w:ascii="宋体" w:hAnsi="宋体" w:eastAsia="宋体"/>
      <w:sz w:val="21"/>
      <w:szCs w:val="20"/>
    </w:rPr>
  </w:style>
  <w:style w:type="paragraph" w:styleId="722">
    <w:name w:val="Header"/>
    <w:basedOn w:val="696"/>
    <w:link w:val="787"/>
    <w:uiPriority w:val="99"/>
    <w:unhideWhenUsed/>
    <w:qFormat/>
    <w:pPr>
      <w:tabs>
        <w:tab w:val="center" w:pos="7143" w:leader="none"/>
        <w:tab w:val="right" w:pos="14287" w:leader="none"/>
      </w:tabs>
    </w:pPr>
  </w:style>
  <w:style w:type="paragraph" w:styleId="723">
    <w:name w:val="toc 1"/>
    <w:basedOn w:val="696"/>
    <w:next w:val="696"/>
    <w:uiPriority w:val="39"/>
    <w:unhideWhenUsed/>
    <w:qFormat/>
    <w:pPr>
      <w:spacing w:after="57"/>
    </w:pPr>
  </w:style>
  <w:style w:type="paragraph" w:styleId="724">
    <w:name w:val="toc 4"/>
    <w:basedOn w:val="696"/>
    <w:next w:val="696"/>
    <w:uiPriority w:val="39"/>
    <w:unhideWhenUsed/>
    <w:qFormat/>
    <w:pPr>
      <w:ind w:left="850"/>
      <w:spacing w:after="57"/>
    </w:pPr>
  </w:style>
  <w:style w:type="paragraph" w:styleId="725">
    <w:name w:val="Subtitle"/>
    <w:basedOn w:val="696"/>
    <w:next w:val="696"/>
    <w:link w:val="788"/>
    <w:uiPriority w:val="11"/>
    <w:qFormat/>
    <w:pPr>
      <w:spacing w:before="200" w:after="200"/>
    </w:pPr>
    <w:rPr>
      <w:sz w:val="24"/>
      <w:szCs w:val="24"/>
    </w:rPr>
  </w:style>
  <w:style w:type="paragraph" w:styleId="726">
    <w:name w:val="footnote text"/>
    <w:basedOn w:val="696"/>
    <w:link w:val="789"/>
    <w:uiPriority w:val="99"/>
    <w:semiHidden/>
    <w:unhideWhenUsed/>
    <w:qFormat/>
    <w:pPr>
      <w:spacing w:after="40"/>
    </w:pPr>
    <w:rPr>
      <w:sz w:val="18"/>
    </w:rPr>
  </w:style>
  <w:style w:type="paragraph" w:styleId="727">
    <w:name w:val="toc 6"/>
    <w:basedOn w:val="696"/>
    <w:next w:val="696"/>
    <w:uiPriority w:val="39"/>
    <w:unhideWhenUsed/>
    <w:qFormat/>
    <w:pPr>
      <w:ind w:left="1417"/>
      <w:spacing w:after="57"/>
    </w:pPr>
  </w:style>
  <w:style w:type="paragraph" w:styleId="728">
    <w:name w:val="table of figures"/>
    <w:basedOn w:val="696"/>
    <w:next w:val="696"/>
    <w:uiPriority w:val="99"/>
    <w:unhideWhenUsed/>
    <w:qFormat/>
  </w:style>
  <w:style w:type="paragraph" w:styleId="729">
    <w:name w:val="toc 2"/>
    <w:basedOn w:val="696"/>
    <w:next w:val="696"/>
    <w:uiPriority w:val="39"/>
    <w:unhideWhenUsed/>
    <w:qFormat/>
    <w:pPr>
      <w:ind w:left="283"/>
      <w:spacing w:after="57"/>
    </w:pPr>
  </w:style>
  <w:style w:type="paragraph" w:styleId="730">
    <w:name w:val="toc 9"/>
    <w:basedOn w:val="696"/>
    <w:next w:val="696"/>
    <w:uiPriority w:val="39"/>
    <w:unhideWhenUsed/>
    <w:qFormat/>
    <w:pPr>
      <w:ind w:left="2268"/>
      <w:spacing w:after="57"/>
    </w:pPr>
  </w:style>
  <w:style w:type="paragraph" w:styleId="731">
    <w:name w:val="Normal (Web)"/>
    <w:basedOn w:val="696"/>
    <w:uiPriority w:val="99"/>
    <w:unhideWhenUsed/>
    <w:qFormat/>
    <w:pPr>
      <w:jc w:val="left"/>
    </w:pPr>
    <w:rPr>
      <w:rFonts w:ascii="Calibri" w:hAnsi="Calibri"/>
      <w:sz w:val="24"/>
      <w:szCs w:val="24"/>
    </w:rPr>
  </w:style>
  <w:style w:type="paragraph" w:styleId="732">
    <w:name w:val="Title"/>
    <w:basedOn w:val="696"/>
    <w:next w:val="696"/>
    <w:link w:val="790"/>
    <w:uiPriority w:val="10"/>
    <w:qFormat/>
    <w:pPr>
      <w:contextualSpacing/>
      <w:spacing w:before="300" w:after="200"/>
    </w:pPr>
    <w:rPr>
      <w:sz w:val="48"/>
      <w:szCs w:val="48"/>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37" w:customStyle="1">
    <w:name w:val="Default"/>
    <w:next w:val="696"/>
    <w:uiPriority w:val="0"/>
    <w:qFormat/>
    <w:pPr>
      <w:widowControl w:val="off"/>
    </w:pPr>
    <w:rPr>
      <w:rFonts w:hint="default" w:ascii="宋体" w:hAnsi="Times New Roman" w:eastAsia="宋体" w:cs="宋体"/>
      <w:color w:val="000000"/>
      <w:sz w:val="24"/>
      <w:szCs w:val="24"/>
    </w:rPr>
  </w:style>
  <w:style w:type="table" w:styleId="738"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9"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2"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6" w:customStyle="1">
    <w:name w:val="List Table 7 Colorful"/>
    <w:basedOn w:val="70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7" w:customStyle="1">
    <w:name w:val="font5 Char"/>
    <w:uiPriority w:val="0"/>
    <w:qFormat/>
    <w:rPr>
      <w:rFonts w:ascii="宋体" w:hAnsi="宋体" w:eastAsia="宋体"/>
      <w:sz w:val="28"/>
      <w:szCs w:val="28"/>
      <w:lang w:val="en-US" w:eastAsia="zh-CN" w:bidi="ar-SA"/>
    </w:rPr>
  </w:style>
  <w:style w:type="character" w:styleId="758" w:customStyle="1">
    <w:name w:val="标题 1 Char1"/>
    <w:link w:val="697"/>
    <w:uiPriority w:val="9"/>
    <w:qFormat/>
    <w:rPr>
      <w:rFonts w:ascii="Arial" w:hAnsi="Arial" w:eastAsia="Arial" w:cs="Arial"/>
      <w:sz w:val="40"/>
      <w:szCs w:val="40"/>
    </w:rPr>
  </w:style>
  <w:style w:type="character" w:styleId="759" w:customStyle="1">
    <w:name w:val="标题 2 Char1"/>
    <w:link w:val="698"/>
    <w:uiPriority w:val="9"/>
    <w:qFormat/>
    <w:rPr>
      <w:rFonts w:ascii="Arial" w:hAnsi="Arial" w:eastAsia="Arial" w:cs="Arial"/>
      <w:sz w:val="34"/>
    </w:rPr>
  </w:style>
  <w:style w:type="character" w:styleId="760" w:customStyle="1">
    <w:name w:val="标题 3 Char1"/>
    <w:link w:val="699"/>
    <w:uiPriority w:val="9"/>
    <w:qFormat/>
    <w:rPr>
      <w:rFonts w:ascii="Arial" w:hAnsi="Arial" w:eastAsia="Arial" w:cs="Arial"/>
      <w:sz w:val="30"/>
      <w:szCs w:val="30"/>
    </w:rPr>
  </w:style>
  <w:style w:type="character" w:styleId="761" w:customStyle="1">
    <w:name w:val="标题 4 Char1"/>
    <w:link w:val="700"/>
    <w:uiPriority w:val="9"/>
    <w:qFormat/>
    <w:rPr>
      <w:rFonts w:ascii="Arial" w:hAnsi="Arial" w:eastAsia="Arial" w:cs="Arial"/>
      <w:b/>
      <w:bCs/>
      <w:sz w:val="26"/>
      <w:szCs w:val="26"/>
    </w:rPr>
  </w:style>
  <w:style w:type="character" w:styleId="762" w:customStyle="1">
    <w:name w:val="标题 5 Char1"/>
    <w:link w:val="701"/>
    <w:uiPriority w:val="9"/>
    <w:qFormat/>
    <w:rPr>
      <w:rFonts w:ascii="Arial" w:hAnsi="Arial" w:eastAsia="Arial" w:cs="Arial"/>
      <w:b/>
      <w:bCs/>
      <w:sz w:val="24"/>
      <w:szCs w:val="24"/>
    </w:rPr>
  </w:style>
  <w:style w:type="character" w:styleId="763" w:customStyle="1">
    <w:name w:val="标题 6 Char1"/>
    <w:link w:val="702"/>
    <w:uiPriority w:val="9"/>
    <w:qFormat/>
    <w:rPr>
      <w:rFonts w:ascii="Arial" w:hAnsi="Arial" w:eastAsia="Arial" w:cs="Arial"/>
      <w:b/>
      <w:bCs/>
      <w:sz w:val="22"/>
      <w:szCs w:val="22"/>
    </w:rPr>
  </w:style>
  <w:style w:type="character" w:styleId="764" w:customStyle="1">
    <w:name w:val="标题 7 Char1"/>
    <w:link w:val="703"/>
    <w:uiPriority w:val="9"/>
    <w:qFormat/>
    <w:rPr>
      <w:rFonts w:ascii="Arial" w:hAnsi="Arial" w:eastAsia="Arial" w:cs="Arial"/>
      <w:b/>
      <w:bCs/>
      <w:i/>
      <w:iCs/>
      <w:sz w:val="22"/>
      <w:szCs w:val="22"/>
    </w:rPr>
  </w:style>
  <w:style w:type="character" w:styleId="765" w:customStyle="1">
    <w:name w:val="标题 8 Char1"/>
    <w:link w:val="704"/>
    <w:uiPriority w:val="9"/>
    <w:qFormat/>
    <w:rPr>
      <w:rFonts w:ascii="Arial" w:hAnsi="Arial" w:eastAsia="Arial" w:cs="Arial"/>
      <w:i/>
      <w:iCs/>
      <w:sz w:val="22"/>
      <w:szCs w:val="22"/>
    </w:rPr>
  </w:style>
  <w:style w:type="character" w:styleId="766" w:customStyle="1">
    <w:name w:val="标题 9 Char1"/>
    <w:link w:val="705"/>
    <w:uiPriority w:val="9"/>
    <w:qFormat/>
    <w:rPr>
      <w:rFonts w:ascii="Arial" w:hAnsi="Arial" w:eastAsia="Arial" w:cs="Arial"/>
      <w:i/>
      <w:iCs/>
      <w:sz w:val="21"/>
      <w:szCs w:val="21"/>
    </w:rPr>
  </w:style>
  <w:style w:type="character" w:styleId="767" w:customStyle="1">
    <w:name w:val="Heading 1 Char"/>
    <w:basedOn w:val="706"/>
    <w:uiPriority w:val="9"/>
    <w:qFormat/>
    <w:rPr>
      <w:rFonts w:ascii="Arial" w:hAnsi="Arial" w:eastAsia="Arial" w:cs="Arial"/>
      <w:sz w:val="40"/>
      <w:szCs w:val="40"/>
    </w:rPr>
  </w:style>
  <w:style w:type="character" w:styleId="768" w:customStyle="1">
    <w:name w:val="Heading 2 Char"/>
    <w:basedOn w:val="706"/>
    <w:uiPriority w:val="9"/>
    <w:qFormat/>
    <w:rPr>
      <w:rFonts w:ascii="Arial" w:hAnsi="Arial" w:eastAsia="Arial" w:cs="Arial"/>
      <w:sz w:val="34"/>
    </w:rPr>
  </w:style>
  <w:style w:type="character" w:styleId="769" w:customStyle="1">
    <w:name w:val="Heading 3 Char"/>
    <w:basedOn w:val="706"/>
    <w:uiPriority w:val="9"/>
    <w:qFormat/>
    <w:rPr>
      <w:rFonts w:ascii="Arial" w:hAnsi="Arial" w:eastAsia="Arial" w:cs="Arial"/>
      <w:sz w:val="30"/>
      <w:szCs w:val="30"/>
    </w:rPr>
  </w:style>
  <w:style w:type="character" w:styleId="770" w:customStyle="1">
    <w:name w:val="Heading 4 Char"/>
    <w:basedOn w:val="706"/>
    <w:uiPriority w:val="9"/>
    <w:qFormat/>
    <w:rPr>
      <w:rFonts w:ascii="Arial" w:hAnsi="Arial" w:eastAsia="Arial" w:cs="Arial"/>
      <w:b/>
      <w:bCs/>
      <w:sz w:val="26"/>
      <w:szCs w:val="26"/>
    </w:rPr>
  </w:style>
  <w:style w:type="character" w:styleId="771" w:customStyle="1">
    <w:name w:val="Heading 5 Char"/>
    <w:basedOn w:val="706"/>
    <w:uiPriority w:val="9"/>
    <w:qFormat/>
    <w:rPr>
      <w:rFonts w:ascii="Arial" w:hAnsi="Arial" w:eastAsia="Arial" w:cs="Arial"/>
      <w:b/>
      <w:bCs/>
      <w:sz w:val="24"/>
      <w:szCs w:val="24"/>
    </w:rPr>
  </w:style>
  <w:style w:type="character" w:styleId="772" w:customStyle="1">
    <w:name w:val="Heading 6 Char"/>
    <w:basedOn w:val="706"/>
    <w:uiPriority w:val="9"/>
    <w:qFormat/>
    <w:rPr>
      <w:rFonts w:ascii="Arial" w:hAnsi="Arial" w:eastAsia="Arial" w:cs="Arial"/>
      <w:b/>
      <w:bCs/>
      <w:sz w:val="22"/>
      <w:szCs w:val="22"/>
    </w:rPr>
  </w:style>
  <w:style w:type="character" w:styleId="773" w:customStyle="1">
    <w:name w:val="Heading 7 Char"/>
    <w:basedOn w:val="706"/>
    <w:uiPriority w:val="9"/>
    <w:qFormat/>
    <w:rPr>
      <w:rFonts w:ascii="Arial" w:hAnsi="Arial" w:eastAsia="Arial" w:cs="Arial"/>
      <w:b/>
      <w:bCs/>
      <w:i/>
      <w:iCs/>
      <w:sz w:val="22"/>
      <w:szCs w:val="22"/>
    </w:rPr>
  </w:style>
  <w:style w:type="character" w:styleId="774" w:customStyle="1">
    <w:name w:val="Heading 8 Char"/>
    <w:basedOn w:val="706"/>
    <w:uiPriority w:val="9"/>
    <w:qFormat/>
    <w:rPr>
      <w:rFonts w:ascii="Arial" w:hAnsi="Arial" w:eastAsia="Arial" w:cs="Arial"/>
      <w:i/>
      <w:iCs/>
      <w:sz w:val="22"/>
      <w:szCs w:val="22"/>
    </w:rPr>
  </w:style>
  <w:style w:type="character" w:styleId="775" w:customStyle="1">
    <w:name w:val="Heading 9 Char"/>
    <w:basedOn w:val="706"/>
    <w:uiPriority w:val="9"/>
    <w:qFormat/>
    <w:rPr>
      <w:rFonts w:ascii="Arial" w:hAnsi="Arial" w:eastAsia="Arial" w:cs="Arial"/>
      <w:i/>
      <w:iCs/>
      <w:sz w:val="21"/>
      <w:szCs w:val="21"/>
    </w:rPr>
  </w:style>
  <w:style w:type="character" w:styleId="776" w:customStyle="1">
    <w:name w:val="Title Char"/>
    <w:basedOn w:val="706"/>
    <w:uiPriority w:val="10"/>
    <w:qFormat/>
    <w:rPr>
      <w:sz w:val="48"/>
      <w:szCs w:val="48"/>
    </w:rPr>
  </w:style>
  <w:style w:type="character" w:styleId="777" w:customStyle="1">
    <w:name w:val="Subtitle Char"/>
    <w:basedOn w:val="706"/>
    <w:uiPriority w:val="11"/>
    <w:qFormat/>
    <w:rPr>
      <w:sz w:val="24"/>
      <w:szCs w:val="24"/>
    </w:rPr>
  </w:style>
  <w:style w:type="character" w:styleId="778" w:customStyle="1">
    <w:name w:val="Quote Char"/>
    <w:uiPriority w:val="29"/>
    <w:qFormat/>
    <w:rPr>
      <w:i/>
    </w:rPr>
  </w:style>
  <w:style w:type="character" w:styleId="779" w:customStyle="1">
    <w:name w:val="Intense Quote Char"/>
    <w:uiPriority w:val="30"/>
    <w:qFormat/>
    <w:rPr>
      <w:i/>
    </w:rPr>
  </w:style>
  <w:style w:type="character" w:styleId="780" w:customStyle="1">
    <w:name w:val="Header Char"/>
    <w:basedOn w:val="706"/>
    <w:uiPriority w:val="99"/>
    <w:qFormat/>
  </w:style>
  <w:style w:type="character" w:styleId="781" w:customStyle="1">
    <w:name w:val="Caption Char"/>
    <w:uiPriority w:val="99"/>
    <w:qFormat/>
  </w:style>
  <w:style w:type="character" w:styleId="782" w:customStyle="1">
    <w:name w:val="Footnote Text Char"/>
    <w:uiPriority w:val="99"/>
    <w:qFormat/>
    <w:rPr>
      <w:sz w:val="18"/>
    </w:rPr>
  </w:style>
  <w:style w:type="character" w:styleId="783" w:customStyle="1">
    <w:name w:val="Endnote Text Char"/>
    <w:uiPriority w:val="99"/>
    <w:qFormat/>
    <w:rPr>
      <w:sz w:val="20"/>
    </w:rPr>
  </w:style>
  <w:style w:type="paragraph" w:styleId="784" w:customStyle="1">
    <w:name w:val="TOC Heading"/>
    <w:uiPriority w:val="39"/>
    <w:unhideWhenUsed/>
    <w:qFormat/>
    <w:rPr>
      <w:rFonts w:hint="default" w:ascii="Times New Roman" w:hAnsi="Times New Roman" w:eastAsia="宋体" w:cs="Times New Roman"/>
    </w:rPr>
  </w:style>
  <w:style w:type="character" w:styleId="785" w:customStyle="1">
    <w:name w:val="尾注文本 Char"/>
    <w:link w:val="718"/>
    <w:uiPriority w:val="99"/>
    <w:qFormat/>
    <w:rPr>
      <w:sz w:val="20"/>
    </w:rPr>
  </w:style>
  <w:style w:type="character" w:styleId="786" w:customStyle="1">
    <w:name w:val="页脚 Char1"/>
    <w:link w:val="720"/>
    <w:uiPriority w:val="99"/>
    <w:qFormat/>
  </w:style>
  <w:style w:type="character" w:styleId="787" w:customStyle="1">
    <w:name w:val="页眉 Char1"/>
    <w:link w:val="722"/>
    <w:uiPriority w:val="99"/>
    <w:qFormat/>
  </w:style>
  <w:style w:type="character" w:styleId="788" w:customStyle="1">
    <w:name w:val="副标题 Char"/>
    <w:link w:val="725"/>
    <w:uiPriority w:val="11"/>
    <w:qFormat/>
    <w:rPr>
      <w:sz w:val="24"/>
      <w:szCs w:val="24"/>
    </w:rPr>
  </w:style>
  <w:style w:type="character" w:styleId="789" w:customStyle="1">
    <w:name w:val="脚注文本 Char"/>
    <w:link w:val="726"/>
    <w:uiPriority w:val="99"/>
    <w:qFormat/>
    <w:rPr>
      <w:sz w:val="18"/>
    </w:rPr>
  </w:style>
  <w:style w:type="character" w:styleId="790" w:customStyle="1">
    <w:name w:val="标题 Char"/>
    <w:link w:val="732"/>
    <w:uiPriority w:val="10"/>
    <w:qFormat/>
    <w:rPr>
      <w:sz w:val="48"/>
      <w:szCs w:val="48"/>
    </w:rPr>
  </w:style>
  <w:style w:type="paragraph" w:styleId="791">
    <w:name w:val="List Paragraph"/>
    <w:basedOn w:val="696"/>
    <w:uiPriority w:val="34"/>
    <w:qFormat/>
    <w:pPr>
      <w:contextualSpacing/>
      <w:ind w:left="720"/>
    </w:pPr>
  </w:style>
  <w:style w:type="paragraph" w:styleId="792">
    <w:name w:val="No Spacing"/>
    <w:uiPriority w:val="1"/>
    <w:qFormat/>
    <w:rPr>
      <w:rFonts w:hint="default" w:ascii="Times New Roman" w:hAnsi="Times New Roman" w:eastAsia="宋体" w:cs="Times New Roman"/>
    </w:rPr>
  </w:style>
  <w:style w:type="paragraph" w:styleId="793">
    <w:name w:val="Quote"/>
    <w:basedOn w:val="696"/>
    <w:next w:val="696"/>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696"/>
    <w:next w:val="696"/>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Footer Char"/>
    <w:uiPriority w:val="99"/>
    <w:qFormat/>
  </w:style>
  <w:style w:type="table" w:styleId="7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3" w:customStyle="1">
    <w:name w:val="TOC 标题1"/>
    <w:uiPriority w:val="39"/>
    <w:unhideWhenUsed/>
    <w:qFormat/>
    <w:rPr>
      <w:rFonts w:hint="default" w:ascii="Times New Roman" w:hAnsi="Times New Roman" w:eastAsia="宋体" w:cs="Times New Roman"/>
    </w:rPr>
  </w:style>
  <w:style w:type="paragraph" w:styleId="924" w:customStyle="1">
    <w:name w:val="标题 11"/>
    <w:basedOn w:val="696"/>
    <w:next w:val="696"/>
    <w:link w:val="925"/>
    <w:uiPriority w:val="0"/>
    <w:qFormat/>
    <w:pPr>
      <w:jc w:val="center"/>
      <w:keepNext/>
      <w:outlineLvl w:val="0"/>
    </w:pPr>
    <w:rPr>
      <w:rFonts w:ascii="楷体_GB2312" w:hAnsi="楷体_GB2312" w:eastAsia="黑体"/>
      <w:sz w:val="44"/>
      <w:szCs w:val="28"/>
    </w:rPr>
  </w:style>
  <w:style w:type="character" w:styleId="925" w:customStyle="1">
    <w:name w:val="标题 1 Char"/>
    <w:link w:val="924"/>
    <w:uiPriority w:val="9"/>
    <w:qFormat/>
    <w:rPr>
      <w:rFonts w:ascii="楷体_GB2312" w:hAnsi="楷体_GB2312" w:eastAsia="黑体" w:cs="Times New Roman"/>
      <w:sz w:val="44"/>
      <w:szCs w:val="28"/>
    </w:rPr>
  </w:style>
  <w:style w:type="paragraph" w:styleId="926" w:customStyle="1">
    <w:name w:val="标题 21"/>
    <w:basedOn w:val="696"/>
    <w:next w:val="927"/>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7" w:customStyle="1">
    <w:name w:val="正文缩进1"/>
    <w:basedOn w:val="696"/>
    <w:link w:val="928"/>
    <w:uiPriority w:val="0"/>
    <w:qFormat/>
    <w:pPr>
      <w:ind w:firstLine="420"/>
    </w:pPr>
  </w:style>
  <w:style w:type="character" w:styleId="928" w:customStyle="1">
    <w:name w:val="正文缩进 Char"/>
    <w:link w:val="927"/>
    <w:uiPriority w:val="0"/>
    <w:qFormat/>
    <w:rPr>
      <w:rFonts w:ascii="Times New Roman" w:hAnsi="Times New Roman" w:eastAsia="宋体" w:cs="Times New Roman"/>
      <w:szCs w:val="21"/>
    </w:rPr>
  </w:style>
  <w:style w:type="character" w:styleId="929" w:customStyle="1">
    <w:name w:val="标题 2 Char"/>
    <w:link w:val="926"/>
    <w:uiPriority w:val="9"/>
    <w:qFormat/>
    <w:rPr>
      <w:rFonts w:ascii="Arial" w:hAnsi="Arial" w:eastAsia="幼圆" w:cs="Arial"/>
      <w:b/>
      <w:bCs/>
      <w:sz w:val="44"/>
      <w:szCs w:val="44"/>
    </w:rPr>
  </w:style>
  <w:style w:type="paragraph" w:styleId="930" w:customStyle="1">
    <w:name w:val="标题 31"/>
    <w:basedOn w:val="696"/>
    <w:next w:val="927"/>
    <w:link w:val="931"/>
    <w:uiPriority w:val="0"/>
    <w:qFormat/>
    <w:pPr>
      <w:keepLines/>
      <w:keepNext/>
      <w:spacing w:before="260" w:after="260" w:line="416" w:lineRule="auto"/>
      <w:outlineLvl w:val="2"/>
    </w:pPr>
    <w:rPr>
      <w:b/>
      <w:bCs/>
      <w:sz w:val="32"/>
      <w:szCs w:val="32"/>
    </w:rPr>
  </w:style>
  <w:style w:type="character" w:styleId="931" w:customStyle="1">
    <w:name w:val="标题 3 Char"/>
    <w:link w:val="930"/>
    <w:uiPriority w:val="9"/>
    <w:qFormat/>
    <w:rPr>
      <w:rFonts w:ascii="Times New Roman" w:hAnsi="Times New Roman" w:eastAsia="宋体" w:cs="Times New Roman"/>
      <w:b/>
      <w:bCs/>
      <w:sz w:val="32"/>
      <w:szCs w:val="32"/>
    </w:rPr>
  </w:style>
  <w:style w:type="paragraph" w:styleId="932" w:customStyle="1">
    <w:name w:val="标题 41"/>
    <w:basedOn w:val="696"/>
    <w:next w:val="927"/>
    <w:link w:val="933"/>
    <w:uiPriority w:val="0"/>
    <w:qFormat/>
    <w:pPr>
      <w:keepLines/>
      <w:keepNext/>
      <w:spacing w:before="280" w:after="290" w:line="376" w:lineRule="auto"/>
      <w:outlineLvl w:val="3"/>
    </w:pPr>
    <w:rPr>
      <w:rFonts w:ascii="Arial" w:hAnsi="Arial" w:eastAsia="黑体" w:cs="Arial"/>
      <w:b/>
      <w:bCs/>
      <w:sz w:val="28"/>
      <w:szCs w:val="28"/>
    </w:rPr>
  </w:style>
  <w:style w:type="character" w:styleId="933" w:customStyle="1">
    <w:name w:val="标题 4 Char"/>
    <w:link w:val="932"/>
    <w:uiPriority w:val="9"/>
    <w:qFormat/>
    <w:rPr>
      <w:rFonts w:ascii="Arial" w:hAnsi="Arial" w:eastAsia="黑体" w:cs="Arial"/>
      <w:b/>
      <w:bCs/>
      <w:sz w:val="28"/>
      <w:szCs w:val="28"/>
    </w:rPr>
  </w:style>
  <w:style w:type="paragraph" w:styleId="934" w:customStyle="1">
    <w:name w:val="标题 51"/>
    <w:basedOn w:val="696"/>
    <w:next w:val="927"/>
    <w:link w:val="935"/>
    <w:uiPriority w:val="0"/>
    <w:qFormat/>
    <w:pPr>
      <w:keepNext/>
      <w:outlineLvl w:val="4"/>
    </w:pPr>
    <w:rPr>
      <w:rFonts w:ascii="宋体"/>
      <w:color w:val="000000"/>
      <w:sz w:val="28"/>
      <w:szCs w:val="28"/>
    </w:rPr>
  </w:style>
  <w:style w:type="character" w:styleId="935" w:customStyle="1">
    <w:name w:val="标题 5 Char"/>
    <w:link w:val="934"/>
    <w:uiPriority w:val="9"/>
    <w:qFormat/>
    <w:rPr>
      <w:rFonts w:ascii="宋体" w:hAnsi="Times New Roman" w:eastAsia="宋体" w:cs="Times New Roman"/>
      <w:color w:val="000000"/>
      <w:sz w:val="28"/>
      <w:szCs w:val="28"/>
    </w:rPr>
  </w:style>
  <w:style w:type="paragraph" w:styleId="936" w:customStyle="1">
    <w:name w:val="标题 61"/>
    <w:basedOn w:val="696"/>
    <w:next w:val="696"/>
    <w:link w:val="937"/>
    <w:uiPriority w:val="0"/>
    <w:qFormat/>
    <w:pPr>
      <w:numPr>
        <w:ilvl w:val="5"/>
        <w:numId w:val="3"/>
      </w:numPr>
      <w:keepLines/>
      <w:keepNext/>
      <w:spacing w:before="240" w:after="64" w:line="320" w:lineRule="auto"/>
      <w:outlineLvl w:val="5"/>
    </w:pPr>
    <w:rPr>
      <w:rFonts w:ascii="Arial" w:hAnsi="Arial" w:eastAsia="黑体"/>
      <w:b/>
      <w:bCs/>
      <w:sz w:val="24"/>
      <w:szCs w:val="24"/>
    </w:rPr>
  </w:style>
  <w:style w:type="character" w:styleId="937" w:customStyle="1">
    <w:name w:val="标题 6 Char"/>
    <w:link w:val="936"/>
    <w:uiPriority w:val="9"/>
    <w:qFormat/>
    <w:rPr>
      <w:rFonts w:ascii="Arial" w:hAnsi="Arial" w:eastAsia="黑体" w:cs="Times New Roman"/>
      <w:b/>
      <w:bCs/>
      <w:sz w:val="24"/>
      <w:szCs w:val="24"/>
    </w:rPr>
  </w:style>
  <w:style w:type="paragraph" w:styleId="938" w:customStyle="1">
    <w:name w:val="标题 71"/>
    <w:basedOn w:val="696"/>
    <w:next w:val="696"/>
    <w:link w:val="939"/>
    <w:uiPriority w:val="0"/>
    <w:qFormat/>
    <w:pPr>
      <w:numPr>
        <w:ilvl w:val="6"/>
        <w:numId w:val="3"/>
      </w:numPr>
      <w:keepLines/>
      <w:keepNext/>
      <w:spacing w:before="240" w:after="64" w:line="320" w:lineRule="auto"/>
      <w:outlineLvl w:val="6"/>
    </w:pPr>
    <w:rPr>
      <w:b/>
      <w:bCs/>
      <w:sz w:val="24"/>
      <w:szCs w:val="24"/>
    </w:rPr>
  </w:style>
  <w:style w:type="character" w:styleId="939" w:customStyle="1">
    <w:name w:val="标题 7 Char"/>
    <w:link w:val="938"/>
    <w:uiPriority w:val="9"/>
    <w:qFormat/>
    <w:rPr>
      <w:rFonts w:ascii="Times New Roman" w:hAnsi="Times New Roman" w:eastAsia="宋体" w:cs="Times New Roman"/>
      <w:b/>
      <w:bCs/>
      <w:sz w:val="24"/>
      <w:szCs w:val="24"/>
    </w:rPr>
  </w:style>
  <w:style w:type="paragraph" w:styleId="940" w:customStyle="1">
    <w:name w:val="标题 81"/>
    <w:basedOn w:val="696"/>
    <w:next w:val="696"/>
    <w:link w:val="941"/>
    <w:uiPriority w:val="0"/>
    <w:qFormat/>
    <w:pPr>
      <w:numPr>
        <w:ilvl w:val="7"/>
        <w:numId w:val="3"/>
      </w:numPr>
      <w:keepLines/>
      <w:keepNext/>
      <w:spacing w:before="240" w:after="64" w:line="320" w:lineRule="auto"/>
      <w:outlineLvl w:val="7"/>
    </w:pPr>
    <w:rPr>
      <w:rFonts w:ascii="Arial" w:hAnsi="Arial" w:eastAsia="黑体"/>
      <w:sz w:val="24"/>
      <w:szCs w:val="24"/>
    </w:rPr>
  </w:style>
  <w:style w:type="character" w:styleId="941" w:customStyle="1">
    <w:name w:val="标题 8 Char"/>
    <w:link w:val="940"/>
    <w:uiPriority w:val="9"/>
    <w:qFormat/>
    <w:rPr>
      <w:rFonts w:ascii="Arial" w:hAnsi="Arial" w:eastAsia="黑体" w:cs="Times New Roman"/>
      <w:sz w:val="24"/>
      <w:szCs w:val="24"/>
    </w:rPr>
  </w:style>
  <w:style w:type="paragraph" w:styleId="942" w:customStyle="1">
    <w:name w:val="标题 91"/>
    <w:basedOn w:val="696"/>
    <w:next w:val="696"/>
    <w:link w:val="943"/>
    <w:uiPriority w:val="0"/>
    <w:qFormat/>
    <w:pPr>
      <w:numPr>
        <w:ilvl w:val="8"/>
        <w:numId w:val="3"/>
      </w:numPr>
      <w:keepLines/>
      <w:keepNext/>
      <w:spacing w:before="240" w:after="64" w:line="320" w:lineRule="auto"/>
      <w:outlineLvl w:val="8"/>
    </w:pPr>
    <w:rPr>
      <w:rFonts w:ascii="Arial" w:hAnsi="Arial" w:eastAsia="黑体"/>
    </w:rPr>
  </w:style>
  <w:style w:type="character" w:styleId="943" w:customStyle="1">
    <w:name w:val="标题 9 Char"/>
    <w:link w:val="942"/>
    <w:uiPriority w:val="9"/>
    <w:qFormat/>
    <w:rPr>
      <w:rFonts w:ascii="Arial" w:hAnsi="Arial" w:eastAsia="黑体" w:cs="Times New Roman"/>
      <w:szCs w:val="21"/>
    </w:rPr>
  </w:style>
  <w:style w:type="character" w:styleId="944" w:customStyle="1">
    <w:name w:val="默认段落字体1"/>
    <w:uiPriority w:val="1"/>
    <w:unhideWhenUsed/>
    <w:qFormat/>
  </w:style>
  <w:style w:type="table" w:styleId="945" w:customStyle="1">
    <w:name w:val="普通表格1"/>
    <w:uiPriority w:val="99"/>
    <w:unhideWhenUsed/>
    <w:qFormat/>
    <w:tblPr>
      <w:tblLayout w:type="fixed"/>
      <w:tblCellMar>
        <w:left w:w="0" w:type="dxa"/>
        <w:top w:w="0" w:type="dxa"/>
        <w:right w:w="0" w:type="dxa"/>
        <w:bottom w:w="0" w:type="dxa"/>
      </w:tblCellMar>
    </w:tblPr>
  </w:style>
  <w:style w:type="character" w:styleId="946" w:customStyle="1">
    <w:name w:val="批注引用1"/>
    <w:uiPriority w:val="0"/>
    <w:semiHidden/>
    <w:qFormat/>
    <w:rPr>
      <w:sz w:val="21"/>
      <w:szCs w:val="21"/>
    </w:rPr>
  </w:style>
  <w:style w:type="character" w:styleId="947" w:customStyle="1">
    <w:name w:val="纯文本 Char"/>
    <w:link w:val="948"/>
    <w:uiPriority w:val="0"/>
    <w:qFormat/>
    <w:rPr>
      <w:rFonts w:ascii="宋体" w:hAnsi="Courier New" w:eastAsia="宋体" w:cs="Courier New"/>
      <w:szCs w:val="21"/>
    </w:rPr>
  </w:style>
  <w:style w:type="paragraph" w:styleId="948" w:customStyle="1">
    <w:name w:val="纯文本1"/>
    <w:basedOn w:val="696"/>
    <w:link w:val="947"/>
    <w:uiPriority w:val="0"/>
    <w:qFormat/>
    <w:rPr>
      <w:rFonts w:ascii="宋体" w:hAnsi="Courier New" w:cs="Courier New"/>
    </w:rPr>
  </w:style>
  <w:style w:type="character" w:styleId="949" w:customStyle="1">
    <w:name w:val="文档结构图 Char"/>
    <w:link w:val="950"/>
    <w:uiPriority w:val="0"/>
    <w:semiHidden/>
    <w:qFormat/>
    <w:rPr>
      <w:rFonts w:ascii="Times New Roman" w:hAnsi="Times New Roman" w:eastAsia="宋体" w:cs="Times New Roman"/>
      <w:szCs w:val="21"/>
      <w:shd w:val="clear" w:color="auto" w:fill="000080"/>
    </w:rPr>
  </w:style>
  <w:style w:type="paragraph" w:styleId="950" w:customStyle="1">
    <w:name w:val="文档结构图1"/>
    <w:basedOn w:val="696"/>
    <w:link w:val="949"/>
    <w:uiPriority w:val="0"/>
    <w:semiHidden/>
    <w:qFormat/>
    <w:pPr>
      <w:shd w:val="clear" w:color="auto" w:fill="000080"/>
    </w:pPr>
  </w:style>
  <w:style w:type="character" w:styleId="951" w:customStyle="1">
    <w:name w:val="要点1"/>
    <w:uiPriority w:val="0"/>
    <w:qFormat/>
    <w:rPr>
      <w:b/>
      <w:bCs/>
    </w:rPr>
  </w:style>
  <w:style w:type="character" w:styleId="952" w:customStyle="1">
    <w:name w:val="页脚 Char"/>
    <w:link w:val="953"/>
    <w:uiPriority w:val="99"/>
    <w:qFormat/>
    <w:rPr>
      <w:rFonts w:ascii="Times New Roman" w:hAnsi="Times New Roman" w:eastAsia="宋体" w:cs="Times New Roman"/>
      <w:sz w:val="18"/>
      <w:szCs w:val="18"/>
    </w:rPr>
  </w:style>
  <w:style w:type="paragraph" w:styleId="953" w:customStyle="1">
    <w:name w:val="页脚1"/>
    <w:basedOn w:val="696"/>
    <w:link w:val="952"/>
    <w:uiPriority w:val="0"/>
    <w:qFormat/>
    <w:pPr>
      <w:jc w:val="left"/>
      <w:tabs>
        <w:tab w:val="center" w:pos="4153" w:leader="none"/>
        <w:tab w:val="right" w:pos="8306" w:leader="none"/>
      </w:tabs>
    </w:pPr>
    <w:rPr>
      <w:sz w:val="18"/>
      <w:szCs w:val="18"/>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
    <w:basedOn w:val="696"/>
    <w:link w:val="954"/>
    <w:uiPriority w:val="0"/>
    <w:qFormat/>
    <w:pPr>
      <w:contextualSpacing/>
      <w:ind w:left="720"/>
      <w:jc w:val="left"/>
      <w:widowControl/>
    </w:pPr>
    <w:rPr>
      <w:rFonts w:ascii="Calibri" w:hAnsi="Calibri"/>
      <w:sz w:val="24"/>
      <w:szCs w:val="24"/>
      <w:lang w:eastAsia="en-US" w:bidi="en-US"/>
    </w:rPr>
  </w:style>
  <w:style w:type="character" w:styleId="956" w:customStyle="1">
    <w:name w:val="批注主题 Char"/>
    <w:link w:val="957"/>
    <w:uiPriority w:val="99"/>
    <w:semiHidden/>
    <w:qFormat/>
    <w:rPr>
      <w:rFonts w:ascii="Times New Roman" w:hAnsi="Times New Roman" w:eastAsia="宋体" w:cs="Times New Roman"/>
      <w:b/>
      <w:bCs/>
      <w:szCs w:val="21"/>
    </w:rPr>
  </w:style>
  <w:style w:type="paragraph" w:styleId="957" w:customStyle="1">
    <w:name w:val="批注主题1"/>
    <w:basedOn w:val="958"/>
    <w:next w:val="958"/>
    <w:link w:val="956"/>
    <w:uiPriority w:val="0"/>
    <w:semiHidden/>
    <w:qFormat/>
    <w:rPr>
      <w:b/>
      <w:bCs/>
    </w:rPr>
  </w:style>
  <w:style w:type="paragraph" w:styleId="958" w:customStyle="1">
    <w:name w:val="批注文字1"/>
    <w:basedOn w:val="696"/>
    <w:link w:val="959"/>
    <w:uiPriority w:val="0"/>
    <w:semiHidden/>
    <w:qFormat/>
    <w:pPr>
      <w:jc w:val="left"/>
    </w:pPr>
  </w:style>
  <w:style w:type="character" w:styleId="959" w:customStyle="1">
    <w:name w:val="批注文字 Char"/>
    <w:link w:val="958"/>
    <w:uiPriority w:val="99"/>
    <w:semiHidden/>
    <w:qFormat/>
    <w:rPr>
      <w:rFonts w:ascii="Times New Roman" w:hAnsi="Times New Roman" w:eastAsia="宋体" w:cs="Times New Roman"/>
      <w:szCs w:val="21"/>
    </w:rPr>
  </w:style>
  <w:style w:type="character" w:styleId="960" w:customStyle="1">
    <w:name w:val="正文文本 2 Char"/>
    <w:link w:val="961"/>
    <w:uiPriority w:val="0"/>
    <w:qFormat/>
    <w:rPr>
      <w:rFonts w:ascii="楷体_GB2312" w:hAnsi="Times New Roman" w:eastAsia="楷体_GB2312" w:cs="Times New Roman"/>
      <w:sz w:val="28"/>
      <w:szCs w:val="28"/>
    </w:rPr>
  </w:style>
  <w:style w:type="paragraph" w:styleId="961" w:customStyle="1">
    <w:name w:val="正文文本 21"/>
    <w:basedOn w:val="696"/>
    <w:link w:val="960"/>
    <w:uiPriority w:val="0"/>
    <w:qFormat/>
    <w:pPr>
      <w:jc w:val="center"/>
      <w:widowControl/>
    </w:pPr>
    <w:rPr>
      <w:rFonts w:ascii="楷体_GB2312" w:eastAsia="楷体_GB2312"/>
      <w:sz w:val="28"/>
      <w:szCs w:val="28"/>
    </w:rPr>
  </w:style>
  <w:style w:type="character" w:styleId="962" w:customStyle="1">
    <w:name w:val="正文首行缩进 Char"/>
    <w:link w:val="963"/>
    <w:uiPriority w:val="0"/>
    <w:qFormat/>
    <w:rPr>
      <w:rFonts w:ascii="仿宋_GB2312" w:hAnsi="Times New Roman" w:eastAsia="仿宋_GB2312" w:cs="Times New Roman"/>
      <w:sz w:val="30"/>
      <w:szCs w:val="30"/>
    </w:rPr>
  </w:style>
  <w:style w:type="paragraph" w:styleId="963" w:customStyle="1">
    <w:name w:val="正文首行缩进1"/>
    <w:basedOn w:val="696"/>
    <w:link w:val="962"/>
    <w:uiPriority w:val="0"/>
    <w:qFormat/>
    <w:pPr>
      <w:ind w:firstLine="200"/>
      <w:spacing w:line="360" w:lineRule="auto"/>
    </w:pPr>
    <w:rPr>
      <w:rFonts w:ascii="仿宋_GB2312" w:eastAsia="仿宋_GB2312"/>
      <w:sz w:val="30"/>
      <w:szCs w:val="30"/>
    </w:rPr>
  </w:style>
  <w:style w:type="character" w:styleId="964" w:customStyle="1">
    <w:name w:val="正文首行缩进 2 Char"/>
    <w:link w:val="965"/>
    <w:uiPriority w:val="0"/>
    <w:qFormat/>
    <w:rPr>
      <w:rFonts w:ascii="宋体" w:hAnsi="宋体" w:eastAsia="宋体" w:cs="Times New Roman"/>
      <w:sz w:val="32"/>
      <w:szCs w:val="20"/>
    </w:rPr>
  </w:style>
  <w:style w:type="paragraph" w:styleId="965" w:customStyle="1">
    <w:name w:val="正文首行缩进 21"/>
    <w:basedOn w:val="966"/>
    <w:link w:val="964"/>
    <w:uiPriority w:val="0"/>
    <w:qFormat/>
    <w:pPr>
      <w:ind w:firstLine="420"/>
      <w:spacing w:line="360" w:lineRule="auto"/>
    </w:pPr>
    <w:rPr>
      <w:rFonts w:ascii="宋体" w:hAnsi="宋体" w:eastAsia="宋体"/>
      <w:sz w:val="21"/>
      <w:szCs w:val="20"/>
    </w:rPr>
  </w:style>
  <w:style w:type="paragraph" w:styleId="966" w:customStyle="1">
    <w:name w:val="正文文本缩进1"/>
    <w:basedOn w:val="696"/>
    <w:link w:val="967"/>
    <w:uiPriority w:val="0"/>
    <w:qFormat/>
    <w:pPr>
      <w:ind w:firstLine="645"/>
    </w:pPr>
    <w:rPr>
      <w:rFonts w:ascii="楷体_GB2312" w:eastAsia="楷体_GB2312"/>
      <w:sz w:val="32"/>
      <w:szCs w:val="32"/>
    </w:rPr>
  </w:style>
  <w:style w:type="character" w:styleId="967" w:customStyle="1">
    <w:name w:val="正文文本缩进 Char"/>
    <w:link w:val="966"/>
    <w:uiPriority w:val="0"/>
    <w:qFormat/>
    <w:rPr>
      <w:rFonts w:ascii="楷体_GB2312" w:hAnsi="Times New Roman" w:eastAsia="楷体_GB2312" w:cs="Times New Roman"/>
      <w:sz w:val="32"/>
      <w:szCs w:val="32"/>
    </w:rPr>
  </w:style>
  <w:style w:type="character" w:styleId="968" w:customStyle="1">
    <w:name w:val="已访问的超链接1"/>
    <w:uiPriority w:val="0"/>
    <w:qFormat/>
    <w:rPr>
      <w:color w:val="800080"/>
      <w:u w:val="single"/>
    </w:rPr>
  </w:style>
  <w:style w:type="character" w:styleId="969" w:customStyle="1">
    <w:name w:val="正文文本 3 Char"/>
    <w:link w:val="970"/>
    <w:uiPriority w:val="0"/>
    <w:qFormat/>
    <w:rPr>
      <w:rFonts w:ascii="仿宋_GB2312" w:hAnsi="Arial" w:eastAsia="仿宋_GB2312" w:cs="Times New Roman"/>
      <w:sz w:val="32"/>
      <w:szCs w:val="32"/>
    </w:rPr>
  </w:style>
  <w:style w:type="paragraph" w:styleId="970" w:customStyle="1">
    <w:name w:val="正文文本 31"/>
    <w:basedOn w:val="696"/>
    <w:link w:val="969"/>
    <w:uiPriority w:val="0"/>
    <w:qFormat/>
    <w:rPr>
      <w:rFonts w:ascii="仿宋_GB2312" w:hAnsi="Arial" w:eastAsia="仿宋_GB2312"/>
      <w:sz w:val="32"/>
      <w:szCs w:val="32"/>
    </w:rPr>
  </w:style>
  <w:style w:type="character" w:styleId="971" w:customStyle="1">
    <w:name w:val="二级目录 Char"/>
    <w:link w:val="972"/>
    <w:uiPriority w:val="0"/>
    <w:qFormat/>
    <w:rPr>
      <w:b/>
      <w:sz w:val="30"/>
      <w:szCs w:val="28"/>
    </w:rPr>
  </w:style>
  <w:style w:type="paragraph" w:styleId="972" w:customStyle="1">
    <w:name w:val="二级目录"/>
    <w:next w:val="696"/>
    <w:link w:val="97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rPr>
  </w:style>
  <w:style w:type="character" w:styleId="973" w:customStyle="1">
    <w:name w:val="页码1"/>
    <w:uiPriority w:val="0"/>
    <w:qFormat/>
  </w:style>
  <w:style w:type="character" w:styleId="974" w:customStyle="1">
    <w:name w:val="正文文本缩进 2 Char"/>
    <w:link w:val="975"/>
    <w:uiPriority w:val="0"/>
    <w:qFormat/>
    <w:rPr>
      <w:rFonts w:ascii="Arial" w:hAnsi="Arial" w:eastAsia="仿宋_GB2312" w:cs="Arial"/>
      <w:sz w:val="32"/>
      <w:szCs w:val="32"/>
    </w:rPr>
  </w:style>
  <w:style w:type="paragraph" w:styleId="975" w:customStyle="1">
    <w:name w:val="正文文本缩进 21"/>
    <w:basedOn w:val="696"/>
    <w:link w:val="974"/>
    <w:uiPriority w:val="0"/>
    <w:qFormat/>
    <w:pPr>
      <w:ind w:left="630" w:firstLine="645"/>
    </w:pPr>
    <w:rPr>
      <w:rFonts w:ascii="Arial" w:hAnsi="Arial" w:eastAsia="仿宋_GB2312" w:cs="Arial"/>
      <w:sz w:val="32"/>
      <w:szCs w:val="32"/>
    </w:rPr>
  </w:style>
  <w:style w:type="character" w:styleId="976" w:customStyle="1">
    <w:name w:val="日期 Char"/>
    <w:link w:val="977"/>
    <w:uiPriority w:val="0"/>
    <w:qFormat/>
    <w:rPr>
      <w:rFonts w:ascii="Times New Roman" w:hAnsi="Times New Roman" w:eastAsia="宋体" w:cs="Times New Roman"/>
      <w:sz w:val="24"/>
      <w:szCs w:val="24"/>
    </w:rPr>
  </w:style>
  <w:style w:type="paragraph" w:styleId="977" w:customStyle="1">
    <w:name w:val="日期1"/>
    <w:basedOn w:val="696"/>
    <w:next w:val="696"/>
    <w:link w:val="976"/>
    <w:uiPriority w:val="0"/>
    <w:qFormat/>
    <w:rPr>
      <w:sz w:val="24"/>
      <w:szCs w:val="24"/>
    </w:rPr>
  </w:style>
  <w:style w:type="character" w:styleId="978" w:customStyle="1">
    <w:name w:val="超链接1"/>
    <w:uiPriority w:val="0"/>
    <w:qFormat/>
    <w:rPr>
      <w:color w:val="0000ff"/>
      <w:u w:val="single"/>
    </w:rPr>
  </w:style>
  <w:style w:type="character" w:styleId="979" w:customStyle="1">
    <w:name w:val="批注框文本 Char"/>
    <w:link w:val="980"/>
    <w:uiPriority w:val="0"/>
    <w:semiHidden/>
    <w:qFormat/>
    <w:rPr>
      <w:rFonts w:ascii="Times New Roman" w:hAnsi="Times New Roman" w:eastAsia="宋体" w:cs="Times New Roman"/>
      <w:sz w:val="18"/>
      <w:szCs w:val="18"/>
    </w:rPr>
  </w:style>
  <w:style w:type="paragraph" w:styleId="980" w:customStyle="1">
    <w:name w:val="批注框文本1"/>
    <w:basedOn w:val="696"/>
    <w:link w:val="979"/>
    <w:uiPriority w:val="0"/>
    <w:semiHidden/>
    <w:qFormat/>
    <w:rPr>
      <w:sz w:val="18"/>
      <w:szCs w:val="18"/>
    </w:rPr>
  </w:style>
  <w:style w:type="character" w:styleId="981" w:customStyle="1">
    <w:name w:val="页眉 Char"/>
    <w:link w:val="982"/>
    <w:uiPriority w:val="99"/>
    <w:qFormat/>
    <w:rPr>
      <w:rFonts w:ascii="Times New Roman" w:hAnsi="Times New Roman" w:eastAsia="宋体" w:cs="Times New Roman"/>
      <w:sz w:val="18"/>
      <w:szCs w:val="18"/>
    </w:rPr>
  </w:style>
  <w:style w:type="paragraph" w:styleId="982" w:customStyle="1">
    <w:name w:val="页眉1"/>
    <w:basedOn w:val="696"/>
    <w:link w:val="981"/>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正文文本 Char"/>
    <w:link w:val="984"/>
    <w:uiPriority w:val="0"/>
    <w:qFormat/>
    <w:rPr>
      <w:rFonts w:ascii="楷体_GB2312" w:hAnsi="Arial" w:eastAsia="楷体_GB2312" w:cs="Times New Roman"/>
      <w:sz w:val="28"/>
      <w:szCs w:val="28"/>
    </w:rPr>
  </w:style>
  <w:style w:type="paragraph" w:styleId="984" w:customStyle="1">
    <w:name w:val="正文文本1"/>
    <w:basedOn w:val="696"/>
    <w:link w:val="983"/>
    <w:uiPriority w:val="0"/>
    <w:qFormat/>
    <w:rPr>
      <w:rFonts w:ascii="楷体_GB2312" w:hAnsi="Arial" w:eastAsia="楷体_GB2312"/>
      <w:sz w:val="28"/>
      <w:szCs w:val="28"/>
    </w:rPr>
  </w:style>
  <w:style w:type="character" w:styleId="985" w:customStyle="1">
    <w:name w:val="正文文本缩进 3 Char"/>
    <w:link w:val="986"/>
    <w:uiPriority w:val="0"/>
    <w:qFormat/>
    <w:rPr>
      <w:rFonts w:ascii="Arial" w:hAnsi="Arial" w:eastAsia="仿宋_GB2312" w:cs="Arial"/>
      <w:color w:val="ffff00"/>
      <w:sz w:val="32"/>
      <w:szCs w:val="32"/>
    </w:rPr>
  </w:style>
  <w:style w:type="paragraph" w:styleId="986" w:customStyle="1">
    <w:name w:val="正文文本缩进 31"/>
    <w:basedOn w:val="696"/>
    <w:link w:val="985"/>
    <w:uiPriority w:val="0"/>
    <w:qFormat/>
    <w:pPr>
      <w:ind w:left="645" w:firstLine="645"/>
    </w:pPr>
    <w:rPr>
      <w:rFonts w:ascii="Arial" w:hAnsi="Arial" w:eastAsia="仿宋_GB2312" w:cs="Arial"/>
      <w:color w:val="ffff00"/>
      <w:sz w:val="32"/>
      <w:szCs w:val="32"/>
    </w:rPr>
  </w:style>
  <w:style w:type="paragraph" w:styleId="987"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目录 31"/>
    <w:basedOn w:val="696"/>
    <w:next w:val="696"/>
    <w:uiPriority w:val="0"/>
    <w:semiHidden/>
    <w:qFormat/>
    <w:pPr>
      <w:ind w:left="420"/>
      <w:jc w:val="left"/>
    </w:pPr>
    <w:rPr>
      <w:i/>
      <w:iCs/>
      <w:szCs w:val="24"/>
    </w:rPr>
  </w:style>
  <w:style w:type="paragraph" w:styleId="991"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93"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列表 31"/>
    <w:basedOn w:val="696"/>
    <w:uiPriority w:val="0"/>
    <w:qFormat/>
    <w:pPr>
      <w:ind w:left="100" w:hanging="200"/>
    </w:pPr>
  </w:style>
  <w:style w:type="paragraph" w:styleId="996" w:customStyle="1">
    <w:name w:val="列表1"/>
    <w:basedOn w:val="696"/>
    <w:uiPriority w:val="0"/>
    <w:qFormat/>
    <w:pPr>
      <w:ind w:left="200" w:hanging="200"/>
    </w:pPr>
  </w:style>
  <w:style w:type="paragraph" w:styleId="997" w:customStyle="1">
    <w:name w:val="Char Char Char Char"/>
    <w:basedOn w:val="950"/>
    <w:uiPriority w:val="0"/>
    <w:qFormat/>
    <w:pPr>
      <w:spacing w:line="360" w:lineRule="auto"/>
    </w:pPr>
    <w:rPr>
      <w:rFonts w:ascii="Tahoma" w:hAnsi="Tahoma"/>
      <w:sz w:val="24"/>
      <w:szCs w:val="24"/>
    </w:rPr>
  </w:style>
  <w:style w:type="paragraph" w:styleId="998" w:customStyle="1">
    <w:name w:val="目录 81"/>
    <w:basedOn w:val="696"/>
    <w:next w:val="696"/>
    <w:uiPriority w:val="0"/>
    <w:semiHidden/>
    <w:qFormat/>
    <w:pPr>
      <w:ind w:left="1470"/>
      <w:jc w:val="left"/>
    </w:pPr>
  </w:style>
  <w:style w:type="paragraph" w:styleId="999" w:customStyle="1">
    <w:name w:val="修订1"/>
    <w:uiPriority w:val="99"/>
    <w:semiHidden/>
    <w:qFormat/>
    <w:rPr>
      <w:rFonts w:hint="default" w:ascii="Times New Roman" w:hAnsi="Times New Roman" w:eastAsia="宋体" w:cs="Times New Roman"/>
      <w:sz w:val="21"/>
      <w:szCs w:val="21"/>
    </w:rPr>
  </w:style>
  <w:style w:type="paragraph" w:styleId="1000" w:customStyle="1">
    <w:name w:val="列表 21"/>
    <w:basedOn w:val="696"/>
    <w:uiPriority w:val="0"/>
    <w:qFormat/>
    <w:pPr>
      <w:ind w:left="100" w:hanging="200"/>
    </w:pPr>
  </w:style>
  <w:style w:type="paragraph" w:styleId="100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目录 51"/>
    <w:basedOn w:val="696"/>
    <w:next w:val="696"/>
    <w:uiPriority w:val="0"/>
    <w:semiHidden/>
    <w:qFormat/>
    <w:pPr>
      <w:ind w:left="840"/>
      <w:jc w:val="left"/>
    </w:pPr>
  </w:style>
  <w:style w:type="paragraph" w:styleId="1003"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1004"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1005"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1006" w:customStyle="1">
    <w:name w:val="索引 11"/>
    <w:basedOn w:val="696"/>
    <w:next w:val="696"/>
    <w:uiPriority w:val="0"/>
    <w:semiHidden/>
    <w:qFormat/>
    <w:pPr>
      <w:spacing w:line="240" w:lineRule="atLeast"/>
    </w:pPr>
    <w:rPr>
      <w:b/>
      <w:bCs/>
    </w:rPr>
  </w:style>
  <w:style w:type="paragraph" w:styleId="1007" w:customStyle="1">
    <w:name w:val="目录 61"/>
    <w:basedOn w:val="696"/>
    <w:next w:val="696"/>
    <w:uiPriority w:val="0"/>
    <w:semiHidden/>
    <w:qFormat/>
    <w:pPr>
      <w:ind w:left="1050"/>
      <w:jc w:val="left"/>
    </w:pPr>
  </w:style>
  <w:style w:type="paragraph" w:styleId="1008" w:customStyle="1">
    <w:name w:val="Char Char Char Char Char Char Char Char11"/>
    <w:basedOn w:val="696"/>
    <w:uiPriority w:val="0"/>
    <w:qFormat/>
    <w:pPr>
      <w:jc w:val="left"/>
      <w:spacing w:after="160" w:line="240" w:lineRule="exact"/>
      <w:widowControl/>
    </w:pPr>
    <w:rPr>
      <w:rFonts w:ascii="Verdana" w:hAnsi="Verdana"/>
      <w:sz w:val="20"/>
      <w:szCs w:val="20"/>
      <w:lang w:eastAsia="en-US"/>
    </w:rPr>
  </w:style>
  <w:style w:type="paragraph" w:styleId="1009" w:customStyle="1">
    <w:name w:val="table_lines"/>
    <w:basedOn w:val="696"/>
    <w:uiPriority w:val="0"/>
    <w:qFormat/>
    <w:pPr>
      <w:jc w:val="left"/>
      <w:widowControl/>
    </w:pPr>
    <w:rPr>
      <w:sz w:val="20"/>
      <w:szCs w:val="20"/>
      <w:lang w:val="de-DE" w:eastAsia="de-DE"/>
    </w:rPr>
  </w:style>
  <w:style w:type="paragraph" w:styleId="1010" w:customStyle="1">
    <w:name w:val="Char"/>
    <w:basedOn w:val="950"/>
    <w:uiPriority w:val="0"/>
    <w:qFormat/>
    <w:rPr>
      <w:rFonts w:ascii="Tahoma" w:hAnsi="Tahoma"/>
      <w:sz w:val="24"/>
      <w:szCs w:val="24"/>
    </w:rPr>
  </w:style>
  <w:style w:type="paragraph" w:styleId="1011" w:customStyle="1">
    <w:name w:val="附录1"/>
    <w:uiPriority w:val="0"/>
    <w:qFormat/>
    <w:pPr>
      <w:numPr>
        <w:ilvl w:val="0"/>
        <w:numId w:val="4"/>
      </w:numPr>
      <w:spacing w:before="240" w:line="600" w:lineRule="atLeast"/>
    </w:pPr>
    <w:rPr>
      <w:rFonts w:hint="default" w:ascii="Times New Roman" w:hAnsi="Times New Roman" w:eastAsia="宋体" w:cs="Times New Roman"/>
      <w:b/>
      <w:i/>
      <w:sz w:val="28"/>
    </w:rPr>
  </w:style>
  <w:style w:type="paragraph" w:styleId="1012" w:customStyle="1">
    <w:name w:val="无间隔1"/>
    <w:uiPriority w:val="99"/>
    <w:qFormat/>
    <w:pPr>
      <w:jc w:val="both"/>
      <w:widowControl w:val="off"/>
    </w:pPr>
    <w:rPr>
      <w:rFonts w:hint="default" w:ascii="Times New Roman" w:hAnsi="Times New Roman" w:eastAsia="宋体" w:cs="Times New Roman"/>
      <w:sz w:val="21"/>
      <w:szCs w:val="21"/>
    </w:rPr>
  </w:style>
  <w:style w:type="paragraph" w:styleId="1013" w:customStyle="1">
    <w:name w:val="图表目录1"/>
    <w:basedOn w:val="696"/>
    <w:next w:val="696"/>
    <w:uiPriority w:val="0"/>
    <w:semiHidden/>
    <w:qFormat/>
    <w:pPr>
      <w:ind w:left="840" w:hanging="420"/>
    </w:pPr>
  </w:style>
  <w:style w:type="paragraph" w:styleId="1014" w:customStyle="1">
    <w:name w:val="Body Text(ch)"/>
    <w:basedOn w:val="696"/>
    <w:next w:val="984"/>
    <w:uiPriority w:val="0"/>
    <w:qFormat/>
    <w:pPr>
      <w:spacing w:after="120"/>
    </w:pPr>
    <w:rPr>
      <w:rFonts w:ascii="宋体" w:hAnsi="Arial"/>
      <w:bCs/>
      <w:iCs/>
      <w:szCs w:val="24"/>
    </w:rPr>
  </w:style>
  <w:style w:type="paragraph" w:styleId="1015" w:customStyle="1">
    <w:name w:val="目录 91"/>
    <w:basedOn w:val="696"/>
    <w:next w:val="696"/>
    <w:uiPriority w:val="0"/>
    <w:semiHidden/>
    <w:qFormat/>
    <w:pPr>
      <w:ind w:left="1680"/>
      <w:jc w:val="left"/>
    </w:pPr>
  </w:style>
  <w:style w:type="paragraph" w:styleId="1016" w:customStyle="1">
    <w:name w:val="目录 11"/>
    <w:basedOn w:val="696"/>
    <w:next w:val="696"/>
    <w:uiPriority w:val="0"/>
    <w:semiHidden/>
    <w:qFormat/>
    <w:pPr>
      <w:jc w:val="left"/>
      <w:spacing w:before="120" w:after="120" w:line="400" w:lineRule="exact"/>
      <w:tabs>
        <w:tab w:val="right" w:pos="8720" w:leader="dot"/>
      </w:tabs>
    </w:pPr>
    <w:rPr>
      <w:rFonts w:ascii="宋体" w:hAnsi="宋体"/>
      <w:caps/>
      <w:sz w:val="24"/>
      <w:szCs w:val="24"/>
    </w:rPr>
  </w:style>
  <w:style w:type="paragraph" w:styleId="1017"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目录 21"/>
    <w:basedOn w:val="696"/>
    <w:next w:val="696"/>
    <w:uiPriority w:val="0"/>
    <w:semiHidden/>
    <w:qFormat/>
    <w:pPr>
      <w:ind w:left="210"/>
      <w:jc w:val="left"/>
    </w:pPr>
    <w:rPr>
      <w:smallCaps/>
      <w:szCs w:val="24"/>
    </w:rPr>
  </w:style>
  <w:style w:type="paragraph" w:styleId="1019"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1020" w:customStyle="1">
    <w:name w:val="列出段落2"/>
    <w:basedOn w:val="696"/>
    <w:uiPriority w:val="0"/>
    <w:qFormat/>
    <w:pPr>
      <w:contextualSpacing/>
      <w:ind w:left="720"/>
      <w:jc w:val="left"/>
      <w:widowControl/>
    </w:pPr>
    <w:rPr>
      <w:rFonts w:ascii="Calibri" w:hAnsi="Calibri"/>
      <w:sz w:val="24"/>
      <w:szCs w:val="24"/>
      <w:lang w:eastAsia="en-US" w:bidi="en-US"/>
    </w:rPr>
  </w:style>
  <w:style w:type="paragraph" w:styleId="1021"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1022" w:customStyle="1">
    <w:name w:val="目录 71"/>
    <w:basedOn w:val="696"/>
    <w:next w:val="696"/>
    <w:uiPriority w:val="0"/>
    <w:semiHidden/>
    <w:qFormat/>
    <w:pPr>
      <w:ind w:left="1260"/>
      <w:jc w:val="left"/>
    </w:pPr>
  </w:style>
  <w:style w:type="paragraph" w:styleId="1023" w:customStyle="1">
    <w:name w:val="目录 41"/>
    <w:basedOn w:val="696"/>
    <w:next w:val="696"/>
    <w:uiPriority w:val="0"/>
    <w:semiHidden/>
    <w:qFormat/>
    <w:pPr>
      <w:ind w:left="630"/>
      <w:jc w:val="left"/>
    </w:pPr>
  </w:style>
  <w:style w:type="paragraph" w:styleId="102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Char11"/>
    <w:basedOn w:val="696"/>
    <w:uiPriority w:val="0"/>
    <w:qFormat/>
    <w:pPr>
      <w:ind w:firstLine="200"/>
      <w:tabs>
        <w:tab w:val="left" w:pos="360" w:leader="none"/>
      </w:tabs>
    </w:pPr>
    <w:rPr>
      <w:sz w:val="28"/>
      <w:szCs w:val="30"/>
    </w:rPr>
  </w:style>
  <w:style w:type="paragraph" w:styleId="1027" w:customStyle="1">
    <w:name w:val="4"/>
    <w:basedOn w:val="696"/>
    <w:next w:val="986"/>
    <w:uiPriority w:val="0"/>
    <w:qFormat/>
    <w:pPr>
      <w:ind w:firstLine="420"/>
      <w:spacing w:line="360" w:lineRule="auto"/>
    </w:pPr>
    <w:rPr>
      <w:color w:val="ff0000"/>
      <w:sz w:val="24"/>
      <w:szCs w:val="24"/>
    </w:rPr>
  </w:style>
  <w:style w:type="paragraph" w:styleId="1028" w:customStyle="1">
    <w:name w:val="Char Char Char Char Char Char Char Char Char Char"/>
    <w:basedOn w:val="696"/>
    <w:uiPriority w:val="0"/>
    <w:qFormat/>
    <w:pPr>
      <w:spacing w:line="360" w:lineRule="auto"/>
    </w:pPr>
    <w:rPr>
      <w:sz w:val="24"/>
      <w:szCs w:val="20"/>
    </w:rPr>
  </w:style>
  <w:style w:type="paragraph" w:styleId="1029" w:customStyle="1">
    <w:name w:val="样式1"/>
    <w:basedOn w:val="696"/>
    <w:uiPriority w:val="0"/>
    <w:qFormat/>
    <w:pPr>
      <w:numPr>
        <w:ilvl w:val="0"/>
        <w:numId w:val="5"/>
      </w:numPr>
    </w:pPr>
    <w:rPr>
      <w:rFonts w:ascii="宋体" w:hAnsi="宋体"/>
    </w:rPr>
  </w:style>
  <w:style w:type="paragraph" w:styleId="1030"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1031" w:customStyle="1">
    <w:name w:val="Char Char Char Char11"/>
    <w:basedOn w:val="950"/>
    <w:uiPriority w:val="0"/>
    <w:qFormat/>
    <w:pPr>
      <w:spacing w:line="360" w:lineRule="auto"/>
    </w:pPr>
    <w:rPr>
      <w:rFonts w:ascii="Tahoma" w:hAnsi="Tahoma"/>
      <w:sz w:val="24"/>
      <w:szCs w:val="24"/>
    </w:rPr>
  </w:style>
  <w:style w:type="paragraph" w:styleId="1032" w:customStyle="1">
    <w:name w:val="table_1stline"/>
    <w:basedOn w:val="696"/>
    <w:uiPriority w:val="0"/>
    <w:qFormat/>
    <w:pPr>
      <w:jc w:val="left"/>
      <w:spacing w:before="120"/>
      <w:widowControl/>
    </w:pPr>
    <w:rPr>
      <w:bCs/>
      <w:sz w:val="20"/>
      <w:szCs w:val="20"/>
      <w:lang w:val="de-DE" w:eastAsia="de-DE"/>
    </w:rPr>
  </w:style>
  <w:style w:type="table" w:styleId="1033" w:customStyle="1">
    <w:name w:val="网格型1"/>
    <w:basedOn w:val="945"/>
    <w:uiPriority w:val="0"/>
    <w:qFormat/>
    <w:pPr>
      <w:jc w:val="both"/>
      <w:widowControl w:val="off"/>
    </w:pPr>
    <w:tblPr>
      <w:tblLayout w:type="fixed"/>
      <w:tblCellMar>
        <w:left w:w="0" w:type="dxa"/>
        <w:top w:w="0" w:type="dxa"/>
        <w:right w:w="0" w:type="dxa"/>
        <w:bottom w:w="0" w:type="dxa"/>
      </w:tblCellMar>
    </w:tblPr>
  </w:style>
  <w:style w:type="character" w:styleId="1034" w:customStyle="1">
    <w:name w:val="批注框文本 Char1"/>
    <w:basedOn w:val="706"/>
    <w:link w:val="719"/>
    <w:uiPriority w:val="99"/>
    <w:semiHidden/>
    <w:qFormat/>
    <w:rPr>
      <w:sz w:val="18"/>
      <w:szCs w:val="18"/>
    </w:rPr>
  </w:style>
  <w:style w:type="character" w:styleId="1035" w:customStyle="1">
    <w:name w:val="批注文字 Char1"/>
    <w:basedOn w:val="706"/>
    <w:uiPriority w:val="99"/>
    <w:semiHidden/>
    <w:qFormat/>
    <w:rPr>
      <w:sz w:val="21"/>
      <w:szCs w:val="21"/>
    </w:rPr>
  </w:style>
  <w:style w:type="character" w:styleId="1036" w:customStyle="1">
    <w:name w:val="批注主题 Char1"/>
    <w:basedOn w:val="1035"/>
    <w:uiPriority w:val="99"/>
    <w:semiHidden/>
    <w:qFormat/>
    <w:rPr>
      <w:b/>
      <w:bCs/>
      <w:sz w:val="21"/>
      <w:szCs w:val="21"/>
    </w:rPr>
  </w:style>
  <w:style w:type="character" w:styleId="1037" w:customStyle="1">
    <w:name w:val="标题 4 字符"/>
    <w:uiPriority w:val="0"/>
    <w:qFormat/>
    <w:rPr>
      <w:rFonts w:ascii="Arial" w:hAnsi="Arial" w:eastAsia="黑体" w:cs="Arial"/>
      <w:b/>
      <w:bCs/>
      <w:sz w:val="28"/>
      <w:szCs w:val="28"/>
    </w:rPr>
  </w:style>
  <w:style w:type="character" w:styleId="1038" w:customStyle="1">
    <w:name w:val="日期 字符"/>
    <w:uiPriority w:val="0"/>
    <w:qFormat/>
    <w:rPr>
      <w:rFonts w:ascii="Times New Roman" w:hAnsi="Times New Roman" w:eastAsia="宋体" w:cs="Times New Roman"/>
      <w:sz w:val="24"/>
      <w:szCs w:val="24"/>
    </w:rPr>
  </w:style>
  <w:style w:type="character" w:styleId="1039" w:customStyle="1">
    <w:name w:val="标题 8 字符"/>
    <w:uiPriority w:val="0"/>
    <w:qFormat/>
    <w:rPr>
      <w:rFonts w:ascii="Arial" w:hAnsi="Arial" w:eastAsia="黑体" w:cs="Times New Roman"/>
      <w:sz w:val="24"/>
      <w:szCs w:val="24"/>
    </w:rPr>
  </w:style>
  <w:style w:type="character" w:styleId="1040" w:customStyle="1">
    <w:name w:val="正文文本 字符"/>
    <w:uiPriority w:val="0"/>
    <w:qFormat/>
    <w:rPr>
      <w:rFonts w:ascii="楷体_GB2312" w:hAnsi="Arial" w:eastAsia="楷体_GB2312" w:cs="Times New Roman"/>
      <w:sz w:val="28"/>
      <w:szCs w:val="28"/>
    </w:rPr>
  </w:style>
  <w:style w:type="character" w:styleId="1041" w:customStyle="1">
    <w:name w:val="标题 5 字符"/>
    <w:uiPriority w:val="0"/>
    <w:qFormat/>
    <w:rPr>
      <w:rFonts w:ascii="宋体" w:hAnsi="Times New Roman" w:eastAsia="宋体" w:cs="Times New Roman"/>
      <w:color w:val="000000"/>
      <w:sz w:val="28"/>
      <w:szCs w:val="28"/>
    </w:rPr>
  </w:style>
  <w:style w:type="character" w:styleId="1042" w:customStyle="1">
    <w:name w:val="正文缩进 字符"/>
    <w:uiPriority w:val="0"/>
    <w:qFormat/>
    <w:rPr>
      <w:rFonts w:ascii="Times New Roman" w:hAnsi="Times New Roman" w:eastAsia="宋体" w:cs="Times New Roman"/>
      <w:szCs w:val="21"/>
    </w:rPr>
  </w:style>
  <w:style w:type="character" w:styleId="1043" w:customStyle="1">
    <w:name w:val="标题 1 字符"/>
    <w:uiPriority w:val="0"/>
    <w:qFormat/>
    <w:rPr>
      <w:rFonts w:ascii="楷体_GB2312" w:hAnsi="Times New Roman" w:eastAsia="楷体_GB2312" w:cs="Times New Roman"/>
      <w:sz w:val="28"/>
      <w:szCs w:val="28"/>
    </w:rPr>
  </w:style>
  <w:style w:type="character" w:styleId="1044" w:customStyle="1">
    <w:name w:val="标题 2 字符"/>
    <w:uiPriority w:val="0"/>
    <w:qFormat/>
    <w:rPr>
      <w:rFonts w:ascii="Arial" w:hAnsi="Arial" w:eastAsia="幼圆" w:cs="Arial"/>
      <w:b/>
      <w:bCs/>
      <w:sz w:val="44"/>
      <w:szCs w:val="44"/>
    </w:rPr>
  </w:style>
  <w:style w:type="character" w:styleId="1045" w:customStyle="1">
    <w:name w:val="标题 3 字符"/>
    <w:uiPriority w:val="0"/>
    <w:qFormat/>
    <w:rPr>
      <w:rFonts w:ascii="Times New Roman" w:hAnsi="Times New Roman" w:eastAsia="宋体" w:cs="Times New Roman"/>
      <w:b/>
      <w:bCs/>
      <w:sz w:val="32"/>
      <w:szCs w:val="32"/>
    </w:rPr>
  </w:style>
  <w:style w:type="character" w:styleId="1046" w:customStyle="1">
    <w:name w:val="标题 6 字符"/>
    <w:uiPriority w:val="0"/>
    <w:qFormat/>
    <w:rPr>
      <w:rFonts w:ascii="Arial" w:hAnsi="Arial" w:eastAsia="黑体" w:cs="Times New Roman"/>
      <w:b/>
      <w:bCs/>
      <w:sz w:val="24"/>
      <w:szCs w:val="24"/>
    </w:rPr>
  </w:style>
  <w:style w:type="character" w:styleId="1047" w:customStyle="1">
    <w:name w:val="标题 7 字符"/>
    <w:uiPriority w:val="0"/>
    <w:qFormat/>
    <w:rPr>
      <w:rFonts w:ascii="Times New Roman" w:hAnsi="Times New Roman" w:eastAsia="宋体" w:cs="Times New Roman"/>
      <w:b/>
      <w:bCs/>
      <w:sz w:val="24"/>
      <w:szCs w:val="24"/>
    </w:rPr>
  </w:style>
  <w:style w:type="character" w:styleId="1048" w:customStyle="1">
    <w:name w:val="标题 9 字符"/>
    <w:uiPriority w:val="0"/>
    <w:qFormat/>
    <w:rPr>
      <w:rFonts w:ascii="Arial" w:hAnsi="Arial" w:eastAsia="黑体" w:cs="Times New Roman"/>
      <w:szCs w:val="21"/>
    </w:rPr>
  </w:style>
  <w:style w:type="character" w:styleId="1049" w:customStyle="1">
    <w:name w:val="正文文本 3 字符"/>
    <w:uiPriority w:val="0"/>
    <w:qFormat/>
    <w:rPr>
      <w:rFonts w:ascii="仿宋_GB2312" w:hAnsi="Arial" w:eastAsia="仿宋_GB2312" w:cs="Times New Roman"/>
      <w:sz w:val="32"/>
      <w:szCs w:val="32"/>
    </w:rPr>
  </w:style>
  <w:style w:type="character" w:styleId="1050" w:customStyle="1">
    <w:name w:val="正文文本缩进 字符"/>
    <w:uiPriority w:val="0"/>
    <w:qFormat/>
    <w:rPr>
      <w:rFonts w:ascii="楷体_GB2312" w:hAnsi="Times New Roman" w:eastAsia="楷体_GB2312" w:cs="Times New Roman"/>
      <w:sz w:val="32"/>
      <w:szCs w:val="32"/>
    </w:rPr>
  </w:style>
  <w:style w:type="character" w:styleId="1051" w:customStyle="1">
    <w:name w:val="纯文本 字符"/>
    <w:uiPriority w:val="0"/>
    <w:qFormat/>
    <w:rPr>
      <w:rFonts w:ascii="宋体" w:hAnsi="Courier New" w:eastAsia="宋体" w:cs="Courier New"/>
      <w:szCs w:val="21"/>
    </w:rPr>
  </w:style>
  <w:style w:type="character" w:styleId="1052" w:customStyle="1">
    <w:name w:val="正文文本缩进 2 字符"/>
    <w:uiPriority w:val="0"/>
    <w:qFormat/>
    <w:rPr>
      <w:rFonts w:ascii="Arial" w:hAnsi="Arial" w:eastAsia="仿宋_GB2312" w:cs="Arial"/>
      <w:sz w:val="32"/>
      <w:szCs w:val="32"/>
    </w:rPr>
  </w:style>
  <w:style w:type="character" w:styleId="1053" w:customStyle="1">
    <w:name w:val="页脚 字符"/>
    <w:uiPriority w:val="0"/>
    <w:qFormat/>
    <w:rPr>
      <w:rFonts w:ascii="Times New Roman" w:hAnsi="Times New Roman" w:eastAsia="宋体" w:cs="Times New Roman"/>
      <w:sz w:val="18"/>
      <w:szCs w:val="18"/>
    </w:rPr>
  </w:style>
  <w:style w:type="character" w:styleId="1054" w:customStyle="1">
    <w:name w:val="页眉 字符"/>
    <w:uiPriority w:val="0"/>
    <w:qFormat/>
    <w:rPr>
      <w:rFonts w:ascii="Times New Roman" w:hAnsi="Times New Roman" w:eastAsia="宋体" w:cs="Times New Roman"/>
      <w:sz w:val="18"/>
      <w:szCs w:val="18"/>
    </w:rPr>
  </w:style>
  <w:style w:type="character" w:styleId="1055" w:customStyle="1">
    <w:name w:val="正文文本缩进 3 字符"/>
    <w:uiPriority w:val="0"/>
    <w:qFormat/>
    <w:rPr>
      <w:rFonts w:ascii="Arial" w:hAnsi="Arial" w:eastAsia="仿宋_GB2312" w:cs="Arial"/>
      <w:color w:val="ffff00"/>
      <w:sz w:val="32"/>
      <w:szCs w:val="32"/>
    </w:rPr>
  </w:style>
  <w:style w:type="character" w:styleId="1056" w:customStyle="1">
    <w:name w:val="正文文本 2 字符"/>
    <w:uiPriority w:val="0"/>
    <w:qFormat/>
    <w:rPr>
      <w:rFonts w:ascii="楷体_GB2312" w:hAnsi="Times New Roman" w:eastAsia="楷体_GB2312" w:cs="Times New Roman"/>
      <w:sz w:val="28"/>
      <w:szCs w:val="28"/>
    </w:rPr>
  </w:style>
  <w:style w:type="character" w:styleId="1057" w:customStyle="1">
    <w:name w:val="正文文本首行缩进 字符"/>
    <w:uiPriority w:val="0"/>
    <w:qFormat/>
    <w:rPr>
      <w:rFonts w:ascii="仿宋_GB2312" w:hAnsi="Times New Roman" w:eastAsia="仿宋_GB2312" w:cs="Times New Roman"/>
      <w:sz w:val="30"/>
      <w:szCs w:val="30"/>
    </w:rPr>
  </w:style>
  <w:style w:type="character" w:styleId="1058" w:customStyle="1">
    <w:name w:val="正文文本首行缩进 2 字符"/>
    <w:uiPriority w:val="0"/>
    <w:qFormat/>
    <w:rPr>
      <w:rFonts w:ascii="宋体" w:hAnsi="宋体" w:eastAsia="宋体" w:cs="Times New Roman"/>
      <w:sz w:val="32"/>
      <w:szCs w:val="20"/>
    </w:rPr>
  </w:style>
  <w:style w:type="character" w:styleId="1059" w:customStyle="1">
    <w:name w:val="列表段落 字符"/>
    <w:link w:val="1060"/>
    <w:uiPriority w:val="34"/>
    <w:qFormat/>
    <w:rPr>
      <w:sz w:val="24"/>
      <w:szCs w:val="24"/>
      <w:lang w:eastAsia="en-US" w:bidi="en-US"/>
    </w:rPr>
  </w:style>
  <w:style w:type="paragraph" w:styleId="1060" w:customStyle="1">
    <w:name w:val="列表段落1"/>
    <w:basedOn w:val="696"/>
    <w:link w:val="1059"/>
    <w:uiPriority w:val="34"/>
    <w:qFormat/>
    <w:pPr>
      <w:contextualSpacing/>
      <w:ind w:left="720"/>
      <w:jc w:val="left"/>
      <w:widowControl/>
    </w:pPr>
    <w:rPr>
      <w:sz w:val="24"/>
      <w:szCs w:val="24"/>
      <w:lang w:eastAsia="en-US" w:bidi="en-US"/>
    </w:rPr>
  </w:style>
  <w:style w:type="paragraph" w:styleId="1061" w:customStyle="1">
    <w:name w:val="题注1"/>
    <w:next w:val="1062"/>
    <w:uiPriority w:val="35"/>
    <w:qFormat/>
    <w:pPr>
      <w:jc w:val="center"/>
      <w:spacing w:before="240" w:after="120"/>
      <w:widowControl w:val="off"/>
    </w:pPr>
    <w:rPr>
      <w:rFonts w:hint="default" w:ascii="Times New Roman" w:hAnsi="Times New Roman" w:eastAsia="宋体" w:cs="Times New Roman"/>
      <w:sz w:val="21"/>
    </w:rPr>
  </w:style>
  <w:style w:type="paragraph" w:styleId="1062" w:customStyle="1">
    <w:name w:val="正文样式"/>
    <w:uiPriority w:val="0"/>
    <w:qFormat/>
    <w:pPr>
      <w:ind w:firstLine="200"/>
      <w:jc w:val="both"/>
      <w:spacing w:line="360" w:lineRule="auto"/>
      <w:widowControl w:val="off"/>
    </w:pPr>
    <w:rPr>
      <w:rFonts w:hint="default" w:ascii="宋体" w:hAnsi="Times New Roman" w:eastAsia="宋体" w:cs="Times New Roman"/>
      <w:bCs/>
      <w:sz w:val="24"/>
      <w:szCs w:val="44"/>
    </w:rPr>
  </w:style>
  <w:style w:type="paragraph" w:styleId="1063" w:customStyle="1">
    <w:name w:val="题注-图"/>
    <w:next w:val="696"/>
    <w:uiPriority w:val="0"/>
    <w:qFormat/>
    <w:pPr>
      <w:jc w:val="center"/>
    </w:pPr>
    <w:rPr>
      <w:rFonts w:hint="default" w:ascii="Times New Roman" w:hAnsi="Times New Roman" w:eastAsia="宋体" w:cs="Times New Roman"/>
      <w:sz w:val="21"/>
      <w:szCs w:val="24"/>
      <w:lang w:val="zh-CN"/>
    </w:rPr>
  </w:style>
  <w:style w:type="paragraph" w:styleId="1064" w:customStyle="1">
    <w:name w:val="正文:缩进"/>
    <w:basedOn w:val="696"/>
    <w:uiPriority w:val="0"/>
    <w:qFormat/>
    <w:pPr>
      <w:jc w:val="left"/>
    </w:pPr>
    <w:rPr>
      <w:rFonts w:ascii="Calibri" w:hAnsi="Calibri"/>
    </w:rPr>
  </w:style>
  <w:style w:type="paragraph" w:styleId="1065" w:customStyle="1">
    <w:name w:val="题注-表格"/>
    <w:uiPriority w:val="0"/>
    <w:qFormat/>
    <w:pPr>
      <w:jc w:val="center"/>
      <w:spacing w:before="240" w:after="50"/>
    </w:pPr>
    <w:rPr>
      <w:rFonts w:hint="default" w:ascii="Times New Roman" w:hAnsi="Times New Roman" w:eastAsia="宋体" w:cs="宋体"/>
      <w:color w:val="000000"/>
      <w:sz w:val="21"/>
      <w:szCs w:val="18"/>
    </w:rPr>
  </w:style>
  <w:style w:type="paragraph" w:styleId="1066" w:customStyle="1">
    <w:name w:val="Char Char Char Char1"/>
    <w:basedOn w:val="950"/>
    <w:uiPriority w:val="0"/>
    <w:qFormat/>
    <w:pPr>
      <w:spacing w:line="360" w:lineRule="auto"/>
    </w:pPr>
    <w:rPr>
      <w:rFonts w:ascii="Tahoma" w:hAnsi="Tahoma"/>
      <w:sz w:val="24"/>
      <w:szCs w:val="24"/>
    </w:rPr>
  </w:style>
  <w:style w:type="paragraph" w:styleId="1067" w:customStyle="1">
    <w:name w:val="Char1"/>
    <w:basedOn w:val="950"/>
    <w:uiPriority w:val="0"/>
    <w:qFormat/>
    <w:rPr>
      <w:rFonts w:ascii="Tahoma" w:hAnsi="Tahoma"/>
      <w:sz w:val="24"/>
      <w:szCs w:val="24"/>
    </w:rPr>
  </w:style>
  <w:style w:type="paragraph" w:styleId="1068"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1069" w:customStyle="1">
    <w:name w:val="*正文"/>
    <w:basedOn w:val="696"/>
    <w:uiPriority w:val="0"/>
    <w:qFormat/>
    <w:rPr>
      <w:color w:val="000000"/>
    </w:rPr>
  </w:style>
  <w:style w:type="character" w:styleId="1070" w:customStyle="1">
    <w:name w:val="NormalCharacter"/>
    <w:link w:val="1071"/>
    <w:uiPriority w:val="0"/>
    <w:qFormat/>
  </w:style>
  <w:style w:type="paragraph" w:styleId="1071" w:customStyle="1">
    <w:name w:val="UserStyle_3"/>
    <w:basedOn w:val="696"/>
    <w:link w:val="1070"/>
    <w:uiPriority w:val="0"/>
    <w:qFormat/>
    <w:pPr>
      <w:jc w:val="left"/>
      <w:spacing w:after="160" w:line="240" w:lineRule="exact"/>
      <w:widowControl/>
    </w:pPr>
    <w:rPr>
      <w:sz w:val="20"/>
      <w:szCs w:val="20"/>
    </w:rPr>
  </w:style>
  <w:style w:type="paragraph" w:styleId="1072" w:customStyle="1">
    <w:name w:val="Table Text"/>
    <w:uiPriority w:val="0"/>
    <w:semiHidden/>
    <w:qFormat/>
    <w:pPr>
      <w:jc w:val="both"/>
      <w:widowControl w:val="off"/>
    </w:pPr>
    <w:rPr>
      <w:rFonts w:ascii="微软雅黑" w:hAnsi="微软雅黑" w:eastAsia="微软雅黑" w:cs="微软雅黑"/>
      <w:sz w:val="24"/>
      <w:szCs w:val="24"/>
      <w:lang w:val="en-US" w:eastAsia="en-US" w:bidi="ar-SA"/>
    </w:rPr>
  </w:style>
  <w:style w:type="paragraph" w:styleId="1073" w:customStyle="1">
    <w:name w:val="列表内容"/>
    <w:next w:val="696"/>
    <w:uiPriority w:val="0"/>
    <w:qFormat/>
    <w:pPr>
      <w:numPr>
        <w:ilvl w:val="0"/>
        <w:numId w:val="6"/>
      </w:numPr>
      <w:jc w:val="left"/>
      <w:widowControl/>
      <w:tabs>
        <w:tab w:val="left" w:pos="0" w:leader="none"/>
        <w:tab w:val="left" w:pos="840" w:leader="none"/>
      </w:tabs>
    </w:pPr>
    <w:rPr>
      <w:rFonts w:ascii="Times New Roman" w:hAnsi="Times New Roman" w:eastAsia="宋体" w:cs="Times New Roman"/>
      <w:sz w:val="18"/>
      <w:szCs w:val="18"/>
      <w:lang w:val="en-US" w:eastAsia="zh-CN" w:bidi="hi-IN"/>
    </w:rPr>
  </w:style>
  <w:style w:type="character" w:styleId="1074" w:customStyle="1">
    <w:name w:val="font41"/>
    <w:basedOn w:val="706"/>
    <w:uiPriority w:val="0"/>
    <w:qFormat/>
    <w:rPr>
      <w:rFonts w:hint="default" w:ascii="Times New Roman" w:hAnsi="Times New Roman" w:cs="Times New Roman"/>
      <w:color w:val="000000"/>
      <w:sz w:val="18"/>
      <w:szCs w:val="18"/>
      <w:u w:val="none"/>
    </w:rPr>
  </w:style>
  <w:style w:type="character" w:styleId="1075" w:customStyle="1">
    <w:name w:val="font31"/>
    <w:basedOn w:val="706"/>
    <w:uiPriority w:val="0"/>
    <w:qFormat/>
    <w:rPr>
      <w:rFonts w:hint="eastAsia" w:ascii="宋体" w:hAnsi="宋体" w:eastAsia="宋体" w:cs="宋体"/>
      <w:color w:val="000000"/>
      <w:sz w:val="18"/>
      <w:szCs w:val="18"/>
      <w:u w:val="none"/>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陈俊</cp:lastModifiedBy>
  <cp:revision>33</cp:revision>
  <dcterms:created xsi:type="dcterms:W3CDTF">2024-06-04T03:45:00Z</dcterms:created>
  <dcterms:modified xsi:type="dcterms:W3CDTF">2024-08-09T02:27:45Z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4633756A4A714F3BB0875282D61CCD25_13</vt:lpwstr>
  </property>
</Properties>
</file>