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rPr>
          <w:rFonts w:ascii="仿宋" w:hAnsi="仿宋" w:eastAsia="仿宋"/>
        </w:rP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w:t>
      </w:r>
      <w:bookmarkStart w:id="0" w:name="OLE_LINK271"/>
      <w:r/>
      <w:bookmarkStart w:id="1" w:name="OLE_LINK17"/>
      <w:r/>
      <w:bookmarkStart w:id="2" w:name="OLE_LINK18"/>
      <w:r/>
      <w:bookmarkStart w:id="3" w:name="OLE_LINK15"/>
      <w:r>
        <w:rPr>
          <w:rFonts w:hint="eastAsia" w:ascii="仿宋" w:hAnsi="仿宋" w:eastAsia="仿宋"/>
          <w:sz w:val="32"/>
        </w:rPr>
        <w:t xml:space="preserve">徐州经济技术开发区新一代电子政务外网服务项目</w:t>
      </w:r>
      <w:bookmarkEnd w:id="0"/>
      <w:r/>
      <w:bookmarkEnd w:id="1"/>
      <w:r/>
      <w:bookmarkEnd w:id="2"/>
      <w:r/>
      <w:bookmarkEnd w:id="3"/>
      <w:r/>
      <w:r/>
    </w:p>
    <w:p>
      <w:pPr>
        <w:ind w:firstLine="960"/>
        <w:rPr>
          <w:rFonts w:ascii="仿宋" w:hAnsi="仿宋" w:eastAsia="仿宋"/>
          <w:sz w:val="32"/>
        </w:rPr>
      </w:pPr>
      <w:r>
        <w:rPr>
          <w:rFonts w:hint="eastAsia" w:ascii="仿宋" w:hAnsi="仿宋" w:eastAsia="仿宋"/>
          <w:sz w:val="32"/>
        </w:rPr>
        <w:t xml:space="preserve">项目编号：</w:t>
      </w:r>
      <w:bookmarkStart w:id="4" w:name="OLE_LINK327"/>
      <w:r/>
      <w:bookmarkStart w:id="5" w:name="OLE_LINK328"/>
      <w:r>
        <w:rPr>
          <w:rFonts w:ascii="仿宋" w:hAnsi="仿宋" w:eastAsia="仿宋"/>
          <w:sz w:val="32"/>
        </w:rPr>
        <w:t xml:space="preserve">JSZC-320300-XZCG-G2026-0002</w:t>
      </w:r>
      <w:bookmarkEnd w:id="4"/>
      <w:r/>
      <w:bookmarkEnd w:id="5"/>
      <w:r/>
      <w:r/>
    </w:p>
    <w:p>
      <w:pPr>
        <w:ind w:firstLine="960"/>
        <w:rPr>
          <w:rFonts w:ascii="仿宋" w:hAnsi="仿宋" w:eastAsia="仿宋"/>
          <w:sz w:val="32"/>
        </w:rPr>
      </w:pPr>
      <w:r>
        <w:rPr>
          <w:rFonts w:hint="eastAsia" w:ascii="仿宋" w:hAnsi="仿宋" w:eastAsia="仿宋"/>
          <w:sz w:val="32"/>
        </w:rPr>
        <w:t xml:space="preserve">采 购 人：</w:t>
      </w:r>
      <w:bookmarkStart w:id="6" w:name="OLE_LINK272"/>
      <w:r/>
      <w:bookmarkStart w:id="7" w:name="OLE_LINK266"/>
      <w:r/>
      <w:bookmarkStart w:id="8" w:name="OLE_LINK265"/>
      <w:r>
        <w:rPr>
          <w:rFonts w:hint="eastAsia" w:ascii="仿宋" w:hAnsi="仿宋" w:eastAsia="仿宋"/>
          <w:sz w:val="32"/>
        </w:rPr>
        <w:t xml:space="preserve">徐州经济技术开发区党政办公室</w:t>
      </w:r>
      <w:bookmarkEnd w:id="6"/>
      <w:r/>
      <w:bookmarkEnd w:id="7"/>
      <w:r/>
      <w:bookmarkEnd w:id="8"/>
      <w:r/>
      <w:r/>
    </w:p>
    <w:p>
      <w:pPr>
        <w:rPr>
          <w:rFonts w:ascii="仿宋" w:hAnsi="仿宋" w:eastAsia="仿宋"/>
          <w:sz w:val="32"/>
        </w:rPr>
      </w:pPr>
      <w:r>
        <w:rPr>
          <w:rFonts w:ascii="仿宋" w:hAnsi="仿宋" w:eastAsia="仿宋"/>
          <w:sz w:val="32"/>
        </w:rPr>
      </w:r>
      <w:r/>
    </w:p>
    <w:p>
      <w:pPr>
        <w:pStyle w:val="746"/>
      </w:pPr>
      <w:r/>
      <w:r/>
    </w:p>
    <w:p>
      <w:r/>
      <w:r/>
    </w:p>
    <w:p>
      <w:pPr>
        <w:pStyle w:val="746"/>
      </w:pPr>
      <w:r/>
      <w:r/>
    </w:p>
    <w:p>
      <w:r/>
      <w:r/>
    </w:p>
    <w:p>
      <w:pPr>
        <w:pStyle w:val="746"/>
      </w:pPr>
      <w:r/>
      <w:r/>
    </w:p>
    <w:p>
      <w:r/>
      <w:r/>
    </w:p>
    <w:p>
      <w:pPr>
        <w:rPr>
          <w:rFonts w:ascii="仿宋" w:hAnsi="仿宋" w:eastAsia="仿宋"/>
          <w:sz w:val="32"/>
        </w:rPr>
      </w:pPr>
      <w:r>
        <w:rPr>
          <w:rFonts w:ascii="仿宋" w:hAnsi="仿宋" w:eastAsia="仿宋"/>
          <w:sz w:val="32"/>
        </w:rPr>
      </w:r>
      <w:r/>
    </w:p>
    <w:p>
      <w:pPr>
        <w:pStyle w:val="746"/>
      </w:pPr>
      <w:r/>
      <w:r/>
    </w:p>
    <w:p>
      <w:r/>
      <w:r/>
    </w:p>
    <w:p>
      <w:pPr>
        <w:pStyle w:val="746"/>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rPr>
        <w:t xml:space="preserve">六</w:t>
      </w:r>
      <w:r>
        <w:rPr>
          <w:rFonts w:hint="eastAsia" w:ascii="仿宋" w:hAnsi="仿宋" w:eastAsia="仿宋"/>
          <w:sz w:val="32"/>
          <w:szCs w:val="32"/>
        </w:rPr>
        <w:t xml:space="preserve">年</w:t>
      </w:r>
      <w:r>
        <w:rPr>
          <w:rFonts w:hint="eastAsia" w:ascii="仿宋" w:hAnsi="仿宋" w:eastAsia="仿宋"/>
          <w:sz w:val="32"/>
          <w:szCs w:val="32"/>
        </w:rPr>
        <w:t xml:space="preserve">一</w:t>
      </w:r>
      <w:r>
        <w:rPr>
          <w:rFonts w:hint="eastAsia" w:ascii="仿宋" w:hAnsi="仿宋" w:eastAsia="仿宋"/>
          <w:sz w:val="32"/>
          <w:szCs w:val="32"/>
        </w:rPr>
        <w:t xml:space="preserve">月</w:t>
      </w:r>
      <w:r/>
    </w:p>
    <w:p>
      <w:pPr>
        <w:pStyle w:val="747"/>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bookmarkStart w:id="9" w:name="OLE_LINK284"/>
      <w:r>
        <w:rPr>
          <w:rFonts w:hint="eastAsia" w:ascii="仿宋" w:hAnsi="仿宋" w:eastAsia="仿宋"/>
          <w:sz w:val="24"/>
        </w:rPr>
        <w:t xml:space="preserve">徐州经济技术开发区新一代电子政务外网服务项目</w:t>
      </w:r>
      <w:bookmarkEnd w:id="9"/>
      <w:r>
        <w:rPr>
          <w:rFonts w:hint="eastAsia" w:ascii="仿宋" w:hAnsi="仿宋" w:eastAsia="仿宋"/>
          <w:sz w:val="24"/>
        </w:rPr>
        <w:t xml:space="preserve">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徐州经济技术开发区新一代电子政务外网服务</w:t>
      </w:r>
      <w:r/>
    </w:p>
    <w:p>
      <w:pPr>
        <w:ind w:firstLine="480"/>
        <w:rPr>
          <w:rFonts w:ascii="仿宋" w:hAnsi="仿宋" w:eastAsia="仿宋"/>
          <w:sz w:val="24"/>
        </w:rPr>
      </w:pPr>
      <w:r>
        <w:rPr>
          <w:rFonts w:hint="eastAsia" w:ascii="仿宋" w:hAnsi="仿宋" w:eastAsia="仿宋"/>
          <w:sz w:val="24"/>
        </w:rPr>
        <w:t xml:space="preserve">项目编号：</w:t>
      </w:r>
      <w:bookmarkStart w:id="10" w:name="OLE_LINK329"/>
      <w:r/>
      <w:bookmarkStart w:id="11" w:name="OLE_LINK330"/>
      <w:r>
        <w:rPr>
          <w:rFonts w:hint="eastAsia" w:ascii="仿宋" w:hAnsi="仿宋" w:eastAsia="仿宋"/>
          <w:sz w:val="24"/>
        </w:rPr>
        <w:t xml:space="preserve">JSZC-320300-XZCG-G2026-0002</w:t>
      </w:r>
      <w:r>
        <w:rPr>
          <w:rFonts w:hint="eastAsia" w:ascii="仿宋" w:hAnsi="仿宋" w:eastAsia="仿宋"/>
          <w:sz w:val="24"/>
        </w:rPr>
        <w:t xml:space="preserve"> </w:t>
      </w:r>
      <w:bookmarkEnd w:id="10"/>
      <w:r/>
      <w:bookmarkEnd w:id="11"/>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360"/>
        <w:rPr>
          <w:rFonts w:ascii="仿宋" w:hAnsi="仿宋" w:eastAsia="仿宋"/>
          <w:bCs/>
          <w:sz w:val="24"/>
        </w:rPr>
      </w:pPr>
      <w:r>
        <w:rPr>
          <w:rFonts w:hint="eastAsia" w:ascii="仿宋" w:hAnsi="仿宋" w:eastAsia="仿宋"/>
          <w:sz w:val="24"/>
        </w:rPr>
        <w:t xml:space="preserve">招标文件提供期限：</w:t>
      </w:r>
      <w:r>
        <w:rPr>
          <w:rFonts w:hint="eastAsia" w:ascii="仿宋" w:hAnsi="仿宋" w:eastAsia="仿宋" w:cs="宋体"/>
          <w:sz w:val="24"/>
        </w:rPr>
        <w:t xml:space="preserve">自招标公告发布之日起5个工作日；</w:t>
      </w:r>
      <w:r>
        <w:rPr>
          <w:rFonts w:hint="eastAsia" w:ascii="仿宋" w:hAnsi="仿宋" w:eastAsia="仿宋"/>
          <w:bCs/>
          <w:sz w:val="24"/>
        </w:rPr>
        <w:t xml:space="preserve">在“徐州政府采购网”（网址：</w:t>
      </w:r>
      <w:r>
        <w:rPr>
          <w:rFonts w:ascii="仿宋" w:hAnsi="仿宋" w:eastAsia="仿宋"/>
          <w:sz w:val="24"/>
          <w:u w:val="single"/>
        </w:rPr>
        <w:t xml:space="preserve">http://czj.xz.gov.cn/Home/HomeIndex</w:t>
      </w:r>
      <w:r>
        <w:rPr>
          <w:rFonts w:hint="eastAsia" w:ascii="仿宋" w:hAnsi="仿宋" w:eastAsia="仿宋"/>
          <w:bCs/>
          <w:sz w:val="24"/>
        </w:rPr>
        <w:t xml:space="preserve">）本项目公开招标公告的附件，自行下载。</w:t>
      </w:r>
      <w:r/>
    </w:p>
    <w:p>
      <w:pPr>
        <w:rPr>
          <w:rFonts w:ascii="仿宋" w:hAnsi="仿宋" w:eastAsia="仿宋"/>
          <w:sz w:val="24"/>
        </w:rPr>
      </w:pPr>
      <w:r>
        <w:rPr>
          <w:rFonts w:hint="eastAsia" w:ascii="仿宋" w:hAnsi="仿宋" w:eastAsia="仿宋"/>
          <w:sz w:val="24"/>
        </w:rPr>
        <w:t xml:space="preserve">    2．招标文件售价：免费</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rPr>
      </w:pPr>
      <w:r>
        <w:rPr>
          <w:rFonts w:hint="eastAsia" w:ascii="仿宋" w:hAnsi="仿宋" w:eastAsia="仿宋"/>
          <w:sz w:val="24"/>
        </w:rPr>
        <w:t xml:space="preserve">1.投标截</w:t>
      </w:r>
      <w:r>
        <w:rPr>
          <w:rFonts w:hint="eastAsia" w:ascii="仿宋" w:hAnsi="仿宋" w:eastAsia="仿宋"/>
          <w:sz w:val="24"/>
        </w:rPr>
        <w:t xml:space="preserve">止时间：202</w:t>
      </w:r>
      <w:r>
        <w:rPr>
          <w:rFonts w:hint="eastAsia" w:ascii="仿宋" w:hAnsi="仿宋" w:eastAsia="仿宋"/>
          <w:sz w:val="24"/>
        </w:rPr>
        <w:t xml:space="preserve">6</w:t>
      </w:r>
      <w:r>
        <w:rPr>
          <w:rFonts w:hint="eastAsia" w:ascii="仿宋" w:hAnsi="仿宋" w:eastAsia="仿宋"/>
          <w:sz w:val="24"/>
        </w:rPr>
        <w:t xml:space="preserve">年1月</w:t>
      </w:r>
      <w:r>
        <w:rPr>
          <w:rFonts w:hint="eastAsia" w:ascii="仿宋" w:hAnsi="仿宋" w:eastAsia="仿宋"/>
          <w:sz w:val="24"/>
        </w:rPr>
        <w:t xml:space="preserve">28</w:t>
      </w:r>
      <w:r>
        <w:rPr>
          <w:rFonts w:hint="eastAsia" w:ascii="仿宋" w:hAnsi="仿宋" w:eastAsia="仿宋"/>
          <w:sz w:val="24"/>
        </w:rPr>
        <w:t xml:space="preserve">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0</w:t>
      </w:r>
      <w:r>
        <w:rPr>
          <w:rFonts w:hint="eastAsia" w:ascii="仿宋" w:hAnsi="仿宋" w:eastAsia="仿宋" w:cs="Tahoma"/>
          <w:sz w:val="24"/>
        </w:rPr>
        <w:t xml:space="preserve">（电子招标投标交易平台（即</w:t>
      </w:r>
      <w:r>
        <w:rPr>
          <w:rFonts w:hint="eastAsia" w:ascii="仿宋" w:hAnsi="仿宋" w:eastAsia="仿宋"/>
          <w:sz w:val="24"/>
        </w:rPr>
        <w:t xml:space="preserve">“苏采云”系统</w:t>
      </w:r>
      <w:r>
        <w:rPr>
          <w:rFonts w:hint="eastAsia" w:ascii="仿宋" w:hAnsi="仿宋" w:eastAsia="仿宋" w:cs="Tahoma"/>
          <w:sz w:val="24"/>
        </w:rPr>
        <w:t xml:space="preserve">）的国家授时中心标准时间，下同）</w:t>
      </w:r>
      <w:r/>
    </w:p>
    <w:p>
      <w:pPr>
        <w:ind w:firstLine="480"/>
        <w:rPr>
          <w:rFonts w:ascii="仿宋" w:hAnsi="仿宋" w:eastAsia="仿宋"/>
          <w:sz w:val="24"/>
        </w:rPr>
      </w:pPr>
      <w:r>
        <w:rPr>
          <w:rFonts w:hint="eastAsia" w:ascii="仿宋" w:hAnsi="仿宋" w:eastAsia="仿宋"/>
          <w:sz w:val="24"/>
        </w:rPr>
        <w:t xml:space="preserve">2.开标时间：202</w:t>
      </w:r>
      <w:r>
        <w:rPr>
          <w:rFonts w:hint="eastAsia" w:ascii="仿宋" w:hAnsi="仿宋" w:eastAsia="仿宋"/>
          <w:sz w:val="24"/>
        </w:rPr>
        <w:t xml:space="preserve">6</w:t>
      </w:r>
      <w:r>
        <w:rPr>
          <w:rFonts w:hint="eastAsia" w:ascii="仿宋" w:hAnsi="仿宋" w:eastAsia="仿宋"/>
          <w:sz w:val="24"/>
        </w:rPr>
        <w:t xml:space="preserve">年1月</w:t>
      </w:r>
      <w:r>
        <w:rPr>
          <w:rFonts w:hint="eastAsia" w:ascii="仿宋" w:hAnsi="仿宋" w:eastAsia="仿宋"/>
          <w:sz w:val="24"/>
        </w:rPr>
        <w:t xml:space="preserve">28</w:t>
      </w:r>
      <w:r>
        <w:rPr>
          <w:rFonts w:hint="eastAsia" w:ascii="仿宋" w:hAnsi="仿宋" w:eastAsia="仿宋"/>
          <w:sz w:val="24"/>
        </w:rPr>
        <w:t xml:space="preserve">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ind w:firstLine="480"/>
        <w:rPr>
          <w:rFonts w:ascii="仿宋" w:hAnsi="仿宋" w:eastAsia="仿宋"/>
          <w:bCs/>
          <w:color w:val="ff0000"/>
          <w:sz w:val="24"/>
          <w:u w:val="single"/>
        </w:rPr>
      </w:pPr>
      <w:r>
        <w:rPr>
          <w:rFonts w:hint="eastAsia" w:ascii="仿宋" w:hAnsi="仿宋" w:eastAsia="仿宋"/>
          <w:sz w:val="24"/>
        </w:rPr>
        <w:t xml:space="preserve">3.开标地</w:t>
      </w:r>
      <w:r>
        <w:rPr>
          <w:rFonts w:hint="eastAsia" w:ascii="仿宋" w:hAnsi="仿宋" w:eastAsia="仿宋"/>
          <w:sz w:val="24"/>
        </w:rPr>
        <w:t xml:space="preserve">点：“苏采云”系统（网址： http://jszfcg.jsczt.cn/）“开标大厅”或进入徐州政府采购网（网址：http://czj.xz.gov.cn/Home/HomeIndex）-业务工作-用户登录，点击“苏采云”进入系统“开标大厅”。</w:t>
      </w:r>
      <w:r>
        <w:rPr>
          <w:rFonts w:hint="eastAsia" w:ascii="仿宋" w:hAnsi="仿宋" w:eastAsia="仿宋" w:cs="Tahoma"/>
          <w:sz w:val="24"/>
        </w:rPr>
        <w:t xml:space="preserve"> </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bookmarkStart w:id="12" w:name="OLE_LINK311"/>
      <w:r/>
      <w:bookmarkStart w:id="13" w:name="OLE_LINK312"/>
      <w:r/>
      <w:bookmarkStart w:id="14" w:name="OLE_LINK275"/>
      <w:r/>
      <w:bookmarkStart w:id="15" w:name="OLE_LINK278"/>
      <w:r/>
      <w:bookmarkStart w:id="16" w:name="OLE_LINK281"/>
      <w:r>
        <w:rPr>
          <w:rFonts w:hint="eastAsia" w:ascii="仿宋" w:hAnsi="仿宋" w:eastAsia="仿宋"/>
          <w:sz w:val="24"/>
        </w:rPr>
        <w:t xml:space="preserve">1.名 称：</w:t>
      </w:r>
      <w:bookmarkStart w:id="17" w:name="OLE_LINK52"/>
      <w:r/>
      <w:bookmarkStart w:id="18" w:name="OLE_LINK47"/>
      <w:r>
        <w:rPr>
          <w:rFonts w:hint="eastAsia" w:ascii="仿宋" w:hAnsi="仿宋" w:eastAsia="仿宋" w:cs="仿宋"/>
          <w:sz w:val="24"/>
        </w:rPr>
        <w:t xml:space="preserve">徐州经济技术开发区党政办公室</w:t>
      </w:r>
      <w:bookmarkEnd w:id="17"/>
      <w:r/>
      <w:bookmarkEnd w:id="18"/>
      <w:r/>
      <w:r/>
    </w:p>
    <w:p>
      <w:pPr>
        <w:ind w:firstLine="480"/>
        <w:rPr>
          <w:rFonts w:ascii="仿宋" w:hAnsi="仿宋" w:eastAsia="仿宋"/>
          <w:sz w:val="24"/>
        </w:rPr>
      </w:pPr>
      <w:r>
        <w:rPr>
          <w:rFonts w:hint="eastAsia" w:ascii="仿宋" w:hAnsi="仿宋" w:eastAsia="仿宋"/>
          <w:sz w:val="24"/>
        </w:rPr>
        <w:t xml:space="preserve">2.地址：徐州市城东大道9号科技大厦202室</w:t>
      </w:r>
      <w:r/>
    </w:p>
    <w:p>
      <w:pPr>
        <w:ind w:firstLine="480"/>
        <w:rPr>
          <w:rFonts w:ascii="仿宋" w:hAnsi="仿宋" w:eastAsia="仿宋"/>
          <w:sz w:val="24"/>
        </w:rPr>
      </w:pPr>
      <w:r>
        <w:rPr>
          <w:rFonts w:hint="eastAsia" w:ascii="仿宋" w:hAnsi="仿宋" w:eastAsia="仿宋"/>
          <w:sz w:val="24"/>
        </w:rPr>
        <w:t xml:space="preserve">3.联系方法：</w:t>
      </w:r>
      <w:bookmarkStart w:id="19" w:name="OLE_LINK57"/>
      <w:r/>
      <w:bookmarkStart w:id="20" w:name="OLE_LINK53"/>
      <w:r/>
      <w:bookmarkEnd w:id="12"/>
      <w:r/>
      <w:bookmarkEnd w:id="13"/>
      <w:r>
        <w:rPr>
          <w:rFonts w:hint="eastAsia" w:ascii="仿宋" w:hAnsi="仿宋" w:eastAsia="仿宋"/>
          <w:sz w:val="24"/>
        </w:rPr>
        <w:t xml:space="preserve">0516-</w:t>
      </w:r>
      <w:r>
        <w:rPr>
          <w:rFonts w:hint="eastAsia" w:ascii="仿宋" w:hAnsi="仿宋" w:eastAsia="仿宋" w:cs="宋体"/>
          <w:sz w:val="24"/>
        </w:rPr>
        <w:t xml:space="preserve">87936376</w:t>
      </w:r>
      <w:bookmarkEnd w:id="19"/>
      <w:r/>
      <w:bookmarkEnd w:id="20"/>
      <w:r/>
      <w:r/>
    </w:p>
    <w:p>
      <w:pPr>
        <w:ind w:firstLine="480"/>
        <w:rPr>
          <w:rFonts w:ascii="仿宋" w:hAnsi="仿宋" w:eastAsia="仿宋"/>
          <w:sz w:val="24"/>
        </w:rPr>
      </w:pPr>
      <w:r>
        <w:rPr>
          <w:rFonts w:hint="eastAsia" w:ascii="仿宋" w:hAnsi="仿宋" w:eastAsia="仿宋"/>
          <w:sz w:val="24"/>
        </w:rPr>
        <w:t xml:space="preserve">4.采购项目联系人：李文亚            电话：</w:t>
      </w:r>
      <w:r>
        <w:rPr>
          <w:rFonts w:hint="eastAsia" w:ascii="仿宋" w:hAnsi="仿宋" w:eastAsia="仿宋" w:cs="宋体"/>
          <w:sz w:val="24"/>
        </w:rPr>
        <w:t xml:space="preserve"> </w:t>
      </w:r>
      <w:r>
        <w:rPr>
          <w:rFonts w:hint="eastAsia" w:ascii="仿宋" w:hAnsi="仿宋" w:eastAsia="仿宋"/>
          <w:sz w:val="24"/>
        </w:rPr>
        <w:t xml:space="preserve">0516-</w:t>
      </w:r>
      <w:r>
        <w:rPr>
          <w:rFonts w:hint="eastAsia" w:ascii="仿宋" w:hAnsi="仿宋" w:eastAsia="仿宋" w:cs="宋体"/>
          <w:sz w:val="24"/>
        </w:rPr>
        <w:t xml:space="preserve">87936376</w:t>
      </w:r>
      <w:bookmarkEnd w:id="14"/>
      <w:r/>
      <w:bookmarkEnd w:id="15"/>
      <w:r/>
      <w:bookmarkEnd w:id="16"/>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bookmarkStart w:id="21" w:name="OLE_LINK280"/>
      <w:r/>
      <w:bookmarkStart w:id="22" w:name="OLE_LINK279"/>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w:t>
      </w:r>
      <w:r>
        <w:rPr>
          <w:rFonts w:hint="eastAsia" w:ascii="宋体" w:hAnsi="宋体" w:cs="宋体"/>
          <w:sz w:val="24"/>
        </w:rPr>
        <w:t xml:space="preserve">  </w:t>
      </w:r>
      <w:r>
        <w:rPr>
          <w:rFonts w:hint="eastAsia" w:ascii="仿宋" w:hAnsi="仿宋" w:eastAsia="仿宋" w:cs="仿宋"/>
          <w:sz w:val="24"/>
        </w:rPr>
        <w:t xml:space="preserve"> </w:t>
      </w:r>
      <w:r>
        <w:rPr>
          <w:rFonts w:hint="eastAsia" w:ascii="仿宋" w:hAnsi="仿宋" w:eastAsia="仿宋"/>
          <w:sz w:val="24"/>
        </w:rPr>
        <w:t xml:space="preserve">邮编：221018 </w:t>
      </w:r>
      <w:r/>
    </w:p>
    <w:p>
      <w:pPr>
        <w:ind w:firstLine="480"/>
        <w:rPr>
          <w:rFonts w:ascii="仿宋" w:hAnsi="仿宋" w:eastAsia="仿宋"/>
          <w:sz w:val="24"/>
        </w:rPr>
      </w:pPr>
      <w:r>
        <w:rPr>
          <w:rFonts w:hint="eastAsia" w:ascii="仿宋" w:hAnsi="仿宋" w:eastAsia="仿宋"/>
          <w:sz w:val="24"/>
        </w:rPr>
        <w:t xml:space="preserve">3．联系方法：0516-67019038、67019051</w:t>
      </w:r>
      <w:r/>
    </w:p>
    <w:p>
      <w:pPr>
        <w:ind w:firstLine="480"/>
        <w:rPr>
          <w:rFonts w:ascii="仿宋" w:hAnsi="仿宋" w:eastAsia="仿宋"/>
          <w:sz w:val="24"/>
        </w:rPr>
      </w:pPr>
      <w:r>
        <w:rPr>
          <w:rFonts w:hint="eastAsia" w:ascii="仿宋" w:hAnsi="仿宋" w:eastAsia="仿宋"/>
          <w:sz w:val="24"/>
        </w:rPr>
        <w:t xml:space="preserve">4．采购项目联系人：刘颖        电话：0516-67019038、67019051</w:t>
      </w:r>
      <w:bookmarkEnd w:id="21"/>
      <w:r/>
      <w:bookmarkEnd w:id="22"/>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w:t>
      </w:r>
      <w:r>
        <w:rPr>
          <w:rFonts w:hint="eastAsia" w:ascii="仿宋" w:hAnsi="仿宋" w:eastAsia="仿宋"/>
          <w:sz w:val="24"/>
        </w:rPr>
        <w:t xml:space="preserve">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hint="eastAsia" w:ascii="仿宋" w:hAnsi="仿宋" w:eastAsia="仿宋" w:cs="宋体"/>
          <w:sz w:val="24"/>
        </w:rPr>
        <w:t xml:space="preserve">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w:t>
      </w:r>
      <w:r>
        <w:rPr>
          <w:rFonts w:hint="eastAsia" w:ascii="仿宋" w:hAnsi="仿宋" w:eastAsia="仿宋" w:cs="宋体"/>
          <w:sz w:val="24"/>
        </w:rPr>
        <w:t xml:space="preserve">电子招标投标交易平台</w:t>
      </w:r>
      <w:r>
        <w:rPr>
          <w:rFonts w:hint="eastAsia" w:ascii="仿宋" w:hAnsi="仿宋" w:eastAsia="仿宋" w:cs="宋体"/>
          <w:sz w:val="24"/>
        </w:rPr>
        <w:t xml:space="preserve">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w:t>
      </w:r>
      <w:r>
        <w:rPr>
          <w:rFonts w:hint="eastAsia" w:ascii="仿宋" w:hAnsi="仿宋" w:eastAsia="仿宋" w:cs="宋体"/>
          <w:sz w:val="24"/>
        </w:rPr>
        <w:t xml:space="preserve">电子招标投标交易平台</w:t>
      </w:r>
      <w:r>
        <w:rPr>
          <w:rFonts w:hint="eastAsia" w:ascii="仿宋" w:hAnsi="仿宋" w:eastAsia="仿宋" w:cs="宋体"/>
          <w:sz w:val="24"/>
        </w:rPr>
        <w:t xml:space="preserve">，</w:t>
      </w:r>
      <w:r>
        <w:rPr>
          <w:rFonts w:hint="eastAsia" w:ascii="仿宋" w:hAnsi="仿宋" w:eastAsia="仿宋" w:cs="宋体"/>
          <w:sz w:val="24"/>
        </w:rPr>
        <w:t xml:space="preserve">电子招标投标交易平台</w:t>
      </w:r>
      <w:r>
        <w:rPr>
          <w:rFonts w:hint="eastAsia" w:ascii="仿宋" w:hAnsi="仿宋" w:eastAsia="仿宋" w:cs="宋体"/>
          <w:sz w:val="24"/>
        </w:rPr>
        <w:t xml:space="preserve">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w:t>
      </w:r>
      <w:r>
        <w:rPr>
          <w:rFonts w:hint="eastAsia" w:ascii="仿宋" w:hAnsi="仿宋" w:eastAsia="仿宋" w:cs="宋体"/>
          <w:sz w:val="24"/>
        </w:rPr>
        <w:t xml:space="preserve">（四）</w:t>
      </w:r>
      <w:r>
        <w:rPr>
          <w:rFonts w:hint="eastAsia" w:ascii="仿宋" w:hAnsi="仿宋" w:eastAsia="仿宋" w:cs="宋体"/>
          <w:sz w:val="24"/>
        </w:rPr>
        <w:t xml:space="preserve">总价金额与按单价汇总金额不一致的，以总价金额为准，同时按照总价金额与单价汇总金额的比值，同比例</w:t>
      </w:r>
      <w:r>
        <w:rPr>
          <w:rFonts w:hint="eastAsia" w:ascii="仿宋" w:hAnsi="仿宋" w:eastAsia="仿宋" w:cs="宋体"/>
          <w:sz w:val="24"/>
        </w:rPr>
        <w:t xml:space="preserve">修正</w:t>
      </w:r>
      <w:r>
        <w:rPr>
          <w:rFonts w:hint="eastAsia" w:ascii="仿宋" w:hAnsi="仿宋" w:eastAsia="仿宋" w:cs="宋体"/>
          <w:sz w:val="24"/>
        </w:rPr>
        <w:t xml:space="preserve">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jc w:val="left"/>
        <w:widowControl/>
        <w:rPr>
          <w:rFonts w:ascii="仿宋" w:hAnsi="仿宋" w:eastAsia="仿宋" w:cs="宋体"/>
          <w:sz w:val="24"/>
        </w:rPr>
      </w:pPr>
      <w:r>
        <w:rPr>
          <w:rFonts w:hint="eastAsia" w:ascii="仿宋" w:hAnsi="仿宋" w:eastAsia="仿宋" w:cs="宋体"/>
          <w:color w:val="ff0000"/>
          <w:sz w:val="24"/>
        </w:rPr>
        <w:t xml:space="preserve">   </w:t>
      </w:r>
      <w:r>
        <w:rPr>
          <w:rFonts w:hint="eastAsia" w:ascii="仿宋" w:hAnsi="仿宋" w:eastAsia="仿宋" w:cs="宋体"/>
          <w:sz w:val="24"/>
        </w:rPr>
        <w:t xml:space="preserve"> </w:t>
      </w:r>
      <w:r>
        <w:rPr>
          <w:rFonts w:hint="eastAsia" w:ascii="仿宋" w:hAnsi="仿宋" w:eastAsia="仿宋" w:cs="宋体"/>
          <w:sz w:val="24"/>
        </w:rPr>
        <w:t xml:space="preserve">33. 实施政府采购异常低价审查的有关要求：</w:t>
      </w:r>
      <w:r/>
    </w:p>
    <w:p>
      <w:pPr>
        <w:ind w:firstLine="480"/>
        <w:rPr>
          <w:rFonts w:ascii="仿宋" w:hAnsi="仿宋" w:eastAsia="仿宋"/>
          <w:sz w:val="24"/>
        </w:rPr>
      </w:pPr>
      <w:r>
        <w:rPr>
          <w:rFonts w:hint="eastAsia" w:ascii="仿宋" w:hAnsi="仿宋" w:eastAsia="仿宋"/>
          <w:sz w:val="24"/>
        </w:rPr>
        <w:t xml:space="preserve">（一）评审过程中出现下列情形之一的，评审委员会应当启动异常低价投标（响应）审查程序：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1．投标（响应）报价低于采购项目预算50%的，即投标（响应）报价＜采购项目预算×50%；</w:t>
      </w:r>
      <w:r/>
    </w:p>
    <w:p>
      <w:pPr>
        <w:ind w:firstLine="480"/>
        <w:rPr>
          <w:rFonts w:ascii="仿宋" w:hAnsi="仿宋" w:eastAsia="仿宋"/>
          <w:sz w:val="24"/>
        </w:rPr>
      </w:pPr>
      <w:r>
        <w:rPr>
          <w:rFonts w:hint="eastAsia" w:ascii="仿宋" w:hAnsi="仿宋" w:eastAsia="仿宋"/>
          <w:sz w:val="24"/>
        </w:rPr>
        <w:t xml:space="preserve">2．投标（</w:t>
      </w:r>
      <w:r>
        <w:rPr>
          <w:rFonts w:hint="eastAsia" w:ascii="仿宋" w:hAnsi="仿宋" w:eastAsia="仿宋"/>
          <w:sz w:val="24"/>
        </w:rPr>
        <w:t xml:space="preserve">响应</w:t>
      </w:r>
      <w:r>
        <w:rPr>
          <w:rFonts w:hint="eastAsia" w:ascii="仿宋" w:hAnsi="仿宋" w:eastAsia="仿宋"/>
          <w:sz w:val="24"/>
        </w:rPr>
        <w:t xml:space="preserve">）报价低于采购项目最高限价45％的，即投标（响应）报价＜采购项目最高限价×45%；</w:t>
      </w:r>
      <w:r/>
    </w:p>
    <w:p>
      <w:pPr>
        <w:ind w:firstLine="480"/>
        <w:rPr>
          <w:rFonts w:ascii="仿宋" w:hAnsi="仿宋" w:eastAsia="仿宋"/>
          <w:sz w:val="24"/>
        </w:rPr>
      </w:pPr>
      <w:r>
        <w:rPr>
          <w:rFonts w:hint="eastAsia" w:ascii="仿宋" w:hAnsi="仿宋" w:eastAsia="仿宋"/>
          <w:sz w:val="24"/>
        </w:rPr>
        <w:t xml:space="preserve">3．评审委员会认定的供应商报价过低、有可能影响产品质量或者不能诚信履约的其他情形。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（二）</w:t>
      </w:r>
      <w:bookmarkStart w:id="23" w:name="OLE_LINK1"/>
      <w:r/>
      <w:bookmarkStart w:id="24" w:name="OLE_LINK2"/>
      <w:r>
        <w:rPr>
          <w:rFonts w:hint="eastAsia" w:ascii="仿宋" w:hAnsi="仿宋" w:eastAsia="仿宋"/>
          <w:sz w:val="24"/>
        </w:rPr>
        <w:t xml:space="preserve">启动异常低价投标（响应）审查后，</w:t>
      </w:r>
      <w:bookmarkStart w:id="25" w:name="OLE_LINK6"/>
      <w:r/>
      <w:bookmarkStart w:id="26" w:name="OLE_LINK5"/>
      <w:r>
        <w:rPr>
          <w:rFonts w:hint="eastAsia" w:ascii="仿宋" w:hAnsi="仿宋" w:eastAsia="仿宋"/>
          <w:sz w:val="24"/>
        </w:rPr>
        <w:t xml:space="preserve">评审委员会应当要求相关供应商在评标现场合理的时间内，提供</w:t>
      </w:r>
      <w:r>
        <w:rPr>
          <w:rFonts w:hint="eastAsia" w:ascii="仿宋" w:hAnsi="仿宋" w:eastAsia="仿宋"/>
          <w:b/>
          <w:sz w:val="24"/>
        </w:rPr>
        <w:t xml:space="preserve">项目具体成本测算等与报价合理性相关的书面说</w:t>
      </w:r>
      <w:r>
        <w:rPr>
          <w:rFonts w:hint="eastAsia" w:ascii="仿宋" w:hAnsi="仿宋" w:eastAsia="仿宋"/>
          <w:b/>
          <w:sz w:val="24"/>
        </w:rPr>
        <w:t xml:space="preserve">明及相关证明材料</w:t>
      </w:r>
      <w:r>
        <w:rPr>
          <w:rFonts w:hint="eastAsia" w:ascii="仿宋" w:hAnsi="仿宋" w:eastAsia="仿宋"/>
          <w:sz w:val="24"/>
        </w:rPr>
        <w:t xml:space="preserve">，对投标（响应）价格作出解释，由评审委员会</w:t>
      </w:r>
      <w:r>
        <w:rPr>
          <w:rFonts w:hint="eastAsia" w:ascii="仿宋" w:hAnsi="仿宋" w:eastAsia="仿宋"/>
          <w:b/>
          <w:sz w:val="24"/>
        </w:rPr>
        <w:t xml:space="preserve">结合同类产品在主要电商平台的价格、该行业当地薪资水平等情况</w:t>
      </w:r>
      <w:r>
        <w:rPr>
          <w:rFonts w:hint="eastAsia" w:ascii="仿宋" w:hAnsi="仿宋" w:eastAsia="仿宋"/>
          <w:sz w:val="24"/>
        </w:rPr>
        <w:t xml:space="preserve">，依据专业经验对供应商报价合理性进行判断。投标（响应）供应商</w:t>
      </w:r>
      <w:r>
        <w:rPr>
          <w:rFonts w:hint="eastAsia" w:ascii="仿宋" w:hAnsi="仿宋" w:eastAsia="仿宋"/>
          <w:b/>
          <w:sz w:val="24"/>
        </w:rPr>
        <w:t xml:space="preserve">不提供书面说明、证明材料，或者提供的书面说明、证明材料不能证明其报价合理性的，评审委员会应当将其作为无效投标（响应）处理。</w:t>
      </w:r>
      <w:bookmarkEnd w:id="23"/>
      <w:r/>
      <w:bookmarkEnd w:id="24"/>
      <w:r>
        <w:rPr>
          <w:rFonts w:hint="eastAsia" w:ascii="仿宋" w:hAnsi="仿宋" w:eastAsia="仿宋"/>
          <w:sz w:val="24"/>
        </w:rPr>
        <w:t xml:space="preserve">审查相关情况应当在评审报告中进行记录。</w:t>
      </w:r>
      <w:bookmarkEnd w:id="25"/>
      <w:r/>
      <w:bookmarkEnd w:id="26"/>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sz w:val="24"/>
        </w:rPr>
        <w:t xml:space="preserve">.</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w:t>
      </w:r>
      <w:r>
        <w:rPr>
          <w:rFonts w:hint="eastAsia" w:ascii="仿宋" w:hAnsi="仿宋" w:eastAsia="仿宋" w:cs="宋体"/>
          <w:sz w:val="24"/>
        </w:rPr>
        <w:t xml:space="preserve">30</w:t>
      </w:r>
      <w:r>
        <w:rPr>
          <w:rFonts w:hint="eastAsia" w:ascii="仿宋" w:hAnsi="仿宋" w:eastAsia="仿宋" w:cs="宋体"/>
          <w:sz w:val="24"/>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w:t>
      </w:r>
      <w:r>
        <w:rPr>
          <w:rFonts w:hint="eastAsia" w:ascii="仿宋" w:hAnsi="仿宋" w:eastAsia="仿宋" w:cs="宋体"/>
          <w:sz w:val="24"/>
        </w:rPr>
        <w:t xml:space="preserve">（即“苏采云”系统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1" w:tooltip="http://jszfcg.jsczt.cn/" w:history="1">
        <w:r>
          <w:rPr>
            <w:rFonts w:hint="eastAsia" w:ascii="仿宋" w:hAnsi="仿宋" w:eastAsia="仿宋" w:cs="Tahoma"/>
            <w:sz w:val="24"/>
          </w:rPr>
          <w:t xml:space="preserve">http://jszfcg.jsczt.cn/</w:t>
        </w:r>
      </w:hyperlink>
      <w:r>
        <w:rPr>
          <w:rFonts w:hint="eastAsia" w:ascii="仿宋" w:hAnsi="仿宋" w:eastAsia="仿宋" w:cs="宋体"/>
          <w:sz w:val="24"/>
        </w:rPr>
        <w:t xml:space="preserve">）</w:t>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753"/>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cs="仿宋"/>
                <w:sz w:val="24"/>
              </w:rPr>
              <w:t xml:space="preserve">徐州经济技术开发区党政办公室</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w:t>
            </w:r>
            <w:r>
              <w:rPr>
                <w:rFonts w:hint="eastAsia" w:ascii="仿宋" w:hAnsi="仿宋" w:eastAsia="仿宋" w:cs="宋体"/>
                <w:sz w:val="24"/>
              </w:rPr>
              <w:t xml:space="preserve">125.65</w:t>
            </w:r>
            <w:r>
              <w:rPr>
                <w:rFonts w:hint="eastAsia" w:ascii="仿宋" w:hAnsi="仿宋" w:eastAsia="仿宋" w:cs="宋体"/>
                <w:sz w:val="24"/>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bCs/>
                <w:sz w:val="24"/>
              </w:rPr>
              <w:t xml:space="preserve">对招标文件进行澄清或者修改的，通过</w:t>
            </w:r>
            <w:r>
              <w:rPr>
                <w:rFonts w:hint="eastAsia" w:ascii="仿宋" w:hAnsi="仿宋" w:eastAsia="仿宋"/>
                <w:bCs/>
                <w:sz w:val="24"/>
              </w:rPr>
              <w:t xml:space="preserve">“苏采云”系统及徐州政府采购网公告澄清</w:t>
            </w:r>
            <w:r>
              <w:rPr>
                <w:rFonts w:ascii="仿宋" w:hAnsi="仿宋" w:eastAsia="仿宋"/>
                <w:bCs/>
                <w:sz w:val="24"/>
              </w:rPr>
              <w:t xml:space="preserve">或者修改的内容</w:t>
            </w:r>
            <w:r>
              <w:rPr>
                <w:rFonts w:hint="eastAsia" w:ascii="仿宋" w:hAnsi="仿宋" w:eastAsia="仿宋"/>
                <w:bCs/>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2"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“中国政府采购”</w:t>
            </w:r>
            <w:r>
              <w:rPr>
                <w:rFonts w:hint="eastAsia" w:ascii="仿宋" w:hAnsi="仿宋" w:eastAsia="仿宋" w:cs="宋体"/>
                <w:sz w:val="24"/>
              </w:rPr>
              <w:t xml:space="preserve">网（</w:t>
            </w:r>
            <w:hyperlink r:id="rId13"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w:t>
            </w:r>
            <w:r>
              <w:rPr>
                <w:rFonts w:hint="eastAsia" w:ascii="仿宋" w:hAnsi="仿宋" w:eastAsia="仿宋"/>
                <w:bCs/>
                <w:sz w:val="24"/>
              </w:rPr>
              <w:t xml:space="preserve">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w:t>
            </w:r>
            <w:r>
              <w:rPr>
                <w:rFonts w:hint="eastAsia" w:ascii="仿宋" w:hAnsi="仿宋" w:eastAsia="仿宋"/>
                <w:bCs/>
                <w:sz w:val="24"/>
              </w:rPr>
              <w:t xml:space="preserve">开标后资格审查</w:t>
            </w:r>
            <w:r>
              <w:rPr>
                <w:rFonts w:hint="eastAsia" w:ascii="仿宋" w:hAnsi="仿宋" w:eastAsia="仿宋"/>
                <w:bCs/>
                <w:sz w:val="24"/>
              </w:rPr>
              <w:t xml:space="preserve">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strike/>
                <w:sz w:val="24"/>
              </w:rPr>
            </w:pPr>
            <w:r>
              <w:rPr>
                <w:rFonts w:hint="eastAsia" w:ascii="仿宋" w:hAnsi="仿宋" w:eastAsia="仿宋"/>
                <w:bCs/>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hyperlink r:id="rId14" w:tooltip="http://jszfcg.jsczt.cn/" w:history="1">
              <w:r>
                <w:rPr>
                  <w:rFonts w:hint="eastAsia" w:ascii="仿宋" w:hAnsi="仿宋" w:eastAsia="仿宋" w:cs="Arial"/>
                  <w:sz w:val="24"/>
                </w:rPr>
                <w:t xml:space="preserve">http://jszfcg.jsc</w:t>
              </w:r>
              <w:bookmarkStart w:id="27" w:name="_Hlt91509263"/>
              <w:bookmarkStart w:id="28" w:name="_Hlt91509264"/>
              <w:r>
                <w:rPr>
                  <w:rFonts w:hint="eastAsia" w:ascii="仿宋" w:hAnsi="仿宋" w:eastAsia="仿宋" w:cs="Arial"/>
                  <w:sz w:val="24"/>
                </w:rPr>
                <w:t xml:space="preserve">z</w:t>
              </w:r>
              <w:bookmarkEnd w:id="27"/>
              <w:bookmarkEnd w:id="28"/>
              <w:r>
                <w:rPr>
                  <w:rFonts w:hint="eastAsia" w:ascii="仿宋" w:hAnsi="仿宋" w:eastAsia="仿宋" w:cs="Arial"/>
                  <w:sz w:val="24"/>
                </w:rPr>
                <w:t xml:space="preserve">t.cn/</w:t>
              </w:r>
            </w:hyperlink>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特别说明：政府采购客户端工具需要导出加密的投标文件（后缀名为zip）。投标文件不得超过</w:t>
            </w:r>
            <w:r>
              <w:rPr>
                <w:rFonts w:hint="eastAsia" w:ascii="仿宋" w:hAnsi="仿宋" w:eastAsia="仿宋" w:cs="Arial"/>
                <w:sz w:val="24"/>
              </w:rPr>
              <w:t xml:space="preserve">1</w:t>
            </w:r>
            <w:r>
              <w:rPr>
                <w:rFonts w:hint="eastAsia" w:ascii="仿宋" w:hAnsi="仿宋" w:eastAsia="仿宋" w:cs="Arial"/>
                <w:sz w:val="24"/>
              </w:rPr>
              <w:t xml:space="preserve">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w:t>
            </w:r>
            <w:r>
              <w:rPr>
                <w:rFonts w:hint="eastAsia" w:ascii="仿宋" w:hAnsi="仿宋" w:eastAsia="仿宋" w:cs="仿宋"/>
                <w:sz w:val="24"/>
              </w:rPr>
              <w:t xml:space="preserve">照以下要求（包括但不限于以下要求）制作：</w:t>
            </w:r>
            <w:r/>
          </w:p>
          <w:p>
            <w:pPr>
              <w:rPr>
                <w:rFonts w:ascii="仿宋" w:hAnsi="仿宋" w:eastAsia="仿宋" w:cs="仿宋"/>
                <w:b/>
                <w:sz w:val="24"/>
              </w:rPr>
            </w:pPr>
            <w:r>
              <w:rPr>
                <w:rFonts w:hint="eastAsia" w:ascii="仿宋" w:hAnsi="仿宋" w:eastAsia="仿宋" w:cs="仿宋"/>
                <w:b/>
                <w:sz w:val="24"/>
              </w:rPr>
              <w:t xml:space="preserve">一、</w:t>
            </w:r>
            <w:r>
              <w:rPr>
                <w:rFonts w:hint="eastAsia" w:ascii="仿宋" w:hAnsi="仿宋" w:eastAsia="仿宋" w:cs="仿宋"/>
                <w:b/>
                <w:sz w:val="24"/>
              </w:rPr>
              <w:t xml:space="preserve">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widowControl/>
              <w:rPr>
                <w:rFonts w:ascii="仿宋" w:hAnsi="仿宋" w:eastAsia="仿宋" w:cs="仿宋"/>
                <w:sz w:val="24"/>
              </w:rPr>
              <w:outlineLvl w:val="2"/>
            </w:pPr>
            <w:r>
              <w:rPr>
                <w:rFonts w:hint="eastAsia" w:ascii="仿宋" w:hAnsi="仿宋" w:eastAsia="仿宋" w:cs="仿宋"/>
                <w:sz w:val="24"/>
              </w:rPr>
              <w:t xml:space="preserve">3.所投产品的环境标志产品认证证书的扫描件（如有）。</w:t>
            </w:r>
            <w:r/>
          </w:p>
          <w:p>
            <w:pPr>
              <w:widowControl/>
              <w:rPr>
                <w:rFonts w:ascii="仿宋" w:hAnsi="仿宋" w:eastAsia="仿宋" w:cs="仿宋"/>
                <w:sz w:val="24"/>
              </w:rPr>
              <w:outlineLvl w:val="2"/>
            </w:pPr>
            <w:r>
              <w:rPr>
                <w:rFonts w:hint="eastAsia" w:ascii="仿宋" w:hAnsi="仿宋" w:eastAsia="仿宋" w:cs="仿宋"/>
                <w:sz w:val="24"/>
              </w:rPr>
              <w:t xml:space="preserve">注：</w:t>
            </w:r>
            <w:r/>
          </w:p>
          <w:p>
            <w:pPr>
              <w:ind w:firstLine="240"/>
              <w:rPr>
                <w:rFonts w:ascii="仿宋" w:hAnsi="仿宋" w:eastAsia="仿宋" w:cs="仿宋"/>
                <w:sz w:val="24"/>
              </w:rPr>
            </w:pPr>
            <w:r>
              <w:rPr>
                <w:rFonts w:hint="eastAsia" w:ascii="仿宋" w:hAnsi="仿宋" w:eastAsia="仿宋" w:cs="仿宋"/>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生态环境部印发）范围的，投标文件中提供（如有）所投产品的国家确定的认证机构出具的、处于有效期之内（即“开标时间”当天在有效期之内）的环境标志产品认证证书的扫描件。</w:t>
            </w:r>
            <w:r/>
          </w:p>
          <w:p>
            <w:pPr>
              <w:ind w:firstLine="240"/>
              <w:rPr>
                <w:rFonts w:ascii="仿宋" w:hAnsi="仿宋" w:eastAsia="仿宋" w:cs="仿宋"/>
                <w:sz w:val="24"/>
              </w:rPr>
            </w:pPr>
            <w:r>
              <w:rPr>
                <w:rFonts w:hint="eastAsia" w:ascii="仿宋" w:hAnsi="仿宋" w:eastAsia="仿宋" w:cs="仿宋"/>
                <w:sz w:val="24"/>
              </w:rPr>
              <w:t xml:space="preserve">（2）环境标志产品认证证书是否符合要求，采购人评标时查询中国政府采购网（www.ccgp.gov.cn）相关内容后确定。</w:t>
            </w:r>
            <w:r/>
          </w:p>
          <w:p>
            <w:pPr>
              <w:widowControl/>
              <w:rPr>
                <w:rFonts w:ascii="仿宋" w:hAnsi="仿宋" w:eastAsia="仿宋" w:cs="仿宋"/>
                <w:sz w:val="24"/>
              </w:rPr>
              <w:outlineLvl w:val="2"/>
            </w:pPr>
            <w:r>
              <w:rPr>
                <w:rFonts w:hint="eastAsia" w:ascii="仿宋" w:hAnsi="仿宋" w:eastAsia="仿宋" w:cs="仿宋"/>
                <w:sz w:val="24"/>
              </w:rPr>
              <w:t xml:space="preserve">4.所投产品的节能产品认证证书的扫描件（如有）。</w:t>
            </w:r>
            <w:r/>
          </w:p>
          <w:p>
            <w:pPr>
              <w:widowControl/>
              <w:rPr>
                <w:rFonts w:ascii="仿宋" w:hAnsi="仿宋" w:eastAsia="仿宋" w:cs="仿宋"/>
                <w:sz w:val="24"/>
              </w:rPr>
              <w:outlineLvl w:val="2"/>
            </w:pPr>
            <w:r>
              <w:rPr>
                <w:rFonts w:hint="eastAsia" w:ascii="仿宋" w:hAnsi="仿宋" w:eastAsia="仿宋" w:cs="仿宋"/>
                <w:sz w:val="24"/>
              </w:rPr>
              <w:t xml:space="preserve">注：</w:t>
            </w:r>
            <w:r/>
          </w:p>
          <w:p>
            <w:pPr>
              <w:ind w:firstLine="240"/>
              <w:widowControl/>
              <w:rPr>
                <w:rFonts w:ascii="仿宋" w:hAnsi="仿宋" w:eastAsia="仿宋" w:cs="仿宋"/>
                <w:sz w:val="24"/>
              </w:rPr>
              <w:outlineLvl w:val="2"/>
            </w:pPr>
            <w:r>
              <w:rPr>
                <w:rFonts w:hint="eastAsia" w:ascii="仿宋" w:hAnsi="仿宋" w:eastAsia="仿宋" w:cs="仿宋"/>
                <w:sz w:val="24"/>
              </w:rPr>
              <w:t xml:space="preserve">（1）所投产品属于《节能产品政府采购品目清单》（由财政部 发展改革委印发）范围的，投标文件中提供（如有）所投产品的国家确</w:t>
            </w:r>
            <w:r>
              <w:rPr>
                <w:rFonts w:hint="eastAsia" w:ascii="仿宋" w:hAnsi="仿宋" w:eastAsia="仿宋" w:cs="仿宋"/>
                <w:sz w:val="24"/>
              </w:rPr>
              <w:t xml:space="preserve">定的认证机构出具的、处于有效期之内（即“开标时间”当天在有效期之内）的节能产品认证证书的扫描件。</w:t>
            </w:r>
            <w:r/>
          </w:p>
          <w:p>
            <w:pPr>
              <w:pStyle w:val="746"/>
              <w:rPr>
                <w:rFonts w:ascii="仿宋" w:hAnsi="仿宋" w:eastAsia="仿宋" w:cs="仿宋"/>
                <w:sz w:val="24"/>
                <w:szCs w:val="24"/>
              </w:rPr>
            </w:pPr>
            <w:r>
              <w:rPr>
                <w:rFonts w:hint="eastAsia" w:ascii="仿宋" w:hAnsi="仿宋" w:eastAsia="仿宋" w:cs="仿宋"/>
                <w:sz w:val="24"/>
                <w:szCs w:val="24"/>
              </w:rPr>
              <w:t xml:space="preserve">（2）节能产品认证证书是否符合要求，采购人评标时查询中国政府采购网（www.ccgp.gov.cn）相关内容后确定。</w:t>
            </w:r>
            <w:r/>
          </w:p>
          <w:p>
            <w:pPr>
              <w:pStyle w:val="746"/>
            </w:pPr>
            <w:r/>
            <w:r/>
          </w:p>
          <w:p>
            <w:pPr>
              <w:rPr>
                <w:rFonts w:ascii="仿宋" w:hAnsi="仿宋" w:eastAsia="仿宋" w:cs="仿宋"/>
                <w:sz w:val="24"/>
              </w:rPr>
            </w:pPr>
            <w:r>
              <w:rPr>
                <w:rFonts w:hint="eastAsia" w:ascii="仿宋" w:hAnsi="仿宋" w:eastAsia="仿宋" w:cs="仿宋"/>
                <w:b/>
                <w:sz w:val="24"/>
              </w:rPr>
              <w:t xml:space="preserve">二、</w:t>
            </w:r>
            <w:r>
              <w:rPr>
                <w:rFonts w:hint="eastAsia" w:ascii="仿宋" w:hAnsi="仿宋" w:eastAsia="仿宋" w:cs="仿宋"/>
                <w:b/>
                <w:sz w:val="24"/>
              </w:rPr>
              <w:t xml:space="preserve">资格条件</w:t>
            </w:r>
            <w:r>
              <w:rPr>
                <w:rFonts w:hint="eastAsia" w:ascii="仿宋" w:hAnsi="仿宋" w:eastAsia="仿宋" w:cs="仿宋"/>
                <w:b/>
                <w:sz w:val="24"/>
              </w:rPr>
              <w:t xml:space="preserve">（ 1～7项及9项必须提供，否则投标无效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1.投标人合法</w:t>
            </w:r>
            <w:r>
              <w:rPr>
                <w:rFonts w:hint="eastAsia" w:ascii="仿宋" w:hAnsi="仿宋" w:eastAsia="仿宋" w:cs="仿宋"/>
                <w:sz w:val="24"/>
              </w:rPr>
              <w:t xml:space="preserve">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w:t>
            </w:r>
            <w:r>
              <w:rPr>
                <w:rFonts w:hint="eastAsia" w:ascii="仿宋" w:hAnsi="仿宋" w:eastAsia="仿宋" w:cs="仿宋"/>
                <w:sz w:val="24"/>
              </w:rPr>
              <w:t xml:space="preserve">任一时间截点</w:t>
            </w:r>
            <w:r>
              <w:rPr>
                <w:rFonts w:hint="eastAsia" w:ascii="仿宋" w:hAnsi="仿宋" w:eastAsia="仿宋" w:cs="仿宋"/>
                <w:sz w:val="24"/>
              </w:rPr>
              <w:t xml:space="preserve">的资产负债表的扫描件1份；</w:t>
            </w:r>
            <w:r/>
          </w:p>
          <w:p>
            <w:pPr>
              <w:ind w:right="26" w:firstLine="480"/>
              <w:jc w:val="left"/>
              <w:widowControl/>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sz w:val="24"/>
              </w:rPr>
              <w:t xml:space="preserve">，即</w:t>
            </w:r>
            <w:r>
              <w:rPr>
                <w:rFonts w:hint="eastAsia" w:ascii="仿宋" w:hAnsi="仿宋" w:eastAsia="仿宋" w:cs="仿宋"/>
                <w:sz w:val="24"/>
              </w:rPr>
              <w:t xml:space="preserve">投标文件中提供《</w:t>
            </w:r>
            <w:bookmarkStart w:id="29" w:name="_Toc515551102"/>
            <w:r>
              <w:rPr>
                <w:rFonts w:hint="eastAsia" w:ascii="仿宋" w:hAnsi="仿宋" w:eastAsia="仿宋" w:cs="仿宋"/>
                <w:sz w:val="24"/>
              </w:rPr>
              <w:t xml:space="preserve">具备履行合同所必需的设备和专业技术能力的书面声明</w:t>
            </w:r>
            <w:bookmarkEnd w:id="29"/>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w:t>
            </w:r>
            <w:r>
              <w:rPr>
                <w:rFonts w:hint="eastAsia" w:ascii="仿宋" w:hAnsi="仿宋" w:eastAsia="仿宋" w:cs="仿宋"/>
                <w:sz w:val="24"/>
              </w:rPr>
              <w:t xml:space="preserve">承诺</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w:t>
            </w:r>
            <w:r>
              <w:rPr>
                <w:rFonts w:hint="eastAsia" w:ascii="仿宋" w:hAnsi="仿宋" w:eastAsia="仿宋" w:cs="仿宋"/>
                <w:sz w:val="24"/>
              </w:rPr>
              <w:t xml:space="preserve">书面声明</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color w:val="000000"/>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宋体"/>
                <w:sz w:val="24"/>
              </w:rPr>
              <w:t xml:space="preserve">具体</w:t>
            </w:r>
            <w:r>
              <w:rPr>
                <w:rFonts w:hint="eastAsia" w:ascii="仿宋" w:hAnsi="仿宋" w:eastAsia="仿宋" w:cs="宋体"/>
                <w:sz w:val="24"/>
              </w:rPr>
              <w:t xml:space="preserve">要求见招标文件第三章</w:t>
            </w:r>
            <w:r>
              <w:rPr>
                <w:rFonts w:hint="eastAsia" w:ascii="仿宋" w:hAnsi="仿宋" w:eastAsia="仿宋" w:cs="宋体"/>
                <w:sz w:val="24"/>
              </w:rPr>
              <w:t xml:space="preserve">《</w:t>
            </w:r>
            <w:r>
              <w:rPr>
                <w:rFonts w:hint="eastAsia" w:ascii="仿宋" w:hAnsi="仿宋" w:eastAsia="仿宋" w:cs="宋体"/>
                <w:sz w:val="24"/>
              </w:rPr>
              <w:t xml:space="preserve">投标资料表》项号“17”的内容）。</w:t>
            </w:r>
            <w:r/>
          </w:p>
          <w:p>
            <w:pPr>
              <w:pStyle w:val="746"/>
              <w:rPr>
                <w:highlight w:val="yellow"/>
              </w:rPr>
            </w:pPr>
            <w:r>
              <w:rPr>
                <w:rFonts w:hint="eastAsia" w:ascii="仿宋" w:hAnsi="仿宋" w:eastAsia="仿宋" w:cs="仿宋"/>
                <w:sz w:val="24"/>
              </w:rPr>
              <w:t xml:space="preserve">9.</w:t>
            </w:r>
            <w:bookmarkStart w:id="30" w:name="OLE_LINK159"/>
            <w:r/>
            <w:bookmarkStart w:id="31" w:name="OLE_LINK150"/>
            <w:r>
              <w:rPr>
                <w:rFonts w:hint="eastAsia" w:ascii="仿宋" w:hAnsi="仿宋" w:eastAsia="仿宋" w:cs="仿宋"/>
                <w:sz w:val="24"/>
              </w:rPr>
              <w:t xml:space="preserve">投标人具备的《中华人民共和国基础电信业务经营许可证》或《增值电信业务经营许可证》扫描件，投标人为分支机构的，提供其法人公司具备的《中华人民共和国基础电信业务经营许可证》或《增值电信业务经营许可证》扫描件。</w:t>
            </w:r>
            <w:bookmarkEnd w:id="30"/>
            <w:r/>
            <w:bookmarkEnd w:id="31"/>
            <w:r/>
            <w:r/>
          </w:p>
          <w:p>
            <w:pPr>
              <w:pStyle w:val="746"/>
              <w:rPr>
                <w:highlight w:val="yellow"/>
              </w:rPr>
            </w:pPr>
            <w:r>
              <w:rPr>
                <w:highlight w:val="yellow"/>
              </w:r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1.《分项价格表》（加盖电子签章，格式见招标文件第七章《投标文件相关格式》。）；</w:t>
            </w:r>
            <w:r/>
          </w:p>
          <w:p>
            <w:pPr>
              <w:rPr>
                <w:rFonts w:ascii="仿宋" w:hAnsi="仿宋" w:eastAsia="仿宋"/>
                <w:sz w:val="24"/>
              </w:rPr>
            </w:pPr>
            <w:r>
              <w:rPr>
                <w:rFonts w:hint="eastAsia" w:ascii="仿宋" w:hAnsi="仿宋" w:eastAsia="仿宋" w:cs="仿宋"/>
                <w:sz w:val="24"/>
              </w:rPr>
              <w:t xml:space="preserve">2.</w:t>
            </w:r>
            <w:r>
              <w:rPr>
                <w:rFonts w:hint="eastAsia" w:ascii="仿宋" w:hAnsi="仿宋" w:eastAsia="仿宋" w:cs="仿宋"/>
                <w:sz w:val="24"/>
              </w:rPr>
              <w:t xml:space="preserve">《投标函》（加盖电子签章，格式见招标文件第七章《投标文件相关</w:t>
            </w:r>
            <w:r>
              <w:rPr>
                <w:rFonts w:hint="eastAsia" w:ascii="仿宋" w:hAnsi="仿宋" w:eastAsia="仿宋" w:cs="仿宋"/>
                <w:sz w:val="24"/>
              </w:rPr>
              <w:t xml:space="preserve">格式》。）；</w:t>
            </w:r>
            <w:r/>
          </w:p>
          <w:p>
            <w:pPr>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《采购需求符合性条件响应表》（加盖电子签章，格式见招标文件第七章《投标文件相关格式》。）；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《偏离表》（加盖电子签章，格式见招标文件第七章《投标文件相关格式》。</w:t>
            </w:r>
            <w:r>
              <w:rPr>
                <w:rFonts w:hint="eastAsia" w:ascii="仿宋" w:hAnsi="仿宋" w:eastAsia="仿宋" w:cs="仿宋"/>
                <w:sz w:val="24"/>
              </w:rPr>
              <w:t xml:space="preserve">）；</w:t>
            </w:r>
            <w:r/>
          </w:p>
          <w:p>
            <w:r/>
            <w:r/>
          </w:p>
          <w:p>
            <w:pPr>
              <w:rPr>
                <w:rFonts w:ascii="仿宋" w:hAnsi="仿宋" w:eastAsia="仿宋" w:cs="仿宋"/>
                <w:b/>
                <w:sz w:val="24"/>
              </w:rPr>
            </w:pPr>
            <w:r>
              <w:rPr>
                <w:rFonts w:hint="eastAsia" w:ascii="仿宋" w:hAnsi="仿宋" w:eastAsia="仿宋" w:cs="仿宋"/>
                <w:b/>
                <w:sz w:val="24"/>
              </w:rPr>
              <w:t xml:space="preserve">四、综合评审评分项</w:t>
            </w:r>
            <w:r/>
          </w:p>
          <w:p>
            <w:pPr>
              <w:rPr>
                <w:rFonts w:ascii="仿宋" w:hAnsi="仿宋" w:eastAsia="仿宋"/>
                <w:sz w:val="24"/>
              </w:rPr>
            </w:pPr>
            <w:r>
              <w:rPr>
                <w:rFonts w:hint="eastAsia" w:ascii="仿宋" w:hAnsi="仿宋" w:eastAsia="仿宋"/>
                <w:sz w:val="24"/>
              </w:rPr>
              <w:t xml:space="preserve">（一）技术部分</w:t>
            </w:r>
            <w:r/>
          </w:p>
          <w:p>
            <w:pPr>
              <w:rPr>
                <w:rFonts w:ascii="仿宋" w:hAnsi="仿宋" w:eastAsia="仿宋"/>
                <w:sz w:val="24"/>
              </w:rPr>
            </w:pPr>
            <w:r>
              <w:rPr>
                <w:rFonts w:hint="eastAsia" w:ascii="仿宋" w:hAnsi="仿宋" w:eastAsia="仿宋"/>
                <w:sz w:val="24"/>
              </w:rPr>
              <w:t xml:space="preserve">1. 项目需求理解与分析</w:t>
            </w:r>
            <w:bookmarkStart w:id="32" w:name="OLE_LINK66"/>
            <w:r/>
            <w:bookmarkStart w:id="33" w:name="OLE_LINK64"/>
            <w:r>
              <w:rPr>
                <w:rFonts w:hint="eastAsia" w:ascii="仿宋" w:hAnsi="仿宋" w:eastAsia="仿宋"/>
                <w:sz w:val="24"/>
              </w:rPr>
              <w:t xml:space="preserve">（要求见招标文件第六章《采购需求》）；</w:t>
            </w:r>
            <w:bookmarkEnd w:id="32"/>
            <w:r/>
            <w:bookmarkEnd w:id="33"/>
            <w:r/>
            <w:r/>
          </w:p>
          <w:p>
            <w:pPr>
              <w:rPr>
                <w:rFonts w:ascii="仿宋" w:hAnsi="仿宋" w:eastAsia="仿宋"/>
                <w:sz w:val="24"/>
              </w:rPr>
            </w:pPr>
            <w:r>
              <w:rPr>
                <w:rFonts w:hint="eastAsia" w:ascii="仿宋" w:hAnsi="仿宋" w:eastAsia="仿宋"/>
                <w:sz w:val="24"/>
              </w:rPr>
              <w:t xml:space="preserve">2. 固定网络新平面建设方案</w:t>
            </w:r>
            <w:bookmarkStart w:id="34" w:name="OLE_LINK70"/>
            <w:r/>
            <w:bookmarkStart w:id="35" w:name="OLE_LINK69"/>
            <w:r>
              <w:rPr>
                <w:rFonts w:hint="eastAsia" w:ascii="仿宋" w:hAnsi="仿宋" w:eastAsia="仿宋"/>
                <w:sz w:val="24"/>
              </w:rPr>
              <w:t xml:space="preserve">（要求见招标文件第六章《采购需求》）；</w:t>
            </w:r>
            <w:bookmarkEnd w:id="34"/>
            <w:r/>
            <w:bookmarkEnd w:id="35"/>
            <w:r/>
            <w:r/>
          </w:p>
          <w:p>
            <w:pPr>
              <w:rPr>
                <w:rFonts w:ascii="仿宋" w:hAnsi="仿宋" w:eastAsia="仿宋"/>
                <w:sz w:val="24"/>
              </w:rPr>
            </w:pPr>
            <w:r>
              <w:rPr>
                <w:rFonts w:hint="eastAsia" w:ascii="仿宋" w:hAnsi="仿宋" w:eastAsia="仿宋"/>
                <w:sz w:val="24"/>
              </w:rPr>
              <w:t xml:space="preserve">3. 组织机构设置和人员配备方案</w:t>
            </w:r>
            <w:bookmarkStart w:id="36" w:name="OLE_LINK79"/>
            <w:r/>
            <w:bookmarkStart w:id="37" w:name="OLE_LINK74"/>
            <w:r>
              <w:rPr>
                <w:rFonts w:hint="eastAsia" w:ascii="仿宋" w:hAnsi="仿宋" w:eastAsia="仿宋"/>
                <w:sz w:val="24"/>
              </w:rPr>
              <w:t xml:space="preserve">（要求见招标文件第六章《采购需求》）；</w:t>
            </w:r>
            <w:bookmarkEnd w:id="36"/>
            <w:r/>
            <w:bookmarkEnd w:id="37"/>
            <w:r/>
            <w:r/>
          </w:p>
          <w:p>
            <w:pPr>
              <w:rPr>
                <w:rFonts w:ascii="仿宋" w:hAnsi="仿宋" w:eastAsia="仿宋"/>
                <w:sz w:val="24"/>
              </w:rPr>
            </w:pPr>
            <w:r>
              <w:rPr>
                <w:rFonts w:hint="eastAsia" w:ascii="仿宋" w:hAnsi="仿宋" w:eastAsia="仿宋"/>
                <w:sz w:val="24"/>
              </w:rPr>
              <w:t xml:space="preserve">4. 技术参数响应</w:t>
            </w:r>
            <w:bookmarkStart w:id="38" w:name="OLE_LINK92"/>
            <w:r/>
            <w:bookmarkStart w:id="39" w:name="OLE_LINK91"/>
            <w:r>
              <w:rPr>
                <w:rFonts w:hint="eastAsia" w:ascii="仿宋" w:hAnsi="仿宋" w:eastAsia="仿宋"/>
                <w:sz w:val="24"/>
              </w:rPr>
              <w:t xml:space="preserve">（要求见招标文件第六章《采购需求》）；</w:t>
            </w:r>
            <w:bookmarkEnd w:id="38"/>
            <w:r/>
            <w:bookmarkEnd w:id="39"/>
            <w:r/>
            <w:r/>
          </w:p>
          <w:p>
            <w:pPr>
              <w:rPr>
                <w:rFonts w:ascii="仿宋" w:hAnsi="仿宋" w:eastAsia="仿宋"/>
                <w:sz w:val="24"/>
              </w:rPr>
            </w:pPr>
            <w:r>
              <w:rPr>
                <w:rFonts w:hint="eastAsia" w:ascii="仿宋" w:hAnsi="仿宋" w:eastAsia="仿宋"/>
                <w:sz w:val="24"/>
              </w:rPr>
              <w:t xml:space="preserve">5. 技术培训方案（要求见招标文件第六章《采购需求》）。</w:t>
            </w:r>
            <w:r/>
          </w:p>
          <w:p>
            <w:pPr>
              <w:rPr>
                <w:rFonts w:ascii="仿宋" w:hAnsi="仿宋" w:eastAsia="仿宋"/>
                <w:sz w:val="24"/>
              </w:rPr>
            </w:pPr>
            <w:r>
              <w:rPr>
                <w:rFonts w:hint="eastAsia" w:ascii="仿宋" w:hAnsi="仿宋" w:eastAsia="仿宋"/>
                <w:sz w:val="24"/>
              </w:rPr>
              <w:t xml:space="preserve">（二）商务部分</w:t>
            </w:r>
            <w:r/>
          </w:p>
          <w:p>
            <w:pPr>
              <w:rPr>
                <w:rFonts w:ascii="仿宋" w:hAnsi="仿宋" w:eastAsia="仿宋"/>
                <w:sz w:val="24"/>
              </w:rPr>
            </w:pPr>
            <w:r>
              <w:rPr>
                <w:rFonts w:hint="eastAsia" w:ascii="仿宋" w:hAnsi="仿宋" w:eastAsia="仿宋"/>
                <w:sz w:val="24"/>
              </w:rPr>
              <w:t xml:space="preserve">1. </w:t>
            </w:r>
            <w:bookmarkStart w:id="40" w:name="OLE_LINK155"/>
            <w:r/>
            <w:bookmarkStart w:id="41" w:name="OLE_LINK156"/>
            <w:r>
              <w:rPr>
                <w:rFonts w:hint="eastAsia" w:ascii="仿宋" w:hAnsi="仿宋" w:eastAsia="仿宋"/>
                <w:sz w:val="24"/>
              </w:rPr>
              <w:t xml:space="preserve">投标人业绩</w:t>
            </w:r>
            <w:bookmarkStart w:id="42" w:name="OLE_LINK154"/>
            <w:r/>
            <w:bookmarkStart w:id="43" w:name="OLE_LINK153"/>
            <w:r>
              <w:rPr>
                <w:rFonts w:hint="eastAsia" w:ascii="仿宋" w:hAnsi="仿宋" w:eastAsia="仿宋"/>
                <w:sz w:val="24"/>
              </w:rPr>
              <w:t xml:space="preserve">（要求见招标文件第四章《评标标准》）</w:t>
            </w:r>
            <w:bookmarkEnd w:id="42"/>
            <w:r/>
            <w:bookmarkEnd w:id="43"/>
            <w:r>
              <w:rPr>
                <w:rFonts w:hint="eastAsia" w:ascii="仿宋" w:hAnsi="仿宋" w:eastAsia="仿宋"/>
                <w:sz w:val="24"/>
              </w:rPr>
              <w:t xml:space="preserve">。</w:t>
            </w:r>
            <w:bookmarkEnd w:id="40"/>
            <w:r/>
            <w:bookmarkEnd w:id="41"/>
            <w:r/>
            <w:r/>
          </w:p>
          <w:p>
            <w:pPr>
              <w:pStyle w:val="746"/>
            </w:pPr>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ascii="仿宋" w:hAnsi="仿宋" w:eastAsia="仿宋" w:cs="仿宋"/>
                <w:sz w:val="24"/>
              </w:rPr>
            </w:pPr>
            <w:r>
              <w:rPr>
                <w:rFonts w:hint="eastAsia" w:ascii="仿宋" w:hAnsi="仿宋" w:eastAsia="仿宋" w:cs="仿宋"/>
                <w:sz w:val="24"/>
              </w:rPr>
              <w:t xml:space="preserve">1.投标人提供的服务全部由符合政策要求的中小企业承接的，提供《中小企业声明函》（加盖电子签章，格式见招标文件第七章《投标文件相关格式》）。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w:t>
            </w:r>
            <w:r>
              <w:rPr>
                <w:rFonts w:hint="eastAsia" w:ascii="仿宋" w:hAnsi="仿宋" w:eastAsia="仿宋" w:cs="仿宋"/>
                <w:sz w:val="24"/>
              </w:rPr>
              <w:t xml:space="preserve">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46"/>
            </w:p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w:t>
            </w:r>
            <w:r>
              <w:rPr>
                <w:rFonts w:hint="eastAsia" w:ascii="仿宋" w:hAnsi="仿宋" w:eastAsia="仿宋" w:cs="仿宋"/>
                <w:b/>
                <w:bCs/>
                <w:sz w:val="24"/>
              </w:rPr>
              <w:t xml:space="preserve">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57"/>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57"/>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757"/>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757"/>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757"/>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w:t>
            </w:r>
            <w:r>
              <w:rPr>
                <w:rFonts w:ascii="仿宋" w:hAnsi="仿宋" w:eastAsia="仿宋" w:cs="Times New Roman"/>
                <w:b/>
              </w:rPr>
              <w:t xml:space="preserve">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bCs/>
                <w:sz w:val="24"/>
              </w:rPr>
            </w:pPr>
            <w:r>
              <w:rPr>
                <w:rFonts w:hint="eastAsia" w:ascii="仿宋" w:hAnsi="仿宋" w:eastAsia="仿宋"/>
                <w:bCs/>
                <w:sz w:val="24"/>
              </w:rPr>
              <w:t xml:space="preserve">不接受超过</w:t>
            </w:r>
            <w:r>
              <w:rPr>
                <w:rFonts w:hint="eastAsia" w:ascii="仿宋" w:hAnsi="仿宋" w:eastAsia="仿宋" w:cs="宋体"/>
                <w:sz w:val="24"/>
              </w:rPr>
              <w:t xml:space="preserve">125.65</w:t>
            </w:r>
            <w:r>
              <w:rPr>
                <w:rFonts w:hint="eastAsia" w:ascii="仿宋" w:hAnsi="仿宋" w:eastAsia="仿宋"/>
                <w:bCs/>
                <w:sz w:val="24"/>
              </w:rPr>
              <w:t xml:space="preserve">万元人民币（采购项目预算金额）的投标报价。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sz w:val="24"/>
              </w:rPr>
              <w:t xml:space="preserve">投标截止时间：202</w:t>
            </w:r>
            <w:r>
              <w:rPr>
                <w:rFonts w:hint="eastAsia" w:ascii="仿宋" w:hAnsi="仿宋" w:eastAsia="仿宋"/>
                <w:sz w:val="24"/>
              </w:rPr>
              <w:t xml:space="preserve">6</w:t>
            </w:r>
            <w:r>
              <w:rPr>
                <w:rFonts w:hint="eastAsia" w:ascii="仿宋" w:hAnsi="仿宋" w:eastAsia="仿宋"/>
                <w:sz w:val="24"/>
              </w:rPr>
              <w:t xml:space="preserve">年1月</w:t>
            </w:r>
            <w:r>
              <w:rPr>
                <w:rFonts w:hint="eastAsia" w:ascii="仿宋" w:hAnsi="仿宋" w:eastAsia="仿宋"/>
                <w:sz w:val="24"/>
              </w:rPr>
              <w:t xml:space="preserve">28</w:t>
            </w:r>
            <w:r>
              <w:rPr>
                <w:rFonts w:hint="eastAsia" w:ascii="仿宋" w:hAnsi="仿宋" w:eastAsia="仿宋"/>
                <w:sz w:val="24"/>
              </w:rPr>
              <w:t xml:space="preserve">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w:t>
            </w:r>
            <w:r>
              <w:rPr>
                <w:rFonts w:hint="eastAsia" w:ascii="仿宋" w:hAnsi="仿宋" w:eastAsia="仿宋"/>
                <w:sz w:val="24"/>
              </w:rPr>
              <w:t xml:space="preserve">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w:t>
            </w:r>
            <w:r>
              <w:rPr>
                <w:rFonts w:hint="eastAsia" w:ascii="仿宋" w:hAnsi="仿宋" w:eastAsia="仿宋" w:cs="宋体"/>
                <w:sz w:val="24"/>
              </w:rPr>
              <w:t xml:space="preserve">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rPr>
                <w:rFonts w:ascii="仿宋" w:hAnsi="仿宋" w:eastAsia="仿宋"/>
                <w:sz w:val="24"/>
              </w:rPr>
            </w:pPr>
            <w:r>
              <w:rPr>
                <w:rFonts w:hint="eastAsia" w:ascii="仿宋" w:hAnsi="仿宋" w:eastAsia="仿宋"/>
                <w:sz w:val="24"/>
              </w:rPr>
              <w:t xml:space="preserve">1.投标文件递交截止时间：202</w:t>
            </w:r>
            <w:r>
              <w:rPr>
                <w:rFonts w:hint="eastAsia" w:ascii="仿宋" w:hAnsi="仿宋" w:eastAsia="仿宋"/>
                <w:sz w:val="24"/>
              </w:rPr>
              <w:t xml:space="preserve">6</w:t>
            </w:r>
            <w:r>
              <w:rPr>
                <w:rFonts w:hint="eastAsia" w:ascii="仿宋" w:hAnsi="仿宋" w:eastAsia="仿宋"/>
                <w:sz w:val="24"/>
              </w:rPr>
              <w:t xml:space="preserve">年</w:t>
            </w:r>
            <w:r>
              <w:rPr>
                <w:rFonts w:hint="eastAsia" w:ascii="仿宋" w:hAnsi="仿宋" w:eastAsia="仿宋"/>
                <w:sz w:val="24"/>
              </w:rPr>
              <w:t xml:space="preserve"> </w:t>
            </w:r>
            <w:r>
              <w:rPr>
                <w:rFonts w:hint="eastAsia" w:ascii="仿宋" w:hAnsi="仿宋" w:eastAsia="仿宋"/>
                <w:sz w:val="24"/>
              </w:rPr>
              <w:t xml:space="preserve">1</w:t>
            </w:r>
            <w:r>
              <w:rPr>
                <w:rFonts w:hint="eastAsia" w:ascii="仿宋" w:hAnsi="仿宋" w:eastAsia="仿宋"/>
                <w:sz w:val="24"/>
              </w:rPr>
              <w:t xml:space="preserve">月</w:t>
            </w:r>
            <w:r>
              <w:rPr>
                <w:rFonts w:hint="eastAsia" w:ascii="仿宋" w:hAnsi="仿宋" w:eastAsia="仿宋"/>
                <w:sz w:val="24"/>
              </w:rPr>
              <w:t xml:space="preserve">28</w:t>
            </w:r>
            <w:r>
              <w:rPr>
                <w:rFonts w:hint="eastAsia" w:ascii="仿宋" w:hAnsi="仿宋" w:eastAsia="仿宋"/>
                <w:sz w:val="24"/>
              </w:rPr>
              <w:t xml:space="preserve">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jc w:val="left"/>
              <w:widowControl/>
              <w:rPr>
                <w:rFonts w:ascii="仿宋" w:hAnsi="仿宋" w:eastAsia="仿宋"/>
              </w:rPr>
            </w:pPr>
            <w:r>
              <w:rPr>
                <w:rFonts w:hint="eastAsia" w:ascii="仿宋" w:hAnsi="仿宋" w:eastAsia="仿宋"/>
                <w:sz w:val="24"/>
              </w:rPr>
              <w:t xml:space="preserve">2.递交：</w:t>
            </w:r>
            <w:r>
              <w:rPr>
                <w:rFonts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开标时间及地点：</w:t>
            </w:r>
            <w:r/>
          </w:p>
          <w:p>
            <w:pPr>
              <w:jc w:val="left"/>
              <w:widowControl/>
              <w:rPr>
                <w:rFonts w:ascii="仿宋" w:hAnsi="仿宋" w:eastAsia="仿宋" w:cs="宋体"/>
                <w:sz w:val="24"/>
              </w:rPr>
            </w:pPr>
            <w:r>
              <w:rPr>
                <w:rFonts w:hint="eastAsia" w:ascii="仿宋" w:hAnsi="仿宋" w:eastAsia="仿宋" w:cs="宋体"/>
                <w:sz w:val="24"/>
              </w:rPr>
              <w:t xml:space="preserve">1.开标时间：202</w:t>
            </w:r>
            <w:r>
              <w:rPr>
                <w:rFonts w:hint="eastAsia" w:ascii="仿宋" w:hAnsi="仿宋" w:eastAsia="仿宋" w:cs="宋体"/>
                <w:sz w:val="24"/>
              </w:rPr>
              <w:t xml:space="preserve">6</w:t>
            </w:r>
            <w:r>
              <w:rPr>
                <w:rFonts w:hint="eastAsia" w:ascii="仿宋" w:hAnsi="仿宋" w:eastAsia="仿宋" w:cs="宋体"/>
                <w:sz w:val="24"/>
              </w:rPr>
              <w:t xml:space="preserve">年1月</w:t>
            </w:r>
            <w:r>
              <w:rPr>
                <w:rFonts w:hint="eastAsia" w:ascii="仿宋" w:hAnsi="仿宋" w:eastAsia="仿宋" w:cs="宋体"/>
                <w:sz w:val="24"/>
              </w:rPr>
              <w:t xml:space="preserve">28</w:t>
            </w:r>
            <w:r>
              <w:rPr>
                <w:rFonts w:hint="eastAsia" w:ascii="仿宋" w:hAnsi="仿宋" w:eastAsia="仿宋" w:cs="宋体"/>
                <w:sz w:val="24"/>
              </w:rPr>
              <w:t xml:space="preserve">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jc w:val="left"/>
              <w:widowControl/>
              <w:rPr>
                <w:rFonts w:ascii="仿宋" w:hAnsi="仿宋" w:eastAsia="仿宋" w:cs="宋体"/>
                <w:sz w:val="24"/>
              </w:rPr>
            </w:pPr>
            <w:r>
              <w:rPr>
                <w:rFonts w:hint="eastAsia" w:ascii="仿宋" w:hAnsi="仿宋" w:eastAsia="仿宋" w:cs="宋体"/>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w:t>
            </w:r>
            <w:r>
              <w:rPr>
                <w:rFonts w:hint="eastAsia" w:ascii="仿宋" w:hAnsi="仿宋" w:eastAsia="仿宋" w:cs="宋体"/>
                <w:sz w:val="24"/>
              </w:rPr>
              <w:t xml:space="preserve">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w:t>
            </w:r>
            <w:r>
              <w:rPr>
                <w:rFonts w:ascii="仿宋" w:hAnsi="仿宋" w:eastAsia="仿宋" w:cs="宋体"/>
                <w:bCs/>
                <w:sz w:val="24"/>
              </w:rPr>
              <w:t xml:space="preserve">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w:t>
            </w:r>
            <w:r>
              <w:rPr>
                <w:rFonts w:ascii="仿宋" w:hAnsi="仿宋" w:eastAsia="仿宋" w:cs="宋体"/>
                <w:sz w:val="24"/>
              </w:rPr>
              <w:t xml:space="preserve">并</w:t>
            </w:r>
            <w:r>
              <w:rPr>
                <w:rFonts w:ascii="仿宋" w:hAnsi="仿宋" w:eastAsia="仿宋" w:cs="宋体"/>
                <w:b/>
                <w:bCs/>
                <w:sz w:val="24"/>
              </w:rPr>
              <w:t xml:space="preserve">向社会公众公布</w:t>
            </w:r>
            <w:r>
              <w:rPr>
                <w:rFonts w:hint="eastAsia" w:ascii="仿宋" w:hAnsi="仿宋" w:eastAsia="仿宋" w:cs="宋体"/>
                <w:b/>
                <w:bCs/>
                <w:sz w:val="24"/>
              </w:rPr>
              <w:t xml:space="preserve">后</w:t>
            </w:r>
            <w:r>
              <w:rPr>
                <w:rFonts w:hint="eastAsia" w:ascii="仿宋" w:hAnsi="仿宋" w:eastAsia="仿宋" w:cs="宋体"/>
                <w:b/>
                <w:bCs/>
                <w:sz w:val="24"/>
              </w:rPr>
              <w:t xml:space="preserve">5</w:t>
            </w:r>
            <w:r>
              <w:rPr>
                <w:rFonts w:hint="eastAsia" w:ascii="仿宋" w:hAnsi="仿宋" w:eastAsia="仿宋" w:cs="宋体"/>
                <w:b/>
                <w:bCs/>
                <w:sz w:val="24"/>
              </w:rPr>
              <w:t xml:space="preserve">分钟内</w:t>
            </w:r>
            <w:r>
              <w:rPr>
                <w:rFonts w:hint="eastAsia" w:ascii="仿宋" w:hAnsi="仿宋" w:eastAsia="仿宋" w:cs="宋体"/>
                <w:sz w:val="24"/>
              </w:rPr>
              <w:t xml:space="preserve">，</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w:t>
            </w:r>
            <w:r>
              <w:rPr>
                <w:rFonts w:ascii="仿宋" w:hAnsi="仿宋" w:eastAsia="仿宋" w:cs="宋体"/>
                <w:sz w:val="24"/>
              </w:rPr>
              <w:t xml:space="preserve">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w:t>
            </w:r>
            <w:r>
              <w:rPr>
                <w:rFonts w:ascii="仿宋" w:hAnsi="仿宋" w:eastAsia="仿宋" w:cs="宋体"/>
                <w:sz w:val="24"/>
              </w:rPr>
              <w:t xml:space="preserve">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57"/>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57"/>
              <w:ind w:firstLine="480"/>
              <w:spacing w:before="0" w:beforeAutospacing="0" w:after="0" w:afterAutospacing="0"/>
              <w:shd w:val="clear" w:color="auto" w:fill="ffffff"/>
              <w:rPr>
                <w:rFonts w:ascii="仿宋" w:hAnsi="仿宋" w:eastAsia="仿宋"/>
              </w:rPr>
            </w:pPr>
            <w:r>
              <w:rPr>
                <w:rFonts w:ascii="仿宋" w:hAnsi="仿宋" w:eastAsia="仿宋"/>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评标中需要投标人对投标文件澄清或者说明的，应当通过</w:t>
            </w:r>
            <w:r>
              <w:rPr>
                <w:rFonts w:hint="eastAsia" w:ascii="仿宋" w:hAnsi="仿宋" w:eastAsia="仿宋" w:cs="宋体"/>
                <w:sz w:val="24"/>
              </w:rPr>
              <w:t xml:space="preserve">“苏采云”系统</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3.投标人的澄清、说明或者补正应当采用通过“苏采云”系统（使用“CA数字证书”,加盖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bookmarkStart w:id="44" w:name="OLE_LINK4"/>
            <w:r/>
            <w:bookmarkStart w:id="45" w:name="OLE_LINK7"/>
            <w:r>
              <w:rPr>
                <w:rFonts w:hint="eastAsia" w:ascii="仿宋" w:hAnsi="仿宋" w:eastAsia="仿宋"/>
                <w:sz w:val="24"/>
              </w:rPr>
              <w:t xml:space="preserve">启动异常低价投标（响应）审查后，评审委员会应当要求相关供应商在评标现场合理的时间内，通过“苏采云”系统（使用“CA数字证书”,加盖电子签章）提供</w:t>
            </w:r>
            <w:r>
              <w:rPr>
                <w:rFonts w:hint="eastAsia" w:ascii="仿宋" w:hAnsi="仿宋" w:eastAsia="仿宋"/>
                <w:b/>
                <w:sz w:val="24"/>
              </w:rPr>
              <w:t xml:space="preserve">项目具体成本测算等与报价合理性相关的书面说明及相关证明材料</w:t>
            </w:r>
            <w:r>
              <w:rPr>
                <w:rFonts w:hint="eastAsia" w:ascii="仿宋" w:hAnsi="仿宋" w:eastAsia="仿宋"/>
                <w:sz w:val="24"/>
              </w:rPr>
              <w:t xml:space="preserve">，对投标（响应）价格作出解释，由评审委员会</w:t>
            </w:r>
            <w:r>
              <w:rPr>
                <w:rFonts w:hint="eastAsia" w:ascii="仿宋" w:hAnsi="仿宋" w:eastAsia="仿宋"/>
                <w:b/>
                <w:sz w:val="24"/>
              </w:rPr>
              <w:t xml:space="preserve">结合同类产品在主要电商平台的价格、该行业当地薪资水平等情况</w:t>
            </w:r>
            <w:r>
              <w:rPr>
                <w:rFonts w:hint="eastAsia" w:ascii="仿宋" w:hAnsi="仿宋" w:eastAsia="仿宋"/>
                <w:sz w:val="24"/>
              </w:rPr>
              <w:t xml:space="preserve">，依据专业经验对供应商报价合理性进行判断。投标（响应）供应商</w:t>
            </w:r>
            <w:r>
              <w:rPr>
                <w:rFonts w:hint="eastAsia" w:ascii="仿宋" w:hAnsi="仿宋" w:eastAsia="仿宋"/>
                <w:b/>
                <w:sz w:val="24"/>
              </w:rPr>
              <w:t xml:space="preserve">不提供书面说明、证明材料，或者提供的书面说明、证明材料不能证明其报价合理性的，评审委员会应当将其作为无效投标（响应）处理。</w:t>
            </w:r>
            <w:bookmarkEnd w:id="44"/>
            <w:r/>
            <w:bookmarkEnd w:id="45"/>
            <w:r/>
            <w:r/>
          </w:p>
          <w:p>
            <w:pPr>
              <w:ind w:firstLine="482"/>
              <w:rPr>
                <w:rFonts w:ascii="仿宋" w:hAnsi="仿宋" w:eastAsia="仿宋" w:cs="宋体"/>
                <w:b/>
                <w:color w:val="0070c0"/>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仿宋"/>
                <w:sz w:val="24"/>
              </w:rPr>
            </w:pPr>
            <w:r>
              <w:rPr>
                <w:rFonts w:hint="eastAsia" w:ascii="仿宋" w:hAnsi="仿宋" w:eastAsia="仿宋" w:cs="仿宋"/>
                <w:sz w:val="24"/>
              </w:rPr>
              <w:t xml:space="preserve">中标候选人并列的，招标文件规定的确定中标人方式：</w:t>
            </w:r>
            <w:r/>
          </w:p>
          <w:p>
            <w:pPr>
              <w:jc w:val="left"/>
              <w:rPr>
                <w:rFonts w:ascii="仿宋" w:hAnsi="仿宋" w:eastAsia="仿宋" w:cs="仿宋"/>
                <w:sz w:val="24"/>
              </w:rPr>
            </w:pPr>
            <w:r>
              <w:rPr>
                <w:rFonts w:hint="eastAsia" w:ascii="仿宋" w:hAnsi="仿宋" w:eastAsia="仿宋" w:cs="仿宋"/>
                <w:sz w:val="24"/>
              </w:rPr>
              <w:t xml:space="preserve">一、确定人：采购人。</w:t>
            </w:r>
            <w:r/>
          </w:p>
          <w:p>
            <w:pPr>
              <w:jc w:val="left"/>
              <w:rPr>
                <w:rFonts w:ascii="仿宋" w:hAnsi="仿宋" w:eastAsia="仿宋" w:cs="仿宋"/>
                <w:sz w:val="24"/>
              </w:rPr>
            </w:pPr>
            <w:r>
              <w:rPr>
                <w:rFonts w:hint="eastAsia" w:ascii="仿宋" w:hAnsi="仿宋" w:eastAsia="仿宋" w:cs="仿宋"/>
                <w:sz w:val="24"/>
              </w:rPr>
              <w:t xml:space="preserve">二、确定中标人方式：</w:t>
            </w:r>
            <w:r/>
          </w:p>
          <w:p>
            <w:pPr>
              <w:ind w:firstLine="480"/>
              <w:jc w:val="left"/>
              <w:rPr>
                <w:rFonts w:ascii="仿宋" w:hAnsi="仿宋" w:eastAsia="仿宋" w:cs="仿宋"/>
                <w:color w:val="000000" w:themeColor="text1"/>
                <w:sz w:val="24"/>
              </w:rPr>
            </w:pPr>
            <w:r>
              <w:rPr>
                <w:rFonts w:hint="eastAsia" w:ascii="仿宋" w:hAnsi="仿宋" w:eastAsia="仿宋" w:cs="仿宋"/>
                <w:color w:val="000000" w:themeColor="text1"/>
                <w:sz w:val="24"/>
              </w:rPr>
              <w:t xml:space="preserve">根据技术部分得分高低排序，确定中标人；技术部分得分相同的，根据商务部分高低排序，确定中标人；如商务部分得分也相同，按照以下顺序确定中标人：</w:t>
            </w:r>
            <w:r/>
          </w:p>
          <w:p>
            <w:pPr>
              <w:ind w:firstLine="480"/>
              <w:jc w:val="left"/>
              <w:rPr>
                <w:rFonts w:ascii="仿宋" w:hAnsi="仿宋" w:eastAsia="仿宋" w:cs="仿宋"/>
                <w:color w:val="000000" w:themeColor="text1"/>
                <w:sz w:val="24"/>
              </w:rPr>
            </w:pPr>
            <w:r>
              <w:rPr>
                <w:rFonts w:hint="eastAsia" w:ascii="仿宋" w:hAnsi="仿宋" w:eastAsia="仿宋" w:cs="仿宋"/>
                <w:color w:val="000000" w:themeColor="text1"/>
                <w:sz w:val="24"/>
              </w:rPr>
              <w:t xml:space="preserve">1.投标文件中提供所投产品的节能产品认证证书（不包括强制采购要求（如有），要求见招标文件第六章《采购需求》，下同）的；或所投产品的环境标志产品认证证书的，被确定为中标人。</w:t>
            </w:r>
            <w:r/>
          </w:p>
          <w:p>
            <w:pPr>
              <w:ind w:firstLine="480"/>
              <w:jc w:val="left"/>
              <w:rPr>
                <w:rFonts w:ascii="仿宋" w:hAnsi="仿宋" w:eastAsia="仿宋" w:cs="仿宋"/>
                <w:color w:val="000000" w:themeColor="text1"/>
                <w:sz w:val="24"/>
              </w:rPr>
            </w:pPr>
            <w:r>
              <w:rPr>
                <w:rFonts w:hint="eastAsia" w:ascii="仿宋" w:hAnsi="仿宋" w:eastAsia="仿宋" w:cs="仿宋"/>
                <w:color w:val="000000" w:themeColor="text1"/>
                <w:sz w:val="24"/>
              </w:rPr>
              <w:t xml:space="preserve">2.都符合第1种情况的，投标文件中提供所投产品的节能产品认证证书和所投产品的环境标志产品认证证书的，被确定为中标人。</w:t>
            </w:r>
            <w:r/>
          </w:p>
          <w:p>
            <w:pPr>
              <w:ind w:firstLine="480"/>
              <w:jc w:val="left"/>
              <w:rPr>
                <w:rFonts w:ascii="仿宋" w:hAnsi="仿宋" w:eastAsia="仿宋" w:cs="仿宋"/>
                <w:sz w:val="24"/>
              </w:rPr>
            </w:pPr>
            <w:r>
              <w:rPr>
                <w:rFonts w:hint="eastAsia" w:ascii="仿宋" w:hAnsi="仿宋" w:eastAsia="仿宋" w:cs="仿宋"/>
                <w:color w:val="000000" w:themeColor="text1"/>
                <w:sz w:val="24"/>
              </w:rPr>
              <w:t xml:space="preserve">3.都符合第2种情况的，投标文件中提供所投产品的节能产品认</w:t>
            </w:r>
            <w:r>
              <w:rPr>
                <w:rFonts w:hint="eastAsia" w:ascii="仿宋" w:hAnsi="仿宋" w:eastAsia="仿宋" w:cs="仿宋"/>
                <w:color w:val="000000" w:themeColor="text1"/>
                <w:sz w:val="24"/>
              </w:rPr>
              <w:t xml:space="preserve">证证书和所投产品的环境标志产品认证证书份数最多的，被</w:t>
            </w:r>
            <w:r>
              <w:rPr>
                <w:rFonts w:hint="eastAsia" w:ascii="仿宋" w:hAnsi="仿宋" w:eastAsia="仿宋" w:cs="仿宋"/>
                <w:sz w:val="24"/>
              </w:rPr>
              <w:t xml:space="preserve">确定为中标人。</w:t>
            </w:r>
            <w:r/>
          </w:p>
          <w:p>
            <w:pPr>
              <w:ind w:firstLine="480"/>
              <w:jc w:val="left"/>
              <w:rPr>
                <w:rFonts w:ascii="仿宋" w:hAnsi="仿宋" w:eastAsia="仿宋" w:cs="仿宋"/>
                <w:sz w:val="24"/>
              </w:rPr>
            </w:pPr>
            <w:r>
              <w:rPr>
                <w:rFonts w:hint="eastAsia" w:ascii="仿宋" w:hAnsi="仿宋" w:eastAsia="仿宋" w:cs="仿宋"/>
                <w:sz w:val="24"/>
              </w:rPr>
              <w:t xml:space="preserve">4.第3种情况无法确定的，由采购人确定。</w:t>
            </w:r>
            <w:r/>
          </w:p>
          <w:p>
            <w:pPr>
              <w:jc w:val="left"/>
              <w:rPr>
                <w:rFonts w:ascii="仿宋" w:hAnsi="仿宋" w:eastAsia="仿宋"/>
                <w:sz w:val="24"/>
              </w:rPr>
            </w:pPr>
            <w:r>
              <w:rPr>
                <w:rFonts w:hint="eastAsia" w:ascii="仿宋" w:hAnsi="仿宋" w:eastAsia="仿宋" w:cs="仿宋"/>
                <w:sz w:val="24"/>
              </w:rPr>
              <w:t xml:space="preserve">说明：所投产品的环境标志产品认证证书、所投产品的节能产品认证证书要求：见招标文件第三章《投标资料表》中19.2。</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根据徐州市政府采购中心与</w:t>
            </w:r>
            <w:bookmarkStart w:id="46" w:name="OLE_LINK286"/>
            <w:r/>
            <w:bookmarkStart w:id="47" w:name="OLE_LINK285"/>
            <w:r>
              <w:rPr>
                <w:rFonts w:hint="eastAsia" w:ascii="仿宋" w:hAnsi="仿宋" w:eastAsia="仿宋" w:cs="仿宋"/>
                <w:sz w:val="24"/>
              </w:rPr>
              <w:t xml:space="preserve">徐州经济技术开发区党政办公室</w:t>
            </w:r>
            <w:bookmarkEnd w:id="46"/>
            <w:r/>
            <w:bookmarkEnd w:id="47"/>
            <w:r>
              <w:rPr>
                <w:rFonts w:hint="eastAsia" w:ascii="仿宋" w:hAnsi="仿宋" w:eastAsia="仿宋" w:cs="宋体"/>
                <w:sz w:val="24"/>
              </w:rPr>
              <w:t xml:space="preserve">（采购人）签订的本采购项目的《委托代理协议》，供应商对政府采购活动事项有疑问的，向</w:t>
            </w:r>
            <w:r>
              <w:rPr>
                <w:rFonts w:hint="eastAsia" w:ascii="仿宋" w:hAnsi="仿宋" w:eastAsia="仿宋" w:cs="仿宋"/>
                <w:sz w:val="24"/>
              </w:rPr>
              <w:t xml:space="preserve">徐州经济技术开发区党政办公室</w:t>
            </w:r>
            <w:r>
              <w:rPr>
                <w:rFonts w:hint="eastAsia" w:ascii="仿宋" w:hAnsi="仿宋" w:eastAsia="仿宋" w:cs="宋体"/>
                <w:sz w:val="24"/>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仿宋"/>
                <w:sz w:val="24"/>
              </w:rPr>
              <w:t xml:space="preserve">徐州经济技术开发区党政办公室</w:t>
            </w:r>
            <w:r>
              <w:rPr>
                <w:rFonts w:hint="eastAsia" w:ascii="仿宋" w:hAnsi="仿宋" w:eastAsia="仿宋" w:cs="宋体"/>
                <w:sz w:val="24"/>
              </w:rPr>
              <w:t xml:space="preserve">（采购人）提出质疑。询问和质疑由</w:t>
            </w:r>
            <w:r>
              <w:rPr>
                <w:rFonts w:hint="eastAsia" w:ascii="仿宋" w:hAnsi="仿宋" w:eastAsia="仿宋" w:cs="仿宋"/>
                <w:sz w:val="24"/>
              </w:rPr>
              <w:t xml:space="preserve">徐州经济技术开发区党政办公室</w:t>
            </w:r>
            <w:r>
              <w:rPr>
                <w:rFonts w:hint="eastAsia" w:ascii="仿宋" w:hAnsi="仿宋" w:eastAsia="仿宋" w:cs="宋体"/>
                <w:sz w:val="24"/>
              </w:rPr>
              <w:t xml:space="preserve">（采购人）依法处理。</w:t>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jc w:val="left"/>
              <w:rPr>
                <w:rFonts w:ascii="仿宋" w:hAnsi="仿宋" w:eastAsia="仿宋" w:cs="宋体"/>
                <w:sz w:val="24"/>
              </w:rPr>
            </w:pPr>
            <w:r/>
            <w:bookmarkStart w:id="48" w:name="OLE_LINK16"/>
            <w:r/>
            <w:bookmarkStart w:id="49" w:name="OLE_LINK11"/>
            <w:r/>
            <w:bookmarkStart w:id="50" w:name="OLE_LINK9"/>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ascii="仿宋" w:hAnsi="仿宋" w:eastAsia="仿宋" w:cs="宋体"/>
                <w:sz w:val="24"/>
              </w:rPr>
            </w:pPr>
            <w:r>
              <w:rPr>
                <w:rFonts w:hint="eastAsia" w:ascii="仿宋" w:hAnsi="仿宋" w:eastAsia="仿宋" w:cs="宋体"/>
                <w:sz w:val="24"/>
              </w:rPr>
              <w:t xml:space="preserve">联系部门：</w:t>
            </w:r>
            <w:r>
              <w:rPr>
                <w:rFonts w:hint="eastAsia" w:ascii="仿宋" w:hAnsi="仿宋" w:eastAsia="仿宋" w:cs="仿宋"/>
                <w:sz w:val="24"/>
              </w:rPr>
              <w:t xml:space="preserve">徐州经济技术开发区党政办公室</w:t>
            </w:r>
            <w:r/>
          </w:p>
          <w:p>
            <w:pPr>
              <w:jc w:val="left"/>
              <w:rPr>
                <w:rFonts w:ascii="仿宋" w:hAnsi="仿宋" w:eastAsia="仿宋" w:cs="宋体"/>
                <w:sz w:val="24"/>
              </w:rPr>
            </w:pPr>
            <w:r>
              <w:rPr>
                <w:rFonts w:hint="eastAsia" w:ascii="仿宋" w:hAnsi="仿宋" w:eastAsia="仿宋" w:cs="宋体"/>
                <w:sz w:val="24"/>
              </w:rPr>
              <w:t xml:space="preserve">联系电话：</w:t>
            </w:r>
            <w:r>
              <w:rPr>
                <w:rFonts w:hint="eastAsia" w:ascii="仿宋" w:hAnsi="仿宋" w:eastAsia="仿宋"/>
                <w:sz w:val="24"/>
              </w:rPr>
              <w:t xml:space="preserve">0516-</w:t>
            </w:r>
            <w:r>
              <w:rPr>
                <w:rFonts w:hint="eastAsia" w:ascii="仿宋" w:hAnsi="仿宋" w:eastAsia="仿宋" w:cs="宋体"/>
                <w:sz w:val="24"/>
              </w:rPr>
              <w:t xml:space="preserve">87936376</w:t>
            </w:r>
            <w:r/>
          </w:p>
          <w:p>
            <w:pPr>
              <w:jc w:val="left"/>
              <w:rPr>
                <w:rFonts w:ascii="仿宋" w:hAnsi="仿宋" w:eastAsia="仿宋" w:cs="宋体"/>
                <w:sz w:val="24"/>
              </w:rPr>
            </w:pPr>
            <w:r>
              <w:rPr>
                <w:rFonts w:hint="eastAsia" w:ascii="仿宋" w:hAnsi="仿宋" w:eastAsia="仿宋" w:cs="宋体"/>
                <w:sz w:val="24"/>
              </w:rPr>
              <w:t xml:space="preserve">通讯地址：</w:t>
            </w:r>
            <w:bookmarkEnd w:id="48"/>
            <w:r/>
            <w:bookmarkEnd w:id="49"/>
            <w:r/>
            <w:bookmarkEnd w:id="50"/>
            <w:r>
              <w:rPr>
                <w:rFonts w:hint="eastAsia" w:ascii="仿宋" w:hAnsi="仿宋" w:eastAsia="仿宋" w:cs="宋体"/>
                <w:sz w:val="24"/>
              </w:rPr>
              <w:t xml:space="preserve">徐州市城东大道9号科技大厦202室</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4"/>
        </w:numPr>
        <w:jc w:val="center"/>
        <w:widowControl/>
        <w:tabs>
          <w:tab w:val="left" w:pos="1080" w:leader="none"/>
        </w:tabs>
        <w:rPr>
          <w:rFonts w:ascii="仿宋" w:hAnsi="仿宋" w:eastAsia="仿宋"/>
          <w:sz w:val="30"/>
          <w:szCs w:val="30"/>
        </w:rPr>
      </w:pPr>
      <w:r>
        <w:rPr>
          <w:rFonts w:hint="eastAsia" w:ascii="仿宋" w:hAnsi="仿宋" w:eastAsia="仿宋"/>
          <w:sz w:val="30"/>
          <w:szCs w:val="30"/>
        </w:rPr>
        <w:t xml:space="preserve">评标标准</w:t>
      </w:r>
      <w:r/>
    </w:p>
    <w:tbl>
      <w:tblPr>
        <w:tblW w:w="9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1085"/>
        <w:gridCol w:w="1133"/>
        <w:gridCol w:w="931"/>
        <w:gridCol w:w="5655"/>
        <w:gridCol w:w="816"/>
      </w:tblGrid>
      <w:tr>
        <w:trPr>
          <w:jc w:val="center"/>
          <w:trHeight w:val="946" w:hRule="exact"/>
        </w:trPr>
        <w:tc>
          <w:tcPr>
            <w:gridSpan w:val="2"/>
            <w:shd w:val="clear" w:color="auto" w:fill="ffffff"/>
            <w:tcW w:w="221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评审因素</w:t>
            </w:r>
            <w:r/>
          </w:p>
        </w:tc>
        <w:tc>
          <w:tcPr>
            <w:gridSpan w:val="2"/>
            <w:shd w:val="clear" w:color="auto" w:fill="ffffff"/>
            <w:tcW w:w="6586"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评审因素细化和量化</w:t>
            </w:r>
            <w:r/>
          </w:p>
        </w:tc>
        <w:tc>
          <w:tcPr>
            <w:shd w:val="clear" w:color="auto" w:fill="ffffff"/>
            <w:tcW w:w="816"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是否客观分</w:t>
            </w:r>
            <w:r/>
          </w:p>
        </w:tc>
      </w:tr>
      <w:tr>
        <w:trPr>
          <w:jc w:val="center"/>
          <w:trHeight w:val="567"/>
        </w:trPr>
        <w:tc>
          <w:tcPr>
            <w:shd w:val="clear" w:color="auto" w:fill="ffffff"/>
            <w:tcW w:w="1085"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价格部分（10分）</w:t>
            </w:r>
            <w:r/>
          </w:p>
        </w:tc>
        <w:tc>
          <w:tcPr>
            <w:shd w:val="clear" w:color="auto" w:fill="ffffff"/>
            <w:tcW w:w="1133"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价格</w:t>
            </w:r>
            <w:r/>
          </w:p>
          <w:p>
            <w:pPr>
              <w:jc w:val="left"/>
              <w:rPr>
                <w:rFonts w:ascii="仿宋" w:hAnsi="仿宋" w:eastAsia="仿宋" w:cs="仿宋"/>
                <w:sz w:val="24"/>
              </w:rPr>
            </w:pPr>
            <w:r>
              <w:rPr>
                <w:rFonts w:hint="eastAsia" w:ascii="仿宋" w:hAnsi="仿宋" w:eastAsia="仿宋" w:cs="仿宋"/>
                <w:sz w:val="24"/>
              </w:rPr>
              <w:t xml:space="preserve">（10分）</w:t>
            </w:r>
            <w:r/>
          </w:p>
        </w:tc>
        <w:tc>
          <w:tcPr>
            <w:gridSpan w:val="2"/>
            <w:shd w:val="clear" w:color="auto" w:fill="ffffff"/>
            <w:tcW w:w="6586" w:type="dxa"/>
            <w:vAlign w:val="center"/>
            <w:textDirection w:val="lrTb"/>
            <w:noWrap w:val="false"/>
          </w:tcPr>
          <w:p>
            <w:pPr>
              <w:jc w:val="left"/>
              <w:rPr>
                <w:rFonts w:ascii="仿宋" w:hAnsi="仿宋" w:eastAsia="仿宋" w:cs="仿宋"/>
                <w:sz w:val="24"/>
              </w:rPr>
            </w:pPr>
            <w:r/>
            <w:bookmarkStart w:id="51" w:name="OLE_LINK209"/>
            <w:r/>
            <w:bookmarkStart w:id="52" w:name="OLE_LINK212"/>
            <w:r>
              <w:rPr>
                <w:rFonts w:hint="eastAsia" w:ascii="仿宋" w:hAnsi="仿宋" w:eastAsia="仿宋" w:cs="仿宋"/>
                <w:sz w:val="24"/>
              </w:rPr>
              <w:t xml:space="preserve">各投标人价格得分=投标人的最低评审价格÷各投标人评审价格</w:t>
            </w:r>
            <w:r>
              <w:rPr>
                <w:rFonts w:hint="eastAsia" w:ascii="仿宋" w:hAnsi="仿宋" w:eastAsia="仿宋" w:cs="仿宋"/>
                <w:sz w:val="24"/>
              </w:rPr>
              <w:t xml:space="preserve">*</w:t>
            </w:r>
            <w:r>
              <w:rPr>
                <w:rFonts w:hint="eastAsia" w:ascii="仿宋" w:hAnsi="仿宋" w:eastAsia="仿宋" w:cs="仿宋"/>
                <w:sz w:val="24"/>
              </w:rPr>
              <w:t xml:space="preserve">10</w:t>
            </w:r>
            <w:r/>
          </w:p>
          <w:p>
            <w:pPr>
              <w:jc w:val="left"/>
              <w:rPr>
                <w:rFonts w:ascii="仿宋" w:hAnsi="仿宋" w:eastAsia="仿宋" w:cs="仿宋"/>
                <w:sz w:val="24"/>
              </w:rPr>
            </w:pPr>
            <w:r>
              <w:rPr>
                <w:rFonts w:hint="eastAsia" w:ascii="仿宋" w:hAnsi="仿宋" w:eastAsia="仿宋" w:cs="仿宋"/>
                <w:sz w:val="24"/>
              </w:rPr>
              <w:t xml:space="preserve">服务全部由符合政策要求的小微企业、监狱企业、享受政府采购支持政策的残疾人福利性单位承接的（以投标人提供的《中小企业声明函》、监狱企业证明文件和《残疾人福利性 单位声明函》等相关材料为准），给予10%的价格扣除，用扣除后的价格参加评审。该投标人的评审价格=《开标一览表》中“总价”*（100%-10%）</w:t>
            </w:r>
            <w:bookmarkEnd w:id="51"/>
            <w:r/>
            <w:bookmarkEnd w:id="52"/>
            <w:r/>
            <w:r/>
          </w:p>
        </w:tc>
        <w:tc>
          <w:tcPr>
            <w:shd w:val="clear" w:color="auto" w:fill="ffffff"/>
            <w:tcW w:w="816"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是</w:t>
            </w:r>
            <w:r/>
          </w:p>
        </w:tc>
      </w:tr>
      <w:tr>
        <w:trPr>
          <w:jc w:val="center"/>
          <w:trHeight w:val="567"/>
        </w:trPr>
        <w:tc>
          <w:tcPr>
            <w:shd w:val="clear" w:color="auto" w:fill="ffffff"/>
            <w:tcW w:w="1085" w:type="dxa"/>
            <w:vAlign w:val="center"/>
            <w:vMerge w:val="restart"/>
            <w:textDirection w:val="lrTb"/>
            <w:noWrap w:val="false"/>
          </w:tcPr>
          <w:p>
            <w:pPr>
              <w:jc w:val="left"/>
              <w:rPr>
                <w:rFonts w:ascii="仿宋" w:hAnsi="仿宋" w:eastAsia="仿宋" w:cs="仿宋"/>
                <w:sz w:val="24"/>
              </w:rPr>
            </w:pPr>
            <w:r>
              <w:rPr>
                <w:rFonts w:hint="eastAsia" w:ascii="仿宋" w:hAnsi="仿宋" w:eastAsia="仿宋" w:cs="仿宋"/>
                <w:sz w:val="24"/>
              </w:rPr>
              <w:t xml:space="preserve">技术部分（84分）</w:t>
            </w:r>
            <w:r/>
          </w:p>
        </w:tc>
        <w:tc>
          <w:tcPr>
            <w:shd w:val="clear" w:color="auto" w:fill="ffffff"/>
            <w:tcW w:w="1133" w:type="dxa"/>
            <w:vAlign w:val="center"/>
            <w:textDirection w:val="lrTb"/>
            <w:noWrap w:val="false"/>
          </w:tcPr>
          <w:p>
            <w:pPr>
              <w:jc w:val="left"/>
              <w:rPr>
                <w:rFonts w:ascii="仿宋" w:hAnsi="仿宋" w:eastAsia="仿宋" w:cs="仿宋"/>
                <w:sz w:val="24"/>
              </w:rPr>
            </w:pPr>
            <w:r/>
            <w:bookmarkStart w:id="53" w:name="OLE_LINK213"/>
            <w:r/>
            <w:bookmarkStart w:id="54" w:name="OLE_LINK214"/>
            <w:r>
              <w:rPr>
                <w:rFonts w:hint="eastAsia" w:ascii="仿宋" w:hAnsi="仿宋" w:eastAsia="仿宋" w:cs="仿宋"/>
                <w:sz w:val="24"/>
              </w:rPr>
              <w:t xml:space="preserve">项目需求理解与分析</w:t>
            </w:r>
            <w:r/>
          </w:p>
          <w:p>
            <w:pPr>
              <w:jc w:val="left"/>
              <w:rPr>
                <w:rFonts w:ascii="仿宋" w:hAnsi="仿宋" w:eastAsia="仿宋" w:cs="仿宋"/>
                <w:sz w:val="24"/>
              </w:rPr>
            </w:pPr>
            <w:r>
              <w:rPr>
                <w:rFonts w:hint="eastAsia" w:ascii="仿宋" w:hAnsi="仿宋" w:eastAsia="仿宋" w:cs="仿宋"/>
                <w:sz w:val="24"/>
              </w:rPr>
              <w:t xml:space="preserve">（10分）</w:t>
            </w:r>
            <w:bookmarkEnd w:id="53"/>
            <w:r/>
            <w:bookmarkEnd w:id="54"/>
            <w:r/>
            <w:r/>
          </w:p>
        </w:tc>
        <w:tc>
          <w:tcPr>
            <w:gridSpan w:val="2"/>
            <w:shd w:val="clear" w:color="auto" w:fill="ffffff"/>
            <w:tcW w:w="6586" w:type="dxa"/>
            <w:vAlign w:val="center"/>
            <w:textDirection w:val="lrTb"/>
            <w:noWrap w:val="false"/>
          </w:tcPr>
          <w:p>
            <w:pPr>
              <w:jc w:val="left"/>
              <w:rPr>
                <w:rFonts w:ascii="仿宋" w:hAnsi="仿宋" w:eastAsia="仿宋" w:cs="仿宋"/>
                <w:sz w:val="24"/>
              </w:rPr>
            </w:pPr>
            <w:r/>
            <w:bookmarkStart w:id="55" w:name="OLE_LINK215"/>
            <w:r/>
            <w:bookmarkStart w:id="56" w:name="OLE_LINK216"/>
            <w:r>
              <w:rPr>
                <w:rFonts w:hint="eastAsia" w:ascii="仿宋" w:hAnsi="仿宋" w:eastAsia="仿宋" w:cs="仿宋"/>
                <w:sz w:val="24"/>
              </w:rPr>
              <w:t xml:space="preserve">根据招标文件第六章《采购需求》中“第二部分：项目概况”进行完善，且表述具体内容包括项目建设背景</w:t>
            </w:r>
            <w:r>
              <w:rPr>
                <w:rFonts w:hint="eastAsia" w:ascii="仿宋" w:hAnsi="仿宋" w:eastAsia="仿宋" w:cs="仿宋"/>
                <w:sz w:val="24"/>
              </w:rPr>
              <w:t xml:space="preserve">、</w:t>
            </w:r>
            <w:r>
              <w:rPr>
                <w:rFonts w:hint="eastAsia" w:ascii="仿宋" w:hAnsi="仿宋" w:eastAsia="仿宋" w:cs="仿宋"/>
                <w:sz w:val="24"/>
              </w:rPr>
              <w:t xml:space="preserve">项目建设总体方案</w:t>
            </w:r>
            <w:r>
              <w:rPr>
                <w:rFonts w:hint="eastAsia" w:ascii="仿宋" w:hAnsi="仿宋" w:eastAsia="仿宋" w:cs="仿宋"/>
                <w:sz w:val="24"/>
              </w:rPr>
              <w:t xml:space="preserve">（</w:t>
            </w:r>
            <w:r>
              <w:rPr>
                <w:rFonts w:hint="eastAsia" w:ascii="仿宋" w:hAnsi="仿宋" w:eastAsia="仿宋" w:cs="仿宋"/>
                <w:sz w:val="24"/>
              </w:rPr>
              <w:t xml:space="preserve">共2项内容）。</w:t>
            </w:r>
            <w:r/>
          </w:p>
          <w:p>
            <w:pPr>
              <w:jc w:val="left"/>
              <w:rPr>
                <w:rFonts w:ascii="仿宋" w:hAnsi="仿宋" w:eastAsia="仿宋" w:cs="仿宋"/>
                <w:sz w:val="24"/>
              </w:rPr>
            </w:pPr>
            <w:r>
              <w:rPr>
                <w:rFonts w:hint="eastAsia" w:ascii="仿宋" w:hAnsi="仿宋" w:eastAsia="仿宋" w:cs="仿宋"/>
                <w:sz w:val="24"/>
              </w:rPr>
              <w:t xml:space="preserve">上述内容齐全，符合实际切实可行且无缺陷（缺陷是指：部分内容与项目无关、逻辑错误、科学原理错误、表述错误、不符合本项目涉及的相关规范或标准要求的任意一种情形）</w:t>
            </w:r>
            <w:r>
              <w:rPr>
                <w:rFonts w:hint="eastAsia" w:ascii="仿宋" w:hAnsi="仿宋" w:eastAsia="仿宋" w:cs="仿宋"/>
                <w:sz w:val="24"/>
              </w:rPr>
              <w:t xml:space="preserve">得10分</w:t>
            </w:r>
            <w:r>
              <w:rPr>
                <w:rFonts w:hint="eastAsia" w:ascii="仿宋" w:hAnsi="仿宋" w:eastAsia="仿宋" w:cs="仿宋"/>
                <w:sz w:val="24"/>
              </w:rPr>
              <w:t xml:space="preserve">，每缺少一项内容扣5分，扣完为止；单项内容每存在一处缺陷扣0.5分，单项内容分（5分）扣完为止。</w:t>
            </w:r>
            <w:r/>
          </w:p>
          <w:p>
            <w:pPr>
              <w:jc w:val="left"/>
              <w:rPr>
                <w:rFonts w:ascii="仿宋" w:hAnsi="仿宋" w:eastAsia="仿宋" w:cs="仿宋"/>
                <w:sz w:val="24"/>
              </w:rPr>
            </w:pPr>
            <w:r>
              <w:rPr>
                <w:rFonts w:hint="eastAsia" w:ascii="仿宋" w:hAnsi="仿宋" w:eastAsia="仿宋" w:cs="仿宋"/>
                <w:sz w:val="24"/>
              </w:rPr>
              <w:t xml:space="preserve">未提供的得0分，本项最高得10分，最低得0分。</w:t>
            </w:r>
            <w:bookmarkEnd w:id="55"/>
            <w:r/>
            <w:bookmarkEnd w:id="56"/>
            <w:r/>
            <w:r/>
          </w:p>
        </w:tc>
        <w:tc>
          <w:tcPr>
            <w:shd w:val="clear" w:color="auto" w:fill="ffffff"/>
            <w:tcW w:w="816"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否</w:t>
            </w:r>
            <w:r/>
          </w:p>
        </w:tc>
      </w:tr>
      <w:tr>
        <w:trPr>
          <w:jc w:val="center"/>
          <w:trHeight w:val="567"/>
        </w:trPr>
        <w:tc>
          <w:tcPr>
            <w:shd w:val="clear" w:color="auto" w:fill="ffffff"/>
            <w:tcW w:w="1085" w:type="dxa"/>
            <w:vMerge w:val="continue"/>
            <w:textDirection w:val="lrTb"/>
            <w:noWrap w:val="false"/>
          </w:tcPr>
          <w:p>
            <w:pPr>
              <w:jc w:val="left"/>
              <w:rPr>
                <w:rFonts w:ascii="仿宋" w:hAnsi="仿宋" w:eastAsia="仿宋" w:cs="仿宋"/>
                <w:sz w:val="24"/>
              </w:rPr>
            </w:pPr>
            <w:r>
              <w:rPr>
                <w:rFonts w:ascii="仿宋" w:hAnsi="仿宋" w:eastAsia="仿宋" w:cs="仿宋"/>
                <w:sz w:val="24"/>
              </w:rPr>
            </w:r>
            <w:r/>
          </w:p>
        </w:tc>
        <w:tc>
          <w:tcPr>
            <w:shd w:val="clear" w:color="auto" w:fill="ffffff"/>
            <w:tcW w:w="1133" w:type="dxa"/>
            <w:vAlign w:val="center"/>
            <w:vMerge w:val="restart"/>
            <w:textDirection w:val="lrTb"/>
            <w:noWrap w:val="false"/>
          </w:tcPr>
          <w:p>
            <w:pPr>
              <w:jc w:val="left"/>
              <w:rPr>
                <w:rFonts w:ascii="仿宋" w:hAnsi="仿宋" w:eastAsia="仿宋" w:cs="仿宋"/>
                <w:sz w:val="24"/>
              </w:rPr>
            </w:pPr>
            <w:r/>
            <w:bookmarkStart w:id="57" w:name="OLE_LINK217"/>
            <w:r/>
            <w:bookmarkStart w:id="58" w:name="OLE_LINK218"/>
            <w:r>
              <w:rPr>
                <w:rFonts w:hint="eastAsia" w:ascii="仿宋" w:hAnsi="仿宋" w:eastAsia="仿宋" w:cs="仿宋"/>
                <w:sz w:val="24"/>
              </w:rPr>
              <w:t xml:space="preserve">固定网络新平面建设方案（32分）</w:t>
            </w:r>
            <w:bookmarkEnd w:id="57"/>
            <w:r/>
            <w:bookmarkEnd w:id="58"/>
            <w:r/>
            <w:r/>
          </w:p>
        </w:tc>
        <w:tc>
          <w:tcPr>
            <w:gridSpan w:val="2"/>
            <w:shd w:val="clear" w:color="auto" w:fill="ffffff"/>
            <w:tcW w:w="6586" w:type="dxa"/>
            <w:vAlign w:val="center"/>
            <w:textDirection w:val="lrTb"/>
            <w:noWrap w:val="false"/>
          </w:tcPr>
          <w:p>
            <w:pPr>
              <w:jc w:val="left"/>
              <w:rPr>
                <w:rFonts w:ascii="仿宋" w:hAnsi="仿宋" w:eastAsia="仿宋" w:cs="仿宋"/>
                <w:sz w:val="24"/>
              </w:rPr>
            </w:pPr>
            <w:r/>
            <w:bookmarkStart w:id="59" w:name="OLE_LINK221"/>
            <w:r/>
            <w:bookmarkStart w:id="60" w:name="OLE_LINK222"/>
            <w:r>
              <w:rPr>
                <w:rFonts w:hint="eastAsia" w:ascii="仿宋" w:hAnsi="仿宋" w:eastAsia="仿宋" w:cs="仿宋"/>
                <w:sz w:val="24"/>
              </w:rPr>
              <w:t xml:space="preserve">根据招标文件第六章《采购需求》中“第</w:t>
            </w:r>
            <w:r>
              <w:rPr>
                <w:rFonts w:hint="eastAsia" w:ascii="仿宋" w:hAnsi="仿宋" w:eastAsia="仿宋" w:cs="仿宋"/>
                <w:sz w:val="24"/>
              </w:rPr>
              <w:t xml:space="preserve">三</w:t>
            </w:r>
            <w:r>
              <w:rPr>
                <w:rFonts w:hint="eastAsia" w:ascii="仿宋" w:hAnsi="仿宋" w:eastAsia="仿宋" w:cs="仿宋"/>
                <w:sz w:val="24"/>
              </w:rPr>
              <w:t xml:space="preserve">部分：具体采购需求”中“一、服务要求及相关设备清单”中 “（一）固定网络新平面建设服务要求及相关清单”中“1.区级城域网络建设要求”（共4项内容）进行完善，且表述具体方案措施。上述内容齐全，符合实际切实可行且无缺陷（缺陷是指：部分内容与项目无关、逻辑错误、科学原理错误、表述错误、不符合本项目涉及的相关规范或标准要求的任意一种情形）得32分。</w:t>
            </w:r>
            <w:r/>
          </w:p>
          <w:p>
            <w:pPr>
              <w:jc w:val="left"/>
              <w:rPr>
                <w:rFonts w:ascii="仿宋" w:hAnsi="仿宋" w:eastAsia="仿宋" w:cs="仿宋"/>
                <w:sz w:val="24"/>
              </w:rPr>
            </w:pPr>
            <w:r>
              <w:rPr>
                <w:rFonts w:hint="eastAsia" w:ascii="仿宋" w:hAnsi="仿宋" w:eastAsia="仿宋" w:cs="仿宋"/>
                <w:sz w:val="24"/>
              </w:rPr>
              <w:t xml:space="preserve">单项内容具体评分细则如下：</w:t>
            </w:r>
            <w:r/>
          </w:p>
          <w:p>
            <w:pPr>
              <w:jc w:val="left"/>
              <w:rPr>
                <w:rFonts w:ascii="仿宋" w:hAnsi="仿宋" w:eastAsia="仿宋" w:cs="仿宋"/>
                <w:sz w:val="24"/>
              </w:rPr>
            </w:pPr>
            <w:r>
              <w:rPr>
                <w:rFonts w:hint="eastAsia" w:ascii="仿宋" w:hAnsi="仿宋" w:eastAsia="仿宋" w:cs="仿宋"/>
                <w:sz w:val="24"/>
              </w:rPr>
              <w:t xml:space="preserve">（1）缺少区级城域接入网建设方案，扣10分，单项内容每存在一处缺陷扣1分，单项内容分（10分）扣完为止。</w:t>
            </w:r>
            <w:r/>
          </w:p>
          <w:p>
            <w:pPr>
              <w:jc w:val="left"/>
              <w:rPr>
                <w:rFonts w:ascii="仿宋" w:hAnsi="仿宋" w:eastAsia="仿宋" w:cs="仿宋"/>
                <w:sz w:val="24"/>
              </w:rPr>
            </w:pPr>
            <w:r>
              <w:rPr>
                <w:rFonts w:hint="eastAsia" w:ascii="仿宋" w:hAnsi="仿宋" w:eastAsia="仿宋" w:cs="仿宋"/>
                <w:sz w:val="24"/>
              </w:rPr>
              <w:t xml:space="preserve">（2）缺少新旧电子政务外网割接方案，扣7分，单项内容每存在一处缺陷扣1分，单项内容分（7分）扣完为止。</w:t>
            </w:r>
            <w:r/>
          </w:p>
          <w:p>
            <w:pPr>
              <w:jc w:val="left"/>
              <w:rPr>
                <w:rFonts w:ascii="仿宋" w:hAnsi="仿宋" w:eastAsia="仿宋" w:cs="仿宋"/>
                <w:sz w:val="24"/>
              </w:rPr>
            </w:pPr>
            <w:r>
              <w:rPr>
                <w:rFonts w:hint="eastAsia" w:ascii="仿宋" w:hAnsi="仿宋" w:eastAsia="仿宋" w:cs="仿宋"/>
                <w:sz w:val="24"/>
              </w:rPr>
              <w:t xml:space="preserve">（3）缺少项目IPv6部署方案，扣7分，单项内容每存在一处缺陷扣1分，单项内容分（7分）扣完为止。</w:t>
            </w:r>
            <w:r/>
          </w:p>
          <w:p>
            <w:pPr>
              <w:jc w:val="left"/>
              <w:rPr>
                <w:rFonts w:ascii="仿宋" w:hAnsi="仿宋" w:eastAsia="仿宋" w:cs="仿宋"/>
                <w:sz w:val="24"/>
              </w:rPr>
            </w:pPr>
            <w:r>
              <w:rPr>
                <w:rFonts w:hint="eastAsia" w:ascii="仿宋" w:hAnsi="仿宋" w:eastAsia="仿宋" w:cs="仿宋"/>
                <w:sz w:val="24"/>
              </w:rPr>
              <w:t xml:space="preserve">（4）缺少项目建设实施方案，扣8分，单项内容每存在一处缺陷扣1分，单项内容分（8分）扣完为止。</w:t>
            </w:r>
            <w:r/>
          </w:p>
          <w:p>
            <w:pPr>
              <w:jc w:val="left"/>
              <w:rPr>
                <w:rFonts w:ascii="仿宋" w:hAnsi="仿宋" w:eastAsia="仿宋" w:cs="仿宋"/>
                <w:sz w:val="24"/>
              </w:rPr>
            </w:pPr>
            <w:r>
              <w:rPr>
                <w:rFonts w:hint="eastAsia" w:ascii="仿宋" w:hAnsi="仿宋" w:eastAsia="仿宋" w:cs="仿宋"/>
                <w:sz w:val="24"/>
              </w:rPr>
              <w:t xml:space="preserve">未提供的得0分，本项最高得32分，最低得0分。</w:t>
            </w:r>
            <w:bookmarkEnd w:id="59"/>
            <w:r/>
            <w:bookmarkEnd w:id="60"/>
            <w:r/>
            <w:r/>
          </w:p>
        </w:tc>
        <w:tc>
          <w:tcPr>
            <w:shd w:val="clear" w:color="auto" w:fill="ffffff"/>
            <w:tcW w:w="816"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否</w:t>
            </w:r>
            <w:r/>
          </w:p>
        </w:tc>
      </w:tr>
      <w:tr>
        <w:trPr>
          <w:jc w:val="center"/>
          <w:trHeight w:val="567"/>
        </w:trPr>
        <w:tc>
          <w:tcPr>
            <w:shd w:val="clear" w:color="auto" w:fill="ffffff"/>
            <w:tcW w:w="1085" w:type="dxa"/>
            <w:vMerge w:val="continue"/>
            <w:textDirection w:val="lrTb"/>
            <w:noWrap w:val="false"/>
          </w:tcPr>
          <w:p>
            <w:pPr>
              <w:jc w:val="left"/>
              <w:rPr>
                <w:rFonts w:ascii="仿宋" w:hAnsi="仿宋" w:eastAsia="仿宋" w:cs="仿宋"/>
                <w:sz w:val="24"/>
              </w:rPr>
            </w:pPr>
            <w:r>
              <w:rPr>
                <w:rFonts w:ascii="仿宋" w:hAnsi="仿宋" w:eastAsia="仿宋" w:cs="仿宋"/>
                <w:sz w:val="24"/>
              </w:rPr>
            </w:r>
            <w:r/>
          </w:p>
        </w:tc>
        <w:tc>
          <w:tcPr>
            <w:shd w:val="clear" w:color="auto" w:fill="ffffff"/>
            <w:tcW w:w="1133" w:type="dxa"/>
            <w:vAlign w:val="center"/>
            <w:vMerge w:val="restart"/>
            <w:textDirection w:val="lrTb"/>
            <w:noWrap w:val="false"/>
          </w:tcPr>
          <w:p>
            <w:pPr>
              <w:jc w:val="left"/>
              <w:rPr>
                <w:rFonts w:ascii="仿宋" w:hAnsi="仿宋" w:eastAsia="仿宋" w:cs="仿宋"/>
                <w:sz w:val="24"/>
              </w:rPr>
            </w:pPr>
            <w:r>
              <w:rPr>
                <w:rFonts w:hint="eastAsia" w:ascii="仿宋" w:hAnsi="仿宋" w:eastAsia="仿宋" w:cs="仿宋"/>
                <w:sz w:val="24"/>
              </w:rPr>
              <w:t xml:space="preserve">组织机构设置和人员配备方案</w:t>
            </w:r>
            <w:r/>
          </w:p>
          <w:p>
            <w:pPr>
              <w:jc w:val="left"/>
              <w:rPr>
                <w:rFonts w:ascii="仿宋" w:hAnsi="仿宋" w:eastAsia="仿宋" w:cs="仿宋"/>
                <w:sz w:val="24"/>
              </w:rPr>
            </w:pPr>
            <w:r>
              <w:rPr>
                <w:rFonts w:hint="eastAsia" w:ascii="仿宋" w:hAnsi="仿宋" w:eastAsia="仿宋" w:cs="仿宋"/>
                <w:sz w:val="24"/>
              </w:rPr>
              <w:t xml:space="preserve">（18分）</w:t>
            </w:r>
            <w:r/>
          </w:p>
        </w:tc>
        <w:tc>
          <w:tcPr>
            <w:shd w:val="clear" w:color="auto" w:fill="ffffff"/>
            <w:tcW w:w="931" w:type="dxa"/>
            <w:vAlign w:val="center"/>
            <w:textDirection w:val="lrTb"/>
            <w:noWrap w:val="false"/>
          </w:tcPr>
          <w:p>
            <w:pPr>
              <w:jc w:val="left"/>
              <w:rPr>
                <w:rFonts w:ascii="仿宋" w:hAnsi="仿宋" w:eastAsia="仿宋" w:cs="仿宋"/>
                <w:sz w:val="24"/>
              </w:rPr>
            </w:pPr>
            <w:r/>
            <w:bookmarkStart w:id="61" w:name="OLE_LINK223"/>
            <w:r/>
            <w:bookmarkStart w:id="62" w:name="OLE_LINK224"/>
            <w:r>
              <w:rPr>
                <w:rFonts w:hint="eastAsia" w:ascii="仿宋" w:hAnsi="仿宋" w:eastAsia="仿宋" w:cs="仿宋"/>
                <w:sz w:val="24"/>
              </w:rPr>
              <w:t xml:space="preserve">组织机构设置方案</w:t>
            </w:r>
            <w:r/>
          </w:p>
          <w:p>
            <w:pPr>
              <w:jc w:val="left"/>
              <w:rPr>
                <w:rFonts w:ascii="仿宋" w:hAnsi="仿宋" w:eastAsia="仿宋" w:cs="仿宋"/>
                <w:sz w:val="24"/>
              </w:rPr>
            </w:pPr>
            <w:r>
              <w:rPr>
                <w:rFonts w:hint="eastAsia" w:ascii="仿宋" w:hAnsi="仿宋" w:eastAsia="仿宋" w:cs="仿宋"/>
                <w:sz w:val="24"/>
              </w:rPr>
              <w:t xml:space="preserve">（6分）</w:t>
            </w:r>
            <w:bookmarkEnd w:id="61"/>
            <w:r/>
            <w:bookmarkEnd w:id="62"/>
            <w:r/>
            <w:r/>
          </w:p>
        </w:tc>
        <w:tc>
          <w:tcPr>
            <w:shd w:val="clear" w:color="auto" w:fill="ffffff"/>
            <w:tcW w:w="5655" w:type="dxa"/>
            <w:vAlign w:val="center"/>
            <w:textDirection w:val="lrTb"/>
            <w:noWrap w:val="false"/>
          </w:tcPr>
          <w:p>
            <w:pPr>
              <w:jc w:val="left"/>
              <w:rPr>
                <w:rFonts w:ascii="仿宋" w:hAnsi="仿宋" w:eastAsia="仿宋" w:cs="仿宋"/>
                <w:sz w:val="24"/>
              </w:rPr>
            </w:pPr>
            <w:r/>
            <w:bookmarkStart w:id="63" w:name="OLE_LINK225"/>
            <w:r/>
            <w:bookmarkStart w:id="64" w:name="OLE_LINK226"/>
            <w:r>
              <w:rPr>
                <w:rFonts w:hint="eastAsia" w:ascii="仿宋" w:hAnsi="仿宋" w:eastAsia="仿宋" w:cs="仿宋"/>
                <w:sz w:val="24"/>
              </w:rPr>
              <w:t xml:space="preserve">根据招标文件第六章《采购需求》中“第</w:t>
            </w:r>
            <w:r>
              <w:rPr>
                <w:rFonts w:hint="eastAsia" w:ascii="仿宋" w:hAnsi="仿宋" w:eastAsia="仿宋" w:cs="仿宋"/>
                <w:sz w:val="24"/>
              </w:rPr>
              <w:t xml:space="preserve">三</w:t>
            </w:r>
            <w:r>
              <w:rPr>
                <w:rFonts w:hint="eastAsia" w:ascii="仿宋" w:hAnsi="仿宋" w:eastAsia="仿宋" w:cs="仿宋"/>
                <w:sz w:val="24"/>
              </w:rPr>
              <w:t xml:space="preserve">部分：具体采购需求”中“一、服务要求及相关设备清单”中“（二）组织机构设置和人员配备要求”中“1.组织机构设置要求” （共1项内容）进行完善，且表述具体方案措施。</w:t>
            </w:r>
            <w:r/>
          </w:p>
          <w:p>
            <w:pPr>
              <w:jc w:val="left"/>
              <w:rPr>
                <w:rFonts w:ascii="仿宋" w:hAnsi="仿宋" w:eastAsia="仿宋" w:cs="仿宋"/>
                <w:sz w:val="24"/>
              </w:rPr>
            </w:pPr>
            <w:r>
              <w:rPr>
                <w:rFonts w:hint="eastAsia" w:ascii="仿宋" w:hAnsi="仿宋" w:eastAsia="仿宋" w:cs="仿宋"/>
                <w:sz w:val="24"/>
              </w:rPr>
              <w:t xml:space="preserve">上述内容齐全，符合实际切实可行且无缺陷（缺陷是指：部分内容与项目无关、逻辑错误、科学原理错误、表述错误、不符合本项目涉及的相关规范或标准要求的任意一种情形）得6分，方案内容每存在一处缺陷扣0.5分，方案内容分（6分）扣完为止。</w:t>
            </w:r>
            <w:r/>
          </w:p>
          <w:p>
            <w:pPr>
              <w:jc w:val="left"/>
              <w:rPr>
                <w:rFonts w:ascii="仿宋" w:hAnsi="仿宋" w:eastAsia="仿宋" w:cs="仿宋"/>
                <w:sz w:val="24"/>
              </w:rPr>
            </w:pPr>
            <w:r>
              <w:rPr>
                <w:rFonts w:hint="eastAsia" w:ascii="仿宋" w:hAnsi="仿宋" w:eastAsia="仿宋" w:cs="仿宋"/>
                <w:sz w:val="24"/>
              </w:rPr>
              <w:t xml:space="preserve">未提供的得0分，本项最高得6分，最低得0分。</w:t>
            </w:r>
            <w:bookmarkEnd w:id="63"/>
            <w:r/>
            <w:bookmarkEnd w:id="64"/>
            <w:r/>
            <w:r/>
          </w:p>
        </w:tc>
        <w:tc>
          <w:tcPr>
            <w:shd w:val="clear" w:color="auto" w:fill="ffffff"/>
            <w:tcW w:w="816"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否</w:t>
            </w:r>
            <w:r/>
          </w:p>
        </w:tc>
      </w:tr>
      <w:tr>
        <w:trPr>
          <w:jc w:val="center"/>
          <w:trHeight w:val="567"/>
        </w:trPr>
        <w:tc>
          <w:tcPr>
            <w:shd w:val="clear" w:color="auto" w:fill="ffffff"/>
            <w:tcW w:w="1085" w:type="dxa"/>
            <w:vMerge w:val="continue"/>
            <w:textDirection w:val="lrTb"/>
            <w:noWrap w:val="false"/>
          </w:tcPr>
          <w:p>
            <w:pPr>
              <w:jc w:val="left"/>
              <w:rPr>
                <w:rFonts w:ascii="仿宋" w:hAnsi="仿宋" w:eastAsia="仿宋" w:cs="仿宋"/>
                <w:sz w:val="24"/>
              </w:rPr>
            </w:pPr>
            <w:r>
              <w:rPr>
                <w:rFonts w:ascii="仿宋" w:hAnsi="仿宋" w:eastAsia="仿宋" w:cs="仿宋"/>
                <w:sz w:val="24"/>
              </w:rPr>
            </w:r>
            <w:r/>
          </w:p>
        </w:tc>
        <w:tc>
          <w:tcPr>
            <w:shd w:val="clear" w:color="auto" w:fill="ffffff"/>
            <w:tcW w:w="1133" w:type="dxa"/>
            <w:vAlign w:val="center"/>
            <w:vMerge w:val="continue"/>
            <w:textDirection w:val="lrTb"/>
            <w:noWrap w:val="false"/>
          </w:tcPr>
          <w:p>
            <w:pPr>
              <w:jc w:val="left"/>
              <w:rPr>
                <w:rFonts w:ascii="仿宋" w:hAnsi="仿宋" w:eastAsia="仿宋" w:cs="仿宋"/>
                <w:sz w:val="24"/>
              </w:rPr>
            </w:pPr>
            <w:r>
              <w:rPr>
                <w:rFonts w:ascii="仿宋" w:hAnsi="仿宋" w:eastAsia="仿宋" w:cs="仿宋"/>
                <w:sz w:val="24"/>
              </w:rPr>
            </w:r>
            <w:r/>
          </w:p>
        </w:tc>
        <w:tc>
          <w:tcPr>
            <w:shd w:val="clear" w:color="auto" w:fill="ffffff"/>
            <w:tcW w:w="931" w:type="dxa"/>
            <w:vAlign w:val="center"/>
            <w:textDirection w:val="lrTb"/>
            <w:noWrap w:val="false"/>
          </w:tcPr>
          <w:p>
            <w:pPr>
              <w:jc w:val="left"/>
              <w:rPr>
                <w:rFonts w:ascii="仿宋" w:hAnsi="仿宋" w:eastAsia="仿宋" w:cs="仿宋"/>
                <w:sz w:val="24"/>
              </w:rPr>
            </w:pPr>
            <w:r/>
            <w:bookmarkStart w:id="65" w:name="OLE_LINK227"/>
            <w:r/>
            <w:bookmarkStart w:id="66" w:name="OLE_LINK228"/>
            <w:r>
              <w:rPr>
                <w:rFonts w:hint="eastAsia" w:ascii="仿宋" w:hAnsi="仿宋" w:eastAsia="仿宋" w:cs="仿宋"/>
                <w:sz w:val="24"/>
              </w:rPr>
              <w:t xml:space="preserve">人员配备方案</w:t>
            </w:r>
            <w:r/>
          </w:p>
          <w:p>
            <w:pPr>
              <w:jc w:val="left"/>
              <w:rPr>
                <w:rFonts w:ascii="仿宋" w:hAnsi="仿宋" w:eastAsia="仿宋" w:cs="仿宋"/>
                <w:sz w:val="24"/>
              </w:rPr>
            </w:pPr>
            <w:r>
              <w:rPr>
                <w:rFonts w:hint="eastAsia" w:ascii="仿宋" w:hAnsi="仿宋" w:eastAsia="仿宋" w:cs="仿宋"/>
                <w:sz w:val="24"/>
              </w:rPr>
              <w:t xml:space="preserve">（12分）</w:t>
            </w:r>
            <w:bookmarkEnd w:id="65"/>
            <w:r/>
            <w:bookmarkEnd w:id="66"/>
            <w:r/>
            <w:r/>
          </w:p>
        </w:tc>
        <w:tc>
          <w:tcPr>
            <w:shd w:val="clear" w:color="auto" w:fill="ffffff"/>
            <w:tcW w:w="5655" w:type="dxa"/>
            <w:textDirection w:val="lrTb"/>
            <w:noWrap w:val="false"/>
          </w:tcPr>
          <w:p>
            <w:pPr>
              <w:jc w:val="left"/>
              <w:rPr>
                <w:rFonts w:ascii="仿宋" w:hAnsi="仿宋" w:eastAsia="仿宋" w:cs="仿宋"/>
                <w:sz w:val="24"/>
              </w:rPr>
            </w:pPr>
            <w:r/>
            <w:bookmarkStart w:id="67" w:name="OLE_LINK229"/>
            <w:r/>
            <w:bookmarkStart w:id="68" w:name="OLE_LINK230"/>
            <w:r>
              <w:rPr>
                <w:rFonts w:hint="eastAsia" w:ascii="仿宋" w:hAnsi="仿宋" w:eastAsia="仿宋" w:cs="仿宋"/>
                <w:sz w:val="24"/>
              </w:rPr>
              <w:t xml:space="preserve">投标文件中提供项目团队人员证书扫描件及投标人或其法人公司或其法人公司分公司为人员缴纳的本项目开标时间前6个月内任何1月的社会保障资金或签订的劳动合同的相关材料扫描件：</w:t>
            </w:r>
            <w:r/>
          </w:p>
          <w:p>
            <w:pPr>
              <w:jc w:val="left"/>
              <w:rPr>
                <w:rFonts w:ascii="仿宋" w:hAnsi="仿宋" w:eastAsia="仿宋" w:cs="仿宋"/>
                <w:sz w:val="24"/>
              </w:rPr>
            </w:pPr>
            <w:r>
              <w:rPr>
                <w:rFonts w:hint="eastAsia" w:ascii="仿宋" w:hAnsi="仿宋" w:eastAsia="仿宋" w:cs="仿宋"/>
                <w:sz w:val="24"/>
              </w:rPr>
              <w:t xml:space="preserve">（1）项目经理1人，具有有效的信息系统项目管理师（高级）证书或IT服务项目经理（ITSS）证书或注册信息安全管理人员（CISO）证书或CISAW信息安全保障人员认证证书，每提供1个证书得2分，最多得4分。</w:t>
            </w:r>
            <w:r/>
          </w:p>
          <w:p>
            <w:pPr>
              <w:jc w:val="left"/>
              <w:rPr>
                <w:rFonts w:ascii="仿宋" w:hAnsi="仿宋" w:eastAsia="仿宋" w:cs="仿宋"/>
                <w:sz w:val="24"/>
              </w:rPr>
            </w:pPr>
            <w:r>
              <w:rPr>
                <w:rFonts w:hint="eastAsia" w:ascii="仿宋" w:hAnsi="仿宋" w:eastAsia="仿宋" w:cs="仿宋"/>
                <w:sz w:val="24"/>
              </w:rPr>
              <w:t xml:space="preserve">（2）技术负责人1人，具有有效的信息系统项目管理师（高级）证书或CISAW信息安全保障人员认证证书或IT服务工程师（ITSS）或网络工程师证书的，每提供1个证书得2分，最多得4分。</w:t>
            </w:r>
            <w:r/>
          </w:p>
          <w:p>
            <w:pPr>
              <w:jc w:val="left"/>
              <w:rPr>
                <w:rFonts w:ascii="仿宋" w:hAnsi="仿宋" w:eastAsia="仿宋" w:cs="仿宋"/>
                <w:sz w:val="24"/>
              </w:rPr>
            </w:pPr>
            <w:r>
              <w:rPr>
                <w:rFonts w:hint="eastAsia" w:ascii="仿宋" w:hAnsi="仿宋" w:eastAsia="仿宋" w:cs="仿宋"/>
                <w:sz w:val="24"/>
              </w:rPr>
              <w:t xml:space="preserve">（3）项目团队其他人员4人：具有网络工程师或高级工程师或注册信息安全专业人员或通信工程师或系统分析师或网络规划设计师，</w:t>
            </w:r>
            <w:r>
              <w:rPr>
                <w:rFonts w:hint="eastAsia" w:ascii="仿宋" w:hAnsi="仿宋" w:eastAsia="仿宋" w:cs="仿宋"/>
                <w:sz w:val="24"/>
              </w:rPr>
              <w:t xml:space="preserve">每提供1类证书扫描件的得1分。1人多证按1个证书计算，不</w:t>
            </w:r>
            <w:r>
              <w:rPr>
                <w:rFonts w:hint="eastAsia" w:ascii="仿宋" w:hAnsi="仿宋" w:eastAsia="仿宋" w:cs="仿宋"/>
                <w:sz w:val="24"/>
              </w:rPr>
              <w:t xml:space="preserve">重复计分。</w:t>
            </w:r>
            <w:r>
              <w:rPr>
                <w:rFonts w:hint="eastAsia" w:ascii="仿宋" w:hAnsi="仿宋" w:eastAsia="仿宋" w:cs="仿宋"/>
                <w:sz w:val="24"/>
              </w:rPr>
              <w:t xml:space="preserve">本项最多得4分。</w:t>
            </w:r>
            <w:r/>
          </w:p>
          <w:p>
            <w:pPr>
              <w:jc w:val="left"/>
              <w:rPr>
                <w:rFonts w:ascii="仿宋" w:hAnsi="仿宋" w:eastAsia="仿宋" w:cs="仿宋"/>
                <w:sz w:val="24"/>
              </w:rPr>
            </w:pPr>
            <w:r>
              <w:rPr>
                <w:rFonts w:hint="eastAsia" w:ascii="仿宋" w:hAnsi="仿宋" w:eastAsia="仿宋" w:cs="仿宋"/>
                <w:sz w:val="24"/>
              </w:rPr>
              <w:t xml:space="preserve">上述合计本项最高得</w:t>
            </w:r>
            <w:r>
              <w:rPr>
                <w:rFonts w:hint="eastAsia" w:ascii="仿宋" w:hAnsi="仿宋" w:eastAsia="仿宋" w:cs="仿宋"/>
                <w:sz w:val="24"/>
              </w:rPr>
              <w:t xml:space="preserve">12</w:t>
            </w:r>
            <w:r>
              <w:rPr>
                <w:rFonts w:hint="eastAsia" w:ascii="仿宋" w:hAnsi="仿宋" w:eastAsia="仿宋" w:cs="仿宋"/>
                <w:sz w:val="24"/>
              </w:rPr>
              <w:t xml:space="preserve">分，最低得0分。</w:t>
            </w:r>
            <w:bookmarkEnd w:id="67"/>
            <w:r/>
            <w:bookmarkEnd w:id="68"/>
            <w:r/>
            <w:r/>
          </w:p>
        </w:tc>
        <w:tc>
          <w:tcPr>
            <w:shd w:val="clear" w:color="auto" w:fill="ffffff"/>
            <w:tcW w:w="816"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是</w:t>
            </w:r>
            <w:r/>
          </w:p>
        </w:tc>
      </w:tr>
      <w:tr>
        <w:trPr>
          <w:jc w:val="center"/>
          <w:trHeight w:val="567"/>
        </w:trPr>
        <w:tc>
          <w:tcPr>
            <w:shd w:val="clear" w:color="auto" w:fill="ffffff"/>
            <w:tcW w:w="1085" w:type="dxa"/>
            <w:vMerge w:val="continue"/>
            <w:textDirection w:val="lrTb"/>
            <w:noWrap w:val="false"/>
          </w:tcPr>
          <w:p>
            <w:pPr>
              <w:jc w:val="left"/>
              <w:rPr>
                <w:rFonts w:ascii="仿宋" w:hAnsi="仿宋" w:eastAsia="仿宋" w:cs="仿宋"/>
                <w:sz w:val="24"/>
              </w:rPr>
            </w:pPr>
            <w:r>
              <w:rPr>
                <w:rFonts w:ascii="仿宋" w:hAnsi="仿宋" w:eastAsia="仿宋" w:cs="仿宋"/>
                <w:sz w:val="24"/>
              </w:rPr>
            </w:r>
            <w:r/>
          </w:p>
        </w:tc>
        <w:tc>
          <w:tcPr>
            <w:shd w:val="clear" w:color="auto" w:fill="ffffff"/>
            <w:tcW w:w="1133" w:type="dxa"/>
            <w:vAlign w:val="center"/>
            <w:textDirection w:val="lrTb"/>
            <w:noWrap w:val="false"/>
          </w:tcPr>
          <w:p>
            <w:pPr>
              <w:jc w:val="left"/>
              <w:rPr>
                <w:rFonts w:ascii="仿宋" w:hAnsi="仿宋" w:eastAsia="仿宋" w:cs="仿宋"/>
                <w:sz w:val="24"/>
              </w:rPr>
            </w:pPr>
            <w:r/>
            <w:bookmarkStart w:id="69" w:name="OLE_LINK231"/>
            <w:r/>
            <w:bookmarkStart w:id="70" w:name="OLE_LINK232"/>
            <w:r>
              <w:rPr>
                <w:rFonts w:hint="eastAsia" w:ascii="仿宋" w:hAnsi="仿宋" w:eastAsia="仿宋" w:cs="仿宋"/>
                <w:sz w:val="24"/>
              </w:rPr>
              <w:t xml:space="preserve">技术参数响应</w:t>
            </w:r>
            <w:r/>
          </w:p>
          <w:p>
            <w:pPr>
              <w:jc w:val="left"/>
              <w:rPr>
                <w:rFonts w:ascii="仿宋" w:hAnsi="仿宋" w:eastAsia="仿宋" w:cs="仿宋"/>
                <w:sz w:val="24"/>
              </w:rPr>
            </w:pPr>
            <w:r>
              <w:rPr>
                <w:rFonts w:hint="eastAsia" w:ascii="仿宋" w:hAnsi="仿宋" w:eastAsia="仿宋" w:cs="仿宋"/>
                <w:sz w:val="24"/>
              </w:rPr>
              <w:t xml:space="preserve">（15分）</w:t>
            </w:r>
            <w:bookmarkEnd w:id="69"/>
            <w:r/>
            <w:bookmarkEnd w:id="70"/>
            <w:r/>
            <w:r/>
          </w:p>
        </w:tc>
        <w:tc>
          <w:tcPr>
            <w:gridSpan w:val="2"/>
            <w:shd w:val="clear" w:color="auto" w:fill="ffffff"/>
            <w:tcW w:w="6586" w:type="dxa"/>
            <w:textDirection w:val="lrTb"/>
            <w:noWrap w:val="false"/>
          </w:tcPr>
          <w:p>
            <w:pPr>
              <w:jc w:val="left"/>
              <w:rPr>
                <w:rFonts w:ascii="仿宋" w:hAnsi="仿宋" w:eastAsia="仿宋" w:cs="仿宋"/>
                <w:sz w:val="24"/>
              </w:rPr>
            </w:pPr>
            <w:r/>
            <w:bookmarkStart w:id="71" w:name="OLE_LINK233"/>
            <w:r/>
            <w:bookmarkStart w:id="72" w:name="OLE_LINK234"/>
            <w:r>
              <w:rPr>
                <w:rFonts w:hint="eastAsia" w:ascii="仿宋" w:hAnsi="仿宋" w:eastAsia="仿宋" w:cs="仿宋"/>
                <w:sz w:val="24"/>
              </w:rPr>
              <w:t xml:space="preserve">根据招标文件第六章《采购需求》中“第</w:t>
            </w:r>
            <w:r>
              <w:rPr>
                <w:rFonts w:hint="eastAsia" w:ascii="仿宋" w:hAnsi="仿宋" w:eastAsia="仿宋" w:cs="仿宋"/>
                <w:sz w:val="24"/>
              </w:rPr>
              <w:t xml:space="preserve">三</w:t>
            </w:r>
            <w:r>
              <w:rPr>
                <w:rFonts w:hint="eastAsia" w:ascii="仿宋" w:hAnsi="仿宋" w:eastAsia="仿宋" w:cs="仿宋"/>
                <w:sz w:val="24"/>
              </w:rPr>
              <w:t xml:space="preserve">部分：具体采购需求”中“二、相关服务设备技术指标要求”，制定“技术参数响应表”进行逐项响应。全部满足招标文件要求的得满分15分</w:t>
            </w:r>
            <w:r/>
          </w:p>
          <w:p>
            <w:pPr>
              <w:jc w:val="left"/>
              <w:rPr>
                <w:rFonts w:ascii="仿宋" w:hAnsi="仿宋" w:eastAsia="仿宋" w:cs="仿宋"/>
                <w:sz w:val="24"/>
              </w:rPr>
            </w:pPr>
            <w:r>
              <w:rPr>
                <w:rFonts w:hint="eastAsia" w:ascii="仿宋" w:hAnsi="仿宋" w:eastAsia="仿宋" w:cs="仿宋"/>
                <w:sz w:val="24"/>
              </w:rPr>
              <w:t xml:space="preserve">“★”号项技术参数每有一项负偏离扣2分，其他参数部分每有一项负偏离扣0.5分，扣完为止，本项最高得15分，最低得0分。</w:t>
            </w:r>
            <w:bookmarkEnd w:id="71"/>
            <w:r/>
            <w:bookmarkEnd w:id="72"/>
            <w:r/>
            <w:r/>
          </w:p>
        </w:tc>
        <w:tc>
          <w:tcPr>
            <w:shd w:val="clear" w:color="auto" w:fill="ffffff"/>
            <w:tcW w:w="816"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是</w:t>
            </w:r>
            <w:r/>
          </w:p>
        </w:tc>
      </w:tr>
      <w:tr>
        <w:trPr>
          <w:jc w:val="center"/>
          <w:trHeight w:val="567"/>
        </w:trPr>
        <w:tc>
          <w:tcPr>
            <w:shd w:val="clear" w:color="auto" w:fill="ffffff"/>
            <w:tcW w:w="1085" w:type="dxa"/>
            <w:vMerge w:val="continue"/>
            <w:textDirection w:val="lrTb"/>
            <w:noWrap w:val="false"/>
          </w:tcPr>
          <w:p>
            <w:pPr>
              <w:jc w:val="left"/>
              <w:rPr>
                <w:rFonts w:ascii="仿宋" w:hAnsi="仿宋" w:eastAsia="仿宋" w:cs="仿宋"/>
                <w:sz w:val="24"/>
              </w:rPr>
            </w:pPr>
            <w:r>
              <w:rPr>
                <w:rFonts w:ascii="仿宋" w:hAnsi="仿宋" w:eastAsia="仿宋" w:cs="仿宋"/>
                <w:sz w:val="24"/>
              </w:rPr>
            </w:r>
            <w:r/>
          </w:p>
        </w:tc>
        <w:tc>
          <w:tcPr>
            <w:shd w:val="clear" w:color="auto" w:fill="ffffff"/>
            <w:tcW w:w="1133" w:type="dxa"/>
            <w:vAlign w:val="center"/>
            <w:textDirection w:val="lrTb"/>
            <w:noWrap w:val="false"/>
          </w:tcPr>
          <w:p>
            <w:pPr>
              <w:jc w:val="left"/>
              <w:rPr>
                <w:rFonts w:ascii="仿宋" w:hAnsi="仿宋" w:eastAsia="仿宋" w:cs="仿宋"/>
                <w:sz w:val="24"/>
              </w:rPr>
            </w:pPr>
            <w:r/>
            <w:bookmarkStart w:id="73" w:name="OLE_LINK235"/>
            <w:r/>
            <w:bookmarkStart w:id="74" w:name="OLE_LINK236"/>
            <w:r>
              <w:rPr>
                <w:rFonts w:hint="eastAsia" w:ascii="仿宋" w:hAnsi="仿宋" w:eastAsia="仿宋" w:cs="仿宋"/>
                <w:sz w:val="24"/>
              </w:rPr>
              <w:t xml:space="preserve">技术培训方案</w:t>
            </w:r>
            <w:r/>
          </w:p>
          <w:p>
            <w:pPr>
              <w:jc w:val="left"/>
              <w:rPr>
                <w:rFonts w:ascii="仿宋" w:hAnsi="仿宋" w:eastAsia="仿宋" w:cs="仿宋"/>
                <w:sz w:val="24"/>
              </w:rPr>
            </w:pPr>
            <w:r>
              <w:rPr>
                <w:rFonts w:hint="eastAsia" w:ascii="仿宋" w:hAnsi="仿宋" w:eastAsia="仿宋" w:cs="仿宋"/>
                <w:sz w:val="24"/>
              </w:rPr>
              <w:t xml:space="preserve">（9分）</w:t>
            </w:r>
            <w:bookmarkEnd w:id="73"/>
            <w:r/>
            <w:bookmarkEnd w:id="74"/>
            <w:r/>
            <w:r/>
          </w:p>
        </w:tc>
        <w:tc>
          <w:tcPr>
            <w:gridSpan w:val="2"/>
            <w:shd w:val="clear" w:color="auto" w:fill="ffffff"/>
            <w:tcW w:w="6586" w:type="dxa"/>
            <w:textDirection w:val="lrTb"/>
            <w:noWrap w:val="false"/>
          </w:tcPr>
          <w:p>
            <w:pPr>
              <w:jc w:val="left"/>
              <w:rPr>
                <w:rFonts w:ascii="仿宋" w:hAnsi="仿宋" w:eastAsia="仿宋" w:cs="仿宋"/>
                <w:sz w:val="24"/>
              </w:rPr>
            </w:pPr>
            <w:r/>
            <w:bookmarkStart w:id="75" w:name="OLE_LINK237"/>
            <w:r/>
            <w:bookmarkStart w:id="76" w:name="OLE_LINK238"/>
            <w:r>
              <w:rPr>
                <w:rFonts w:hint="eastAsia" w:ascii="仿宋" w:hAnsi="仿宋" w:eastAsia="仿宋" w:cs="仿宋"/>
                <w:sz w:val="24"/>
              </w:rPr>
              <w:t xml:space="preserve">根据招标文件第六章《采购需求》中“第</w:t>
            </w:r>
            <w:r>
              <w:rPr>
                <w:rFonts w:hint="eastAsia" w:ascii="仿宋" w:hAnsi="仿宋" w:eastAsia="仿宋" w:cs="仿宋"/>
                <w:sz w:val="24"/>
              </w:rPr>
              <w:t xml:space="preserve">三</w:t>
            </w:r>
            <w:r>
              <w:rPr>
                <w:rFonts w:hint="eastAsia" w:ascii="仿宋" w:hAnsi="仿宋" w:eastAsia="仿宋" w:cs="仿宋"/>
                <w:sz w:val="24"/>
              </w:rPr>
              <w:t xml:space="preserve">部分：具体采购需求”中“四、技术培训要求”（共3项内容）进行完善，且表述具体方案措施。</w:t>
            </w:r>
            <w:r/>
          </w:p>
          <w:p>
            <w:pPr>
              <w:jc w:val="left"/>
              <w:rPr>
                <w:rFonts w:ascii="仿宋" w:hAnsi="仿宋" w:eastAsia="仿宋" w:cs="仿宋"/>
                <w:sz w:val="24"/>
              </w:rPr>
            </w:pPr>
            <w:r>
              <w:rPr>
                <w:rFonts w:hint="eastAsia" w:ascii="仿宋" w:hAnsi="仿宋" w:eastAsia="仿宋" w:cs="仿宋"/>
                <w:sz w:val="24"/>
              </w:rPr>
              <w:t xml:space="preserve">上述内容齐全，符合实际切实可行且无缺陷（缺陷是指：部分内容与项目无关、逻辑错误、科学原理错误、表述错误、不符合本项目涉及的相关规范或标准要求的任意一种情形）得9分，每缺少一项内容扣3分，扣完为止；单项内容每存在一处缺陷扣0.5分，单项内容分（3分）扣完为止。</w:t>
            </w:r>
            <w:r/>
          </w:p>
          <w:p>
            <w:pPr>
              <w:jc w:val="left"/>
              <w:rPr>
                <w:rFonts w:ascii="仿宋" w:hAnsi="仿宋" w:eastAsia="仿宋" w:cs="仿宋"/>
                <w:sz w:val="24"/>
              </w:rPr>
            </w:pPr>
            <w:r>
              <w:rPr>
                <w:rFonts w:hint="eastAsia" w:ascii="仿宋" w:hAnsi="仿宋" w:eastAsia="仿宋" w:cs="仿宋"/>
                <w:sz w:val="24"/>
              </w:rPr>
              <w:t xml:space="preserve">未提供的得0分，本项最高得9分，最低得0分。</w:t>
            </w:r>
            <w:bookmarkEnd w:id="75"/>
            <w:r/>
            <w:bookmarkEnd w:id="76"/>
            <w:r/>
            <w:r/>
          </w:p>
        </w:tc>
        <w:tc>
          <w:tcPr>
            <w:shd w:val="clear" w:color="auto" w:fill="ffffff"/>
            <w:tcW w:w="816"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否</w:t>
            </w:r>
            <w:r/>
          </w:p>
        </w:tc>
      </w:tr>
      <w:tr>
        <w:trPr>
          <w:jc w:val="center"/>
          <w:trHeight w:val="567"/>
        </w:trPr>
        <w:tc>
          <w:tcPr>
            <w:shd w:val="clear" w:color="auto" w:fill="ffffff"/>
            <w:tcW w:w="1085"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商务部</w:t>
            </w:r>
            <w:r/>
          </w:p>
          <w:p>
            <w:pPr>
              <w:jc w:val="left"/>
              <w:rPr>
                <w:rFonts w:ascii="仿宋" w:hAnsi="仿宋" w:eastAsia="仿宋" w:cs="仿宋"/>
                <w:sz w:val="24"/>
              </w:rPr>
            </w:pPr>
            <w:r>
              <w:rPr>
                <w:rFonts w:hint="eastAsia" w:ascii="仿宋" w:hAnsi="仿宋" w:eastAsia="仿宋" w:cs="仿宋"/>
                <w:sz w:val="24"/>
              </w:rPr>
              <w:t xml:space="preserve">分</w:t>
            </w:r>
            <w:r/>
          </w:p>
          <w:p>
            <w:pPr>
              <w:jc w:val="left"/>
              <w:rPr>
                <w:rFonts w:ascii="仿宋" w:hAnsi="仿宋" w:eastAsia="仿宋" w:cs="仿宋"/>
                <w:sz w:val="24"/>
              </w:rPr>
            </w:pPr>
            <w:r>
              <w:rPr>
                <w:rFonts w:hint="eastAsia" w:ascii="仿宋" w:hAnsi="仿宋" w:eastAsia="仿宋" w:cs="仿宋"/>
                <w:sz w:val="24"/>
              </w:rPr>
              <w:t xml:space="preserve">（6分）</w:t>
            </w:r>
            <w:r/>
          </w:p>
        </w:tc>
        <w:tc>
          <w:tcPr>
            <w:shd w:val="clear" w:color="auto" w:fill="ffffff"/>
            <w:tcW w:w="1133" w:type="dxa"/>
            <w:vAlign w:val="center"/>
            <w:textDirection w:val="lrTb"/>
            <w:noWrap w:val="false"/>
          </w:tcPr>
          <w:p>
            <w:pPr>
              <w:jc w:val="left"/>
              <w:rPr>
                <w:rFonts w:ascii="仿宋" w:hAnsi="仿宋" w:eastAsia="仿宋" w:cs="仿宋"/>
                <w:sz w:val="24"/>
              </w:rPr>
            </w:pPr>
            <w:r/>
            <w:bookmarkStart w:id="77" w:name="OLE_LINK239"/>
            <w:r/>
            <w:bookmarkStart w:id="78" w:name="OLE_LINK240"/>
            <w:r>
              <w:rPr>
                <w:rFonts w:hint="eastAsia" w:ascii="仿宋" w:hAnsi="仿宋" w:eastAsia="仿宋" w:cs="仿宋"/>
                <w:sz w:val="24"/>
              </w:rPr>
              <w:t xml:space="preserve">投标人业绩</w:t>
            </w:r>
            <w:r/>
          </w:p>
          <w:p>
            <w:pPr>
              <w:jc w:val="left"/>
              <w:rPr>
                <w:rFonts w:ascii="仿宋" w:hAnsi="仿宋" w:eastAsia="仿宋" w:cs="仿宋"/>
                <w:sz w:val="24"/>
              </w:rPr>
            </w:pPr>
            <w:r>
              <w:rPr>
                <w:rFonts w:hint="eastAsia" w:ascii="仿宋" w:hAnsi="仿宋" w:eastAsia="仿宋" w:cs="仿宋"/>
                <w:sz w:val="24"/>
              </w:rPr>
              <w:t xml:space="preserve">（6分）</w:t>
            </w:r>
            <w:bookmarkEnd w:id="77"/>
            <w:r/>
            <w:bookmarkEnd w:id="78"/>
            <w:r/>
            <w:r/>
          </w:p>
        </w:tc>
        <w:tc>
          <w:tcPr>
            <w:gridSpan w:val="2"/>
            <w:shd w:val="clear" w:color="auto" w:fill="ffffff"/>
            <w:tcW w:w="6586" w:type="dxa"/>
            <w:textDirection w:val="lrTb"/>
            <w:noWrap w:val="false"/>
          </w:tcPr>
          <w:p>
            <w:pPr>
              <w:jc w:val="left"/>
              <w:rPr>
                <w:rFonts w:ascii="仿宋" w:hAnsi="仿宋" w:eastAsia="仿宋" w:cs="仿宋"/>
                <w:sz w:val="24"/>
              </w:rPr>
            </w:pPr>
            <w:r/>
            <w:bookmarkStart w:id="79" w:name="OLE_LINK241"/>
            <w:r/>
            <w:bookmarkStart w:id="80" w:name="OLE_LINK242"/>
            <w:r>
              <w:rPr>
                <w:rFonts w:hint="eastAsia" w:ascii="仿宋" w:hAnsi="仿宋" w:eastAsia="仿宋" w:cs="仿宋"/>
                <w:sz w:val="24"/>
              </w:rPr>
              <w:t xml:space="preserve">投标文件中提供投标人为卖方（乙方），合同签订日期在2022年1月1日之后，合同内容包含承接过类似项目（集成类的项目业绩或电子政务外网建设或改造等）的合同扫描件（至少包含合同签订日期所在页、合同内容所在页、合同金额所在页、</w:t>
            </w:r>
            <w:r>
              <w:rPr>
                <w:rFonts w:hint="eastAsia" w:ascii="仿宋" w:hAnsi="仿宋" w:eastAsia="仿宋" w:cs="仿宋"/>
                <w:sz w:val="24"/>
              </w:rPr>
              <w:t xml:space="preserve">签字盖章所在页）。注：如合同中无法体现业绩内容，须提供加盖合同买方（甲方）公章的证明材料，否则不予认可。每提供一份得2分。未提供或提供不全的不得分（注：投标人是分支机构的，其法人公司业绩不视为有效业绩）。本项最高得6分,最低得0分。</w:t>
            </w:r>
            <w:bookmarkEnd w:id="79"/>
            <w:r/>
            <w:bookmarkEnd w:id="80"/>
            <w:r/>
            <w:r/>
          </w:p>
        </w:tc>
        <w:tc>
          <w:tcPr>
            <w:shd w:val="clear" w:color="auto" w:fill="ffffff"/>
            <w:tcW w:w="816"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是</w:t>
            </w:r>
            <w:r/>
          </w:p>
        </w:tc>
      </w:tr>
    </w:tbl>
    <w:p>
      <w:pPr>
        <w:widowControl/>
        <w:rPr>
          <w:rFonts w:ascii="仿宋" w:hAnsi="仿宋" w:eastAsia="仿宋"/>
          <w:sz w:val="24"/>
        </w:rPr>
      </w:pPr>
      <w:r>
        <w:rPr>
          <w:rFonts w:ascii="仿宋" w:hAnsi="仿宋" w:eastAsia="仿宋"/>
          <w:sz w:val="24"/>
        </w:rPr>
      </w:r>
      <w:r/>
    </w:p>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w:t>
      </w:r>
      <w:r>
        <w:rPr>
          <w:rFonts w:hint="eastAsia" w:ascii="仿宋" w:hAnsi="仿宋" w:eastAsia="仿宋"/>
          <w:sz w:val="24"/>
        </w:rPr>
        <w:t xml:space="preserve">两</w:t>
      </w:r>
      <w:r>
        <w:rPr>
          <w:rFonts w:hint="eastAsia" w:ascii="仿宋" w:hAnsi="仿宋" w:eastAsia="仿宋"/>
          <w:sz w:val="24"/>
        </w:rPr>
        <w:t xml:space="preserve">位。</w:t>
      </w:r>
      <w:r/>
    </w:p>
    <w:p>
      <w:pPr>
        <w:widowControl/>
        <w:rPr>
          <w:rFonts w:ascii="仿宋" w:hAnsi="仿宋" w:eastAsia="仿宋"/>
          <w:sz w:val="30"/>
          <w:szCs w:val="30"/>
        </w:rPr>
      </w:pPr>
      <w:r>
        <w:rPr>
          <w:rFonts w:ascii="仿宋" w:hAnsi="仿宋" w:eastAsia="仿宋"/>
          <w:sz w:val="30"/>
          <w:szCs w:val="30"/>
        </w:rPr>
      </w:r>
      <w:r/>
    </w:p>
    <w:p>
      <w:pPr>
        <w:jc w:val="center"/>
        <w:pageBreakBefore/>
        <w:rPr>
          <w:rFonts w:ascii="仿宋" w:hAnsi="仿宋" w:eastAsia="仿宋"/>
          <w:sz w:val="30"/>
          <w:szCs w:val="30"/>
        </w:rPr>
      </w:pPr>
      <w:r/>
      <w:bookmarkStart w:id="81" w:name="OLE_LINK3"/>
      <w:r>
        <w:rPr>
          <w:rFonts w:hint="eastAsia" w:ascii="仿宋" w:hAnsi="仿宋" w:eastAsia="仿宋"/>
          <w:sz w:val="30"/>
          <w:szCs w:val="30"/>
        </w:rPr>
        <w:t xml:space="preserve">第五章  拟签订的合同文本</w:t>
      </w:r>
      <w:bookmarkEnd w:id="81"/>
      <w:r/>
      <w:r/>
    </w:p>
    <w:p>
      <w:pPr>
        <w:rPr>
          <w:rFonts w:ascii="仿宋" w:hAnsi="仿宋" w:eastAsia="仿宋" w:cs="仿宋"/>
          <w:sz w:val="24"/>
        </w:rPr>
      </w:pPr>
      <w:r>
        <w:rPr>
          <w:rFonts w:ascii="仿宋" w:hAnsi="仿宋" w:eastAsia="仿宋" w:cs="仿宋"/>
          <w:sz w:val="24"/>
        </w:rPr>
      </w:r>
      <w:r/>
    </w:p>
    <w:p>
      <w:pPr>
        <w:pStyle w:val="752"/>
        <w:contextualSpacing/>
        <w:ind w:left="-424" w:right="-624" w:hanging="2"/>
        <w:rPr>
          <w:rFonts w:ascii="仿宋" w:hAnsi="仿宋" w:eastAsia="仿宋" w:cs="仿宋"/>
          <w:sz w:val="24"/>
          <w:szCs w:val="24"/>
        </w:rPr>
      </w:pPr>
      <w:r>
        <w:rPr>
          <w:rFonts w:hint="eastAsia" w:ascii="仿宋" w:hAnsi="仿宋" w:eastAsia="仿宋" w:cs="仿宋"/>
          <w:sz w:val="24"/>
          <w:szCs w:val="24"/>
        </w:rPr>
        <w:t xml:space="preserve">甲方：徐州经济技术开发区          项目名称：徐州经济技术开发区</w:t>
      </w:r>
      <w:r/>
    </w:p>
    <w:p>
      <w:pPr>
        <w:pStyle w:val="752"/>
        <w:contextualSpacing/>
        <w:ind w:right="-624" w:firstLine="240"/>
        <w:rPr>
          <w:rFonts w:ascii="仿宋" w:hAnsi="仿宋" w:eastAsia="仿宋" w:cs="仿宋"/>
          <w:sz w:val="24"/>
          <w:szCs w:val="24"/>
        </w:rPr>
      </w:pPr>
      <w:r>
        <w:rPr>
          <w:rFonts w:hint="eastAsia" w:ascii="仿宋" w:hAnsi="仿宋" w:eastAsia="仿宋" w:cs="仿宋"/>
          <w:sz w:val="24"/>
          <w:szCs w:val="24"/>
        </w:rPr>
        <w:t xml:space="preserve">党政办公室</w:t>
      </w:r>
      <w:r>
        <w:rPr>
          <w:rFonts w:hint="eastAsia" w:ascii="仿宋" w:hAnsi="仿宋" w:eastAsia="仿宋" w:cs="仿宋"/>
          <w:sz w:val="24"/>
          <w:szCs w:val="24"/>
        </w:rPr>
        <w:tab/>
      </w:r>
      <w:r>
        <w:rPr>
          <w:rFonts w:hint="eastAsia" w:ascii="仿宋" w:hAnsi="仿宋" w:eastAsia="仿宋" w:cs="仿宋"/>
          <w:sz w:val="24"/>
          <w:szCs w:val="24"/>
        </w:rPr>
        <w:tab/>
        <w:t xml:space="preserve">                       新一代电子政务外网服务项目</w:t>
      </w:r>
      <w:r/>
    </w:p>
    <w:p>
      <w:pPr>
        <w:contextualSpacing/>
        <w:ind w:left="-424"/>
        <w:rPr>
          <w:rFonts w:ascii="仿宋" w:hAnsi="仿宋" w:eastAsia="仿宋" w:cs="仿宋"/>
          <w:sz w:val="24"/>
        </w:rPr>
      </w:pPr>
      <w:r>
        <w:rPr>
          <w:rFonts w:hint="eastAsia" w:ascii="仿宋" w:hAnsi="仿宋" w:eastAsia="仿宋" w:cs="仿宋"/>
          <w:sz w:val="24"/>
        </w:rPr>
        <w:t xml:space="preserve">乙方：                              项目编号：</w:t>
      </w:r>
      <w:r>
        <w:rPr>
          <w:rFonts w:hint="eastAsia" w:ascii="仿宋" w:hAnsi="仿宋" w:eastAsia="仿宋"/>
          <w:sz w:val="24"/>
        </w:rPr>
        <w:t xml:space="preserve">JSZC-320300-XZCG-G2026-0002</w:t>
      </w:r>
      <w:r/>
    </w:p>
    <w:p>
      <w:pPr>
        <w:jc w:val="center"/>
        <w:rPr>
          <w:rFonts w:ascii="仿宋" w:hAnsi="仿宋" w:eastAsia="仿宋" w:cs="仿宋"/>
          <w:sz w:val="24"/>
        </w:rPr>
      </w:pPr>
      <w:r>
        <w:rPr>
          <w:rFonts w:hint="eastAsia" w:ascii="仿宋" w:hAnsi="仿宋" w:eastAsia="仿宋" w:cs="仿宋"/>
          <w:sz w:val="24"/>
        </w:rPr>
        <w:t xml:space="preserve">      签订时间：</w:t>
      </w:r>
      <w:r/>
    </w:p>
    <w:p>
      <w:pPr>
        <w:jc w:val="center"/>
        <w:rPr>
          <w:rFonts w:ascii="仿宋" w:hAnsi="仿宋" w:eastAsia="仿宋" w:cs="仿宋"/>
          <w:sz w:val="24"/>
        </w:rPr>
      </w:pPr>
      <w:r>
        <w:rPr>
          <w:rFonts w:hint="eastAsia" w:ascii="仿宋" w:hAnsi="仿宋" w:eastAsia="仿宋" w:cs="仿宋"/>
          <w:sz w:val="24"/>
        </w:rPr>
        <w:t xml:space="preserve">      签订地点：</w:t>
      </w:r>
      <w:r/>
    </w:p>
    <w:p>
      <w:pPr>
        <w:ind w:firstLine="480"/>
        <w:jc w:val="left"/>
        <w:widowControl/>
        <w:rPr>
          <w:rFonts w:ascii="仿宋" w:hAnsi="仿宋" w:eastAsia="仿宋" w:cs="仿宋"/>
          <w:sz w:val="24"/>
        </w:rPr>
      </w:pPr>
      <w:r>
        <w:rPr>
          <w:rFonts w:ascii="仿宋" w:hAnsi="仿宋" w:eastAsia="仿宋" w:cs="仿宋"/>
          <w:sz w:val="24"/>
        </w:rPr>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为做好__</w:t>
      </w:r>
      <w:r>
        <w:rPr>
          <w:rFonts w:hint="eastAsia" w:ascii="仿宋" w:hAnsi="仿宋" w:eastAsia="仿宋" w:cs="仿宋"/>
          <w:sz w:val="24"/>
          <w:szCs w:val="24"/>
          <w:u w:val="single"/>
        </w:rPr>
        <w:t xml:space="preserve">徐州经济技术开发区新一代电子政务外网建设</w:t>
      </w:r>
      <w:r>
        <w:rPr>
          <w:rFonts w:hint="eastAsia" w:ascii="仿宋" w:hAnsi="仿宋" w:eastAsia="仿宋" w:cs="仿宋"/>
          <w:sz w:val="24"/>
          <w:szCs w:val="24"/>
        </w:rPr>
        <w:t xml:space="preserve">_工作，按照政府采购程序，确定乙方为</w:t>
      </w:r>
      <w:r>
        <w:rPr>
          <w:rFonts w:hint="eastAsia" w:ascii="仿宋" w:hAnsi="仿宋" w:eastAsia="仿宋" w:cs="仿宋"/>
          <w:sz w:val="24"/>
          <w:szCs w:val="24"/>
          <w:u w:val="single"/>
        </w:rPr>
        <w:t xml:space="preserve">徐州经济技术开发区新一代电子政务外网服务项目（</w:t>
      </w:r>
      <w:r>
        <w:rPr>
          <w:rFonts w:hint="eastAsia" w:ascii="仿宋" w:hAnsi="仿宋" w:eastAsia="仿宋" w:cs="仿宋"/>
          <w:sz w:val="24"/>
          <w:szCs w:val="24"/>
        </w:rPr>
        <w:t xml:space="preserve"> 项目编号：</w:t>
      </w:r>
      <w:r>
        <w:rPr>
          <w:rFonts w:hint="eastAsia" w:ascii="仿宋" w:hAnsi="仿宋" w:eastAsia="仿宋"/>
          <w:sz w:val="24"/>
        </w:rPr>
        <w:t xml:space="preserve">JSZC-320300-XZCG-G2026-0002</w:t>
      </w:r>
      <w:r>
        <w:rPr>
          <w:rFonts w:hint="eastAsia" w:ascii="仿宋" w:hAnsi="仿宋" w:eastAsia="仿宋" w:cs="仿宋"/>
          <w:sz w:val="24"/>
          <w:szCs w:val="24"/>
        </w:rPr>
        <w:t xml:space="preserve">）中标供应商。依据《中华人民共和国民法典》和《中华人民共和国政府采购法》，以及采购文件，中标通知书，经甲、乙双方协商，达成如下合同条款。</w:t>
      </w:r>
      <w:r/>
    </w:p>
    <w:p>
      <w:pPr>
        <w:pStyle w:val="778"/>
        <w:ind w:left="0"/>
        <w:rPr>
          <w:rFonts w:ascii="仿宋" w:hAnsi="仿宋" w:eastAsia="仿宋" w:cs="仿宋"/>
          <w:b/>
          <w:bCs/>
          <w:sz w:val="24"/>
          <w:szCs w:val="24"/>
        </w:rPr>
        <w:outlineLvl w:val="1"/>
      </w:pPr>
      <w:r>
        <w:rPr>
          <w:rFonts w:hint="eastAsia" w:ascii="仿宋" w:hAnsi="仿宋" w:eastAsia="仿宋" w:cs="仿宋"/>
          <w:b/>
          <w:sz w:val="24"/>
          <w:szCs w:val="24"/>
        </w:rPr>
        <w:t xml:space="preserve">一、合同标的物内容</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本合同的标的物内容详见附件。</w:t>
      </w:r>
      <w:r/>
    </w:p>
    <w:p>
      <w:pPr>
        <w:pStyle w:val="778"/>
        <w:ind w:left="0"/>
        <w:rPr>
          <w:rFonts w:ascii="仿宋" w:hAnsi="仿宋" w:eastAsia="仿宋" w:cs="仿宋"/>
          <w:b/>
          <w:sz w:val="24"/>
          <w:szCs w:val="24"/>
        </w:rPr>
        <w:outlineLvl w:val="1"/>
      </w:pPr>
      <w:r>
        <w:rPr>
          <w:rFonts w:hint="eastAsia" w:ascii="仿宋" w:hAnsi="仿宋" w:eastAsia="仿宋" w:cs="仿宋"/>
          <w:b/>
          <w:sz w:val="24"/>
          <w:szCs w:val="24"/>
        </w:rPr>
        <w:t xml:space="preserve">二、服务条件</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（一）服务地点：徐州经济技术开发区区域范围。</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（二）服务能力审核：自合同签订之日起30日内，乙方如已经具备初次交付能力，书面向甲方申请初验。由甲方对乙方进行初次交付服务能力审核，结果为合格视为具备服务能力。</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（三）服务期：自初次交付服务能力审核通过之日起三年。</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（四）服务内容</w:t>
      </w:r>
      <w:r>
        <w:rPr>
          <w:rFonts w:hint="eastAsia" w:ascii="仿宋" w:hAnsi="仿宋" w:eastAsia="仿宋" w:cs="仿宋"/>
          <w:bCs/>
          <w:sz w:val="24"/>
          <w:szCs w:val="24"/>
        </w:rPr>
        <w:t xml:space="preserve">：见招标文件和乙方投标文件。</w:t>
      </w:r>
      <w:r/>
    </w:p>
    <w:p>
      <w:pPr>
        <w:pStyle w:val="778"/>
        <w:ind w:left="0"/>
        <w:rPr>
          <w:rFonts w:ascii="仿宋" w:hAnsi="仿宋" w:eastAsia="仿宋" w:cs="仿宋"/>
          <w:b/>
          <w:sz w:val="24"/>
          <w:szCs w:val="24"/>
        </w:rPr>
        <w:outlineLvl w:val="1"/>
      </w:pPr>
      <w:r>
        <w:rPr>
          <w:rFonts w:hint="eastAsia" w:ascii="仿宋" w:hAnsi="仿宋" w:eastAsia="仿宋" w:cs="仿宋"/>
          <w:b/>
          <w:sz w:val="24"/>
          <w:szCs w:val="24"/>
        </w:rPr>
        <w:t xml:space="preserve">三、合同价款</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合同金额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第一合同年支付金额为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万元（合同金额的1/3）；第二合同年支付金额为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万元（合同金额的1/3），第三合同年支付金额为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万元（合同金额的1/3）。</w:t>
      </w:r>
      <w:r/>
    </w:p>
    <w:p>
      <w:pPr>
        <w:pStyle w:val="778"/>
        <w:ind w:left="0"/>
        <w:rPr>
          <w:rFonts w:ascii="仿宋" w:hAnsi="仿宋" w:eastAsia="仿宋" w:cs="仿宋"/>
          <w:b/>
          <w:bCs/>
          <w:sz w:val="24"/>
          <w:szCs w:val="24"/>
        </w:rPr>
        <w:outlineLvl w:val="1"/>
      </w:pPr>
      <w:r>
        <w:rPr>
          <w:rFonts w:hint="eastAsia" w:ascii="仿宋" w:hAnsi="仿宋" w:eastAsia="仿宋" w:cs="仿宋"/>
          <w:b/>
          <w:sz w:val="24"/>
          <w:szCs w:val="24"/>
        </w:rPr>
        <w:t xml:space="preserve">四、款项结算</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（一）合同期内，每12个月为一个合同年，每一合同年支付两次款项，每次支付当年合同支付金额的50%。</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二）自服务期开始之日起算每满6个月，甲方在5个工作日内组织服务验收及考核，通过后10个工作日内，甲方根据考核情况（详见合同附件3），从当年每次支付金额中扣除相关款项（根据合同附件的考核要求计算的服务不达标扣除款项）后，向乙方结算相关费用。</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（三）支付方式：银行转账。</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（四）结算方式：乙方开具发票，持结算等额发票，与甲方结算，一切费用均以人民币结算及支付。</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（五）乙方及收款账户为：</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公司名称：___________________</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地址：___________________</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电话：___________________</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开户行：___________________</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账号：___________________</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纳税人识别号：___________________</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（七）发票：</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乙方应当在甲方支付费用前的10个工作日内提供等值金额的增值税普通发票，开票信息如下：</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发票单位：_______________</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税务登记号：_______________</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开户银行：_______________</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银行账号：_______________</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地址：_______________</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联系电话：_______________</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（八）结算方式：乙方依据结算金额开具发票，持服务合同、发票，申请甲方付款，甲方在收到发票后的10个工作日内付款。</w:t>
      </w:r>
      <w:r/>
    </w:p>
    <w:p>
      <w:pPr>
        <w:pStyle w:val="778"/>
        <w:ind w:left="0"/>
        <w:rPr>
          <w:rFonts w:ascii="仿宋" w:hAnsi="仿宋" w:eastAsia="仿宋" w:cs="仿宋"/>
          <w:b/>
          <w:bCs/>
          <w:sz w:val="24"/>
          <w:szCs w:val="24"/>
        </w:rPr>
        <w:outlineLvl w:val="1"/>
      </w:pPr>
      <w:r>
        <w:rPr>
          <w:rFonts w:hint="eastAsia" w:ascii="仿宋" w:hAnsi="仿宋" w:eastAsia="仿宋" w:cs="仿宋"/>
          <w:b/>
          <w:sz w:val="24"/>
          <w:szCs w:val="24"/>
        </w:rPr>
        <w:t xml:space="preserve">五、双方的权利和义务</w:t>
      </w:r>
      <w:r/>
    </w:p>
    <w:p>
      <w:pPr>
        <w:pStyle w:val="778"/>
        <w:ind w:left="0" w:firstLine="480"/>
        <w:rPr>
          <w:rFonts w:ascii="仿宋" w:hAnsi="仿宋" w:eastAsia="仿宋" w:cs="仿宋"/>
          <w:sz w:val="24"/>
          <w:szCs w:val="24"/>
        </w:rPr>
        <w:outlineLvl w:val="2"/>
      </w:pPr>
      <w:r>
        <w:rPr>
          <w:rFonts w:hint="eastAsia" w:ascii="仿宋" w:hAnsi="仿宋" w:eastAsia="仿宋" w:cs="仿宋"/>
          <w:sz w:val="24"/>
          <w:szCs w:val="24"/>
        </w:rPr>
        <w:t xml:space="preserve">（一）甲方的权利和义务</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1.本合同服务期开始后，乙方将保障甲方（含使用甲方提供服务的单位）的需求。</w:t>
      </w:r>
      <w:r/>
    </w:p>
    <w:p>
      <w:pPr>
        <w:pStyle w:val="778"/>
        <w:ind w:left="0" w:firstLine="480"/>
        <w:rPr>
          <w:rFonts w:ascii="仿宋" w:hAnsi="仿宋" w:eastAsia="仿宋" w:cs="仿宋"/>
          <w:bCs/>
          <w:color w:val="c00000"/>
          <w:sz w:val="24"/>
          <w:szCs w:val="24"/>
        </w:rPr>
      </w:pPr>
      <w:r>
        <w:rPr>
          <w:rFonts w:hint="eastAsia" w:ascii="仿宋" w:hAnsi="仿宋" w:eastAsia="仿宋" w:cs="仿宋"/>
          <w:sz w:val="24"/>
          <w:szCs w:val="24"/>
        </w:rPr>
        <w:t xml:space="preserve">2.服务期满后相关设备由服务购买方处置。</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3.甲方应根据合同约定按时足额支付各类费用。</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4.甲方承诺遵守附件2《信息安全责任书》，如果甲方违反了此承诺书相关规定，甲方有义务在规定的时间完成改正。对于不能按照规定改正的，乙方有权在书面通知甲方后暂停相关服务，直至甲方按照相关规定改正。</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5.为保障服务质量，降低安全风险，提升用户体验，乙方需对硬件、软件、软件平台及相关内容实施更新与升级（如软硬件故障、设备到期替换或切换等），甲方需给予协调与配合。乙方基于网络运维需要可能对甲方的数据在徐州市电子政务外网网络内部进行迁移，乙方需在操作前向甲方提交方案，获得甲方同意后</w:t>
      </w:r>
      <w:r>
        <w:rPr>
          <w:rFonts w:hint="eastAsia" w:ascii="仿宋" w:hAnsi="仿宋" w:eastAsia="仿宋" w:cs="仿宋"/>
          <w:sz w:val="24"/>
          <w:szCs w:val="24"/>
        </w:rPr>
        <w:t xml:space="preserve">方可实施，甲方认可并同意在该条件下的数据（含个人数据）迁移不构成乙方对甲方的隐私或保密信息的侵犯。</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6.依据项目情况，甲方有权要求乙方更换项目相关服务人员。</w:t>
      </w:r>
      <w:r/>
    </w:p>
    <w:p>
      <w:pPr>
        <w:pStyle w:val="778"/>
        <w:ind w:left="0"/>
        <w:rPr>
          <w:rFonts w:ascii="仿宋" w:hAnsi="仿宋" w:eastAsia="仿宋" w:cs="仿宋"/>
          <w:sz w:val="24"/>
          <w:szCs w:val="24"/>
        </w:rPr>
        <w:outlineLvl w:val="2"/>
      </w:pPr>
      <w:r>
        <w:rPr>
          <w:rFonts w:hint="eastAsia" w:ascii="仿宋" w:hAnsi="仿宋" w:eastAsia="仿宋" w:cs="仿宋"/>
          <w:b/>
          <w:sz w:val="24"/>
          <w:szCs w:val="24"/>
        </w:rPr>
        <w:t xml:space="preserve">（二）乙方的权利和义务</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1. 签署合同后，乙方应确定项目负责人（或项目联系人）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，负责与本合同有关的事务。</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3.乙方有权根据合同约定向甲方收取合同价款。</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4.合同期内，为保证业务稳定，乙方在未经甲方同意情况下，不允许调整、更换线路、设备、软件和软件平台。乙方负责运营所需的水、电、机柜、带宽、IP、政务专线、政务裸光纤等运行维护费用。</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5.合同期内，乙方保证其提供网络服务的安全性。因服务（包含线路、设备、软件和软件平台）原因造成的各类安全事故，责任由乙方承担。</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6.政务外网须按照省相关规范建设。满足相关监管单位的监管要求。</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7.乙方提供满足甲方业务需求、适当冗余服务资源（包括投入软硬件设备、搭建软件平台、提供运维人力等）。乙方按照本合同约定向甲方提供服务，对甲方投诉及时做出书面回复，不断提高服务质量，满足甲方服务需求。</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8.乙方需提供相关设备3年原厂硬件质保服务和软件升级服务。</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（1）除了能得到相应品牌产品生产厂家（原厂）承诺售后服务外，对于日常使用过程中甲方反映的问题，乙方做到7*24小时内免费上门服务到位；</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（2）免费质保期内提供免费整机保修和系统升级维护服务。</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（3）免费质保期内对于设备出现的故障，乙方要在48小时内解决问题；超过48小时不能解决问题，乙方提供并启用备用机确保用户可以正常使用。</w:t>
      </w:r>
      <w:r/>
    </w:p>
    <w:p>
      <w:pPr>
        <w:pStyle w:val="778"/>
        <w:ind w:left="0"/>
        <w:rPr>
          <w:rFonts w:ascii="仿宋" w:hAnsi="仿宋" w:eastAsia="仿宋" w:cs="仿宋"/>
          <w:bCs/>
          <w:sz w:val="24"/>
          <w:szCs w:val="24"/>
        </w:rPr>
        <w:outlineLvl w:val="1"/>
      </w:pPr>
      <w:r>
        <w:rPr>
          <w:rFonts w:hint="eastAsia" w:ascii="仿宋" w:hAnsi="仿宋" w:eastAsia="仿宋" w:cs="仿宋"/>
          <w:b/>
          <w:sz w:val="24"/>
          <w:szCs w:val="24"/>
        </w:rPr>
        <w:t xml:space="preserve">六、质量保证</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乙方所提供服务必须执行下列条款：</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（一）服务方案和方式科学、可行，人员配置合理，全面满足要求。</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（二）符合国家有关服务规范要求，确保各项服务达到最佳运行效果。</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（三）乙方提供的服务，若发生侵权而产生的一切后果，由乙方负责。甲方保留索赔权利。</w:t>
      </w:r>
      <w:r/>
    </w:p>
    <w:p>
      <w:pPr>
        <w:pStyle w:val="778"/>
        <w:ind w:left="0"/>
        <w:rPr>
          <w:rFonts w:ascii="仿宋" w:hAnsi="仿宋" w:eastAsia="仿宋" w:cs="仿宋"/>
          <w:b/>
          <w:bCs/>
          <w:sz w:val="24"/>
          <w:szCs w:val="24"/>
        </w:rPr>
        <w:outlineLvl w:val="1"/>
      </w:pPr>
      <w:r>
        <w:rPr>
          <w:rFonts w:hint="eastAsia" w:ascii="仿宋" w:hAnsi="仿宋" w:eastAsia="仿宋" w:cs="仿宋"/>
          <w:b/>
          <w:sz w:val="24"/>
          <w:szCs w:val="24"/>
        </w:rPr>
        <w:t xml:space="preserve">七、服务考核与验收</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（一）项目提供服务前要进行初验，先由乙方进行自检，自检合格后申请甲方进行验收。甲方确认乙方的自检内容后，组织验收，验收时乙方应派人员参加，</w:t>
      </w:r>
      <w:r>
        <w:rPr>
          <w:rFonts w:hint="eastAsia" w:ascii="仿宋" w:hAnsi="仿宋" w:eastAsia="仿宋" w:cs="仿宋"/>
          <w:sz w:val="24"/>
          <w:szCs w:val="24"/>
        </w:rPr>
        <w:t xml:space="preserve">共同对验收结果进行确认，并承担相关责任。初验通过后每满6个月进行该阶段的能力和服务验收。</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（二）乙方向甲方提交服务实施过程中的所有资料。以便甲方日后管理和维护。</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（三）验收依据</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1.招标文件、投标文件、澄清表（函）；</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2.本合同及附件文本；</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3.国家相应的标准、规范；</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4.考核结果</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（四）验收标准</w:t>
      </w:r>
      <w:r/>
    </w:p>
    <w:p>
      <w:pPr>
        <w:pStyle w:val="778"/>
        <w:ind w:left="0" w:firstLine="480"/>
        <w:rPr>
          <w:rFonts w:ascii="仿宋" w:hAnsi="仿宋" w:eastAsia="仿宋" w:cs="仿宋"/>
          <w:bCs/>
          <w:sz w:val="24"/>
          <w:szCs w:val="24"/>
        </w:rPr>
      </w:pPr>
      <w:r/>
      <w:bookmarkStart w:id="82" w:name="OLE_LINK256"/>
      <w:r/>
      <w:bookmarkStart w:id="83" w:name="OLE_LINK257"/>
      <w:r/>
      <w:bookmarkStart w:id="84" w:name="OLE_LINK258"/>
      <w:r>
        <w:rPr>
          <w:rFonts w:hint="eastAsia" w:ascii="仿宋" w:hAnsi="仿宋" w:eastAsia="仿宋" w:cs="仿宋"/>
          <w:sz w:val="24"/>
          <w:szCs w:val="24"/>
        </w:rPr>
        <w:t xml:space="preserve">1.</w:t>
      </w:r>
      <w:bookmarkStart w:id="85" w:name="OLE_LINK255"/>
      <w:r/>
      <w:bookmarkStart w:id="86" w:name="OLE_LINK145"/>
      <w:r>
        <w:rPr>
          <w:rFonts w:hint="eastAsia" w:ascii="仿宋" w:hAnsi="仿宋" w:eastAsia="仿宋" w:cs="仿宋"/>
          <w:sz w:val="24"/>
          <w:szCs w:val="24"/>
        </w:rPr>
        <w:t xml:space="preserve">验收时按照乙方投标文件中的参数响应表验收（详见附件4《技术参数响应表》）。</w:t>
      </w:r>
      <w:bookmarkEnd w:id="85"/>
      <w:r/>
      <w:bookmarkEnd w:id="86"/>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2.验收时按照服务实际使用量进行核对验收。</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3.按照考核办法进行验收。</w:t>
      </w:r>
      <w:bookmarkEnd w:id="82"/>
      <w:r/>
      <w:bookmarkEnd w:id="83"/>
      <w:r/>
      <w:bookmarkEnd w:id="84"/>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（五）考核办法</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服务周期内定期进行考核，对乙方在服务期内提供的服务进行考核打分。考评体系参考附件3《服务考核指标体系》。根据服务考核得分，考核结果分为良好、基本合格、不合格三个档次，各档次应用如下：</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1.服务考核得分≥90分为良好档次，当次服务费支付标准为服务费用结算金额的100%，按合同约定向乙方全额支付服务费用。</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2.80分≤服务考核得分＜90分为基本合格档次，扣除乙方服务费用结算金额的5%，同时打分单位需要对打分进行说明；</w:t>
      </w:r>
      <w:r/>
    </w:p>
    <w:p>
      <w:pPr>
        <w:pStyle w:val="778"/>
        <w:numPr>
          <w:ilvl w:val="0"/>
          <w:numId w:val="9"/>
        </w:numPr>
        <w:ind w:firstLine="480"/>
        <w:rPr>
          <w:rFonts w:ascii="仿宋" w:hAnsi="仿宋" w:eastAsia="仿宋" w:cs="仿宋"/>
          <w:sz w:val="24"/>
          <w:szCs w:val="24"/>
        </w:rPr>
      </w:pPr>
      <w:r>
        <w:rPr>
          <w:rFonts w:hint="eastAsia" w:ascii="仿宋" w:hAnsi="仿宋" w:eastAsia="仿宋" w:cs="仿宋"/>
          <w:sz w:val="24"/>
          <w:szCs w:val="24"/>
        </w:rPr>
        <w:t xml:space="preserve">服务考核得分＜80分为不合格档次，扣除乙方服务费用结算金额的15%，同时打分单位需要对打分进行说明。甲方有权终止合同。</w:t>
      </w:r>
      <w:r/>
    </w:p>
    <w:p>
      <w:pPr>
        <w:ind w:firstLine="480"/>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出现以下情况中任意一项的，均为低于80分：</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① 考核表中任一项扣分达到10分的；</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② 考核表中任一项扣分至0分的；</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③ 擅自修改数据或配置，引起严重后果的；</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④ 违反已签订的保密协议、泄露系统配置、系统信息、相关文档内容和核心技术的；</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⑤ 服务中出现严重影响招标人业务运行事件的。</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其他要求包括但不限于：</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① 甲方有权要求乙方随时更换能力不符合岗位要求的为本项目服务的人员。</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② 每一项目涉及到多人考核时，以平均分计算。</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③ 本考核内容细则由招标人负责解释和修改。</w:t>
      </w:r>
      <w:r/>
    </w:p>
    <w:p>
      <w:pPr>
        <w:ind w:left="420"/>
        <w:spacing w:line="400" w:lineRule="exact"/>
        <w:rPr>
          <w:rFonts w:ascii="仿宋" w:hAnsi="仿宋" w:eastAsia="仿宋" w:cs="仿宋"/>
          <w:sz w:val="24"/>
        </w:rPr>
      </w:pPr>
      <w:r>
        <w:rPr>
          <w:rFonts w:hint="eastAsia" w:ascii="仿宋" w:hAnsi="仿宋" w:eastAsia="仿宋" w:cs="仿宋"/>
          <w:sz w:val="24"/>
        </w:rPr>
        <w:t xml:space="preserve">（六）关于验收的其他要求</w:t>
      </w:r>
      <w:r/>
    </w:p>
    <w:p>
      <w:pPr>
        <w:ind w:left="420"/>
        <w:spacing w:line="400" w:lineRule="exact"/>
        <w:rPr>
          <w:rFonts w:ascii="仿宋" w:hAnsi="仿宋" w:eastAsia="仿宋" w:cs="仿宋"/>
          <w:sz w:val="24"/>
        </w:rPr>
      </w:pPr>
      <w:r>
        <w:rPr>
          <w:rFonts w:hint="eastAsia" w:ascii="仿宋" w:hAnsi="仿宋" w:eastAsia="仿宋" w:cs="仿宋"/>
          <w:sz w:val="24"/>
        </w:rPr>
        <w:t xml:space="preserve">（1）验收组织方式：</w:t>
      </w:r>
      <w:r>
        <w:rPr>
          <w:rFonts w:ascii="Wingdings" w:hAnsi="Wingdings" w:eastAsia="Wingdings" w:cs="Wingdings"/>
          <w:sz w:val="24"/>
        </w:rPr>
        <w:t xml:space="preserve"></w:t>
      </w:r>
      <w:r>
        <w:rPr>
          <w:rFonts w:hint="eastAsia" w:ascii="仿宋" w:hAnsi="仿宋" w:eastAsia="仿宋" w:cs="仿宋"/>
          <w:sz w:val="24"/>
        </w:rPr>
        <w:t xml:space="preserve">自行组织 </w:t>
      </w:r>
      <w:r>
        <w:rPr>
          <w:rFonts w:ascii="Wingdings" w:hAnsi="Wingdings" w:eastAsia="Wingdings" w:cs="Wingdings"/>
          <w:sz w:val="24"/>
        </w:rPr>
        <w:t xml:space="preserve"></w:t>
      </w:r>
      <w:r>
        <w:rPr>
          <w:rFonts w:hint="eastAsia" w:ascii="仿宋" w:hAnsi="仿宋" w:eastAsia="仿宋" w:cs="仿宋"/>
          <w:sz w:val="24"/>
        </w:rPr>
        <w:t xml:space="preserve">委托第三方组织</w:t>
      </w:r>
      <w:r/>
    </w:p>
    <w:p>
      <w:pPr>
        <w:spacing w:line="400" w:lineRule="exact"/>
        <w:rPr>
          <w:rFonts w:ascii="仿宋" w:hAnsi="仿宋" w:eastAsia="仿宋" w:cs="仿宋"/>
          <w:sz w:val="24"/>
        </w:rPr>
      </w:pPr>
      <w:r>
        <w:rPr>
          <w:rFonts w:hint="eastAsia" w:ascii="仿宋" w:hAnsi="仿宋" w:eastAsia="仿宋" w:cs="仿宋"/>
          <w:sz w:val="24"/>
        </w:rPr>
        <w:t xml:space="preserve">        验收主体：</w:t>
      </w:r>
      <w:r/>
    </w:p>
    <w:p>
      <w:pPr>
        <w:spacing w:line="400" w:lineRule="exact"/>
        <w:rPr>
          <w:rFonts w:ascii="仿宋" w:hAnsi="仿宋" w:eastAsia="仿宋" w:cs="仿宋"/>
          <w:sz w:val="24"/>
        </w:rPr>
      </w:pPr>
      <w:r>
        <w:rPr>
          <w:rFonts w:hint="eastAsia" w:ascii="仿宋" w:hAnsi="仿宋" w:eastAsia="仿宋" w:cs="仿宋"/>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cs="仿宋"/>
          <w:sz w:val="24"/>
        </w:rPr>
        <w:t xml:space="preserve">是  </w:t>
      </w:r>
      <w:r>
        <w:rPr>
          <w:rFonts w:ascii="Wingdings" w:hAnsi="Wingdings" w:eastAsia="Wingdings" w:cs="Wingdings"/>
          <w:sz w:val="24"/>
        </w:rPr>
        <w:t xml:space="preserve"></w:t>
      </w:r>
      <w:r>
        <w:rPr>
          <w:rFonts w:hint="eastAsia" w:ascii="仿宋" w:hAnsi="仿宋" w:eastAsia="仿宋" w:cs="仿宋"/>
          <w:sz w:val="24"/>
        </w:rPr>
        <w:t xml:space="preserve">否</w:t>
      </w:r>
      <w:r/>
    </w:p>
    <w:p>
      <w:pPr>
        <w:ind w:firstLine="960"/>
        <w:spacing w:line="400" w:lineRule="exact"/>
        <w:rPr>
          <w:rFonts w:ascii="仿宋" w:hAnsi="仿宋" w:eastAsia="仿宋" w:cs="仿宋"/>
          <w:sz w:val="24"/>
        </w:rPr>
      </w:pPr>
      <w:r>
        <w:rPr>
          <w:rFonts w:hint="eastAsia" w:ascii="仿宋" w:hAnsi="仿宋" w:eastAsia="仿宋" w:cs="仿宋"/>
          <w:sz w:val="24"/>
        </w:rPr>
        <w:t xml:space="preserve">是否邀请专家参加验收：</w:t>
      </w:r>
      <w:r>
        <w:rPr>
          <w:rFonts w:ascii="Wingdings" w:hAnsi="Wingdings" w:eastAsia="Wingdings" w:cs="Wingdings"/>
          <w:sz w:val="24"/>
        </w:rPr>
        <w:t xml:space="preserve"></w:t>
      </w:r>
      <w:r>
        <w:rPr>
          <w:rFonts w:hint="eastAsia" w:ascii="仿宋" w:hAnsi="仿宋" w:eastAsia="仿宋" w:cs="仿宋"/>
          <w:sz w:val="24"/>
        </w:rPr>
        <w:t xml:space="preserve">是  </w:t>
      </w:r>
      <w:r>
        <w:rPr>
          <w:rFonts w:ascii="Wingdings" w:hAnsi="Wingdings" w:eastAsia="Wingdings" w:cs="Wingdings"/>
          <w:sz w:val="24"/>
        </w:rPr>
        <w:t xml:space="preserve"></w:t>
      </w:r>
      <w:r>
        <w:rPr>
          <w:rFonts w:hint="eastAsia" w:ascii="仿宋" w:hAnsi="仿宋" w:eastAsia="仿宋" w:cs="仿宋"/>
          <w:sz w:val="24"/>
        </w:rPr>
        <w:t xml:space="preserve">否</w:t>
      </w:r>
      <w:r/>
    </w:p>
    <w:p>
      <w:pPr>
        <w:ind w:firstLine="960"/>
        <w:spacing w:line="400" w:lineRule="exact"/>
        <w:rPr>
          <w:rFonts w:ascii="仿宋" w:hAnsi="仿宋" w:eastAsia="仿宋" w:cs="仿宋"/>
          <w:sz w:val="24"/>
        </w:rPr>
      </w:pPr>
      <w:r>
        <w:rPr>
          <w:rFonts w:hint="eastAsia" w:ascii="仿宋" w:hAnsi="仿宋" w:eastAsia="仿宋" w:cs="仿宋"/>
          <w:sz w:val="24"/>
        </w:rPr>
        <w:t xml:space="preserve">是否邀请服务对象参加验收：</w:t>
      </w:r>
      <w:r>
        <w:rPr>
          <w:rFonts w:ascii="Wingdings" w:hAnsi="Wingdings" w:eastAsia="Wingdings" w:cs="Wingdings"/>
          <w:sz w:val="24"/>
        </w:rPr>
        <w:t xml:space="preserve"></w:t>
      </w:r>
      <w:r>
        <w:rPr>
          <w:rFonts w:hint="eastAsia" w:ascii="仿宋" w:hAnsi="仿宋" w:eastAsia="仿宋" w:cs="仿宋"/>
          <w:sz w:val="24"/>
        </w:rPr>
        <w:t xml:space="preserve">是  </w:t>
      </w:r>
      <w:r>
        <w:rPr>
          <w:rFonts w:ascii="Wingdings" w:hAnsi="Wingdings" w:eastAsia="Wingdings" w:cs="Wingdings"/>
          <w:sz w:val="24"/>
        </w:rPr>
        <w:t xml:space="preserve"></w:t>
      </w:r>
      <w:r>
        <w:rPr>
          <w:rFonts w:hint="eastAsia" w:ascii="仿宋" w:hAnsi="仿宋" w:eastAsia="仿宋" w:cs="仿宋"/>
          <w:sz w:val="24"/>
        </w:rPr>
        <w:t xml:space="preserve">否</w:t>
      </w:r>
      <w:r/>
    </w:p>
    <w:p>
      <w:pPr>
        <w:ind w:firstLine="960"/>
        <w:spacing w:line="400" w:lineRule="exact"/>
        <w:rPr>
          <w:rFonts w:ascii="仿宋" w:hAnsi="仿宋" w:eastAsia="仿宋" w:cs="仿宋"/>
          <w:sz w:val="24"/>
        </w:rPr>
      </w:pPr>
      <w:r>
        <w:rPr>
          <w:rFonts w:hint="eastAsia" w:ascii="仿宋" w:hAnsi="仿宋" w:eastAsia="仿宋" w:cs="仿宋"/>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cs="仿宋"/>
          <w:sz w:val="24"/>
        </w:rPr>
        <w:t xml:space="preserve">是  </w:t>
      </w:r>
      <w:r>
        <w:rPr>
          <w:rFonts w:ascii="Wingdings" w:hAnsi="Wingdings" w:eastAsia="Wingdings" w:cs="Wingdings"/>
          <w:sz w:val="24"/>
        </w:rPr>
        <w:t xml:space="preserve"></w:t>
      </w:r>
      <w:r>
        <w:rPr>
          <w:rFonts w:hint="eastAsia" w:ascii="仿宋" w:hAnsi="仿宋" w:eastAsia="仿宋" w:cs="仿宋"/>
          <w:sz w:val="24"/>
        </w:rPr>
        <w:t xml:space="preserve">否</w:t>
      </w:r>
      <w:r/>
    </w:p>
    <w:p>
      <w:pPr>
        <w:ind w:firstLine="960"/>
        <w:spacing w:line="400" w:lineRule="exact"/>
        <w:rPr>
          <w:rFonts w:ascii="仿宋" w:hAnsi="仿宋" w:eastAsia="仿宋" w:cs="仿宋"/>
          <w:sz w:val="24"/>
        </w:rPr>
      </w:pPr>
      <w:r>
        <w:rPr>
          <w:rFonts w:hint="eastAsia" w:ascii="仿宋" w:hAnsi="仿宋" w:eastAsia="仿宋" w:cs="仿宋"/>
          <w:sz w:val="24"/>
        </w:rPr>
        <w:t xml:space="preserve">是否进行抽查：</w:t>
      </w:r>
      <w:r>
        <w:rPr>
          <w:rFonts w:ascii="Wingdings" w:hAnsi="Wingdings" w:eastAsia="Wingdings" w:cs="Wingdings"/>
          <w:sz w:val="24"/>
        </w:rPr>
        <w:t xml:space="preserve"></w:t>
      </w:r>
      <w:r>
        <w:rPr>
          <w:rFonts w:hint="eastAsia" w:ascii="仿宋" w:hAnsi="仿宋" w:eastAsia="仿宋" w:cs="仿宋"/>
          <w:sz w:val="24"/>
        </w:rPr>
        <w:t xml:space="preserve">是 </w:t>
      </w:r>
      <w:r>
        <w:rPr>
          <w:rFonts w:ascii="Wingdings" w:hAnsi="Wingdings" w:eastAsia="Wingdings" w:cs="Wingdings"/>
          <w:sz w:val="24"/>
        </w:rPr>
        <w:t xml:space="preserve"></w:t>
      </w:r>
      <w:r>
        <w:rPr>
          <w:rFonts w:hint="eastAsia" w:ascii="仿宋" w:hAnsi="仿宋" w:eastAsia="仿宋" w:cs="仿宋"/>
          <w:sz w:val="24"/>
        </w:rPr>
        <w:t xml:space="preserve">否</w:t>
      </w:r>
      <w:r/>
    </w:p>
    <w:p>
      <w:pPr>
        <w:ind w:firstLine="960"/>
        <w:spacing w:line="400" w:lineRule="exact"/>
        <w:rPr>
          <w:rFonts w:ascii="仿宋" w:hAnsi="仿宋" w:eastAsia="仿宋" w:cs="仿宋"/>
          <w:sz w:val="24"/>
        </w:rPr>
      </w:pPr>
      <w:r>
        <w:rPr>
          <w:rFonts w:hint="eastAsia" w:ascii="仿宋" w:hAnsi="仿宋" w:eastAsia="仿宋" w:cs="仿宋"/>
          <w:sz w:val="24"/>
        </w:rPr>
        <w:t xml:space="preserve">如果履约验收涉及检测（检验）费、专业技术人员费用等费用由</w:t>
      </w:r>
      <w:r>
        <w:rPr>
          <w:rFonts w:hint="eastAsia" w:ascii="仿宋" w:hAnsi="仿宋" w:eastAsia="仿宋" w:cs="仿宋"/>
          <w:sz w:val="24"/>
          <w:u w:val="single"/>
        </w:rPr>
        <w:t xml:space="preserve">   乙方 </w:t>
      </w:r>
      <w:r>
        <w:rPr>
          <w:rFonts w:hint="eastAsia" w:ascii="仿宋" w:hAnsi="仿宋" w:eastAsia="仿宋" w:cs="仿宋"/>
          <w:sz w:val="24"/>
        </w:rPr>
        <w:t xml:space="preserve">承担</w:t>
      </w:r>
      <w:r/>
    </w:p>
    <w:p>
      <w:pPr>
        <w:ind w:firstLine="960"/>
        <w:spacing w:line="400" w:lineRule="exact"/>
        <w:rPr>
          <w:rFonts w:ascii="仿宋" w:hAnsi="仿宋" w:eastAsia="仿宋" w:cs="仿宋"/>
          <w:sz w:val="24"/>
        </w:rPr>
      </w:pPr>
      <w:r>
        <w:rPr>
          <w:rFonts w:hint="eastAsia" w:ascii="仿宋" w:hAnsi="仿宋" w:eastAsia="仿宋" w:cs="仿宋"/>
          <w:sz w:val="24"/>
        </w:rPr>
        <w:t xml:space="preserve">验收组织的其他事项：</w:t>
      </w:r>
      <w:r/>
    </w:p>
    <w:p>
      <w:pPr>
        <w:ind w:firstLine="480"/>
        <w:spacing w:line="400" w:lineRule="exact"/>
        <w:rPr>
          <w:rFonts w:ascii="仿宋" w:hAnsi="仿宋" w:eastAsia="仿宋" w:cs="仿宋"/>
          <w:sz w:val="24"/>
        </w:rPr>
      </w:pPr>
      <w:r>
        <w:rPr>
          <w:rFonts w:hint="eastAsia" w:ascii="仿宋" w:hAnsi="仿宋" w:eastAsia="仿宋" w:cs="仿宋"/>
          <w:sz w:val="24"/>
        </w:rPr>
        <w:t xml:space="preserve">（2）履约验收时间：（计划于何时验收/供应商提出验收申请之日起</w:t>
      </w:r>
      <w:r>
        <w:rPr>
          <w:rFonts w:hint="eastAsia" w:ascii="仿宋" w:hAnsi="仿宋" w:eastAsia="仿宋" w:cs="仿宋"/>
          <w:b/>
          <w:sz w:val="24"/>
          <w:u w:val="single"/>
        </w:rPr>
        <w:t xml:space="preserve">5个工作</w:t>
      </w:r>
      <w:r>
        <w:rPr>
          <w:rFonts w:hint="eastAsia" w:ascii="仿宋" w:hAnsi="仿宋" w:eastAsia="仿宋" w:cs="仿宋"/>
          <w:sz w:val="24"/>
        </w:rPr>
        <w:t xml:space="preserve">日内组织验收） </w:t>
      </w:r>
      <w:r/>
    </w:p>
    <w:p>
      <w:pPr>
        <w:pStyle w:val="774"/>
        <w:ind w:firstLine="480"/>
        <w:rPr>
          <w:rFonts w:ascii="仿宋" w:hAnsi="仿宋" w:eastAsia="仿宋" w:cs="仿宋"/>
          <w:sz w:val="24"/>
          <w:szCs w:val="24"/>
        </w:rPr>
      </w:pPr>
      <w:r>
        <w:rPr>
          <w:rFonts w:hint="eastAsia" w:ascii="仿宋" w:hAnsi="仿宋" w:eastAsia="仿宋" w:cs="仿宋"/>
          <w:sz w:val="24"/>
          <w:szCs w:val="24"/>
        </w:rPr>
        <w:t xml:space="preserve">（3）履约验收方式：</w:t>
      </w:r>
      <w:r>
        <w:rPr>
          <w:rFonts w:ascii="Wingdings" w:hAnsi="Wingdings" w:eastAsia="Wingdings" w:cs="Wingdings"/>
          <w:sz w:val="24"/>
          <w:szCs w:val="24"/>
        </w:rPr>
        <w:t xml:space="preserve">þ</w:t>
      </w:r>
      <w:r>
        <w:rPr>
          <w:rFonts w:hint="eastAsia" w:ascii="仿宋" w:hAnsi="仿宋" w:eastAsia="仿宋" w:cs="仿宋"/>
          <w:sz w:val="24"/>
          <w:szCs w:val="24"/>
        </w:rPr>
        <w:t xml:space="preserve">一次性验收         </w:t>
      </w:r>
      <w:r/>
    </w:p>
    <w:p>
      <w:pPr>
        <w:pStyle w:val="774"/>
        <w:ind w:firstLine="480"/>
        <w:rPr>
          <w:rFonts w:ascii="仿宋" w:hAnsi="仿宋" w:eastAsia="仿宋" w:cs="仿宋"/>
          <w:sz w:val="24"/>
          <w:szCs w:val="24"/>
        </w:rPr>
      </w:pPr>
      <w:r>
        <w:rPr>
          <w:rFonts w:ascii="Wingdings" w:hAnsi="Wingdings" w:eastAsia="Wingdings" w:cs="Wingdings"/>
          <w:sz w:val="24"/>
          <w:szCs w:val="24"/>
        </w:rPr>
        <w:t xml:space="preserve">¨</w:t>
      </w:r>
      <w:r>
        <w:rPr>
          <w:rFonts w:hint="eastAsia" w:ascii="仿宋" w:hAnsi="仿宋" w:eastAsia="仿宋" w:cs="仿宋"/>
          <w:sz w:val="24"/>
          <w:szCs w:val="24"/>
        </w:rPr>
        <w:t xml:space="preserve">分期/分项验收：</w:t>
      </w:r>
      <w:r>
        <w:rPr>
          <w:rFonts w:hint="eastAsia" w:ascii="仿宋" w:hAnsi="仿宋" w:eastAsia="仿宋" w:cs="仿宋"/>
          <w:sz w:val="24"/>
          <w:szCs w:val="24"/>
          <w:u w:val="single"/>
        </w:rPr>
        <w:t xml:space="preserve"> （应明确分期/分项验收的工作安排）  </w:t>
      </w:r>
      <w:r/>
    </w:p>
    <w:p>
      <w:pPr>
        <w:pStyle w:val="774"/>
        <w:ind w:firstLine="480"/>
        <w:rPr>
          <w:rFonts w:ascii="仿宋" w:hAnsi="仿宋" w:eastAsia="仿宋" w:cs="仿宋"/>
          <w:sz w:val="24"/>
          <w:szCs w:val="24"/>
        </w:rPr>
      </w:pPr>
      <w:r>
        <w:rPr>
          <w:rFonts w:hint="eastAsia" w:ascii="仿宋" w:hAnsi="仿宋" w:eastAsia="仿宋" w:cs="仿宋"/>
          <w:sz w:val="24"/>
          <w:szCs w:val="24"/>
        </w:rPr>
        <w:t xml:space="preserve">（4）履约验收程序：</w:t>
      </w:r>
      <w:r/>
    </w:p>
    <w:p>
      <w:pPr>
        <w:pStyle w:val="774"/>
        <w:ind w:firstLine="480"/>
        <w:rPr>
          <w:rFonts w:ascii="仿宋" w:hAnsi="仿宋" w:eastAsia="仿宋" w:cs="仿宋"/>
          <w:sz w:val="24"/>
          <w:szCs w:val="24"/>
        </w:rPr>
      </w:pPr>
      <w:r>
        <w:rPr>
          <w:rFonts w:hint="eastAsia" w:ascii="仿宋" w:hAnsi="仿宋" w:eastAsia="仿宋" w:cs="仿宋"/>
          <w:sz w:val="24"/>
          <w:szCs w:val="24"/>
        </w:rPr>
        <w:t xml:space="preserve">（5）履约验收的内容：</w:t>
      </w:r>
      <w:r>
        <w:rPr>
          <w:rFonts w:hint="eastAsia" w:ascii="仿宋" w:hAnsi="仿宋" w:eastAsia="仿宋" w:cs="仿宋"/>
          <w:sz w:val="24"/>
          <w:szCs w:val="24"/>
          <w:u w:val="single"/>
        </w:rPr>
        <w:t xml:space="preserve"> （应当包括每一项技术和商务要求的履约情况，特别是落实政府采购扶持中小企业，支持绿色发展和乡村振兴等政策情况。）</w:t>
      </w:r>
      <w:r/>
    </w:p>
    <w:p>
      <w:pPr>
        <w:pStyle w:val="774"/>
        <w:ind w:firstLine="480"/>
        <w:rPr>
          <w:rFonts w:ascii="仿宋" w:hAnsi="仿宋" w:eastAsia="仿宋" w:cs="仿宋"/>
          <w:sz w:val="24"/>
          <w:szCs w:val="24"/>
          <w:u w:val="single"/>
        </w:rPr>
      </w:pPr>
      <w:r>
        <w:rPr>
          <w:rFonts w:hint="eastAsia" w:ascii="仿宋" w:hAnsi="仿宋" w:eastAsia="仿宋" w:cs="仿宋"/>
          <w:sz w:val="24"/>
          <w:szCs w:val="24"/>
        </w:rPr>
        <w:t xml:space="preserve">（6）履约验收标准：</w:t>
      </w:r>
      <w:r>
        <w:rPr>
          <w:rFonts w:hint="eastAsia" w:ascii="仿宋" w:hAnsi="仿宋" w:eastAsia="仿宋" w:cs="仿宋"/>
          <w:sz w:val="24"/>
          <w:szCs w:val="24"/>
          <w:u w:val="single"/>
        </w:rPr>
        <w:t xml:space="preserve">                    </w:t>
      </w:r>
      <w:r/>
    </w:p>
    <w:p>
      <w:pPr>
        <w:pStyle w:val="774"/>
        <w:ind w:firstLine="480"/>
        <w:rPr>
          <w:rFonts w:ascii="仿宋" w:hAnsi="仿宋" w:eastAsia="仿宋" w:cs="仿宋"/>
          <w:sz w:val="24"/>
          <w:szCs w:val="24"/>
        </w:rPr>
      </w:pPr>
      <w:r>
        <w:rPr>
          <w:rFonts w:hint="eastAsia" w:ascii="仿宋" w:hAnsi="仿宋" w:eastAsia="仿宋" w:cs="仿宋"/>
          <w:sz w:val="24"/>
          <w:szCs w:val="24"/>
        </w:rPr>
        <w:t xml:space="preserve">（7）履约验收其他事项：</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ind w:firstLine="480"/>
        <w:spacing w:line="400" w:lineRule="exact"/>
        <w:rPr>
          <w:rFonts w:ascii="仿宋" w:hAnsi="仿宋" w:eastAsia="仿宋" w:cs="仿宋"/>
          <w:sz w:val="24"/>
        </w:rPr>
      </w:pPr>
      <w:r>
        <w:rPr>
          <w:rFonts w:hint="eastAsia" w:ascii="仿宋" w:hAnsi="仿宋" w:eastAsia="仿宋" w:cs="仿宋"/>
          <w:sz w:val="24"/>
        </w:rPr>
        <w:t xml:space="preserve">（8）履约验收要求按照江苏省财政厅《关于印发&lt;江苏省政府采购履约验收管理办法&gt;的通知》（苏财规〔2024〕7号）的规定执行。合同与上述文件规定有矛盾的，以上述文件规定为准。</w:t>
      </w:r>
      <w:r/>
    </w:p>
    <w:p>
      <w:r/>
      <w:r/>
    </w:p>
    <w:p>
      <w:pPr>
        <w:pStyle w:val="778"/>
        <w:ind w:left="0"/>
        <w:rPr>
          <w:rFonts w:ascii="仿宋" w:hAnsi="仿宋" w:eastAsia="仿宋" w:cs="仿宋"/>
          <w:b/>
          <w:bCs/>
          <w:sz w:val="24"/>
          <w:szCs w:val="24"/>
        </w:rPr>
        <w:outlineLvl w:val="1"/>
      </w:pPr>
      <w:r>
        <w:rPr>
          <w:rFonts w:hint="eastAsia" w:ascii="仿宋" w:hAnsi="仿宋" w:eastAsia="仿宋" w:cs="仿宋"/>
          <w:b/>
          <w:sz w:val="24"/>
          <w:szCs w:val="24"/>
        </w:rPr>
        <w:t xml:space="preserve">八、数据所有权</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系统所产生的数据所有权归甲方所有。</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乙方不得未经甲方明确书面同意，将系统数据用作任何商业或非商业的使用，或将信息提供给乙方以外的任何第三方，包括甲方关联企业、乙方关联企业。否则，乙方应向甲方支付合同金额30%的违约金，并赔偿甲方因此造成的其他直接及间接利益损失，包括可预期商业利益的损失。其他违反《中华人民共和国数据安全法》相关规定的，依法承担相关法律责任。</w:t>
      </w:r>
      <w:r/>
    </w:p>
    <w:p>
      <w:pPr>
        <w:pStyle w:val="778"/>
        <w:ind w:left="0"/>
        <w:rPr>
          <w:rFonts w:ascii="仿宋" w:hAnsi="仿宋" w:eastAsia="仿宋" w:cs="仿宋"/>
          <w:b/>
          <w:bCs/>
          <w:sz w:val="24"/>
          <w:szCs w:val="24"/>
        </w:rPr>
        <w:outlineLvl w:val="1"/>
      </w:pPr>
      <w:r>
        <w:rPr>
          <w:rFonts w:hint="eastAsia" w:ascii="仿宋" w:hAnsi="仿宋" w:eastAsia="仿宋" w:cs="仿宋"/>
          <w:b/>
          <w:sz w:val="24"/>
          <w:szCs w:val="24"/>
        </w:rPr>
        <w:t xml:space="preserve">九、不可抗力</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（一）如本合同任何一方由于战争、火灾、水灾、台风、地震、政策因素等不可抗力事情而致使本合同无法按期履行，则履行本合同的时间应予延长，任何一方无须对上述延误所引起的损失或损害负赔偿责任。</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（二）受阻方应将不可抗力事情的发生在尽可能最短的时间内通知另一方，并在其后15日内向另一方发出有关部门出具的证明书或其他为公众认可的资料作为证明。</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（三）如不可抗力因素的影响超过90日，双方应尽快进行友好协商，商定继续履行本合同的方法。</w:t>
      </w:r>
      <w:r/>
    </w:p>
    <w:p>
      <w:pPr>
        <w:pStyle w:val="778"/>
        <w:ind w:left="0"/>
        <w:rPr>
          <w:rFonts w:ascii="仿宋" w:hAnsi="仿宋" w:eastAsia="仿宋" w:cs="仿宋"/>
          <w:b/>
          <w:bCs/>
          <w:sz w:val="24"/>
          <w:szCs w:val="24"/>
        </w:rPr>
        <w:outlineLvl w:val="1"/>
      </w:pPr>
      <w:r>
        <w:rPr>
          <w:rFonts w:hint="eastAsia" w:ascii="仿宋" w:hAnsi="仿宋" w:eastAsia="仿宋" w:cs="仿宋"/>
          <w:b/>
          <w:sz w:val="24"/>
          <w:szCs w:val="24"/>
        </w:rPr>
        <w:t xml:space="preserve">十、违约责任</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按《民法典》中的相关条款执行。</w:t>
      </w:r>
      <w:r/>
    </w:p>
    <w:p>
      <w:pPr>
        <w:pStyle w:val="778"/>
        <w:numPr>
          <w:ilvl w:val="0"/>
          <w:numId w:val="10"/>
        </w:numPr>
        <w:ind w:firstLine="480"/>
        <w:rPr>
          <w:rFonts w:ascii="仿宋" w:hAnsi="仿宋" w:eastAsia="仿宋" w:cs="仿宋"/>
          <w:sz w:val="24"/>
          <w:szCs w:val="24"/>
        </w:rPr>
      </w:pPr>
      <w:r>
        <w:rPr>
          <w:rFonts w:hint="eastAsia" w:ascii="仿宋" w:hAnsi="仿宋" w:eastAsia="仿宋" w:cs="仿宋"/>
          <w:sz w:val="24"/>
          <w:szCs w:val="24"/>
        </w:rPr>
        <w:t xml:space="preserve">未按合同要求提供服务或服务质量不能满足合同要求，甲方应当将乙方违约的情况以及拟采取的措施以书面形式报市财政局，根据市财政局的处理意见，甲方有权依据《民法典》有关条款及合同约定终止合同，并要求乙方承担违约责任。同时，政府采购监管部门有权依据《政府采购法》及相关法律法规对乙方的违法行为进行相应的处罚。</w:t>
      </w:r>
      <w:r/>
    </w:p>
    <w:p>
      <w:pPr>
        <w:ind w:right="210" w:firstLine="480"/>
        <w:spacing w:line="440" w:lineRule="exact"/>
        <w:tabs>
          <w:tab w:val="left" w:pos="720" w:leader="none"/>
          <w:tab w:val="left" w:pos="900" w:leader="none"/>
        </w:tabs>
      </w:pPr>
      <w:r>
        <w:rPr>
          <w:rFonts w:hint="eastAsia" w:ascii="仿宋" w:hAnsi="仿宋" w:eastAsia="仿宋"/>
          <w:sz w:val="24"/>
        </w:rPr>
        <w:t xml:space="preserve">（二）乙方未能按本合同规定的服务时间提供服务，主要包括签订合同内30天内未通过初验。从逾期之日起每日按本合同总价</w:t>
      </w:r>
      <w:r>
        <w:rPr>
          <w:rFonts w:hint="eastAsia" w:ascii="仿宋" w:hAnsi="仿宋" w:eastAsia="仿宋"/>
          <w:sz w:val="24"/>
          <w:u w:val="single"/>
        </w:rPr>
        <w:t xml:space="preserve"> 1‰</w:t>
      </w:r>
      <w:r>
        <w:rPr>
          <w:rFonts w:hint="eastAsia" w:ascii="仿宋" w:hAnsi="仿宋" w:eastAsia="仿宋"/>
          <w:sz w:val="24"/>
        </w:rPr>
        <w:t xml:space="preserve">的数额向甲方支付违约金；逾期七天以上的，甲方有权终止合同，由此造成的甲方经济损失由乙方承担。</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（三）如发生以上需支付违约金情况，验收后由甲方通知乙方通过银行转账支付甲方相应账号。</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四）乙方应保证所提供的产品和服务不会出现因第三方提出侵犯其专利权、商标权或其他知识产权而引发法律或经济纠纷，否则由乙方承担全部责任。任何被乙方用于未经授权的商业目的行为所造成的违约或侵权责任由乙方承担。</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五）由于乙方单方面原因导致项目不能按约定工期投入运行的，从逾期之日起，乙方每天需向甲方支付违约金为合同总额的千分之一；逾期7日以上的，甲方有权解除合同，同时乙方应承担因逾期对甲方造成的损失；经双方明确书面确认，因非乙方的原因造成项目延期，则不在索赔之列。</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六）由于乙方提供的软硬件产品发生故障，不能使用或部分不能使用的，若乙方未能及时提供维修或排除故障（“及时”参照附件《服务考核指标体系》的服务响应性），乙方应该按照甲方要求在规定期限内进行整改和完善，由此产生的费用和对甲方造成的损失由乙方承担，如乙方严重违约导致合同目的不能实现，甲方有权终止合同，由此产生的费用和对甲方造成的损失由乙方承担。</w:t>
      </w:r>
      <w:r/>
    </w:p>
    <w:p>
      <w:pPr>
        <w:rPr>
          <w:rFonts w:eastAsia="仿宋"/>
        </w:rPr>
      </w:pPr>
      <w:r>
        <w:rPr>
          <w:rFonts w:hint="eastAsia" w:ascii="仿宋" w:hAnsi="仿宋" w:eastAsia="仿宋" w:cs="仿宋"/>
          <w:sz w:val="24"/>
        </w:rPr>
        <w:t xml:space="preserve">   （七）乙方按合同履约，甲方按合同约定支付合同费用，甲方每逾期10天，甲方向乙方支付当期应支付费用</w:t>
      </w:r>
      <w:r>
        <w:rPr>
          <w:rFonts w:hint="eastAsia" w:ascii="仿宋" w:hAnsi="仿宋" w:eastAsia="仿宋"/>
          <w:sz w:val="24"/>
          <w:u w:val="single"/>
        </w:rPr>
        <w:t xml:space="preserve">1‰</w:t>
      </w:r>
      <w:r>
        <w:rPr>
          <w:rFonts w:hint="eastAsia" w:ascii="仿宋" w:hAnsi="仿宋" w:eastAsia="仿宋" w:cs="仿宋"/>
          <w:sz w:val="24"/>
        </w:rPr>
        <w:t xml:space="preserve">的违约金，但违约金的总数不超过当期应支付费用的（1）%。</w:t>
      </w:r>
      <w:r/>
    </w:p>
    <w:p>
      <w:pPr>
        <w:pStyle w:val="778"/>
        <w:ind w:left="0"/>
        <w:rPr>
          <w:rFonts w:ascii="仿宋" w:hAnsi="仿宋" w:eastAsia="仿宋" w:cs="仿宋"/>
          <w:b/>
          <w:bCs/>
          <w:sz w:val="24"/>
          <w:szCs w:val="24"/>
        </w:rPr>
        <w:outlineLvl w:val="1"/>
      </w:pPr>
      <w:r>
        <w:rPr>
          <w:rFonts w:hint="eastAsia" w:ascii="仿宋" w:hAnsi="仿宋" w:eastAsia="仿宋" w:cs="仿宋"/>
          <w:b/>
          <w:sz w:val="24"/>
          <w:szCs w:val="24"/>
        </w:rPr>
        <w:t xml:space="preserve">十一、保密条款</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一）乙方应遵守国家有关保密的法律法规和行业规定，并对甲方提供的资料负有保密义务。未经甲方同意，不得将所承接的政府服务项目获得的政府、公民个人等各种信息和资料提供给其他单位和个人。如发生以上情况，甲方有权索赔。</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二）甲方有义务保护乙方的知识产权，未经乙方同意，不得将乙方交付的具有知识产权性质的成果文件、资料向第三方转让或用于本合同以外的项目。如发生以上情况,乙方有权索赔,但甲方依据相关法定职责对外公开的除外。</w:t>
      </w:r>
      <w:r/>
    </w:p>
    <w:p>
      <w:pPr>
        <w:pStyle w:val="778"/>
        <w:ind w:left="0" w:firstLine="480"/>
        <w:rPr>
          <w:rFonts w:ascii="仿宋" w:hAnsi="仿宋" w:eastAsia="仿宋" w:cs="仿宋"/>
          <w:sz w:val="24"/>
          <w:szCs w:val="24"/>
        </w:rPr>
      </w:pPr>
      <w:r>
        <w:rPr>
          <w:rFonts w:hint="eastAsia" w:ascii="仿宋" w:hAnsi="仿宋" w:eastAsia="仿宋" w:cs="仿宋"/>
          <w:sz w:val="24"/>
          <w:szCs w:val="24"/>
        </w:rPr>
        <w:t xml:space="preserve">（三）本条款为独立条款,本合同的无效、变更、解除和终止均不影响本条款的效力。</w:t>
      </w:r>
      <w:r/>
    </w:p>
    <w:p>
      <w:pPr>
        <w:rPr>
          <w:rFonts w:eastAsia="仿宋"/>
        </w:rPr>
      </w:pPr>
      <w:r>
        <w:rPr>
          <w:rFonts w:hint="eastAsia" w:ascii="仿宋" w:hAnsi="仿宋" w:eastAsia="仿宋" w:cs="仿宋"/>
          <w:sz w:val="24"/>
        </w:rPr>
        <w:t xml:space="preserve">    （四）甲乙双方签订《保密协议》，具体详见合同附件1。</w:t>
      </w:r>
      <w:r/>
    </w:p>
    <w:p>
      <w:pPr>
        <w:pStyle w:val="778"/>
        <w:ind w:left="0"/>
        <w:rPr>
          <w:rFonts w:ascii="仿宋" w:hAnsi="仿宋" w:eastAsia="仿宋" w:cs="仿宋"/>
          <w:b/>
          <w:bCs/>
          <w:sz w:val="24"/>
          <w:szCs w:val="24"/>
        </w:rPr>
        <w:outlineLvl w:val="1"/>
      </w:pPr>
      <w:r>
        <w:rPr>
          <w:rFonts w:hint="eastAsia" w:ascii="仿宋" w:hAnsi="仿宋" w:eastAsia="仿宋" w:cs="仿宋"/>
          <w:b/>
          <w:sz w:val="24"/>
          <w:szCs w:val="24"/>
        </w:rPr>
        <w:t xml:space="preserve">十二、争议解决</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（一）本合同在履行过程中发生的争议,由甲、乙双方当事人协商解决,协商不成的按下列第</w:t>
      </w:r>
      <w:r>
        <w:rPr>
          <w:rFonts w:hint="eastAsia" w:ascii="仿宋" w:hAnsi="仿宋" w:eastAsia="仿宋" w:cs="仿宋"/>
          <w:sz w:val="24"/>
          <w:szCs w:val="24"/>
          <w:u w:val="single"/>
        </w:rPr>
        <w:t xml:space="preserve"> 2 </w:t>
      </w:r>
      <w:r>
        <w:rPr>
          <w:rFonts w:hint="eastAsia" w:ascii="仿宋" w:hAnsi="仿宋" w:eastAsia="仿宋" w:cs="仿宋"/>
          <w:sz w:val="24"/>
          <w:szCs w:val="24"/>
        </w:rPr>
        <w:t xml:space="preserve">种方式解决:</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1、提交徐州仲裁委员会仲裁;</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2、依法向甲方所在地人民法院起诉。</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（二）本条款为独立条款,本合同的无效、变更、解除和终止均不影响本条款的效力。</w:t>
      </w:r>
      <w:r/>
    </w:p>
    <w:p>
      <w:pPr>
        <w:pStyle w:val="778"/>
        <w:ind w:left="0"/>
        <w:rPr>
          <w:rFonts w:ascii="仿宋" w:hAnsi="仿宋" w:eastAsia="仿宋" w:cs="仿宋"/>
          <w:b/>
          <w:bCs/>
          <w:sz w:val="24"/>
          <w:szCs w:val="24"/>
        </w:rPr>
        <w:outlineLvl w:val="1"/>
      </w:pPr>
      <w:r>
        <w:rPr>
          <w:rFonts w:hint="eastAsia" w:ascii="仿宋" w:hAnsi="仿宋" w:eastAsia="仿宋" w:cs="仿宋"/>
          <w:b/>
          <w:sz w:val="24"/>
          <w:szCs w:val="24"/>
        </w:rPr>
        <w:t xml:space="preserve">十三、合同变更</w:t>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在合同的执行期内,双方均不得随意变更或解除合同。如因项目需求情况发生变化，需要项目变更的，应双方协商后签订项目变更协议，双方确认后生效（如双方变更事项不能达成一致的，仍按原合同履行，否则视为违约）。</w:t>
      </w:r>
      <w:r/>
    </w:p>
    <w:p>
      <w:pPr>
        <w:pStyle w:val="778"/>
        <w:ind w:left="0"/>
        <w:rPr>
          <w:rFonts w:ascii="仿宋" w:hAnsi="仿宋" w:eastAsia="仿宋" w:cs="仿宋"/>
          <w:b/>
          <w:bCs/>
          <w:sz w:val="24"/>
          <w:szCs w:val="24"/>
        </w:rPr>
        <w:outlineLvl w:val="1"/>
      </w:pPr>
      <w:r>
        <w:rPr>
          <w:rFonts w:hint="eastAsia" w:ascii="仿宋" w:hAnsi="仿宋" w:eastAsia="仿宋" w:cs="仿宋"/>
          <w:b/>
          <w:sz w:val="24"/>
          <w:szCs w:val="24"/>
        </w:rPr>
        <w:t xml:space="preserve">十四、合同生效</w:t>
      </w:r>
      <w:r/>
    </w:p>
    <w:p>
      <w:pPr>
        <w:ind w:firstLine="480"/>
        <w:rPr>
          <w:rFonts w:ascii="仿宋" w:hAnsi="仿宋" w:eastAsia="仿宋" w:cs="仿宋"/>
          <w:sz w:val="24"/>
        </w:rPr>
      </w:pPr>
      <w:r>
        <w:rPr>
          <w:rFonts w:hint="eastAsia" w:ascii="仿宋" w:hAnsi="仿宋" w:eastAsia="仿宋" w:cs="仿宋"/>
          <w:sz w:val="24"/>
        </w:rPr>
        <w:t xml:space="preserve">本合同一式捌份，甲方持叁份，乙方持叁份,徐州市政府采购中心一份存档，政府采购管理部门一份备案。本合同甲、乙双方授权签字并盖章后生效,合同执行完毕后自动失效（合同的服务承诺则长期有效）。</w:t>
      </w:r>
      <w:r/>
    </w:p>
    <w:p>
      <w:r/>
      <w:r/>
    </w:p>
    <w:p>
      <w:pPr>
        <w:pStyle w:val="778"/>
        <w:ind w:left="0"/>
        <w:rPr>
          <w:rFonts w:ascii="仿宋" w:hAnsi="仿宋" w:eastAsia="仿宋" w:cs="仿宋"/>
          <w:b/>
          <w:bCs/>
          <w:sz w:val="24"/>
          <w:szCs w:val="24"/>
        </w:rPr>
        <w:outlineLvl w:val="1"/>
      </w:pPr>
      <w:r>
        <w:rPr>
          <w:rFonts w:hint="eastAsia" w:ascii="仿宋" w:hAnsi="仿宋" w:eastAsia="仿宋" w:cs="仿宋"/>
          <w:b/>
          <w:sz w:val="24"/>
          <w:szCs w:val="24"/>
        </w:rPr>
        <w:t xml:space="preserve">十五、其他事项</w:t>
      </w:r>
      <w:r/>
    </w:p>
    <w:p>
      <w:pPr>
        <w:pStyle w:val="778"/>
        <w:ind w:left="0" w:firstLine="480"/>
        <w:rPr>
          <w:rFonts w:ascii="仿宋" w:hAnsi="仿宋" w:eastAsia="仿宋" w:cs="仿宋"/>
          <w:bCs/>
          <w:sz w:val="24"/>
          <w:szCs w:val="24"/>
        </w:rPr>
      </w:pPr>
      <w:r>
        <w:rPr>
          <w:rFonts w:hint="eastAsia" w:ascii="仿宋" w:hAnsi="仿宋" w:eastAsia="仿宋" w:cs="仿宋"/>
          <w:sz w:val="24"/>
        </w:rPr>
        <w:t xml:space="preserve">合同其他未尽事宜及与招标文件有矛盾之处，以招标文件[项目编号：</w:t>
      </w:r>
      <w:r>
        <w:rPr>
          <w:rFonts w:hint="eastAsia" w:ascii="仿宋" w:hAnsi="仿宋" w:eastAsia="仿宋"/>
          <w:sz w:val="24"/>
        </w:rPr>
        <w:t xml:space="preserve">JSZC-320300-XZCG-G2026-0002</w:t>
      </w:r>
      <w:r>
        <w:rPr>
          <w:rFonts w:hint="eastAsia" w:ascii="仿宋" w:hAnsi="仿宋" w:eastAsia="仿宋" w:cs="仿宋"/>
          <w:sz w:val="24"/>
        </w:rPr>
        <w:t xml:space="preserve">]为准。</w:t>
      </w:r>
      <w:r/>
    </w:p>
    <w:p>
      <w:pPr>
        <w:pStyle w:val="757"/>
        <w:rPr>
          <w:rFonts w:ascii="仿宋" w:hAnsi="仿宋" w:eastAsia="仿宋" w:cs="仿宋"/>
        </w:rPr>
      </w:pPr>
      <w:r>
        <w:rPr>
          <w:rFonts w:hint="eastAsia" w:ascii="仿宋" w:hAnsi="仿宋" w:eastAsia="仿宋" w:cs="仿宋"/>
          <w:b/>
        </w:rPr>
        <w:t xml:space="preserve">十六：</w:t>
      </w:r>
      <w:r>
        <w:rPr>
          <w:rFonts w:hint="eastAsia" w:ascii="仿宋" w:hAnsi="仿宋" w:eastAsia="仿宋" w:cs="仿宋"/>
        </w:rPr>
        <w:t xml:space="preserve">按照《财政部关于做好政府采购信息公开工作的通知》（财库〔2015〕135号），甲方依据《保守国家秘密法》等法律制度规定确定本合同</w:t>
      </w:r>
      <w:r>
        <w:rPr>
          <w:rFonts w:hint="eastAsia" w:ascii="仿宋" w:hAnsi="仿宋" w:eastAsia="仿宋" w:cs="仿宋"/>
          <w:u w:val="single"/>
        </w:rPr>
        <w:t xml:space="preserve">附件</w:t>
      </w:r>
      <w:r>
        <w:rPr>
          <w:rFonts w:hint="eastAsia" w:ascii="仿宋" w:hAnsi="仿宋" w:eastAsia="仿宋" w:cs="仿宋"/>
        </w:rPr>
        <w:t xml:space="preserve">部分涉及国家秘密，该涉及国家秘密部分不公告；甲方依据《反不正当竞争法》等法律制度的规定与乙方约定本合同</w:t>
      </w:r>
      <w:r>
        <w:rPr>
          <w:rFonts w:hint="eastAsia" w:ascii="仿宋" w:hAnsi="仿宋" w:eastAsia="仿宋" w:cs="仿宋"/>
          <w:u w:val="single"/>
        </w:rPr>
        <w:t xml:space="preserve">附件</w:t>
      </w:r>
      <w:r>
        <w:rPr>
          <w:rFonts w:hint="eastAsia" w:ascii="仿宋" w:hAnsi="仿宋" w:eastAsia="仿宋" w:cs="仿宋"/>
        </w:rPr>
        <w:t xml:space="preserve">部分涉及商业秘密，该涉及商业秘密部分不公告。</w:t>
      </w:r>
      <w:r/>
    </w:p>
    <w:p>
      <w:pPr>
        <w:pStyle w:val="778"/>
        <w:ind w:left="0" w:firstLine="480"/>
        <w:rPr>
          <w:rFonts w:ascii="仿宋" w:hAnsi="仿宋" w:eastAsia="仿宋" w:cs="仿宋"/>
          <w:sz w:val="24"/>
          <w:szCs w:val="24"/>
        </w:rPr>
      </w:pPr>
      <w:r>
        <w:rPr>
          <w:rFonts w:ascii="仿宋" w:hAnsi="仿宋" w:eastAsia="仿宋" w:cs="仿宋"/>
          <w:sz w:val="24"/>
          <w:szCs w:val="24"/>
        </w:rPr>
      </w:r>
      <w:r/>
    </w:p>
    <w:p>
      <w:pPr>
        <w:pStyle w:val="778"/>
        <w:ind w:left="0" w:firstLine="480"/>
        <w:rPr>
          <w:rFonts w:ascii="仿宋" w:hAnsi="仿宋" w:eastAsia="仿宋" w:cs="仿宋"/>
          <w:bCs/>
          <w:sz w:val="24"/>
          <w:szCs w:val="24"/>
        </w:rPr>
      </w:pPr>
      <w:r>
        <w:rPr>
          <w:rFonts w:hint="eastAsia" w:ascii="仿宋" w:hAnsi="仿宋" w:eastAsia="仿宋" w:cs="仿宋"/>
          <w:sz w:val="24"/>
          <w:szCs w:val="24"/>
        </w:rPr>
        <w:t xml:space="preserve">（以下无正文）</w:t>
      </w:r>
      <w:r/>
    </w:p>
    <w:p>
      <w:pPr>
        <w:pStyle w:val="778"/>
        <w:ind w:left="0" w:firstLine="480"/>
        <w:rPr>
          <w:rFonts w:ascii="仿宋" w:hAnsi="仿宋" w:eastAsia="仿宋" w:cs="仿宋"/>
          <w:bCs/>
          <w:sz w:val="24"/>
          <w:szCs w:val="24"/>
        </w:rPr>
      </w:pPr>
      <w:r>
        <w:rPr>
          <w:rFonts w:ascii="仿宋" w:hAnsi="仿宋" w:eastAsia="仿宋" w:cs="仿宋"/>
          <w:bCs/>
          <w:sz w:val="24"/>
          <w:szCs w:val="24"/>
        </w:rPr>
      </w:r>
      <w:r/>
    </w:p>
    <w:tbl>
      <w:tblPr>
        <w:tblW w:w="48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547"/>
        <w:gridCol w:w="4634"/>
      </w:tblGrid>
      <w:tr>
        <w:trPr>
          <w:jc w:val="center"/>
          <w:trHeight w:val="535"/>
        </w:trPr>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jc w:val="center"/>
              <w:rPr>
                <w:rFonts w:ascii="仿宋" w:hAnsi="仿宋" w:eastAsia="仿宋" w:cs="仿宋"/>
                <w:b/>
                <w:spacing w:val="-20"/>
                <w:sz w:val="24"/>
              </w:rPr>
            </w:pPr>
            <w:r>
              <w:rPr>
                <w:rFonts w:hint="eastAsia" w:ascii="仿宋" w:hAnsi="仿宋" w:eastAsia="仿宋" w:cs="仿宋"/>
                <w:b/>
                <w:spacing w:val="-20"/>
                <w:sz w:val="24"/>
              </w:rPr>
              <w:t xml:space="preserve">甲方</w:t>
            </w:r>
            <w:r/>
          </w:p>
        </w:tc>
        <w:tc>
          <w:tcPr>
            <w:tcBorders>
              <w:top w:val="single" w:color="auto" w:sz="4" w:space="0"/>
              <w:left w:val="single" w:color="auto" w:sz="4" w:space="0"/>
              <w:bottom w:val="single" w:color="auto" w:sz="4" w:space="0"/>
              <w:right w:val="single" w:color="auto" w:sz="4" w:space="0"/>
            </w:tcBorders>
            <w:tcW w:w="2832" w:type="pct"/>
            <w:vAlign w:val="center"/>
            <w:textDirection w:val="lrTb"/>
            <w:noWrap/>
          </w:tcPr>
          <w:p>
            <w:pPr>
              <w:jc w:val="center"/>
              <w:rPr>
                <w:rFonts w:ascii="仿宋" w:hAnsi="仿宋" w:eastAsia="仿宋" w:cs="仿宋"/>
                <w:b/>
                <w:spacing w:val="-20"/>
                <w:sz w:val="24"/>
              </w:rPr>
            </w:pPr>
            <w:r>
              <w:rPr>
                <w:rFonts w:hint="eastAsia" w:ascii="仿宋" w:hAnsi="仿宋" w:eastAsia="仿宋" w:cs="仿宋"/>
                <w:b/>
                <w:spacing w:val="-20"/>
                <w:sz w:val="24"/>
              </w:rPr>
              <w:t xml:space="preserve">乙方</w:t>
            </w:r>
            <w:r/>
          </w:p>
        </w:tc>
      </w:tr>
      <w:tr>
        <w:trPr>
          <w:jc w:val="center"/>
          <w:trHeight w:val="956"/>
        </w:trPr>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rPr>
                <w:rFonts w:ascii="仿宋" w:hAnsi="仿宋" w:eastAsia="仿宋" w:cs="仿宋"/>
                <w:b/>
                <w:spacing w:val="-20"/>
                <w:sz w:val="24"/>
              </w:rPr>
            </w:pPr>
            <w:r>
              <w:rPr>
                <w:rFonts w:ascii="仿宋" w:hAnsi="仿宋" w:eastAsia="仿宋" w:cs="仿宋"/>
                <w:b/>
                <w:spacing w:val="-20"/>
                <w:sz w:val="24"/>
              </w:rPr>
            </w:r>
            <w:r/>
          </w:p>
          <w:p>
            <w:pPr>
              <w:jc w:val="center"/>
              <w:rPr>
                <w:rFonts w:ascii="仿宋" w:hAnsi="仿宋" w:eastAsia="仿宋" w:cs="仿宋"/>
                <w:bCs/>
                <w:spacing w:val="-20"/>
                <w:sz w:val="24"/>
              </w:rPr>
            </w:pPr>
            <w:r>
              <w:rPr>
                <w:rFonts w:hint="eastAsia" w:ascii="仿宋" w:hAnsi="仿宋" w:eastAsia="仿宋" w:cs="仿宋"/>
                <w:b/>
                <w:spacing w:val="-20"/>
                <w:sz w:val="24"/>
              </w:rPr>
              <w:t xml:space="preserve">（盖章）</w:t>
            </w:r>
            <w:r/>
          </w:p>
        </w:tc>
        <w:tc>
          <w:tcPr>
            <w:tcBorders>
              <w:top w:val="single" w:color="auto" w:sz="4" w:space="0"/>
              <w:left w:val="single" w:color="auto" w:sz="4" w:space="0"/>
              <w:bottom w:val="single" w:color="auto" w:sz="4" w:space="0"/>
              <w:right w:val="single" w:color="auto" w:sz="4" w:space="0"/>
            </w:tcBorders>
            <w:tcW w:w="2832" w:type="pct"/>
            <w:vAlign w:val="center"/>
            <w:textDirection w:val="lrTb"/>
            <w:noWrap/>
          </w:tcPr>
          <w:p>
            <w:pPr>
              <w:jc w:val="center"/>
              <w:rPr>
                <w:rFonts w:ascii="仿宋" w:hAnsi="仿宋" w:eastAsia="仿宋" w:cs="仿宋"/>
                <w:bCs/>
                <w:sz w:val="24"/>
              </w:rPr>
            </w:pPr>
            <w:r>
              <w:rPr>
                <w:rFonts w:hint="eastAsia" w:ascii="仿宋" w:hAnsi="仿宋" w:eastAsia="仿宋" w:cs="仿宋"/>
                <w:b/>
                <w:spacing w:val="-20"/>
                <w:sz w:val="24"/>
              </w:rPr>
              <w:t xml:space="preserve">（盖章）</w:t>
            </w:r>
            <w:r/>
          </w:p>
        </w:tc>
      </w:tr>
      <w:tr>
        <w:trPr>
          <w:jc w:val="center"/>
          <w:trHeight w:val="686"/>
        </w:trPr>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rPr>
                <w:rFonts w:ascii="仿宋" w:hAnsi="仿宋" w:eastAsia="仿宋" w:cs="仿宋"/>
                <w:bCs/>
                <w:spacing w:val="-20"/>
                <w:sz w:val="24"/>
              </w:rPr>
            </w:pPr>
            <w:r>
              <w:rPr>
                <w:rFonts w:hint="eastAsia" w:ascii="仿宋" w:hAnsi="仿宋" w:eastAsia="仿宋" w:cs="仿宋"/>
                <w:spacing w:val="-20"/>
                <w:sz w:val="24"/>
              </w:rPr>
              <w:t xml:space="preserve">法定代表人（签字）：</w:t>
            </w:r>
            <w:r/>
          </w:p>
          <w:p>
            <w:pPr>
              <w:rPr>
                <w:rFonts w:ascii="仿宋" w:hAnsi="仿宋" w:eastAsia="仿宋" w:cs="仿宋"/>
                <w:bCs/>
                <w:spacing w:val="-20"/>
                <w:sz w:val="24"/>
              </w:rPr>
            </w:pPr>
            <w:r>
              <w:rPr>
                <w:rFonts w:ascii="仿宋" w:hAnsi="仿宋" w:eastAsia="仿宋" w:cs="仿宋"/>
                <w:bCs/>
                <w:spacing w:val="-20"/>
                <w:sz w:val="24"/>
              </w:rPr>
            </w:r>
            <w:r/>
          </w:p>
        </w:tc>
        <w:tc>
          <w:tcPr>
            <w:tcBorders>
              <w:top w:val="single" w:color="auto" w:sz="4" w:space="0"/>
              <w:left w:val="single" w:color="auto" w:sz="4" w:space="0"/>
              <w:bottom w:val="single" w:color="auto" w:sz="4" w:space="0"/>
              <w:right w:val="single" w:color="auto" w:sz="4" w:space="0"/>
            </w:tcBorders>
            <w:tcW w:w="2832" w:type="pct"/>
            <w:vAlign w:val="center"/>
            <w:textDirection w:val="lrTb"/>
            <w:noWrap/>
          </w:tcPr>
          <w:p>
            <w:pPr>
              <w:rPr>
                <w:rFonts w:ascii="仿宋" w:hAnsi="仿宋" w:eastAsia="仿宋" w:cs="仿宋"/>
                <w:bCs/>
                <w:spacing w:val="-20"/>
                <w:sz w:val="24"/>
              </w:rPr>
            </w:pPr>
            <w:r>
              <w:rPr>
                <w:rFonts w:hint="eastAsia" w:ascii="仿宋" w:hAnsi="仿宋" w:eastAsia="仿宋" w:cs="仿宋"/>
                <w:spacing w:val="-20"/>
                <w:sz w:val="24"/>
              </w:rPr>
              <w:t xml:space="preserve">法定代表人（签字）：</w:t>
            </w:r>
            <w:r/>
          </w:p>
          <w:p>
            <w:pPr>
              <w:rPr>
                <w:rFonts w:ascii="仿宋" w:hAnsi="仿宋" w:eastAsia="仿宋" w:cs="仿宋"/>
                <w:bCs/>
                <w:spacing w:val="-20"/>
                <w:sz w:val="24"/>
              </w:rPr>
            </w:pPr>
            <w:r>
              <w:rPr>
                <w:rFonts w:ascii="仿宋" w:hAnsi="仿宋" w:eastAsia="仿宋" w:cs="仿宋"/>
                <w:bCs/>
                <w:spacing w:val="-20"/>
                <w:sz w:val="24"/>
              </w:rPr>
            </w:r>
            <w:r/>
          </w:p>
        </w:tc>
      </w:tr>
      <w:tr>
        <w:trPr>
          <w:jc w:val="center"/>
          <w:trHeight w:val="771"/>
        </w:trPr>
        <w:tc>
          <w:tcPr>
            <w:tcBorders>
              <w:top w:val="single" w:color="auto" w:sz="4" w:space="0"/>
              <w:left w:val="single" w:color="auto" w:sz="4" w:space="0"/>
              <w:bottom w:val="single" w:color="auto" w:sz="4" w:space="0"/>
              <w:right w:val="single" w:color="auto" w:sz="4" w:space="0"/>
            </w:tcBorders>
            <w:tcW w:w="2168" w:type="pct"/>
            <w:textDirection w:val="lrTb"/>
            <w:noWrap/>
          </w:tcPr>
          <w:p>
            <w:pPr>
              <w:rPr>
                <w:rFonts w:ascii="仿宋" w:hAnsi="仿宋" w:eastAsia="仿宋" w:cs="仿宋"/>
                <w:bCs/>
                <w:spacing w:val="-20"/>
                <w:sz w:val="24"/>
              </w:rPr>
            </w:pPr>
            <w:r>
              <w:rPr>
                <w:rFonts w:hint="eastAsia" w:ascii="仿宋" w:hAnsi="仿宋" w:eastAsia="仿宋" w:cs="仿宋"/>
                <w:spacing w:val="-20"/>
                <w:sz w:val="24"/>
              </w:rPr>
              <w:t xml:space="preserve">处室（单位）负责人（签字）：</w:t>
            </w:r>
            <w:r/>
          </w:p>
          <w:p>
            <w:pPr>
              <w:rPr>
                <w:rFonts w:ascii="仿宋" w:hAnsi="仿宋" w:eastAsia="仿宋" w:cs="仿宋"/>
                <w:bCs/>
                <w:spacing w:val="-20"/>
                <w:sz w:val="24"/>
              </w:rPr>
            </w:pPr>
            <w:r>
              <w:rPr>
                <w:rFonts w:hint="eastAsia" w:ascii="仿宋" w:hAnsi="仿宋" w:eastAsia="仿宋" w:cs="仿宋"/>
                <w:spacing w:val="-20"/>
                <w:sz w:val="24"/>
              </w:rPr>
              <w:t xml:space="preserve">经办人（签字）：</w:t>
            </w:r>
            <w:r/>
          </w:p>
          <w:p>
            <w:pPr>
              <w:rPr>
                <w:rFonts w:ascii="仿宋" w:hAnsi="仿宋" w:eastAsia="仿宋" w:cs="仿宋"/>
                <w:bCs/>
                <w:spacing w:val="-20"/>
                <w:sz w:val="24"/>
              </w:rPr>
            </w:pPr>
            <w:r>
              <w:rPr>
                <w:rFonts w:hint="eastAsia" w:ascii="仿宋" w:hAnsi="仿宋" w:eastAsia="仿宋" w:cs="仿宋"/>
                <w:spacing w:val="-20"/>
                <w:sz w:val="24"/>
              </w:rPr>
              <w:t xml:space="preserve">经办人联系电话：</w:t>
            </w:r>
            <w:r/>
          </w:p>
        </w:tc>
        <w:tc>
          <w:tcPr>
            <w:tcBorders>
              <w:top w:val="single" w:color="auto" w:sz="4" w:space="0"/>
              <w:left w:val="single" w:color="auto" w:sz="4" w:space="0"/>
              <w:bottom w:val="single" w:color="auto" w:sz="4" w:space="0"/>
              <w:right w:val="single" w:color="auto" w:sz="4" w:space="0"/>
            </w:tcBorders>
            <w:tcW w:w="2832" w:type="pct"/>
            <w:textDirection w:val="lrTb"/>
            <w:noWrap/>
          </w:tcPr>
          <w:p>
            <w:pPr>
              <w:rPr>
                <w:rFonts w:ascii="仿宋" w:hAnsi="仿宋" w:eastAsia="仿宋" w:cs="仿宋"/>
                <w:bCs/>
                <w:spacing w:val="-20"/>
                <w:sz w:val="24"/>
              </w:rPr>
            </w:pPr>
            <w:r>
              <w:rPr>
                <w:rFonts w:hint="eastAsia" w:ascii="仿宋" w:hAnsi="仿宋" w:eastAsia="仿宋" w:cs="仿宋"/>
                <w:spacing w:val="-20"/>
                <w:sz w:val="24"/>
              </w:rPr>
              <w:t xml:space="preserve">经办人（签字）：</w:t>
            </w:r>
            <w:r/>
          </w:p>
          <w:p>
            <w:pPr>
              <w:rPr>
                <w:rFonts w:ascii="仿宋" w:hAnsi="仿宋" w:eastAsia="仿宋" w:cs="仿宋"/>
                <w:bCs/>
                <w:spacing w:val="-20"/>
                <w:sz w:val="24"/>
              </w:rPr>
            </w:pPr>
            <w:r>
              <w:rPr>
                <w:rFonts w:hint="eastAsia" w:ascii="仿宋" w:hAnsi="仿宋" w:eastAsia="仿宋" w:cs="仿宋"/>
                <w:spacing w:val="-20"/>
                <w:sz w:val="24"/>
              </w:rPr>
              <w:t xml:space="preserve">联系电话：</w:t>
            </w:r>
            <w:r/>
          </w:p>
        </w:tc>
      </w:tr>
      <w:tr>
        <w:trPr>
          <w:jc w:val="center"/>
          <w:trHeight w:val="535"/>
        </w:trPr>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rPr>
                <w:rFonts w:ascii="仿宋" w:hAnsi="仿宋" w:eastAsia="仿宋" w:cs="仿宋"/>
                <w:bCs/>
                <w:spacing w:val="-20"/>
                <w:sz w:val="24"/>
              </w:rPr>
            </w:pPr>
            <w:r>
              <w:rPr>
                <w:rFonts w:hint="eastAsia" w:ascii="仿宋" w:hAnsi="仿宋" w:eastAsia="仿宋" w:cs="仿宋"/>
                <w:spacing w:val="-20"/>
                <w:sz w:val="24"/>
              </w:rPr>
              <w:t xml:space="preserve">地址： </w:t>
            </w:r>
            <w:r/>
          </w:p>
        </w:tc>
        <w:tc>
          <w:tcPr>
            <w:tcBorders>
              <w:top w:val="single" w:color="auto" w:sz="4" w:space="0"/>
              <w:left w:val="single" w:color="auto" w:sz="4" w:space="0"/>
              <w:bottom w:val="single" w:color="auto" w:sz="4" w:space="0"/>
              <w:right w:val="single" w:color="auto" w:sz="4" w:space="0"/>
            </w:tcBorders>
            <w:tcW w:w="2832" w:type="pct"/>
            <w:vAlign w:val="center"/>
            <w:textDirection w:val="lrTb"/>
            <w:noWrap/>
          </w:tcPr>
          <w:p>
            <w:pPr>
              <w:rPr>
                <w:rFonts w:ascii="仿宋" w:hAnsi="仿宋" w:eastAsia="仿宋" w:cs="仿宋"/>
                <w:bCs/>
                <w:spacing w:val="-20"/>
                <w:sz w:val="24"/>
              </w:rPr>
            </w:pPr>
            <w:r>
              <w:rPr>
                <w:rFonts w:hint="eastAsia" w:ascii="仿宋" w:hAnsi="仿宋" w:eastAsia="仿宋" w:cs="仿宋"/>
                <w:spacing w:val="-20"/>
                <w:sz w:val="24"/>
              </w:rPr>
              <w:t xml:space="preserve">地址：</w:t>
            </w:r>
            <w:r/>
          </w:p>
        </w:tc>
      </w:tr>
      <w:tr>
        <w:trPr>
          <w:jc w:val="center"/>
          <w:trHeight w:val="487"/>
        </w:trPr>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rPr>
                <w:rFonts w:ascii="仿宋" w:hAnsi="仿宋" w:eastAsia="仿宋" w:cs="仿宋"/>
                <w:bCs/>
                <w:spacing w:val="-20"/>
                <w:sz w:val="24"/>
              </w:rPr>
            </w:pPr>
            <w:r>
              <w:rPr>
                <w:rFonts w:hint="eastAsia" w:ascii="仿宋" w:hAnsi="仿宋" w:eastAsia="仿宋" w:cs="仿宋"/>
                <w:spacing w:val="-20"/>
                <w:sz w:val="24"/>
              </w:rPr>
              <w:t xml:space="preserve">邮编：</w:t>
            </w:r>
            <w:r/>
          </w:p>
        </w:tc>
        <w:tc>
          <w:tcPr>
            <w:tcBorders>
              <w:top w:val="single" w:color="auto" w:sz="4" w:space="0"/>
              <w:left w:val="single" w:color="auto" w:sz="4" w:space="0"/>
              <w:bottom w:val="single" w:color="auto" w:sz="4" w:space="0"/>
              <w:right w:val="single" w:color="auto" w:sz="4" w:space="0"/>
            </w:tcBorders>
            <w:tcW w:w="2832" w:type="pct"/>
            <w:vAlign w:val="center"/>
            <w:textDirection w:val="lrTb"/>
            <w:noWrap/>
          </w:tcPr>
          <w:p>
            <w:pPr>
              <w:rPr>
                <w:rFonts w:ascii="仿宋" w:hAnsi="仿宋" w:eastAsia="仿宋" w:cs="仿宋"/>
                <w:bCs/>
                <w:spacing w:val="-20"/>
                <w:sz w:val="24"/>
              </w:rPr>
            </w:pPr>
            <w:r>
              <w:rPr>
                <w:rFonts w:hint="eastAsia" w:ascii="仿宋" w:hAnsi="仿宋" w:eastAsia="仿宋" w:cs="仿宋"/>
                <w:spacing w:val="-20"/>
                <w:sz w:val="24"/>
              </w:rPr>
              <w:t xml:space="preserve">邮编：</w:t>
            </w:r>
            <w:r/>
          </w:p>
        </w:tc>
      </w:tr>
      <w:tr>
        <w:trPr>
          <w:jc w:val="center"/>
          <w:trHeight w:val="2481"/>
        </w:trPr>
        <w:tc>
          <w:tcPr>
            <w:tcBorders>
              <w:top w:val="single" w:color="auto" w:sz="4" w:space="0"/>
              <w:left w:val="single" w:color="auto" w:sz="4" w:space="0"/>
              <w:bottom w:val="single" w:color="auto" w:sz="4" w:space="0"/>
              <w:right w:val="single" w:color="auto" w:sz="4" w:space="0"/>
            </w:tcBorders>
            <w:tcW w:w="2168" w:type="pct"/>
            <w:textDirection w:val="lrTb"/>
            <w:noWrap/>
          </w:tcPr>
          <w:p>
            <w:pPr>
              <w:rPr>
                <w:rFonts w:ascii="仿宋" w:hAnsi="仿宋" w:eastAsia="仿宋" w:cs="仿宋"/>
                <w:bCs/>
                <w:spacing w:val="-20"/>
                <w:sz w:val="24"/>
              </w:rPr>
            </w:pPr>
            <w:r>
              <w:rPr>
                <w:rFonts w:hint="eastAsia" w:ascii="仿宋" w:hAnsi="仿宋" w:eastAsia="仿宋" w:cs="仿宋"/>
                <w:spacing w:val="-20"/>
                <w:sz w:val="24"/>
              </w:rPr>
              <w:t xml:space="preserve">开票信息：</w:t>
            </w:r>
            <w:r/>
          </w:p>
          <w:p>
            <w:pPr>
              <w:rPr>
                <w:rFonts w:ascii="仿宋" w:hAnsi="仿宋" w:eastAsia="仿宋" w:cs="仿宋"/>
                <w:bCs/>
                <w:spacing w:val="-20"/>
                <w:sz w:val="24"/>
              </w:rPr>
            </w:pPr>
            <w:r>
              <w:rPr>
                <w:rFonts w:hint="eastAsia" w:ascii="仿宋" w:hAnsi="仿宋" w:eastAsia="仿宋" w:cs="仿宋"/>
                <w:spacing w:val="-20"/>
                <w:sz w:val="24"/>
              </w:rPr>
              <w:t xml:space="preserve">统一社会信用代码证编号：</w:t>
            </w:r>
            <w:r/>
          </w:p>
          <w:p>
            <w:pPr>
              <w:rPr>
                <w:rFonts w:ascii="仿宋" w:hAnsi="仿宋" w:eastAsia="仿宋" w:cs="仿宋"/>
                <w:bCs/>
                <w:spacing w:val="-20"/>
                <w:sz w:val="24"/>
              </w:rPr>
            </w:pPr>
            <w:r>
              <w:rPr>
                <w:rFonts w:hint="eastAsia" w:ascii="仿宋" w:hAnsi="仿宋" w:eastAsia="仿宋" w:cs="仿宋"/>
                <w:spacing w:val="-20"/>
                <w:sz w:val="24"/>
              </w:rPr>
              <w:t xml:space="preserve">地址：</w:t>
            </w:r>
            <w:r/>
          </w:p>
          <w:p>
            <w:pPr>
              <w:rPr>
                <w:rFonts w:ascii="仿宋" w:hAnsi="仿宋" w:eastAsia="仿宋" w:cs="仿宋"/>
                <w:bCs/>
                <w:spacing w:val="-20"/>
                <w:sz w:val="24"/>
              </w:rPr>
            </w:pPr>
            <w:r>
              <w:rPr>
                <w:rFonts w:hint="eastAsia" w:ascii="仿宋" w:hAnsi="仿宋" w:eastAsia="仿宋" w:cs="仿宋"/>
                <w:spacing w:val="-20"/>
                <w:sz w:val="24"/>
              </w:rPr>
              <w:t xml:space="preserve">电话：</w:t>
            </w:r>
            <w:r/>
          </w:p>
          <w:p>
            <w:pPr>
              <w:rPr>
                <w:rFonts w:ascii="仿宋" w:hAnsi="仿宋" w:eastAsia="仿宋" w:cs="仿宋"/>
                <w:bCs/>
                <w:spacing w:val="-20"/>
                <w:sz w:val="24"/>
              </w:rPr>
            </w:pPr>
            <w:r>
              <w:rPr>
                <w:rFonts w:hint="eastAsia" w:ascii="仿宋" w:hAnsi="仿宋" w:eastAsia="仿宋" w:cs="仿宋"/>
                <w:spacing w:val="-20"/>
                <w:sz w:val="24"/>
              </w:rPr>
              <w:t xml:space="preserve">发票类型：普票</w:t>
            </w:r>
            <w:r/>
          </w:p>
        </w:tc>
        <w:tc>
          <w:tcPr>
            <w:tcBorders>
              <w:top w:val="single" w:color="auto" w:sz="4" w:space="0"/>
              <w:left w:val="single" w:color="auto" w:sz="4" w:space="0"/>
              <w:bottom w:val="single" w:color="auto" w:sz="4" w:space="0"/>
              <w:right w:val="single" w:color="auto" w:sz="4" w:space="0"/>
            </w:tcBorders>
            <w:tcW w:w="2832" w:type="pct"/>
            <w:textDirection w:val="lrTb"/>
            <w:noWrap/>
          </w:tcPr>
          <w:p>
            <w:pPr>
              <w:rPr>
                <w:rFonts w:ascii="仿宋" w:hAnsi="仿宋" w:eastAsia="仿宋" w:cs="仿宋"/>
                <w:bCs/>
                <w:spacing w:val="-20"/>
                <w:sz w:val="24"/>
              </w:rPr>
            </w:pPr>
            <w:r>
              <w:rPr>
                <w:rFonts w:hint="eastAsia" w:ascii="仿宋" w:hAnsi="仿宋" w:eastAsia="仿宋" w:cs="仿宋"/>
                <w:spacing w:val="-20"/>
                <w:sz w:val="24"/>
              </w:rPr>
              <w:t xml:space="preserve">收款信息：</w:t>
            </w:r>
            <w:r/>
          </w:p>
          <w:p>
            <w:pPr>
              <w:rPr>
                <w:rFonts w:ascii="仿宋" w:hAnsi="仿宋" w:eastAsia="仿宋" w:cs="仿宋"/>
                <w:bCs/>
                <w:spacing w:val="-20"/>
                <w:sz w:val="24"/>
              </w:rPr>
            </w:pPr>
            <w:r>
              <w:rPr>
                <w:rFonts w:hint="eastAsia" w:ascii="仿宋" w:hAnsi="仿宋" w:eastAsia="仿宋" w:cs="仿宋"/>
                <w:spacing w:val="-20"/>
                <w:sz w:val="24"/>
              </w:rPr>
              <w:t xml:space="preserve">收款人名称：</w:t>
            </w:r>
            <w:r/>
          </w:p>
          <w:p>
            <w:pPr>
              <w:rPr>
                <w:rFonts w:ascii="仿宋" w:hAnsi="仿宋" w:eastAsia="仿宋" w:cs="仿宋"/>
                <w:bCs/>
                <w:spacing w:val="-20"/>
                <w:sz w:val="24"/>
              </w:rPr>
            </w:pPr>
            <w:r>
              <w:rPr>
                <w:rFonts w:hint="eastAsia" w:ascii="仿宋" w:hAnsi="仿宋" w:eastAsia="仿宋" w:cs="仿宋"/>
                <w:spacing w:val="-20"/>
                <w:sz w:val="24"/>
              </w:rPr>
              <w:t xml:space="preserve">统一社会信用代码证编号：</w:t>
            </w:r>
            <w:r/>
          </w:p>
          <w:p>
            <w:pPr>
              <w:rPr>
                <w:rFonts w:ascii="仿宋" w:hAnsi="仿宋" w:eastAsia="仿宋" w:cs="仿宋"/>
                <w:bCs/>
                <w:spacing w:val="-20"/>
                <w:sz w:val="24"/>
              </w:rPr>
            </w:pPr>
            <w:r>
              <w:rPr>
                <w:rFonts w:hint="eastAsia" w:ascii="仿宋" w:hAnsi="仿宋" w:eastAsia="仿宋" w:cs="仿宋"/>
                <w:spacing w:val="-20"/>
                <w:sz w:val="24"/>
              </w:rPr>
              <w:t xml:space="preserve">收款银行：</w:t>
            </w:r>
            <w:r/>
          </w:p>
          <w:p>
            <w:pPr>
              <w:rPr>
                <w:rFonts w:ascii="仿宋" w:hAnsi="仿宋" w:eastAsia="仿宋" w:cs="仿宋"/>
                <w:bCs/>
                <w:spacing w:val="-20"/>
                <w:sz w:val="24"/>
              </w:rPr>
            </w:pPr>
            <w:r>
              <w:rPr>
                <w:rFonts w:hint="eastAsia" w:ascii="仿宋" w:hAnsi="仿宋" w:eastAsia="仿宋" w:cs="仿宋"/>
                <w:spacing w:val="-20"/>
                <w:sz w:val="24"/>
              </w:rPr>
              <w:t xml:space="preserve">账  号：</w:t>
            </w:r>
            <w:r/>
          </w:p>
        </w:tc>
      </w:tr>
      <w:tr>
        <w:trPr>
          <w:jc w:val="center"/>
          <w:trHeight w:val="495"/>
        </w:trPr>
        <w:tc>
          <w:tcPr>
            <w:tcBorders>
              <w:top w:val="single" w:color="auto" w:sz="4" w:space="0"/>
              <w:left w:val="single" w:color="auto" w:sz="4" w:space="0"/>
              <w:bottom w:val="single" w:color="auto" w:sz="4" w:space="0"/>
              <w:right w:val="single" w:color="auto" w:sz="4" w:space="0"/>
            </w:tcBorders>
            <w:tcW w:w="2168" w:type="pct"/>
            <w:vAlign w:val="center"/>
            <w:textDirection w:val="lrTb"/>
            <w:noWrap/>
          </w:tcPr>
          <w:p>
            <w:pPr>
              <w:rPr>
                <w:rFonts w:ascii="仿宋" w:hAnsi="仿宋" w:eastAsia="仿宋" w:cs="仿宋"/>
                <w:bCs/>
                <w:spacing w:val="-20"/>
                <w:sz w:val="24"/>
              </w:rPr>
            </w:pPr>
            <w:r>
              <w:rPr>
                <w:rFonts w:hint="eastAsia" w:ascii="仿宋" w:hAnsi="仿宋" w:eastAsia="仿宋" w:cs="仿宋"/>
                <w:spacing w:val="-20"/>
                <w:sz w:val="24"/>
              </w:rPr>
              <w:t xml:space="preserve">日 期：    年    月    日</w:t>
            </w:r>
            <w:r/>
          </w:p>
        </w:tc>
        <w:tc>
          <w:tcPr>
            <w:tcBorders>
              <w:top w:val="single" w:color="auto" w:sz="4" w:space="0"/>
              <w:left w:val="single" w:color="auto" w:sz="4" w:space="0"/>
              <w:bottom w:val="single" w:color="auto" w:sz="4" w:space="0"/>
              <w:right w:val="single" w:color="auto" w:sz="4" w:space="0"/>
            </w:tcBorders>
            <w:tcW w:w="2832" w:type="pct"/>
            <w:vAlign w:val="center"/>
            <w:textDirection w:val="lrTb"/>
            <w:noWrap/>
          </w:tcPr>
          <w:p>
            <w:pPr>
              <w:rPr>
                <w:rFonts w:ascii="仿宋" w:hAnsi="仿宋" w:eastAsia="仿宋" w:cs="仿宋"/>
                <w:bCs/>
                <w:spacing w:val="-20"/>
                <w:sz w:val="24"/>
              </w:rPr>
            </w:pPr>
            <w:r>
              <w:rPr>
                <w:rFonts w:hint="eastAsia" w:ascii="仿宋" w:hAnsi="仿宋" w:eastAsia="仿宋" w:cs="仿宋"/>
                <w:spacing w:val="-20"/>
                <w:sz w:val="24"/>
              </w:rPr>
              <w:t xml:space="preserve">日 期：    年   月     日</w:t>
            </w:r>
            <w:r/>
          </w:p>
        </w:tc>
      </w:tr>
    </w:tbl>
    <w:p>
      <w:pPr>
        <w:pStyle w:val="739"/>
        <w:spacing w:before="156" w:after="156"/>
        <w:rPr>
          <w:rFonts w:ascii="仿宋" w:hAnsi="仿宋" w:eastAsia="仿宋" w:cs="仿宋"/>
          <w:sz w:val="24"/>
          <w:szCs w:val="24"/>
        </w:rPr>
      </w:pPr>
      <w:r>
        <w:rPr>
          <w:rFonts w:hint="eastAsia" w:ascii="仿宋" w:hAnsi="仿宋" w:eastAsia="仿宋" w:cs="仿宋"/>
          <w:b w:val="0"/>
          <w:bCs w:val="0"/>
          <w:sz w:val="24"/>
        </w:rPr>
        <w:br w:type="page" w:clear="all"/>
      </w:r>
      <w:r/>
    </w:p>
    <w:p>
      <w:pPr>
        <w:pStyle w:val="739"/>
        <w:spacing w:before="156" w:after="156"/>
        <w:rPr>
          <w:rFonts w:ascii="仿宋" w:hAnsi="仿宋" w:eastAsia="仿宋" w:cs="仿宋"/>
          <w:sz w:val="24"/>
          <w:szCs w:val="24"/>
        </w:rPr>
      </w:pPr>
      <w:r>
        <w:rPr>
          <w:rFonts w:hint="eastAsia" w:ascii="仿宋" w:hAnsi="仿宋" w:eastAsia="仿宋" w:cs="仿宋"/>
          <w:sz w:val="24"/>
          <w:szCs w:val="24"/>
        </w:rPr>
        <w:t xml:space="preserve">附件1：保密协议</w:t>
      </w:r>
      <w:r/>
    </w:p>
    <w:p>
      <w:pPr>
        <w:ind w:firstLine="482"/>
        <w:jc w:val="center"/>
        <w:rPr>
          <w:rFonts w:ascii="仿宋" w:hAnsi="仿宋" w:eastAsia="仿宋" w:cs="仿宋"/>
          <w:b/>
          <w:sz w:val="24"/>
        </w:rPr>
        <w:outlineLvl w:val="1"/>
      </w:pPr>
      <w:r>
        <w:rPr>
          <w:rFonts w:hint="eastAsia" w:ascii="仿宋" w:hAnsi="仿宋" w:eastAsia="仿宋" w:cs="仿宋"/>
          <w:b/>
          <w:sz w:val="24"/>
        </w:rPr>
        <w:t xml:space="preserve">保密协议</w:t>
      </w:r>
      <w:r/>
    </w:p>
    <w:p>
      <w:pPr>
        <w:ind w:firstLine="480"/>
        <w:rPr>
          <w:rFonts w:ascii="仿宋" w:hAnsi="仿宋" w:eastAsia="仿宋" w:cs="仿宋"/>
          <w:sz w:val="24"/>
        </w:rPr>
      </w:pPr>
      <w:r>
        <w:rPr>
          <w:rFonts w:hint="eastAsia" w:ascii="仿宋" w:hAnsi="仿宋" w:eastAsia="仿宋" w:cs="仿宋"/>
          <w:sz w:val="24"/>
        </w:rPr>
        <w:t xml:space="preserve">甲方: _________________________</w:t>
      </w:r>
      <w:r/>
    </w:p>
    <w:p>
      <w:pPr>
        <w:ind w:firstLine="480"/>
        <w:rPr>
          <w:rFonts w:ascii="仿宋" w:hAnsi="仿宋" w:eastAsia="仿宋" w:cs="仿宋"/>
          <w:sz w:val="24"/>
        </w:rPr>
      </w:pPr>
      <w:r>
        <w:rPr>
          <w:rFonts w:hint="eastAsia" w:ascii="仿宋" w:hAnsi="仿宋" w:eastAsia="仿宋" w:cs="仿宋"/>
          <w:sz w:val="24"/>
        </w:rPr>
        <w:t xml:space="preserve">乙方：_________________________</w:t>
      </w:r>
      <w:r/>
    </w:p>
    <w:p>
      <w:pPr>
        <w:rPr>
          <w:rFonts w:ascii="仿宋" w:hAnsi="仿宋" w:eastAsia="仿宋" w:cs="仿宋"/>
          <w:sz w:val="24"/>
        </w:rPr>
        <w:outlineLvl w:val="1"/>
      </w:pPr>
      <w:r>
        <w:rPr>
          <w:rFonts w:hint="eastAsia" w:ascii="仿宋" w:hAnsi="仿宋" w:eastAsia="仿宋" w:cs="仿宋"/>
          <w:sz w:val="24"/>
        </w:rPr>
        <w:t xml:space="preserve">一、总则</w:t>
      </w:r>
      <w:r/>
    </w:p>
    <w:p>
      <w:pPr>
        <w:ind w:firstLine="480"/>
        <w:rPr>
          <w:rFonts w:ascii="仿宋" w:hAnsi="仿宋" w:eastAsia="仿宋" w:cs="仿宋"/>
          <w:sz w:val="24"/>
        </w:rPr>
      </w:pPr>
      <w:r>
        <w:rPr>
          <w:rFonts w:hint="eastAsia" w:ascii="仿宋" w:hAnsi="仿宋" w:eastAsia="仿宋" w:cs="仿宋"/>
          <w:sz w:val="24"/>
        </w:rPr>
        <w:t xml:space="preserve">（一）为确保甲乙双方在网络信息安全服务合作事宜有序开展，杜绝信息泄露事件的发生。经甲乙双方友好协商,签订本协议。</w:t>
      </w:r>
      <w:r/>
    </w:p>
    <w:p>
      <w:pPr>
        <w:ind w:firstLine="480"/>
        <w:rPr>
          <w:rFonts w:ascii="仿宋" w:hAnsi="仿宋" w:eastAsia="仿宋" w:cs="仿宋"/>
          <w:sz w:val="24"/>
        </w:rPr>
      </w:pPr>
      <w:r>
        <w:rPr>
          <w:rFonts w:hint="eastAsia" w:ascii="仿宋" w:hAnsi="仿宋" w:eastAsia="仿宋" w:cs="仿宋"/>
          <w:sz w:val="24"/>
        </w:rPr>
        <w:t xml:space="preserve">（二）本协议适用于的项目名称为：_________________________，项目编号：_______________。</w:t>
      </w:r>
      <w:r/>
    </w:p>
    <w:p>
      <w:pPr>
        <w:rPr>
          <w:rFonts w:ascii="仿宋" w:hAnsi="仿宋" w:eastAsia="仿宋" w:cs="仿宋"/>
          <w:sz w:val="24"/>
        </w:rPr>
        <w:outlineLvl w:val="1"/>
      </w:pPr>
      <w:r>
        <w:rPr>
          <w:rFonts w:hint="eastAsia" w:ascii="仿宋" w:hAnsi="仿宋" w:eastAsia="仿宋" w:cs="仿宋"/>
          <w:sz w:val="24"/>
        </w:rPr>
        <w:t xml:space="preserve">二、信息保密要求</w:t>
      </w:r>
      <w:r/>
    </w:p>
    <w:p>
      <w:pPr>
        <w:ind w:firstLine="480"/>
        <w:rPr>
          <w:rFonts w:ascii="仿宋" w:hAnsi="仿宋" w:eastAsia="仿宋" w:cs="仿宋"/>
          <w:sz w:val="24"/>
        </w:rPr>
      </w:pPr>
      <w:r>
        <w:rPr>
          <w:rFonts w:hint="eastAsia" w:ascii="仿宋" w:hAnsi="仿宋" w:eastAsia="仿宋" w:cs="仿宋"/>
          <w:sz w:val="24"/>
        </w:rPr>
        <w:t xml:space="preserve">乙方须遵守以下条款，对项目涉及的信息进行保密：</w:t>
      </w:r>
      <w:r/>
    </w:p>
    <w:p>
      <w:pPr>
        <w:ind w:firstLine="480"/>
        <w:rPr>
          <w:rFonts w:ascii="仿宋" w:hAnsi="仿宋" w:eastAsia="仿宋" w:cs="仿宋"/>
          <w:sz w:val="24"/>
        </w:rPr>
      </w:pPr>
      <w:r>
        <w:rPr>
          <w:rFonts w:hint="eastAsia" w:ascii="仿宋" w:hAnsi="仿宋" w:eastAsia="仿宋" w:cs="仿宋"/>
          <w:sz w:val="24"/>
        </w:rPr>
        <w:t xml:space="preserve">（一）乙方在为甲方提供服务过程中，应对来源于服务对象的所有信息进行涉密情况的征询，对于甲方的保密信息要做好保密管理。</w:t>
      </w:r>
      <w:r/>
    </w:p>
    <w:p>
      <w:pPr>
        <w:ind w:firstLine="480"/>
        <w:rPr>
          <w:rFonts w:ascii="仿宋" w:hAnsi="仿宋" w:eastAsia="仿宋" w:cs="仿宋"/>
          <w:sz w:val="24"/>
        </w:rPr>
      </w:pPr>
      <w:r>
        <w:rPr>
          <w:rFonts w:hint="eastAsia" w:ascii="仿宋" w:hAnsi="仿宋" w:eastAsia="仿宋" w:cs="仿宋"/>
          <w:sz w:val="24"/>
        </w:rPr>
        <w:t xml:space="preserve">（二）对来源于甲方所有信息（包括但不限于相关技术资料、报告、摘要、纪要、文件、计划、报表、复印件、信息系统应用数据等），乙方负有保密责任，应采取有效保密措施确保信息安全。</w:t>
      </w:r>
      <w:r/>
    </w:p>
    <w:p>
      <w:pPr>
        <w:ind w:firstLine="480"/>
        <w:rPr>
          <w:rFonts w:ascii="仿宋" w:hAnsi="仿宋" w:eastAsia="仿宋" w:cs="仿宋"/>
          <w:sz w:val="24"/>
        </w:rPr>
      </w:pPr>
      <w:r>
        <w:rPr>
          <w:rFonts w:hint="eastAsia" w:ascii="仿宋" w:hAnsi="仿宋" w:eastAsia="仿宋" w:cs="仿宋"/>
          <w:sz w:val="24"/>
        </w:rPr>
        <w:t xml:space="preserve">（三）乙方人员须在甲方工作人员允许和在场的情况下对甲方内部信息数据进行操作，乙方不得擅自复制、传播甲方的各类信息，不得外泄信息。</w:t>
      </w:r>
      <w:r/>
    </w:p>
    <w:p>
      <w:pPr>
        <w:ind w:firstLine="480"/>
        <w:rPr>
          <w:rFonts w:ascii="仿宋" w:hAnsi="仿宋" w:eastAsia="仿宋" w:cs="仿宋"/>
          <w:sz w:val="24"/>
        </w:rPr>
      </w:pPr>
      <w:r>
        <w:rPr>
          <w:rFonts w:hint="eastAsia" w:ascii="仿宋" w:hAnsi="仿宋" w:eastAsia="仿宋" w:cs="仿宋"/>
          <w:sz w:val="24"/>
        </w:rPr>
        <w:t xml:space="preserve">（四）乙方在完成相关服务后，将使用的安全技术设备带离现场时，须在甲方监督下及时使用不可恢复的删除方式彻底删除设备内的甲方内部信息。未经甲方许可，不得带走甲方有关文件、资料和数据。</w:t>
      </w:r>
      <w:r/>
    </w:p>
    <w:p>
      <w:pPr>
        <w:ind w:firstLine="480"/>
        <w:rPr>
          <w:rFonts w:ascii="仿宋" w:hAnsi="仿宋" w:eastAsia="仿宋" w:cs="仿宋"/>
          <w:sz w:val="24"/>
        </w:rPr>
      </w:pPr>
      <w:r>
        <w:rPr>
          <w:rFonts w:hint="eastAsia" w:ascii="仿宋" w:hAnsi="仿宋" w:eastAsia="仿宋" w:cs="仿宋"/>
          <w:sz w:val="24"/>
        </w:rPr>
        <w:t xml:space="preserve">（五）乙方在提供服务过程中，参与项目的乙方人员应遵守甲方有关规章制度。</w:t>
      </w:r>
      <w:r/>
    </w:p>
    <w:p>
      <w:pPr>
        <w:ind w:firstLine="480"/>
        <w:rPr>
          <w:rFonts w:ascii="仿宋" w:hAnsi="仿宋" w:eastAsia="仿宋" w:cs="仿宋"/>
          <w:sz w:val="24"/>
        </w:rPr>
      </w:pPr>
      <w:r>
        <w:rPr>
          <w:rFonts w:hint="eastAsia" w:ascii="仿宋" w:hAnsi="仿宋" w:eastAsia="仿宋" w:cs="仿宋"/>
          <w:sz w:val="24"/>
        </w:rPr>
        <w:t xml:space="preserve">（六）相关服务完成后，乙方应将相关交付物完整交付甲方，不得保留相关交付物的副本，相关纸质及电子资料必须销毁，防止信息外流。</w:t>
      </w:r>
      <w:r/>
    </w:p>
    <w:p>
      <w:pPr>
        <w:ind w:firstLine="480"/>
        <w:rPr>
          <w:rFonts w:ascii="仿宋" w:hAnsi="仿宋" w:eastAsia="仿宋" w:cs="仿宋"/>
          <w:sz w:val="24"/>
        </w:rPr>
      </w:pPr>
      <w:r>
        <w:rPr>
          <w:rFonts w:hint="eastAsia" w:ascii="仿宋" w:hAnsi="仿宋" w:eastAsia="仿宋" w:cs="仿宋"/>
          <w:sz w:val="24"/>
        </w:rPr>
        <w:t xml:space="preserve">（七）乙方在工作期间，严格遵守甲方保密制度及有关规定，不得泄露服务对象相关系统及数据库的账号和密码。</w:t>
      </w:r>
      <w:r/>
    </w:p>
    <w:p>
      <w:pPr>
        <w:ind w:firstLine="480"/>
        <w:rPr>
          <w:rFonts w:ascii="仿宋" w:hAnsi="仿宋" w:eastAsia="仿宋" w:cs="仿宋"/>
          <w:sz w:val="24"/>
        </w:rPr>
      </w:pPr>
      <w:r>
        <w:rPr>
          <w:rFonts w:hint="eastAsia" w:ascii="仿宋" w:hAnsi="仿宋" w:eastAsia="仿宋" w:cs="仿宋"/>
          <w:sz w:val="24"/>
        </w:rPr>
        <w:t xml:space="preserve">（八）本协议效力不受劳动合同订立及解除的影响，乙方工作人员调离乙方公司时，乙方公司应负责采取相关措施防止信息泄露；否则发生的项目信息泄露责任，由乙方负责。</w:t>
      </w:r>
      <w:r/>
    </w:p>
    <w:p>
      <w:pPr>
        <w:ind w:firstLine="480"/>
        <w:rPr>
          <w:rFonts w:ascii="仿宋" w:hAnsi="仿宋" w:eastAsia="仿宋" w:cs="仿宋"/>
          <w:sz w:val="24"/>
        </w:rPr>
      </w:pPr>
      <w:r>
        <w:rPr>
          <w:rFonts w:hint="eastAsia" w:ascii="仿宋" w:hAnsi="仿宋" w:eastAsia="仿宋" w:cs="仿宋"/>
          <w:sz w:val="24"/>
        </w:rPr>
        <w:t xml:space="preserve">（九）乙方与乙方工作人员签订针对于本项目的保密协议，确保乙方工作人员严格执行本协议中保密条款。</w:t>
      </w:r>
      <w:r/>
    </w:p>
    <w:p>
      <w:pPr>
        <w:rPr>
          <w:rFonts w:ascii="仿宋" w:hAnsi="仿宋" w:eastAsia="仿宋" w:cs="仿宋"/>
          <w:sz w:val="24"/>
        </w:rPr>
        <w:outlineLvl w:val="1"/>
      </w:pPr>
      <w:r>
        <w:rPr>
          <w:rFonts w:hint="eastAsia" w:ascii="仿宋" w:hAnsi="仿宋" w:eastAsia="仿宋" w:cs="仿宋"/>
          <w:sz w:val="24"/>
        </w:rPr>
        <w:t xml:space="preserve">三、甲方须遵守以下条款，对项目涉及的乙方内部信息进行保密：</w:t>
      </w:r>
      <w:r/>
    </w:p>
    <w:p>
      <w:pPr>
        <w:ind w:firstLine="480"/>
        <w:rPr>
          <w:rFonts w:ascii="仿宋" w:hAnsi="仿宋" w:eastAsia="仿宋" w:cs="仿宋"/>
          <w:sz w:val="24"/>
        </w:rPr>
      </w:pPr>
      <w:r>
        <w:rPr>
          <w:rFonts w:hint="eastAsia" w:ascii="仿宋" w:hAnsi="仿宋" w:eastAsia="仿宋" w:cs="仿宋"/>
          <w:sz w:val="24"/>
        </w:rPr>
        <w:t xml:space="preserve">（一）甲方提供涉密技术资料、数据时应向乙方明示。</w:t>
      </w:r>
      <w:r/>
    </w:p>
    <w:p>
      <w:pPr>
        <w:ind w:firstLine="480"/>
        <w:rPr>
          <w:rFonts w:ascii="仿宋" w:hAnsi="仿宋" w:eastAsia="仿宋" w:cs="仿宋"/>
          <w:sz w:val="24"/>
        </w:rPr>
      </w:pPr>
      <w:r>
        <w:rPr>
          <w:rFonts w:hint="eastAsia" w:ascii="仿宋" w:hAnsi="仿宋" w:eastAsia="仿宋" w:cs="仿宋"/>
          <w:sz w:val="24"/>
        </w:rPr>
        <w:t xml:space="preserve">（二）甲方不得向任何第三方披露乙方的工作程序，技术工具、设备、方法等。</w:t>
      </w:r>
      <w:r/>
    </w:p>
    <w:p>
      <w:pPr>
        <w:ind w:firstLine="480"/>
        <w:rPr>
          <w:rFonts w:ascii="仿宋" w:hAnsi="仿宋" w:eastAsia="仿宋" w:cs="仿宋"/>
          <w:sz w:val="24"/>
        </w:rPr>
      </w:pPr>
      <w:r>
        <w:rPr>
          <w:rFonts w:hint="eastAsia" w:ascii="仿宋" w:hAnsi="仿宋" w:eastAsia="仿宋" w:cs="仿宋"/>
          <w:sz w:val="24"/>
        </w:rPr>
        <w:t xml:space="preserve">（三）甲方不得向任何第三方披露乙方的技术资料或文档，包括但不限于项目过程文档、实施方案等。</w:t>
      </w:r>
      <w:r/>
    </w:p>
    <w:p>
      <w:pPr>
        <w:rPr>
          <w:rFonts w:ascii="仿宋" w:hAnsi="仿宋" w:eastAsia="仿宋" w:cs="仿宋"/>
          <w:sz w:val="24"/>
        </w:rPr>
        <w:outlineLvl w:val="1"/>
      </w:pPr>
      <w:r>
        <w:rPr>
          <w:rFonts w:hint="eastAsia" w:ascii="仿宋" w:hAnsi="仿宋" w:eastAsia="仿宋" w:cs="仿宋"/>
          <w:sz w:val="24"/>
        </w:rPr>
        <w:t xml:space="preserve">四、保密期限</w:t>
      </w:r>
      <w:r/>
    </w:p>
    <w:p>
      <w:pPr>
        <w:ind w:firstLine="480"/>
        <w:rPr>
          <w:rFonts w:ascii="仿宋" w:hAnsi="仿宋" w:eastAsia="仿宋" w:cs="仿宋"/>
          <w:sz w:val="24"/>
        </w:rPr>
      </w:pPr>
      <w:r>
        <w:rPr>
          <w:rFonts w:hint="eastAsia" w:ascii="仿宋" w:hAnsi="仿宋" w:eastAsia="仿宋" w:cs="仿宋"/>
          <w:sz w:val="24"/>
        </w:rPr>
        <w:t xml:space="preserve">本协议经双方盖章后生效，有效期为三年。如果所涉及的保密信息依照国家有关法律、法规其保密期限超过上述规定的年限，则双方的保密责任在这些法律法规规定的年限内继续有效。</w:t>
      </w:r>
      <w:r/>
    </w:p>
    <w:p>
      <w:pPr>
        <w:rPr>
          <w:rFonts w:ascii="仿宋" w:hAnsi="仿宋" w:eastAsia="仿宋" w:cs="仿宋"/>
          <w:sz w:val="24"/>
        </w:rPr>
        <w:outlineLvl w:val="1"/>
      </w:pPr>
      <w:r>
        <w:rPr>
          <w:rFonts w:hint="eastAsia" w:ascii="仿宋" w:hAnsi="仿宋" w:eastAsia="仿宋" w:cs="仿宋"/>
          <w:sz w:val="24"/>
        </w:rPr>
        <w:t xml:space="preserve">五、违约责任：</w:t>
      </w:r>
      <w:r/>
    </w:p>
    <w:p>
      <w:pPr>
        <w:ind w:firstLine="480"/>
        <w:rPr>
          <w:rFonts w:ascii="仿宋" w:hAnsi="仿宋" w:eastAsia="仿宋" w:cs="仿宋"/>
          <w:sz w:val="24"/>
        </w:rPr>
      </w:pPr>
      <w:r>
        <w:rPr>
          <w:rFonts w:hint="eastAsia" w:ascii="仿宋" w:hAnsi="仿宋" w:eastAsia="仿宋" w:cs="仿宋"/>
          <w:sz w:val="24"/>
        </w:rPr>
        <w:t xml:space="preserve">乙方不得以任何理由、任何形式泄露甲方的相关机密。如果违反，乙方必须承担甲方因此而造成的全部损失（含直接及间接经济损失）；情节严重者，并提请有关部门追究其刑事责任。</w:t>
      </w:r>
      <w:r/>
    </w:p>
    <w:p>
      <w:pPr>
        <w:rPr>
          <w:rFonts w:ascii="仿宋" w:hAnsi="仿宋" w:eastAsia="仿宋" w:cs="仿宋"/>
          <w:sz w:val="24"/>
        </w:rPr>
      </w:pPr>
      <w:r>
        <w:rPr>
          <w:rFonts w:hint="eastAsia" w:ascii="仿宋" w:hAnsi="仿宋" w:eastAsia="仿宋" w:cs="仿宋"/>
          <w:sz w:val="24"/>
        </w:rPr>
        <w:t xml:space="preserve">【本文结束】</w:t>
      </w:r>
      <w:r/>
    </w:p>
    <w:p>
      <w:pPr>
        <w:rPr>
          <w:rFonts w:ascii="仿宋" w:hAnsi="仿宋" w:eastAsia="仿宋" w:cs="仿宋"/>
          <w:sz w:val="24"/>
        </w:rPr>
      </w:pPr>
      <w:r>
        <w:rPr>
          <w:rFonts w:ascii="仿宋" w:hAnsi="仿宋" w:eastAsia="仿宋" w:cs="仿宋"/>
          <w:sz w:val="24"/>
        </w:rPr>
      </w:r>
      <w:r/>
    </w:p>
    <w:p>
      <w:pPr>
        <w:pStyle w:val="739"/>
        <w:spacing w:before="156" w:after="156"/>
        <w:rPr>
          <w:rFonts w:ascii="仿宋" w:hAnsi="仿宋" w:eastAsia="仿宋" w:cs="仿宋"/>
          <w:sz w:val="24"/>
          <w:szCs w:val="24"/>
        </w:rPr>
      </w:pPr>
      <w:r>
        <w:rPr>
          <w:rFonts w:hint="eastAsia" w:ascii="仿宋" w:hAnsi="仿宋" w:eastAsia="仿宋" w:cs="仿宋"/>
          <w:sz w:val="24"/>
          <w:szCs w:val="24"/>
        </w:rPr>
        <w:t xml:space="preserve">附件2：网络信息安全承诺书</w:t>
      </w:r>
      <w:r/>
    </w:p>
    <w:p>
      <w:pPr>
        <w:ind w:firstLine="482"/>
        <w:rPr>
          <w:rFonts w:ascii="仿宋" w:hAnsi="仿宋" w:eastAsia="仿宋" w:cs="仿宋"/>
          <w:b/>
          <w:sz w:val="24"/>
        </w:rPr>
      </w:pPr>
      <w:r>
        <w:rPr>
          <w:rFonts w:hint="eastAsia" w:ascii="仿宋" w:hAnsi="仿宋" w:eastAsia="仿宋" w:cs="仿宋"/>
          <w:b/>
          <w:sz w:val="24"/>
        </w:rPr>
        <w:t xml:space="preserve">甲方保证遵守以下各项规定：</w:t>
      </w:r>
      <w:r/>
    </w:p>
    <w:p>
      <w:pPr>
        <w:ind w:firstLine="480"/>
        <w:rPr>
          <w:rFonts w:ascii="仿宋" w:hAnsi="仿宋" w:eastAsia="仿宋" w:cs="仿宋"/>
          <w:sz w:val="24"/>
        </w:rPr>
      </w:pPr>
      <w:r>
        <w:rPr>
          <w:rFonts w:hint="eastAsia" w:ascii="仿宋" w:hAnsi="仿宋" w:eastAsia="仿宋" w:cs="仿宋"/>
          <w:sz w:val="24"/>
        </w:rPr>
        <w:t xml:space="preserve">第一条、遵守国家有关法律、行政法规和管理规章，严格执行信息安全管理规定。</w:t>
      </w:r>
      <w:r/>
    </w:p>
    <w:p>
      <w:pPr>
        <w:ind w:firstLine="480"/>
        <w:rPr>
          <w:rFonts w:ascii="仿宋" w:hAnsi="仿宋" w:eastAsia="仿宋" w:cs="仿宋"/>
          <w:sz w:val="24"/>
        </w:rPr>
      </w:pPr>
      <w:r>
        <w:rPr>
          <w:rFonts w:hint="eastAsia" w:ascii="仿宋" w:hAnsi="仿宋" w:eastAsia="仿宋" w:cs="仿宋"/>
          <w:sz w:val="24"/>
        </w:rPr>
        <w:t xml:space="preserve">第二条、不得从事危害国家安全、泄露国家机密等违法犯罪活动，不得利用云服务产品制作、查阅、复制和传播违反宪法和法律、妨碍社会治安、破坏国家统一、破坏民族团结、色情、暴力等的信息，不得利用云服务产品 制作、查阅、复制和传播任何含有下列内容之一的信息：煽动抗拒、破坏宪法和法律、行政法规实施的；</w:t>
      </w:r>
      <w:r/>
    </w:p>
    <w:p>
      <w:pPr>
        <w:ind w:firstLine="480"/>
        <w:rPr>
          <w:rFonts w:ascii="仿宋" w:hAnsi="仿宋" w:eastAsia="仿宋" w:cs="仿宋"/>
          <w:sz w:val="24"/>
        </w:rPr>
      </w:pPr>
      <w:r>
        <w:rPr>
          <w:rFonts w:hint="eastAsia" w:ascii="仿宋" w:hAnsi="仿宋" w:eastAsia="仿宋" w:cs="仿宋"/>
          <w:sz w:val="24"/>
        </w:rPr>
        <w:t xml:space="preserve">1、煽动颠覆国家政权，推翻社会主义制度的；</w:t>
      </w:r>
      <w:r/>
    </w:p>
    <w:p>
      <w:pPr>
        <w:ind w:firstLine="480"/>
        <w:rPr>
          <w:rFonts w:ascii="仿宋" w:hAnsi="仿宋" w:eastAsia="仿宋" w:cs="仿宋"/>
          <w:sz w:val="24"/>
        </w:rPr>
      </w:pPr>
      <w:r>
        <w:rPr>
          <w:rFonts w:hint="eastAsia" w:ascii="仿宋" w:hAnsi="仿宋" w:eastAsia="仿宋" w:cs="仿宋"/>
          <w:sz w:val="24"/>
        </w:rPr>
        <w:t xml:space="preserve">2、危害国家安全，泄露国家机密的；</w:t>
      </w:r>
      <w:r/>
    </w:p>
    <w:p>
      <w:pPr>
        <w:ind w:firstLine="480"/>
        <w:rPr>
          <w:rFonts w:ascii="仿宋" w:hAnsi="仿宋" w:eastAsia="仿宋" w:cs="仿宋"/>
          <w:sz w:val="24"/>
        </w:rPr>
      </w:pPr>
      <w:r>
        <w:rPr>
          <w:rFonts w:hint="eastAsia" w:ascii="仿宋" w:hAnsi="仿宋" w:eastAsia="仿宋" w:cs="仿宋"/>
          <w:sz w:val="24"/>
        </w:rPr>
        <w:t xml:space="preserve">3、煽动分裂国家、破坏国家统一的；</w:t>
      </w:r>
      <w:r/>
    </w:p>
    <w:p>
      <w:pPr>
        <w:ind w:firstLine="480"/>
        <w:rPr>
          <w:rFonts w:ascii="仿宋" w:hAnsi="仿宋" w:eastAsia="仿宋" w:cs="仿宋"/>
          <w:sz w:val="24"/>
        </w:rPr>
      </w:pPr>
      <w:r>
        <w:rPr>
          <w:rFonts w:hint="eastAsia" w:ascii="仿宋" w:hAnsi="仿宋" w:eastAsia="仿宋" w:cs="仿宋"/>
          <w:sz w:val="24"/>
        </w:rPr>
        <w:t xml:space="preserve">4、煽动民族仇恨、民族歧视，破坏民族团结的；</w:t>
      </w:r>
      <w:r/>
    </w:p>
    <w:p>
      <w:pPr>
        <w:ind w:firstLine="480"/>
        <w:rPr>
          <w:rFonts w:ascii="仿宋" w:hAnsi="仿宋" w:eastAsia="仿宋" w:cs="仿宋"/>
          <w:sz w:val="24"/>
        </w:rPr>
      </w:pPr>
      <w:r>
        <w:rPr>
          <w:rFonts w:hint="eastAsia" w:ascii="仿宋" w:hAnsi="仿宋" w:eastAsia="仿宋" w:cs="仿宋"/>
          <w:sz w:val="24"/>
        </w:rPr>
        <w:t xml:space="preserve">5、捏造或者歪曲事实，散布谣言，扰乱社会秩序，破坏社会稳定的；</w:t>
      </w:r>
      <w:r/>
    </w:p>
    <w:p>
      <w:pPr>
        <w:ind w:firstLine="480"/>
        <w:rPr>
          <w:rFonts w:ascii="仿宋" w:hAnsi="仿宋" w:eastAsia="仿宋" w:cs="仿宋"/>
          <w:sz w:val="24"/>
        </w:rPr>
      </w:pPr>
      <w:r>
        <w:rPr>
          <w:rFonts w:hint="eastAsia" w:ascii="仿宋" w:hAnsi="仿宋" w:eastAsia="仿宋" w:cs="仿宋"/>
          <w:sz w:val="24"/>
        </w:rPr>
        <w:t xml:space="preserve">6、破坏国家宗教政策，宣扬邪教和封建迷信、淫秽、色情、赌博、暴力、凶杀、恐怖，教唆犯罪的；</w:t>
      </w:r>
      <w:r/>
    </w:p>
    <w:p>
      <w:pPr>
        <w:ind w:firstLine="480"/>
        <w:rPr>
          <w:rFonts w:ascii="仿宋" w:hAnsi="仿宋" w:eastAsia="仿宋" w:cs="仿宋"/>
          <w:sz w:val="24"/>
        </w:rPr>
      </w:pPr>
      <w:r>
        <w:rPr>
          <w:rFonts w:hint="eastAsia" w:ascii="仿宋" w:hAnsi="仿宋" w:eastAsia="仿宋" w:cs="仿宋"/>
          <w:sz w:val="24"/>
        </w:rPr>
        <w:t xml:space="preserve">7、公然侮辱他人或者捏造事实诽谤他人,侵害他人合法权益的；</w:t>
      </w:r>
      <w:r/>
    </w:p>
    <w:p>
      <w:pPr>
        <w:ind w:firstLine="480"/>
        <w:rPr>
          <w:rFonts w:ascii="仿宋" w:hAnsi="仿宋" w:eastAsia="仿宋" w:cs="仿宋"/>
          <w:sz w:val="24"/>
        </w:rPr>
      </w:pPr>
      <w:r>
        <w:rPr>
          <w:rFonts w:hint="eastAsia" w:ascii="仿宋" w:hAnsi="仿宋" w:eastAsia="仿宋" w:cs="仿宋"/>
          <w:sz w:val="24"/>
        </w:rPr>
        <w:t xml:space="preserve">8、损害国家和/或者国家机关信誉和/或者利益的；</w:t>
      </w:r>
      <w:r/>
    </w:p>
    <w:p>
      <w:pPr>
        <w:ind w:firstLine="480"/>
        <w:rPr>
          <w:rFonts w:ascii="仿宋" w:hAnsi="仿宋" w:eastAsia="仿宋" w:cs="仿宋"/>
          <w:sz w:val="24"/>
        </w:rPr>
      </w:pPr>
      <w:r>
        <w:rPr>
          <w:rFonts w:hint="eastAsia" w:ascii="仿宋" w:hAnsi="仿宋" w:eastAsia="仿宋" w:cs="仿宋"/>
          <w:sz w:val="24"/>
        </w:rPr>
        <w:t xml:space="preserve">9、其他违反宪法和法律、行政法规的。</w:t>
      </w:r>
      <w:r/>
    </w:p>
    <w:p>
      <w:pPr>
        <w:ind w:firstLine="480"/>
        <w:rPr>
          <w:rFonts w:ascii="仿宋" w:hAnsi="仿宋" w:eastAsia="仿宋" w:cs="仿宋"/>
          <w:sz w:val="24"/>
        </w:rPr>
      </w:pPr>
      <w:r>
        <w:rPr>
          <w:rFonts w:hint="eastAsia" w:ascii="仿宋" w:hAnsi="仿宋" w:eastAsia="仿宋" w:cs="仿宋"/>
          <w:sz w:val="24"/>
        </w:rPr>
        <w:t xml:space="preserve">第三条、不得利用本项目服务从事下列危害计算机信息网络安全的活动：</w:t>
      </w:r>
      <w:r/>
    </w:p>
    <w:p>
      <w:pPr>
        <w:ind w:firstLine="480"/>
        <w:rPr>
          <w:rFonts w:ascii="仿宋" w:hAnsi="仿宋" w:eastAsia="仿宋" w:cs="仿宋"/>
          <w:sz w:val="24"/>
        </w:rPr>
      </w:pPr>
      <w:r>
        <w:rPr>
          <w:rFonts w:hint="eastAsia" w:ascii="仿宋" w:hAnsi="仿宋" w:eastAsia="仿宋" w:cs="仿宋"/>
          <w:sz w:val="24"/>
        </w:rPr>
        <w:t xml:space="preserve">1、未经允许，进入计算机信息网络或者使用计算机信息网络资源的；</w:t>
      </w:r>
      <w:r/>
    </w:p>
    <w:p>
      <w:pPr>
        <w:ind w:firstLine="480"/>
        <w:rPr>
          <w:rFonts w:ascii="仿宋" w:hAnsi="仿宋" w:eastAsia="仿宋" w:cs="仿宋"/>
          <w:sz w:val="24"/>
        </w:rPr>
      </w:pPr>
      <w:r>
        <w:rPr>
          <w:rFonts w:hint="eastAsia" w:ascii="仿宋" w:hAnsi="仿宋" w:eastAsia="仿宋" w:cs="仿宋"/>
          <w:sz w:val="24"/>
        </w:rPr>
        <w:t xml:space="preserve">2、未经允许，对计算机信息网络功能进行删除、修改或者增加的；</w:t>
      </w:r>
      <w:r/>
    </w:p>
    <w:p>
      <w:pPr>
        <w:ind w:firstLine="480"/>
        <w:rPr>
          <w:rFonts w:ascii="仿宋" w:hAnsi="仿宋" w:eastAsia="仿宋" w:cs="仿宋"/>
          <w:sz w:val="24"/>
        </w:rPr>
      </w:pPr>
      <w:r>
        <w:rPr>
          <w:rFonts w:hint="eastAsia" w:ascii="仿宋" w:hAnsi="仿宋" w:eastAsia="仿宋" w:cs="仿宋"/>
          <w:sz w:val="24"/>
        </w:rPr>
        <w:t xml:space="preserve">3、故意制作、传播计算机病毒等破坏性程序的；</w:t>
      </w:r>
      <w:r/>
    </w:p>
    <w:p>
      <w:pPr>
        <w:ind w:firstLine="480"/>
        <w:rPr>
          <w:rFonts w:ascii="仿宋" w:hAnsi="仿宋" w:eastAsia="仿宋" w:cs="仿宋"/>
          <w:sz w:val="24"/>
        </w:rPr>
      </w:pPr>
      <w:r>
        <w:rPr>
          <w:rFonts w:hint="eastAsia" w:ascii="仿宋" w:hAnsi="仿宋" w:eastAsia="仿宋" w:cs="仿宋"/>
          <w:sz w:val="24"/>
        </w:rPr>
        <w:t xml:space="preserve">4、其他危害计算机信息网络安全的。</w:t>
      </w:r>
      <w:r/>
    </w:p>
    <w:p>
      <w:pPr>
        <w:ind w:firstLine="480"/>
        <w:rPr>
          <w:rFonts w:ascii="仿宋" w:hAnsi="仿宋" w:eastAsia="仿宋" w:cs="仿宋"/>
          <w:sz w:val="24"/>
        </w:rPr>
      </w:pPr>
      <w:r>
        <w:rPr>
          <w:rFonts w:hint="eastAsia" w:ascii="仿宋" w:hAnsi="仿宋" w:eastAsia="仿宋" w:cs="仿宋"/>
          <w:sz w:val="24"/>
        </w:rPr>
        <w:t xml:space="preserve">第四条、提供的信息必须遵守国家有关知识产权的法律、行政法规、规章、政策等规定。</w:t>
      </w:r>
      <w:r/>
    </w:p>
    <w:p>
      <w:pPr>
        <w:ind w:firstLine="480"/>
        <w:rPr>
          <w:rFonts w:ascii="仿宋" w:hAnsi="仿宋" w:eastAsia="仿宋" w:cs="仿宋"/>
          <w:sz w:val="24"/>
        </w:rPr>
      </w:pPr>
      <w:r>
        <w:rPr>
          <w:rFonts w:hint="eastAsia" w:ascii="仿宋" w:hAnsi="仿宋" w:eastAsia="仿宋" w:cs="仿宋"/>
          <w:sz w:val="24"/>
        </w:rPr>
        <w:t xml:space="preserve">第五条、安装软件及或其他作品、数据时，应自行依法具有或取得所需之软件、作品、数据的著作权及或使用权许可。</w:t>
      </w:r>
      <w:r/>
    </w:p>
    <w:p>
      <w:pPr>
        <w:ind w:firstLine="480"/>
        <w:rPr>
          <w:rFonts w:ascii="仿宋" w:hAnsi="仿宋" w:eastAsia="仿宋" w:cs="仿宋"/>
          <w:sz w:val="24"/>
        </w:rPr>
      </w:pPr>
      <w:r>
        <w:rPr>
          <w:rFonts w:hint="eastAsia" w:ascii="仿宋" w:hAnsi="仿宋" w:eastAsia="仿宋" w:cs="仿宋"/>
          <w:sz w:val="24"/>
        </w:rPr>
        <w:t xml:space="preserve">第六条、应妥善保管服务产品的数据，并应对进入和管理服务产品的口令、密码的完整性和保密性负责。自行承担如维护不当或保密不当致使上述数据、口令、密码等丢失或泄漏所引起的损失和后果。</w:t>
      </w:r>
      <w:r/>
    </w:p>
    <w:p>
      <w:pPr>
        <w:ind w:firstLine="480"/>
        <w:rPr>
          <w:rFonts w:ascii="仿宋" w:hAnsi="仿宋" w:eastAsia="仿宋" w:cs="仿宋"/>
          <w:sz w:val="24"/>
        </w:rPr>
      </w:pPr>
      <w:r>
        <w:rPr>
          <w:rFonts w:hint="eastAsia" w:ascii="仿宋" w:hAnsi="仿宋" w:eastAsia="仿宋" w:cs="仿宋"/>
          <w:sz w:val="24"/>
        </w:rPr>
        <w:t xml:space="preserve">第七条、甲方在收集、存储、传输、处理个人数据时，应做好妥善的保护并在法律法规许可的范围内使用。</w:t>
      </w:r>
      <w:r/>
    </w:p>
    <w:p>
      <w:pPr>
        <w:ind w:firstLine="480"/>
        <w:rPr>
          <w:rFonts w:ascii="仿宋" w:hAnsi="仿宋" w:eastAsia="仿宋" w:cs="仿宋"/>
          <w:sz w:val="24"/>
        </w:rPr>
      </w:pPr>
      <w:r>
        <w:rPr>
          <w:rFonts w:ascii="仿宋" w:hAnsi="仿宋" w:eastAsia="仿宋" w:cs="仿宋"/>
          <w:sz w:val="24"/>
        </w:rPr>
      </w:r>
      <w:r/>
    </w:p>
    <w:p>
      <w:pPr>
        <w:ind w:firstLine="482"/>
        <w:rPr>
          <w:rFonts w:ascii="仿宋" w:hAnsi="仿宋" w:eastAsia="仿宋" w:cs="仿宋"/>
          <w:b/>
          <w:sz w:val="24"/>
        </w:rPr>
      </w:pPr>
      <w:r>
        <w:rPr>
          <w:rFonts w:hint="eastAsia" w:ascii="仿宋" w:hAnsi="仿宋" w:eastAsia="仿宋" w:cs="仿宋"/>
          <w:b/>
          <w:sz w:val="24"/>
        </w:rPr>
        <w:t xml:space="preserve">甲乙双方保证遵守以下各项规定：</w:t>
      </w:r>
      <w:r/>
    </w:p>
    <w:p>
      <w:pPr>
        <w:ind w:firstLine="480"/>
        <w:rPr>
          <w:rFonts w:ascii="仿宋" w:hAnsi="仿宋" w:eastAsia="仿宋" w:cs="仿宋"/>
          <w:sz w:val="24"/>
        </w:rPr>
      </w:pPr>
      <w:r>
        <w:rPr>
          <w:rFonts w:hint="eastAsia" w:ascii="仿宋" w:hAnsi="仿宋" w:eastAsia="仿宋" w:cs="仿宋"/>
          <w:sz w:val="24"/>
        </w:rPr>
        <w:t xml:space="preserve">第九条、严格遵守《中华人民共和国网络安全法》、《中华人民共和国数据安全法》、《中华人民共和国个人信息保护法》、《全国人民代表大会常务委员会关于加强网络信息保护的决定》、国务院令第292号《互联网信息服务管理办法》的</w:t>
      </w:r>
      <w:r>
        <w:rPr>
          <w:rFonts w:hint="eastAsia" w:ascii="仿宋" w:hAnsi="仿宋" w:eastAsia="仿宋" w:cs="仿宋"/>
          <w:sz w:val="24"/>
        </w:rPr>
        <w:t xml:space="preserve">相关规定，采取技术措施和其他必要措施确保信息安全，在发生或者可能发生信息泄露、毁损、丢失等情况时，立即采取补救措施进行补救。</w:t>
      </w:r>
      <w:r/>
    </w:p>
    <w:p>
      <w:pPr>
        <w:ind w:firstLine="480"/>
        <w:rPr>
          <w:rFonts w:ascii="仿宋" w:hAnsi="仿宋" w:eastAsia="仿宋" w:cs="仿宋"/>
          <w:sz w:val="24"/>
        </w:rPr>
      </w:pPr>
      <w:r>
        <w:rPr>
          <w:rFonts w:hint="eastAsia" w:ascii="仿宋" w:hAnsi="仿宋" w:eastAsia="仿宋" w:cs="仿宋"/>
          <w:sz w:val="24"/>
        </w:rPr>
        <w:t xml:space="preserve">第十条、甲乙双方在合作过程中，发现存在法律法规明令禁止的情形时，应当立即配合有关部门，停止传输、保存有关记录，并向有关机关或部门报告。</w:t>
      </w:r>
      <w:r/>
    </w:p>
    <w:p>
      <w:pPr>
        <w:ind w:firstLine="480"/>
        <w:rPr>
          <w:rFonts w:ascii="仿宋" w:hAnsi="仿宋" w:eastAsia="仿宋" w:cs="仿宋"/>
          <w:sz w:val="24"/>
        </w:rPr>
      </w:pPr>
      <w:r>
        <w:rPr>
          <w:rFonts w:hint="eastAsia" w:ascii="仿宋" w:hAnsi="仿宋" w:eastAsia="仿宋" w:cs="仿宋"/>
          <w:sz w:val="24"/>
        </w:rPr>
        <w:t xml:space="preserve">第十一条、甲方提供给乙方的的数据、设备等资源，以及甲方业务系统运行过程中收集、产生、存储的数据和文档等资源属甲方所有。乙方应保障甲方对这些资源的访问、利用、支配，未经甲方授权，不得访问、修改、披露、利用、转让、销毁其数据；在服务合同终止时，应按要求做好数据、文档等资源的移交和清除工作。</w:t>
      </w:r>
      <w:r/>
    </w:p>
    <w:p>
      <w:pPr>
        <w:ind w:firstLine="480"/>
        <w:rPr>
          <w:rFonts w:ascii="仿宋" w:hAnsi="仿宋" w:eastAsia="仿宋" w:cs="仿宋"/>
          <w:sz w:val="24"/>
        </w:rPr>
      </w:pPr>
      <w:r>
        <w:rPr>
          <w:rFonts w:hint="eastAsia" w:ascii="仿宋" w:hAnsi="仿宋" w:eastAsia="仿宋" w:cs="仿宋"/>
          <w:sz w:val="24"/>
        </w:rPr>
        <w:t xml:space="preserve">第十二条、承载甲方数据要参照甲方信息系统进行网络安全管理，乙方应遵守党政信息系统的网络安全政策规定、信息安全等级保护要求、技术标准，落实安全管理和防护措施，接受网络安全主管部门的网络安全监管。</w:t>
      </w:r>
      <w:r/>
    </w:p>
    <w:p>
      <w:pPr>
        <w:ind w:firstLine="480"/>
        <w:rPr>
          <w:rFonts w:ascii="仿宋" w:hAnsi="仿宋" w:eastAsia="仿宋" w:cs="仿宋"/>
          <w:sz w:val="24"/>
        </w:rPr>
      </w:pPr>
      <w:r>
        <w:rPr>
          <w:rFonts w:hint="eastAsia" w:ascii="仿宋" w:hAnsi="仿宋" w:eastAsia="仿宋" w:cs="仿宋"/>
          <w:sz w:val="24"/>
        </w:rPr>
        <w:t xml:space="preserve">第十三条、甲乙双方合作的服务提供商、数据中心等要设在境内。敏感信息未经批准不得在境外传输、处理、存储。</w:t>
      </w:r>
      <w:r/>
    </w:p>
    <w:p>
      <w:pPr>
        <w:ind w:firstLine="480"/>
        <w:rPr>
          <w:rFonts w:ascii="仿宋" w:hAnsi="仿宋" w:eastAsia="仿宋" w:cs="仿宋"/>
          <w:sz w:val="24"/>
        </w:rPr>
      </w:pPr>
      <w:r>
        <w:rPr>
          <w:rFonts w:hint="eastAsia" w:ascii="仿宋" w:hAnsi="仿宋" w:eastAsia="仿宋" w:cs="仿宋"/>
          <w:sz w:val="24"/>
        </w:rPr>
        <w:t xml:space="preserve">第十四条、乙方将采取合理且适当的安全措施，旨在帮助甲方保护甲方的内容免受意外或非法的损失、访问或披露。未经甲方的授权，乙方不会查看、使用、向第三方分发甲方的内容，除非：</w:t>
      </w:r>
      <w:r/>
    </w:p>
    <w:p>
      <w:pPr>
        <w:ind w:firstLine="480"/>
        <w:rPr>
          <w:rFonts w:ascii="仿宋" w:hAnsi="仿宋" w:eastAsia="仿宋" w:cs="仿宋"/>
          <w:sz w:val="24"/>
        </w:rPr>
      </w:pPr>
      <w:r>
        <w:rPr>
          <w:rFonts w:hint="eastAsia" w:ascii="仿宋" w:hAnsi="仿宋" w:eastAsia="仿宋" w:cs="仿宋"/>
          <w:sz w:val="24"/>
        </w:rPr>
        <w:t xml:space="preserve">1.为遵守法律或政府机构发布的具有约束力的命令所需。</w:t>
      </w:r>
      <w:r/>
    </w:p>
    <w:p>
      <w:pPr>
        <w:ind w:firstLine="480"/>
        <w:rPr>
          <w:rFonts w:ascii="仿宋" w:hAnsi="仿宋" w:eastAsia="仿宋" w:cs="仿宋"/>
          <w:sz w:val="24"/>
        </w:rPr>
      </w:pPr>
      <w:r>
        <w:rPr>
          <w:rFonts w:hint="eastAsia" w:ascii="仿宋" w:hAnsi="仿宋" w:eastAsia="仿宋" w:cs="仿宋"/>
          <w:sz w:val="24"/>
        </w:rPr>
        <w:t xml:space="preserve">2.为维护合法权益而提起的诉讼或仲裁所需。</w:t>
      </w:r>
      <w:r/>
    </w:p>
    <w:p>
      <w:pPr>
        <w:ind w:firstLine="480"/>
        <w:rPr>
          <w:rFonts w:ascii="仿宋" w:hAnsi="仿宋" w:eastAsia="仿宋" w:cs="仿宋"/>
          <w:sz w:val="24"/>
        </w:rPr>
      </w:pPr>
      <w:r>
        <w:rPr>
          <w:rFonts w:hint="eastAsia" w:ascii="仿宋" w:hAnsi="仿宋" w:eastAsia="仿宋" w:cs="仿宋"/>
          <w:sz w:val="24"/>
        </w:rPr>
        <w:t xml:space="preserve">第十五条、甲方应正确地配置和使用乙方提供的服务，并自行采取一定的安全性措施，对甲方的内容进行保护和备份，包括但不限于使用加密技术、防止甲方的内容被擅自访问，并对甲方的内容进行日常存档。</w:t>
      </w:r>
      <w:r/>
    </w:p>
    <w:p>
      <w:pPr>
        <w:ind w:firstLine="480"/>
        <w:rPr>
          <w:rFonts w:ascii="仿宋" w:hAnsi="仿宋" w:eastAsia="仿宋" w:cs="仿宋"/>
          <w:sz w:val="24"/>
        </w:rPr>
      </w:pPr>
      <w:r>
        <w:rPr>
          <w:rFonts w:hint="eastAsia" w:ascii="仿宋" w:hAnsi="仿宋" w:eastAsia="仿宋" w:cs="仿宋"/>
          <w:sz w:val="24"/>
        </w:rPr>
        <w:t xml:space="preserve">第十六条、对于由甲方的内容引起的安全漏洞，包括但不限于病毒、特洛伊木马、蠕虫或甲方的内容中包含的其他有害编程惯例，或对于甲方未按本协议约定使用乙方服务而引起的安全漏洞，甲方应承担责任。</w:t>
      </w:r>
      <w:r/>
    </w:p>
    <w:p>
      <w:pPr>
        <w:rPr>
          <w:rFonts w:ascii="仿宋" w:hAnsi="仿宋" w:eastAsia="仿宋" w:cs="仿宋"/>
          <w:sz w:val="24"/>
        </w:rPr>
      </w:pPr>
      <w:r>
        <w:rPr>
          <w:rFonts w:hint="eastAsia" w:ascii="仿宋" w:hAnsi="仿宋" w:eastAsia="仿宋" w:cs="仿宋"/>
          <w:sz w:val="24"/>
        </w:rPr>
        <w:t xml:space="preserve">【本文结束】</w:t>
      </w:r>
      <w:r/>
    </w:p>
    <w:p>
      <w:pPr>
        <w:rPr>
          <w:rFonts w:ascii="仿宋" w:hAnsi="仿宋" w:eastAsia="仿宋" w:cs="仿宋"/>
          <w:sz w:val="24"/>
        </w:rPr>
      </w:pPr>
      <w:r>
        <w:rPr>
          <w:rFonts w:ascii="仿宋" w:hAnsi="仿宋" w:eastAsia="仿宋" w:cs="仿宋"/>
          <w:sz w:val="24"/>
        </w:rPr>
      </w:r>
      <w:r/>
    </w:p>
    <w:p>
      <w:pPr>
        <w:pStyle w:val="739"/>
        <w:spacing w:before="156" w:after="156"/>
        <w:rPr>
          <w:rFonts w:ascii="仿宋" w:hAnsi="仿宋" w:eastAsia="仿宋" w:cs="仿宋"/>
          <w:sz w:val="24"/>
          <w:szCs w:val="24"/>
        </w:rPr>
      </w:pPr>
      <w:r>
        <w:rPr>
          <w:rFonts w:hint="eastAsia" w:ascii="仿宋" w:hAnsi="仿宋" w:eastAsia="仿宋" w:cs="仿宋"/>
          <w:sz w:val="24"/>
          <w:szCs w:val="24"/>
        </w:rPr>
        <w:t xml:space="preserve">附件3：服务考核指标体系</w:t>
      </w:r>
      <w:r/>
    </w:p>
    <w:p>
      <w:pPr>
        <w:ind w:firstLine="480"/>
        <w:rPr>
          <w:rFonts w:ascii="仿宋" w:hAnsi="仿宋" w:eastAsia="仿宋" w:cs="仿宋"/>
          <w:sz w:val="24"/>
        </w:rPr>
      </w:pPr>
      <w:r>
        <w:rPr>
          <w:rFonts w:hint="eastAsia" w:ascii="仿宋" w:hAnsi="仿宋" w:eastAsia="仿宋" w:cs="仿宋"/>
          <w:sz w:val="24"/>
        </w:rPr>
        <w:t xml:space="preserve">甲方有权根据服务考核细则扣除相关款项。</w:t>
      </w:r>
      <w:r/>
    </w:p>
    <w:p>
      <w:pPr>
        <w:ind w:firstLine="480"/>
        <w:jc w:val="center"/>
        <w:rPr>
          <w:rFonts w:ascii="仿宋" w:hAnsi="仿宋" w:eastAsia="仿宋" w:cs="仿宋"/>
          <w:sz w:val="24"/>
        </w:rPr>
      </w:pPr>
      <w:r>
        <w:rPr>
          <w:rFonts w:hint="eastAsia" w:ascii="仿宋" w:hAnsi="仿宋" w:eastAsia="仿宋" w:cs="仿宋"/>
          <w:sz w:val="24"/>
        </w:rPr>
        <w:t xml:space="preserve">《服务考核指标体系》</w:t>
      </w:r>
      <w:r/>
    </w:p>
    <w:tbl>
      <w:tblPr>
        <w:tblW w:w="0" w:type="auto"/>
        <w:tblLayout w:type="fixed"/>
        <w:tblLook w:val="04A0" w:firstRow="1" w:lastRow="0" w:firstColumn="1" w:lastColumn="0" w:noHBand="0" w:noVBand="1"/>
      </w:tblPr>
      <w:tblGrid>
        <w:gridCol w:w="582"/>
        <w:gridCol w:w="1134"/>
        <w:gridCol w:w="1843"/>
        <w:gridCol w:w="2410"/>
        <w:gridCol w:w="1276"/>
        <w:gridCol w:w="1091"/>
      </w:tblGrid>
      <w:tr>
        <w:trPr>
          <w:cantSplit/>
          <w:trHeight w:val="58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336" w:type="dxa"/>
            <w:vAlign w:val="center"/>
            <w:textDirection w:val="lrTb"/>
            <w:noWrap/>
          </w:tcPr>
          <w:p>
            <w:pPr>
              <w:jc w:val="center"/>
              <w:widowControl/>
              <w:rPr>
                <w:rFonts w:ascii="仿宋" w:hAnsi="仿宋" w:eastAsia="仿宋"/>
                <w:color w:val="000000"/>
                <w:szCs w:val="21"/>
              </w:rPr>
            </w:pPr>
            <w:r>
              <w:rPr>
                <w:rFonts w:hint="eastAsia" w:ascii="仿宋" w:hAnsi="仿宋" w:eastAsia="仿宋"/>
                <w:color w:val="000000"/>
                <w:szCs w:val="21"/>
              </w:rPr>
              <w:t xml:space="preserve">徐州经济技术开发区新一代电子政务外网服务项目服务质量考核规范表</w:t>
            </w:r>
            <w:r/>
          </w:p>
        </w:tc>
      </w:tr>
      <w:tr>
        <w:trP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2" w:type="dxa"/>
            <w:vAlign w:val="center"/>
            <w:textDirection w:val="lrTb"/>
            <w:noWrap/>
          </w:tcPr>
          <w:p>
            <w:pPr>
              <w:jc w:val="center"/>
              <w:widowControl/>
              <w:rPr>
                <w:rFonts w:ascii="仿宋" w:hAnsi="仿宋" w:eastAsia="仿宋"/>
                <w:color w:val="000000"/>
                <w:szCs w:val="21"/>
              </w:rPr>
            </w:pPr>
            <w:r>
              <w:rPr>
                <w:rFonts w:hint="eastAsia" w:ascii="仿宋" w:hAnsi="仿宋" w:eastAsia="仿宋"/>
                <w:color w:val="000000"/>
                <w:szCs w:val="21"/>
              </w:rPr>
              <w:t xml:space="preserve">被考核单位</w:t>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754" w:type="dxa"/>
            <w:vAlign w:val="center"/>
            <w:textDirection w:val="lrTb"/>
            <w:noWrap/>
          </w:tcPr>
          <w:p>
            <w:pPr>
              <w:jc w:val="center"/>
              <w:widowControl/>
              <w:rPr>
                <w:rFonts w:ascii="仿宋" w:hAnsi="仿宋" w:eastAsia="仿宋"/>
                <w:color w:val="000000"/>
                <w:szCs w:val="21"/>
              </w:rPr>
            </w:pPr>
            <w:r>
              <w:rPr>
                <w:rFonts w:ascii="仿宋" w:hAnsi="仿宋" w:eastAsia="仿宋"/>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2" w:type="dxa"/>
            <w:vAlign w:val="center"/>
            <w:textDirection w:val="lrTb"/>
            <w:noWrap/>
          </w:tcPr>
          <w:p>
            <w:pPr>
              <w:jc w:val="center"/>
              <w:widowControl/>
              <w:rPr>
                <w:rFonts w:ascii="仿宋" w:hAnsi="仿宋" w:eastAsia="仿宋"/>
                <w:color w:val="000000"/>
                <w:szCs w:val="21"/>
              </w:rPr>
            </w:pPr>
            <w:r>
              <w:rPr>
                <w:rFonts w:hint="eastAsia" w:ascii="仿宋" w:hAnsi="仿宋" w:eastAsia="仿宋"/>
                <w:color w:val="000000"/>
                <w:szCs w:val="21"/>
              </w:rPr>
              <w:t xml:space="preserve">考核部门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4" w:type="dxa"/>
            <w:vAlign w:val="center"/>
            <w:textDirection w:val="lrTb"/>
            <w:noWrap/>
          </w:tcPr>
          <w:p>
            <w:pPr>
              <w:jc w:val="center"/>
              <w:widowControl/>
              <w:rPr>
                <w:rFonts w:ascii="仿宋" w:hAnsi="仿宋" w:eastAsia="仿宋"/>
                <w:color w:val="000000"/>
                <w:szCs w:val="21"/>
              </w:rPr>
            </w:pPr>
            <w:r>
              <w:rPr>
                <w:rFonts w:ascii="仿宋" w:hAnsi="仿宋" w:eastAsia="仿宋"/>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43" w:type="dxa"/>
            <w:vAlign w:val="center"/>
            <w:textDirection w:val="lrTb"/>
            <w:noWrap/>
          </w:tcPr>
          <w:p>
            <w:pPr>
              <w:jc w:val="center"/>
              <w:widowControl/>
              <w:rPr>
                <w:rFonts w:ascii="仿宋" w:hAnsi="仿宋" w:eastAsia="仿宋"/>
                <w:color w:val="000000"/>
                <w:szCs w:val="21"/>
              </w:rPr>
            </w:pPr>
            <w:r>
              <w:rPr>
                <w:rFonts w:hint="eastAsia" w:ascii="仿宋" w:hAnsi="仿宋" w:eastAsia="仿宋"/>
                <w:color w:val="000000"/>
                <w:szCs w:val="21"/>
              </w:rPr>
              <w:t xml:space="preserve">考核时间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10" w:type="dxa"/>
            <w:vAlign w:val="center"/>
            <w:textDirection w:val="lrTb"/>
            <w:noWrap/>
          </w:tcPr>
          <w:p>
            <w:pPr>
              <w:jc w:val="center"/>
              <w:widowControl/>
              <w:rPr>
                <w:rFonts w:ascii="仿宋" w:hAnsi="仿宋" w:eastAsia="仿宋"/>
                <w:color w:val="000000"/>
                <w:szCs w:val="21"/>
              </w:rPr>
            </w:pPr>
            <w:r>
              <w:rPr>
                <w:rFonts w:ascii="仿宋" w:hAnsi="仿宋" w:eastAsia="仿宋"/>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76" w:type="dxa"/>
            <w:vAlign w:val="center"/>
            <w:textDirection w:val="lrTb"/>
            <w:noWrap/>
          </w:tcPr>
          <w:p>
            <w:pPr>
              <w:jc w:val="center"/>
              <w:widowControl/>
              <w:rPr>
                <w:rFonts w:ascii="仿宋" w:hAnsi="仿宋" w:eastAsia="仿宋"/>
                <w:color w:val="000000"/>
                <w:szCs w:val="21"/>
              </w:rPr>
            </w:pPr>
            <w:r>
              <w:rPr>
                <w:rFonts w:hint="eastAsia" w:ascii="仿宋" w:hAnsi="仿宋" w:eastAsia="仿宋"/>
                <w:color w:val="000000"/>
                <w:szCs w:val="21"/>
              </w:rPr>
              <w:t xml:space="preserve">考核结果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1" w:type="dxa"/>
            <w:vAlign w:val="center"/>
            <w:textDirection w:val="lrTb"/>
            <w:noWrap/>
          </w:tcPr>
          <w:p>
            <w:pPr>
              <w:jc w:val="center"/>
              <w:widowControl/>
              <w:rPr>
                <w:rFonts w:ascii="仿宋" w:hAnsi="仿宋" w:eastAsia="仿宋"/>
                <w:color w:val="000000"/>
                <w:szCs w:val="21"/>
              </w:rPr>
            </w:pPr>
            <w:r>
              <w:rPr>
                <w:rFonts w:ascii="仿宋" w:hAnsi="仿宋" w:eastAsia="仿宋"/>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2" w:type="dxa"/>
            <w:vAlign w:val="center"/>
            <w:textDirection w:val="lrTb"/>
            <w:noWrap/>
          </w:tcPr>
          <w:p>
            <w:pPr>
              <w:jc w:val="center"/>
              <w:widowControl/>
              <w:rPr>
                <w:rFonts w:ascii="仿宋" w:hAnsi="仿宋" w:eastAsia="仿宋"/>
                <w:color w:val="000000"/>
                <w:szCs w:val="21"/>
              </w:rPr>
            </w:pPr>
            <w:r>
              <w:rPr>
                <w:rFonts w:hint="eastAsia" w:ascii="仿宋" w:hAnsi="仿宋" w:eastAsia="仿宋"/>
                <w:color w:val="000000"/>
                <w:szCs w:val="21"/>
              </w:rPr>
              <w:t xml:space="preserve">考核项目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77" w:type="dxa"/>
            <w:vAlign w:val="center"/>
            <w:textDirection w:val="lrTb"/>
            <w:noWrap/>
          </w:tcPr>
          <w:p>
            <w:pPr>
              <w:jc w:val="center"/>
              <w:widowControl/>
              <w:rPr>
                <w:rFonts w:ascii="仿宋" w:hAnsi="仿宋" w:eastAsia="仿宋"/>
                <w:color w:val="000000"/>
                <w:szCs w:val="21"/>
              </w:rPr>
            </w:pPr>
            <w:r>
              <w:rPr>
                <w:rFonts w:hint="eastAsia" w:ascii="仿宋" w:hAnsi="仿宋" w:eastAsia="仿宋"/>
                <w:color w:val="000000"/>
                <w:szCs w:val="21"/>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10" w:type="dxa"/>
            <w:vAlign w:val="center"/>
            <w:textDirection w:val="lrTb"/>
            <w:noWrap/>
          </w:tcPr>
          <w:p>
            <w:pPr>
              <w:jc w:val="center"/>
              <w:widowControl/>
              <w:rPr>
                <w:rFonts w:ascii="仿宋" w:hAnsi="仿宋" w:eastAsia="仿宋"/>
                <w:color w:val="000000"/>
                <w:szCs w:val="21"/>
              </w:rPr>
            </w:pPr>
            <w:r>
              <w:rPr>
                <w:rFonts w:hint="eastAsia" w:ascii="仿宋" w:hAnsi="仿宋" w:eastAsia="仿宋"/>
                <w:color w:val="000000"/>
                <w:szCs w:val="21"/>
              </w:rPr>
              <w:t xml:space="preserve">评估标准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76" w:type="dxa"/>
            <w:vAlign w:val="center"/>
            <w:textDirection w:val="lrTb"/>
            <w:noWrap/>
          </w:tcPr>
          <w:p>
            <w:pPr>
              <w:jc w:val="center"/>
              <w:widowControl/>
              <w:rPr>
                <w:rFonts w:ascii="仿宋" w:hAnsi="仿宋" w:eastAsia="仿宋"/>
                <w:color w:val="000000"/>
                <w:szCs w:val="21"/>
              </w:rPr>
            </w:pPr>
            <w:r>
              <w:rPr>
                <w:rFonts w:hint="eastAsia" w:ascii="仿宋" w:hAnsi="仿宋" w:eastAsia="仿宋"/>
                <w:color w:val="000000"/>
                <w:szCs w:val="21"/>
              </w:rPr>
              <w:t xml:space="preserve">考核分值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1" w:type="dxa"/>
            <w:vAlign w:val="center"/>
            <w:textDirection w:val="lrTb"/>
            <w:noWrap/>
          </w:tcPr>
          <w:p>
            <w:pPr>
              <w:jc w:val="center"/>
              <w:widowControl/>
              <w:rPr>
                <w:rFonts w:ascii="仿宋" w:hAnsi="仿宋" w:eastAsia="仿宋"/>
                <w:color w:val="000000"/>
                <w:szCs w:val="21"/>
              </w:rPr>
            </w:pPr>
            <w:r>
              <w:rPr>
                <w:rFonts w:hint="eastAsia" w:ascii="仿宋" w:hAnsi="仿宋" w:eastAsia="仿宋"/>
                <w:color w:val="000000"/>
                <w:szCs w:val="21"/>
              </w:rPr>
              <w:t xml:space="preserve">得分</w:t>
            </w:r>
            <w:r/>
          </w:p>
        </w:tc>
      </w:tr>
      <w:tr>
        <w:trP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2" w:type="dxa"/>
            <w:vAlign w:val="center"/>
            <w:textDirection w:val="lrTb"/>
            <w:noWrap/>
          </w:tcPr>
          <w:p>
            <w:pPr>
              <w:jc w:val="center"/>
              <w:widowControl/>
              <w:rPr>
                <w:rFonts w:ascii="仿宋" w:hAnsi="仿宋" w:eastAsia="仿宋"/>
                <w:color w:val="000000"/>
                <w:szCs w:val="21"/>
              </w:rPr>
            </w:pPr>
            <w:r>
              <w:rPr>
                <w:rFonts w:hint="eastAsia" w:ascii="仿宋" w:hAnsi="仿宋" w:eastAsia="仿宋"/>
                <w:color w:val="000000"/>
                <w:szCs w:val="21"/>
              </w:rPr>
              <w:t xml:space="preserve">1、服务质量</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77" w:type="dxa"/>
            <w:vAlign w:val="center"/>
            <w:textDirection w:val="lrTb"/>
            <w:noWrap/>
          </w:tcPr>
          <w:p>
            <w:pPr>
              <w:jc w:val="left"/>
              <w:widowControl/>
              <w:rPr>
                <w:rFonts w:ascii="仿宋" w:hAnsi="仿宋" w:eastAsia="仿宋"/>
                <w:color w:val="000000"/>
                <w:szCs w:val="21"/>
              </w:rPr>
            </w:pPr>
            <w:r>
              <w:rPr>
                <w:rFonts w:hint="eastAsia" w:ascii="仿宋" w:hAnsi="仿宋" w:eastAsia="仿宋"/>
                <w:color w:val="000000"/>
                <w:szCs w:val="21"/>
              </w:rPr>
              <w:t xml:space="preserve">按要求完成服务工作的情况，服务工作出现偏差或错误的情况。</w:t>
            </w:r>
            <w:r/>
          </w:p>
          <w:p>
            <w:pPr>
              <w:jc w:val="left"/>
              <w:widowControl/>
              <w:rPr>
                <w:rFonts w:ascii="仿宋" w:hAnsi="仿宋" w:eastAsia="仿宋"/>
                <w:color w:val="000000"/>
                <w:szCs w:val="21"/>
              </w:rPr>
            </w:pPr>
            <w:r>
              <w:rPr>
                <w:rFonts w:hint="eastAsia" w:ascii="仿宋" w:hAnsi="仿宋" w:eastAsia="仿宋"/>
                <w:color w:val="000000"/>
                <w:szCs w:val="21"/>
              </w:rPr>
              <w:t xml:space="preserve">（1）运维人员服务情况（包含但</w:t>
            </w:r>
            <w:r>
              <w:rPr>
                <w:rFonts w:hint="eastAsia" w:ascii="仿宋" w:hAnsi="仿宋" w:eastAsia="仿宋"/>
                <w:color w:val="000000"/>
                <w:szCs w:val="21"/>
              </w:rPr>
              <w:t xml:space="preserve">不限于服务主动性、服务响应及时性等）</w:t>
            </w:r>
            <w:r/>
          </w:p>
          <w:p>
            <w:pPr>
              <w:jc w:val="left"/>
              <w:widowControl/>
              <w:rPr>
                <w:rFonts w:ascii="仿宋" w:hAnsi="仿宋" w:eastAsia="仿宋"/>
                <w:color w:val="000000"/>
                <w:szCs w:val="21"/>
              </w:rPr>
            </w:pPr>
            <w:r>
              <w:rPr>
                <w:rFonts w:hint="eastAsia" w:ascii="仿宋" w:hAnsi="仿宋" w:eastAsia="仿宋"/>
                <w:color w:val="000000"/>
                <w:szCs w:val="21"/>
              </w:rPr>
              <w:t xml:space="preserve">（2）被考核单位需定期（每季度一次）对服务质量向项目招标人汇报合同执行情况及质量状况（包含但不限于健康巡检、故障总结、人员配置、提升计划等），针对招标人提出的意见及建议，提出服务质量整改措施并跟踪落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10" w:type="dxa"/>
            <w:vAlign w:val="center"/>
            <w:textDirection w:val="lrTb"/>
            <w:noWrap/>
          </w:tcPr>
          <w:p>
            <w:pPr>
              <w:jc w:val="left"/>
              <w:widowControl/>
              <w:rPr>
                <w:rFonts w:ascii="仿宋" w:hAnsi="仿宋" w:eastAsia="仿宋"/>
                <w:color w:val="000000"/>
                <w:szCs w:val="21"/>
              </w:rPr>
            </w:pPr>
            <w:r>
              <w:rPr>
                <w:rFonts w:hint="eastAsia" w:ascii="仿宋" w:hAnsi="仿宋" w:eastAsia="仿宋"/>
                <w:color w:val="000000"/>
                <w:szCs w:val="21"/>
              </w:rPr>
              <w:t xml:space="preserve">甲方认为运维人员服务不具有主动性，每次扣1分；服务响应不及时每次扣1</w:t>
            </w:r>
            <w:r>
              <w:rPr>
                <w:rFonts w:hint="eastAsia" w:ascii="仿宋" w:hAnsi="仿宋" w:eastAsia="仿宋"/>
                <w:color w:val="000000"/>
                <w:szCs w:val="21"/>
              </w:rPr>
              <w:t xml:space="preserve">分。</w:t>
            </w:r>
            <w:r/>
          </w:p>
          <w:p>
            <w:pPr>
              <w:jc w:val="left"/>
              <w:widowControl/>
              <w:rPr>
                <w:rFonts w:ascii="仿宋" w:hAnsi="仿宋" w:eastAsia="仿宋"/>
                <w:color w:val="000000"/>
                <w:szCs w:val="21"/>
              </w:rPr>
            </w:pPr>
            <w:r>
              <w:rPr>
                <w:rFonts w:hint="eastAsia" w:ascii="仿宋" w:hAnsi="仿宋" w:eastAsia="仿宋"/>
                <w:color w:val="000000"/>
                <w:szCs w:val="21"/>
              </w:rPr>
              <w:t xml:space="preserve">被考核单位未定期向招标人汇报合同执行情况及质量状况或招标人提出的意见及建议未及时整改，每次扣5分。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76" w:type="dxa"/>
            <w:vAlign w:val="center"/>
            <w:textDirection w:val="lrTb"/>
            <w:noWrap/>
          </w:tcPr>
          <w:p>
            <w:pPr>
              <w:jc w:val="center"/>
              <w:widowControl/>
              <w:rPr>
                <w:rFonts w:ascii="仿宋" w:hAnsi="仿宋" w:eastAsia="仿宋"/>
                <w:color w:val="000000"/>
                <w:szCs w:val="21"/>
              </w:rPr>
            </w:pPr>
            <w:r>
              <w:rPr>
                <w:rFonts w:hint="eastAsia" w:ascii="仿宋" w:hAnsi="仿宋" w:eastAsia="仿宋"/>
                <w:color w:val="000000"/>
                <w:szCs w:val="21"/>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1" w:type="dxa"/>
            <w:vAlign w:val="center"/>
            <w:textDirection w:val="lrTb"/>
            <w:noWrap/>
          </w:tcPr>
          <w:p>
            <w:pPr>
              <w:jc w:val="center"/>
              <w:rPr>
                <w:rFonts w:ascii="仿宋" w:hAnsi="仿宋" w:eastAsia="仿宋"/>
                <w:color w:val="000000"/>
                <w:szCs w:val="21"/>
              </w:rPr>
            </w:pPr>
            <w:r>
              <w:rPr>
                <w:rFonts w:ascii="仿宋" w:hAnsi="仿宋" w:eastAsia="仿宋"/>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2" w:type="dxa"/>
            <w:vAlign w:val="center"/>
            <w:textDirection w:val="lrTb"/>
            <w:noWrap/>
          </w:tcPr>
          <w:p>
            <w:pPr>
              <w:jc w:val="center"/>
              <w:widowControl/>
              <w:rPr>
                <w:rFonts w:ascii="仿宋" w:hAnsi="仿宋" w:eastAsia="仿宋"/>
                <w:color w:val="000000"/>
                <w:szCs w:val="21"/>
              </w:rPr>
            </w:pPr>
            <w:r>
              <w:rPr>
                <w:rFonts w:hint="eastAsia" w:ascii="仿宋" w:hAnsi="仿宋" w:eastAsia="仿宋"/>
                <w:color w:val="000000"/>
                <w:szCs w:val="21"/>
              </w:rPr>
              <w:t xml:space="preserve">2、线路质量</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77" w:type="dxa"/>
            <w:vAlign w:val="center"/>
            <w:textDirection w:val="lrTb"/>
            <w:noWrap/>
          </w:tcPr>
          <w:p>
            <w:pPr>
              <w:jc w:val="left"/>
              <w:widowControl/>
              <w:rPr>
                <w:rFonts w:ascii="仿宋" w:hAnsi="仿宋" w:eastAsia="仿宋"/>
                <w:color w:val="000000"/>
                <w:szCs w:val="21"/>
              </w:rPr>
            </w:pPr>
            <w:r>
              <w:rPr>
                <w:rFonts w:hint="eastAsia" w:ascii="仿宋" w:hAnsi="仿宋" w:eastAsia="仿宋"/>
                <w:color w:val="000000"/>
                <w:szCs w:val="21"/>
              </w:rPr>
              <w:t xml:space="preserve">所有线路质量符合要求的情况：</w:t>
            </w:r>
            <w:r/>
          </w:p>
          <w:p>
            <w:pPr>
              <w:numPr>
                <w:ilvl w:val="0"/>
                <w:numId w:val="11"/>
              </w:numPr>
              <w:jc w:val="left"/>
              <w:widowControl/>
              <w:rPr>
                <w:rFonts w:ascii="仿宋" w:hAnsi="仿宋" w:eastAsia="仿宋"/>
                <w:color w:val="000000"/>
                <w:szCs w:val="21"/>
              </w:rPr>
            </w:pPr>
            <w:r>
              <w:rPr>
                <w:rFonts w:hint="eastAsia" w:ascii="仿宋" w:hAnsi="仿宋" w:eastAsia="仿宋"/>
                <w:color w:val="000000"/>
                <w:szCs w:val="21"/>
              </w:rPr>
              <w:t xml:space="preserve">按要求定期完成巡检并输出巡检报告的情况；</w:t>
            </w:r>
            <w:r/>
          </w:p>
          <w:p>
            <w:pPr>
              <w:numPr>
                <w:ilvl w:val="0"/>
                <w:numId w:val="11"/>
              </w:numPr>
              <w:jc w:val="left"/>
              <w:widowControl/>
              <w:rPr>
                <w:rFonts w:ascii="仿宋" w:hAnsi="仿宋" w:eastAsia="仿宋"/>
                <w:color w:val="000000"/>
                <w:szCs w:val="21"/>
              </w:rPr>
            </w:pPr>
            <w:r>
              <w:rPr>
                <w:rFonts w:hint="eastAsia" w:ascii="仿宋" w:hAnsi="仿宋" w:eastAsia="仿宋"/>
                <w:color w:val="000000"/>
                <w:szCs w:val="21"/>
              </w:rPr>
              <w:t xml:space="preserve">保障线路及线路承载业务的稳定运行的情况。</w:t>
            </w:r>
            <w:r/>
          </w:p>
          <w:p>
            <w:pPr>
              <w:numPr>
                <w:ilvl w:val="0"/>
                <w:numId w:val="11"/>
              </w:numPr>
              <w:jc w:val="left"/>
              <w:widowControl/>
              <w:rPr>
                <w:rFonts w:ascii="仿宋" w:hAnsi="仿宋" w:eastAsia="仿宋"/>
                <w:color w:val="000000"/>
                <w:szCs w:val="21"/>
              </w:rPr>
            </w:pPr>
            <w:r>
              <w:rPr>
                <w:rFonts w:hint="eastAsia" w:ascii="仿宋" w:hAnsi="仿宋" w:eastAsia="仿宋"/>
                <w:color w:val="000000"/>
                <w:szCs w:val="21"/>
              </w:rPr>
              <w:t xml:space="preserve">发生重大线路故障的情况。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10" w:type="dxa"/>
            <w:vAlign w:val="center"/>
            <w:textDirection w:val="lrTb"/>
            <w:noWrap/>
          </w:tcPr>
          <w:p>
            <w:pPr>
              <w:jc w:val="left"/>
              <w:widowControl/>
              <w:rPr>
                <w:rFonts w:ascii="仿宋" w:hAnsi="仿宋" w:eastAsia="仿宋"/>
                <w:color w:val="000000"/>
                <w:szCs w:val="21"/>
              </w:rPr>
            </w:pPr>
            <w:r>
              <w:rPr>
                <w:rFonts w:hint="eastAsia" w:ascii="仿宋" w:hAnsi="仿宋" w:eastAsia="仿宋"/>
                <w:color w:val="000000"/>
                <w:szCs w:val="21"/>
              </w:rPr>
              <w:t xml:space="preserve">定期完成巡检并输出巡检报告，未及时提交报告每次扣2分；</w:t>
            </w:r>
            <w:r/>
          </w:p>
          <w:p>
            <w:pPr>
              <w:jc w:val="left"/>
              <w:widowControl/>
              <w:rPr>
                <w:rFonts w:ascii="仿宋" w:hAnsi="仿宋" w:eastAsia="仿宋"/>
                <w:color w:val="000000"/>
                <w:szCs w:val="21"/>
              </w:rPr>
            </w:pPr>
            <w:r>
              <w:rPr>
                <w:rFonts w:hint="eastAsia" w:ascii="仿宋" w:hAnsi="仿宋" w:eastAsia="仿宋"/>
                <w:color w:val="000000"/>
                <w:szCs w:val="21"/>
              </w:rPr>
              <w:t xml:space="preserve">服务线路发生重大线路故障，每次扣10分。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76" w:type="dxa"/>
            <w:vAlign w:val="center"/>
            <w:textDirection w:val="lrTb"/>
            <w:noWrap/>
          </w:tcPr>
          <w:p>
            <w:pPr>
              <w:jc w:val="center"/>
              <w:widowControl/>
              <w:rPr>
                <w:rFonts w:ascii="仿宋" w:hAnsi="仿宋" w:eastAsia="仿宋"/>
                <w:color w:val="000000"/>
                <w:szCs w:val="21"/>
              </w:rPr>
            </w:pPr>
            <w:r>
              <w:rPr>
                <w:rFonts w:hint="eastAsia" w:ascii="仿宋" w:hAnsi="仿宋" w:eastAsia="仿宋"/>
                <w:color w:val="000000"/>
                <w:szCs w:val="21"/>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1" w:type="dxa"/>
            <w:vAlign w:val="center"/>
            <w:textDirection w:val="lrTb"/>
            <w:noWrap/>
          </w:tcPr>
          <w:p>
            <w:pPr>
              <w:jc w:val="center"/>
              <w:rPr>
                <w:rFonts w:ascii="仿宋" w:hAnsi="仿宋" w:eastAsia="仿宋"/>
                <w:color w:val="000000"/>
                <w:szCs w:val="21"/>
              </w:rPr>
            </w:pPr>
            <w:r>
              <w:rPr>
                <w:rFonts w:ascii="仿宋" w:hAnsi="仿宋" w:eastAsia="仿宋"/>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2" w:type="dxa"/>
            <w:vAlign w:val="center"/>
            <w:textDirection w:val="lrTb"/>
            <w:noWrap/>
          </w:tcPr>
          <w:p>
            <w:pPr>
              <w:jc w:val="center"/>
              <w:widowControl/>
              <w:rPr>
                <w:rFonts w:ascii="仿宋" w:hAnsi="仿宋" w:eastAsia="仿宋"/>
                <w:color w:val="000000"/>
                <w:szCs w:val="21"/>
              </w:rPr>
            </w:pPr>
            <w:r>
              <w:rPr>
                <w:rFonts w:hint="eastAsia" w:ascii="仿宋" w:hAnsi="仿宋" w:eastAsia="仿宋"/>
                <w:color w:val="000000"/>
                <w:szCs w:val="21"/>
              </w:rPr>
              <w:t xml:space="preserve">3、安全管控</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77" w:type="dxa"/>
            <w:vAlign w:val="center"/>
            <w:textDirection w:val="lrTb"/>
            <w:noWrap/>
          </w:tcPr>
          <w:p>
            <w:pPr>
              <w:jc w:val="left"/>
              <w:widowControl/>
              <w:rPr>
                <w:rFonts w:ascii="仿宋" w:hAnsi="仿宋" w:eastAsia="仿宋"/>
                <w:color w:val="000000"/>
                <w:szCs w:val="21"/>
              </w:rPr>
            </w:pPr>
            <w:r>
              <w:rPr>
                <w:rFonts w:hint="eastAsia" w:ascii="仿宋" w:hAnsi="仿宋" w:eastAsia="仿宋"/>
                <w:color w:val="000000"/>
                <w:szCs w:val="21"/>
              </w:rPr>
              <w:t xml:space="preserve">（1）网络安全工作情况</w:t>
            </w:r>
            <w:r/>
          </w:p>
          <w:p>
            <w:pPr>
              <w:jc w:val="left"/>
              <w:widowControl/>
              <w:rPr>
                <w:rFonts w:ascii="仿宋" w:hAnsi="仿宋" w:eastAsia="仿宋"/>
                <w:color w:val="000000"/>
                <w:szCs w:val="21"/>
              </w:rPr>
            </w:pPr>
            <w:r>
              <w:rPr>
                <w:rFonts w:hint="eastAsia" w:ascii="仿宋" w:hAnsi="仿宋" w:eastAsia="仿宋"/>
                <w:color w:val="000000"/>
                <w:szCs w:val="21"/>
              </w:rPr>
              <w:t xml:space="preserve">（2）加强安全管控，避免由于人员工作失误导致引发故障或安全事件的风险的情况。</w:t>
            </w:r>
            <w:r/>
          </w:p>
          <w:p>
            <w:pPr>
              <w:jc w:val="left"/>
              <w:widowControl/>
              <w:rPr>
                <w:rFonts w:ascii="仿宋" w:hAnsi="仿宋" w:eastAsia="仿宋"/>
                <w:color w:val="000000"/>
                <w:szCs w:val="21"/>
              </w:rPr>
            </w:pPr>
            <w:r>
              <w:rPr>
                <w:rFonts w:hint="eastAsia" w:ascii="仿宋" w:hAnsi="仿宋" w:eastAsia="仿宋"/>
                <w:color w:val="000000"/>
                <w:szCs w:val="21"/>
              </w:rPr>
              <w:t xml:space="preserve">（3）设备安全隐患排查、运行环境安全可靠性评估。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10" w:type="dxa"/>
            <w:vAlign w:val="center"/>
            <w:textDirection w:val="lrTb"/>
            <w:noWrap/>
          </w:tcPr>
          <w:p>
            <w:pPr>
              <w:jc w:val="left"/>
              <w:widowControl/>
              <w:rPr>
                <w:rFonts w:ascii="仿宋" w:hAnsi="仿宋" w:eastAsia="仿宋"/>
                <w:color w:val="000000"/>
                <w:szCs w:val="21"/>
              </w:rPr>
            </w:pPr>
            <w:r>
              <w:rPr>
                <w:rFonts w:hint="eastAsia" w:ascii="仿宋" w:hAnsi="仿宋" w:eastAsia="仿宋"/>
                <w:color w:val="000000"/>
                <w:szCs w:val="21"/>
              </w:rPr>
              <w:t xml:space="preserve">因供应商自身原因发生重大安全事故(如核心数据丢失、数据泄露等)，每次扣5分。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76" w:type="dxa"/>
            <w:vAlign w:val="center"/>
            <w:textDirection w:val="lrTb"/>
            <w:noWrap/>
          </w:tcPr>
          <w:p>
            <w:pPr>
              <w:jc w:val="center"/>
              <w:widowControl/>
              <w:rPr>
                <w:rFonts w:ascii="仿宋" w:hAnsi="仿宋" w:eastAsia="仿宋"/>
                <w:color w:val="000000"/>
                <w:szCs w:val="21"/>
              </w:rPr>
            </w:pPr>
            <w:r>
              <w:rPr>
                <w:rFonts w:hint="eastAsia" w:ascii="仿宋" w:hAnsi="仿宋" w:eastAsia="仿宋"/>
                <w:color w:val="000000"/>
                <w:szCs w:val="21"/>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1" w:type="dxa"/>
            <w:vAlign w:val="center"/>
            <w:textDirection w:val="lrTb"/>
            <w:noWrap/>
          </w:tcPr>
          <w:p>
            <w:pPr>
              <w:jc w:val="center"/>
              <w:rPr>
                <w:rFonts w:ascii="仿宋" w:hAnsi="仿宋" w:eastAsia="仿宋"/>
                <w:color w:val="000000"/>
                <w:szCs w:val="21"/>
              </w:rPr>
            </w:pPr>
            <w:r>
              <w:rPr>
                <w:rFonts w:ascii="仿宋" w:hAnsi="仿宋" w:eastAsia="仿宋"/>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2" w:type="dxa"/>
            <w:vAlign w:val="center"/>
            <w:textDirection w:val="lrTb"/>
            <w:noWrap/>
          </w:tcPr>
          <w:p>
            <w:pPr>
              <w:jc w:val="center"/>
              <w:widowControl/>
              <w:rPr>
                <w:rFonts w:ascii="仿宋" w:hAnsi="仿宋" w:eastAsia="仿宋"/>
                <w:color w:val="000000"/>
                <w:szCs w:val="21"/>
              </w:rPr>
            </w:pPr>
            <w:r>
              <w:rPr>
                <w:rFonts w:hint="eastAsia" w:ascii="仿宋" w:hAnsi="仿宋" w:eastAsia="仿宋"/>
                <w:color w:val="000000"/>
                <w:szCs w:val="21"/>
              </w:rPr>
              <w:t xml:space="preserve">4、应急响应</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77" w:type="dxa"/>
            <w:vAlign w:val="center"/>
            <w:textDirection w:val="lrTb"/>
            <w:noWrap/>
          </w:tcPr>
          <w:p>
            <w:pPr>
              <w:numPr>
                <w:ilvl w:val="0"/>
                <w:numId w:val="12"/>
              </w:numPr>
              <w:jc w:val="left"/>
              <w:widowControl/>
              <w:rPr>
                <w:rFonts w:ascii="仿宋" w:hAnsi="仿宋" w:eastAsia="仿宋"/>
                <w:color w:val="000000"/>
                <w:szCs w:val="21"/>
              </w:rPr>
            </w:pPr>
            <w:r>
              <w:rPr>
                <w:rFonts w:hint="eastAsia" w:ascii="仿宋" w:hAnsi="仿宋" w:eastAsia="仿宋"/>
                <w:color w:val="000000"/>
                <w:szCs w:val="21"/>
              </w:rPr>
              <w:t xml:space="preserve">做好应急响应预案的情况；</w:t>
            </w:r>
            <w:r/>
          </w:p>
          <w:p>
            <w:pPr>
              <w:jc w:val="left"/>
              <w:widowControl/>
              <w:rPr>
                <w:rFonts w:ascii="仿宋" w:hAnsi="仿宋" w:eastAsia="仿宋"/>
                <w:color w:val="000000"/>
                <w:szCs w:val="21"/>
              </w:rPr>
            </w:pPr>
            <w:r>
              <w:rPr>
                <w:rFonts w:hint="eastAsia" w:ascii="仿宋" w:hAnsi="仿宋" w:eastAsia="仿宋"/>
                <w:color w:val="000000"/>
                <w:szCs w:val="21"/>
              </w:rPr>
              <w:t xml:space="preserve">（2）发生特殊情况时及时报备的情况；</w:t>
            </w:r>
            <w:r/>
          </w:p>
          <w:p>
            <w:pPr>
              <w:jc w:val="left"/>
              <w:widowControl/>
              <w:rPr>
                <w:rFonts w:ascii="仿宋" w:hAnsi="仿宋" w:eastAsia="仿宋"/>
                <w:color w:val="000000"/>
                <w:szCs w:val="21"/>
              </w:rPr>
            </w:pPr>
            <w:r>
              <w:rPr>
                <w:rFonts w:hint="eastAsia" w:ascii="仿宋" w:hAnsi="仿宋" w:eastAsia="仿宋"/>
                <w:color w:val="000000"/>
                <w:szCs w:val="21"/>
              </w:rPr>
              <w:t xml:space="preserve">（3）针对突发应急的情况，及时响应并完成处置的情况。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10" w:type="dxa"/>
            <w:vAlign w:val="center"/>
            <w:textDirection w:val="lrTb"/>
            <w:noWrap/>
          </w:tcPr>
          <w:p>
            <w:pPr>
              <w:jc w:val="left"/>
              <w:widowControl/>
              <w:rPr>
                <w:rFonts w:ascii="仿宋" w:hAnsi="仿宋" w:eastAsia="仿宋"/>
                <w:color w:val="000000"/>
                <w:szCs w:val="21"/>
              </w:rPr>
            </w:pPr>
            <w:r>
              <w:rPr>
                <w:rFonts w:hint="eastAsia" w:ascii="仿宋" w:hAnsi="仿宋" w:eastAsia="仿宋"/>
                <w:color w:val="000000"/>
                <w:szCs w:val="21"/>
              </w:rPr>
              <w:t xml:space="preserve">未按应急预案及时报备特殊情况或突发应急情况未及时处置，每次扣2分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76" w:type="dxa"/>
            <w:vAlign w:val="center"/>
            <w:textDirection w:val="lrTb"/>
            <w:noWrap/>
          </w:tcPr>
          <w:p>
            <w:pPr>
              <w:jc w:val="center"/>
              <w:widowControl/>
              <w:rPr>
                <w:rFonts w:ascii="仿宋" w:hAnsi="仿宋" w:eastAsia="仿宋"/>
                <w:color w:val="000000"/>
                <w:szCs w:val="21"/>
              </w:rPr>
            </w:pPr>
            <w:r>
              <w:rPr>
                <w:rFonts w:hint="eastAsia" w:ascii="仿宋" w:hAnsi="仿宋" w:eastAsia="仿宋"/>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1" w:type="dxa"/>
            <w:vAlign w:val="center"/>
            <w:textDirection w:val="lrTb"/>
            <w:noWrap/>
          </w:tcPr>
          <w:p>
            <w:pPr>
              <w:jc w:val="center"/>
              <w:rPr>
                <w:rFonts w:ascii="仿宋" w:hAnsi="仿宋" w:eastAsia="仿宋"/>
                <w:color w:val="000000"/>
                <w:szCs w:val="21"/>
              </w:rPr>
            </w:pPr>
            <w:r>
              <w:rPr>
                <w:rFonts w:ascii="仿宋" w:hAnsi="仿宋" w:eastAsia="仿宋"/>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2" w:type="dxa"/>
            <w:vAlign w:val="center"/>
            <w:textDirection w:val="lrTb"/>
            <w:noWrap/>
          </w:tcPr>
          <w:p>
            <w:pPr>
              <w:jc w:val="center"/>
              <w:widowControl/>
              <w:rPr>
                <w:rFonts w:ascii="仿宋" w:hAnsi="仿宋" w:eastAsia="仿宋"/>
                <w:color w:val="000000"/>
                <w:szCs w:val="21"/>
              </w:rPr>
            </w:pPr>
            <w:r>
              <w:rPr>
                <w:rFonts w:hint="eastAsia" w:ascii="仿宋" w:hAnsi="仿宋" w:eastAsia="仿宋"/>
                <w:color w:val="000000"/>
                <w:szCs w:val="21"/>
              </w:rPr>
              <w:t xml:space="preserve">5、故障处理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77" w:type="dxa"/>
            <w:vAlign w:val="center"/>
            <w:textDirection w:val="lrTb"/>
            <w:noWrap/>
          </w:tcPr>
          <w:p>
            <w:pPr>
              <w:jc w:val="left"/>
              <w:widowControl/>
              <w:rPr>
                <w:rFonts w:ascii="仿宋" w:hAnsi="仿宋" w:eastAsia="仿宋"/>
                <w:color w:val="000000"/>
                <w:szCs w:val="21"/>
              </w:rPr>
            </w:pPr>
            <w:r>
              <w:rPr>
                <w:rFonts w:hint="eastAsia" w:ascii="仿宋" w:hAnsi="仿宋" w:eastAsia="仿宋"/>
                <w:color w:val="000000"/>
                <w:szCs w:val="21"/>
              </w:rPr>
              <w:t xml:space="preserve">（1）及时发现传输线路故障，并按约定时间及时处置，完成闭环处理的情况。</w:t>
            </w:r>
            <w:r/>
          </w:p>
          <w:p>
            <w:pPr>
              <w:jc w:val="left"/>
              <w:widowControl/>
              <w:rPr>
                <w:rFonts w:ascii="仿宋" w:hAnsi="仿宋" w:eastAsia="仿宋"/>
                <w:color w:val="000000"/>
                <w:szCs w:val="21"/>
              </w:rPr>
            </w:pPr>
            <w:r>
              <w:rPr>
                <w:rFonts w:hint="eastAsia" w:ascii="仿宋" w:hAnsi="仿宋" w:eastAsia="仿宋"/>
                <w:color w:val="000000"/>
                <w:szCs w:val="21"/>
              </w:rPr>
              <w:t xml:space="preserve">（2）按规范合理处理传输线路故障情况。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10" w:type="dxa"/>
            <w:vAlign w:val="center"/>
            <w:textDirection w:val="lrTb"/>
            <w:noWrap/>
          </w:tcPr>
          <w:p>
            <w:pPr>
              <w:jc w:val="left"/>
              <w:widowControl/>
              <w:rPr>
                <w:rFonts w:ascii="仿宋" w:hAnsi="仿宋" w:eastAsia="仿宋"/>
                <w:color w:val="000000"/>
                <w:szCs w:val="21"/>
              </w:rPr>
            </w:pPr>
            <w:r>
              <w:rPr>
                <w:rFonts w:hint="eastAsia" w:ascii="仿宋" w:hAnsi="仿宋" w:eastAsia="仿宋"/>
                <w:color w:val="000000"/>
                <w:szCs w:val="21"/>
              </w:rPr>
              <w:t xml:space="preserve">未按规范及时、合理处理传输线路故障，完成闭环处置的，每次扣2分。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76" w:type="dxa"/>
            <w:vAlign w:val="center"/>
            <w:textDirection w:val="lrTb"/>
            <w:noWrap/>
          </w:tcPr>
          <w:p>
            <w:pPr>
              <w:jc w:val="center"/>
              <w:widowControl/>
              <w:rPr>
                <w:rFonts w:ascii="仿宋" w:hAnsi="仿宋" w:eastAsia="仿宋"/>
                <w:color w:val="000000"/>
                <w:szCs w:val="21"/>
              </w:rPr>
            </w:pPr>
            <w:r>
              <w:rPr>
                <w:rFonts w:hint="eastAsia" w:ascii="仿宋" w:hAnsi="仿宋" w:eastAsia="仿宋"/>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1" w:type="dxa"/>
            <w:vAlign w:val="center"/>
            <w:textDirection w:val="lrTb"/>
            <w:noWrap/>
          </w:tcPr>
          <w:p>
            <w:pPr>
              <w:jc w:val="center"/>
              <w:rPr>
                <w:rFonts w:ascii="仿宋" w:hAnsi="仿宋" w:eastAsia="仿宋"/>
                <w:color w:val="000000"/>
                <w:szCs w:val="21"/>
              </w:rPr>
            </w:pPr>
            <w:r>
              <w:rPr>
                <w:rFonts w:ascii="仿宋" w:hAnsi="仿宋" w:eastAsia="仿宋"/>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2" w:type="dxa"/>
            <w:vAlign w:val="center"/>
            <w:textDirection w:val="lrTb"/>
            <w:noWrap/>
          </w:tcPr>
          <w:p>
            <w:pPr>
              <w:jc w:val="center"/>
              <w:widowControl/>
              <w:rPr>
                <w:rFonts w:ascii="仿宋" w:hAnsi="仿宋" w:eastAsia="仿宋"/>
                <w:color w:val="000000"/>
                <w:szCs w:val="21"/>
              </w:rPr>
            </w:pPr>
            <w:r>
              <w:rPr>
                <w:rFonts w:hint="eastAsia" w:ascii="仿宋" w:hAnsi="仿宋" w:eastAsia="仿宋"/>
                <w:color w:val="000000"/>
                <w:szCs w:val="21"/>
              </w:rPr>
              <w:t xml:space="preserve">6、运维团队</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77" w:type="dxa"/>
            <w:vAlign w:val="center"/>
            <w:textDirection w:val="lrTb"/>
            <w:noWrap/>
          </w:tcPr>
          <w:p>
            <w:pPr>
              <w:jc w:val="left"/>
              <w:widowControl/>
              <w:rPr>
                <w:rFonts w:ascii="仿宋" w:hAnsi="仿宋" w:eastAsia="仿宋"/>
                <w:color w:val="000000"/>
                <w:szCs w:val="21"/>
              </w:rPr>
            </w:pPr>
            <w:r>
              <w:rPr>
                <w:rFonts w:hint="eastAsia" w:ascii="仿宋" w:hAnsi="仿宋" w:eastAsia="仿宋"/>
                <w:color w:val="000000"/>
                <w:szCs w:val="21"/>
              </w:rPr>
              <w:t xml:space="preserve">（1）运维团队稳定的情况。</w:t>
            </w:r>
            <w:r/>
          </w:p>
          <w:p>
            <w:pPr>
              <w:jc w:val="left"/>
              <w:widowControl/>
              <w:rPr>
                <w:rFonts w:ascii="仿宋" w:hAnsi="仿宋" w:eastAsia="仿宋"/>
                <w:color w:val="000000"/>
                <w:szCs w:val="21"/>
              </w:rPr>
            </w:pPr>
            <w:r>
              <w:rPr>
                <w:rFonts w:hint="eastAsia" w:ascii="仿宋" w:hAnsi="仿宋" w:eastAsia="仿宋"/>
                <w:color w:val="000000"/>
                <w:szCs w:val="21"/>
              </w:rPr>
              <w:t xml:space="preserve">（2）规范完成日常运维工作的情况，针对工作计划高效开展并及时汇报工作进度的情况。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10" w:type="dxa"/>
            <w:vAlign w:val="center"/>
            <w:textDirection w:val="lrTb"/>
            <w:noWrap/>
          </w:tcPr>
          <w:p>
            <w:pPr>
              <w:jc w:val="left"/>
              <w:widowControl/>
              <w:rPr>
                <w:rFonts w:ascii="仿宋" w:hAnsi="仿宋" w:eastAsia="仿宋"/>
                <w:color w:val="000000"/>
                <w:szCs w:val="21"/>
              </w:rPr>
            </w:pPr>
            <w:r>
              <w:rPr>
                <w:rFonts w:hint="eastAsia" w:ascii="仿宋" w:hAnsi="仿宋" w:eastAsia="仿宋"/>
                <w:color w:val="000000"/>
                <w:szCs w:val="21"/>
              </w:rPr>
              <w:t xml:space="preserve">运维团队人员未经甲方准许私自变更每次扣2分；</w:t>
            </w:r>
            <w:r/>
          </w:p>
          <w:p>
            <w:pPr>
              <w:jc w:val="left"/>
              <w:widowControl/>
              <w:rPr>
                <w:rFonts w:ascii="仿宋" w:hAnsi="仿宋" w:eastAsia="仿宋"/>
                <w:color w:val="000000"/>
                <w:szCs w:val="21"/>
              </w:rPr>
            </w:pPr>
            <w:r>
              <w:rPr>
                <w:rFonts w:hint="eastAsia" w:ascii="仿宋" w:hAnsi="仿宋" w:eastAsia="仿宋"/>
                <w:color w:val="000000"/>
                <w:szCs w:val="21"/>
              </w:rPr>
              <w:t xml:space="preserve">未按计划开展工作或未及时汇报工作开展的，每次扣1分。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76" w:type="dxa"/>
            <w:vAlign w:val="center"/>
            <w:textDirection w:val="lrTb"/>
            <w:noWrap/>
          </w:tcPr>
          <w:p>
            <w:pPr>
              <w:jc w:val="center"/>
              <w:widowControl/>
              <w:rPr>
                <w:rFonts w:ascii="仿宋" w:hAnsi="仿宋" w:eastAsia="仿宋"/>
                <w:color w:val="000000"/>
                <w:szCs w:val="21"/>
              </w:rPr>
            </w:pPr>
            <w:r>
              <w:rPr>
                <w:rFonts w:hint="eastAsia" w:ascii="仿宋" w:hAnsi="仿宋" w:eastAsia="仿宋"/>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1" w:type="dxa"/>
            <w:vAlign w:val="center"/>
            <w:textDirection w:val="lrTb"/>
            <w:noWrap/>
          </w:tcPr>
          <w:p>
            <w:pPr>
              <w:jc w:val="center"/>
              <w:rPr>
                <w:rFonts w:ascii="仿宋" w:hAnsi="仿宋" w:eastAsia="仿宋"/>
                <w:color w:val="000000"/>
                <w:szCs w:val="21"/>
              </w:rPr>
            </w:pPr>
            <w:r>
              <w:rPr>
                <w:rFonts w:ascii="仿宋" w:hAnsi="仿宋" w:eastAsia="仿宋"/>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2" w:type="dxa"/>
            <w:vAlign w:val="center"/>
            <w:textDirection w:val="lrTb"/>
            <w:noWrap/>
          </w:tcPr>
          <w:p>
            <w:pPr>
              <w:jc w:val="center"/>
              <w:widowControl/>
              <w:rPr>
                <w:rFonts w:ascii="仿宋" w:hAnsi="仿宋" w:eastAsia="仿宋"/>
                <w:color w:val="000000"/>
                <w:szCs w:val="21"/>
              </w:rPr>
            </w:pPr>
            <w:r>
              <w:rPr>
                <w:rFonts w:hint="eastAsia" w:ascii="仿宋" w:hAnsi="仿宋" w:eastAsia="仿宋"/>
                <w:color w:val="000000"/>
                <w:szCs w:val="21"/>
              </w:rPr>
              <w:t xml:space="preserve">7、服务体系</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77" w:type="dxa"/>
            <w:vAlign w:val="center"/>
            <w:textDirection w:val="lrTb"/>
            <w:noWrap/>
          </w:tcPr>
          <w:p>
            <w:pPr>
              <w:jc w:val="left"/>
              <w:widowControl/>
              <w:rPr>
                <w:rFonts w:ascii="仿宋" w:hAnsi="仿宋" w:eastAsia="仿宋"/>
                <w:color w:val="000000"/>
                <w:szCs w:val="21"/>
              </w:rPr>
            </w:pPr>
            <w:r>
              <w:rPr>
                <w:rFonts w:hint="eastAsia" w:ascii="仿宋" w:hAnsi="仿宋" w:eastAsia="仿宋"/>
                <w:szCs w:val="21"/>
              </w:rPr>
              <w:t xml:space="preserve">运维服务体系运行情况，包括不限于对线路和关联设备开展运营维护、故障排查和修复、故障配件更换、技术咨询等，并响应客户需求对重要时间节点进行应急保障。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10" w:type="dxa"/>
            <w:vAlign w:val="center"/>
            <w:textDirection w:val="lrTb"/>
            <w:noWrap/>
          </w:tcPr>
          <w:p>
            <w:pPr>
              <w:jc w:val="left"/>
              <w:widowControl/>
              <w:rPr>
                <w:rFonts w:ascii="仿宋" w:hAnsi="仿宋" w:eastAsia="仿宋"/>
                <w:szCs w:val="21"/>
              </w:rPr>
            </w:pPr>
            <w:r>
              <w:rPr>
                <w:rFonts w:hint="eastAsia" w:ascii="仿宋" w:hAnsi="仿宋" w:eastAsia="仿宋"/>
                <w:szCs w:val="21"/>
              </w:rPr>
              <w:t xml:space="preserve">未按要求响应甲方需求，每次扣1分。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76" w:type="dxa"/>
            <w:vAlign w:val="center"/>
            <w:textDirection w:val="lrTb"/>
            <w:noWrap/>
          </w:tcPr>
          <w:p>
            <w:pPr>
              <w:jc w:val="center"/>
              <w:widowControl/>
              <w:rPr>
                <w:rFonts w:ascii="仿宋" w:hAnsi="仿宋" w:eastAsia="仿宋"/>
                <w:color w:val="000000"/>
                <w:szCs w:val="21"/>
              </w:rPr>
            </w:pPr>
            <w:r>
              <w:rPr>
                <w:rFonts w:hint="eastAsia" w:ascii="仿宋" w:hAnsi="仿宋" w:eastAsia="仿宋"/>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1" w:type="dxa"/>
            <w:vAlign w:val="center"/>
            <w:textDirection w:val="lrTb"/>
            <w:noWrap/>
          </w:tcPr>
          <w:p>
            <w:pPr>
              <w:jc w:val="center"/>
              <w:rPr>
                <w:rFonts w:ascii="仿宋" w:hAnsi="仿宋" w:eastAsia="仿宋"/>
                <w:color w:val="000000"/>
                <w:szCs w:val="21"/>
              </w:rPr>
            </w:pPr>
            <w:r>
              <w:rPr>
                <w:rFonts w:ascii="仿宋" w:hAnsi="仿宋" w:eastAsia="仿宋"/>
                <w:color w:val="000000"/>
                <w:szCs w:val="21"/>
              </w:rPr>
            </w:r>
            <w:r/>
          </w:p>
        </w:tc>
      </w:tr>
      <w:tr>
        <w:trPr>
          <w:trHeight w:val="2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59" w:type="dxa"/>
            <w:vAlign w:val="center"/>
            <w:textDirection w:val="lrTb"/>
            <w:noWrap/>
          </w:tcPr>
          <w:p>
            <w:pPr>
              <w:jc w:val="center"/>
              <w:widowControl/>
              <w:rPr>
                <w:rFonts w:ascii="仿宋" w:hAnsi="仿宋" w:eastAsia="仿宋"/>
                <w:color w:val="000000"/>
                <w:szCs w:val="21"/>
              </w:rPr>
            </w:pPr>
            <w:r>
              <w:rPr>
                <w:rFonts w:hint="eastAsia" w:ascii="仿宋" w:hAnsi="仿宋" w:eastAsia="仿宋"/>
                <w:color w:val="000000"/>
                <w:szCs w:val="21"/>
              </w:rPr>
              <w:t xml:space="preserve">考核汇总得分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10" w:type="dxa"/>
            <w:vAlign w:val="center"/>
            <w:textDirection w:val="lrTb"/>
            <w:noWrap/>
          </w:tcPr>
          <w:p>
            <w:pPr>
              <w:jc w:val="center"/>
              <w:widowControl/>
              <w:rPr>
                <w:rFonts w:ascii="仿宋" w:hAnsi="仿宋" w:eastAsia="仿宋"/>
                <w:color w:val="000000"/>
                <w:szCs w:val="21"/>
              </w:rPr>
            </w:pPr>
            <w:r>
              <w:rPr>
                <w:rFonts w:ascii="仿宋" w:hAnsi="仿宋" w:eastAsia="仿宋"/>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76" w:type="dxa"/>
            <w:vAlign w:val="center"/>
            <w:textDirection w:val="lrTb"/>
            <w:noWrap/>
          </w:tcPr>
          <w:p>
            <w:pPr>
              <w:jc w:val="center"/>
              <w:rPr>
                <w:rFonts w:ascii="仿宋" w:hAnsi="仿宋" w:eastAsia="仿宋"/>
                <w:color w:val="000000"/>
                <w:szCs w:val="21"/>
              </w:rPr>
            </w:pPr>
            <w:r>
              <w:rPr>
                <w:rFonts w:hint="eastAsia" w:ascii="仿宋" w:hAnsi="仿宋" w:eastAsia="仿宋"/>
                <w:color w:val="000000"/>
                <w:szCs w:val="21"/>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1" w:type="dxa"/>
            <w:vAlign w:val="center"/>
            <w:textDirection w:val="lrTb"/>
            <w:noWrap/>
          </w:tcPr>
          <w:p>
            <w:pPr>
              <w:jc w:val="center"/>
              <w:rPr>
                <w:rFonts w:ascii="仿宋" w:hAnsi="仿宋" w:eastAsia="仿宋"/>
                <w:color w:val="000000"/>
                <w:szCs w:val="21"/>
              </w:rPr>
            </w:pPr>
            <w:r>
              <w:rPr>
                <w:rFonts w:ascii="仿宋" w:hAnsi="仿宋" w:eastAsia="仿宋"/>
                <w:color w:val="000000"/>
                <w:szCs w:val="21"/>
              </w:rPr>
            </w:r>
            <w:r/>
          </w:p>
        </w:tc>
      </w:tr>
    </w:tbl>
    <w:p>
      <w:pPr>
        <w:rPr>
          <w:rFonts w:ascii="仿宋" w:hAnsi="仿宋" w:eastAsia="仿宋" w:cs="仿宋"/>
          <w:sz w:val="24"/>
        </w:rPr>
      </w:pPr>
      <w:r>
        <w:rPr>
          <w:rFonts w:ascii="仿宋" w:hAnsi="仿宋" w:eastAsia="仿宋" w:cs="仿宋"/>
          <w:sz w:val="24"/>
        </w:rPr>
      </w:r>
      <w:r/>
    </w:p>
    <w:p>
      <w:pPr>
        <w:pStyle w:val="739"/>
        <w:spacing w:before="156" w:after="156"/>
        <w:rPr>
          <w:rFonts w:ascii="仿宋" w:hAnsi="仿宋" w:eastAsia="仿宋" w:cs="仿宋"/>
          <w:sz w:val="24"/>
          <w:szCs w:val="24"/>
        </w:rPr>
      </w:pPr>
      <w:r>
        <w:rPr>
          <w:rFonts w:hint="eastAsia" w:ascii="仿宋" w:hAnsi="仿宋" w:eastAsia="仿宋" w:cs="仿宋"/>
          <w:sz w:val="24"/>
          <w:szCs w:val="24"/>
        </w:rPr>
        <w:t xml:space="preserve">附件4：技术参数响应表，具体如下：</w:t>
      </w:r>
      <w:r/>
    </w:p>
    <w:p>
      <w:pPr>
        <w:rPr>
          <w:rFonts w:ascii="仿宋" w:hAnsi="仿宋" w:eastAsia="仿宋" w:cs="仿宋"/>
          <w:sz w:val="24"/>
        </w:rPr>
      </w:pPr>
      <w:r>
        <w:rPr>
          <w:rFonts w:hint="eastAsia" w:ascii="仿宋" w:hAnsi="仿宋" w:eastAsia="仿宋" w:cs="仿宋"/>
          <w:sz w:val="24"/>
        </w:rPr>
        <w:t xml:space="preserve">项目需求理解与分析（要求见招标文件第</w:t>
      </w:r>
      <w:bookmarkStart w:id="87" w:name="OLE_LINK55"/>
      <w:r/>
      <w:bookmarkStart w:id="88" w:name="OLE_LINK56"/>
      <w:r>
        <w:rPr>
          <w:rFonts w:hint="eastAsia" w:ascii="仿宋" w:hAnsi="仿宋" w:eastAsia="仿宋" w:cs="仿宋"/>
          <w:sz w:val="24"/>
        </w:rPr>
        <w:t xml:space="preserve">六</w:t>
      </w:r>
      <w:bookmarkEnd w:id="87"/>
      <w:r/>
      <w:bookmarkEnd w:id="88"/>
      <w:r>
        <w:rPr>
          <w:rFonts w:hint="eastAsia" w:ascii="仿宋" w:hAnsi="仿宋" w:eastAsia="仿宋" w:cs="仿宋"/>
          <w:sz w:val="24"/>
        </w:rPr>
        <w:t xml:space="preserve">章《采购需求》，内容见投标文件）；</w:t>
      </w:r>
      <w:r/>
    </w:p>
    <w:p>
      <w:pPr>
        <w:rPr>
          <w:rFonts w:ascii="仿宋" w:hAnsi="仿宋" w:eastAsia="仿宋"/>
          <w:sz w:val="24"/>
        </w:rPr>
      </w:pPr>
      <w:r>
        <w:rPr>
          <w:rFonts w:hint="eastAsia" w:ascii="仿宋" w:hAnsi="仿宋" w:eastAsia="仿宋" w:cs="仿宋"/>
          <w:sz w:val="24"/>
        </w:rPr>
        <w:t xml:space="preserve">项目建设服务方案（要求见招标文件第六章《采购需求》，内容见投标文件）；</w:t>
      </w:r>
      <w:r/>
    </w:p>
    <w:p>
      <w:pPr>
        <w:rPr>
          <w:rFonts w:ascii="仿宋" w:hAnsi="仿宋" w:eastAsia="仿宋" w:cs="仿宋"/>
          <w:sz w:val="24"/>
        </w:rPr>
      </w:pPr>
      <w:r>
        <w:rPr>
          <w:rFonts w:hint="eastAsia" w:ascii="仿宋" w:hAnsi="仿宋" w:eastAsia="仿宋"/>
          <w:sz w:val="24"/>
        </w:rPr>
        <w:t xml:space="preserve">技术参数响应表</w:t>
      </w:r>
      <w:r>
        <w:rPr>
          <w:rFonts w:hint="eastAsia" w:ascii="仿宋" w:hAnsi="仿宋" w:eastAsia="仿宋" w:cs="仿宋"/>
          <w:sz w:val="24"/>
        </w:rPr>
        <w:t xml:space="preserve">（要求见招标文件第六章《采购需求》，内容见投标文件）；</w:t>
      </w:r>
      <w:r/>
    </w:p>
    <w:p>
      <w:pPr>
        <w:widowControl/>
        <w:rPr>
          <w:rFonts w:ascii="仿宋" w:hAnsi="仿宋" w:eastAsia="仿宋" w:cs="仿宋"/>
          <w:sz w:val="24"/>
        </w:rPr>
      </w:pPr>
      <w:r>
        <w:rPr>
          <w:rFonts w:hint="eastAsia" w:ascii="仿宋" w:hAnsi="仿宋" w:eastAsia="仿宋"/>
          <w:sz w:val="24"/>
        </w:rPr>
        <w:t xml:space="preserve">技术培训方案</w:t>
      </w:r>
      <w:r>
        <w:rPr>
          <w:rFonts w:hint="eastAsia" w:ascii="仿宋" w:hAnsi="仿宋" w:eastAsia="仿宋" w:cs="仿宋"/>
          <w:sz w:val="24"/>
        </w:rPr>
        <w:t xml:space="preserve">（要求见招标文件第六章《采购需求》，内容见投标文件）；</w:t>
      </w:r>
      <w:r/>
    </w:p>
    <w:p>
      <w:pPr>
        <w:jc w:val="left"/>
        <w:widowControl/>
        <w:rPr>
          <w:rFonts w:ascii="仿宋" w:hAnsi="仿宋" w:eastAsia="仿宋" w:cs="仿宋"/>
          <w:b/>
          <w:bCs/>
          <w:sz w:val="24"/>
        </w:rPr>
      </w:pPr>
      <w:r>
        <w:rPr>
          <w:rFonts w:ascii="仿宋" w:hAnsi="仿宋" w:eastAsia="仿宋" w:cs="仿宋"/>
          <w:b/>
          <w:bCs/>
          <w:sz w:val="24"/>
        </w:rPr>
      </w:r>
      <w:r/>
    </w:p>
    <w:p>
      <w:pPr>
        <w:jc w:val="left"/>
        <w:widowControl/>
        <w:rPr>
          <w:rFonts w:ascii="仿宋" w:hAnsi="仿宋" w:eastAsia="仿宋" w:cs="仿宋"/>
          <w:b/>
          <w:bCs/>
          <w:sz w:val="24"/>
        </w:rPr>
      </w:pPr>
      <w:r>
        <w:rPr>
          <w:rFonts w:hint="eastAsia" w:ascii="仿宋" w:hAnsi="仿宋" w:eastAsia="仿宋" w:cs="仿宋"/>
          <w:b/>
          <w:bCs/>
          <w:sz w:val="24"/>
        </w:rPr>
        <w:t xml:space="preserve">附件5：采购需求（见招标文件第</w:t>
      </w:r>
      <w:r>
        <w:rPr>
          <w:rFonts w:hint="eastAsia" w:ascii="仿宋" w:hAnsi="仿宋" w:eastAsia="仿宋" w:cs="仿宋"/>
          <w:sz w:val="24"/>
        </w:rPr>
        <w:t xml:space="preserve">六</w:t>
      </w:r>
      <w:r>
        <w:rPr>
          <w:rFonts w:hint="eastAsia" w:ascii="仿宋" w:hAnsi="仿宋" w:eastAsia="仿宋" w:cs="仿宋"/>
          <w:b/>
          <w:bCs/>
          <w:sz w:val="24"/>
        </w:rPr>
        <w:t xml:space="preserve">章《采购需求》）</w:t>
      </w:r>
      <w:r/>
    </w:p>
    <w:p>
      <w:pPr>
        <w:pStyle w:val="750"/>
        <w:ind w:left="0" w:firstLine="0"/>
        <w:rPr>
          <w:rFonts w:ascii="仿宋" w:hAnsi="仿宋"/>
          <w:sz w:val="30"/>
          <w:szCs w:val="30"/>
        </w:rPr>
      </w:pPr>
      <w:r>
        <w:rPr>
          <w:rFonts w:ascii="仿宋" w:hAnsi="仿宋"/>
          <w:sz w:val="30"/>
          <w:szCs w:val="30"/>
        </w:rPr>
      </w:r>
      <w:r/>
    </w:p>
    <w:p>
      <w:pPr>
        <w:pStyle w:val="750"/>
        <w:ind w:left="0" w:firstLine="0"/>
        <w:rPr>
          <w:rFonts w:ascii="仿宋" w:hAnsi="仿宋"/>
          <w:sz w:val="30"/>
          <w:szCs w:val="30"/>
        </w:rPr>
      </w:pPr>
      <w:r>
        <w:rPr>
          <w:rFonts w:ascii="仿宋" w:hAnsi="仿宋"/>
          <w:sz w:val="30"/>
          <w:szCs w:val="30"/>
        </w:rPr>
      </w:r>
      <w:r/>
    </w:p>
    <w:p>
      <w:pPr>
        <w:pStyle w:val="750"/>
        <w:ind w:left="0" w:firstLine="0"/>
        <w:rPr>
          <w:rFonts w:ascii="仿宋" w:hAnsi="仿宋"/>
          <w:sz w:val="30"/>
          <w:szCs w:val="30"/>
        </w:rPr>
      </w:pPr>
      <w:r>
        <w:rPr>
          <w:rFonts w:ascii="仿宋" w:hAnsi="仿宋"/>
          <w:sz w:val="30"/>
          <w:szCs w:val="30"/>
        </w:rPr>
      </w:r>
      <w:r/>
    </w:p>
    <w:p>
      <w:pPr>
        <w:pStyle w:val="750"/>
        <w:ind w:left="0" w:firstLine="0"/>
        <w:rPr>
          <w:rFonts w:ascii="仿宋" w:hAnsi="仿宋"/>
          <w:sz w:val="30"/>
          <w:szCs w:val="30"/>
        </w:rPr>
      </w:pPr>
      <w:r>
        <w:rPr>
          <w:rFonts w:ascii="仿宋" w:hAnsi="仿宋"/>
          <w:sz w:val="30"/>
          <w:szCs w:val="30"/>
        </w:rPr>
      </w:r>
      <w:r/>
    </w:p>
    <w:p>
      <w:pPr>
        <w:pStyle w:val="750"/>
        <w:ind w:left="0" w:firstLine="0"/>
        <w:rPr>
          <w:rFonts w:ascii="仿宋" w:hAnsi="仿宋"/>
          <w:sz w:val="30"/>
          <w:szCs w:val="30"/>
        </w:rPr>
      </w:pPr>
      <w:r>
        <w:rPr>
          <w:rFonts w:ascii="仿宋" w:hAnsi="仿宋"/>
          <w:sz w:val="30"/>
          <w:szCs w:val="30"/>
        </w:rPr>
      </w:r>
      <w:r/>
    </w:p>
    <w:p>
      <w:pPr>
        <w:pStyle w:val="750"/>
        <w:ind w:left="0" w:firstLine="0"/>
        <w:rPr>
          <w:rFonts w:ascii="仿宋" w:hAnsi="仿宋"/>
          <w:sz w:val="30"/>
          <w:szCs w:val="30"/>
        </w:rPr>
      </w:pPr>
      <w:r>
        <w:rPr>
          <w:rFonts w:ascii="仿宋" w:hAnsi="仿宋"/>
          <w:sz w:val="30"/>
          <w:szCs w:val="30"/>
        </w:rPr>
      </w:r>
      <w:r/>
    </w:p>
    <w:p>
      <w:pPr>
        <w:pStyle w:val="750"/>
        <w:ind w:left="0" w:firstLine="0"/>
        <w:rPr>
          <w:rFonts w:ascii="仿宋" w:hAnsi="仿宋"/>
          <w:sz w:val="30"/>
          <w:szCs w:val="30"/>
        </w:rPr>
      </w:pPr>
      <w:r>
        <w:rPr>
          <w:rFonts w:ascii="仿宋" w:hAnsi="仿宋"/>
          <w:sz w:val="30"/>
          <w:szCs w:val="30"/>
        </w:rPr>
      </w:r>
      <w:r/>
    </w:p>
    <w:p>
      <w:pPr>
        <w:pStyle w:val="750"/>
        <w:ind w:left="0" w:firstLine="0"/>
        <w:rPr>
          <w:rFonts w:ascii="仿宋" w:hAnsi="仿宋"/>
          <w:sz w:val="30"/>
          <w:szCs w:val="30"/>
        </w:rPr>
      </w:pPr>
      <w:r>
        <w:rPr>
          <w:rFonts w:ascii="仿宋" w:hAnsi="仿宋"/>
          <w:sz w:val="30"/>
          <w:szCs w:val="30"/>
        </w:rPr>
      </w:r>
      <w:r/>
    </w:p>
    <w:p>
      <w:pPr>
        <w:pStyle w:val="750"/>
        <w:ind w:left="0" w:firstLine="0"/>
        <w:rPr>
          <w:rFonts w:ascii="仿宋" w:hAnsi="仿宋"/>
          <w:sz w:val="30"/>
          <w:szCs w:val="30"/>
        </w:rPr>
      </w:pPr>
      <w:r>
        <w:rPr>
          <w:rFonts w:ascii="仿宋" w:hAnsi="仿宋"/>
          <w:sz w:val="30"/>
          <w:szCs w:val="30"/>
        </w:rPr>
      </w:r>
      <w:r/>
    </w:p>
    <w:p>
      <w:pPr>
        <w:pStyle w:val="750"/>
        <w:ind w:left="0" w:firstLine="0"/>
        <w:rPr>
          <w:rFonts w:ascii="仿宋" w:hAnsi="仿宋"/>
          <w:sz w:val="30"/>
          <w:szCs w:val="30"/>
        </w:rPr>
      </w:pPr>
      <w:r>
        <w:rPr>
          <w:rFonts w:ascii="仿宋" w:hAnsi="仿宋"/>
          <w:sz w:val="30"/>
          <w:szCs w:val="30"/>
        </w:rPr>
      </w:r>
      <w:r/>
    </w:p>
    <w:p>
      <w:pPr>
        <w:pStyle w:val="750"/>
        <w:ind w:left="0" w:firstLine="0"/>
        <w:rPr>
          <w:rFonts w:ascii="仿宋" w:hAnsi="仿宋"/>
          <w:sz w:val="30"/>
          <w:szCs w:val="30"/>
        </w:rPr>
      </w:pPr>
      <w:r>
        <w:rPr>
          <w:rFonts w:ascii="仿宋" w:hAnsi="仿宋"/>
          <w:sz w:val="30"/>
          <w:szCs w:val="30"/>
        </w:rPr>
      </w:r>
      <w:r/>
    </w:p>
    <w:p>
      <w:pPr>
        <w:pStyle w:val="750"/>
        <w:ind w:left="0" w:firstLine="0"/>
        <w:rPr>
          <w:rFonts w:ascii="仿宋" w:hAnsi="仿宋"/>
          <w:sz w:val="30"/>
          <w:szCs w:val="30"/>
        </w:rPr>
      </w:pPr>
      <w:r>
        <w:rPr>
          <w:rFonts w:ascii="仿宋" w:hAnsi="仿宋"/>
          <w:sz w:val="30"/>
          <w:szCs w:val="30"/>
        </w:rPr>
      </w:r>
      <w:r/>
    </w:p>
    <w:p>
      <w:pPr>
        <w:pStyle w:val="750"/>
        <w:ind w:left="0" w:firstLine="0"/>
        <w:rPr>
          <w:rFonts w:ascii="仿宋" w:hAnsi="仿宋"/>
          <w:sz w:val="30"/>
          <w:szCs w:val="30"/>
        </w:rPr>
      </w:pPr>
      <w:r>
        <w:rPr>
          <w:rFonts w:ascii="仿宋" w:hAnsi="仿宋"/>
          <w:sz w:val="30"/>
          <w:szCs w:val="30"/>
        </w:rPr>
      </w:r>
      <w:r/>
    </w:p>
    <w:p>
      <w:pPr>
        <w:pStyle w:val="750"/>
        <w:ind w:left="0" w:firstLine="0"/>
        <w:rPr>
          <w:rFonts w:ascii="仿宋" w:hAnsi="仿宋"/>
          <w:sz w:val="30"/>
          <w:szCs w:val="30"/>
        </w:rPr>
      </w:pPr>
      <w:r>
        <w:rPr>
          <w:rFonts w:ascii="仿宋" w:hAnsi="仿宋"/>
          <w:sz w:val="30"/>
          <w:szCs w:val="30"/>
        </w:rPr>
      </w:r>
      <w:r/>
    </w:p>
    <w:p>
      <w:pPr>
        <w:pStyle w:val="750"/>
        <w:ind w:left="0" w:firstLine="0"/>
        <w:rPr>
          <w:rFonts w:ascii="仿宋" w:hAnsi="仿宋"/>
          <w:sz w:val="30"/>
          <w:szCs w:val="30"/>
        </w:rPr>
      </w:pPr>
      <w:r>
        <w:rPr>
          <w:rFonts w:ascii="仿宋" w:hAnsi="仿宋"/>
          <w:sz w:val="30"/>
          <w:szCs w:val="30"/>
        </w:rPr>
      </w:r>
      <w:r/>
    </w:p>
    <w:p>
      <w:pPr>
        <w:pStyle w:val="750"/>
        <w:ind w:left="0" w:firstLine="0"/>
        <w:rPr>
          <w:rFonts w:ascii="仿宋" w:hAnsi="仿宋"/>
          <w:sz w:val="30"/>
          <w:szCs w:val="30"/>
        </w:rPr>
      </w:pPr>
      <w:r>
        <w:rPr>
          <w:rFonts w:ascii="仿宋" w:hAnsi="仿宋"/>
          <w:sz w:val="30"/>
          <w:szCs w:val="30"/>
        </w:rPr>
      </w:r>
      <w:r/>
    </w:p>
    <w:p>
      <w:pPr>
        <w:pStyle w:val="750"/>
        <w:ind w:left="0" w:firstLine="0"/>
        <w:rPr>
          <w:rFonts w:ascii="仿宋" w:hAnsi="仿宋"/>
          <w:sz w:val="30"/>
          <w:szCs w:val="30"/>
        </w:rPr>
      </w:pPr>
      <w:r>
        <w:rPr>
          <w:rFonts w:ascii="仿宋" w:hAnsi="仿宋"/>
          <w:sz w:val="30"/>
          <w:szCs w:val="30"/>
        </w:rPr>
      </w:r>
      <w:r/>
    </w:p>
    <w:p>
      <w:pPr>
        <w:ind w:firstLine="300"/>
        <w:jc w:val="center"/>
        <w:widowControl/>
        <w:rPr>
          <w:rFonts w:ascii="仿宋" w:hAnsi="仿宋" w:eastAsia="仿宋"/>
          <w:sz w:val="30"/>
          <w:szCs w:val="30"/>
        </w:rPr>
      </w:pPr>
      <w:r/>
      <w:bookmarkStart w:id="89" w:name="OLE_LINK297"/>
      <w:r/>
      <w:bookmarkStart w:id="90" w:name="OLE_LINK298"/>
      <w:r/>
      <w:bookmarkStart w:id="91" w:name="OLE_LINK299"/>
      <w:r/>
      <w:bookmarkStart w:id="92" w:name="OLE_LINK293"/>
      <w:r/>
      <w:bookmarkStart w:id="93" w:name="OLE_LINK294"/>
      <w:r>
        <w:rPr>
          <w:rFonts w:hint="eastAsia" w:ascii="仿宋" w:hAnsi="仿宋" w:eastAsia="仿宋"/>
          <w:sz w:val="30"/>
          <w:szCs w:val="30"/>
        </w:rPr>
        <w:t xml:space="preserve">第六章  采购需求</w:t>
      </w:r>
      <w:r/>
    </w:p>
    <w:p>
      <w:pPr>
        <w:ind w:firstLine="487"/>
        <w:jc w:val="center"/>
        <w:spacing w:before="20" w:after="20" w:line="360" w:lineRule="auto"/>
        <w:tabs>
          <w:tab w:val="left" w:pos="0" w:leader="none"/>
        </w:tabs>
        <w:rPr>
          <w:rFonts w:ascii="仿宋" w:hAnsi="仿宋" w:eastAsia="仿宋" w:cs="仿宋"/>
          <w:b/>
          <w:bCs/>
          <w:sz w:val="24"/>
        </w:rPr>
      </w:pPr>
      <w:r>
        <w:rPr>
          <w:rFonts w:ascii="仿宋" w:hAnsi="仿宋" w:eastAsia="仿宋" w:cs="仿宋"/>
          <w:b/>
          <w:bCs/>
          <w:sz w:val="24"/>
        </w:rPr>
      </w:r>
      <w:r/>
    </w:p>
    <w:p>
      <w:pPr>
        <w:ind w:firstLine="487"/>
        <w:jc w:val="center"/>
        <w:spacing w:before="20" w:after="20" w:line="360" w:lineRule="auto"/>
        <w:tabs>
          <w:tab w:val="left" w:pos="0" w:leader="none"/>
        </w:tabs>
        <w:rPr>
          <w:rFonts w:ascii="仿宋" w:hAnsi="仿宋" w:eastAsia="仿宋" w:cs="仿宋"/>
          <w:b/>
          <w:bCs/>
          <w:sz w:val="24"/>
        </w:rPr>
      </w:pPr>
      <w:r>
        <w:rPr>
          <w:rFonts w:hint="eastAsia" w:ascii="仿宋" w:hAnsi="仿宋" w:eastAsia="仿宋" w:cs="仿宋"/>
          <w:b/>
          <w:bCs/>
          <w:sz w:val="24"/>
        </w:rPr>
        <w:t xml:space="preserve">第一部分：相关说明</w:t>
      </w:r>
      <w:r/>
    </w:p>
    <w:p>
      <w:pPr>
        <w:ind w:firstLine="484"/>
        <w:spacing w:before="20" w:after="20" w:line="360" w:lineRule="auto"/>
        <w:tabs>
          <w:tab w:val="left" w:pos="0" w:leader="none"/>
        </w:tabs>
        <w:rPr>
          <w:rFonts w:ascii="仿宋" w:hAnsi="仿宋" w:eastAsia="仿宋" w:cs="仿宋"/>
          <w:sz w:val="24"/>
        </w:rPr>
      </w:pPr>
      <w:r>
        <w:rPr>
          <w:rFonts w:hint="eastAsia" w:ascii="仿宋" w:hAnsi="仿宋" w:eastAsia="仿宋" w:cs="仿宋"/>
          <w:sz w:val="24"/>
        </w:rPr>
        <w:t xml:space="preserve">一、采购人：</w:t>
      </w:r>
      <w:bookmarkStart w:id="94" w:name="OLE_LINK46"/>
      <w:r/>
      <w:bookmarkStart w:id="95" w:name="OLE_LINK37"/>
      <w:r/>
      <w:bookmarkStart w:id="96" w:name="OLE_LINK22"/>
      <w:r/>
      <w:bookmarkStart w:id="97" w:name="OLE_LINK21"/>
      <w:r>
        <w:rPr>
          <w:rFonts w:hint="eastAsia" w:ascii="仿宋" w:hAnsi="仿宋" w:eastAsia="仿宋" w:cs="仿宋"/>
          <w:sz w:val="24"/>
        </w:rPr>
        <w:t xml:space="preserve">徐州经济技术开发区党政办公室</w:t>
      </w:r>
      <w:bookmarkEnd w:id="94"/>
      <w:r/>
      <w:bookmarkEnd w:id="95"/>
      <w:r/>
      <w:bookmarkEnd w:id="96"/>
      <w:r/>
      <w:bookmarkEnd w:id="97"/>
      <w:r/>
      <w:r/>
    </w:p>
    <w:p>
      <w:pPr>
        <w:ind w:firstLine="484"/>
        <w:spacing w:before="20" w:after="20" w:line="360" w:lineRule="auto"/>
        <w:tabs>
          <w:tab w:val="left" w:pos="0" w:leader="none"/>
        </w:tabs>
        <w:rPr>
          <w:rFonts w:ascii="仿宋" w:hAnsi="仿宋" w:eastAsia="仿宋" w:cs="仿宋"/>
          <w:sz w:val="24"/>
        </w:rPr>
      </w:pPr>
      <w:r>
        <w:rPr>
          <w:rFonts w:hint="eastAsia" w:ascii="仿宋" w:hAnsi="仿宋" w:eastAsia="仿宋" w:cs="仿宋"/>
          <w:sz w:val="24"/>
        </w:rPr>
        <w:t xml:space="preserve">二、采购项目名称：</w:t>
      </w:r>
      <w:bookmarkStart w:id="98" w:name="OLE_LINK303"/>
      <w:r/>
      <w:bookmarkStart w:id="99" w:name="OLE_LINK302"/>
      <w:r/>
      <w:bookmarkStart w:id="100" w:name="OLE_LINK12"/>
      <w:r>
        <w:rPr>
          <w:rFonts w:hint="eastAsia" w:ascii="仿宋" w:hAnsi="仿宋" w:eastAsia="仿宋" w:cs="仿宋"/>
          <w:sz w:val="24"/>
        </w:rPr>
        <w:t xml:space="preserve">徐州经济技术开发区新一代电子政务外网服务</w:t>
      </w:r>
      <w:bookmarkEnd w:id="98"/>
      <w:r/>
      <w:bookmarkEnd w:id="99"/>
      <w:r>
        <w:rPr>
          <w:rFonts w:hint="eastAsia" w:ascii="仿宋" w:hAnsi="仿宋" w:eastAsia="仿宋" w:cs="仿宋"/>
          <w:sz w:val="24"/>
        </w:rPr>
        <w:t xml:space="preserve">项目</w:t>
      </w:r>
      <w:bookmarkEnd w:id="100"/>
      <w:r/>
      <w:r/>
    </w:p>
    <w:p>
      <w:pPr>
        <w:ind w:firstLine="484"/>
        <w:spacing w:before="20" w:after="20" w:line="360" w:lineRule="auto"/>
        <w:tabs>
          <w:tab w:val="left" w:pos="0" w:leader="none"/>
        </w:tabs>
        <w:rPr>
          <w:rFonts w:ascii="仿宋" w:hAnsi="仿宋" w:eastAsia="仿宋" w:cs="仿宋"/>
          <w:sz w:val="24"/>
        </w:rPr>
      </w:pPr>
      <w:r>
        <w:rPr>
          <w:rFonts w:hint="eastAsia" w:ascii="仿宋" w:hAnsi="仿宋" w:eastAsia="仿宋" w:cs="仿宋"/>
          <w:sz w:val="24"/>
        </w:rPr>
        <w:t xml:space="preserve">三、采购标的：</w:t>
      </w:r>
      <w:bookmarkStart w:id="101" w:name="OLE_LINK41"/>
      <w:r/>
      <w:bookmarkStart w:id="102" w:name="OLE_LINK38"/>
      <w:r>
        <w:rPr>
          <w:rFonts w:hint="eastAsia" w:ascii="仿宋" w:hAnsi="仿宋" w:eastAsia="仿宋" w:cs="仿宋"/>
          <w:sz w:val="24"/>
        </w:rPr>
        <w:t xml:space="preserve">徐州经济技术开发区新一代电子政务外网服务项目</w:t>
      </w:r>
      <w:bookmarkEnd w:id="101"/>
      <w:r/>
      <w:bookmarkEnd w:id="102"/>
      <w:r/>
      <w:r/>
    </w:p>
    <w:p>
      <w:pPr>
        <w:ind w:firstLine="484"/>
        <w:spacing w:before="20" w:after="20" w:line="360" w:lineRule="auto"/>
        <w:tabs>
          <w:tab w:val="left" w:pos="0" w:leader="none"/>
        </w:tabs>
        <w:rPr>
          <w:rFonts w:ascii="仿宋" w:hAnsi="仿宋" w:eastAsia="仿宋" w:cs="仿宋"/>
          <w:sz w:val="24"/>
        </w:rPr>
      </w:pPr>
      <w:r>
        <w:rPr>
          <w:rFonts w:hint="eastAsia" w:ascii="仿宋" w:hAnsi="仿宋" w:eastAsia="仿宋" w:cs="仿宋"/>
          <w:sz w:val="24"/>
        </w:rPr>
        <w:t xml:space="preserve">（徐州经济技术开发区新一代电子政务外网服务项目）对应的中小企业划分标准所属行业为</w:t>
      </w:r>
      <w:r>
        <w:rPr>
          <w:rFonts w:hint="eastAsia" w:ascii="仿宋" w:hAnsi="仿宋" w:eastAsia="仿宋" w:cs="仿宋"/>
          <w:color w:val="000000"/>
          <w:sz w:val="24"/>
        </w:rPr>
        <w:t xml:space="preserve">（软件和信息技术服务业）</w:t>
      </w:r>
      <w:r>
        <w:rPr>
          <w:rFonts w:hint="eastAsia" w:ascii="仿宋" w:hAnsi="仿宋" w:eastAsia="仿宋" w:cs="仿宋"/>
          <w:sz w:val="24"/>
        </w:rPr>
        <w:t xml:space="preserve">。注：中小企业划分标准所属行业以《关于印发中小企业划型标准规定的通知》（工信部联企业[2011]300号）的规定为准。（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4"/>
        <w:spacing w:before="20" w:after="20" w:line="360" w:lineRule="auto"/>
        <w:tabs>
          <w:tab w:val="left" w:pos="0" w:leader="none"/>
        </w:tabs>
        <w:rPr>
          <w:rFonts w:ascii="仿宋" w:hAnsi="仿宋" w:eastAsia="仿宋" w:cs="仿宋"/>
          <w:sz w:val="24"/>
        </w:rPr>
      </w:pPr>
      <w:r>
        <w:rPr>
          <w:rFonts w:hint="eastAsia" w:ascii="仿宋" w:hAnsi="仿宋" w:eastAsia="仿宋" w:cs="仿宋"/>
          <w:sz w:val="24"/>
        </w:rPr>
        <w:t xml:space="preserve">四、本项目为非专门面向中小企业采购的项目。</w:t>
      </w:r>
      <w:r/>
    </w:p>
    <w:p>
      <w:pPr>
        <w:ind w:firstLine="480"/>
        <w:jc w:val="left"/>
        <w:spacing w:before="20" w:after="20" w:line="360" w:lineRule="auto"/>
        <w:rPr>
          <w:rFonts w:ascii="仿宋" w:hAnsi="仿宋" w:eastAsia="仿宋" w:cs="仿宋"/>
          <w:color w:val="000000"/>
          <w:sz w:val="24"/>
        </w:rPr>
      </w:pPr>
      <w:r>
        <w:rPr>
          <w:rFonts w:hint="eastAsia" w:ascii="仿宋" w:hAnsi="仿宋" w:eastAsia="仿宋" w:cs="仿宋"/>
          <w:color w:val="000000"/>
          <w:sz w:val="24"/>
        </w:rPr>
        <w:t xml:space="preserve">五</w:t>
      </w:r>
      <w:r>
        <w:rPr>
          <w:rFonts w:hint="eastAsia" w:ascii="仿宋" w:hAnsi="仿宋" w:eastAsia="仿宋" w:cs="仿宋"/>
          <w:color w:val="000000"/>
          <w:sz w:val="24"/>
        </w:rPr>
        <w:t xml:space="preserve">、本项目预算金额125.65万元</w:t>
      </w:r>
      <w:r>
        <w:rPr>
          <w:rFonts w:hint="eastAsia" w:ascii="仿宋" w:hAnsi="仿宋" w:eastAsia="仿宋" w:cs="仿宋"/>
          <w:color w:val="000000"/>
          <w:sz w:val="24"/>
        </w:rPr>
        <w:t xml:space="preserve">。</w:t>
      </w:r>
      <w:r/>
    </w:p>
    <w:p>
      <w:pPr>
        <w:ind w:firstLine="480"/>
        <w:jc w:val="left"/>
        <w:spacing w:before="20" w:after="20"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六</w:t>
      </w:r>
      <w:r>
        <w:rPr>
          <w:rFonts w:hint="eastAsia" w:ascii="仿宋" w:hAnsi="仿宋" w:eastAsia="仿宋" w:cs="仿宋"/>
          <w:color w:val="000000" w:themeColor="text1"/>
          <w:sz w:val="24"/>
        </w:rPr>
        <w:t xml:space="preserve">、对于招标要求未尽事宜，按照《关于加强全省“一张网”高质量建设管理有关工作的通知（苏数发〔2025〕42）》《江苏省新一代电子政务外网固定网络省市对接标准》《江苏省新一代电子政务外网5G专网接入技术要求》《江苏省新一代电子政务外网运行管理体系省市对接规范》《江苏省电子政务外网安全管理平台统一对接标准》等相关规范要求执行。</w:t>
      </w:r>
      <w:r/>
    </w:p>
    <w:p>
      <w:pPr>
        <w:ind w:firstLine="480"/>
        <w:jc w:val="left"/>
        <w:spacing w:before="20" w:after="20"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七、为保证项目的完整性、可交付性，建设过程中，为本项目提供服务的硬件设备，包括但不限于设备板卡、模块、计算资源、存储资源、耗材等由投标人承担。</w:t>
      </w:r>
      <w:r/>
    </w:p>
    <w:p>
      <w:pPr>
        <w:ind w:firstLine="487"/>
        <w:jc w:val="center"/>
        <w:spacing w:before="20" w:after="20" w:line="360" w:lineRule="auto"/>
        <w:tabs>
          <w:tab w:val="left" w:pos="0" w:leader="none"/>
        </w:tabs>
        <w:rPr>
          <w:rFonts w:ascii="仿宋" w:hAnsi="仿宋" w:eastAsia="仿宋" w:cs="仿宋"/>
          <w:b/>
          <w:bCs/>
          <w:color w:val="000000" w:themeColor="text1"/>
          <w:sz w:val="24"/>
        </w:rPr>
        <w:outlineLvl w:val="0"/>
      </w:pPr>
      <w:r>
        <w:rPr>
          <w:rFonts w:hint="eastAsia" w:ascii="仿宋" w:hAnsi="仿宋" w:eastAsia="仿宋" w:cs="仿宋"/>
          <w:b/>
          <w:bCs/>
          <w:color w:val="000000" w:themeColor="text1"/>
          <w:sz w:val="24"/>
        </w:rPr>
        <w:t xml:space="preserve">第二部分：项目概况</w:t>
      </w:r>
      <w:r/>
    </w:p>
    <w:p>
      <w:pPr>
        <w:ind w:firstLine="482"/>
        <w:spacing w:before="20" w:after="20" w:line="360" w:lineRule="auto"/>
        <w:rPr>
          <w:rFonts w:ascii="仿宋" w:hAnsi="仿宋" w:eastAsia="仿宋" w:cs="仿宋"/>
          <w:b/>
          <w:bCs/>
          <w:sz w:val="24"/>
        </w:rPr>
      </w:pPr>
      <w:r>
        <w:rPr>
          <w:rFonts w:hint="eastAsia" w:ascii="仿宋" w:hAnsi="仿宋" w:eastAsia="仿宋" w:cs="仿宋"/>
          <w:b/>
          <w:bCs/>
          <w:sz w:val="24"/>
        </w:rPr>
        <w:t xml:space="preserve">一、建设背景</w:t>
      </w:r>
      <w:r/>
    </w:p>
    <w:p>
      <w:pPr>
        <w:ind w:firstLine="480"/>
        <w:spacing w:before="20" w:after="20" w:line="360" w:lineRule="auto"/>
        <w:rPr>
          <w:rFonts w:ascii="仿宋" w:hAnsi="仿宋" w:eastAsia="仿宋" w:cs="仿宋"/>
          <w:sz w:val="24"/>
        </w:rPr>
      </w:pPr>
      <w:r>
        <w:rPr>
          <w:rFonts w:hint="eastAsia" w:ascii="仿宋" w:hAnsi="仿宋" w:eastAsia="仿宋" w:cs="仿宋"/>
          <w:sz w:val="24"/>
        </w:rPr>
        <w:t xml:space="preserve">为进一步推动徐州经济技术开发区（以下简称“经开区”）电子政务外网科学持续发展，构建全区统一的电子政务外网，依据《关于加强全省新“一张网”高质量建设管理有关工作的通知》（苏数发〔2025〕42号）工作部署，为实现数字政府“一网通办”“政务数据有效共享”等要求，经开区电子政务外网建设秉</w:t>
      </w:r>
      <w:r>
        <w:rPr>
          <w:rFonts w:hint="eastAsia" w:ascii="仿宋" w:hAnsi="仿宋" w:eastAsia="仿宋" w:cs="仿宋"/>
          <w:sz w:val="24"/>
        </w:rPr>
        <w:t xml:space="preserve">持数字政府全局推进思想，以整合资源、简化流程、提升跨部门协同能力为目的，遵循数字化、智能化、服务化理念，按照集约、共享、可持续原则，在省、市规划设计的省-市-区-镇（街道）-村（社区）全域覆盖新一代电子政务外网方案基础上，结合经开区电子政务外网的现状，规划设计建设方案。</w:t>
      </w:r>
      <w:r/>
    </w:p>
    <w:p>
      <w:pPr>
        <w:ind w:firstLine="482"/>
        <w:spacing w:before="20" w:after="20" w:line="360" w:lineRule="auto"/>
        <w:rPr>
          <w:rFonts w:ascii="仿宋" w:hAnsi="仿宋" w:eastAsia="仿宋" w:cs="仿宋"/>
          <w:b/>
          <w:bCs/>
          <w:sz w:val="24"/>
        </w:rPr>
      </w:pPr>
      <w:r>
        <w:rPr>
          <w:rFonts w:hint="eastAsia" w:ascii="仿宋" w:hAnsi="仿宋" w:eastAsia="仿宋" w:cs="仿宋"/>
          <w:b/>
          <w:bCs/>
          <w:sz w:val="24"/>
        </w:rPr>
        <w:t xml:space="preserve">二、建设内容</w:t>
      </w:r>
      <w:r/>
    </w:p>
    <w:p>
      <w:pPr>
        <w:ind w:firstLine="480"/>
        <w:spacing w:before="20" w:after="20" w:line="360" w:lineRule="auto"/>
        <w:rPr>
          <w:rFonts w:ascii="仿宋" w:hAnsi="仿宋" w:eastAsia="仿宋" w:cs="仿宋"/>
          <w:sz w:val="24"/>
        </w:rPr>
      </w:pPr>
      <w:r>
        <w:rPr>
          <w:rFonts w:hint="eastAsia" w:ascii="仿宋" w:hAnsi="仿宋" w:eastAsia="仿宋" w:cs="仿宋"/>
          <w:sz w:val="24"/>
        </w:rPr>
        <w:t xml:space="preserve">根据《江苏省新一代电子政务外网建设指南》、《江苏省新一代电子政务外网固定网络省市对接技术要求》等相关要求，按照徐州市新一</w:t>
      </w:r>
      <w:r>
        <w:rPr>
          <w:rFonts w:hint="eastAsia" w:ascii="仿宋" w:hAnsi="仿宋" w:eastAsia="仿宋" w:cs="仿宋"/>
          <w:sz w:val="24"/>
        </w:rPr>
        <w:t xml:space="preserve">代电子政务外网建设规划，根据《江苏省新一代电子政务外网建设指南》相关要求，结合经开区电子政务外网实际，开展本地区新一代电子政务外网建设。以政府数字化转型需求为牵引，坚持问题导向、任务导向、目标导向，以IPv6+、5G、人工智能、大数据等新技术为驱动，统筹建设和集约运营“高速泛在、智能敏捷安全可控、协同高效”的新一代电子政务外网，全面提升网络承载、业务支撑、安全保 障和运行管理等能力，畅通数字政府基础设施大动脉。完成区-镇（街道）-村（社区）三级体系的新一代电子政务外网建设，实现与市级新一代电子政务外网对接。</w:t>
      </w:r>
      <w:r/>
    </w:p>
    <w:p>
      <w:pPr>
        <w:ind w:firstLine="480"/>
        <w:spacing w:before="20" w:after="20" w:line="360" w:lineRule="auto"/>
        <w:rPr>
          <w:rFonts w:ascii="仿宋" w:hAnsi="仿宋" w:eastAsia="仿宋" w:cs="仿宋"/>
          <w:sz w:val="24"/>
        </w:rPr>
      </w:pPr>
      <w:r>
        <w:rPr>
          <w:rFonts w:hint="eastAsia" w:ascii="仿宋" w:hAnsi="仿宋" w:eastAsia="仿宋" w:cs="仿宋"/>
          <w:sz w:val="24"/>
        </w:rPr>
        <w:t xml:space="preserve">本项目要求在徐州市新一代电子政务外网建设的基础上，建设覆盖经开区全区域的新一代电子政务外网，主要建设内容包括：</w:t>
      </w:r>
      <w:r/>
    </w:p>
    <w:p>
      <w:pPr>
        <w:numPr>
          <w:ilvl w:val="0"/>
          <w:numId w:val="30"/>
        </w:numPr>
        <w:ind w:firstLine="480"/>
        <w:spacing w:before="20" w:after="20" w:line="360" w:lineRule="auto"/>
        <w:rPr>
          <w:rFonts w:ascii="仿宋" w:hAnsi="仿宋" w:eastAsia="仿宋" w:cs="仿宋"/>
          <w:sz w:val="24"/>
        </w:rPr>
      </w:pPr>
      <w:r>
        <w:rPr>
          <w:rFonts w:hint="eastAsia" w:ascii="仿宋" w:hAnsi="仿宋" w:eastAsia="仿宋" w:cs="仿宋"/>
          <w:sz w:val="24"/>
        </w:rPr>
        <w:t xml:space="preserve">固定网络新平面建设</w:t>
      </w:r>
      <w:r/>
    </w:p>
    <w:p>
      <w:pPr>
        <w:ind w:firstLine="480"/>
        <w:spacing w:before="20" w:after="20" w:line="360" w:lineRule="auto"/>
        <w:rPr>
          <w:rFonts w:ascii="仿宋" w:hAnsi="仿宋" w:eastAsia="仿宋" w:cs="仿宋"/>
          <w:sz w:val="24"/>
        </w:rPr>
      </w:pPr>
      <w:r>
        <w:rPr>
          <w:rFonts w:hint="eastAsia" w:ascii="仿宋" w:hAnsi="仿宋" w:eastAsia="仿宋" w:cs="仿宋"/>
          <w:sz w:val="24"/>
        </w:rPr>
        <w:t xml:space="preserve">采用IPv6+、SDN等技术，建设经开区新一代电子政务外网城域接入网，打造高性能、大容量、广覆盖的固网新平面，实现网络服务的灵活定制和动态调整，全面提升政务外网承载能力、资源弹性扩展能力及业务保障能力。为视频业务、政务应用、政务云提供高效的网络通道。</w:t>
      </w:r>
      <w:r/>
    </w:p>
    <w:p>
      <w:pPr>
        <w:ind w:firstLine="480"/>
        <w:spacing w:before="20" w:after="20" w:line="360" w:lineRule="auto"/>
        <w:rPr>
          <w:rFonts w:ascii="仿宋" w:hAnsi="仿宋" w:eastAsia="仿宋" w:cs="仿宋"/>
          <w:sz w:val="24"/>
        </w:rPr>
      </w:pPr>
      <w:r>
        <w:rPr>
          <w:rFonts w:hint="eastAsia" w:ascii="仿宋" w:hAnsi="仿宋" w:eastAsia="仿宋" w:cs="仿宋"/>
          <w:sz w:val="24"/>
        </w:rPr>
        <w:t xml:space="preserve">本次固定网络新平面建设应包括：</w:t>
      </w:r>
      <w:r/>
    </w:p>
    <w:p>
      <w:pPr>
        <w:ind w:firstLine="480"/>
        <w:spacing w:before="20" w:after="20" w:line="360" w:lineRule="auto"/>
        <w:rPr>
          <w:rFonts w:ascii="仿宋" w:hAnsi="仿宋" w:eastAsia="仿宋" w:cs="仿宋"/>
          <w:sz w:val="24"/>
        </w:rPr>
      </w:pPr>
      <w:r>
        <w:rPr>
          <w:rFonts w:hint="eastAsia" w:ascii="仿宋" w:hAnsi="仿宋" w:eastAsia="仿宋" w:cs="仿宋"/>
          <w:sz w:val="24"/>
        </w:rPr>
        <w:t xml:space="preserve">1.新建区城域接入网部分：建设区属173家（园区/一类/二类/三类）横向单位网络接入设备；</w:t>
      </w:r>
      <w:r/>
    </w:p>
    <w:p>
      <w:pPr>
        <w:ind w:firstLine="480"/>
        <w:spacing w:before="20" w:after="20" w:line="360" w:lineRule="auto"/>
        <w:rPr>
          <w:rFonts w:ascii="仿宋" w:hAnsi="仿宋" w:eastAsia="仿宋" w:cs="仿宋"/>
          <w:sz w:val="24"/>
        </w:rPr>
      </w:pPr>
      <w:r>
        <w:rPr>
          <w:rFonts w:hint="eastAsia" w:ascii="仿宋" w:hAnsi="仿宋" w:eastAsia="仿宋" w:cs="仿宋"/>
          <w:sz w:val="24"/>
        </w:rPr>
        <w:t xml:space="preserve">2.统一运行管理平台部分：利用徐州市级统一运行管理平台，经开区不再单独建设。</w:t>
      </w:r>
      <w:r/>
    </w:p>
    <w:p>
      <w:pPr>
        <w:ind w:firstLine="480"/>
        <w:spacing w:before="20" w:after="20" w:line="360" w:lineRule="auto"/>
        <w:rPr>
          <w:rFonts w:ascii="仿宋" w:hAnsi="仿宋" w:eastAsia="仿宋" w:cs="仿宋"/>
          <w:sz w:val="24"/>
        </w:rPr>
      </w:pPr>
      <w:r>
        <w:rPr>
          <w:rFonts w:hint="eastAsia" w:ascii="仿宋" w:hAnsi="仿宋" w:eastAsia="仿宋" w:cs="仿宋"/>
          <w:sz w:val="24"/>
        </w:rPr>
        <w:t xml:space="preserve">3.经开区SDN控制器（跨域编排器）部分：利用徐州市级SDN控制器（跨域编排器）实现经开区新一代电子政务外网的统一管理、业务编排和智能运维，经开区不再单独建设。</w:t>
      </w:r>
      <w:r/>
    </w:p>
    <w:p>
      <w:pPr>
        <w:ind w:firstLine="480"/>
        <w:spacing w:before="20" w:after="20" w:line="360" w:lineRule="auto"/>
        <w:rPr>
          <w:rFonts w:ascii="仿宋" w:hAnsi="仿宋" w:eastAsia="仿宋" w:cs="仿宋"/>
          <w:sz w:val="24"/>
        </w:rPr>
      </w:pPr>
      <w:r>
        <w:rPr>
          <w:rFonts w:hint="eastAsia" w:ascii="仿宋" w:hAnsi="仿宋" w:eastAsia="仿宋" w:cs="仿宋"/>
          <w:sz w:val="24"/>
        </w:rPr>
        <w:t xml:space="preserve">通过复用SDN控制器纳管本次建设的所有路由设备，并与市级系统联动，实现网络编排协同、切片开通协同、故障定界协同、资源保障协同，以及业务端到端的管控。</w:t>
      </w:r>
      <w:r/>
    </w:p>
    <w:p>
      <w:pPr>
        <w:ind w:firstLine="480"/>
        <w:spacing w:before="20" w:after="20" w:line="360" w:lineRule="auto"/>
        <w:rPr>
          <w:rFonts w:ascii="仿宋" w:hAnsi="仿宋" w:eastAsia="仿宋" w:cs="仿宋"/>
          <w:sz w:val="24"/>
        </w:rPr>
      </w:pPr>
      <w:r>
        <w:rPr>
          <w:rFonts w:hint="eastAsia" w:ascii="仿宋" w:hAnsi="仿宋" w:eastAsia="仿宋" w:cs="仿宋"/>
          <w:sz w:val="24"/>
        </w:rPr>
        <w:t xml:space="preserve">4.新旧电子政务外网割接部分：本项目新建的经开区新一代电子政务外网（以下简称“新网”）将替代目前在用的电子政务外网（以下简称“旧网”）。新网建设完成后，需按计划分批有序将旧网承载的业务割接至新网，待所有业务割接完成后，旧网自然退网，被新网替代。</w:t>
      </w:r>
      <w:r/>
    </w:p>
    <w:p>
      <w:pPr>
        <w:ind w:firstLine="480"/>
        <w:spacing w:before="20" w:after="20" w:line="360" w:lineRule="auto"/>
        <w:rPr>
          <w:rFonts w:ascii="仿宋" w:hAnsi="仿宋" w:eastAsia="仿宋" w:cs="仿宋"/>
          <w:sz w:val="24"/>
        </w:rPr>
      </w:pPr>
      <w:r>
        <w:rPr>
          <w:rFonts w:hint="eastAsia" w:ascii="仿宋" w:hAnsi="仿宋" w:eastAsia="仿宋" w:cs="仿宋"/>
          <w:sz w:val="24"/>
        </w:rPr>
        <w:t xml:space="preserve">（二）安全保障体系建设</w:t>
      </w:r>
      <w:r/>
    </w:p>
    <w:p>
      <w:pPr>
        <w:ind w:firstLine="480"/>
        <w:spacing w:before="20" w:after="20" w:line="360" w:lineRule="auto"/>
        <w:rPr>
          <w:rFonts w:ascii="仿宋" w:hAnsi="仿宋" w:eastAsia="仿宋" w:cs="仿宋"/>
          <w:sz w:val="24"/>
        </w:rPr>
      </w:pPr>
      <w:r>
        <w:rPr>
          <w:rFonts w:hint="eastAsia" w:ascii="仿宋" w:hAnsi="仿宋" w:eastAsia="仿宋" w:cs="仿宋"/>
          <w:sz w:val="24"/>
        </w:rPr>
        <w:t xml:space="preserve">基于新一代电子政务外网网络架构，对接零信任准入平台、安全运维工具部分，完成经开区新一代电子政务外网安全体系建设。本次安全保障体系建设应包括：</w:t>
      </w:r>
      <w:r/>
    </w:p>
    <w:p>
      <w:pPr>
        <w:ind w:firstLine="480"/>
        <w:spacing w:before="20" w:after="20" w:line="360" w:lineRule="auto"/>
        <w:rPr>
          <w:rFonts w:ascii="仿宋" w:hAnsi="仿宋" w:eastAsia="仿宋" w:cs="仿宋"/>
          <w:sz w:val="24"/>
        </w:rPr>
      </w:pPr>
      <w:r>
        <w:rPr>
          <w:rFonts w:hint="eastAsia" w:ascii="仿宋" w:hAnsi="仿宋" w:eastAsia="仿宋" w:cs="仿宋"/>
          <w:sz w:val="24"/>
        </w:rPr>
        <w:t xml:space="preserve">1.零信任安全防护：通过部署零信任网关，对接市级零信任准入平台系统，以准入控制、网络隔离、动态鉴权、数据防护为核心技术，适配国产化环境，实现对终端与应用访问权限的精细化管控，加强用户接入认证管理，为全区单位的固网终端及应用接入等多元场景构筑坚实的安全防线。</w:t>
      </w:r>
      <w:r/>
    </w:p>
    <w:p>
      <w:pPr>
        <w:ind w:firstLine="480"/>
        <w:spacing w:before="20" w:after="20" w:line="360" w:lineRule="auto"/>
        <w:rPr>
          <w:rFonts w:ascii="仿宋" w:hAnsi="仿宋" w:eastAsia="仿宋" w:cs="仿宋"/>
          <w:sz w:val="24"/>
        </w:rPr>
      </w:pPr>
      <w:r>
        <w:rPr>
          <w:rFonts w:hint="eastAsia" w:ascii="仿宋" w:hAnsi="仿宋" w:eastAsia="仿宋" w:cs="仿宋"/>
          <w:sz w:val="24"/>
        </w:rPr>
        <w:t xml:space="preserve">2.新建安全平台探针系统：通过部署流量探针，对接市级安全管理平台，汇聚经开区政务外网安全流量日志、安全信息等多源数据，经数据治理与大模型训练强化关联分析、攻击溯源能力，并入徐州市级新一代电子政务外网安全系统，以提升安全事件检出精度与效率。</w:t>
      </w:r>
      <w:r/>
    </w:p>
    <w:p>
      <w:pPr>
        <w:ind w:firstLine="484"/>
        <w:tabs>
          <w:tab w:val="left" w:pos="0" w:leader="none"/>
        </w:tabs>
        <w:rPr>
          <w:rFonts w:ascii="仿宋" w:hAnsi="仿宋" w:eastAsia="仿宋" w:cs="仿宋"/>
          <w:b/>
          <w:bCs/>
          <w:color w:val="000000" w:themeColor="text1"/>
          <w:sz w:val="24"/>
        </w:rPr>
        <w:outlineLvl w:val="1"/>
      </w:pPr>
      <w:r>
        <w:rPr>
          <w:rFonts w:hint="eastAsia" w:ascii="仿宋" w:hAnsi="仿宋" w:eastAsia="仿宋" w:cs="仿宋"/>
          <w:b/>
          <w:bCs/>
          <w:color w:val="000000" w:themeColor="text1"/>
          <w:sz w:val="24"/>
        </w:rPr>
        <w:t xml:space="preserve">三、投标文件要求</w:t>
      </w:r>
      <w:r/>
    </w:p>
    <w:p>
      <w:pPr>
        <w:ind w:firstLine="480"/>
        <w:spacing w:before="20" w:after="20" w:line="360" w:lineRule="auto"/>
        <w:rPr>
          <w:rFonts w:ascii="仿宋" w:hAnsi="仿宋" w:eastAsia="仿宋" w:cs="仿宋"/>
          <w:sz w:val="24"/>
        </w:rPr>
      </w:pPr>
      <w:r>
        <w:rPr>
          <w:rFonts w:hint="eastAsia" w:ascii="仿宋" w:hAnsi="仿宋" w:eastAsia="仿宋" w:cs="仿宋"/>
          <w:sz w:val="24"/>
        </w:rPr>
        <w:t xml:space="preserve">（一）投标文件中提供《项目需求理解与分析》；</w:t>
      </w:r>
      <w:r/>
    </w:p>
    <w:p>
      <w:pPr>
        <w:ind w:firstLine="480"/>
        <w:spacing w:before="20" w:after="20" w:line="360" w:lineRule="auto"/>
        <w:rPr>
          <w:rFonts w:ascii="仿宋" w:hAnsi="仿宋" w:eastAsia="仿宋" w:cs="仿宋"/>
          <w:sz w:val="24"/>
        </w:rPr>
      </w:pPr>
      <w:r>
        <w:rPr>
          <w:rFonts w:hint="eastAsia" w:ascii="仿宋" w:hAnsi="仿宋" w:eastAsia="仿宋" w:cs="仿宋"/>
          <w:sz w:val="24"/>
        </w:rPr>
        <w:t xml:space="preserve">（二）《项目需求理解与分析》对照以上要求进行编制。</w:t>
      </w:r>
      <w:r/>
    </w:p>
    <w:p>
      <w:pPr>
        <w:ind w:firstLine="487"/>
        <w:jc w:val="center"/>
        <w:spacing w:before="20" w:after="20" w:line="360" w:lineRule="auto"/>
        <w:tabs>
          <w:tab w:val="left" w:pos="0" w:leader="none"/>
        </w:tabs>
        <w:rPr>
          <w:rFonts w:ascii="仿宋" w:hAnsi="仿宋" w:eastAsia="仿宋" w:cs="仿宋"/>
          <w:b/>
          <w:bCs/>
          <w:sz w:val="24"/>
        </w:rPr>
        <w:outlineLvl w:val="0"/>
      </w:pPr>
      <w:r>
        <w:rPr>
          <w:rFonts w:hint="eastAsia" w:ascii="仿宋" w:hAnsi="仿宋" w:eastAsia="仿宋" w:cs="仿宋"/>
          <w:b/>
          <w:bCs/>
          <w:color w:val="000000" w:themeColor="text1"/>
          <w:sz w:val="24"/>
        </w:rPr>
        <w:t xml:space="preserve">第三部分：</w:t>
      </w:r>
      <w:r>
        <w:rPr>
          <w:rFonts w:hint="eastAsia" w:ascii="仿宋" w:hAnsi="仿宋" w:eastAsia="仿宋" w:cs="仿宋"/>
          <w:b/>
          <w:bCs/>
          <w:sz w:val="24"/>
        </w:rPr>
        <w:t xml:space="preserve">具体采购需求</w:t>
      </w:r>
      <w:r/>
    </w:p>
    <w:p>
      <w:pPr>
        <w:ind w:firstLine="480"/>
        <w:spacing w:line="360" w:lineRule="auto"/>
        <w:rPr>
          <w:rFonts w:ascii="仿宋" w:hAnsi="仿宋" w:eastAsia="仿宋" w:cs="仿宋"/>
          <w:sz w:val="24"/>
        </w:rPr>
      </w:pPr>
      <w:r>
        <w:rPr>
          <w:rFonts w:hint="eastAsia" w:ascii="仿宋" w:hAnsi="仿宋" w:eastAsia="仿宋" w:cs="仿宋"/>
          <w:sz w:val="24"/>
        </w:rPr>
        <w:t xml:space="preserve">主要为经开区部分一、二、三类接入单位提供新一代电子政务外网网络接入、安全保障及运维等相关服务，具体内容及要求如下：</w:t>
      </w:r>
      <w:r/>
    </w:p>
    <w:p>
      <w:pPr>
        <w:ind w:firstLine="482"/>
        <w:spacing w:line="360" w:lineRule="auto"/>
        <w:rPr>
          <w:rFonts w:ascii="仿宋" w:hAnsi="仿宋" w:eastAsia="仿宋" w:cs="仿宋"/>
          <w:b/>
          <w:bCs/>
          <w:sz w:val="24"/>
        </w:rPr>
      </w:pPr>
      <w:r>
        <w:rPr>
          <w:rFonts w:hint="eastAsia" w:ascii="仿宋" w:hAnsi="仿宋" w:eastAsia="仿宋" w:cs="仿宋"/>
          <w:b/>
          <w:bCs/>
          <w:sz w:val="24"/>
        </w:rPr>
        <w:t xml:space="preserve">一、服务要求及相关设备清单</w:t>
      </w:r>
      <w:r/>
    </w:p>
    <w:p>
      <w:pPr>
        <w:ind w:firstLine="480"/>
        <w:spacing w:line="360" w:lineRule="auto"/>
        <w:rPr>
          <w:rFonts w:ascii="仿宋" w:hAnsi="仿宋" w:eastAsia="仿宋" w:cs="仿宋"/>
          <w:sz w:val="24"/>
        </w:rPr>
      </w:pPr>
      <w:r>
        <w:rPr>
          <w:rFonts w:hint="eastAsia" w:ascii="仿宋" w:hAnsi="仿宋" w:eastAsia="仿宋" w:cs="仿宋"/>
          <w:sz w:val="24"/>
        </w:rPr>
        <w:t xml:space="preserve">（一）固定网络新平面建设服务要求及相关清单</w:t>
      </w:r>
      <w:r/>
    </w:p>
    <w:p>
      <w:pPr>
        <w:ind w:firstLine="480"/>
        <w:spacing w:line="360" w:lineRule="auto"/>
        <w:rPr>
          <w:rFonts w:ascii="仿宋" w:hAnsi="仿宋" w:eastAsia="仿宋" w:cs="仿宋"/>
          <w:sz w:val="24"/>
        </w:rPr>
      </w:pPr>
      <w:r>
        <w:rPr>
          <w:rFonts w:hint="eastAsia" w:ascii="仿宋" w:hAnsi="仿宋" w:eastAsia="仿宋" w:cs="仿宋"/>
          <w:sz w:val="24"/>
        </w:rPr>
        <w:t xml:space="preserve">为落实徐州市新一代电子政务外网建设的整体规划，提升网络的高效性、安全性和可靠性，本次经开区固定网络新平面建设将遵循《江苏省新一代电子政务</w:t>
      </w:r>
      <w:r>
        <w:rPr>
          <w:rFonts w:hint="eastAsia" w:ascii="仿宋" w:hAnsi="仿宋" w:eastAsia="仿宋" w:cs="仿宋"/>
          <w:sz w:val="24"/>
        </w:rPr>
        <w:t xml:space="preserve">外网固定网络省市对接技术要求》的标准和规范，确保各层级网络的互联互通和灵活组网。</w:t>
      </w:r>
      <w:r/>
    </w:p>
    <w:p>
      <w:pPr>
        <w:ind w:firstLine="480"/>
        <w:spacing w:line="360" w:lineRule="auto"/>
        <w:rPr>
          <w:rFonts w:ascii="仿宋" w:hAnsi="仿宋" w:eastAsia="仿宋" w:cs="仿宋"/>
          <w:sz w:val="24"/>
        </w:rPr>
      </w:pPr>
      <w:r>
        <w:rPr>
          <w:rFonts w:hint="eastAsia" w:ascii="仿宋" w:hAnsi="仿宋" w:eastAsia="仿宋" w:cs="仿宋"/>
          <w:sz w:val="24"/>
        </w:rPr>
        <w:t xml:space="preserve">具体建设要求如下：</w:t>
      </w:r>
      <w:r/>
    </w:p>
    <w:p>
      <w:pPr>
        <w:ind w:firstLine="480"/>
        <w:spacing w:line="360" w:lineRule="auto"/>
        <w:rPr>
          <w:rFonts w:ascii="仿宋" w:hAnsi="仿宋" w:eastAsia="仿宋" w:cs="仿宋"/>
          <w:sz w:val="24"/>
        </w:rPr>
      </w:pPr>
      <w:r>
        <w:rPr>
          <w:rFonts w:hint="eastAsia" w:ascii="仿宋" w:hAnsi="仿宋" w:eastAsia="仿宋" w:cs="仿宋"/>
          <w:sz w:val="24"/>
        </w:rPr>
        <w:t xml:space="preserve">1.区级城域网络建设要求</w:t>
      </w:r>
      <w:r/>
    </w:p>
    <w:p>
      <w:pPr>
        <w:ind w:firstLine="480"/>
        <w:spacing w:line="360" w:lineRule="auto"/>
        <w:rPr>
          <w:rFonts w:ascii="仿宋" w:hAnsi="仿宋" w:eastAsia="仿宋" w:cs="仿宋"/>
          <w:sz w:val="24"/>
        </w:rPr>
      </w:pPr>
      <w:r>
        <w:rPr>
          <w:rFonts w:hint="eastAsia" w:ascii="仿宋" w:hAnsi="仿宋" w:eastAsia="仿宋" w:cs="仿宋"/>
          <w:sz w:val="24"/>
        </w:rPr>
        <w:t xml:space="preserve">（1）区级城域接入网部分建设要求：根据经开区实际网络规模，本次建设城域网部分采用核心--接入两层架构。</w:t>
      </w:r>
      <w:r/>
    </w:p>
    <w:p>
      <w:pPr>
        <w:ind w:firstLine="480"/>
        <w:spacing w:line="360" w:lineRule="auto"/>
        <w:rPr>
          <w:rFonts w:ascii="仿宋" w:hAnsi="仿宋" w:eastAsia="仿宋" w:cs="仿宋"/>
          <w:sz w:val="24"/>
        </w:rPr>
      </w:pPr>
      <w:r>
        <w:rPr>
          <w:rFonts w:hint="eastAsia" w:ascii="仿宋" w:hAnsi="仿宋" w:eastAsia="仿宋" w:cs="仿宋"/>
          <w:sz w:val="24"/>
        </w:rPr>
        <w:t xml:space="preserve">核心层：利用市级下发的2台区广域骨干路由设备作为区级政务外网核心设备，区广域骨干路由设冗余建设，通过3GE链路（预留10GE链路互联能力）口字型上联徐州市级广域核心路由设备。</w:t>
      </w:r>
      <w:r/>
    </w:p>
    <w:p>
      <w:pPr>
        <w:ind w:firstLine="480"/>
        <w:spacing w:line="360" w:lineRule="auto"/>
        <w:rPr>
          <w:rFonts w:ascii="仿宋" w:hAnsi="仿宋" w:eastAsia="仿宋" w:cs="仿宋"/>
          <w:sz w:val="24"/>
        </w:rPr>
      </w:pPr>
      <w:r>
        <w:rPr>
          <w:rFonts w:hint="eastAsia" w:ascii="仿宋" w:hAnsi="仿宋" w:eastAsia="仿宋" w:cs="仿宋"/>
          <w:sz w:val="24"/>
        </w:rPr>
        <w:t xml:space="preserve">接入层：本次经开区级横向接入按需覆盖约126家接入单位（一类/二类/三类），须支持各单位通过1G/500M/100M链路进行向上互联。</w:t>
      </w:r>
      <w:r/>
    </w:p>
    <w:p>
      <w:pPr>
        <w:ind w:firstLine="480"/>
        <w:spacing w:line="360" w:lineRule="auto"/>
        <w:rPr>
          <w:rFonts w:ascii="仿宋" w:hAnsi="仿宋" w:eastAsia="仿宋" w:cs="仿宋"/>
          <w:sz w:val="24"/>
        </w:rPr>
      </w:pPr>
      <w:r>
        <w:rPr>
          <w:rFonts w:hint="eastAsia" w:ascii="仿宋" w:hAnsi="仿宋" w:eastAsia="仿宋" w:cs="仿宋"/>
          <w:sz w:val="24"/>
        </w:rPr>
        <w:t xml:space="preserve">线路要求:须根据采购人要求对原有通信电路进行更换和扩容，新电路须基于SDH/MSTP/OTN技术，为经开区新网提供安全、稳定、带宽独享的数字电路，电路须与互联网物理隔离，不额外增收费用。</w:t>
      </w:r>
      <w:r/>
    </w:p>
    <w:p>
      <w:pPr>
        <w:ind w:firstLine="480"/>
        <w:spacing w:line="360" w:lineRule="auto"/>
        <w:rPr>
          <w:rFonts w:ascii="仿宋" w:hAnsi="仿宋" w:eastAsia="仿宋" w:cs="仿宋"/>
          <w:sz w:val="24"/>
        </w:rPr>
      </w:pPr>
      <w:r>
        <w:rPr>
          <w:rFonts w:hint="eastAsia" w:ascii="仿宋" w:hAnsi="仿宋" w:eastAsia="仿宋" w:cs="仿宋"/>
          <w:sz w:val="24"/>
        </w:rPr>
        <w:t xml:space="preserve">（2）新旧电子政务外网割接要求</w:t>
      </w:r>
      <w:r/>
    </w:p>
    <w:p>
      <w:pPr>
        <w:ind w:firstLine="480"/>
        <w:spacing w:line="360" w:lineRule="auto"/>
        <w:rPr>
          <w:rFonts w:ascii="仿宋" w:hAnsi="仿宋" w:eastAsia="仿宋" w:cs="仿宋"/>
          <w:sz w:val="24"/>
        </w:rPr>
      </w:pPr>
      <w:r>
        <w:rPr>
          <w:rFonts w:hint="eastAsia" w:ascii="仿宋" w:hAnsi="仿宋" w:eastAsia="仿宋" w:cs="仿宋"/>
          <w:sz w:val="24"/>
        </w:rPr>
        <w:t xml:space="preserve">投标人须在本次项目建成后，提供切实可行的网络割接方案及承诺函，并负责网络割接的实施，确保全部业务系统从旧网向新网迁移完成，直至旧网退网。</w:t>
      </w:r>
      <w:r/>
    </w:p>
    <w:p>
      <w:pPr>
        <w:ind w:firstLine="480"/>
        <w:spacing w:line="360" w:lineRule="auto"/>
        <w:rPr>
          <w:rFonts w:ascii="仿宋" w:hAnsi="仿宋" w:eastAsia="仿宋" w:cs="仿宋"/>
          <w:sz w:val="24"/>
        </w:rPr>
      </w:pPr>
      <w:r>
        <w:rPr>
          <w:rFonts w:hint="eastAsia" w:ascii="仿宋" w:hAnsi="仿宋" w:eastAsia="仿宋" w:cs="仿宋"/>
          <w:sz w:val="24"/>
        </w:rPr>
        <w:t xml:space="preserve">本项目建成后，须逐步将旧网承载的业务迁移到新建网络，待全部业务迁移完成后，将旧网做退网处理，投标人须负责将旧网正在运行的所有业务系统分阶段、分步骤从旧网平滑切换到新网。投标人须提供科学、合理、切实可行的网络割接方案，割接方案能够确保业务运行的平滑、稳定和安全。</w:t>
      </w:r>
      <w:r/>
    </w:p>
    <w:p>
      <w:pPr>
        <w:ind w:firstLine="480"/>
        <w:spacing w:line="360" w:lineRule="auto"/>
        <w:rPr>
          <w:rFonts w:ascii="仿宋" w:hAnsi="仿宋" w:eastAsia="仿宋" w:cs="仿宋"/>
          <w:sz w:val="24"/>
        </w:rPr>
      </w:pPr>
      <w:r>
        <w:rPr>
          <w:rFonts w:hint="eastAsia" w:ascii="仿宋" w:hAnsi="仿宋" w:eastAsia="仿宋" w:cs="仿宋"/>
          <w:sz w:val="24"/>
        </w:rPr>
        <w:t xml:space="preserve">（3）项目IPv6部署要求</w:t>
      </w:r>
      <w:r/>
    </w:p>
    <w:p>
      <w:pPr>
        <w:ind w:firstLine="480"/>
        <w:spacing w:line="360" w:lineRule="auto"/>
        <w:rPr>
          <w:rFonts w:ascii="仿宋" w:hAnsi="仿宋" w:eastAsia="仿宋" w:cs="仿宋"/>
          <w:sz w:val="24"/>
        </w:rPr>
      </w:pPr>
      <w:r>
        <w:rPr>
          <w:rFonts w:hint="eastAsia" w:ascii="仿宋" w:hAnsi="仿宋" w:eastAsia="仿宋" w:cs="仿宋"/>
          <w:sz w:val="24"/>
        </w:rPr>
        <w:t xml:space="preserve">本次固定网络新平面建设应采用SRv6VPN统一承载IPv4、IPv6业务。应充分运用广域网、城域网的多线路带宽资源，结合SRv6编排能力，实现业务流量的动态调整。</w:t>
      </w:r>
      <w:r/>
    </w:p>
    <w:p>
      <w:pPr>
        <w:ind w:left="420"/>
        <w:spacing w:line="360" w:lineRule="auto"/>
        <w:rPr>
          <w:rFonts w:ascii="仿宋" w:hAnsi="仿宋" w:eastAsia="仿宋" w:cs="仿宋"/>
          <w:sz w:val="24"/>
        </w:rPr>
      </w:pPr>
      <w:r>
        <w:rPr>
          <w:rFonts w:hint="eastAsia" w:ascii="仿宋" w:hAnsi="仿宋" w:eastAsia="仿宋" w:cs="仿宋"/>
          <w:sz w:val="24"/>
        </w:rPr>
        <w:t xml:space="preserve">（4）项目建设实施服务要求</w:t>
      </w:r>
      <w:r/>
    </w:p>
    <w:p>
      <w:pPr>
        <w:ind w:firstLine="480"/>
        <w:spacing w:line="360" w:lineRule="auto"/>
        <w:rPr>
          <w:rFonts w:ascii="仿宋" w:hAnsi="仿宋" w:eastAsia="仿宋" w:cs="仿宋"/>
          <w:sz w:val="24"/>
        </w:rPr>
      </w:pPr>
      <w:r>
        <w:rPr>
          <w:rFonts w:hint="eastAsia" w:ascii="仿宋" w:hAnsi="仿宋" w:eastAsia="仿宋" w:cs="仿宋"/>
          <w:sz w:val="24"/>
        </w:rPr>
        <w:t xml:space="preserve">本次按照经开区新一代电子政务外网实际需求，以及《江苏省新一代政务外网建设指南》要求，投标人承担本项目所涉项目相关网络设备的安装调试，能够解决复杂的工程技术问题，须提供包括《经开区电子政务外网整体规划设计》、</w:t>
      </w:r>
      <w:r/>
    </w:p>
    <w:p>
      <w:pPr>
        <w:spacing w:line="360" w:lineRule="auto"/>
        <w:rPr>
          <w:rFonts w:ascii="仿宋" w:hAnsi="仿宋" w:eastAsia="仿宋" w:cs="仿宋"/>
          <w:sz w:val="24"/>
        </w:rPr>
      </w:pPr>
      <w:r>
        <w:rPr>
          <w:rFonts w:hint="eastAsia" w:ascii="仿宋" w:hAnsi="仿宋" w:eastAsia="仿宋" w:cs="仿宋"/>
          <w:sz w:val="24"/>
        </w:rPr>
        <w:t xml:space="preserve">《机房主要设备布局设计》、《设备命名编码设计》、全区《IP地址规划设计》、《SRv6路由设计》以及其他实施计划方案等内容。</w:t>
      </w:r>
      <w:r/>
    </w:p>
    <w:p>
      <w:pPr>
        <w:ind w:firstLine="480"/>
        <w:spacing w:line="360" w:lineRule="auto"/>
        <w:rPr>
          <w:rFonts w:ascii="仿宋" w:hAnsi="仿宋" w:eastAsia="仿宋" w:cs="仿宋"/>
          <w:color w:val="ff0000"/>
          <w:sz w:val="24"/>
        </w:rPr>
      </w:pPr>
      <w:r>
        <w:rPr>
          <w:rFonts w:hint="eastAsia" w:ascii="仿宋" w:hAnsi="仿宋" w:eastAsia="仿宋" w:cs="仿宋"/>
          <w:color w:val="ff0000"/>
          <w:sz w:val="24"/>
        </w:rPr>
        <w:t xml:space="preserve">相关</w:t>
      </w:r>
      <w:r>
        <w:rPr>
          <w:rFonts w:hint="eastAsia" w:ascii="仿宋" w:hAnsi="仿宋" w:eastAsia="仿宋" w:cs="仿宋"/>
          <w:color w:val="ff0000"/>
          <w:sz w:val="24"/>
        </w:rPr>
        <w:t xml:space="preserve">服务需要的</w:t>
      </w:r>
      <w:r>
        <w:rPr>
          <w:rFonts w:hint="eastAsia" w:ascii="仿宋" w:hAnsi="仿宋" w:eastAsia="仿宋" w:cs="仿宋"/>
          <w:color w:val="ff0000"/>
          <w:sz w:val="24"/>
        </w:rPr>
        <w:t xml:space="preserve">配置清单如下：</w:t>
      </w:r>
      <w:r/>
    </w:p>
    <w:p>
      <w:pPr>
        <w:ind w:firstLine="480"/>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清单1：传输线路配置清单</w:t>
      </w:r>
      <w:r/>
    </w:p>
    <w:tbl>
      <w:tblPr>
        <w:tblW w:w="8520" w:type="dxa"/>
        <w:jc w:val="center"/>
        <w:tblLayout w:type="fixed"/>
        <w:tblCellMar>
          <w:left w:w="10" w:type="dxa"/>
          <w:right w:w="10" w:type="dxa"/>
        </w:tblCellMar>
        <w:tblLook w:val="04A0" w:firstRow="1" w:lastRow="0" w:firstColumn="1" w:lastColumn="0" w:noHBand="0" w:noVBand="1"/>
      </w:tblPr>
      <w:tblGrid>
        <w:gridCol w:w="811"/>
        <w:gridCol w:w="2852"/>
        <w:gridCol w:w="3012"/>
        <w:gridCol w:w="913"/>
        <w:gridCol w:w="932"/>
      </w:tblGrid>
      <w:tr>
        <w:trPr>
          <w:jc w:val="center"/>
          <w:trHeight w:val="451" w:hRule="exact"/>
        </w:trPr>
        <w:tc>
          <w:tcPr>
            <w:shd w:val="clear" w:color="auto" w:fill="ffffff" w:themeFill="background1"/>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b/>
                <w:bCs/>
                <w:color w:val="000000" w:themeColor="text1"/>
                <w:sz w:val="24"/>
              </w:rPr>
              <w:t xml:space="preserve">序号</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b/>
                <w:bCs/>
                <w:color w:val="000000" w:themeColor="text1"/>
                <w:sz w:val="24"/>
              </w:rPr>
              <w:t xml:space="preserve">名称</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01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b/>
                <w:bCs/>
                <w:color w:val="000000" w:themeColor="text1"/>
                <w:sz w:val="24"/>
              </w:rPr>
              <w:t xml:space="preserve">配置描述</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b/>
                <w:bCs/>
                <w:color w:val="000000" w:themeColor="text1"/>
                <w:sz w:val="24"/>
              </w:rPr>
              <w:t xml:space="preserve">数量</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b/>
                <w:bCs/>
                <w:color w:val="000000" w:themeColor="text1"/>
                <w:sz w:val="24"/>
              </w:rPr>
              <w:t xml:space="preserve">单位</w:t>
            </w:r>
            <w:r/>
          </w:p>
        </w:tc>
      </w:tr>
      <w:tr>
        <w:trPr>
          <w:jc w:val="center"/>
          <w:trHeight w:val="475" w:hRule="exact"/>
        </w:trPr>
        <w:tc>
          <w:tcPr>
            <w:shd w:val="clear" w:color="auto" w:fill="ffffff"/>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b/>
                <w:bCs/>
                <w:color w:val="000000" w:themeColor="text1"/>
                <w:sz w:val="24"/>
              </w:rPr>
              <w:t xml:space="preserve">一、</w:t>
            </w:r>
            <w:r/>
          </w:p>
        </w:tc>
        <w:tc>
          <w:tcPr>
            <w:gridSpan w:val="4"/>
            <w:shd w:val="clear" w:color="auto" w:fill="ffffff"/>
            <w:tcBorders>
              <w:top w:val="single" w:color="auto" w:sz="4" w:space="0"/>
              <w:left w:val="single" w:color="auto" w:sz="4" w:space="0"/>
              <w:bottom w:val="single" w:color="auto" w:sz="4" w:space="0"/>
              <w:right w:val="single" w:color="auto" w:sz="4" w:space="0"/>
            </w:tcBorders>
            <w:tcW w:w="7703" w:type="dxa"/>
            <w:vAlign w:val="center"/>
            <w:textDirection w:val="lrTb"/>
            <w:noWrap w:val="false"/>
          </w:tcPr>
          <w:p>
            <w:pPr>
              <w:spacing w:line="360" w:lineRule="auto"/>
              <w:widowControl/>
              <w:rPr>
                <w:rFonts w:ascii="仿宋" w:hAnsi="仿宋" w:eastAsia="仿宋" w:cs="仿宋"/>
                <w:sz w:val="24"/>
              </w:rPr>
            </w:pPr>
            <w:r>
              <w:rPr>
                <w:rFonts w:hint="eastAsia" w:ascii="仿宋" w:hAnsi="仿宋" w:eastAsia="仿宋" w:cs="仿宋"/>
                <w:b/>
                <w:bCs/>
                <w:color w:val="000000" w:themeColor="text1"/>
                <w:sz w:val="24"/>
              </w:rPr>
              <w:t xml:space="preserve">传输线路及光缆部分</w:t>
            </w:r>
            <w:r/>
          </w:p>
        </w:tc>
      </w:tr>
      <w:tr>
        <w:trPr>
          <w:jc w:val="center"/>
          <w:trHeight w:val="629"/>
        </w:trPr>
        <w:tc>
          <w:tcPr>
            <w:shd w:val="clear" w:color="auto" w:fill="ffffff"/>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color w:val="000000" w:themeColor="text1"/>
                <w:sz w:val="24"/>
              </w:rPr>
              <w:t xml:space="preserve">1.1</w:t>
            </w:r>
            <w:r/>
          </w:p>
        </w:tc>
        <w:tc>
          <w:tcPr>
            <w:shd w:val="clear" w:color="auto" w:fill="ffffff"/>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spacing w:line="360" w:lineRule="auto"/>
              <w:widowControl/>
              <w:rPr>
                <w:rFonts w:ascii="仿宋" w:hAnsi="仿宋" w:eastAsia="仿宋" w:cs="仿宋"/>
                <w:sz w:val="24"/>
              </w:rPr>
            </w:pPr>
            <w:r/>
            <w:bookmarkStart w:id="103" w:name="OLE_LINK137"/>
            <w:r>
              <w:rPr>
                <w:rFonts w:hint="eastAsia" w:ascii="仿宋" w:hAnsi="仿宋" w:eastAsia="仿宋" w:cs="仿宋"/>
                <w:color w:val="000000" w:themeColor="text1"/>
                <w:sz w:val="24"/>
              </w:rPr>
              <w:t xml:space="preserve">区城域核心节点到</w:t>
            </w:r>
            <w:r>
              <w:rPr>
                <w:rFonts w:hint="eastAsia" w:ascii="仿宋" w:hAnsi="仿宋" w:eastAsia="仿宋" w:cs="仿宋"/>
                <w:sz w:val="24"/>
              </w:rPr>
              <w:t xml:space="preserve">经开区行政审批局</w:t>
            </w:r>
            <w:r>
              <w:rPr>
                <w:rFonts w:hint="eastAsia" w:ascii="仿宋" w:hAnsi="仿宋" w:eastAsia="仿宋" w:cs="仿宋"/>
                <w:color w:val="000000" w:themeColor="text1"/>
                <w:sz w:val="24"/>
              </w:rPr>
              <w:t xml:space="preserve">传输线路</w:t>
            </w:r>
            <w:bookmarkEnd w:id="103"/>
            <w:r/>
            <w:r/>
          </w:p>
        </w:tc>
        <w:tc>
          <w:tcPr>
            <w:shd w:val="clear" w:color="auto" w:fill="ffffff"/>
            <w:tcBorders>
              <w:top w:val="single" w:color="auto" w:sz="4" w:space="0"/>
              <w:left w:val="single" w:color="auto" w:sz="4" w:space="0"/>
              <w:bottom w:val="single" w:color="auto" w:sz="4" w:space="0"/>
              <w:right w:val="single" w:color="auto" w:sz="4" w:space="0"/>
            </w:tcBorders>
            <w:tcW w:w="301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color w:val="000000" w:themeColor="text1"/>
                <w:sz w:val="24"/>
              </w:rPr>
              <w:t xml:space="preserve">详见“二、相关服务设备技术指标要求”</w:t>
            </w:r>
            <w:r/>
          </w:p>
        </w:tc>
        <w:tc>
          <w:tcPr>
            <w:shd w:val="clear" w:color="auto" w:fill="ffffff"/>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color w:val="000000" w:themeColor="text1"/>
                <w:sz w:val="24"/>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color w:val="000000" w:themeColor="text1"/>
                <w:sz w:val="24"/>
              </w:rPr>
              <w:t xml:space="preserve">条</w:t>
            </w:r>
            <w:r/>
          </w:p>
        </w:tc>
      </w:tr>
    </w:tbl>
    <w:p>
      <w:pPr>
        <w:ind w:firstLine="480"/>
        <w:spacing w:line="360" w:lineRule="auto"/>
        <w:rPr>
          <w:rFonts w:ascii="仿宋" w:hAnsi="仿宋" w:eastAsia="仿宋" w:cs="仿宋"/>
          <w:sz w:val="24"/>
        </w:rPr>
      </w:pPr>
      <w:r>
        <w:rPr>
          <w:rFonts w:hint="eastAsia" w:ascii="仿宋" w:hAnsi="仿宋" w:eastAsia="仿宋" w:cs="仿宋"/>
          <w:sz w:val="24"/>
        </w:rPr>
        <w:t xml:space="preserve">清单2：网络设备配置清单</w:t>
      </w:r>
      <w:r/>
    </w:p>
    <w:tbl>
      <w:tblPr>
        <w:tblW w:w="8520" w:type="dxa"/>
        <w:jc w:val="center"/>
        <w:tblLayout w:type="fixed"/>
        <w:tblCellMar>
          <w:left w:w="10" w:type="dxa"/>
          <w:right w:w="10" w:type="dxa"/>
        </w:tblCellMar>
        <w:tblLook w:val="04A0" w:firstRow="1" w:lastRow="0" w:firstColumn="1" w:lastColumn="0" w:noHBand="0" w:noVBand="1"/>
      </w:tblPr>
      <w:tblGrid>
        <w:gridCol w:w="811"/>
        <w:gridCol w:w="2852"/>
        <w:gridCol w:w="3012"/>
        <w:gridCol w:w="913"/>
        <w:gridCol w:w="932"/>
      </w:tblGrid>
      <w:tr>
        <w:trPr>
          <w:jc w:val="center"/>
          <w:trHeight w:val="451" w:hRule="exact"/>
        </w:trPr>
        <w:tc>
          <w:tcPr>
            <w:shd w:val="clear" w:color="auto" w:fill="ffffff" w:themeFill="background1"/>
            <w:tcBorders>
              <w:top w:val="single" w:color="auto" w:sz="4" w:space="0"/>
              <w:left w:val="single" w:color="auto" w:sz="4" w:space="0"/>
              <w:bottom w:val="single" w:color="auto" w:sz="4" w:space="0"/>
              <w:right w:val="single" w:color="auto" w:sz="4" w:space="0"/>
            </w:tcBorders>
            <w:tcW w:w="812"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序号</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850"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名称</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010"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配置描述</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912"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数量</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931"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单位</w:t>
            </w:r>
            <w:r/>
          </w:p>
        </w:tc>
      </w:tr>
      <w:tr>
        <w:trPr>
          <w:jc w:val="center"/>
          <w:trHeight w:val="475" w:hRule="exact"/>
        </w:trPr>
        <w:tc>
          <w:tcPr>
            <w:shd w:val="clear" w:color="auto" w:fill="ffffff"/>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一、</w:t>
            </w:r>
            <w:r/>
          </w:p>
        </w:tc>
        <w:tc>
          <w:tcPr>
            <w:gridSpan w:val="4"/>
            <w:shd w:val="clear" w:color="auto" w:fill="ffffff"/>
            <w:tcBorders>
              <w:top w:val="single" w:color="auto" w:sz="4" w:space="0"/>
              <w:left w:val="single" w:color="auto" w:sz="4" w:space="0"/>
              <w:bottom w:val="single" w:color="auto" w:sz="4" w:space="0"/>
              <w:right w:val="single" w:color="auto" w:sz="4" w:space="0"/>
            </w:tcBorders>
            <w:tcW w:w="7703" w:type="dxa"/>
            <w:vAlign w:val="center"/>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固网新平面建设服务</w:t>
            </w:r>
            <w:r/>
          </w:p>
        </w:tc>
      </w:tr>
      <w:tr>
        <w:trPr>
          <w:jc w:val="center"/>
          <w:trHeight w:val="490" w:hRule="exact"/>
        </w:trPr>
        <w:tc>
          <w:tcPr>
            <w:shd w:val="clear" w:color="auto" w:fill="ffffff"/>
            <w:tcBorders>
              <w:top w:val="single" w:color="auto" w:sz="4" w:space="0"/>
              <w:left w:val="single" w:color="auto" w:sz="4" w:space="0"/>
              <w:bottom w:val="single" w:color="auto" w:sz="4" w:space="0"/>
              <w:right w:val="single" w:color="auto" w:sz="4" w:space="0"/>
            </w:tcBorders>
            <w:tcW w:w="812"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w:t>
            </w:r>
            <w:r/>
          </w:p>
        </w:tc>
        <w:tc>
          <w:tcPr>
            <w:gridSpan w:val="4"/>
            <w:shd w:val="clear" w:color="auto" w:fill="ffffff"/>
            <w:tcBorders>
              <w:top w:val="single" w:color="auto" w:sz="4" w:space="0"/>
              <w:left w:val="single" w:color="auto" w:sz="4" w:space="0"/>
              <w:bottom w:val="single" w:color="auto" w:sz="4" w:space="0"/>
              <w:right w:val="single" w:color="auto" w:sz="4" w:space="0"/>
            </w:tcBorders>
            <w:tcW w:w="7703" w:type="dxa"/>
            <w:vAlign w:val="center"/>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经开区城域网部分</w:t>
            </w:r>
            <w:r/>
          </w:p>
        </w:tc>
      </w:tr>
      <w:tr>
        <w:trPr>
          <w:jc w:val="center"/>
          <w:trHeight w:val="634"/>
        </w:trPr>
        <w:tc>
          <w:tcPr>
            <w:shd w:val="clear" w:color="auto" w:fill="ffffff"/>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1.1</w:t>
            </w:r>
            <w:r/>
          </w:p>
        </w:tc>
        <w:tc>
          <w:tcPr>
            <w:shd w:val="clear" w:color="auto" w:fill="ffffff"/>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spacing w:line="360" w:lineRule="auto"/>
              <w:rPr>
                <w:rFonts w:ascii="仿宋" w:hAnsi="仿宋" w:eastAsia="仿宋" w:cs="仿宋"/>
                <w:sz w:val="24"/>
              </w:rPr>
            </w:pPr>
            <w:r/>
            <w:bookmarkStart w:id="104" w:name="OLE_LINK29"/>
            <w:r/>
            <w:bookmarkStart w:id="105" w:name="OLE_LINK30"/>
            <w:r/>
            <w:bookmarkStart w:id="106" w:name="OLE_LINK97"/>
            <w:r/>
            <w:bookmarkStart w:id="107" w:name="OLE_LINK124"/>
            <w:r>
              <w:rPr>
                <w:rFonts w:hint="eastAsia" w:ascii="仿宋" w:hAnsi="仿宋" w:eastAsia="仿宋" w:cs="仿宋"/>
                <w:sz w:val="24"/>
              </w:rPr>
              <w:t xml:space="preserve">一类单位高性能接入路由器</w:t>
            </w:r>
            <w:bookmarkEnd w:id="104"/>
            <w:r/>
            <w:bookmarkEnd w:id="105"/>
            <w:r/>
            <w:bookmarkEnd w:id="106"/>
            <w:r/>
            <w:bookmarkEnd w:id="107"/>
            <w:r/>
            <w:r/>
          </w:p>
        </w:tc>
        <w:tc>
          <w:tcPr>
            <w:shd w:val="clear" w:color="auto" w:fill="ffffff"/>
            <w:tcBorders>
              <w:top w:val="single" w:color="auto" w:sz="4" w:space="0"/>
              <w:left w:val="single" w:color="auto" w:sz="4" w:space="0"/>
              <w:bottom w:val="single" w:color="auto" w:sz="4" w:space="0"/>
              <w:right w:val="single" w:color="auto" w:sz="4" w:space="0"/>
            </w:tcBorders>
            <w:tcW w:w="3010"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详见“二、相关服务设备技术指标要求”</w:t>
            </w:r>
            <w:r/>
          </w:p>
        </w:tc>
        <w:tc>
          <w:tcPr>
            <w:shd w:val="clear" w:color="auto" w:fill="ffffff"/>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台</w:t>
            </w:r>
            <w:r/>
          </w:p>
        </w:tc>
      </w:tr>
      <w:tr>
        <w:trPr>
          <w:jc w:val="center"/>
          <w:trHeight w:val="634"/>
        </w:trPr>
        <w:tc>
          <w:tcPr>
            <w:shd w:val="clear" w:color="auto" w:fill="ffffff"/>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1.2</w:t>
            </w:r>
            <w:r/>
          </w:p>
        </w:tc>
        <w:tc>
          <w:tcPr>
            <w:shd w:val="clear" w:color="auto" w:fill="ffffff"/>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二类单位较高性能接入路由器</w:t>
            </w:r>
            <w:r/>
          </w:p>
        </w:tc>
        <w:tc>
          <w:tcPr>
            <w:shd w:val="clear" w:color="auto" w:fill="ffffff"/>
            <w:tcBorders>
              <w:top w:val="single" w:color="auto" w:sz="4" w:space="0"/>
              <w:left w:val="single" w:color="auto" w:sz="4" w:space="0"/>
              <w:bottom w:val="single" w:color="auto" w:sz="4" w:space="0"/>
              <w:right w:val="single" w:color="auto" w:sz="4" w:space="0"/>
            </w:tcBorders>
            <w:tcW w:w="3010"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详见“二、相关服务设备技术指标要求”</w:t>
            </w:r>
            <w:r/>
          </w:p>
        </w:tc>
        <w:tc>
          <w:tcPr>
            <w:shd w:val="clear" w:color="auto" w:fill="ffffff"/>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16</w:t>
            </w:r>
            <w:r/>
          </w:p>
        </w:tc>
        <w:tc>
          <w:tcPr>
            <w:shd w:val="clear" w:color="auto" w:fill="ffffff"/>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台</w:t>
            </w:r>
            <w:r/>
          </w:p>
        </w:tc>
      </w:tr>
      <w:tr>
        <w:trPr>
          <w:jc w:val="center"/>
          <w:trHeight w:val="634"/>
        </w:trPr>
        <w:tc>
          <w:tcPr>
            <w:shd w:val="clear" w:color="auto" w:fill="ffffff"/>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1.3</w:t>
            </w:r>
            <w:r/>
          </w:p>
        </w:tc>
        <w:tc>
          <w:tcPr>
            <w:shd w:val="clear" w:color="auto" w:fill="ffffff"/>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三类单位中等性能接入路由器</w:t>
            </w:r>
            <w:r/>
          </w:p>
        </w:tc>
        <w:tc>
          <w:tcPr>
            <w:shd w:val="clear" w:color="auto" w:fill="ffffff"/>
            <w:tcBorders>
              <w:top w:val="single" w:color="auto" w:sz="4" w:space="0"/>
              <w:left w:val="single" w:color="auto" w:sz="4" w:space="0"/>
              <w:bottom w:val="single" w:color="auto" w:sz="4" w:space="0"/>
              <w:right w:val="single" w:color="auto" w:sz="4" w:space="0"/>
            </w:tcBorders>
            <w:tcW w:w="3010"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详见“二、相关服务设备技术指标要求”</w:t>
            </w:r>
            <w:r/>
          </w:p>
        </w:tc>
        <w:tc>
          <w:tcPr>
            <w:shd w:val="clear" w:color="auto" w:fill="ffffff"/>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115</w:t>
            </w:r>
            <w:r/>
          </w:p>
        </w:tc>
        <w:tc>
          <w:tcPr>
            <w:shd w:val="clear" w:color="auto" w:fill="ffffff"/>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台</w:t>
            </w:r>
            <w:r/>
          </w:p>
        </w:tc>
      </w:tr>
    </w:tbl>
    <w:p>
      <w:pPr>
        <w:ind w:firstLine="482"/>
        <w:spacing w:line="360" w:lineRule="auto"/>
        <w:rPr>
          <w:rFonts w:ascii="仿宋" w:hAnsi="仿宋" w:eastAsia="仿宋"/>
          <w:b/>
          <w:sz w:val="24"/>
        </w:rPr>
      </w:pPr>
      <w:r>
        <w:rPr>
          <w:rFonts w:ascii="仿宋" w:hAnsi="仿宋" w:eastAsia="仿宋"/>
          <w:b/>
          <w:sz w:val="24"/>
        </w:rPr>
      </w:r>
      <w:r/>
    </w:p>
    <w:p>
      <w:pPr>
        <w:ind w:firstLine="482"/>
        <w:spacing w:line="360" w:lineRule="auto"/>
        <w:rPr>
          <w:rFonts w:ascii="仿宋" w:hAnsi="仿宋" w:eastAsia="仿宋" w:cs="仿宋"/>
          <w:b/>
          <w:bCs/>
          <w:sz w:val="24"/>
        </w:rPr>
      </w:pPr>
      <w:r>
        <w:rPr>
          <w:rFonts w:hint="eastAsia" w:ascii="仿宋" w:hAnsi="仿宋" w:eastAsia="仿宋"/>
          <w:b/>
          <w:sz w:val="24"/>
        </w:rPr>
        <w:t xml:space="preserve">说明：上述“清单1：传输线路配置清单”及“清单2：网络设备配置清单”中“数量”要求为不允许偏离的实质性要求和条件，如有偏离，在符合性审查时按照投标无效处理。</w:t>
      </w:r>
      <w:r/>
    </w:p>
    <w:p>
      <w:pPr>
        <w:ind w:firstLine="480"/>
        <w:spacing w:line="360" w:lineRule="auto"/>
        <w:rPr>
          <w:rFonts w:ascii="仿宋" w:hAnsi="仿宋" w:eastAsia="仿宋" w:cs="仿宋"/>
          <w:sz w:val="24"/>
        </w:rPr>
      </w:pPr>
      <w:r>
        <w:rPr>
          <w:rFonts w:hint="eastAsia" w:ascii="仿宋" w:hAnsi="仿宋" w:eastAsia="仿宋" w:cs="仿宋"/>
          <w:sz w:val="24"/>
        </w:rPr>
        <w:t xml:space="preserve">（二）组织机构设置和人员配备要求</w:t>
      </w:r>
      <w:r/>
    </w:p>
    <w:p>
      <w:pPr>
        <w:ind w:firstLine="480"/>
        <w:spacing w:line="360" w:lineRule="auto"/>
        <w:rPr>
          <w:rFonts w:ascii="仿宋" w:hAnsi="仿宋" w:eastAsia="仿宋" w:cs="仿宋"/>
          <w:sz w:val="24"/>
        </w:rPr>
      </w:pPr>
      <w:r>
        <w:rPr>
          <w:rFonts w:hint="eastAsia" w:ascii="仿宋" w:hAnsi="仿宋" w:eastAsia="仿宋" w:cs="仿宋"/>
          <w:sz w:val="24"/>
        </w:rPr>
        <w:t xml:space="preserve">1.组织机构设置要求</w:t>
      </w:r>
      <w:r/>
    </w:p>
    <w:p>
      <w:pPr>
        <w:ind w:firstLine="480"/>
        <w:spacing w:line="360" w:lineRule="auto"/>
        <w:rPr>
          <w:rFonts w:ascii="仿宋" w:hAnsi="仿宋" w:eastAsia="仿宋" w:cs="仿宋"/>
          <w:sz w:val="24"/>
        </w:rPr>
      </w:pPr>
      <w:r>
        <w:rPr>
          <w:rFonts w:hint="eastAsia" w:ascii="仿宋" w:hAnsi="仿宋" w:eastAsia="仿宋" w:cs="仿宋"/>
          <w:sz w:val="24"/>
        </w:rPr>
        <w:t xml:space="preserve">投标人应根据项目情况，组建项目建设团队，合理设定部门及岗位，配备人员。</w:t>
      </w:r>
      <w:r/>
    </w:p>
    <w:p>
      <w:pPr>
        <w:ind w:firstLine="480"/>
        <w:spacing w:line="360" w:lineRule="auto"/>
        <w:rPr>
          <w:rFonts w:ascii="仿宋" w:hAnsi="仿宋" w:eastAsia="仿宋" w:cs="仿宋"/>
          <w:sz w:val="24"/>
        </w:rPr>
      </w:pPr>
      <w:r>
        <w:rPr>
          <w:rFonts w:hint="eastAsia" w:ascii="仿宋" w:hAnsi="仿宋" w:eastAsia="仿宋" w:cs="仿宋"/>
          <w:sz w:val="24"/>
        </w:rPr>
        <w:t xml:space="preserve">2.人员配备要求</w:t>
      </w:r>
      <w:r/>
    </w:p>
    <w:p>
      <w:pPr>
        <w:ind w:firstLine="480"/>
        <w:spacing w:line="360" w:lineRule="auto"/>
        <w:rPr>
          <w:rFonts w:ascii="仿宋" w:hAnsi="仿宋" w:eastAsia="仿宋" w:cs="仿宋"/>
          <w:sz w:val="24"/>
        </w:rPr>
      </w:pPr>
      <w:r>
        <w:rPr>
          <w:rFonts w:hint="eastAsia" w:ascii="仿宋" w:hAnsi="仿宋" w:eastAsia="仿宋" w:cs="仿宋"/>
          <w:sz w:val="24"/>
        </w:rPr>
        <w:t xml:space="preserve">投标人需对本项目组建项目团队，配备一名项目经理。项目经理须具备有效的信息系统项目管理师（高级）证书或IT服务项目经理（ITSS）证书或注册信</w:t>
      </w:r>
      <w:r>
        <w:rPr>
          <w:rFonts w:hint="eastAsia" w:ascii="仿宋" w:hAnsi="仿宋" w:eastAsia="仿宋" w:cs="仿宋"/>
          <w:sz w:val="24"/>
        </w:rPr>
        <w:t xml:space="preserve">息安全管理人员（CISO）证书或CISAW信息安全保障人员认证证书。项目团队须配备1名技术负责人，技术负责人须具备有效的信息系统项目管理师（高级）证书或CISAW信息安全保障人员认证证书或IT服务工程师（ITSS）或网络工程师证书</w:t>
      </w:r>
      <w:r>
        <w:rPr>
          <w:rFonts w:hint="eastAsia" w:ascii="仿宋" w:hAnsi="仿宋" w:eastAsia="仿宋" w:cs="仿宋"/>
          <w:color w:val="ff0000"/>
          <w:sz w:val="24"/>
        </w:rPr>
        <w:t xml:space="preserve">。</w:t>
      </w:r>
      <w:r>
        <w:rPr>
          <w:rFonts w:hint="eastAsia" w:ascii="仿宋" w:hAnsi="仿宋" w:eastAsia="仿宋" w:cs="仿宋"/>
          <w:sz w:val="24"/>
        </w:rPr>
        <w:t xml:space="preserve">项目团队其他人员须配备4名团队人员，须具备具有网络工程师或高级工程师或注册信息安全专业人员或通信工程师或系统分析师或网络规划设计师。</w:t>
      </w:r>
      <w:r/>
    </w:p>
    <w:p>
      <w:pPr>
        <w:ind w:firstLine="480"/>
        <w:spacing w:line="360" w:lineRule="auto"/>
        <w:rPr>
          <w:rFonts w:ascii="仿宋" w:hAnsi="仿宋" w:eastAsia="仿宋" w:cs="仿宋"/>
          <w:sz w:val="24"/>
        </w:rPr>
      </w:pPr>
      <w:r/>
      <w:bookmarkStart w:id="108" w:name="OLE_LINK49"/>
      <w:r/>
      <w:bookmarkStart w:id="109" w:name="OLE_LINK48"/>
      <w:r>
        <w:rPr>
          <w:rFonts w:hint="eastAsia" w:ascii="仿宋" w:hAnsi="仿宋" w:eastAsia="仿宋" w:cs="仿宋"/>
          <w:sz w:val="24"/>
        </w:rPr>
        <w:t xml:space="preserve">（三）投标文件要求</w:t>
      </w:r>
      <w:r/>
    </w:p>
    <w:p>
      <w:pPr>
        <w:ind w:firstLine="480"/>
        <w:spacing w:line="360" w:lineRule="auto"/>
        <w:rPr>
          <w:rFonts w:ascii="仿宋" w:hAnsi="仿宋" w:eastAsia="仿宋" w:cs="仿宋"/>
          <w:sz w:val="24"/>
        </w:rPr>
      </w:pPr>
      <w:r>
        <w:rPr>
          <w:rFonts w:hint="eastAsia" w:ascii="仿宋" w:hAnsi="仿宋" w:eastAsia="仿宋" w:cs="仿宋"/>
          <w:sz w:val="24"/>
        </w:rPr>
        <w:t xml:space="preserve">1.投标文件中提供《项目建设服务方案》；</w:t>
      </w:r>
      <w:r/>
    </w:p>
    <w:p>
      <w:pPr>
        <w:ind w:firstLine="480"/>
        <w:spacing w:line="360" w:lineRule="auto"/>
        <w:rPr>
          <w:rFonts w:ascii="仿宋" w:hAnsi="仿宋" w:eastAsia="仿宋" w:cs="仿宋"/>
          <w:sz w:val="24"/>
        </w:rPr>
      </w:pPr>
      <w:r>
        <w:rPr>
          <w:rFonts w:hint="eastAsia" w:ascii="仿宋" w:hAnsi="仿宋" w:eastAsia="仿宋" w:cs="仿宋"/>
          <w:sz w:val="24"/>
        </w:rPr>
        <w:t xml:space="preserve">2.《项目建设服务方案》对照以上要求进行编制。具体包含但不限于以下内容：</w:t>
      </w:r>
      <w:r/>
    </w:p>
    <w:p>
      <w:pPr>
        <w:ind w:firstLine="480"/>
        <w:spacing w:line="360" w:lineRule="auto"/>
        <w:rPr>
          <w:rFonts w:ascii="仿宋" w:hAnsi="仿宋" w:eastAsia="仿宋" w:cs="仿宋"/>
          <w:sz w:val="24"/>
        </w:rPr>
      </w:pPr>
      <w:r>
        <w:rPr>
          <w:rFonts w:hint="eastAsia" w:ascii="仿宋" w:hAnsi="仿宋" w:eastAsia="仿宋" w:cs="仿宋"/>
          <w:sz w:val="24"/>
        </w:rPr>
        <w:t xml:space="preserve">2.1 固定网络新平面建设方案，包括以下内容</w:t>
      </w:r>
      <w:r/>
    </w:p>
    <w:p>
      <w:pPr>
        <w:spacing w:line="360" w:lineRule="auto"/>
        <w:rPr>
          <w:rFonts w:ascii="仿宋" w:hAnsi="仿宋" w:eastAsia="仿宋" w:cs="仿宋"/>
          <w:sz w:val="24"/>
        </w:rPr>
      </w:pPr>
      <w:r>
        <w:rPr>
          <w:rFonts w:hint="eastAsia" w:ascii="仿宋" w:hAnsi="仿宋" w:eastAsia="仿宋" w:cs="仿宋"/>
          <w:sz w:val="24"/>
        </w:rPr>
        <w:t xml:space="preserve">    2.1.1 区级网络建设方案；</w:t>
      </w:r>
      <w:r/>
    </w:p>
    <w:p>
      <w:pPr>
        <w:ind w:firstLine="480"/>
        <w:spacing w:line="360" w:lineRule="auto"/>
        <w:rPr>
          <w:rFonts w:ascii="仿宋" w:hAnsi="仿宋" w:eastAsia="仿宋" w:cs="仿宋"/>
          <w:sz w:val="24"/>
        </w:rPr>
      </w:pPr>
      <w:r>
        <w:rPr>
          <w:rFonts w:hint="eastAsia" w:ascii="仿宋" w:hAnsi="仿宋" w:eastAsia="仿宋" w:cs="仿宋"/>
          <w:sz w:val="24"/>
        </w:rPr>
        <w:t xml:space="preserve">2.2组织机构设置和人员配备方案，包括以下内容</w:t>
      </w:r>
      <w:r/>
    </w:p>
    <w:p>
      <w:pPr>
        <w:spacing w:line="360" w:lineRule="auto"/>
        <w:rPr>
          <w:rFonts w:ascii="仿宋" w:hAnsi="仿宋" w:eastAsia="仿宋" w:cs="仿宋"/>
          <w:sz w:val="24"/>
        </w:rPr>
      </w:pPr>
      <w:r>
        <w:rPr>
          <w:rFonts w:hint="eastAsia" w:ascii="仿宋" w:hAnsi="仿宋" w:eastAsia="仿宋" w:cs="仿宋"/>
          <w:sz w:val="24"/>
        </w:rPr>
        <w:t xml:space="preserve">    2.2.1 组织机构设置方案；</w:t>
      </w:r>
      <w:r/>
    </w:p>
    <w:p>
      <w:pPr>
        <w:spacing w:line="360" w:lineRule="auto"/>
        <w:rPr>
          <w:rFonts w:ascii="仿宋" w:hAnsi="仿宋" w:eastAsia="仿宋" w:cs="仿宋"/>
          <w:sz w:val="24"/>
        </w:rPr>
      </w:pPr>
      <w:r>
        <w:rPr>
          <w:rFonts w:hint="eastAsia" w:ascii="仿宋" w:hAnsi="仿宋" w:eastAsia="仿宋" w:cs="仿宋"/>
          <w:sz w:val="24"/>
        </w:rPr>
        <w:t xml:space="preserve">    2.2.2 人员配备方案。</w:t>
      </w:r>
      <w:bookmarkEnd w:id="108"/>
      <w:r/>
      <w:bookmarkEnd w:id="109"/>
      <w:r/>
      <w:r/>
    </w:p>
    <w:p>
      <w:pPr>
        <w:ind w:firstLine="482"/>
        <w:spacing w:line="360" w:lineRule="auto"/>
        <w:rPr>
          <w:rFonts w:ascii="仿宋" w:hAnsi="仿宋" w:eastAsia="仿宋" w:cs="仿宋"/>
          <w:b/>
          <w:bCs/>
          <w:sz w:val="24"/>
        </w:rPr>
      </w:pPr>
      <w:r>
        <w:rPr>
          <w:rFonts w:hint="eastAsia" w:ascii="仿宋" w:hAnsi="仿宋" w:eastAsia="仿宋" w:cs="仿宋"/>
          <w:b/>
          <w:bCs/>
          <w:sz w:val="24"/>
        </w:rPr>
        <w:t xml:space="preserve">二、相关服务设备技术指标要求</w:t>
      </w:r>
      <w:r/>
    </w:p>
    <w:p>
      <w:pPr>
        <w:ind w:firstLine="480"/>
        <w:spacing w:before="20" w:after="20" w:line="360" w:lineRule="auto"/>
        <w:tabs>
          <w:tab w:val="left" w:pos="0" w:leader="none"/>
        </w:tabs>
        <w:rPr>
          <w:rFonts w:ascii="仿宋" w:hAnsi="仿宋" w:eastAsia="仿宋" w:cs="仿宋"/>
          <w:color w:val="000000" w:themeColor="text1"/>
          <w:sz w:val="24"/>
        </w:rPr>
        <w:outlineLvl w:val="1"/>
      </w:pPr>
      <w:r>
        <w:rPr>
          <w:rFonts w:hint="eastAsia" w:ascii="仿宋" w:hAnsi="仿宋" w:eastAsia="仿宋" w:cs="仿宋"/>
          <w:color w:val="000000" w:themeColor="text1"/>
          <w:sz w:val="24"/>
        </w:rPr>
        <w:t xml:space="preserve">（一）传输线路及光缆部分</w:t>
      </w:r>
      <w:r/>
    </w:p>
    <w:p>
      <w:pPr>
        <w:ind w:firstLine="484"/>
        <w:spacing w:before="20" w:after="20" w:line="360" w:lineRule="auto"/>
        <w:tabs>
          <w:tab w:val="left" w:pos="0" w:leader="none"/>
        </w:tabs>
        <w:rPr>
          <w:rFonts w:ascii="仿宋" w:hAnsi="仿宋" w:eastAsia="仿宋" w:cs="仿宋"/>
          <w:color w:val="000000" w:themeColor="text1"/>
          <w:sz w:val="24"/>
        </w:rPr>
        <w:outlineLvl w:val="2"/>
      </w:pPr>
      <w:r>
        <w:rPr>
          <w:rFonts w:hint="eastAsia" w:ascii="仿宋" w:hAnsi="仿宋" w:eastAsia="仿宋" w:cs="仿宋"/>
          <w:color w:val="000000" w:themeColor="text1"/>
          <w:sz w:val="24"/>
        </w:rPr>
        <w:t xml:space="preserve">1.传输线路要求</w:t>
      </w:r>
      <w:r/>
    </w:p>
    <w:p>
      <w:pPr>
        <w:ind w:firstLine="484"/>
        <w:spacing w:before="20" w:after="20" w:line="360" w:lineRule="auto"/>
        <w:tabs>
          <w:tab w:val="left" w:pos="0" w:leader="none"/>
        </w:tabs>
        <w:rPr>
          <w:rFonts w:ascii="仿宋" w:hAnsi="仿宋" w:eastAsia="仿宋" w:cs="仿宋"/>
          <w:color w:val="000000" w:themeColor="text1"/>
          <w:sz w:val="24"/>
        </w:rPr>
      </w:pPr>
      <w:r>
        <w:rPr>
          <w:rFonts w:hint="eastAsia" w:ascii="仿宋" w:hAnsi="仿宋" w:eastAsia="仿宋" w:cs="仿宋"/>
          <w:color w:val="000000" w:themeColor="text1"/>
          <w:sz w:val="24"/>
        </w:rPr>
        <w:t xml:space="preserve">线路需求详见下表：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1"/>
        <w:gridCol w:w="2053"/>
        <w:gridCol w:w="5978"/>
      </w:tblGrid>
      <w:tr>
        <w:trPr>
          <w:jc w:val="center"/>
          <w:trHeight w:val="550"/>
        </w:trPr>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211" w:type="pct"/>
            <w:vAlign w:val="center"/>
            <w:textDirection w:val="lrTb"/>
            <w:noWrap/>
          </w:tcPr>
          <w:p>
            <w:pPr>
              <w:jc w:val="center"/>
              <w:spacing w:before="20" w:after="20" w:line="360" w:lineRule="auto"/>
              <w:widowControl/>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名称</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132" w:type="pct"/>
            <w:vAlign w:val="center"/>
            <w:textDirection w:val="lrTb"/>
            <w:noWrap/>
          </w:tcPr>
          <w:p>
            <w:pPr>
              <w:jc w:val="center"/>
              <w:spacing w:before="20" w:after="20" w:line="360" w:lineRule="auto"/>
              <w:widowControl/>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用途</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3657" w:type="pct"/>
            <w:vAlign w:val="center"/>
            <w:textDirection w:val="lrTb"/>
            <w:noWrap/>
          </w:tcPr>
          <w:p>
            <w:pPr>
              <w:jc w:val="center"/>
              <w:spacing w:before="20" w:after="20" w:line="360" w:lineRule="auto"/>
              <w:widowControl/>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技术参数要求（链路要求）</w:t>
            </w:r>
            <w:r/>
          </w:p>
        </w:tc>
      </w:tr>
      <w:tr>
        <w:trPr>
          <w:jc w:val="center"/>
          <w:trHeight w:val="20"/>
        </w:trPr>
        <w:tc>
          <w:tcPr>
            <w:tcBorders>
              <w:top w:val="single" w:color="auto" w:sz="4" w:space="0"/>
              <w:left w:val="single" w:color="auto" w:sz="4" w:space="0"/>
              <w:bottom w:val="single" w:color="auto" w:sz="4" w:space="0"/>
              <w:right w:val="single" w:color="auto" w:sz="4" w:space="0"/>
            </w:tcBorders>
            <w:tcW w:w="211" w:type="pct"/>
            <w:vAlign w:val="center"/>
            <w:textDirection w:val="lrTb"/>
            <w:noWrap/>
          </w:tcPr>
          <w:p>
            <w:pPr>
              <w:pStyle w:val="1000"/>
              <w:jc w:val="center"/>
              <w:spacing w:before="20" w:after="20" w:line="360" w:lineRule="auto"/>
              <w:rPr>
                <w:rFonts w:ascii="仿宋" w:hAnsi="仿宋" w:eastAsia="仿宋" w:cs="仿宋"/>
                <w:color w:val="000000" w:themeColor="text1"/>
                <w:sz w:val="24"/>
                <w:lang w:val="en-US"/>
              </w:rPr>
            </w:pPr>
            <w:r>
              <w:rPr>
                <w:rFonts w:hint="eastAsia" w:ascii="仿宋" w:hAnsi="仿宋" w:eastAsia="仿宋" w:cs="仿宋"/>
                <w:color w:val="000000" w:themeColor="text1"/>
                <w:sz w:val="24"/>
                <w:lang w:val="en-US"/>
              </w:rPr>
              <w:t xml:space="preserve">裸光纤</w:t>
            </w:r>
            <w:r/>
          </w:p>
        </w:tc>
        <w:tc>
          <w:tcPr>
            <w:tcBorders>
              <w:top w:val="single" w:color="auto" w:sz="4" w:space="0"/>
              <w:left w:val="single" w:color="auto" w:sz="4" w:space="0"/>
              <w:bottom w:val="single" w:color="auto" w:sz="4" w:space="0"/>
              <w:right w:val="single" w:color="auto" w:sz="4" w:space="0"/>
            </w:tcBorders>
            <w:tcW w:w="1132" w:type="pct"/>
            <w:vAlign w:val="center"/>
            <w:textDirection w:val="lrTb"/>
            <w:noWrap/>
          </w:tcPr>
          <w:p>
            <w:pPr>
              <w:jc w:val="center"/>
              <w:spacing w:before="20" w:after="20" w:line="360" w:lineRule="auto"/>
              <w:widowControl/>
              <w:rPr>
                <w:rFonts w:ascii="仿宋" w:hAnsi="仿宋" w:eastAsia="仿宋" w:cs="仿宋"/>
                <w:bCs/>
                <w:color w:val="000000" w:themeColor="text1"/>
                <w:sz w:val="24"/>
              </w:rPr>
            </w:pPr>
            <w:r>
              <w:rPr>
                <w:rFonts w:hint="eastAsia" w:ascii="仿宋" w:hAnsi="仿宋" w:eastAsia="仿宋" w:cs="仿宋"/>
                <w:color w:val="000000" w:themeColor="text1"/>
                <w:sz w:val="24"/>
              </w:rPr>
              <w:t xml:space="preserve">区城域核心节点到经开区行政审批局传输线路</w:t>
            </w:r>
            <w:r/>
          </w:p>
        </w:tc>
        <w:tc>
          <w:tcPr>
            <w:tcBorders>
              <w:top w:val="single" w:color="auto" w:sz="4" w:space="0"/>
              <w:left w:val="single" w:color="auto" w:sz="4" w:space="0"/>
              <w:bottom w:val="single" w:color="auto" w:sz="4" w:space="0"/>
              <w:right w:val="single" w:color="auto" w:sz="4" w:space="0"/>
            </w:tcBorders>
            <w:tcW w:w="3657" w:type="pct"/>
            <w:vAlign w:val="center"/>
            <w:textDirection w:val="lrTb"/>
            <w:noWrap/>
          </w:tcPr>
          <w:p>
            <w:pPr>
              <w:spacing w:before="20" w:after="20" w:line="360" w:lineRule="auto"/>
              <w:rPr>
                <w:rFonts w:ascii="仿宋" w:hAnsi="仿宋" w:eastAsia="仿宋" w:cs="仿宋"/>
                <w:color w:val="000000" w:themeColor="text1"/>
                <w:sz w:val="24"/>
              </w:rPr>
            </w:pPr>
            <w:r>
              <w:rPr>
                <w:rFonts w:hint="eastAsia" w:ascii="仿宋" w:hAnsi="仿宋" w:eastAsia="仿宋" w:cs="仿宋"/>
                <w:sz w:val="24"/>
              </w:rPr>
              <w:t xml:space="preserve">★</w:t>
            </w:r>
            <w:r>
              <w:rPr>
                <w:rFonts w:hint="eastAsia" w:ascii="仿宋" w:hAnsi="仿宋" w:eastAsia="仿宋" w:cs="仿宋"/>
                <w:color w:val="000000" w:themeColor="text1"/>
                <w:sz w:val="24"/>
              </w:rPr>
              <w:t xml:space="preserve">1.裸光纤线缆符合ITU－TG.652/G.655标准，光纤衰减满足≤0.5db/公里,</w:t>
            </w:r>
            <w:r>
              <w:rPr>
                <w:rFonts w:hint="eastAsia" w:ascii="仿宋" w:hAnsi="仿宋" w:eastAsia="仿宋" w:cs="仿宋"/>
                <w:sz w:val="24"/>
              </w:rPr>
              <w:t xml:space="preserve"> 基于SDH/MSTP/OTN技术</w:t>
            </w:r>
            <w:r>
              <w:rPr>
                <w:rFonts w:hint="eastAsia" w:ascii="仿宋" w:hAnsi="仿宋" w:eastAsia="仿宋" w:cs="仿宋"/>
                <w:color w:val="000000" w:themeColor="text1"/>
                <w:sz w:val="24"/>
              </w:rPr>
              <w:t xml:space="preserve">,带宽不低于1Gbps，与互联网物理隔离。</w:t>
            </w:r>
            <w:r/>
          </w:p>
          <w:p>
            <w:pPr>
              <w:spacing w:before="20" w:after="20"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2.裸光纤须提供两端之间最优路由，室外全程管道比例≥90%，须采取和已有裸光纤异路由方式进户。</w:t>
            </w:r>
            <w:r/>
          </w:p>
          <w:p>
            <w:pPr>
              <w:spacing w:before="20" w:after="20"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3.裸光纤要求具有较长的使用寿命，同时易于检测故障点，便于快速修复。</w:t>
            </w:r>
            <w:r/>
          </w:p>
          <w:p>
            <w:pPr>
              <w:spacing w:before="20" w:after="20"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4.裸光纤须具备安全性和电磁干扰抵抗能力，保证信息安全传输不受外部电磁场影响。</w:t>
            </w:r>
            <w:r/>
          </w:p>
          <w:p>
            <w:pPr>
              <w:spacing w:before="20" w:after="20"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5.裸光纤的机械性能须包括抗拉强度、弯曲半径等指标，确保光纤在各种恶劣条件下都能保持良好的工作状态。</w:t>
            </w:r>
            <w:r/>
          </w:p>
          <w:p>
            <w:pPr>
              <w:spacing w:before="20" w:after="20"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6.裸光纤故障率≤1次/4个月，在发生故障后，从接到需求方报障开始，须在4小时内恢复。</w:t>
            </w:r>
            <w:r/>
          </w:p>
        </w:tc>
      </w:tr>
    </w:tbl>
    <w:p>
      <w:pPr>
        <w:ind w:firstLine="480"/>
        <w:spacing w:line="360" w:lineRule="auto"/>
        <w:rPr>
          <w:rFonts w:ascii="仿宋" w:hAnsi="仿宋" w:eastAsia="仿宋" w:cs="仿宋"/>
          <w:sz w:val="24"/>
        </w:rPr>
      </w:pPr>
      <w:r/>
      <w:bookmarkStart w:id="110" w:name="OLE_LINK51"/>
      <w:r/>
      <w:bookmarkStart w:id="111" w:name="OLE_LINK50"/>
      <w:r>
        <w:rPr>
          <w:rFonts w:hint="eastAsia" w:ascii="仿宋" w:hAnsi="仿宋" w:eastAsia="仿宋" w:cs="仿宋"/>
          <w:sz w:val="24"/>
        </w:rPr>
        <w:t xml:space="preserve">2.接入单位清单</w:t>
      </w:r>
      <w:bookmarkEnd w:id="110"/>
      <w:r/>
      <w:bookmarkEnd w:id="111"/>
      <w:r/>
      <w:r/>
    </w:p>
    <w:tbl>
      <w:tblPr>
        <w:tblW w:w="8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878"/>
        <w:gridCol w:w="1759"/>
        <w:gridCol w:w="3516"/>
        <w:gridCol w:w="1759"/>
        <w:gridCol w:w="878"/>
      </w:tblGrid>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单位类型</w:t>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单位名称</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设备是否主备</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数量</w:t>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一类单位</w:t>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经开区行政审批局</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是</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1家</w:t>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vMerge w:val="restart"/>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二类单位</w:t>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市场监督管理局</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10家</w:t>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3</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人民法院</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4</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人民检察院</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5</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color w:val="000000"/>
                <w:sz w:val="24"/>
              </w:rPr>
              <w:t xml:space="preserve">水务处</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6</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color w:val="000000"/>
                <w:sz w:val="24"/>
              </w:rPr>
              <w:t xml:space="preserve">大庙街道</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是</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7</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大黄山街道</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是</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8</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东环街道</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是</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9</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金山桥街道</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是</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10</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金龙湖街道</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是</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11</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徐庄镇</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是</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12</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vMerge w:val="restart"/>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三类单位</w:t>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网格化指挥中心</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115家</w:t>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13</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信访办</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14</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征迁办</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15</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产业发展控股集团</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16</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退役军人服务中心</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17</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综合保税区办公室</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18</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区水务公司</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19</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区智慧园区综合执法局调度中心</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20</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消防救援大队</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21</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桃山路消防站</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22</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东湖消防站</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23</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龙潭路消防站</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24</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徐庄镇徐庄消防站</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25</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区交警大队</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26</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区金融园区</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27</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区法律服务中心</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28</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大庙街道为民服务中心</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29</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华美社区</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30</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官庄村委会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31</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孤山村委会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32</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安然村委会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33</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后姚村委会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34</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大庙村委会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35</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前姚村委会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36</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马庄村委会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37</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李庄村委会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38</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李井村委会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39</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侯集村委会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40</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河套村委会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41</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后坝村委会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42</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虎山村委会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43</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安顺社区</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44</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华新社区</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45</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东湖社区</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46</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龙蟠社区</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47</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前坝村委会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48</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夏庄村委会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49</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房亭社区</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50</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大黄山街道为民服务中心</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51</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大黄山街道张庄村委会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52</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大黄山街道小黄山村委会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53</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大黄山街道西朱村委会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54</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大黄山街道坡里村委会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55</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大黄山街道老户人居委会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56</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大黄山街道狼古墩村委会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57</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大黄山街道可恋庄村委会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58</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大黄山街道湖庄村委会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59</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大黄山街道荆山村委会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60</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大黄山街道大黄山村委会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61</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大黄山街道前王村委会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62</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大黄山街道三孔桥村委会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63</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大黄山街道王可乐村</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64</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大黄山街道夏庄村</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65</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东环街道为民服务中心</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66</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东环街道圩子社区便民服务中心</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67</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东环街道前蟠桃社区便民服务中心</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68</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东环街道孟家沟社区便民服务中心</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69</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东环街道刘湾社区便民服务中心</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70</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东环街道后蟠桃社区便民服务中心</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71</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东环街道桥南头社区便民服务中心</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72</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东王庄社区便民服务站</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73</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中王庄社区便民服务站</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74</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星光社区便民服务站</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75</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赵庄社区便民服务站</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76</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金山桥街道为民服务中心</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77</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金山桥街道桃园社区</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78</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金山桥街道石桥社区</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79</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金山桥街道碧西社区</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80</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金山桥街道金苑社区</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81</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陶楼社区便民服务站</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82</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杨庄社区便民服务站</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83</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金龙湖街道为民服务中心</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84</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金龙湖街道西贺村村委会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85</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金龙湖街道福鑫社区村委会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86</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金龙湖街道大湖村村委会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87</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金龙湖街道东贺村村委会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88</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金龙湖街道蟠桃二期佟村村委会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89</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金龙湖街道晓山社区</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90</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金龙湖街道翠湖社区</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91</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金龙湖街道上山村委会</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92</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金龙湖街道沈店社区</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93</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金龙湖街道泰隆社区</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94</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金龙湖街道金山社区</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95</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金龙湖街道金龙湖社区</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96</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金龙湖街道福泽社区</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97</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金龙湖街道美悦社区</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98</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金龙湖街道锦月社区</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99</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徐庄街道为民服务中心</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100</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土楼村</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101</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王桥村</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102</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太平村</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103</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毛庄村</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104</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周庄村</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105</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金井村</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106</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苑山村</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107</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吴楼村</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108</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张家村</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109</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吴集村</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110</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龙田村</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pPr>
            <w:r>
              <w:t xml:space="preserve">111</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徐庄村</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112</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岳庄村</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113</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黄集村</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114</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来安村</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115</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岗楼村</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116</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安乐村</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117</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王楼村</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118</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薛湖村</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119</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重埠村</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120</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山黄村</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121</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bottom"/>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赵疃村</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122</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color w:val="000000"/>
                <w:sz w:val="24"/>
              </w:rPr>
              <w:t xml:space="preserve">徐州市大黄山实验小学</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123</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color w:val="000000"/>
                <w:sz w:val="24"/>
              </w:rPr>
              <w:t xml:space="preserve">徐州经济技术开发区工业学校</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124</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color w:val="000000"/>
                <w:sz w:val="24"/>
              </w:rPr>
              <w:t xml:space="preserve">徐州经济技术开发区李庄小学</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125</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color w:val="000000"/>
                <w:sz w:val="24"/>
              </w:rPr>
              <w:t xml:space="preserve">徐州市刘湾小学</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454"/>
        </w:trPr>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126</w:t>
            </w:r>
            <w:r/>
          </w:p>
        </w:tc>
        <w:tc>
          <w:tcPr>
            <w:tcBorders>
              <w:top w:val="single" w:color="auto" w:sz="4" w:space="0"/>
              <w:left w:val="single" w:color="auto" w:sz="4" w:space="0"/>
              <w:bottom w:val="single" w:color="auto" w:sz="4" w:space="0"/>
              <w:right w:val="single" w:color="auto" w:sz="4" w:space="0"/>
            </w:tcBorders>
            <w:tcW w:w="175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shd w:val="clear" w:color="auto" w:fill="ffffff"/>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color w:val="000000"/>
                <w:sz w:val="24"/>
              </w:rPr>
              <w:t xml:space="preserve">徐州市毛庄中学</w:t>
            </w:r>
            <w:r/>
          </w:p>
        </w:tc>
        <w:tc>
          <w:tcPr>
            <w:shd w:val="clear" w:color="auto" w:fill="ffffff"/>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否</w:t>
            </w:r>
            <w:r/>
          </w:p>
        </w:tc>
        <w:tc>
          <w:tcPr>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bl>
    <w:p>
      <w:pPr>
        <w:ind w:firstLine="482"/>
        <w:spacing w:line="360" w:lineRule="auto"/>
        <w:rPr>
          <w:rFonts w:ascii="仿宋" w:hAnsi="仿宋" w:eastAsia="仿宋" w:cs="仿宋"/>
          <w:b/>
          <w:bCs/>
          <w:sz w:val="24"/>
        </w:rPr>
      </w:pPr>
      <w:r>
        <w:rPr>
          <w:rFonts w:ascii="仿宋" w:hAnsi="仿宋" w:eastAsia="仿宋" w:cs="仿宋"/>
          <w:b/>
          <w:bCs/>
          <w:sz w:val="24"/>
        </w:rPr>
      </w:r>
      <w:r/>
    </w:p>
    <w:p>
      <w:pPr>
        <w:ind w:firstLine="482"/>
        <w:spacing w:line="360" w:lineRule="auto"/>
        <w:rPr>
          <w:rFonts w:ascii="仿宋" w:hAnsi="仿宋" w:eastAsia="仿宋" w:cs="仿宋"/>
          <w:b/>
          <w:bCs/>
          <w:sz w:val="24"/>
        </w:rPr>
      </w:pPr>
      <w:r>
        <w:rPr>
          <w:rFonts w:hint="eastAsia" w:ascii="仿宋" w:hAnsi="仿宋" w:eastAsia="仿宋" w:cs="仿宋"/>
          <w:b/>
          <w:bCs/>
          <w:sz w:val="24"/>
        </w:rPr>
        <w:t xml:space="preserve">说明：上述“2.接入单位清单”要求为不允许偏离的实质性要求和条件，如有偏离，在符合性审查时按照投标无效处理。</w:t>
      </w:r>
      <w:r/>
    </w:p>
    <w:p>
      <w:pPr>
        <w:ind w:firstLine="480"/>
        <w:spacing w:line="360" w:lineRule="auto"/>
        <w:rPr>
          <w:rFonts w:ascii="仿宋" w:hAnsi="仿宋" w:eastAsia="仿宋" w:cs="仿宋"/>
          <w:sz w:val="24"/>
        </w:rPr>
      </w:pPr>
      <w:r>
        <w:rPr>
          <w:rFonts w:hint="eastAsia" w:ascii="仿宋" w:hAnsi="仿宋" w:eastAsia="仿宋" w:cs="仿宋"/>
          <w:sz w:val="24"/>
        </w:rPr>
        <w:t xml:space="preserve">（二）固定网络新平面建设部分</w:t>
      </w:r>
      <w:r/>
    </w:p>
    <w:p>
      <w:pPr>
        <w:ind w:firstLine="480"/>
        <w:spacing w:line="360" w:lineRule="auto"/>
        <w:rPr>
          <w:rFonts w:ascii="仿宋" w:hAnsi="仿宋" w:eastAsia="仿宋" w:cs="仿宋"/>
          <w:sz w:val="24"/>
        </w:rPr>
      </w:pPr>
      <w:r>
        <w:rPr>
          <w:rFonts w:hint="eastAsia" w:ascii="仿宋" w:hAnsi="仿宋" w:eastAsia="仿宋" w:cs="仿宋"/>
          <w:sz w:val="24"/>
        </w:rPr>
        <w:t xml:space="preserve">注：以下均为单台/套技术要求</w:t>
      </w:r>
      <w:r/>
    </w:p>
    <w:p>
      <w:pPr>
        <w:ind w:firstLine="480"/>
        <w:spacing w:line="360" w:lineRule="auto"/>
        <w:rPr>
          <w:rFonts w:ascii="仿宋" w:hAnsi="仿宋" w:eastAsia="仿宋" w:cs="仿宋"/>
          <w:sz w:val="24"/>
        </w:rPr>
      </w:pPr>
      <w:r>
        <w:rPr>
          <w:rFonts w:hint="eastAsia" w:ascii="仿宋" w:hAnsi="仿宋" w:eastAsia="仿宋" w:cs="仿宋"/>
          <w:sz w:val="24"/>
        </w:rPr>
        <w:t xml:space="preserve">1. </w:t>
      </w:r>
      <w:bookmarkStart w:id="112" w:name="OLE_LINK125"/>
      <w:r/>
      <w:bookmarkStart w:id="113" w:name="OLE_LINK67"/>
      <w:r>
        <w:rPr>
          <w:rFonts w:hint="eastAsia" w:ascii="仿宋" w:hAnsi="仿宋" w:eastAsia="仿宋" w:cs="仿宋"/>
          <w:sz w:val="24"/>
        </w:rPr>
        <w:t xml:space="preserve">一类单位高性能接入路由器</w:t>
      </w:r>
      <w:bookmarkEnd w:id="112"/>
      <w:r/>
      <w:bookmarkEnd w:id="113"/>
      <w:r/>
      <w:r/>
    </w:p>
    <w:tbl>
      <w:tblPr>
        <w:tblW w:w="8700" w:type="dxa"/>
        <w:jc w:val="center"/>
        <w:tblLayout w:type="fixed"/>
        <w:tblCellMar>
          <w:left w:w="10" w:type="dxa"/>
          <w:right w:w="10" w:type="dxa"/>
        </w:tblCellMar>
        <w:tblLook w:val="04A0" w:firstRow="1" w:lastRow="0" w:firstColumn="1" w:lastColumn="0" w:noHBand="0" w:noVBand="1"/>
      </w:tblPr>
      <w:tblGrid>
        <w:gridCol w:w="1492"/>
        <w:gridCol w:w="7208"/>
      </w:tblGrid>
      <w:tr>
        <w:trPr>
          <w:jc w:val="center"/>
          <w:trHeight w:val="422" w:hRule="exact"/>
        </w:trPr>
        <w:tc>
          <w:tcPr>
            <w:shd w:val="clear" w:color="auto" w:fill="aeaaa9"/>
            <w:tcBorders>
              <w:top w:val="single" w:color="auto" w:sz="4" w:space="0"/>
              <w:left w:val="single" w:color="auto" w:sz="4" w:space="0"/>
              <w:bottom w:val="none" w:color="000000" w:sz="4" w:space="0"/>
              <w:right w:val="none" w:color="000000" w:sz="4" w:space="0"/>
            </w:tcBorders>
            <w:tcW w:w="1493" w:type="dxa"/>
            <w:vAlign w:val="bottom"/>
            <w:textDirection w:val="lrTb"/>
            <w:noWrap w:val="false"/>
          </w:tcPr>
          <w:p>
            <w:pPr>
              <w:jc w:val="center"/>
              <w:spacing w:line="360" w:lineRule="auto"/>
              <w:rPr>
                <w:rFonts w:ascii="仿宋" w:hAnsi="仿宋" w:eastAsia="仿宋" w:cs="仿宋"/>
                <w:b/>
                <w:bCs/>
                <w:sz w:val="24"/>
              </w:rPr>
            </w:pPr>
            <w:r>
              <w:rPr>
                <w:rFonts w:hint="eastAsia" w:ascii="仿宋" w:hAnsi="仿宋" w:eastAsia="仿宋" w:cs="仿宋"/>
                <w:b/>
                <w:bCs/>
                <w:sz w:val="24"/>
              </w:rPr>
              <w:t xml:space="preserve">指标项</w:t>
            </w:r>
            <w:r/>
          </w:p>
        </w:tc>
        <w:tc>
          <w:tcPr>
            <w:shd w:val="clear" w:color="auto" w:fill="aeaaa9"/>
            <w:tcBorders>
              <w:top w:val="single" w:color="auto" w:sz="4" w:space="0"/>
              <w:left w:val="single" w:color="auto" w:sz="4" w:space="0"/>
              <w:bottom w:val="none" w:color="000000" w:sz="4" w:space="0"/>
              <w:right w:val="single" w:color="auto" w:sz="4" w:space="0"/>
            </w:tcBorders>
            <w:tcW w:w="7214" w:type="dxa"/>
            <w:vAlign w:val="bottom"/>
            <w:textDirection w:val="lrTb"/>
            <w:noWrap w:val="false"/>
          </w:tcPr>
          <w:p>
            <w:pPr>
              <w:jc w:val="center"/>
              <w:spacing w:line="360" w:lineRule="auto"/>
              <w:rPr>
                <w:rFonts w:ascii="仿宋" w:hAnsi="仿宋" w:eastAsia="仿宋" w:cs="仿宋"/>
                <w:b/>
                <w:bCs/>
                <w:sz w:val="24"/>
              </w:rPr>
            </w:pPr>
            <w:r>
              <w:rPr>
                <w:rFonts w:hint="eastAsia" w:ascii="仿宋" w:hAnsi="仿宋" w:eastAsia="仿宋" w:cs="仿宋"/>
                <w:b/>
                <w:bCs/>
                <w:sz w:val="24"/>
              </w:rPr>
              <w:t xml:space="preserve">技术参数要求</w:t>
            </w:r>
            <w:r/>
          </w:p>
        </w:tc>
      </w:tr>
      <w:tr>
        <w:trPr>
          <w:jc w:val="center"/>
          <w:trHeight w:val="979" w:hRule="exact"/>
        </w:trPr>
        <w:tc>
          <w:tcPr>
            <w:shd w:val="clear" w:color="auto" w:fill="ffffff"/>
            <w:tcBorders>
              <w:top w:val="single" w:color="auto" w:sz="4" w:space="0"/>
              <w:left w:val="single" w:color="auto" w:sz="4" w:space="0"/>
              <w:bottom w:val="single" w:color="auto" w:sz="4" w:space="0"/>
              <w:right w:val="none" w:color="000000" w:sz="4" w:space="0"/>
            </w:tcBorders>
            <w:tcW w:w="1493"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性能指标</w:t>
            </w:r>
            <w:r/>
          </w:p>
        </w:tc>
        <w:tc>
          <w:tcPr>
            <w:shd w:val="clear" w:color="auto" w:fill="ffffff"/>
            <w:tcBorders>
              <w:top w:val="single" w:color="auto" w:sz="4" w:space="0"/>
              <w:left w:val="single" w:color="auto" w:sz="4" w:space="0"/>
              <w:bottom w:val="single" w:color="auto" w:sz="4" w:space="0"/>
              <w:right w:val="single" w:color="auto" w:sz="4" w:space="0"/>
            </w:tcBorders>
            <w:tcW w:w="7214" w:type="dxa"/>
            <w:vAlign w:val="center"/>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★交换容量≥600Gbps，包转发率≥250Mpps。【投标人中标后签合同前须提供原厂商承诺函】</w:t>
            </w:r>
            <w:r/>
          </w:p>
        </w:tc>
      </w:tr>
      <w:tr>
        <w:trPr>
          <w:jc w:val="center"/>
          <w:trHeight w:val="567"/>
        </w:trPr>
        <w:tc>
          <w:tcPr>
            <w:shd w:val="clear" w:color="auto" w:fill="ffffff"/>
            <w:tcBorders>
              <w:top w:val="single" w:color="auto" w:sz="4" w:space="0"/>
              <w:left w:val="single" w:color="auto" w:sz="4" w:space="0"/>
              <w:bottom w:val="single" w:color="auto" w:sz="4" w:space="0"/>
              <w:right w:val="none" w:color="000000" w:sz="4" w:space="0"/>
            </w:tcBorders>
            <w:tcW w:w="1493"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参数配置</w:t>
            </w:r>
            <w:r/>
          </w:p>
        </w:tc>
        <w:tc>
          <w:tcPr>
            <w:shd w:val="clear" w:color="auto" w:fill="ffffff"/>
            <w:tcBorders>
              <w:top w:val="single" w:color="auto" w:sz="4" w:space="0"/>
              <w:left w:val="single" w:color="auto" w:sz="4" w:space="0"/>
              <w:bottom w:val="single" w:color="auto" w:sz="4" w:space="0"/>
              <w:right w:val="single" w:color="auto" w:sz="4" w:space="0"/>
            </w:tcBorders>
            <w:tcW w:w="7214" w:type="dxa"/>
            <w:vAlign w:val="bottom"/>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1.★设备关键芯片（主控CPU芯片）采用国产化芯片，提供具有CNAS认证的第三方检测机构出具的检测报告复印件；</w:t>
            </w:r>
            <w:r/>
          </w:p>
          <w:p>
            <w:pPr>
              <w:spacing w:line="360" w:lineRule="auto"/>
              <w:rPr>
                <w:rFonts w:ascii="仿宋" w:hAnsi="仿宋" w:eastAsia="仿宋" w:cs="仿宋"/>
                <w:sz w:val="24"/>
              </w:rPr>
            </w:pPr>
            <w:r>
              <w:rPr>
                <w:rFonts w:hint="eastAsia" w:ascii="仿宋" w:hAnsi="仿宋" w:eastAsia="仿宋" w:cs="仿宋"/>
                <w:sz w:val="24"/>
              </w:rPr>
              <w:t xml:space="preserve">2.支持IPv4/IPv6，支持SRv6协议；</w:t>
            </w:r>
            <w:r/>
          </w:p>
          <w:p>
            <w:pPr>
              <w:spacing w:line="360" w:lineRule="auto"/>
              <w:rPr>
                <w:rFonts w:ascii="仿宋" w:hAnsi="仿宋" w:eastAsia="仿宋" w:cs="仿宋"/>
                <w:sz w:val="24"/>
              </w:rPr>
            </w:pPr>
            <w:r>
              <w:rPr>
                <w:rFonts w:hint="eastAsia" w:ascii="仿宋" w:hAnsi="仿宋" w:eastAsia="仿宋" w:cs="仿宋"/>
                <w:sz w:val="24"/>
              </w:rPr>
              <w:t xml:space="preserve">3.支持随流逐包的性能检测技术；</w:t>
            </w:r>
            <w:r/>
          </w:p>
          <w:p>
            <w:pPr>
              <w:spacing w:line="360" w:lineRule="auto"/>
              <w:rPr>
                <w:rFonts w:ascii="仿宋" w:hAnsi="仿宋" w:eastAsia="仿宋" w:cs="仿宋"/>
                <w:sz w:val="24"/>
              </w:rPr>
            </w:pPr>
            <w:r>
              <w:rPr>
                <w:rFonts w:hint="eastAsia" w:ascii="仿宋" w:hAnsi="仿宋" w:eastAsia="仿宋" w:cs="仿宋"/>
                <w:sz w:val="24"/>
              </w:rPr>
              <w:t xml:space="preserve">4.支持IPv6协议的MTU值≥2000；</w:t>
            </w:r>
            <w:r/>
          </w:p>
          <w:p>
            <w:pPr>
              <w:spacing w:line="360" w:lineRule="auto"/>
              <w:rPr>
                <w:rFonts w:ascii="仿宋" w:hAnsi="仿宋" w:eastAsia="仿宋" w:cs="仿宋"/>
                <w:sz w:val="24"/>
              </w:rPr>
            </w:pPr>
            <w:r>
              <w:rPr>
                <w:rFonts w:hint="eastAsia" w:ascii="仿宋" w:hAnsi="仿宋" w:eastAsia="仿宋" w:cs="仿宋"/>
                <w:sz w:val="24"/>
              </w:rPr>
              <w:t xml:space="preserve">5.★实配冗余电源，≥4个万兆光接口，≥4个千兆光接口，≥4个千兆电接口，单台配置≥4个10GE单模光模块（10KM），≥4个GE单模光模块（10KM）；</w:t>
            </w:r>
            <w:r/>
          </w:p>
          <w:p>
            <w:pPr>
              <w:spacing w:line="360" w:lineRule="auto"/>
              <w:rPr>
                <w:rFonts w:ascii="仿宋" w:hAnsi="仿宋" w:eastAsia="仿宋" w:cs="仿宋"/>
                <w:sz w:val="24"/>
              </w:rPr>
            </w:pPr>
            <w:r>
              <w:rPr>
                <w:rFonts w:hint="eastAsia" w:ascii="仿宋" w:hAnsi="仿宋" w:eastAsia="仿宋" w:cs="仿宋"/>
                <w:sz w:val="24"/>
              </w:rPr>
              <w:t xml:space="preserve">6.★配置</w:t>
            </w:r>
            <w:r>
              <w:rPr>
                <w:rFonts w:hint="eastAsia" w:ascii="仿宋" w:hAnsi="仿宋" w:eastAsia="仿宋" w:cs="仿宋"/>
                <w:sz w:val="24"/>
                <w:lang w:eastAsia="en-US"/>
              </w:rPr>
              <w:t xml:space="preserve">SRv6、RSVP-TE、MPLS-TE、VxLAN、L3VPN、EVPN</w:t>
            </w:r>
            <w:r>
              <w:rPr>
                <w:rFonts w:hint="eastAsia" w:ascii="仿宋" w:hAnsi="仿宋" w:eastAsia="仿宋" w:cs="仿宋"/>
                <w:sz w:val="24"/>
              </w:rPr>
              <w:t xml:space="preserve">、随流检测等授权，配置网络控制器管控授权（含</w:t>
            </w:r>
            <w:r>
              <w:rPr>
                <w:rFonts w:hint="eastAsia" w:ascii="仿宋" w:hAnsi="仿宋" w:eastAsia="仿宋" w:cs="仿宋"/>
                <w:sz w:val="24"/>
                <w:lang w:eastAsia="en-US"/>
              </w:rPr>
              <w:t xml:space="preserve">SRv6 Policy、IFIT</w:t>
            </w:r>
            <w:r>
              <w:rPr>
                <w:rFonts w:hint="eastAsia" w:ascii="仿宋" w:hAnsi="仿宋" w:eastAsia="仿宋" w:cs="仿宋"/>
                <w:sz w:val="24"/>
              </w:rPr>
              <w:t xml:space="preserve">功能、网络分片功能许可）。</w:t>
            </w:r>
            <w:r/>
          </w:p>
          <w:p>
            <w:pPr>
              <w:spacing w:line="360" w:lineRule="auto"/>
              <w:rPr>
                <w:rFonts w:ascii="仿宋" w:hAnsi="仿宋" w:eastAsia="仿宋" w:cs="仿宋"/>
                <w:sz w:val="24"/>
              </w:rPr>
            </w:pPr>
            <w:r>
              <w:rPr>
                <w:rFonts w:hint="eastAsia" w:ascii="仿宋" w:hAnsi="仿宋" w:eastAsia="仿宋" w:cs="仿宋"/>
                <w:sz w:val="24"/>
              </w:rPr>
              <w:t xml:space="preserve">【投标人中标后</w:t>
            </w:r>
            <w:r>
              <w:rPr>
                <w:rFonts w:hint="eastAsia" w:ascii="仿宋" w:hAnsi="仿宋" w:eastAsia="仿宋" w:cs="仿宋"/>
                <w:b/>
                <w:bCs/>
                <w:color w:val="000000" w:themeColor="text1"/>
                <w:sz w:val="24"/>
              </w:rPr>
              <w:t xml:space="preserve">签</w:t>
            </w:r>
            <w:r>
              <w:rPr>
                <w:rFonts w:hint="eastAsia" w:ascii="仿宋" w:hAnsi="仿宋" w:eastAsia="仿宋" w:cs="仿宋"/>
                <w:sz w:val="24"/>
              </w:rPr>
              <w:t xml:space="preserve">合同前须提供原厂商承诺函】</w:t>
            </w:r>
            <w:r/>
          </w:p>
        </w:tc>
      </w:tr>
      <w:tr>
        <w:trPr>
          <w:jc w:val="center"/>
          <w:trHeight w:val="567"/>
        </w:trPr>
        <w:tc>
          <w:tcPr>
            <w:shd w:val="clear" w:color="auto" w:fill="ffffff"/>
            <w:tcBorders>
              <w:top w:val="single" w:color="auto" w:sz="4" w:space="0"/>
              <w:left w:val="single" w:color="auto" w:sz="4" w:space="0"/>
              <w:bottom w:val="single" w:color="auto" w:sz="4" w:space="0"/>
              <w:right w:val="none" w:color="000000" w:sz="4" w:space="0"/>
            </w:tcBorders>
            <w:tcW w:w="1493"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服务要求</w:t>
            </w:r>
            <w:r/>
          </w:p>
        </w:tc>
        <w:tc>
          <w:tcPr>
            <w:shd w:val="clear" w:color="auto" w:fill="ffffff"/>
            <w:tcBorders>
              <w:top w:val="single" w:color="auto" w:sz="4" w:space="0"/>
              <w:left w:val="single" w:color="auto" w:sz="4" w:space="0"/>
              <w:bottom w:val="single" w:color="auto" w:sz="4" w:space="0"/>
              <w:right w:val="single" w:color="auto" w:sz="4" w:space="0"/>
            </w:tcBorders>
            <w:tcW w:w="7214"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提供3年原厂硬件质保服务和软件升级服务。</w:t>
            </w:r>
            <w:r/>
          </w:p>
          <w:p>
            <w:pPr>
              <w:spacing w:line="360" w:lineRule="auto"/>
              <w:rPr>
                <w:rFonts w:ascii="仿宋" w:hAnsi="仿宋" w:eastAsia="仿宋" w:cs="仿宋"/>
                <w:sz w:val="24"/>
              </w:rPr>
            </w:pPr>
            <w:r>
              <w:rPr>
                <w:rFonts w:hint="eastAsia" w:ascii="仿宋" w:hAnsi="仿宋" w:eastAsia="仿宋" w:cs="仿宋"/>
                <w:sz w:val="24"/>
              </w:rPr>
              <w:t xml:space="preserve">【投标人中标后签合同前须提供设备制造商质保授权函】</w:t>
            </w:r>
            <w:r/>
          </w:p>
        </w:tc>
      </w:tr>
    </w:tbl>
    <w:p>
      <w:pPr>
        <w:ind w:firstLine="480"/>
        <w:spacing w:line="360" w:lineRule="auto"/>
        <w:rPr>
          <w:rFonts w:ascii="仿宋" w:hAnsi="仿宋" w:eastAsia="仿宋" w:cs="仿宋"/>
          <w:sz w:val="24"/>
        </w:rPr>
      </w:pPr>
      <w:r>
        <w:rPr>
          <w:rFonts w:ascii="仿宋" w:hAnsi="仿宋" w:eastAsia="仿宋" w:cs="仿宋"/>
          <w:sz w:val="24"/>
        </w:rPr>
      </w:r>
      <w:r/>
    </w:p>
    <w:p>
      <w:pPr>
        <w:ind w:firstLine="480"/>
        <w:spacing w:line="360" w:lineRule="auto"/>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 二类单位较高性能接入路由器</w:t>
      </w:r>
      <w:r/>
    </w:p>
    <w:tbl>
      <w:tblPr>
        <w:tblW w:w="8700" w:type="dxa"/>
        <w:jc w:val="center"/>
        <w:tblLayout w:type="fixed"/>
        <w:tblCellMar>
          <w:left w:w="10" w:type="dxa"/>
          <w:right w:w="10" w:type="dxa"/>
        </w:tblCellMar>
        <w:tblLook w:val="04A0" w:firstRow="1" w:lastRow="0" w:firstColumn="1" w:lastColumn="0" w:noHBand="0" w:noVBand="1"/>
      </w:tblPr>
      <w:tblGrid>
        <w:gridCol w:w="1492"/>
        <w:gridCol w:w="7208"/>
      </w:tblGrid>
      <w:tr>
        <w:trPr>
          <w:jc w:val="center"/>
          <w:trHeight w:val="422" w:hRule="exact"/>
        </w:trPr>
        <w:tc>
          <w:tcPr>
            <w:shd w:val="clear" w:color="auto" w:fill="ffffff" w:themeFill="background1"/>
            <w:tcBorders>
              <w:top w:val="single" w:color="auto" w:sz="4" w:space="0"/>
              <w:left w:val="single" w:color="auto" w:sz="4" w:space="0"/>
              <w:bottom w:val="none" w:color="000000" w:sz="4" w:space="0"/>
              <w:right w:val="none" w:color="000000" w:sz="4" w:space="0"/>
            </w:tcBorders>
            <w:tcW w:w="1493" w:type="dxa"/>
            <w:vAlign w:val="bottom"/>
            <w:textDirection w:val="lrTb"/>
            <w:noWrap w:val="false"/>
          </w:tcPr>
          <w:p>
            <w:pPr>
              <w:jc w:val="center"/>
              <w:spacing w:line="360" w:lineRule="auto"/>
              <w:rPr>
                <w:rFonts w:ascii="仿宋" w:hAnsi="仿宋" w:eastAsia="仿宋" w:cs="仿宋"/>
                <w:b/>
                <w:bCs/>
                <w:sz w:val="24"/>
              </w:rPr>
            </w:pPr>
            <w:r>
              <w:rPr>
                <w:rFonts w:hint="eastAsia" w:ascii="仿宋" w:hAnsi="仿宋" w:eastAsia="仿宋" w:cs="仿宋"/>
                <w:b/>
                <w:bCs/>
                <w:sz w:val="24"/>
              </w:rPr>
              <w:t xml:space="preserve">指标项</w:t>
            </w:r>
            <w:r/>
          </w:p>
        </w:tc>
        <w:tc>
          <w:tcPr>
            <w:shd w:val="clear" w:color="auto" w:fill="ffffff" w:themeFill="background1"/>
            <w:tcBorders>
              <w:top w:val="single" w:color="auto" w:sz="4" w:space="0"/>
              <w:left w:val="single" w:color="auto" w:sz="4" w:space="0"/>
              <w:bottom w:val="none" w:color="000000" w:sz="4" w:space="0"/>
              <w:right w:val="single" w:color="auto" w:sz="4" w:space="0"/>
            </w:tcBorders>
            <w:tcW w:w="7214" w:type="dxa"/>
            <w:vAlign w:val="bottom"/>
            <w:textDirection w:val="lrTb"/>
            <w:noWrap w:val="false"/>
          </w:tcPr>
          <w:p>
            <w:pPr>
              <w:jc w:val="center"/>
              <w:spacing w:line="360" w:lineRule="auto"/>
              <w:rPr>
                <w:rFonts w:ascii="仿宋" w:hAnsi="仿宋" w:eastAsia="仿宋" w:cs="仿宋"/>
                <w:b/>
                <w:bCs/>
                <w:sz w:val="24"/>
              </w:rPr>
            </w:pPr>
            <w:r>
              <w:rPr>
                <w:rFonts w:hint="eastAsia" w:ascii="仿宋" w:hAnsi="仿宋" w:eastAsia="仿宋" w:cs="仿宋"/>
                <w:b/>
                <w:bCs/>
                <w:sz w:val="24"/>
              </w:rPr>
              <w:t xml:space="preserve">技术参数要求</w:t>
            </w:r>
            <w:r/>
          </w:p>
        </w:tc>
      </w:tr>
      <w:tr>
        <w:trPr>
          <w:jc w:val="center"/>
          <w:trHeight w:val="567"/>
        </w:trPr>
        <w:tc>
          <w:tcPr>
            <w:shd w:val="clear" w:color="auto" w:fill="ffffff"/>
            <w:tcBorders>
              <w:top w:val="single" w:color="auto" w:sz="4" w:space="0"/>
              <w:left w:val="single" w:color="auto" w:sz="4" w:space="0"/>
              <w:bottom w:val="single" w:color="auto" w:sz="4" w:space="0"/>
              <w:right w:val="none" w:color="000000" w:sz="4" w:space="0"/>
            </w:tcBorders>
            <w:tcW w:w="1493"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性能指标</w:t>
            </w:r>
            <w:r/>
          </w:p>
        </w:tc>
        <w:tc>
          <w:tcPr>
            <w:shd w:val="clear" w:color="auto" w:fill="ffffff"/>
            <w:tcBorders>
              <w:top w:val="single" w:color="auto" w:sz="4" w:space="0"/>
              <w:left w:val="single" w:color="auto" w:sz="4" w:space="0"/>
              <w:bottom w:val="single" w:color="auto" w:sz="4" w:space="0"/>
              <w:right w:val="single" w:color="auto" w:sz="4" w:space="0"/>
            </w:tcBorders>
            <w:tcW w:w="7214" w:type="dxa"/>
            <w:vAlign w:val="bottom"/>
            <w:textDirection w:val="lrTb"/>
            <w:noWrap w:val="false"/>
          </w:tcPr>
          <w:p>
            <w:pPr>
              <w:jc w:val="left"/>
              <w:spacing w:line="360" w:lineRule="auto"/>
              <w:rPr>
                <w:rFonts w:ascii="仿宋" w:hAnsi="仿宋" w:eastAsia="仿宋" w:cs="仿宋"/>
                <w:sz w:val="24"/>
              </w:rPr>
            </w:pPr>
            <w:r>
              <w:rPr>
                <w:rFonts w:hint="eastAsia" w:ascii="仿宋" w:hAnsi="仿宋" w:eastAsia="仿宋" w:cs="仿宋"/>
                <w:sz w:val="24"/>
              </w:rPr>
              <w:t xml:space="preserve">★交换容量≥400Gbps,包转发率≥250Mpps；【投标人中标后签合同前须提供原厂商承诺函】</w:t>
            </w:r>
            <w:r/>
          </w:p>
        </w:tc>
      </w:tr>
      <w:tr>
        <w:trPr>
          <w:jc w:val="center"/>
          <w:trHeight w:val="567"/>
        </w:trPr>
        <w:tc>
          <w:tcPr>
            <w:shd w:val="clear" w:color="auto" w:fill="ffffff"/>
            <w:tcBorders>
              <w:top w:val="single" w:color="auto" w:sz="4" w:space="0"/>
              <w:left w:val="single" w:color="auto" w:sz="4" w:space="0"/>
              <w:bottom w:val="single" w:color="auto" w:sz="4" w:space="0"/>
              <w:right w:val="none" w:color="000000" w:sz="4" w:space="0"/>
            </w:tcBorders>
            <w:tcW w:w="1493"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参数配置</w:t>
            </w:r>
            <w:r/>
          </w:p>
        </w:tc>
        <w:tc>
          <w:tcPr>
            <w:shd w:val="clear" w:color="auto" w:fill="ffffff"/>
            <w:tcBorders>
              <w:top w:val="single" w:color="auto" w:sz="4" w:space="0"/>
              <w:left w:val="single" w:color="auto" w:sz="4" w:space="0"/>
              <w:bottom w:val="single" w:color="auto" w:sz="4" w:space="0"/>
              <w:right w:val="single" w:color="auto" w:sz="4" w:space="0"/>
            </w:tcBorders>
            <w:tcW w:w="7214" w:type="dxa"/>
            <w:vAlign w:val="bottom"/>
            <w:textDirection w:val="lrTb"/>
            <w:noWrap w:val="false"/>
          </w:tcPr>
          <w:p>
            <w:pPr>
              <w:jc w:val="left"/>
              <w:spacing w:line="360" w:lineRule="auto"/>
              <w:rPr>
                <w:rFonts w:ascii="仿宋" w:hAnsi="仿宋" w:eastAsia="仿宋" w:cs="仿宋"/>
                <w:sz w:val="24"/>
              </w:rPr>
            </w:pPr>
            <w:r>
              <w:rPr>
                <w:rFonts w:hint="eastAsia" w:ascii="仿宋" w:hAnsi="仿宋" w:eastAsia="仿宋" w:cs="仿宋"/>
                <w:sz w:val="24"/>
              </w:rPr>
              <w:t xml:space="preserve">1.★设备关键芯片（主控CPU芯片）采用国产化芯片；</w:t>
            </w:r>
            <w:r/>
          </w:p>
          <w:p>
            <w:pPr>
              <w:jc w:val="left"/>
              <w:spacing w:line="360" w:lineRule="auto"/>
              <w:rPr>
                <w:rFonts w:ascii="仿宋" w:hAnsi="仿宋" w:eastAsia="仿宋" w:cs="仿宋"/>
                <w:sz w:val="24"/>
              </w:rPr>
            </w:pPr>
            <w:r>
              <w:rPr>
                <w:rFonts w:hint="eastAsia" w:ascii="仿宋" w:hAnsi="仿宋" w:eastAsia="仿宋" w:cs="仿宋"/>
                <w:sz w:val="24"/>
              </w:rPr>
              <w:t xml:space="preserve">2.支持IPv4/IPv6,支持SRv6协议；</w:t>
            </w:r>
            <w:r/>
          </w:p>
          <w:p>
            <w:pPr>
              <w:jc w:val="left"/>
              <w:spacing w:line="360" w:lineRule="auto"/>
              <w:rPr>
                <w:rFonts w:ascii="仿宋" w:hAnsi="仿宋" w:eastAsia="仿宋" w:cs="仿宋"/>
                <w:sz w:val="24"/>
              </w:rPr>
            </w:pPr>
            <w:r>
              <w:rPr>
                <w:rFonts w:hint="eastAsia" w:ascii="仿宋" w:hAnsi="仿宋" w:eastAsia="仿宋" w:cs="仿宋"/>
                <w:sz w:val="24"/>
              </w:rPr>
              <w:t xml:space="preserve">3.支持随流逐包的性能检测技术；</w:t>
            </w:r>
            <w:r/>
          </w:p>
          <w:p>
            <w:pPr>
              <w:jc w:val="left"/>
              <w:spacing w:line="360" w:lineRule="auto"/>
              <w:rPr>
                <w:rFonts w:ascii="仿宋" w:hAnsi="仿宋" w:eastAsia="仿宋" w:cs="仿宋"/>
                <w:sz w:val="24"/>
              </w:rPr>
            </w:pPr>
            <w:r>
              <w:rPr>
                <w:rFonts w:hint="eastAsia" w:ascii="仿宋" w:hAnsi="仿宋" w:eastAsia="仿宋" w:cs="仿宋"/>
                <w:sz w:val="24"/>
              </w:rPr>
              <w:t xml:space="preserve">4.支持IPv6协议的MTU值≥2000；</w:t>
            </w:r>
            <w:r/>
          </w:p>
          <w:p>
            <w:pPr>
              <w:jc w:val="left"/>
              <w:spacing w:line="360" w:lineRule="auto"/>
              <w:rPr>
                <w:rFonts w:ascii="仿宋" w:hAnsi="仿宋" w:eastAsia="仿宋" w:cs="仿宋"/>
                <w:sz w:val="24"/>
              </w:rPr>
            </w:pPr>
            <w:r>
              <w:rPr>
                <w:rFonts w:hint="eastAsia" w:ascii="仿宋" w:hAnsi="仿宋" w:eastAsia="仿宋" w:cs="仿宋"/>
                <w:sz w:val="24"/>
              </w:rPr>
              <w:t xml:space="preserve">5.★实配单电源，≥2个万兆光接口，≥4个千兆光接口，≥4个千兆电接口，单台配置≥2个10GE单模光模块（10KM），≥4个GE光模块（10KM）；</w:t>
            </w:r>
            <w:r/>
          </w:p>
          <w:p>
            <w:pPr>
              <w:jc w:val="left"/>
              <w:spacing w:line="360" w:lineRule="auto"/>
              <w:rPr>
                <w:rFonts w:ascii="仿宋" w:hAnsi="仿宋" w:eastAsia="仿宋" w:cs="仿宋"/>
                <w:sz w:val="24"/>
              </w:rPr>
            </w:pPr>
            <w:r>
              <w:rPr>
                <w:rFonts w:hint="eastAsia" w:ascii="仿宋" w:hAnsi="仿宋" w:eastAsia="仿宋" w:cs="仿宋"/>
                <w:sz w:val="24"/>
              </w:rPr>
              <w:t xml:space="preserve">6.★配置SRv6、VxLAN、L3VPN、EVPN、随流检测等授权，配置端口分片功能许可，配置网络控制器管控授权（含SRv6 Policy、随流检测功能、网络分片功能）。</w:t>
            </w:r>
            <w:r/>
          </w:p>
          <w:p>
            <w:pPr>
              <w:jc w:val="left"/>
              <w:spacing w:line="360" w:lineRule="auto"/>
              <w:rPr>
                <w:rFonts w:ascii="仿宋" w:hAnsi="仿宋" w:eastAsia="仿宋" w:cs="仿宋"/>
                <w:sz w:val="24"/>
              </w:rPr>
            </w:pPr>
            <w:r>
              <w:rPr>
                <w:rFonts w:hint="eastAsia" w:ascii="仿宋" w:hAnsi="仿宋" w:eastAsia="仿宋" w:cs="仿宋"/>
                <w:sz w:val="24"/>
              </w:rPr>
              <w:t xml:space="preserve">【投标人中标后签合同前须提供原厂商承诺函】</w:t>
            </w:r>
            <w:r/>
          </w:p>
        </w:tc>
      </w:tr>
      <w:tr>
        <w:trPr>
          <w:jc w:val="center"/>
          <w:trHeight w:val="567"/>
        </w:trPr>
        <w:tc>
          <w:tcPr>
            <w:shd w:val="clear" w:color="auto" w:fill="ffffff"/>
            <w:tcBorders>
              <w:top w:val="single" w:color="auto" w:sz="4" w:space="0"/>
              <w:left w:val="single" w:color="auto" w:sz="4" w:space="0"/>
              <w:bottom w:val="single" w:color="auto" w:sz="4" w:space="0"/>
              <w:right w:val="none" w:color="000000" w:sz="4" w:space="0"/>
            </w:tcBorders>
            <w:tcW w:w="1493"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服务要求</w:t>
            </w:r>
            <w:r/>
          </w:p>
        </w:tc>
        <w:tc>
          <w:tcPr>
            <w:shd w:val="clear" w:color="auto" w:fill="ffffff"/>
            <w:tcBorders>
              <w:top w:val="single" w:color="auto" w:sz="4" w:space="0"/>
              <w:left w:val="single" w:color="auto" w:sz="4" w:space="0"/>
              <w:bottom w:val="single" w:color="auto" w:sz="4" w:space="0"/>
              <w:right w:val="single" w:color="auto" w:sz="4" w:space="0"/>
            </w:tcBorders>
            <w:tcW w:w="7214" w:type="dxa"/>
            <w:textDirection w:val="lrTb"/>
            <w:noWrap w:val="false"/>
          </w:tcPr>
          <w:p>
            <w:pPr>
              <w:jc w:val="left"/>
              <w:spacing w:line="360" w:lineRule="auto"/>
              <w:rPr>
                <w:rFonts w:ascii="仿宋" w:hAnsi="仿宋" w:eastAsia="仿宋" w:cs="仿宋"/>
                <w:sz w:val="24"/>
              </w:rPr>
            </w:pPr>
            <w:r>
              <w:rPr>
                <w:rFonts w:hint="eastAsia" w:ascii="仿宋" w:hAnsi="仿宋" w:eastAsia="仿宋" w:cs="仿宋"/>
                <w:sz w:val="24"/>
              </w:rPr>
              <w:t xml:space="preserve">提供3年原厂硬件质保服务和软件升级服务。</w:t>
            </w:r>
            <w:r/>
          </w:p>
          <w:p>
            <w:pPr>
              <w:jc w:val="left"/>
              <w:spacing w:line="360" w:lineRule="auto"/>
              <w:rPr>
                <w:rFonts w:ascii="仿宋" w:hAnsi="仿宋" w:eastAsia="仿宋" w:cs="仿宋"/>
                <w:sz w:val="24"/>
              </w:rPr>
            </w:pPr>
            <w:r>
              <w:rPr>
                <w:rFonts w:hint="eastAsia" w:ascii="仿宋" w:hAnsi="仿宋" w:eastAsia="仿宋" w:cs="仿宋"/>
                <w:sz w:val="24"/>
              </w:rPr>
              <w:t xml:space="preserve">【</w:t>
            </w:r>
            <w:bookmarkStart w:id="114" w:name="OLE_LINK252"/>
            <w:r/>
            <w:bookmarkStart w:id="115" w:name="OLE_LINK253"/>
            <w:r>
              <w:rPr>
                <w:rFonts w:hint="eastAsia" w:ascii="仿宋" w:hAnsi="仿宋" w:eastAsia="仿宋" w:cs="仿宋"/>
                <w:sz w:val="24"/>
              </w:rPr>
              <w:t xml:space="preserve">投标人中标后</w:t>
            </w:r>
            <w:bookmarkEnd w:id="114"/>
            <w:r/>
            <w:bookmarkEnd w:id="115"/>
            <w:r>
              <w:rPr>
                <w:rFonts w:hint="eastAsia" w:ascii="仿宋" w:hAnsi="仿宋" w:eastAsia="仿宋" w:cs="仿宋"/>
                <w:sz w:val="24"/>
              </w:rPr>
              <w:t xml:space="preserve">签合同前须提供设备制造商质保授权函】</w:t>
            </w:r>
            <w:r/>
          </w:p>
        </w:tc>
      </w:tr>
    </w:tbl>
    <w:p>
      <w:pPr>
        <w:ind w:firstLine="480"/>
        <w:spacing w:line="360" w:lineRule="auto"/>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 三类单位中等性能接入路由器</w:t>
      </w:r>
      <w:r/>
    </w:p>
    <w:tbl>
      <w:tblPr>
        <w:tblW w:w="8700" w:type="dxa"/>
        <w:jc w:val="center"/>
        <w:tblLayout w:type="fixed"/>
        <w:tblCellMar>
          <w:left w:w="10" w:type="dxa"/>
          <w:right w:w="10" w:type="dxa"/>
        </w:tblCellMar>
        <w:tblLook w:val="04A0" w:firstRow="1" w:lastRow="0" w:firstColumn="1" w:lastColumn="0" w:noHBand="0" w:noVBand="1"/>
      </w:tblPr>
      <w:tblGrid>
        <w:gridCol w:w="1492"/>
        <w:gridCol w:w="7208"/>
      </w:tblGrid>
      <w:tr>
        <w:trPr>
          <w:jc w:val="center"/>
          <w:trHeight w:val="422" w:hRule="exact"/>
        </w:trPr>
        <w:tc>
          <w:tcPr>
            <w:shd w:val="clear" w:color="auto" w:fill="ffffff" w:themeFill="background1"/>
            <w:tcBorders>
              <w:top w:val="single" w:color="auto" w:sz="4" w:space="0"/>
              <w:left w:val="single" w:color="auto" w:sz="4" w:space="0"/>
              <w:bottom w:val="none" w:color="000000" w:sz="4" w:space="0"/>
              <w:right w:val="none" w:color="000000" w:sz="4" w:space="0"/>
            </w:tcBorders>
            <w:tcW w:w="1493" w:type="dxa"/>
            <w:vAlign w:val="bottom"/>
            <w:textDirection w:val="lrTb"/>
            <w:noWrap w:val="false"/>
          </w:tcPr>
          <w:p>
            <w:pPr>
              <w:jc w:val="center"/>
              <w:spacing w:line="360" w:lineRule="auto"/>
              <w:rPr>
                <w:rFonts w:ascii="仿宋" w:hAnsi="仿宋" w:eastAsia="仿宋" w:cs="仿宋"/>
                <w:b/>
                <w:bCs/>
                <w:sz w:val="24"/>
              </w:rPr>
            </w:pPr>
            <w:r>
              <w:rPr>
                <w:rFonts w:hint="eastAsia" w:ascii="仿宋" w:hAnsi="仿宋" w:eastAsia="仿宋" w:cs="仿宋"/>
                <w:b/>
                <w:bCs/>
                <w:sz w:val="24"/>
              </w:rPr>
              <w:t xml:space="preserve">指标项</w:t>
            </w:r>
            <w:r/>
          </w:p>
        </w:tc>
        <w:tc>
          <w:tcPr>
            <w:shd w:val="clear" w:color="auto" w:fill="ffffff" w:themeFill="background1"/>
            <w:tcBorders>
              <w:top w:val="single" w:color="auto" w:sz="4" w:space="0"/>
              <w:left w:val="single" w:color="auto" w:sz="4" w:space="0"/>
              <w:bottom w:val="none" w:color="000000" w:sz="4" w:space="0"/>
              <w:right w:val="single" w:color="auto" w:sz="4" w:space="0"/>
            </w:tcBorders>
            <w:tcW w:w="7214" w:type="dxa"/>
            <w:vAlign w:val="bottom"/>
            <w:textDirection w:val="lrTb"/>
            <w:noWrap w:val="false"/>
          </w:tcPr>
          <w:p>
            <w:pPr>
              <w:jc w:val="center"/>
              <w:spacing w:line="360" w:lineRule="auto"/>
              <w:rPr>
                <w:rFonts w:ascii="仿宋" w:hAnsi="仿宋" w:eastAsia="仿宋" w:cs="仿宋"/>
                <w:b/>
                <w:bCs/>
                <w:sz w:val="24"/>
              </w:rPr>
            </w:pPr>
            <w:r>
              <w:rPr>
                <w:rFonts w:hint="eastAsia" w:ascii="仿宋" w:hAnsi="仿宋" w:eastAsia="仿宋" w:cs="仿宋"/>
                <w:b/>
                <w:bCs/>
                <w:sz w:val="24"/>
              </w:rPr>
              <w:t xml:space="preserve">技术参数要求</w:t>
            </w:r>
            <w:r/>
          </w:p>
        </w:tc>
      </w:tr>
      <w:tr>
        <w:trPr>
          <w:jc w:val="center"/>
          <w:trHeight w:val="567"/>
        </w:trPr>
        <w:tc>
          <w:tcPr>
            <w:shd w:val="clear" w:color="auto" w:fill="ffffff"/>
            <w:tcBorders>
              <w:top w:val="single" w:color="auto" w:sz="4" w:space="0"/>
              <w:left w:val="single" w:color="auto" w:sz="4" w:space="0"/>
              <w:bottom w:val="single" w:color="auto" w:sz="4" w:space="0"/>
              <w:right w:val="none" w:color="000000" w:sz="4" w:space="0"/>
            </w:tcBorders>
            <w:tcW w:w="1493"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性能指标</w:t>
            </w:r>
            <w:r/>
          </w:p>
        </w:tc>
        <w:tc>
          <w:tcPr>
            <w:shd w:val="clear" w:color="auto" w:fill="ffffff"/>
            <w:tcBorders>
              <w:top w:val="single" w:color="auto" w:sz="4" w:space="0"/>
              <w:left w:val="single" w:color="auto" w:sz="4" w:space="0"/>
              <w:bottom w:val="single" w:color="auto" w:sz="4" w:space="0"/>
              <w:right w:val="single" w:color="auto" w:sz="4" w:space="0"/>
            </w:tcBorders>
            <w:tcW w:w="7214" w:type="dxa"/>
            <w:vAlign w:val="bottom"/>
            <w:textDirection w:val="lrTb"/>
            <w:noWrap w:val="false"/>
          </w:tcPr>
          <w:p>
            <w:pPr>
              <w:jc w:val="left"/>
              <w:spacing w:line="360" w:lineRule="auto"/>
              <w:rPr>
                <w:rFonts w:ascii="仿宋" w:hAnsi="仿宋" w:eastAsia="仿宋" w:cs="仿宋"/>
                <w:sz w:val="24"/>
              </w:rPr>
            </w:pPr>
            <w:r>
              <w:rPr>
                <w:rFonts w:hint="eastAsia" w:ascii="仿宋" w:hAnsi="仿宋" w:eastAsia="仿宋" w:cs="仿宋"/>
                <w:sz w:val="24"/>
              </w:rPr>
              <w:t xml:space="preserve">★交换容量≥100Gbps,包转发率≥100Mpps；【投标人中标后签合同前须提供原厂商承诺函】</w:t>
            </w:r>
            <w:r/>
          </w:p>
        </w:tc>
      </w:tr>
      <w:tr>
        <w:trPr>
          <w:jc w:val="center"/>
          <w:trHeight w:val="567"/>
        </w:trPr>
        <w:tc>
          <w:tcPr>
            <w:shd w:val="clear" w:color="auto" w:fill="ffffff"/>
            <w:tcBorders>
              <w:top w:val="single" w:color="auto" w:sz="4" w:space="0"/>
              <w:left w:val="single" w:color="auto" w:sz="4" w:space="0"/>
              <w:bottom w:val="single" w:color="auto" w:sz="4" w:space="0"/>
              <w:right w:val="none" w:color="000000" w:sz="4" w:space="0"/>
            </w:tcBorders>
            <w:tcW w:w="1493"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参数配置</w:t>
            </w:r>
            <w:r/>
          </w:p>
        </w:tc>
        <w:tc>
          <w:tcPr>
            <w:shd w:val="clear" w:color="auto" w:fill="ffffff"/>
            <w:tcBorders>
              <w:top w:val="single" w:color="auto" w:sz="4" w:space="0"/>
              <w:left w:val="single" w:color="auto" w:sz="4" w:space="0"/>
              <w:bottom w:val="single" w:color="auto" w:sz="4" w:space="0"/>
              <w:right w:val="single" w:color="auto" w:sz="4" w:space="0"/>
            </w:tcBorders>
            <w:tcW w:w="7214" w:type="dxa"/>
            <w:vAlign w:val="bottom"/>
            <w:textDirection w:val="lrTb"/>
            <w:noWrap w:val="false"/>
          </w:tcPr>
          <w:p>
            <w:pPr>
              <w:jc w:val="left"/>
              <w:spacing w:line="360" w:lineRule="auto"/>
              <w:rPr>
                <w:rFonts w:ascii="仿宋" w:hAnsi="仿宋" w:eastAsia="仿宋" w:cs="仿宋"/>
                <w:sz w:val="24"/>
              </w:rPr>
            </w:pPr>
            <w:r>
              <w:rPr>
                <w:rFonts w:hint="eastAsia" w:ascii="仿宋" w:hAnsi="仿宋" w:eastAsia="仿宋" w:cs="仿宋"/>
                <w:sz w:val="24"/>
              </w:rPr>
              <w:t xml:space="preserve">1.★设备关键芯片（主控CPU芯片）采用国产化芯片；</w:t>
            </w:r>
            <w:r/>
          </w:p>
          <w:p>
            <w:pPr>
              <w:jc w:val="left"/>
              <w:spacing w:line="360" w:lineRule="auto"/>
              <w:rPr>
                <w:rFonts w:ascii="仿宋" w:hAnsi="仿宋" w:eastAsia="仿宋" w:cs="仿宋"/>
                <w:sz w:val="24"/>
              </w:rPr>
            </w:pPr>
            <w:r>
              <w:rPr>
                <w:rFonts w:hint="eastAsia" w:ascii="仿宋" w:hAnsi="仿宋" w:eastAsia="仿宋" w:cs="仿宋"/>
                <w:sz w:val="24"/>
              </w:rPr>
              <w:t xml:space="preserve">2.支持IPv4/IPv6,支持SRv6协议；</w:t>
            </w:r>
            <w:r/>
          </w:p>
          <w:p>
            <w:pPr>
              <w:jc w:val="left"/>
              <w:spacing w:line="360" w:lineRule="auto"/>
              <w:rPr>
                <w:rFonts w:ascii="仿宋" w:hAnsi="仿宋" w:eastAsia="仿宋" w:cs="仿宋"/>
                <w:sz w:val="24"/>
              </w:rPr>
            </w:pPr>
            <w:r>
              <w:rPr>
                <w:rFonts w:hint="eastAsia" w:ascii="仿宋" w:hAnsi="仿宋" w:eastAsia="仿宋" w:cs="仿宋"/>
                <w:sz w:val="24"/>
              </w:rPr>
              <w:t xml:space="preserve">3.支持随流逐包的性能检测技术；</w:t>
            </w:r>
            <w:r/>
          </w:p>
          <w:p>
            <w:pPr>
              <w:jc w:val="left"/>
              <w:spacing w:line="360" w:lineRule="auto"/>
              <w:rPr>
                <w:rFonts w:ascii="仿宋" w:hAnsi="仿宋" w:eastAsia="仿宋" w:cs="仿宋"/>
                <w:sz w:val="24"/>
              </w:rPr>
            </w:pPr>
            <w:r>
              <w:rPr>
                <w:rFonts w:hint="eastAsia" w:ascii="仿宋" w:hAnsi="仿宋" w:eastAsia="仿宋" w:cs="仿宋"/>
                <w:sz w:val="24"/>
              </w:rPr>
              <w:t xml:space="preserve">4.支持IPv6协议的MTU值≥2000；</w:t>
            </w:r>
            <w:r/>
          </w:p>
          <w:p>
            <w:pPr>
              <w:jc w:val="left"/>
              <w:spacing w:line="360" w:lineRule="auto"/>
              <w:rPr>
                <w:rFonts w:ascii="仿宋" w:hAnsi="仿宋" w:eastAsia="仿宋" w:cs="仿宋"/>
                <w:sz w:val="24"/>
              </w:rPr>
            </w:pPr>
            <w:r>
              <w:rPr>
                <w:rFonts w:hint="eastAsia" w:ascii="仿宋" w:hAnsi="仿宋" w:eastAsia="仿宋" w:cs="仿宋"/>
                <w:sz w:val="24"/>
              </w:rPr>
              <w:t xml:space="preserve">5.★实配单电源，≥4个千兆光接口，≥4个千兆电接口，单台配置≥2个GE单模光模块（10KM）；</w:t>
            </w:r>
            <w:r/>
          </w:p>
          <w:p>
            <w:pPr>
              <w:jc w:val="left"/>
              <w:spacing w:line="360" w:lineRule="auto"/>
              <w:rPr>
                <w:rFonts w:ascii="仿宋" w:hAnsi="仿宋" w:eastAsia="仿宋" w:cs="仿宋"/>
                <w:sz w:val="24"/>
              </w:rPr>
            </w:pPr>
            <w:r>
              <w:rPr>
                <w:rFonts w:hint="eastAsia" w:ascii="仿宋" w:hAnsi="仿宋" w:eastAsia="仿宋" w:cs="仿宋"/>
                <w:sz w:val="24"/>
              </w:rPr>
              <w:t xml:space="preserve">6.★配置SRv6、VxLAN、L3VPN、EVPN、随流检测等授权，配置端口分片功能许可，配置网络控制器管控授权（含 SRv6 Policy、随流检测功能、网络分片功能）。</w:t>
            </w:r>
            <w:r/>
          </w:p>
          <w:p>
            <w:pPr>
              <w:jc w:val="left"/>
              <w:spacing w:line="360" w:lineRule="auto"/>
              <w:rPr>
                <w:rFonts w:ascii="仿宋" w:hAnsi="仿宋" w:eastAsia="仿宋" w:cs="仿宋"/>
                <w:sz w:val="24"/>
              </w:rPr>
            </w:pPr>
            <w:r>
              <w:rPr>
                <w:rFonts w:hint="eastAsia" w:ascii="仿宋" w:hAnsi="仿宋" w:eastAsia="仿宋" w:cs="仿宋"/>
                <w:sz w:val="24"/>
              </w:rPr>
              <w:t xml:space="preserve">【投标人中标后</w:t>
            </w:r>
            <w:r>
              <w:rPr>
                <w:rFonts w:hint="eastAsia" w:ascii="仿宋" w:hAnsi="仿宋" w:eastAsia="仿宋" w:cs="仿宋"/>
                <w:bCs/>
                <w:color w:val="000000" w:themeColor="text1"/>
                <w:sz w:val="24"/>
              </w:rPr>
              <w:t xml:space="preserve">签合同前</w:t>
            </w:r>
            <w:r>
              <w:rPr>
                <w:rFonts w:hint="eastAsia" w:ascii="仿宋" w:hAnsi="仿宋" w:eastAsia="仿宋" w:cs="仿宋"/>
                <w:sz w:val="24"/>
              </w:rPr>
              <w:t xml:space="preserve">须提供原厂商承诺函】</w:t>
            </w:r>
            <w:r/>
          </w:p>
        </w:tc>
      </w:tr>
      <w:tr>
        <w:trPr>
          <w:jc w:val="center"/>
          <w:trHeight w:val="567"/>
        </w:trPr>
        <w:tc>
          <w:tcPr>
            <w:shd w:val="clear" w:color="auto" w:fill="ffffff"/>
            <w:tcBorders>
              <w:top w:val="single" w:color="auto" w:sz="4" w:space="0"/>
              <w:left w:val="single" w:color="auto" w:sz="4" w:space="0"/>
              <w:bottom w:val="single" w:color="auto" w:sz="4" w:space="0"/>
              <w:right w:val="none" w:color="000000" w:sz="4" w:space="0"/>
            </w:tcBorders>
            <w:tcW w:w="1493"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服务要求</w:t>
            </w:r>
            <w:r/>
          </w:p>
        </w:tc>
        <w:tc>
          <w:tcPr>
            <w:shd w:val="clear" w:color="auto" w:fill="ffffff"/>
            <w:tcBorders>
              <w:top w:val="single" w:color="auto" w:sz="4" w:space="0"/>
              <w:left w:val="single" w:color="auto" w:sz="4" w:space="0"/>
              <w:bottom w:val="single" w:color="auto" w:sz="4" w:space="0"/>
              <w:right w:val="single" w:color="auto" w:sz="4" w:space="0"/>
            </w:tcBorders>
            <w:tcW w:w="7214" w:type="dxa"/>
            <w:textDirection w:val="lrTb"/>
            <w:noWrap w:val="false"/>
          </w:tcPr>
          <w:p>
            <w:pPr>
              <w:jc w:val="left"/>
              <w:spacing w:line="360" w:lineRule="auto"/>
              <w:rPr>
                <w:rFonts w:ascii="仿宋" w:hAnsi="仿宋" w:eastAsia="仿宋" w:cs="仿宋"/>
                <w:sz w:val="24"/>
              </w:rPr>
            </w:pPr>
            <w:r>
              <w:rPr>
                <w:rFonts w:hint="eastAsia" w:ascii="仿宋" w:hAnsi="仿宋" w:eastAsia="仿宋" w:cs="仿宋"/>
                <w:sz w:val="24"/>
              </w:rPr>
              <w:t xml:space="preserve">提供3年原厂硬件质保服务和软件升级服务。</w:t>
            </w:r>
            <w:r/>
          </w:p>
          <w:p>
            <w:pPr>
              <w:jc w:val="left"/>
              <w:spacing w:line="360" w:lineRule="auto"/>
              <w:rPr>
                <w:rFonts w:ascii="仿宋" w:hAnsi="仿宋" w:eastAsia="仿宋" w:cs="仿宋"/>
                <w:sz w:val="24"/>
              </w:rPr>
            </w:pPr>
            <w:r>
              <w:rPr>
                <w:rFonts w:hint="eastAsia" w:ascii="仿宋" w:hAnsi="仿宋" w:eastAsia="仿宋" w:cs="仿宋"/>
                <w:sz w:val="24"/>
              </w:rPr>
              <w:t xml:space="preserve">【投标人中标后</w:t>
            </w:r>
            <w:r>
              <w:rPr>
                <w:rFonts w:hint="eastAsia" w:ascii="仿宋" w:hAnsi="仿宋" w:eastAsia="仿宋" w:cs="仿宋"/>
                <w:bCs/>
                <w:color w:val="000000" w:themeColor="text1"/>
                <w:sz w:val="24"/>
              </w:rPr>
              <w:t xml:space="preserve">签合同前</w:t>
            </w:r>
            <w:r>
              <w:rPr>
                <w:rFonts w:hint="eastAsia" w:ascii="仿宋" w:hAnsi="仿宋" w:eastAsia="仿宋" w:cs="仿宋"/>
                <w:sz w:val="24"/>
              </w:rPr>
              <w:t xml:space="preserve">须提供设备制造商质保授权函】</w:t>
            </w:r>
            <w:r/>
          </w:p>
        </w:tc>
      </w:tr>
    </w:tbl>
    <w:p>
      <w:pPr>
        <w:ind w:firstLine="480"/>
        <w:spacing w:line="360" w:lineRule="auto"/>
        <w:rPr>
          <w:rFonts w:ascii="仿宋" w:hAnsi="仿宋" w:eastAsia="仿宋" w:cs="仿宋"/>
          <w:sz w:val="24"/>
        </w:rPr>
      </w:pPr>
      <w:r>
        <w:rPr>
          <w:rFonts w:hint="eastAsia" w:ascii="仿宋" w:hAnsi="仿宋" w:eastAsia="仿宋" w:cs="仿宋"/>
          <w:sz w:val="24"/>
        </w:rPr>
        <w:t xml:space="preserve">（三）投标文件要求</w:t>
      </w:r>
      <w:r/>
    </w:p>
    <w:p>
      <w:pPr>
        <w:ind w:firstLine="480"/>
        <w:spacing w:line="360" w:lineRule="auto"/>
        <w:rPr>
          <w:rFonts w:ascii="仿宋" w:hAnsi="仿宋" w:eastAsia="仿宋" w:cs="仿宋"/>
          <w:sz w:val="24"/>
        </w:rPr>
      </w:pPr>
      <w:r>
        <w:rPr>
          <w:rFonts w:hint="eastAsia" w:ascii="仿宋" w:hAnsi="仿宋" w:eastAsia="仿宋" w:cs="仿宋"/>
          <w:sz w:val="24"/>
        </w:rPr>
        <w:t xml:space="preserve">1、投标文件中提供《技术参数响应表》；</w:t>
      </w:r>
      <w:r/>
    </w:p>
    <w:p>
      <w:pPr>
        <w:ind w:firstLine="480"/>
        <w:spacing w:line="360" w:lineRule="auto"/>
        <w:rPr>
          <w:rFonts w:ascii="仿宋" w:hAnsi="仿宋" w:eastAsia="仿宋" w:cs="仿宋"/>
          <w:sz w:val="24"/>
        </w:rPr>
      </w:pPr>
      <w:r>
        <w:rPr>
          <w:rFonts w:hint="eastAsia" w:ascii="仿宋" w:hAnsi="仿宋" w:eastAsia="仿宋" w:cs="仿宋"/>
          <w:sz w:val="24"/>
        </w:rPr>
        <w:t xml:space="preserve">2、《技术参数响应表》对照以上要求进行逐项响应。</w:t>
      </w:r>
      <w:r/>
    </w:p>
    <w:p>
      <w:pPr>
        <w:ind w:firstLine="482"/>
        <w:spacing w:line="360" w:lineRule="auto"/>
        <w:rPr>
          <w:rFonts w:ascii="仿宋" w:hAnsi="仿宋" w:eastAsia="仿宋" w:cs="仿宋"/>
          <w:b/>
          <w:bCs/>
          <w:sz w:val="24"/>
        </w:rPr>
      </w:pPr>
      <w:r>
        <w:rPr>
          <w:rFonts w:hint="eastAsia" w:ascii="仿宋" w:hAnsi="仿宋" w:eastAsia="仿宋" w:cs="仿宋"/>
          <w:b/>
          <w:bCs/>
          <w:sz w:val="24"/>
        </w:rPr>
        <w:t xml:space="preserve">三、特别要求</w:t>
      </w:r>
      <w:r/>
    </w:p>
    <w:p>
      <w:pPr>
        <w:ind w:firstLine="480"/>
        <w:spacing w:line="360" w:lineRule="auto"/>
        <w:rPr>
          <w:rFonts w:ascii="仿宋" w:hAnsi="仿宋" w:eastAsia="仿宋" w:cs="仿宋"/>
          <w:strike/>
          <w:sz w:val="24"/>
        </w:rPr>
      </w:pPr>
      <w:r>
        <w:rPr>
          <w:rFonts w:hint="eastAsia" w:ascii="仿宋" w:hAnsi="仿宋" w:eastAsia="仿宋" w:cs="仿宋"/>
          <w:sz w:val="24"/>
        </w:rPr>
        <w:t xml:space="preserve">中标人所提供的路由器须支持被市级SDN平台纳管，实现全区网络编排协同、切片开通协同、故障定界协同、资源保障协同，以及业务端到端的管控。若路由设备无法纳管至市级SDN平台的，视为重大违约，中标人须承担给采购人造成的一切损失，并依法承担相应责任。</w:t>
      </w:r>
      <w:r/>
    </w:p>
    <w:p>
      <w:pPr>
        <w:ind w:firstLine="482"/>
        <w:spacing w:line="360" w:lineRule="auto"/>
        <w:rPr>
          <w:rFonts w:ascii="仿宋" w:hAnsi="仿宋" w:eastAsia="仿宋" w:cs="仿宋"/>
          <w:b/>
          <w:bCs/>
          <w:sz w:val="24"/>
        </w:rPr>
      </w:pPr>
      <w:r>
        <w:rPr>
          <w:rFonts w:hint="eastAsia" w:ascii="仿宋" w:hAnsi="仿宋" w:eastAsia="仿宋" w:cs="仿宋"/>
          <w:b/>
          <w:bCs/>
          <w:sz w:val="24"/>
        </w:rPr>
        <w:t xml:space="preserve">说明：上述“三、特别要求”为不允许偏离的实质性要求和条件，如有偏离，在符合性审查时按照投标无效处理。</w:t>
      </w:r>
      <w:r/>
    </w:p>
    <w:p>
      <w:pPr>
        <w:ind w:firstLine="482"/>
        <w:spacing w:line="360" w:lineRule="auto"/>
        <w:rPr>
          <w:rFonts w:ascii="仿宋" w:hAnsi="仿宋" w:eastAsia="仿宋" w:cs="仿宋"/>
          <w:b/>
          <w:bCs/>
          <w:sz w:val="24"/>
        </w:rPr>
      </w:pPr>
      <w:r>
        <w:rPr>
          <w:rFonts w:hint="eastAsia" w:ascii="仿宋" w:hAnsi="仿宋" w:eastAsia="仿宋" w:cs="仿宋"/>
          <w:b/>
          <w:bCs/>
          <w:sz w:val="24"/>
        </w:rPr>
        <w:t xml:space="preserve">四、技术培训要求</w:t>
      </w:r>
      <w:r/>
    </w:p>
    <w:p>
      <w:pPr>
        <w:ind w:firstLine="480"/>
        <w:spacing w:line="360" w:lineRule="auto"/>
        <w:rPr>
          <w:rFonts w:ascii="仿宋" w:hAnsi="仿宋" w:eastAsia="仿宋" w:cs="仿宋"/>
          <w:sz w:val="24"/>
        </w:rPr>
      </w:pPr>
      <w:r>
        <w:rPr>
          <w:rFonts w:hint="eastAsia" w:ascii="仿宋" w:hAnsi="仿宋" w:eastAsia="仿宋" w:cs="仿宋"/>
          <w:sz w:val="24"/>
        </w:rPr>
        <w:t xml:space="preserve">（一）培训基本要求</w:t>
      </w:r>
      <w:r/>
    </w:p>
    <w:p>
      <w:pPr>
        <w:ind w:firstLine="480"/>
        <w:spacing w:line="360" w:lineRule="auto"/>
        <w:rPr>
          <w:rFonts w:ascii="仿宋" w:hAnsi="仿宋" w:eastAsia="仿宋" w:cs="仿宋"/>
          <w:sz w:val="24"/>
        </w:rPr>
      </w:pPr>
      <w:r>
        <w:rPr>
          <w:rFonts w:hint="eastAsia" w:ascii="仿宋" w:hAnsi="仿宋" w:eastAsia="仿宋" w:cs="仿宋"/>
          <w:sz w:val="24"/>
        </w:rPr>
        <w:t xml:space="preserve">1.投标人应在投标文件中提交培训计划书，培训内容，详细的课程安排及时间表。</w:t>
      </w:r>
      <w:r/>
    </w:p>
    <w:p>
      <w:pPr>
        <w:ind w:firstLine="480"/>
        <w:spacing w:line="360" w:lineRule="auto"/>
        <w:rPr>
          <w:rFonts w:ascii="仿宋" w:hAnsi="仿宋" w:eastAsia="仿宋" w:cs="仿宋"/>
          <w:sz w:val="24"/>
        </w:rPr>
      </w:pPr>
      <w:r>
        <w:rPr>
          <w:rFonts w:hint="eastAsia" w:ascii="仿宋" w:hAnsi="仿宋" w:eastAsia="仿宋" w:cs="仿宋"/>
          <w:sz w:val="24"/>
        </w:rPr>
        <w:t xml:space="preserve">2.投标人须提供现场培训。培训内容应包括技能培训和技术研讨两个方面。</w:t>
      </w:r>
      <w:r/>
    </w:p>
    <w:p>
      <w:pPr>
        <w:ind w:firstLine="480"/>
        <w:spacing w:line="360" w:lineRule="auto"/>
        <w:rPr>
          <w:rFonts w:ascii="仿宋" w:hAnsi="仿宋" w:eastAsia="仿宋" w:cs="仿宋"/>
          <w:sz w:val="24"/>
        </w:rPr>
      </w:pPr>
      <w:r>
        <w:rPr>
          <w:rFonts w:hint="eastAsia" w:ascii="仿宋" w:hAnsi="仿宋" w:eastAsia="仿宋" w:cs="仿宋"/>
          <w:sz w:val="24"/>
        </w:rPr>
        <w:t xml:space="preserve">3.投标人培训方式须按基本原理、安装操作、运行管理三个方面组织实施。</w:t>
      </w:r>
      <w:r/>
    </w:p>
    <w:p>
      <w:pPr>
        <w:ind w:firstLine="480"/>
        <w:spacing w:line="360" w:lineRule="auto"/>
        <w:rPr>
          <w:rFonts w:ascii="仿宋" w:hAnsi="仿宋" w:eastAsia="仿宋" w:cs="仿宋"/>
          <w:sz w:val="24"/>
        </w:rPr>
      </w:pPr>
      <w:r>
        <w:rPr>
          <w:rFonts w:hint="eastAsia" w:ascii="仿宋" w:hAnsi="仿宋" w:eastAsia="仿宋" w:cs="仿宋"/>
          <w:sz w:val="24"/>
        </w:rPr>
        <w:t xml:space="preserve">4.投标人应确保受训人员对系统基本原理、技术特性、操作规范、运行规程、管理维护等方面获得全面了解和掌握，使其能够胜任系统的全部运行、操作、故障分析处理、设备维修和保养等工作。</w:t>
      </w:r>
      <w:r/>
    </w:p>
    <w:p>
      <w:pPr>
        <w:ind w:firstLine="480"/>
        <w:spacing w:line="360" w:lineRule="auto"/>
        <w:rPr>
          <w:rFonts w:ascii="仿宋" w:hAnsi="仿宋" w:eastAsia="仿宋" w:cs="仿宋"/>
          <w:sz w:val="24"/>
        </w:rPr>
      </w:pPr>
      <w:r>
        <w:rPr>
          <w:rFonts w:hint="eastAsia" w:ascii="仿宋" w:hAnsi="仿宋" w:eastAsia="仿宋" w:cs="仿宋"/>
          <w:sz w:val="24"/>
        </w:rPr>
        <w:t xml:space="preserve">5.培训费用包含在投标报价内。</w:t>
      </w:r>
      <w:r/>
    </w:p>
    <w:p>
      <w:pPr>
        <w:ind w:firstLine="480"/>
        <w:spacing w:line="360" w:lineRule="auto"/>
        <w:rPr>
          <w:rFonts w:ascii="仿宋" w:hAnsi="仿宋" w:eastAsia="仿宋" w:cs="仿宋"/>
          <w:sz w:val="24"/>
        </w:rPr>
      </w:pPr>
      <w:r>
        <w:rPr>
          <w:rFonts w:hint="eastAsia" w:ascii="仿宋" w:hAnsi="仿宋" w:eastAsia="仿宋" w:cs="仿宋"/>
          <w:sz w:val="24"/>
        </w:rPr>
        <w:t xml:space="preserve">（二）培训内容要求主要内容包括但不限于：本次项目中系统涉及单位管理员操作培训，系统管理员操作培训。技能培训可采用现场培训、集中培训等形式。</w:t>
      </w:r>
      <w:r/>
    </w:p>
    <w:p>
      <w:pPr>
        <w:ind w:firstLine="480"/>
        <w:spacing w:line="360" w:lineRule="auto"/>
        <w:rPr>
          <w:rFonts w:ascii="仿宋" w:hAnsi="仿宋" w:eastAsia="仿宋" w:cs="仿宋"/>
          <w:sz w:val="24"/>
        </w:rPr>
      </w:pPr>
      <w:r>
        <w:rPr>
          <w:rFonts w:hint="eastAsia" w:ascii="仿宋" w:hAnsi="仿宋" w:eastAsia="仿宋" w:cs="仿宋"/>
          <w:sz w:val="24"/>
        </w:rPr>
        <w:t xml:space="preserve">（三）培训方式要求</w:t>
      </w:r>
      <w:r/>
    </w:p>
    <w:p>
      <w:pPr>
        <w:ind w:firstLine="480"/>
        <w:spacing w:line="360" w:lineRule="auto"/>
        <w:rPr>
          <w:rFonts w:ascii="仿宋" w:hAnsi="仿宋" w:eastAsia="仿宋" w:cs="仿宋"/>
          <w:sz w:val="24"/>
        </w:rPr>
      </w:pPr>
      <w:r>
        <w:rPr>
          <w:rFonts w:hint="eastAsia" w:ascii="仿宋" w:hAnsi="仿宋" w:eastAsia="仿宋" w:cs="仿宋"/>
          <w:sz w:val="24"/>
        </w:rPr>
        <w:t xml:space="preserve">1.现场培训：提供免费现场培训，人数不限。通过在使用现场集中讲解与操作，确保受训人员对系统基本原理、技术特性、操作规范、运行规程、管理维护等方面获得全面了解和掌握，使其能够胜任系统的全部运行、操作、故障分析处理、设备维修和保养等工作。</w:t>
      </w:r>
      <w:r/>
    </w:p>
    <w:p>
      <w:pPr>
        <w:ind w:firstLine="480"/>
        <w:spacing w:line="360" w:lineRule="auto"/>
        <w:rPr>
          <w:rFonts w:ascii="仿宋" w:hAnsi="仿宋" w:eastAsia="仿宋" w:cs="仿宋"/>
          <w:sz w:val="24"/>
        </w:rPr>
      </w:pPr>
      <w:r>
        <w:rPr>
          <w:rFonts w:hint="eastAsia" w:ascii="仿宋" w:hAnsi="仿宋" w:eastAsia="仿宋" w:cs="仿宋"/>
          <w:sz w:val="24"/>
        </w:rPr>
        <w:t xml:space="preserve">2.集中培训：应预先制定周密的培训计划，列出详细课程安排及拟投入的教师资质，配备足量的合格教师与教材讲义。</w:t>
      </w:r>
      <w:r/>
    </w:p>
    <w:p>
      <w:pPr>
        <w:ind w:firstLine="480"/>
        <w:spacing w:line="360" w:lineRule="auto"/>
        <w:rPr>
          <w:rFonts w:ascii="仿宋" w:hAnsi="仿宋" w:eastAsia="仿宋" w:cs="仿宋"/>
          <w:sz w:val="24"/>
        </w:rPr>
      </w:pPr>
      <w:r>
        <w:rPr>
          <w:rFonts w:hint="eastAsia" w:ascii="仿宋" w:hAnsi="仿宋" w:eastAsia="仿宋" w:cs="仿宋"/>
          <w:sz w:val="24"/>
        </w:rPr>
        <w:t xml:space="preserve">（四）投标文件要求</w:t>
      </w:r>
      <w:r/>
    </w:p>
    <w:p>
      <w:pPr>
        <w:ind w:firstLine="480"/>
        <w:spacing w:line="360" w:lineRule="auto"/>
        <w:rPr>
          <w:rFonts w:ascii="仿宋" w:hAnsi="仿宋" w:eastAsia="仿宋" w:cs="仿宋"/>
          <w:sz w:val="24"/>
        </w:rPr>
      </w:pPr>
      <w:r>
        <w:rPr>
          <w:rFonts w:hint="eastAsia" w:ascii="仿宋" w:hAnsi="仿宋" w:eastAsia="仿宋" w:cs="仿宋"/>
          <w:sz w:val="24"/>
        </w:rPr>
        <w:t xml:space="preserve">1.投标文件中提供《</w:t>
      </w:r>
      <w:bookmarkStart w:id="116" w:name="OLE_LINK8"/>
      <w:r/>
      <w:bookmarkStart w:id="117" w:name="OLE_LINK10"/>
      <w:r>
        <w:rPr>
          <w:rFonts w:hint="eastAsia" w:ascii="仿宋" w:hAnsi="仿宋" w:eastAsia="仿宋" w:cs="仿宋"/>
          <w:sz w:val="24"/>
        </w:rPr>
        <w:t xml:space="preserve">技术</w:t>
      </w:r>
      <w:bookmarkEnd w:id="116"/>
      <w:r/>
      <w:bookmarkEnd w:id="117"/>
      <w:r>
        <w:rPr>
          <w:rFonts w:hint="eastAsia" w:ascii="仿宋" w:hAnsi="仿宋" w:eastAsia="仿宋" w:cs="仿宋"/>
          <w:sz w:val="24"/>
        </w:rPr>
        <w:t xml:space="preserve">培训方案》；</w:t>
      </w:r>
      <w:r/>
    </w:p>
    <w:p>
      <w:pPr>
        <w:ind w:firstLine="480"/>
        <w:spacing w:line="360" w:lineRule="auto"/>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技术</w:t>
      </w:r>
      <w:r>
        <w:rPr>
          <w:rFonts w:hint="eastAsia" w:ascii="仿宋" w:hAnsi="仿宋" w:eastAsia="仿宋" w:cs="仿宋"/>
          <w:sz w:val="24"/>
        </w:rPr>
        <w:t xml:space="preserve">培训方案》对照以上“培训具体要求”编制。《技术培训方案》包含但不限于培训基本方案、培训内容、培训方式等。</w:t>
      </w:r>
      <w:r/>
    </w:p>
    <w:p>
      <w:pPr>
        <w:ind w:firstLine="482"/>
        <w:spacing w:line="360" w:lineRule="auto"/>
        <w:rPr>
          <w:rFonts w:ascii="仿宋" w:hAnsi="仿宋" w:eastAsia="仿宋" w:cs="仿宋"/>
          <w:b/>
          <w:bCs/>
          <w:sz w:val="24"/>
        </w:rPr>
      </w:pPr>
      <w:r>
        <w:rPr>
          <w:rFonts w:hint="eastAsia" w:ascii="仿宋" w:hAnsi="仿宋" w:eastAsia="仿宋" w:cs="仿宋"/>
          <w:b/>
          <w:bCs/>
          <w:sz w:val="24"/>
        </w:rPr>
        <w:t xml:space="preserve">五、其他要求</w:t>
      </w:r>
      <w:r/>
    </w:p>
    <w:p>
      <w:pPr>
        <w:ind w:firstLine="480"/>
        <w:spacing w:line="360" w:lineRule="auto"/>
        <w:rPr>
          <w:rFonts w:ascii="仿宋" w:hAnsi="仿宋" w:eastAsia="仿宋" w:cs="仿宋"/>
          <w:sz w:val="24"/>
        </w:rPr>
      </w:pPr>
      <w:r>
        <w:rPr>
          <w:rFonts w:hint="eastAsia" w:ascii="仿宋" w:hAnsi="仿宋" w:eastAsia="仿宋" w:cs="仿宋"/>
          <w:sz w:val="24"/>
        </w:rPr>
        <w:t xml:space="preserve">（一）项目服务期限：自合同签订之日起30日内，中标人具备初次交付能力后，书面向采购人申请初验，初验合格后服务3年。</w:t>
      </w:r>
      <w:r/>
    </w:p>
    <w:p>
      <w:pPr>
        <w:ind w:firstLine="482"/>
        <w:spacing w:line="360" w:lineRule="auto"/>
        <w:rPr>
          <w:rFonts w:ascii="仿宋" w:hAnsi="仿宋" w:eastAsia="仿宋" w:cs="仿宋"/>
          <w:b/>
          <w:bCs/>
          <w:sz w:val="24"/>
        </w:rPr>
      </w:pPr>
      <w:r>
        <w:rPr>
          <w:rFonts w:hint="eastAsia" w:ascii="仿宋" w:hAnsi="仿宋" w:eastAsia="仿宋" w:cs="仿宋"/>
          <w:b/>
          <w:bCs/>
          <w:sz w:val="24"/>
        </w:rPr>
        <w:t xml:space="preserve">说明：本“项目服务期限”为不允许偏离的实质性要求和条件，如有偏离， 在符合性审查时按照投标无效处理。</w:t>
      </w:r>
      <w:r/>
    </w:p>
    <w:p>
      <w:pPr>
        <w:ind w:firstLine="480"/>
        <w:spacing w:line="360" w:lineRule="auto"/>
        <w:rPr>
          <w:rFonts w:ascii="仿宋" w:hAnsi="仿宋" w:eastAsia="仿宋" w:cs="仿宋"/>
          <w:sz w:val="24"/>
        </w:rPr>
      </w:pPr>
      <w:r>
        <w:rPr>
          <w:rFonts w:hint="eastAsia" w:ascii="仿宋" w:hAnsi="仿宋" w:eastAsia="仿宋" w:cs="仿宋"/>
          <w:sz w:val="24"/>
        </w:rPr>
        <w:t xml:space="preserve">（二）付款方式: 见招标文件第五章《拟签订的合同文本》中“三、合同价</w:t>
      </w:r>
      <w:r>
        <w:rPr>
          <w:rFonts w:hint="eastAsia" w:ascii="仿宋" w:hAnsi="仿宋" w:eastAsia="仿宋" w:cs="仿宋"/>
          <w:sz w:val="24"/>
        </w:rPr>
        <w:t xml:space="preserve">款”及“四、款项结算”。</w:t>
      </w:r>
      <w:r/>
    </w:p>
    <w:p>
      <w:pPr>
        <w:ind w:firstLine="482"/>
        <w:spacing w:line="360" w:lineRule="auto"/>
        <w:rPr>
          <w:rFonts w:ascii="仿宋" w:hAnsi="仿宋" w:eastAsia="仿宋" w:cs="仿宋"/>
          <w:b/>
          <w:bCs/>
          <w:sz w:val="24"/>
        </w:rPr>
      </w:pPr>
      <w:r>
        <w:rPr>
          <w:rFonts w:hint="eastAsia" w:ascii="仿宋" w:hAnsi="仿宋" w:eastAsia="仿宋" w:cs="仿宋"/>
          <w:b/>
          <w:bCs/>
          <w:sz w:val="24"/>
        </w:rPr>
        <w:t xml:space="preserve">说明：本“付款方式”为不允许偏离的实质性要求和条件，如有偏离，在符合性审查时按照投标无效处理。</w:t>
      </w:r>
      <w:r/>
    </w:p>
    <w:p>
      <w:pPr>
        <w:ind w:firstLine="480"/>
        <w:spacing w:line="360" w:lineRule="auto"/>
        <w:rPr>
          <w:rFonts w:ascii="仿宋" w:hAnsi="仿宋" w:eastAsia="仿宋" w:cs="仿宋"/>
          <w:sz w:val="24"/>
        </w:rPr>
      </w:pPr>
      <w:r>
        <w:rPr>
          <w:rFonts w:hint="eastAsia" w:ascii="仿宋" w:hAnsi="仿宋" w:eastAsia="仿宋" w:cs="仿宋"/>
          <w:sz w:val="24"/>
        </w:rPr>
        <w:t xml:space="preserve">（三）验收标准与要求:见招标文件第五章《拟签订的合同文本》中“七、服务考核与验收”。</w:t>
      </w:r>
      <w:r/>
    </w:p>
    <w:p>
      <w:pPr>
        <w:ind w:firstLine="480"/>
        <w:spacing w:line="360" w:lineRule="auto"/>
        <w:rPr>
          <w:rFonts w:ascii="仿宋" w:hAnsi="仿宋" w:eastAsia="仿宋" w:cs="仿宋"/>
          <w:sz w:val="24"/>
        </w:rPr>
      </w:pPr>
      <w:r>
        <w:rPr>
          <w:rFonts w:hint="eastAsia" w:ascii="仿宋" w:hAnsi="仿宋" w:eastAsia="仿宋" w:cs="仿宋"/>
          <w:sz w:val="24"/>
        </w:rPr>
        <w:t xml:space="preserve">（四）投标人评价要求</w:t>
      </w:r>
      <w:r/>
    </w:p>
    <w:p>
      <w:pPr>
        <w:ind w:firstLine="480"/>
        <w:spacing w:line="360" w:lineRule="auto"/>
        <w:rPr>
          <w:rFonts w:ascii="仿宋" w:hAnsi="仿宋" w:eastAsia="仿宋" w:cs="仿宋"/>
          <w:sz w:val="24"/>
        </w:rPr>
      </w:pPr>
      <w:r>
        <w:rPr>
          <w:rFonts w:hint="eastAsia" w:ascii="仿宋" w:hAnsi="仿宋" w:eastAsia="仿宋" w:cs="仿宋"/>
          <w:sz w:val="24"/>
        </w:rPr>
        <w:t xml:space="preserve">详见招标文件第四章《评标标准》。</w:t>
      </w:r>
      <w:r/>
    </w:p>
    <w:p>
      <w:pPr>
        <w:ind w:firstLine="482"/>
        <w:spacing w:line="360" w:lineRule="auto"/>
        <w:rPr>
          <w:rFonts w:ascii="仿宋" w:hAnsi="仿宋" w:eastAsia="仿宋" w:cs="仿宋"/>
          <w:b/>
          <w:bCs/>
          <w:sz w:val="24"/>
        </w:rPr>
      </w:pPr>
      <w:r>
        <w:rPr>
          <w:rFonts w:hint="eastAsia" w:ascii="仿宋" w:hAnsi="仿宋" w:eastAsia="仿宋" w:cs="仿宋"/>
          <w:b/>
          <w:bCs/>
          <w:sz w:val="24"/>
        </w:rPr>
        <w:t xml:space="preserve">六、关于投标报价的相关说明</w:t>
      </w:r>
      <w:r/>
    </w:p>
    <w:p>
      <w:pPr>
        <w:ind w:firstLine="480"/>
        <w:spacing w:line="360" w:lineRule="auto"/>
        <w:rPr>
          <w:rFonts w:ascii="仿宋" w:hAnsi="仿宋" w:eastAsia="仿宋" w:cs="仿宋"/>
          <w:sz w:val="24"/>
        </w:rPr>
      </w:pPr>
      <w:r>
        <w:rPr>
          <w:rFonts w:hint="eastAsia" w:ascii="仿宋" w:hAnsi="仿宋" w:eastAsia="仿宋" w:cs="仿宋"/>
          <w:sz w:val="24"/>
        </w:rPr>
        <w:t xml:space="preserve">（一）本项目不接受超过125.65万元（项目预算金额）的投标报价。</w:t>
      </w:r>
      <w:r/>
    </w:p>
    <w:p>
      <w:pPr>
        <w:ind w:firstLine="480"/>
        <w:spacing w:line="360" w:lineRule="auto"/>
        <w:rPr>
          <w:rFonts w:ascii="仿宋" w:hAnsi="仿宋" w:eastAsia="仿宋" w:cs="仿宋"/>
          <w:sz w:val="24"/>
        </w:rPr>
      </w:pPr>
      <w:r>
        <w:rPr>
          <w:rFonts w:hint="eastAsia" w:ascii="仿宋" w:hAnsi="仿宋" w:eastAsia="仿宋" w:cs="仿宋"/>
          <w:sz w:val="24"/>
        </w:rPr>
        <w:t xml:space="preserve">（二）报价需充分考虑经开区新一代电子政务外网项目期限（合同期限）内的市场因素和成本变化状况的风险。</w:t>
      </w:r>
      <w:r/>
    </w:p>
    <w:p>
      <w:pPr>
        <w:ind w:firstLine="480"/>
        <w:spacing w:line="360" w:lineRule="auto"/>
        <w:rPr>
          <w:rFonts w:ascii="仿宋" w:hAnsi="仿宋" w:eastAsia="仿宋" w:cs="仿宋"/>
          <w:sz w:val="24"/>
        </w:rPr>
      </w:pPr>
      <w:r>
        <w:rPr>
          <w:rFonts w:hint="eastAsia" w:ascii="仿宋" w:hAnsi="仿宋" w:eastAsia="仿宋" w:cs="仿宋"/>
          <w:sz w:val="24"/>
        </w:rPr>
        <w:t xml:space="preserve">（三）采购人不支付报价以外的任何费用。</w:t>
      </w:r>
      <w:r/>
    </w:p>
    <w:p>
      <w:pPr>
        <w:ind w:firstLine="480"/>
        <w:spacing w:line="360" w:lineRule="auto"/>
        <w:rPr>
          <w:rFonts w:ascii="仿宋" w:hAnsi="仿宋" w:eastAsia="仿宋" w:cs="仿宋"/>
          <w:sz w:val="24"/>
        </w:rPr>
      </w:pPr>
      <w:r>
        <w:rPr>
          <w:rFonts w:hint="eastAsia" w:ascii="仿宋" w:hAnsi="仿宋" w:eastAsia="仿宋" w:cs="仿宋"/>
          <w:sz w:val="24"/>
        </w:rPr>
        <w:t xml:space="preserve">（四）建设和对接过程中产生的人力物力、协调配合、检测费用、验收费用等所有相关费用均由中标人承担。</w:t>
      </w:r>
      <w:r/>
    </w:p>
    <w:p>
      <w:pPr>
        <w:ind w:firstLine="480"/>
        <w:spacing w:line="360" w:lineRule="auto"/>
        <w:rPr>
          <w:rFonts w:ascii="仿宋" w:hAnsi="仿宋" w:eastAsia="仿宋" w:cs="仿宋"/>
          <w:sz w:val="24"/>
        </w:rPr>
      </w:pPr>
      <w:r>
        <w:rPr>
          <w:rFonts w:hint="eastAsia" w:ascii="仿宋" w:hAnsi="仿宋" w:eastAsia="仿宋" w:cs="仿宋"/>
          <w:sz w:val="24"/>
        </w:rPr>
        <w:t xml:space="preserve">（五）投标报价一次报定,投标人的投标报价在合同执行过程中是固定的，不得以任何理由予以变更。投标报价为最终报价，投标人不得再要求追加任何费用。同时，除非合同条款中另有规定，否则，投标人所报价格在合同实施期间不因市场变化因素而变动,政策性条款例外。</w:t>
      </w:r>
      <w:r/>
    </w:p>
    <w:p>
      <w:pPr>
        <w:ind w:firstLine="482"/>
        <w:spacing w:line="360" w:lineRule="auto"/>
        <w:rPr>
          <w:rFonts w:ascii="仿宋" w:hAnsi="仿宋" w:eastAsia="仿宋" w:cs="仿宋"/>
          <w:b/>
          <w:bCs/>
          <w:sz w:val="24"/>
        </w:rPr>
      </w:pPr>
      <w:r>
        <w:rPr>
          <w:rFonts w:hint="eastAsia" w:ascii="仿宋" w:hAnsi="仿宋" w:eastAsia="仿宋" w:cs="仿宋"/>
          <w:b/>
          <w:bCs/>
          <w:sz w:val="24"/>
        </w:rPr>
        <w:t xml:space="preserve">说明：本“关于投标报价的相关说明”为不允许偏离的实质性要求和条件，如有偏离，在符合性审查时按照投标无效处理。</w:t>
      </w:r>
      <w:r/>
    </w:p>
    <w:p>
      <w:pPr>
        <w:ind w:firstLine="240"/>
        <w:spacing w:line="360" w:lineRule="auto"/>
        <w:rPr>
          <w:rFonts w:ascii="仿宋" w:hAnsi="仿宋" w:eastAsia="仿宋" w:cs="仿宋"/>
          <w:sz w:val="24"/>
        </w:rPr>
      </w:pPr>
      <w:r>
        <w:rPr>
          <w:rFonts w:hint="eastAsia" w:ascii="仿宋" w:hAnsi="仿宋" w:eastAsia="仿宋" w:cs="仿宋"/>
          <w:bCs/>
          <w:sz w:val="24"/>
        </w:rPr>
        <w:t xml:space="preserve">   七、其他要求：见招标文件第五章《拟签订的合同文本》。</w:t>
      </w:r>
      <w:r/>
    </w:p>
    <w:p>
      <w:pPr>
        <w:pStyle w:val="746"/>
        <w:rPr>
          <w:rFonts w:ascii="仿宋" w:hAnsi="仿宋" w:eastAsia="仿宋"/>
          <w:sz w:val="21"/>
        </w:rPr>
      </w:pPr>
      <w:r>
        <w:rPr>
          <w:rFonts w:ascii="仿宋" w:hAnsi="仿宋" w:eastAsia="仿宋"/>
          <w:sz w:val="21"/>
        </w:rPr>
      </w:r>
      <w:bookmarkEnd w:id="89"/>
      <w:r/>
      <w:bookmarkEnd w:id="90"/>
      <w:r/>
      <w:bookmarkEnd w:id="91"/>
      <w:r/>
      <w:r/>
    </w:p>
    <w:p>
      <w:r/>
      <w:r/>
    </w:p>
    <w:p>
      <w:pPr>
        <w:ind w:firstLine="240"/>
        <w:spacing w:line="360" w:lineRule="auto"/>
        <w:rPr>
          <w:rFonts w:ascii="仿宋" w:hAnsi="仿宋" w:eastAsia="仿宋" w:cs="仿宋"/>
          <w:sz w:val="24"/>
        </w:rPr>
      </w:pPr>
      <w:r>
        <w:rPr>
          <w:rFonts w:ascii="仿宋" w:hAnsi="仿宋" w:eastAsia="仿宋" w:cs="仿宋"/>
          <w:sz w:val="24"/>
        </w:rPr>
      </w:r>
      <w:bookmarkEnd w:id="92"/>
      <w:r/>
      <w:bookmarkEnd w:id="93"/>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分项价格表</w:t>
      </w:r>
      <w:r/>
    </w:p>
    <w:p>
      <w:pPr>
        <w:rPr>
          <w:rFonts w:ascii="仿宋" w:hAnsi="仿宋" w:eastAsia="仿宋"/>
          <w:sz w:val="24"/>
        </w:rPr>
      </w:pPr>
      <w:r>
        <w:rPr>
          <w:rFonts w:hint="eastAsia" w:ascii="仿宋" w:hAnsi="仿宋" w:eastAsia="仿宋"/>
          <w:sz w:val="24"/>
        </w:rPr>
        <w:t xml:space="preserve">3. 偏离表</w:t>
      </w:r>
      <w:r/>
    </w:p>
    <w:p>
      <w:pPr>
        <w:rPr>
          <w:rFonts w:ascii="仿宋" w:hAnsi="仿宋" w:eastAsia="仿宋"/>
          <w:sz w:val="24"/>
        </w:rPr>
      </w:pPr>
      <w:r>
        <w:rPr>
          <w:rFonts w:hint="eastAsia" w:ascii="仿宋" w:hAnsi="仿宋" w:eastAsia="仿宋"/>
          <w:sz w:val="24"/>
        </w:rPr>
        <w:t xml:space="preserve">4．授权委托书</w:t>
      </w:r>
      <w:r/>
    </w:p>
    <w:p>
      <w:pPr>
        <w:rPr>
          <w:rFonts w:ascii="仿宋" w:hAnsi="仿宋" w:eastAsia="仿宋"/>
          <w:sz w:val="24"/>
        </w:rPr>
      </w:pPr>
      <w:r>
        <w:rPr>
          <w:rFonts w:hint="eastAsia" w:ascii="仿宋" w:hAnsi="仿宋" w:eastAsia="仿宋"/>
          <w:sz w:val="24"/>
        </w:rPr>
        <w:t xml:space="preserve">5. 中小企业声明函</w:t>
      </w:r>
      <w:r/>
    </w:p>
    <w:p>
      <w:pPr>
        <w:rPr>
          <w:rFonts w:ascii="仿宋" w:hAnsi="仿宋" w:eastAsia="仿宋"/>
          <w:sz w:val="24"/>
        </w:rPr>
      </w:pPr>
      <w:r>
        <w:rPr>
          <w:rFonts w:hint="eastAsia" w:ascii="仿宋" w:hAnsi="仿宋" w:eastAsia="仿宋"/>
          <w:sz w:val="24"/>
        </w:rPr>
        <w:t xml:space="preserve">6. 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 投标人书面声明</w:t>
      </w:r>
      <w:r/>
    </w:p>
    <w:p>
      <w:pPr>
        <w:rPr>
          <w:rFonts w:ascii="仿宋" w:hAnsi="仿宋" w:eastAsia="仿宋"/>
          <w:sz w:val="24"/>
        </w:rPr>
      </w:pPr>
      <w:r>
        <w:rPr>
          <w:rFonts w:hint="eastAsia" w:ascii="仿宋" w:hAnsi="仿宋" w:eastAsia="仿宋"/>
          <w:sz w:val="24"/>
        </w:rPr>
        <w:t xml:space="preserve">11. 采购需求符合性条件响应表</w:t>
      </w:r>
      <w:r/>
    </w:p>
    <w:p>
      <w:pPr>
        <w:pStyle w:val="746"/>
        <w:rPr>
          <w:rFonts w:ascii="Times New Roman" w:hAnsi="Times New Roman"/>
          <w:sz w:val="21"/>
        </w:rPr>
      </w:pPr>
      <w:r>
        <w:rPr>
          <w:rFonts w:ascii="Times New Roman" w:hAnsi="Times New Roman"/>
          <w:sz w:val="21"/>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pStyle w:val="746"/>
      </w:pPr>
      <w:r/>
      <w:r/>
    </w:p>
    <w:p>
      <w:r/>
      <w:r/>
    </w:p>
    <w:p>
      <w:pPr>
        <w:pStyle w:val="746"/>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rPr>
        <w:t xml:space="preserve">徐州经济技术开发区新一代电子政务外网服务</w:t>
      </w:r>
      <w:r>
        <w:rPr>
          <w:rFonts w:hint="eastAsia" w:ascii="仿宋" w:hAnsi="仿宋" w:eastAsia="仿宋"/>
          <w:sz w:val="24"/>
        </w:rPr>
        <w:t xml:space="preserve">项目[项目编号：</w:t>
      </w:r>
      <w:bookmarkStart w:id="118" w:name="OLE_LINK331"/>
      <w:r/>
      <w:bookmarkStart w:id="119" w:name="OLE_LINK332"/>
      <w:r>
        <w:rPr>
          <w:rFonts w:ascii="仿宋" w:hAnsi="仿宋" w:eastAsia="仿宋"/>
          <w:sz w:val="24"/>
          <w:u w:val="single"/>
        </w:rPr>
        <w:t xml:space="preserve">JSZC-320300-XZCG-G2026-0002</w:t>
      </w:r>
      <w:bookmarkEnd w:id="118"/>
      <w:r/>
      <w:bookmarkEnd w:id="119"/>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w:t>
      </w:r>
      <w:r>
        <w:rPr>
          <w:rFonts w:hint="eastAsia" w:ascii="仿宋" w:hAnsi="仿宋" w:eastAsia="仿宋"/>
          <w:sz w:val="24"/>
        </w:rPr>
        <w:t xml:space="preserve">件中的《中小企业声明函》（如有）、《残疾人福利性单位声明函》（如有）和《关于符合本国产品标准的声明函》（如有）或财政部会同有关部门规定的符合本国产品标准的有关证明文件（如有）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w:t>
      </w:r>
      <w:r>
        <w:rPr>
          <w:rFonts w:hint="eastAsia" w:ascii="仿宋" w:hAnsi="仿宋" w:eastAsia="仿宋" w:cs="宋体"/>
          <w:sz w:val="24"/>
        </w:rPr>
        <w:t xml:space="preserve">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2．分项价格表</w:t>
      </w:r>
      <w:r/>
    </w:p>
    <w:p>
      <w:pPr>
        <w:rPr>
          <w:rFonts w:ascii="仿宋" w:hAnsi="仿宋" w:eastAsia="仿宋"/>
          <w:sz w:val="24"/>
          <w:u w:val="single"/>
        </w:rPr>
      </w:pPr>
      <w:r/>
      <w:bookmarkStart w:id="120" w:name="OLE_LINK306"/>
      <w:r/>
      <w:bookmarkStart w:id="121" w:name="OLE_LINK305"/>
      <w:r>
        <w:rPr>
          <w:rFonts w:hint="eastAsia" w:ascii="仿宋" w:hAnsi="仿宋" w:eastAsia="仿宋"/>
          <w:sz w:val="24"/>
        </w:rPr>
        <w:t xml:space="preserve">项目名称：</w:t>
      </w:r>
      <w:r>
        <w:rPr>
          <w:rFonts w:hint="eastAsia" w:ascii="仿宋" w:hAnsi="仿宋" w:eastAsia="仿宋"/>
          <w:sz w:val="24"/>
          <w:u w:val="single"/>
        </w:rPr>
        <w:t xml:space="preserve">徐州经济技术开发区新一代电子政务外网服务</w:t>
      </w:r>
      <w:r/>
    </w:p>
    <w:p>
      <w:pPr>
        <w:rPr>
          <w:rFonts w:ascii="仿宋" w:hAnsi="仿宋" w:eastAsia="仿宋"/>
          <w:color w:val="ff0000"/>
          <w:sz w:val="24"/>
          <w:u w:val="single"/>
        </w:rPr>
      </w:pPr>
      <w:r>
        <w:rPr>
          <w:rFonts w:hint="eastAsia" w:ascii="仿宋" w:hAnsi="仿宋" w:eastAsia="仿宋"/>
          <w:sz w:val="24"/>
        </w:rPr>
        <w:t xml:space="preserve">项目编号：</w:t>
      </w:r>
      <w:bookmarkEnd w:id="120"/>
      <w:r/>
      <w:bookmarkEnd w:id="121"/>
      <w:r>
        <w:rPr>
          <w:rFonts w:hint="eastAsia" w:ascii="仿宋" w:hAnsi="仿宋" w:eastAsia="仿宋"/>
          <w:sz w:val="24"/>
          <w:u w:val="single"/>
        </w:rPr>
        <w:t xml:space="preserve">JSZC-320300-XZCG-G2026-0002</w:t>
      </w:r>
      <w:r/>
    </w:p>
    <w:p>
      <w:pPr>
        <w:jc w:val="left"/>
        <w:rPr>
          <w:rFonts w:ascii="仿宋" w:hAnsi="仿宋" w:eastAsia="仿宋"/>
          <w:sz w:val="24"/>
        </w:rPr>
      </w:pPr>
      <w:r>
        <w:rPr>
          <w:rFonts w:ascii="仿宋" w:hAnsi="仿宋" w:eastAsia="仿宋"/>
          <w:sz w:val="24"/>
        </w:rPr>
      </w:r>
      <w:r/>
    </w:p>
    <w:p>
      <w:r>
        <w:rPr>
          <w:rFonts w:hint="eastAsia" w:ascii="仿宋" w:hAnsi="仿宋" w:eastAsia="仿宋"/>
          <w:sz w:val="24"/>
        </w:rPr>
        <w:t xml:space="preserve">                                 货币单位：人民币元</w:t>
      </w:r>
      <w:r/>
    </w:p>
    <w:tbl>
      <w:tblPr>
        <w:tblpPr w:horzAnchor="page" w:tblpX="978" w:vertAnchor="text" w:tblpY="281" w:leftFromText="180" w:topFromText="0" w:rightFromText="180" w:bottomFromText="0"/>
        <w:tblW w:w="5650" w:type="pct"/>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6"/>
        <w:gridCol w:w="2797"/>
        <w:gridCol w:w="805"/>
        <w:gridCol w:w="910"/>
        <w:gridCol w:w="495"/>
        <w:gridCol w:w="535"/>
        <w:gridCol w:w="754"/>
        <w:gridCol w:w="842"/>
        <w:gridCol w:w="708"/>
        <w:gridCol w:w="838"/>
      </w:tblGrid>
      <w:tr>
        <w:trPr>
          <w:trHeight w:val="854"/>
          <w:tblHeader/>
        </w:trPr>
        <w:tc>
          <w:tcPr>
            <w:shd w:val="clear" w:color="auto" w:fill="c0c0c0"/>
            <w:tcBorders>
              <w:top w:val="single" w:color="000000" w:sz="8" w:space="0"/>
              <w:left w:val="single" w:color="000000" w:sz="8" w:space="0"/>
              <w:bottom w:val="single" w:color="000000" w:sz="4" w:space="0"/>
              <w:right w:val="single" w:color="000000" w:sz="4" w:space="0"/>
            </w:tcBorders>
            <w:tcMar>
              <w:left w:w="15" w:type="dxa"/>
              <w:top w:w="15" w:type="dxa"/>
              <w:right w:w="15" w:type="dxa"/>
              <w:bottom w:w="0" w:type="dxa"/>
            </w:tcMar>
            <w:tcW w:w="390" w:type="pct"/>
            <w:vAlign w:val="center"/>
            <w:textDirection w:val="lrTb"/>
            <w:noWrap w:val="false"/>
          </w:tcPr>
          <w:p>
            <w:pPr>
              <w:pStyle w:val="766"/>
              <w:rPr>
                <w:rFonts w:ascii="仿宋" w:hAnsi="仿宋" w:eastAsia="仿宋" w:cs="仿宋"/>
                <w:sz w:val="24"/>
              </w:rPr>
            </w:pPr>
            <w:r/>
            <w:bookmarkStart w:id="122" w:name="OLE_LINK308"/>
            <w:r/>
            <w:bookmarkStart w:id="123" w:name="OLE_LINK307"/>
            <w:r>
              <w:rPr>
                <w:rFonts w:hint="eastAsia" w:ascii="仿宋" w:hAnsi="仿宋" w:eastAsia="仿宋" w:cs="仿宋"/>
                <w:sz w:val="24"/>
              </w:rPr>
              <w:t xml:space="preserve">序号</w:t>
            </w:r>
            <w:r/>
          </w:p>
        </w:tc>
        <w:tc>
          <w:tcPr>
            <w:shd w:val="clear" w:color="auto" w:fill="c0c0c0"/>
            <w:tcBorders>
              <w:top w:val="single" w:color="000000" w:sz="8" w:space="0"/>
              <w:left w:val="single" w:color="000000" w:sz="4" w:space="0"/>
              <w:bottom w:val="single" w:color="000000" w:sz="4" w:space="0"/>
              <w:right w:val="single" w:color="000000" w:sz="4" w:space="0"/>
            </w:tcBorders>
            <w:tcMar>
              <w:left w:w="15" w:type="dxa"/>
              <w:top w:w="15" w:type="dxa"/>
              <w:right w:w="15" w:type="dxa"/>
              <w:bottom w:w="0" w:type="dxa"/>
            </w:tcMar>
            <w:tcW w:w="1484" w:type="pct"/>
            <w:vAlign w:val="center"/>
            <w:textDirection w:val="lrTb"/>
            <w:noWrap w:val="false"/>
          </w:tcPr>
          <w:p>
            <w:pPr>
              <w:pStyle w:val="766"/>
              <w:jc w:val="center"/>
              <w:rPr>
                <w:rFonts w:ascii="仿宋" w:hAnsi="仿宋" w:eastAsia="仿宋" w:cs="仿宋"/>
                <w:sz w:val="24"/>
              </w:rPr>
            </w:pPr>
            <w:r>
              <w:rPr>
                <w:rFonts w:hint="eastAsia" w:ascii="仿宋" w:hAnsi="仿宋" w:eastAsia="仿宋" w:cs="仿宋"/>
                <w:sz w:val="24"/>
              </w:rPr>
              <w:t xml:space="preserve">名称</w:t>
            </w:r>
            <w:r/>
          </w:p>
        </w:tc>
        <w:tc>
          <w:tcPr>
            <w:shd w:val="clear" w:color="auto" w:fill="c0c0c0"/>
            <w:tcBorders>
              <w:top w:val="single" w:color="000000" w:sz="8" w:space="0"/>
              <w:left w:val="single" w:color="000000" w:sz="4" w:space="0"/>
              <w:bottom w:val="single" w:color="000000" w:sz="4" w:space="0"/>
              <w:right w:val="single" w:color="000000" w:sz="4" w:space="0"/>
            </w:tcBorders>
            <w:tcMar>
              <w:left w:w="15" w:type="dxa"/>
              <w:top w:w="15" w:type="dxa"/>
              <w:right w:w="15" w:type="dxa"/>
              <w:bottom w:w="0" w:type="dxa"/>
            </w:tcMar>
            <w:tcW w:w="425" w:type="pct"/>
            <w:vAlign w:val="center"/>
            <w:textDirection w:val="lrTb"/>
            <w:noWrap w:val="false"/>
          </w:tcPr>
          <w:p>
            <w:pPr>
              <w:pStyle w:val="766"/>
              <w:jc w:val="center"/>
              <w:rPr>
                <w:rFonts w:ascii="仿宋" w:hAnsi="仿宋" w:eastAsia="仿宋" w:cs="仿宋"/>
                <w:sz w:val="24"/>
              </w:rPr>
            </w:pPr>
            <w:r>
              <w:rPr>
                <w:rFonts w:hint="eastAsia" w:ascii="仿宋" w:hAnsi="仿宋" w:eastAsia="仿宋" w:cs="仿宋"/>
                <w:sz w:val="24"/>
              </w:rPr>
              <w:t xml:space="preserve">品牌、规格、型号</w:t>
            </w:r>
            <w:r/>
          </w:p>
        </w:tc>
        <w:tc>
          <w:tcPr>
            <w:shd w:val="clear" w:color="auto" w:fill="c0c0c0"/>
            <w:tcBorders>
              <w:top w:val="single" w:color="000000" w:sz="8" w:space="0"/>
              <w:left w:val="single" w:color="000000" w:sz="4" w:space="0"/>
              <w:bottom w:val="single" w:color="000000" w:sz="4" w:space="0"/>
              <w:right w:val="single" w:color="000000" w:sz="4" w:space="0"/>
            </w:tcBorders>
            <w:tcMar>
              <w:left w:w="15" w:type="dxa"/>
              <w:top w:w="15" w:type="dxa"/>
              <w:right w:w="15" w:type="dxa"/>
              <w:bottom w:w="0" w:type="dxa"/>
            </w:tcMar>
            <w:tcW w:w="483" w:type="pct"/>
            <w:vAlign w:val="center"/>
            <w:textDirection w:val="lrTb"/>
            <w:noWrap w:val="false"/>
          </w:tcPr>
          <w:p>
            <w:pPr>
              <w:pStyle w:val="766"/>
              <w:jc w:val="center"/>
              <w:rPr>
                <w:rFonts w:ascii="仿宋" w:hAnsi="仿宋" w:eastAsia="仿宋" w:cs="仿宋"/>
                <w:sz w:val="24"/>
              </w:rPr>
            </w:pPr>
            <w:r>
              <w:rPr>
                <w:rFonts w:hint="eastAsia" w:ascii="仿宋" w:hAnsi="仿宋" w:eastAsia="仿宋" w:cs="仿宋"/>
                <w:sz w:val="24"/>
              </w:rPr>
              <w:t xml:space="preserve">产品制造企业名称（全称）</w:t>
            </w:r>
            <w:r/>
          </w:p>
        </w:tc>
        <w:tc>
          <w:tcPr>
            <w:shd w:val="clear" w:color="auto" w:fill="c0c0c0"/>
            <w:tcBorders>
              <w:top w:val="single" w:color="000000" w:sz="8" w:space="0"/>
              <w:left w:val="single" w:color="000000" w:sz="4" w:space="0"/>
              <w:bottom w:val="single" w:color="000000" w:sz="4" w:space="0"/>
              <w:right w:val="single" w:color="000000" w:sz="4" w:space="0"/>
            </w:tcBorders>
            <w:tcMar>
              <w:left w:w="15" w:type="dxa"/>
              <w:top w:w="15" w:type="dxa"/>
              <w:right w:w="15" w:type="dxa"/>
              <w:bottom w:w="0" w:type="dxa"/>
            </w:tcMar>
            <w:tcW w:w="263" w:type="pct"/>
            <w:vAlign w:val="center"/>
            <w:textDirection w:val="lrTb"/>
            <w:noWrap w:val="false"/>
          </w:tcPr>
          <w:p>
            <w:pPr>
              <w:pStyle w:val="766"/>
              <w:jc w:val="center"/>
              <w:rPr>
                <w:rFonts w:ascii="仿宋" w:hAnsi="仿宋" w:eastAsia="仿宋" w:cs="仿宋"/>
                <w:sz w:val="24"/>
              </w:rPr>
            </w:pPr>
            <w:r>
              <w:rPr>
                <w:rFonts w:hint="eastAsia" w:ascii="仿宋" w:hAnsi="仿宋" w:eastAsia="仿宋" w:cs="仿宋"/>
                <w:sz w:val="24"/>
              </w:rPr>
              <w:t xml:space="preserve">单位</w:t>
            </w:r>
            <w:r/>
          </w:p>
        </w:tc>
        <w:tc>
          <w:tcPr>
            <w:shd w:val="clear" w:color="auto" w:fill="c0c0c0"/>
            <w:tcBorders>
              <w:top w:val="single" w:color="000000" w:sz="8" w:space="0"/>
              <w:left w:val="single" w:color="000000" w:sz="4" w:space="0"/>
              <w:bottom w:val="single" w:color="000000" w:sz="4" w:space="0"/>
              <w:right w:val="single" w:color="000000" w:sz="4" w:space="0"/>
            </w:tcBorders>
            <w:tcMar>
              <w:left w:w="15" w:type="dxa"/>
              <w:top w:w="15" w:type="dxa"/>
              <w:right w:w="15" w:type="dxa"/>
              <w:bottom w:w="0" w:type="dxa"/>
            </w:tcMar>
            <w:tcW w:w="284" w:type="pct"/>
            <w:vAlign w:val="center"/>
            <w:textDirection w:val="lrTb"/>
            <w:noWrap w:val="false"/>
          </w:tcPr>
          <w:p>
            <w:pPr>
              <w:pStyle w:val="766"/>
              <w:jc w:val="center"/>
              <w:rPr>
                <w:rFonts w:ascii="仿宋" w:hAnsi="仿宋" w:eastAsia="仿宋" w:cs="仿宋"/>
                <w:sz w:val="24"/>
              </w:rPr>
            </w:pPr>
            <w:r>
              <w:rPr>
                <w:rFonts w:hint="eastAsia" w:ascii="仿宋" w:hAnsi="仿宋" w:eastAsia="仿宋" w:cs="仿宋"/>
                <w:sz w:val="24"/>
              </w:rPr>
              <w:t xml:space="preserve">数量</w:t>
            </w:r>
            <w:r/>
          </w:p>
        </w:tc>
        <w:tc>
          <w:tcPr>
            <w:shd w:val="clear" w:color="auto" w:fill="c0c0c0"/>
            <w:tcBorders>
              <w:top w:val="single" w:color="000000" w:sz="8" w:space="0"/>
              <w:left w:val="single" w:color="000000" w:sz="4" w:space="0"/>
              <w:bottom w:val="single" w:color="auto" w:sz="4" w:space="0"/>
              <w:right w:val="single" w:color="000000" w:sz="4" w:space="0"/>
            </w:tcBorders>
            <w:tcMar>
              <w:left w:w="15" w:type="dxa"/>
              <w:top w:w="15" w:type="dxa"/>
              <w:right w:w="15" w:type="dxa"/>
              <w:bottom w:w="0" w:type="dxa"/>
            </w:tcMar>
            <w:tcW w:w="400" w:type="pct"/>
            <w:vAlign w:val="center"/>
            <w:textDirection w:val="lrTb"/>
            <w:noWrap w:val="false"/>
          </w:tcPr>
          <w:p>
            <w:pPr>
              <w:pStyle w:val="766"/>
              <w:jc w:val="center"/>
              <w:rPr>
                <w:rFonts w:ascii="仿宋" w:hAnsi="仿宋" w:eastAsia="仿宋" w:cs="仿宋"/>
                <w:sz w:val="24"/>
              </w:rPr>
            </w:pPr>
            <w:r>
              <w:rPr>
                <w:rFonts w:hint="eastAsia" w:ascii="仿宋" w:hAnsi="仿宋" w:eastAsia="仿宋" w:cs="仿宋"/>
                <w:sz w:val="24"/>
              </w:rPr>
              <w:t xml:space="preserve">单价</w:t>
            </w:r>
            <w:r/>
          </w:p>
        </w:tc>
        <w:tc>
          <w:tcPr>
            <w:shd w:val="clear" w:color="auto" w:fill="c0c0c0"/>
            <w:tcBorders>
              <w:top w:val="single" w:color="000000" w:sz="8" w:space="0"/>
              <w:left w:val="single" w:color="000000" w:sz="4" w:space="0"/>
              <w:bottom w:val="single" w:color="auto" w:sz="4" w:space="0"/>
              <w:right w:val="single" w:color="000000" w:sz="4" w:space="0"/>
            </w:tcBorders>
            <w:tcMar>
              <w:left w:w="15" w:type="dxa"/>
              <w:top w:w="15" w:type="dxa"/>
              <w:right w:w="15" w:type="dxa"/>
              <w:bottom w:w="0" w:type="dxa"/>
            </w:tcMar>
            <w:tcW w:w="447" w:type="pct"/>
            <w:vAlign w:val="center"/>
            <w:textDirection w:val="lrTb"/>
            <w:noWrap w:val="false"/>
          </w:tcPr>
          <w:p>
            <w:pPr>
              <w:pStyle w:val="766"/>
              <w:jc w:val="center"/>
              <w:rPr>
                <w:rFonts w:ascii="仿宋" w:hAnsi="仿宋" w:eastAsia="仿宋" w:cs="仿宋"/>
                <w:sz w:val="24"/>
              </w:rPr>
            </w:pPr>
            <w:r>
              <w:rPr>
                <w:rFonts w:hint="eastAsia" w:ascii="仿宋" w:hAnsi="仿宋" w:eastAsia="仿宋" w:cs="仿宋"/>
                <w:sz w:val="24"/>
              </w:rPr>
              <w:t xml:space="preserve">服务期限（年）</w:t>
            </w:r>
            <w:r/>
          </w:p>
        </w:tc>
        <w:tc>
          <w:tcPr>
            <w:shd w:val="clear" w:color="auto" w:fill="c0c0c0"/>
            <w:tcBorders>
              <w:top w:val="single" w:color="000000" w:sz="8" w:space="0"/>
              <w:left w:val="single" w:color="000000" w:sz="4" w:space="0"/>
              <w:bottom w:val="single" w:color="000000" w:sz="4" w:space="0"/>
              <w:right w:val="single" w:color="000000" w:sz="4" w:space="0"/>
            </w:tcBorders>
            <w:tcMar>
              <w:left w:w="15" w:type="dxa"/>
              <w:top w:w="15" w:type="dxa"/>
              <w:right w:w="15" w:type="dxa"/>
              <w:bottom w:w="0" w:type="dxa"/>
            </w:tcMar>
            <w:tcW w:w="375" w:type="pct"/>
            <w:vAlign w:val="center"/>
            <w:textDirection w:val="lrTb"/>
            <w:noWrap w:val="false"/>
          </w:tcPr>
          <w:p>
            <w:pPr>
              <w:pStyle w:val="766"/>
              <w:jc w:val="center"/>
              <w:rPr>
                <w:rFonts w:ascii="仿宋" w:hAnsi="仿宋" w:eastAsia="仿宋" w:cs="仿宋"/>
                <w:sz w:val="24"/>
              </w:rPr>
            </w:pPr>
            <w:r>
              <w:rPr>
                <w:rFonts w:hint="eastAsia" w:ascii="仿宋" w:hAnsi="仿宋" w:eastAsia="仿宋" w:cs="仿宋"/>
                <w:sz w:val="24"/>
              </w:rPr>
              <w:t xml:space="preserve">总价</w:t>
            </w:r>
            <w:r/>
          </w:p>
        </w:tc>
        <w:tc>
          <w:tcPr>
            <w:shd w:val="clear" w:color="auto" w:fill="c0c0c0"/>
            <w:tcBorders>
              <w:top w:val="single" w:color="000000" w:sz="8" w:space="0"/>
              <w:left w:val="single" w:color="000000" w:sz="4" w:space="0"/>
              <w:bottom w:val="single" w:color="000000" w:sz="4" w:space="0"/>
              <w:right w:val="single" w:color="000000" w:sz="4" w:space="0"/>
            </w:tcBorders>
            <w:tcMar>
              <w:left w:w="15" w:type="dxa"/>
              <w:top w:w="15" w:type="dxa"/>
              <w:right w:w="15" w:type="dxa"/>
              <w:bottom w:w="0" w:type="dxa"/>
            </w:tcMar>
            <w:tcW w:w="445" w:type="pct"/>
            <w:vAlign w:val="center"/>
            <w:textDirection w:val="lrTb"/>
            <w:noWrap w:val="false"/>
          </w:tcPr>
          <w:p>
            <w:pPr>
              <w:pStyle w:val="766"/>
              <w:jc w:val="center"/>
              <w:rPr>
                <w:rFonts w:ascii="仿宋" w:hAnsi="仿宋" w:eastAsia="仿宋" w:cs="仿宋"/>
                <w:sz w:val="24"/>
              </w:rPr>
            </w:pPr>
            <w:r>
              <w:rPr>
                <w:rFonts w:hint="eastAsia" w:ascii="仿宋" w:hAnsi="仿宋" w:eastAsia="仿宋" w:cs="仿宋"/>
                <w:sz w:val="24"/>
              </w:rPr>
              <w:t xml:space="preserve">备注</w:t>
            </w:r>
            <w:r/>
          </w:p>
        </w:tc>
      </w:tr>
      <w:tr>
        <w:trPr>
          <w:trHeight w:val="3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bottom w:w="0" w:type="dxa"/>
            </w:tcMar>
            <w:tcW w:w="390" w:type="pct"/>
            <w:vAlign w:val="bottom"/>
            <w:textDirection w:val="lrTb"/>
            <w:noWrap w:val="false"/>
          </w:tcPr>
          <w:p>
            <w:pPr>
              <w:jc w:val="center"/>
              <w:widowControl/>
              <w:rPr>
                <w:rFonts w:ascii="宋体" w:hAnsi="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84" w:type="pct"/>
            <w:vAlign w:val="center"/>
            <w:textDirection w:val="lrTb"/>
            <w:noWrap w:val="false"/>
          </w:tcPr>
          <w:p>
            <w:pPr>
              <w:jc w:val="left"/>
              <w:widowControl/>
              <w:rPr>
                <w:rFonts w:ascii="宋体" w:hAnsi="宋体"/>
                <w:sz w:val="24"/>
              </w:rPr>
            </w:pPr>
            <w:r>
              <w:rPr>
                <w:rFonts w:hint="eastAsia" w:ascii="仿宋" w:hAnsi="仿宋" w:eastAsia="仿宋" w:cs="仿宋"/>
                <w:sz w:val="24"/>
              </w:rPr>
              <w:t xml:space="preserve">区城域核心节点到经开区行政审批局传输线路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pct"/>
            <w:vAlign w:val="center"/>
            <w:textDirection w:val="lrTb"/>
            <w:noWrap w:val="false"/>
          </w:tcPr>
          <w:p>
            <w:pPr>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3" w:type="pct"/>
            <w:vAlign w:val="center"/>
            <w:textDirection w:val="lrTb"/>
            <w:noWrap w:val="false"/>
          </w:tcPr>
          <w:p>
            <w:pPr>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3" w:type="pct"/>
            <w:vAlign w:val="center"/>
            <w:textDirection w:val="lrTb"/>
            <w:noWrap w:val="false"/>
          </w:tcPr>
          <w:p>
            <w:pPr>
              <w:jc w:val="center"/>
              <w:widowControl/>
              <w:rPr>
                <w:rFonts w:ascii="宋体" w:hAnsi="宋体"/>
                <w:sz w:val="24"/>
              </w:rPr>
            </w:pPr>
            <w:r>
              <w:rPr>
                <w:rFonts w:hint="eastAsia" w:ascii="仿宋" w:hAnsi="仿宋" w:eastAsia="仿宋" w:cs="仿宋"/>
                <w:sz w:val="24"/>
              </w:rPr>
              <w:t xml:space="preserve">条/年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4" w:type="pct"/>
            <w:vAlign w:val="center"/>
            <w:textDirection w:val="lrTb"/>
            <w:noWrap w:val="false"/>
          </w:tcPr>
          <w:p>
            <w:pPr>
              <w:jc w:val="center"/>
              <w:widowControl/>
              <w:rPr>
                <w:rFonts w:ascii="宋体" w:hAnsi="宋体"/>
                <w:sz w:val="24"/>
              </w:rPr>
            </w:pPr>
            <w:r>
              <w:rPr>
                <w:rFonts w:hint="eastAsia" w:ascii="仿宋" w:hAnsi="仿宋" w:eastAsia="仿宋" w:cs="仿宋"/>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pct"/>
            <w:vAlign w:val="bottom"/>
            <w:textDirection w:val="lrTb"/>
            <w:noWrap w:val="false"/>
          </w:tcPr>
          <w:p>
            <w:pPr>
              <w:pStyle w:val="766"/>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47" w:type="pct"/>
            <w:vAlign w:val="center"/>
            <w:vMerge w:val="restart"/>
            <w:textDirection w:val="lrTb"/>
            <w:noWrap w:val="false"/>
          </w:tcPr>
          <w:p>
            <w:pPr>
              <w:pStyle w:val="766"/>
              <w:jc w:val="center"/>
              <w:rPr>
                <w:rFonts w:ascii="宋体" w:hAnsi="宋体"/>
                <w:sz w:val="24"/>
              </w:rPr>
            </w:pPr>
            <w:r>
              <w:rPr>
                <w:rFonts w:ascii="宋体" w:hAnsi="宋体"/>
                <w:sz w:val="24"/>
              </w:rPr>
            </w:r>
            <w:r/>
          </w:p>
          <w:p>
            <w:pPr>
              <w:pStyle w:val="766"/>
              <w:jc w:val="center"/>
              <w:rPr>
                <w:rFonts w:ascii="宋体" w:hAnsi="宋体"/>
                <w:sz w:val="24"/>
              </w:rPr>
            </w:pPr>
            <w:r>
              <w:rPr>
                <w:rFonts w:ascii="宋体" w:hAnsi="宋体"/>
                <w:sz w:val="24"/>
              </w:rPr>
            </w:r>
            <w:r/>
          </w:p>
          <w:p>
            <w:pPr>
              <w:pStyle w:val="766"/>
              <w:jc w:val="center"/>
              <w:rPr>
                <w:rFonts w:ascii="宋体" w:hAnsi="宋体"/>
                <w:sz w:val="24"/>
              </w:rPr>
            </w:pPr>
            <w:r>
              <w:rPr>
                <w:rFonts w:ascii="宋体" w:hAnsi="宋体"/>
                <w:sz w:val="24"/>
              </w:rPr>
            </w:r>
            <w:r/>
          </w:p>
          <w:p>
            <w:pPr>
              <w:pStyle w:val="766"/>
              <w:jc w:val="center"/>
              <w:rPr>
                <w:rFonts w:ascii="宋体" w:hAnsi="宋体"/>
                <w:sz w:val="24"/>
              </w:rPr>
            </w:pPr>
            <w:r>
              <w:rPr>
                <w:rFonts w:hint="eastAsia" w:ascii="宋体" w:hAnsi="宋体"/>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5" w:type="pct"/>
            <w:vAlign w:val="bottom"/>
            <w:textDirection w:val="lrTb"/>
            <w:noWrap w:val="false"/>
          </w:tcPr>
          <w:p>
            <w:pPr>
              <w:pStyle w:val="766"/>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45" w:type="pct"/>
            <w:vAlign w:val="center"/>
            <w:vMerge w:val="restart"/>
            <w:textDirection w:val="lrTb"/>
            <w:noWrap w:val="false"/>
          </w:tcPr>
          <w:p>
            <w:pPr>
              <w:pStyle w:val="766"/>
              <w:jc w:val="center"/>
              <w:rPr>
                <w:rFonts w:ascii="宋体" w:hAnsi="宋体"/>
                <w:sz w:val="24"/>
              </w:rPr>
            </w:pPr>
            <w:r>
              <w:rPr>
                <w:rFonts w:hint="eastAsia" w:ascii="仿宋" w:hAnsi="仿宋" w:eastAsia="仿宋" w:cs="仿宋"/>
                <w:sz w:val="24"/>
              </w:rPr>
              <w:t xml:space="preserve">总价为单价*数量*3</w:t>
            </w:r>
            <w:r/>
          </w:p>
        </w:tc>
      </w:tr>
      <w:tr>
        <w:trPr>
          <w:trHeight w:val="21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bottom w:w="0" w:type="dxa"/>
            </w:tcMar>
            <w:tcW w:w="390" w:type="pct"/>
            <w:vAlign w:val="bottom"/>
            <w:textDirection w:val="lrTb"/>
            <w:noWrap w:val="false"/>
          </w:tcPr>
          <w:p>
            <w:pPr>
              <w:jc w:val="center"/>
              <w:widowControl/>
              <w:rPr>
                <w:rFonts w:ascii="宋体" w:hAnsi="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84" w:type="pct"/>
            <w:vAlign w:val="center"/>
            <w:textDirection w:val="lrTb"/>
            <w:noWrap w:val="false"/>
          </w:tcPr>
          <w:p>
            <w:pPr>
              <w:jc w:val="left"/>
              <w:widowControl/>
              <w:rPr>
                <w:rFonts w:asciiTheme="minorEastAsia" w:hAnsiTheme="minorEastAsia" w:eastAsiaTheme="minorEastAsia" w:cstheme="minorEastAsia"/>
                <w:sz w:val="24"/>
              </w:rPr>
            </w:pPr>
            <w:r/>
            <w:bookmarkStart w:id="124" w:name="OLE_LINK42"/>
            <w:r/>
            <w:bookmarkStart w:id="125" w:name="OLE_LINK43"/>
            <w:r>
              <w:rPr>
                <w:rFonts w:hint="eastAsia" w:ascii="仿宋" w:hAnsi="仿宋" w:eastAsia="仿宋" w:cs="仿宋"/>
                <w:sz w:val="24"/>
              </w:rPr>
              <w:t xml:space="preserve">一类单位高性能接入路由器</w:t>
            </w:r>
            <w:bookmarkEnd w:id="124"/>
            <w:r/>
            <w:bookmarkEnd w:id="125"/>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pct"/>
            <w:vAlign w:val="center"/>
            <w:textDirection w:val="lrTb"/>
            <w:noWrap w:val="false"/>
          </w:tcPr>
          <w:p>
            <w:pPr>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3" w:type="pct"/>
            <w:vAlign w:val="center"/>
            <w:textDirection w:val="lrTb"/>
            <w:noWrap w:val="false"/>
          </w:tcPr>
          <w:p>
            <w:pPr>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3" w:type="pct"/>
            <w:vAlign w:val="center"/>
            <w:textDirection w:val="lrTb"/>
            <w:noWrap w:val="false"/>
          </w:tcPr>
          <w:p>
            <w:pPr>
              <w:jc w:val="center"/>
              <w:widowControl/>
              <w:rPr>
                <w:rFonts w:ascii="宋体" w:hAnsi="宋体"/>
                <w:sz w:val="24"/>
              </w:rPr>
            </w:pPr>
            <w:r>
              <w:rPr>
                <w:rFonts w:hint="eastAsia" w:ascii="仿宋" w:hAnsi="仿宋" w:eastAsia="仿宋" w:cs="仿宋"/>
                <w:sz w:val="24"/>
              </w:rPr>
              <w:t xml:space="preserve">台/年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4" w:type="pct"/>
            <w:vAlign w:val="center"/>
            <w:textDirection w:val="lrTb"/>
            <w:noWrap w:val="false"/>
          </w:tcPr>
          <w:p>
            <w:pPr>
              <w:jc w:val="center"/>
              <w:widowControl/>
              <w:rPr>
                <w:rFonts w:ascii="仿宋" w:hAnsi="仿宋" w:eastAsia="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pct"/>
            <w:vAlign w:val="bottom"/>
            <w:textDirection w:val="lrTb"/>
            <w:noWrap w:val="false"/>
          </w:tcPr>
          <w:p>
            <w:pPr>
              <w:pStyle w:val="766"/>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5" w:type="pct"/>
            <w:vAlign w:val="bottom"/>
            <w:textDirection w:val="lrTb"/>
            <w:noWrap w:val="false"/>
          </w:tcPr>
          <w:p>
            <w:pPr>
              <w:pStyle w:val="766"/>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sz w:val="24"/>
              </w:rPr>
            </w:pPr>
            <w:r>
              <w:rPr>
                <w:rFonts w:ascii="宋体" w:hAnsi="宋体"/>
                <w:sz w:val="24"/>
              </w:rPr>
            </w:r>
            <w:r/>
          </w:p>
        </w:tc>
      </w:tr>
      <w:tr>
        <w:trPr>
          <w:trHeight w:val="21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bottom w:w="0" w:type="dxa"/>
            </w:tcMar>
            <w:tcW w:w="390" w:type="pct"/>
            <w:vAlign w:val="bottom"/>
            <w:textDirection w:val="lrTb"/>
            <w:noWrap w:val="false"/>
          </w:tcPr>
          <w:p>
            <w:pPr>
              <w:jc w:val="center"/>
              <w:widowControl/>
              <w:rPr>
                <w:rFonts w:ascii="宋体" w:hAnsi="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84" w:type="pct"/>
            <w:vAlign w:val="center"/>
            <w:textDirection w:val="lrTb"/>
            <w:noWrap w:val="false"/>
          </w:tcPr>
          <w:p>
            <w:pPr>
              <w:jc w:val="left"/>
              <w:widowControl/>
              <w:rPr>
                <w:rFonts w:asciiTheme="minorEastAsia" w:hAnsiTheme="minorEastAsia" w:eastAsiaTheme="minorEastAsia" w:cstheme="minorEastAsia"/>
                <w:sz w:val="24"/>
              </w:rPr>
            </w:pPr>
            <w:r/>
            <w:bookmarkStart w:id="126" w:name="OLE_LINK142"/>
            <w:r>
              <w:rPr>
                <w:rFonts w:hint="eastAsia" w:ascii="仿宋" w:hAnsi="仿宋" w:eastAsia="仿宋" w:cs="仿宋"/>
                <w:sz w:val="24"/>
              </w:rPr>
              <w:t xml:space="preserve">二类单位较高性能接入路由器</w:t>
            </w:r>
            <w:bookmarkEnd w:id="126"/>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pct"/>
            <w:vAlign w:val="center"/>
            <w:textDirection w:val="lrTb"/>
            <w:noWrap w:val="false"/>
          </w:tcPr>
          <w:p>
            <w:pPr>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3" w:type="pct"/>
            <w:vAlign w:val="center"/>
            <w:textDirection w:val="lrTb"/>
            <w:noWrap w:val="false"/>
          </w:tcPr>
          <w:p>
            <w:pPr>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3" w:type="pct"/>
            <w:vAlign w:val="center"/>
            <w:textDirection w:val="lrTb"/>
            <w:noWrap w:val="false"/>
          </w:tcPr>
          <w:p>
            <w:pPr>
              <w:jc w:val="center"/>
              <w:widowControl/>
              <w:rPr>
                <w:rFonts w:ascii="宋体" w:hAnsi="宋体"/>
                <w:sz w:val="24"/>
              </w:rPr>
            </w:pPr>
            <w:r>
              <w:rPr>
                <w:rFonts w:hint="eastAsia" w:ascii="仿宋" w:hAnsi="仿宋" w:eastAsia="仿宋" w:cs="仿宋"/>
                <w:sz w:val="24"/>
              </w:rPr>
              <w:t xml:space="preserve">台/年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4" w:type="pct"/>
            <w:vAlign w:val="center"/>
            <w:textDirection w:val="lrTb"/>
            <w:noWrap w:val="false"/>
          </w:tcPr>
          <w:p>
            <w:pPr>
              <w:jc w:val="center"/>
              <w:widowControl/>
              <w:rPr>
                <w:rFonts w:ascii="仿宋" w:hAnsi="仿宋" w:eastAsia="仿宋"/>
                <w:sz w:val="24"/>
              </w:rPr>
            </w:pPr>
            <w:r>
              <w:rPr>
                <w:rFonts w:hint="eastAsia" w:ascii="仿宋" w:hAnsi="仿宋" w:eastAsia="仿宋" w:cs="仿宋"/>
                <w:sz w:val="24"/>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pct"/>
            <w:vAlign w:val="bottom"/>
            <w:textDirection w:val="lrTb"/>
            <w:noWrap w:val="false"/>
          </w:tcPr>
          <w:p>
            <w:pPr>
              <w:pStyle w:val="766"/>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5" w:type="pct"/>
            <w:vAlign w:val="bottom"/>
            <w:textDirection w:val="lrTb"/>
            <w:noWrap w:val="false"/>
          </w:tcPr>
          <w:p>
            <w:pPr>
              <w:pStyle w:val="766"/>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sz w:val="24"/>
              </w:rPr>
            </w:pPr>
            <w:r>
              <w:rPr>
                <w:rFonts w:ascii="宋体" w:hAnsi="宋体"/>
                <w:sz w:val="24"/>
              </w:rPr>
            </w:r>
            <w:r/>
          </w:p>
        </w:tc>
      </w:tr>
      <w:tr>
        <w:trPr>
          <w:trHeight w:val="21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bottom w:w="0" w:type="dxa"/>
            </w:tcMar>
            <w:tcW w:w="390" w:type="pct"/>
            <w:vAlign w:val="bottom"/>
            <w:textDirection w:val="lrTb"/>
            <w:noWrap w:val="false"/>
          </w:tcPr>
          <w:p>
            <w:pPr>
              <w:pStyle w:val="766"/>
              <w:jc w:val="center"/>
              <w:rPr>
                <w:rFonts w:ascii="宋体" w:hAnsi="宋体"/>
                <w:sz w:val="24"/>
              </w:rPr>
            </w:pPr>
            <w:r>
              <w:rPr>
                <w:rFonts w:hint="eastAsia" w:ascii="宋体" w:hAnsi="宋体"/>
                <w:sz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84" w:type="pct"/>
            <w:vAlign w:val="center"/>
            <w:textDirection w:val="lrTb"/>
            <w:noWrap w:val="false"/>
          </w:tcPr>
          <w:p>
            <w:pPr>
              <w:jc w:val="left"/>
              <w:widowControl/>
              <w:rPr>
                <w:rFonts w:asciiTheme="minorEastAsia" w:hAnsiTheme="minorEastAsia" w:eastAsiaTheme="minorEastAsia" w:cstheme="minorEastAsia"/>
                <w:sz w:val="24"/>
              </w:rPr>
            </w:pPr>
            <w:r/>
            <w:bookmarkStart w:id="127" w:name="OLE_LINK144"/>
            <w:r/>
            <w:bookmarkStart w:id="128" w:name="OLE_LINK143"/>
            <w:r>
              <w:rPr>
                <w:rFonts w:hint="eastAsia" w:ascii="仿宋" w:hAnsi="仿宋" w:eastAsia="仿宋" w:cs="仿宋"/>
                <w:sz w:val="24"/>
              </w:rPr>
              <w:t xml:space="preserve">三类单位中等性能接入路由器</w:t>
            </w:r>
            <w:bookmarkEnd w:id="127"/>
            <w:r/>
            <w:bookmarkEnd w:id="128"/>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pct"/>
            <w:vAlign w:val="center"/>
            <w:textDirection w:val="lrTb"/>
            <w:noWrap w:val="false"/>
          </w:tcPr>
          <w:p>
            <w:pPr>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3" w:type="pct"/>
            <w:vAlign w:val="center"/>
            <w:textDirection w:val="lrTb"/>
            <w:noWrap w:val="false"/>
          </w:tcPr>
          <w:p>
            <w:pPr>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3" w:type="pct"/>
            <w:vAlign w:val="center"/>
            <w:textDirection w:val="lrTb"/>
            <w:noWrap w:val="false"/>
          </w:tcPr>
          <w:p>
            <w:pPr>
              <w:jc w:val="center"/>
              <w:widowControl/>
              <w:rPr>
                <w:rFonts w:ascii="宋体" w:hAnsi="宋体"/>
                <w:sz w:val="24"/>
              </w:rPr>
            </w:pPr>
            <w:r>
              <w:rPr>
                <w:rFonts w:hint="eastAsia" w:ascii="仿宋" w:hAnsi="仿宋" w:eastAsia="仿宋" w:cs="仿宋"/>
                <w:sz w:val="24"/>
              </w:rPr>
              <w:t xml:space="preserve">台/年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4" w:type="pct"/>
            <w:vAlign w:val="center"/>
            <w:textDirection w:val="lrTb"/>
            <w:noWrap w:val="false"/>
          </w:tcPr>
          <w:p>
            <w:pPr>
              <w:jc w:val="center"/>
              <w:widowControl/>
              <w:rPr>
                <w:rFonts w:ascii="仿宋" w:hAnsi="仿宋" w:eastAsia="仿宋"/>
                <w:sz w:val="24"/>
              </w:rPr>
            </w:pPr>
            <w:r>
              <w:rPr>
                <w:rFonts w:hint="eastAsia" w:ascii="仿宋" w:hAnsi="仿宋" w:eastAsia="仿宋" w:cs="仿宋"/>
                <w:sz w:val="24"/>
              </w:rPr>
              <w:t xml:space="preserve">115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pct"/>
            <w:vAlign w:val="bottom"/>
            <w:textDirection w:val="lrTb"/>
            <w:noWrap w:val="false"/>
          </w:tcPr>
          <w:p>
            <w:pPr>
              <w:pStyle w:val="766"/>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5" w:type="pct"/>
            <w:vAlign w:val="bottom"/>
            <w:textDirection w:val="lrTb"/>
            <w:noWrap w:val="false"/>
          </w:tcPr>
          <w:p>
            <w:pPr>
              <w:pStyle w:val="766"/>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sz w:val="24"/>
              </w:rPr>
            </w:pPr>
            <w:r>
              <w:rPr>
                <w:rFonts w:ascii="宋体" w:hAnsi="宋体"/>
                <w:sz w:val="24"/>
              </w:rPr>
            </w:r>
            <w:r/>
          </w:p>
        </w:tc>
      </w:tr>
      <w:tr>
        <w:trPr>
          <w:trHeight w:val="225"/>
        </w:trPr>
        <w:tc>
          <w:tcPr>
            <w:tcBorders>
              <w:top w:val="single" w:color="auto" w:sz="4" w:space="0"/>
              <w:left w:val="single" w:color="000000" w:sz="8" w:space="0"/>
              <w:bottom w:val="single" w:color="000000" w:sz="4" w:space="0"/>
              <w:right w:val="single" w:color="000000" w:sz="4" w:space="0"/>
            </w:tcBorders>
            <w:tcMar>
              <w:left w:w="15" w:type="dxa"/>
              <w:top w:w="15" w:type="dxa"/>
              <w:right w:w="15" w:type="dxa"/>
              <w:bottom w:w="0" w:type="dxa"/>
            </w:tcMar>
            <w:tcW w:w="390" w:type="pct"/>
            <w:vAlign w:val="bottom"/>
            <w:textDirection w:val="lrTb"/>
            <w:noWrap w:val="false"/>
          </w:tcPr>
          <w:p>
            <w:pPr>
              <w:pStyle w:val="766"/>
              <w:jc w:val="center"/>
              <w:rPr>
                <w:rFonts w:ascii="宋体" w:hAnsi="宋体"/>
                <w:sz w:val="24"/>
              </w:rPr>
            </w:pPr>
            <w:r>
              <w:rPr>
                <w:rFonts w:hint="eastAsia" w:ascii="宋体" w:hAnsi="宋体"/>
                <w:sz w:val="24"/>
              </w:rPr>
              <w:t xml:space="preserve">5</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1484" w:type="pct"/>
            <w:vAlign w:val="bottom"/>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安全和运维服务费</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425" w:type="pct"/>
            <w:vAlign w:val="bottom"/>
            <w:textDirection w:val="lrTb"/>
            <w:noWrap w:val="false"/>
          </w:tcPr>
          <w:p>
            <w:pPr>
              <w:pStyle w:val="766"/>
              <w:jc w:val="center"/>
              <w:rPr>
                <w:rFonts w:ascii="宋体" w:hAnsi="宋体"/>
                <w:sz w:val="24"/>
              </w:rPr>
            </w:pPr>
            <w:r>
              <w:rPr>
                <w:rFonts w:ascii="宋体" w:hAnsi="宋体"/>
                <w:sz w:val="24"/>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483" w:type="pct"/>
            <w:textDirection w:val="lrTb"/>
            <w:noWrap w:val="false"/>
          </w:tcPr>
          <w:p>
            <w:pPr>
              <w:pStyle w:val="766"/>
              <w:jc w:val="center"/>
              <w:rPr>
                <w:rFonts w:ascii="宋体" w:hAnsi="宋体"/>
                <w:sz w:val="24"/>
              </w:rPr>
            </w:pPr>
            <w:r>
              <w:rPr>
                <w:rFonts w:ascii="宋体" w:hAnsi="宋体"/>
                <w:sz w:val="24"/>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263" w:type="pc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元/年</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284" w:type="pct"/>
            <w:vAlign w:val="bottom"/>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400" w:type="pct"/>
            <w:vAlign w:val="bottom"/>
            <w:textDirection w:val="lrTb"/>
            <w:noWrap w:val="false"/>
          </w:tcPr>
          <w:p>
            <w:pPr>
              <w:pStyle w:val="766"/>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sz w:val="24"/>
              </w:rPr>
            </w:pPr>
            <w:r>
              <w:rPr>
                <w:rFonts w:ascii="宋体" w:hAnsi="宋体"/>
                <w:sz w:val="24"/>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375" w:type="pct"/>
            <w:vAlign w:val="bottom"/>
            <w:textDirection w:val="lrTb"/>
            <w:noWrap w:val="false"/>
          </w:tcPr>
          <w:p>
            <w:pPr>
              <w:pStyle w:val="766"/>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sz w:val="24"/>
              </w:rPr>
            </w:pPr>
            <w:r>
              <w:rPr>
                <w:rFonts w:ascii="宋体" w:hAnsi="宋体"/>
                <w:sz w:val="24"/>
              </w:rPr>
            </w:r>
            <w:r/>
          </w:p>
        </w:tc>
      </w:tr>
      <w:tr>
        <w:trPr>
          <w:trHeight w:val="225"/>
        </w:trPr>
        <w:tc>
          <w:tcPr>
            <w:tcBorders>
              <w:top w:val="single" w:color="auto" w:sz="4" w:space="0"/>
              <w:left w:val="single" w:color="000000" w:sz="8" w:space="0"/>
              <w:bottom w:val="single" w:color="000000" w:sz="4" w:space="0"/>
              <w:right w:val="single" w:color="000000" w:sz="4" w:space="0"/>
            </w:tcBorders>
            <w:tcMar>
              <w:left w:w="15" w:type="dxa"/>
              <w:top w:w="15" w:type="dxa"/>
              <w:right w:w="15" w:type="dxa"/>
              <w:bottom w:w="0" w:type="dxa"/>
            </w:tcMar>
            <w:tcW w:w="390" w:type="pct"/>
            <w:vAlign w:val="bottom"/>
            <w:textDirection w:val="lrTb"/>
            <w:noWrap w:val="false"/>
          </w:tcPr>
          <w:p>
            <w:pPr>
              <w:pStyle w:val="766"/>
              <w:jc w:val="center"/>
              <w:rPr>
                <w:rFonts w:ascii="宋体" w:hAnsi="宋体"/>
                <w:sz w:val="24"/>
              </w:rPr>
            </w:pPr>
            <w:r>
              <w:rPr>
                <w:rFonts w:hint="eastAsia" w:ascii="宋体" w:hAnsi="宋体"/>
                <w:sz w:val="24"/>
              </w:rPr>
              <w:t xml:space="preserve">6</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1484" w:type="pct"/>
            <w:vAlign w:val="bottom"/>
            <w:textDirection w:val="lrTb"/>
            <w:noWrap w:val="false"/>
          </w:tcPr>
          <w:p>
            <w:pPr>
              <w:jc w:val="left"/>
              <w:rPr>
                <w:rFonts w:ascii="仿宋" w:hAnsi="仿宋" w:eastAsia="仿宋" w:cs="仿宋"/>
                <w:sz w:val="24"/>
              </w:rPr>
            </w:pPr>
            <w:r>
              <w:rPr>
                <w:rFonts w:hint="eastAsia" w:ascii="仿宋" w:hAnsi="仿宋" w:eastAsia="仿宋" w:cs="仿宋"/>
                <w:sz w:val="24"/>
              </w:rPr>
              <w:t xml:space="preserve">系统集成费</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425" w:type="pct"/>
            <w:vAlign w:val="bottom"/>
            <w:textDirection w:val="lrTb"/>
            <w:noWrap w:val="false"/>
          </w:tcPr>
          <w:p>
            <w:pPr>
              <w:pStyle w:val="766"/>
              <w:jc w:val="center"/>
              <w:rPr>
                <w:rFonts w:ascii="宋体" w:hAnsi="宋体"/>
                <w:sz w:val="24"/>
              </w:rPr>
            </w:pPr>
            <w:r>
              <w:rPr>
                <w:rFonts w:ascii="宋体" w:hAnsi="宋体"/>
                <w:sz w:val="24"/>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483" w:type="pct"/>
            <w:textDirection w:val="lrTb"/>
            <w:noWrap w:val="false"/>
          </w:tcPr>
          <w:p>
            <w:pPr>
              <w:pStyle w:val="766"/>
              <w:jc w:val="center"/>
              <w:rPr>
                <w:rFonts w:ascii="宋体" w:hAnsi="宋体"/>
                <w:sz w:val="24"/>
              </w:rPr>
            </w:pPr>
            <w:r>
              <w:rPr>
                <w:rFonts w:ascii="宋体" w:hAnsi="宋体"/>
                <w:sz w:val="24"/>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263" w:type="pct"/>
            <w:textDirection w:val="lrTb"/>
            <w:noWrap w:val="false"/>
          </w:tcPr>
          <w:p>
            <w:pPr>
              <w:jc w:val="center"/>
              <w:rPr>
                <w:rFonts w:ascii="仿宋" w:hAnsi="仿宋" w:eastAsia="仿宋" w:cs="仿宋"/>
                <w:sz w:val="24"/>
              </w:rPr>
            </w:pPr>
            <w:r>
              <w:rPr>
                <w:rFonts w:hint="eastAsia" w:ascii="仿宋" w:hAnsi="仿宋" w:eastAsia="仿宋" w:cs="仿宋"/>
                <w:sz w:val="24"/>
              </w:rPr>
              <w:t xml:space="preserve">项</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284" w:type="pct"/>
            <w:vAlign w:val="bottom"/>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400" w:type="pct"/>
            <w:vAlign w:val="bottom"/>
            <w:textDirection w:val="lrTb"/>
            <w:noWrap w:val="false"/>
          </w:tcPr>
          <w:p>
            <w:pPr>
              <w:pStyle w:val="766"/>
              <w:jc w:val="center"/>
              <w:rPr>
                <w:rFonts w:ascii="宋体" w:hAnsi="宋体"/>
                <w:sz w:val="24"/>
              </w:rPr>
            </w:pPr>
            <w:r>
              <w:rPr>
                <w:rFonts w:ascii="宋体" w:hAnsi="宋体"/>
                <w:sz w:val="24"/>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447" w:type="pct"/>
            <w:vAlign w:val="bottom"/>
            <w:textDirection w:val="lrTb"/>
            <w:noWrap w:val="false"/>
          </w:tcPr>
          <w:p>
            <w:pPr>
              <w:pStyle w:val="766"/>
              <w:jc w:val="center"/>
              <w:rPr>
                <w:rFonts w:ascii="宋体" w:hAnsi="宋体"/>
                <w:sz w:val="24"/>
              </w:rPr>
            </w:pPr>
            <w:r>
              <w:rPr>
                <w:rFonts w:ascii="宋体" w:hAnsi="宋体"/>
                <w:sz w:val="24"/>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375" w:type="pct"/>
            <w:vAlign w:val="bottom"/>
            <w:textDirection w:val="lrTb"/>
            <w:noWrap w:val="false"/>
          </w:tcPr>
          <w:p>
            <w:pPr>
              <w:pStyle w:val="766"/>
              <w:jc w:val="center"/>
              <w:rPr>
                <w:rFonts w:ascii="宋体" w:hAnsi="宋体"/>
                <w:sz w:val="24"/>
              </w:rPr>
            </w:pPr>
            <w:r>
              <w:rPr>
                <w:rFonts w:ascii="宋体" w:hAnsi="宋体"/>
                <w:sz w:val="24"/>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445" w:type="pct"/>
            <w:vAlign w:val="bottom"/>
            <w:textDirection w:val="lrTb"/>
            <w:noWrap w:val="false"/>
          </w:tcPr>
          <w:p>
            <w:pPr>
              <w:pStyle w:val="766"/>
              <w:jc w:val="center"/>
              <w:rPr>
                <w:rFonts w:ascii="宋体" w:hAnsi="宋体"/>
                <w:sz w:val="24"/>
              </w:rPr>
            </w:pPr>
            <w:r>
              <w:rPr>
                <w:rFonts w:ascii="宋体" w:hAnsi="宋体"/>
                <w:sz w:val="24"/>
              </w:rPr>
            </w:r>
            <w:r/>
          </w:p>
        </w:tc>
      </w:tr>
      <w:tr>
        <w:trPr>
          <w:trHeight w:val="388"/>
        </w:trPr>
        <w:tc>
          <w:tcPr>
            <w:gridSpan w:val="3"/>
            <w:tcBorders>
              <w:top w:val="single" w:color="000000" w:sz="4" w:space="0"/>
              <w:left w:val="single" w:color="000000" w:sz="8" w:space="0"/>
              <w:bottom w:val="single" w:color="000000" w:sz="4" w:space="0"/>
              <w:right w:val="single" w:color="000000" w:sz="4" w:space="0"/>
            </w:tcBorders>
            <w:tcMar>
              <w:left w:w="15" w:type="dxa"/>
              <w:top w:w="15" w:type="dxa"/>
              <w:right w:w="15" w:type="dxa"/>
              <w:bottom w:w="0" w:type="dxa"/>
            </w:tcMar>
            <w:tcW w:w="2301" w:type="pct"/>
            <w:vAlign w:val="bottom"/>
            <w:textDirection w:val="lrTb"/>
            <w:noWrap w:val="false"/>
          </w:tcPr>
          <w:p>
            <w:pPr>
              <w:pStyle w:val="766"/>
              <w:jc w:val="center"/>
              <w:rPr>
                <w:rFonts w:ascii="宋体" w:hAnsi="宋体"/>
                <w:sz w:val="24"/>
              </w:rPr>
            </w:pPr>
            <w:r>
              <w:rPr>
                <w:rFonts w:hint="eastAsia" w:ascii="仿宋" w:hAnsi="仿宋" w:eastAsia="仿宋" w:cs="仿宋"/>
                <w:sz w:val="24"/>
              </w:rPr>
              <w:t xml:space="preserve">总价合计（即《开标一览表》中的“总价”）</w:t>
            </w:r>
            <w:r/>
          </w:p>
        </w:tc>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53" w:type="pct"/>
            <w:vAlign w:val="bottom"/>
            <w:textDirection w:val="lrTb"/>
            <w:noWrap w:val="false"/>
          </w:tcPr>
          <w:p>
            <w:pPr>
              <w:pStyle w:val="766"/>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45" w:type="pct"/>
            <w:vAlign w:val="bottom"/>
            <w:textDirection w:val="lrTb"/>
            <w:noWrap w:val="false"/>
          </w:tcPr>
          <w:p>
            <w:pPr>
              <w:pStyle w:val="766"/>
              <w:jc w:val="center"/>
              <w:rPr>
                <w:rFonts w:ascii="宋体" w:hAnsi="宋体"/>
                <w:sz w:val="24"/>
              </w:rPr>
            </w:pPr>
            <w:r>
              <w:rPr>
                <w:rFonts w:ascii="宋体" w:hAnsi="宋体"/>
                <w:sz w:val="24"/>
              </w:rPr>
            </w:r>
            <w:bookmarkEnd w:id="122"/>
            <w:r/>
            <w:bookmarkEnd w:id="123"/>
            <w:r/>
            <w:r/>
          </w:p>
        </w:tc>
      </w:tr>
    </w:tbl>
    <w:p>
      <w:pPr>
        <w:pStyle w:val="746"/>
        <w:rPr>
          <w:rFonts w:ascii="Times New Roman" w:hAnsi="Times New Roman"/>
          <w:sz w:val="21"/>
        </w:rPr>
      </w:pPr>
      <w:r>
        <w:rPr>
          <w:rFonts w:ascii="Times New Roman" w:hAnsi="Times New Roman"/>
          <w:sz w:val="21"/>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746"/>
        <w:rPr>
          <w:rFonts w:ascii="仿宋" w:hAnsi="仿宋" w:eastAsia="仿宋"/>
          <w:sz w:val="21"/>
        </w:rPr>
      </w:pPr>
      <w:r>
        <w:rPr>
          <w:rFonts w:ascii="仿宋" w:hAnsi="仿宋" w:eastAsia="仿宋"/>
          <w:sz w:val="21"/>
        </w:rPr>
      </w:r>
      <w:r/>
    </w:p>
    <w:p>
      <w:pPr>
        <w:rPr>
          <w:rFonts w:ascii="仿宋" w:hAnsi="仿宋" w:eastAsia="仿宋"/>
        </w:rPr>
      </w:pPr>
      <w:r>
        <w:rPr>
          <w:rFonts w:ascii="仿宋" w:hAnsi="仿宋" w:eastAsia="仿宋"/>
        </w:rPr>
      </w:r>
      <w:r/>
    </w:p>
    <w:p>
      <w:pPr>
        <w:pStyle w:val="746"/>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746"/>
        <w:rPr>
          <w:rFonts w:ascii="仿宋" w:hAnsi="仿宋" w:eastAsia="仿宋"/>
        </w:rPr>
      </w:pPr>
      <w:r>
        <w:rPr>
          <w:rFonts w:ascii="仿宋" w:hAnsi="仿宋" w:eastAsia="仿宋"/>
        </w:rPr>
      </w:r>
      <w:r/>
    </w:p>
    <w:p>
      <w:pPr>
        <w:widowControl/>
        <w:rPr>
          <w:rFonts w:ascii="仿宋" w:hAnsi="仿宋" w:eastAsia="仿宋"/>
          <w:sz w:val="24"/>
        </w:rPr>
        <w:outlineLvl w:val="2"/>
      </w:pPr>
      <w:r/>
      <w:bookmarkStart w:id="129" w:name="OLE_LINK310"/>
      <w:r/>
      <w:bookmarkStart w:id="130" w:name="OLE_LINK309"/>
      <w:r>
        <w:rPr>
          <w:rFonts w:hint="eastAsia" w:ascii="仿宋" w:hAnsi="仿宋" w:eastAsia="仿宋"/>
          <w:sz w:val="24"/>
        </w:rPr>
        <w:t xml:space="preserve">注：1.</w:t>
      </w:r>
      <w:r>
        <w:rPr>
          <w:rFonts w:hint="eastAsia" w:ascii="仿宋" w:hAnsi="仿宋" w:eastAsia="仿宋"/>
          <w:b/>
          <w:sz w:val="24"/>
        </w:rPr>
        <w:t xml:space="preserve">如果不提供详细分项报价将视为没有实质性响应招标文件。</w:t>
      </w:r>
      <w:r/>
    </w:p>
    <w:p>
      <w:pPr>
        <w:ind w:firstLine="480"/>
        <w:rPr>
          <w:rFonts w:ascii="仿宋" w:hAnsi="仿宋" w:eastAsia="仿宋"/>
          <w:sz w:val="24"/>
        </w:rPr>
      </w:pPr>
      <w:r>
        <w:rPr>
          <w:rFonts w:hint="eastAsia" w:ascii="仿宋" w:hAnsi="仿宋" w:eastAsia="仿宋"/>
          <w:sz w:val="24"/>
        </w:rPr>
        <w:t xml:space="preserve">2.本表的总价合计与《开标一览表》中的“总价”以及按单价汇总金额应保持一致。</w:t>
      </w:r>
      <w:r/>
    </w:p>
    <w:p>
      <w:pPr>
        <w:ind w:firstLine="480"/>
        <w:rPr>
          <w:rFonts w:ascii="仿宋" w:hAnsi="仿宋" w:eastAsia="仿宋"/>
          <w:sz w:val="24"/>
        </w:rPr>
      </w:pPr>
      <w:r>
        <w:rPr>
          <w:rFonts w:hint="eastAsia" w:ascii="仿宋" w:hAnsi="仿宋" w:eastAsia="仿宋"/>
          <w:sz w:val="24"/>
        </w:rPr>
        <w:t xml:space="preserve">3.以上序号为“1”及“5-6”无须填写“品牌、规格、型号”及“产品制造企业名称（全称）”。</w:t>
      </w:r>
      <w:r/>
    </w:p>
    <w:p>
      <w:pPr>
        <w:ind w:firstLine="480"/>
      </w:pPr>
      <w:r>
        <w:rPr>
          <w:rFonts w:hint="eastAsia" w:ascii="仿宋" w:hAnsi="仿宋" w:eastAsia="仿宋"/>
          <w:sz w:val="24"/>
        </w:rPr>
        <w:t xml:space="preserve">4.投标人对以上数据的真实性负责。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bookmarkEnd w:id="129"/>
      <w:r/>
      <w:bookmarkEnd w:id="130"/>
      <w:r/>
      <w:r/>
    </w:p>
    <w:p>
      <w:r/>
      <w:r/>
    </w:p>
    <w:p>
      <w:pPr>
        <w:pStyle w:val="746"/>
      </w:pPr>
      <w:r/>
      <w:r/>
    </w:p>
    <w:p>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3．偏离表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bookmarkStart w:id="131" w:name="OLE_LINK68"/>
      <w:r/>
      <w:bookmarkStart w:id="132" w:name="OLE_LINK71"/>
      <w:r/>
      <w:bookmarkStart w:id="133" w:name="OLE_LINK313"/>
      <w:r>
        <w:rPr>
          <w:rFonts w:hint="eastAsia" w:ascii="仿宋" w:hAnsi="仿宋" w:eastAsia="仿宋"/>
          <w:sz w:val="24"/>
        </w:rPr>
        <w:t xml:space="preserve">项目名称：</w:t>
      </w:r>
      <w:bookmarkStart w:id="134" w:name="OLE_LINK315"/>
      <w:r/>
      <w:bookmarkStart w:id="135" w:name="OLE_LINK314"/>
      <w:r>
        <w:rPr>
          <w:rFonts w:hint="eastAsia" w:ascii="仿宋" w:hAnsi="仿宋" w:eastAsia="仿宋"/>
          <w:sz w:val="24"/>
          <w:u w:val="single"/>
        </w:rPr>
        <w:t xml:space="preserve">徐州经济技术开发区新一代电子政务外网服务</w:t>
      </w:r>
      <w:bookmarkEnd w:id="134"/>
      <w:r/>
      <w:bookmarkEnd w:id="135"/>
      <w:r/>
      <w:r/>
    </w:p>
    <w:p>
      <w:pPr>
        <w:rPr>
          <w:rFonts w:ascii="仿宋" w:hAnsi="仿宋" w:eastAsia="仿宋"/>
          <w:sz w:val="24"/>
          <w:u w:val="single"/>
        </w:rPr>
      </w:pPr>
      <w:r>
        <w:rPr>
          <w:rFonts w:hint="eastAsia" w:ascii="仿宋" w:hAnsi="仿宋" w:eastAsia="仿宋"/>
          <w:sz w:val="24"/>
        </w:rPr>
        <w:t xml:space="preserve">项目编号：</w:t>
      </w:r>
      <w:bookmarkEnd w:id="131"/>
      <w:r/>
      <w:bookmarkEnd w:id="132"/>
      <w:r/>
      <w:bookmarkEnd w:id="133"/>
      <w:r>
        <w:rPr>
          <w:rFonts w:hint="eastAsia" w:ascii="仿宋" w:hAnsi="仿宋" w:eastAsia="仿宋"/>
          <w:sz w:val="24"/>
          <w:u w:val="single"/>
        </w:rPr>
        <w:t xml:space="preserve">JSZC-320300-XZCG-G2026-0002</w:t>
      </w:r>
      <w:r/>
    </w:p>
    <w:p>
      <w:pPr>
        <w:rPr>
          <w:rFonts w:ascii="仿宋" w:hAnsi="仿宋" w:eastAsia="仿宋"/>
          <w:sz w:val="24"/>
          <w:u w:val="single"/>
        </w:rPr>
      </w:pPr>
      <w:r>
        <w:rPr>
          <w:rFonts w:ascii="仿宋" w:hAnsi="仿宋" w:eastAsia="仿宋"/>
          <w:sz w:val="24"/>
          <w:u w:val="single"/>
        </w:rPr>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828"/>
        <w:gridCol w:w="1404"/>
        <w:gridCol w:w="1476"/>
        <w:gridCol w:w="1620"/>
        <w:gridCol w:w="1260"/>
        <w:gridCol w:w="2340"/>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w:t>
      </w:r>
      <w:r>
        <w:rPr>
          <w:rFonts w:hint="eastAsia" w:ascii="仿宋" w:hAnsi="仿宋" w:eastAsia="仿宋"/>
          <w:sz w:val="24"/>
          <w:u w:val="single"/>
        </w:rPr>
        <w:t xml:space="preserve">除采购需求符合性条件外的</w:t>
      </w:r>
      <w:r>
        <w:rPr>
          <w:rFonts w:hint="eastAsia" w:ascii="仿宋" w:hAnsi="仿宋" w:eastAsia="仿宋"/>
          <w:sz w:val="24"/>
          <w:u w:val="single"/>
        </w:rPr>
        <w:t xml:space="preserve">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bCs/>
          <w:sz w:val="28"/>
          <w:szCs w:val="28"/>
        </w:rPr>
        <w:t xml:space="preserve">4.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w:t>
      </w: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兹委托（      ）全权代表我企业（公司）参与（</w:t>
      </w:r>
      <w:bookmarkStart w:id="136" w:name="OLE_LINK333"/>
      <w:r/>
      <w:bookmarkStart w:id="137" w:name="OLE_LINK334"/>
      <w:r>
        <w:rPr>
          <w:rFonts w:hint="eastAsia" w:ascii="仿宋" w:hAnsi="仿宋" w:eastAsia="仿宋"/>
          <w:sz w:val="28"/>
          <w:szCs w:val="28"/>
        </w:rPr>
        <w:t xml:space="preserve">徐州经济技术开发区新一代电子政务外网服务</w:t>
      </w:r>
      <w:bookmarkEnd w:id="136"/>
      <w:r/>
      <w:bookmarkEnd w:id="137"/>
      <w:r>
        <w:rPr>
          <w:rFonts w:hint="eastAsia" w:ascii="仿宋" w:hAnsi="仿宋" w:eastAsia="仿宋"/>
          <w:sz w:val="28"/>
          <w:szCs w:val="28"/>
        </w:rPr>
        <w:t xml:space="preserve">）项目</w:t>
      </w:r>
      <w:r>
        <w:rPr>
          <w:rFonts w:hint="eastAsia" w:ascii="仿宋" w:hAnsi="仿宋" w:eastAsia="仿宋"/>
          <w:sz w:val="32"/>
        </w:rPr>
        <w:t xml:space="preserve">（</w:t>
      </w:r>
      <w:r>
        <w:rPr>
          <w:rFonts w:hint="eastAsia" w:ascii="仿宋" w:hAnsi="仿宋" w:eastAsia="仿宋"/>
          <w:sz w:val="28"/>
          <w:szCs w:val="28"/>
        </w:rPr>
        <w:t xml:space="preserve">项目编号：</w:t>
      </w:r>
      <w:r>
        <w:rPr>
          <w:rFonts w:hint="eastAsia" w:ascii="仿宋" w:hAnsi="仿宋" w:eastAsia="仿宋"/>
          <w:sz w:val="28"/>
          <w:szCs w:val="28"/>
        </w:rPr>
        <w:t xml:space="preserve">JSZC-320300-XZCG-G2026-0002</w:t>
      </w:r>
      <w:r>
        <w:rPr>
          <w:rFonts w:hint="eastAsia" w:ascii="仿宋" w:hAnsi="仿宋" w:eastAsia="仿宋"/>
          <w:sz w:val="28"/>
          <w:szCs w:val="28"/>
        </w:rPr>
        <w:t xml:space="preserve">）的招、投标活</w:t>
      </w:r>
      <w:r>
        <w:rPr>
          <w:rFonts w:hint="eastAsia" w:ascii="仿宋" w:hAnsi="仿宋" w:eastAsia="仿宋"/>
          <w:sz w:val="24"/>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bookmarkStart w:id="138" w:name="OLE_LINK260"/>
      <w:r/>
      <w:bookmarkStart w:id="139" w:name="OLE_LINK259"/>
      <w:r/>
      <w:bookmarkStart w:id="140" w:name="OLE_LINK82"/>
      <w:r/>
      <w:bookmarkStart w:id="141" w:name="OLE_LINK81"/>
      <w:r/>
      <w:bookmarkStart w:id="142" w:name="OLE_LINK335"/>
      <w:r/>
      <w:bookmarkStart w:id="143" w:name="OLE_LINK336"/>
      <w:r>
        <w:rPr>
          <w:rFonts w:hint="eastAsia" w:ascii="仿宋" w:hAnsi="仿宋" w:eastAsia="仿宋"/>
          <w:sz w:val="24"/>
        </w:rPr>
        <w:t xml:space="preserve">项目名称</w:t>
      </w:r>
      <w:bookmarkEnd w:id="138"/>
      <w:r/>
      <w:bookmarkEnd w:id="139"/>
      <w:r>
        <w:rPr>
          <w:rFonts w:hint="eastAsia" w:ascii="仿宋" w:hAnsi="仿宋" w:eastAsia="仿宋"/>
          <w:sz w:val="24"/>
        </w:rPr>
        <w:t xml:space="preserve">：</w:t>
      </w:r>
      <w:bookmarkStart w:id="144" w:name="OLE_LINK73"/>
      <w:r/>
      <w:bookmarkStart w:id="145" w:name="OLE_LINK72"/>
      <w:r>
        <w:rPr>
          <w:rFonts w:hint="eastAsia" w:ascii="仿宋" w:hAnsi="仿宋" w:eastAsia="仿宋"/>
          <w:sz w:val="24"/>
          <w:u w:val="single"/>
        </w:rPr>
        <w:t xml:space="preserve">徐州经济技术开发区新一代电子政务外网服务</w:t>
      </w:r>
      <w:bookmarkEnd w:id="144"/>
      <w:r/>
      <w:bookmarkEnd w:id="145"/>
      <w:r/>
      <w:r/>
    </w:p>
    <w:p>
      <w:pPr>
        <w:rPr>
          <w:rFonts w:ascii="仿宋" w:hAnsi="仿宋" w:eastAsia="仿宋"/>
          <w:sz w:val="24"/>
          <w:u w:val="single"/>
        </w:rPr>
      </w:pPr>
      <w:r>
        <w:rPr>
          <w:rFonts w:hint="eastAsia" w:ascii="仿宋" w:hAnsi="仿宋" w:eastAsia="仿宋"/>
          <w:sz w:val="24"/>
        </w:rPr>
        <w:t xml:space="preserve">项目编号：</w:t>
      </w:r>
      <w:bookmarkEnd w:id="140"/>
      <w:r/>
      <w:bookmarkEnd w:id="141"/>
      <w:r>
        <w:rPr>
          <w:rFonts w:hint="eastAsia" w:ascii="仿宋" w:hAnsi="仿宋" w:eastAsia="仿宋"/>
          <w:sz w:val="24"/>
          <w:u w:val="single"/>
        </w:rPr>
        <w:t xml:space="preserve">JSZC-320300-XZCG-G2026-0002</w:t>
      </w:r>
      <w:bookmarkEnd w:id="142"/>
      <w:r/>
      <w:bookmarkEnd w:id="143"/>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u w:val="single"/>
        </w:rPr>
        <w:t xml:space="preserve">徐州经济技术开发区党政办公室</w:t>
      </w:r>
      <w:r>
        <w:rPr>
          <w:rFonts w:hint="eastAsia" w:ascii="仿宋" w:hAnsi="仿宋" w:eastAsia="仿宋" w:cs="宋体"/>
          <w:sz w:val="24"/>
        </w:rPr>
        <w:t xml:space="preserve">）的（</w:t>
      </w:r>
      <w:bookmarkStart w:id="146" w:name="OLE_LINK80"/>
      <w:r/>
      <w:bookmarkStart w:id="147" w:name="OLE_LINK76"/>
      <w:r/>
      <w:bookmarkStart w:id="148" w:name="OLE_LINK75"/>
      <w:r>
        <w:rPr>
          <w:rFonts w:hint="eastAsia" w:ascii="仿宋" w:hAnsi="仿宋" w:eastAsia="仿宋"/>
          <w:sz w:val="24"/>
          <w:u w:val="single"/>
        </w:rPr>
        <w:t xml:space="preserve">徐州经济技术开发区新一代电子政务外网服务</w:t>
      </w:r>
      <w:bookmarkEnd w:id="146"/>
      <w:r/>
      <w:bookmarkEnd w:id="147"/>
      <w:r/>
      <w:bookmarkEnd w:id="148"/>
      <w:r>
        <w:rPr>
          <w:rFonts w:hint="eastAsia" w:ascii="仿宋" w:hAnsi="仿宋" w:eastAsia="仿宋" w:cs="宋体"/>
          <w:sz w:val="24"/>
        </w:rPr>
        <w:t xml:space="preserve">）采购活动，服务全部由符合政策要求的中小企业承接。相关企业的具体情况如下：</w:t>
      </w:r>
      <w:r/>
    </w:p>
    <w:p>
      <w:pPr>
        <w:pStyle w:val="748"/>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sz w:val="24"/>
          <w:u w:val="single"/>
        </w:rPr>
        <w:t xml:space="preserve">徐州经济技术开发区新一代电子政务外网服务</w:t>
      </w:r>
      <w:r>
        <w:rPr>
          <w:rFonts w:hint="eastAsia" w:ascii="仿宋" w:hAnsi="仿宋" w:eastAsia="仿宋" w:cs="宋体"/>
          <w:sz w:val="24"/>
        </w:rPr>
        <w:t xml:space="preserve">），属于（</w:t>
      </w:r>
      <w:r>
        <w:rPr>
          <w:rFonts w:hint="eastAsia" w:ascii="仿宋" w:hAnsi="仿宋" w:eastAsia="仿宋" w:cs="仿宋"/>
          <w:color w:val="000000"/>
          <w:sz w:val="24"/>
        </w:rPr>
        <w:t xml:space="preserve">软件和信息技术服务业</w:t>
      </w:r>
      <w:r>
        <w:rPr>
          <w:rFonts w:hint="eastAsia" w:ascii="仿宋" w:hAnsi="仿宋" w:eastAsia="仿宋" w:cs="宋体"/>
          <w:sz w:val="24"/>
        </w:rPr>
        <w:t xml:space="preserve">）；承接企业为（    ），从业人员（  ）人，营业收入为（   万元），资产总额为（  万元）①，属于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748"/>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748"/>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748"/>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48"/>
        <w:ind w:right="480" w:firstLine="360"/>
        <w:rPr>
          <w:rFonts w:ascii="仿宋" w:hAnsi="仿宋" w:eastAsia="仿宋" w:cs="宋体"/>
          <w:sz w:val="24"/>
        </w:rPr>
      </w:pPr>
      <w:r>
        <w:rPr>
          <w:rFonts w:ascii="仿宋" w:hAnsi="仿宋" w:eastAsia="仿宋" w:cs="宋体"/>
          <w:sz w:val="24"/>
        </w:rPr>
      </w:r>
      <w:r/>
    </w:p>
    <w:p>
      <w:pPr>
        <w:pStyle w:val="748"/>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48"/>
        <w:ind w:right="480" w:firstLine="3240"/>
        <w:rPr>
          <w:rFonts w:ascii="仿宋" w:hAnsi="仿宋" w:eastAsia="仿宋" w:cs="宋体"/>
          <w:sz w:val="24"/>
        </w:rPr>
      </w:pPr>
      <w:r>
        <w:rPr>
          <w:rFonts w:ascii="仿宋" w:hAnsi="仿宋" w:eastAsia="仿宋" w:cs="宋体"/>
          <w:sz w:val="24"/>
        </w:rPr>
      </w:r>
      <w:r/>
    </w:p>
    <w:p>
      <w:pPr>
        <w:pStyle w:val="748"/>
        <w:rPr>
          <w:rFonts w:ascii="仿宋" w:hAnsi="仿宋" w:eastAsia="仿宋" w:cs="宋体"/>
          <w:sz w:val="24"/>
        </w:rPr>
      </w:pPr>
      <w:r>
        <w:rPr>
          <w:rFonts w:ascii="仿宋" w:hAnsi="仿宋" w:eastAsia="仿宋" w:cs="宋体"/>
          <w:sz w:val="24"/>
        </w:rPr>
      </w:r>
      <w:r/>
    </w:p>
    <w:p>
      <w:pPr>
        <w:pStyle w:val="748"/>
        <w:rPr>
          <w:rFonts w:ascii="仿宋" w:hAnsi="仿宋" w:eastAsia="仿宋" w:cs="宋体"/>
          <w:sz w:val="24"/>
        </w:rPr>
      </w:pPr>
      <w:r>
        <w:rPr>
          <w:rFonts w:ascii="仿宋" w:hAnsi="仿宋" w:eastAsia="仿宋" w:cs="宋体"/>
          <w:sz w:val="24"/>
        </w:rPr>
      </w:r>
      <w:r/>
    </w:p>
    <w:p>
      <w:pPr>
        <w:pStyle w:val="748"/>
        <w:rPr>
          <w:rFonts w:ascii="仿宋" w:hAnsi="仿宋" w:eastAsia="仿宋" w:cs="宋体"/>
          <w:sz w:val="24"/>
        </w:rPr>
      </w:pPr>
      <w:r>
        <w:rPr>
          <w:rFonts w:ascii="仿宋" w:hAnsi="仿宋" w:eastAsia="仿宋" w:cs="宋体"/>
          <w:sz w:val="24"/>
        </w:rPr>
      </w:r>
      <w:r/>
    </w:p>
    <w:p>
      <w:pPr>
        <w:pStyle w:val="748"/>
        <w:rPr>
          <w:rFonts w:ascii="仿宋" w:hAnsi="仿宋" w:eastAsia="仿宋" w:cs="宋体"/>
          <w:sz w:val="24"/>
        </w:rPr>
      </w:pPr>
      <w:r>
        <w:rPr>
          <w:rFonts w:ascii="仿宋" w:hAnsi="仿宋" w:eastAsia="仿宋" w:cs="宋体"/>
          <w:sz w:val="24"/>
        </w:rPr>
      </w:r>
      <w:r/>
    </w:p>
    <w:p>
      <w:pPr>
        <w:pStyle w:val="748"/>
        <w:rPr>
          <w:rFonts w:ascii="仿宋" w:hAnsi="仿宋" w:eastAsia="仿宋" w:cs="宋体"/>
          <w:sz w:val="24"/>
        </w:rPr>
      </w:pPr>
      <w:r>
        <w:rPr>
          <w:rFonts w:hint="eastAsia" w:ascii="仿宋" w:hAnsi="仿宋" w:eastAsia="仿宋" w:cs="宋体"/>
          <w:sz w:val="24"/>
        </w:rPr>
        <w:t xml:space="preserve">①：从业人员、营业收入、资产总额填报上一年度数据，无上一年度数据的新成立企业可不填报。</w:t>
      </w:r>
      <w:r/>
    </w:p>
    <w:p>
      <w:pPr>
        <w:ind w:firstLine="2400"/>
        <w:rPr>
          <w:rFonts w:ascii="仿宋" w:hAnsi="仿宋" w:eastAsia="仿宋"/>
          <w:sz w:val="24"/>
        </w:rPr>
      </w:pPr>
      <w:r>
        <w:rPr>
          <w:rFonts w:ascii="仿宋" w:hAnsi="仿宋" w:eastAsia="仿宋"/>
          <w:sz w:val="24"/>
        </w:rPr>
      </w:r>
      <w:r/>
    </w:p>
    <w:p>
      <w:pPr>
        <w:ind w:firstLine="3000"/>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pStyle w:val="750"/>
        <w:rPr>
          <w:rFonts w:ascii="仿宋" w:hAnsi="仿宋"/>
          <w:sz w:val="30"/>
          <w:szCs w:val="30"/>
        </w:rPr>
      </w:pPr>
      <w:r>
        <w:rPr>
          <w:rFonts w:ascii="仿宋" w:hAnsi="仿宋"/>
          <w:sz w:val="30"/>
          <w:szCs w:val="30"/>
        </w:rPr>
      </w:r>
      <w:r/>
    </w:p>
    <w:p>
      <w:pPr>
        <w:pStyle w:val="750"/>
        <w:rPr>
          <w:rFonts w:ascii="仿宋" w:hAnsi="仿宋"/>
          <w:sz w:val="30"/>
          <w:szCs w:val="30"/>
        </w:rPr>
      </w:pPr>
      <w:r>
        <w:rPr>
          <w:rFonts w:ascii="仿宋" w:hAnsi="仿宋"/>
          <w:sz w:val="30"/>
          <w:szCs w:val="30"/>
        </w:rPr>
      </w:r>
      <w:r/>
    </w:p>
    <w:p>
      <w:pPr>
        <w:rPr>
          <w:rFonts w:ascii="仿宋" w:hAnsi="仿宋" w:eastAsia="仿宋"/>
          <w:sz w:val="30"/>
          <w:szCs w:val="30"/>
        </w:rPr>
      </w:pPr>
      <w:r>
        <w:rPr>
          <w:rFonts w:ascii="仿宋" w:hAnsi="仿宋" w:eastAsia="仿宋"/>
          <w:sz w:val="30"/>
          <w:szCs w:val="30"/>
        </w:rPr>
      </w:r>
      <w:r/>
    </w:p>
    <w:p>
      <w:pPr>
        <w:pStyle w:val="746"/>
        <w:rPr>
          <w:rFonts w:ascii="Times New Roman" w:hAnsi="Times New Roman"/>
          <w:sz w:val="21"/>
          <w:szCs w:val="24"/>
        </w:rPr>
      </w:pPr>
      <w:r>
        <w:rPr>
          <w:rFonts w:ascii="Times New Roman" w:hAnsi="Times New Roman"/>
          <w:sz w:val="21"/>
          <w:szCs w:val="24"/>
        </w:rPr>
      </w:r>
      <w:r/>
    </w:p>
    <w:p>
      <w:pPr>
        <w:jc w:val="center"/>
        <w:rPr>
          <w:rFonts w:ascii="仿宋" w:hAnsi="仿宋" w:eastAsia="仿宋"/>
          <w:sz w:val="28"/>
          <w:szCs w:val="28"/>
        </w:rPr>
      </w:pPr>
      <w:r>
        <w:rPr>
          <w:rFonts w:hint="eastAsia" w:ascii="仿宋" w:hAnsi="仿宋" w:eastAsia="仿宋"/>
          <w:sz w:val="28"/>
          <w:szCs w:val="28"/>
        </w:rPr>
        <w:t xml:space="preserve">6.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r>
        <w:rPr>
          <w:rFonts w:hint="eastAsia" w:ascii="仿宋" w:hAnsi="仿宋" w:eastAsia="仿宋"/>
          <w:sz w:val="28"/>
          <w:szCs w:val="28"/>
        </w:rPr>
        <w:t xml:space="preserve">徐州经济技术开发区新一代电子政务外网服务</w:t>
      </w:r>
      <w:r>
        <w:rPr>
          <w:rFonts w:hint="eastAsia" w:ascii="仿宋" w:hAnsi="仿宋" w:eastAsia="仿宋"/>
          <w:sz w:val="28"/>
          <w:szCs w:val="28"/>
        </w:rPr>
        <w:t xml:space="preserve">）项目（项目编号：</w:t>
      </w:r>
      <w:r>
        <w:rPr>
          <w:rFonts w:hint="eastAsia" w:ascii="仿宋" w:hAnsi="仿宋" w:eastAsia="仿宋"/>
          <w:sz w:val="28"/>
          <w:szCs w:val="28"/>
        </w:rPr>
        <w:t xml:space="preserve">JSZC-320300-XZCG-G2026-0002</w:t>
      </w:r>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757"/>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pStyle w:val="746"/>
        <w:rPr>
          <w:rFonts w:ascii="Times New Roman" w:hAnsi="Times New Roman"/>
          <w:sz w:val="21"/>
          <w:szCs w:val="24"/>
        </w:rPr>
      </w:pPr>
      <w:r>
        <w:rPr>
          <w:rFonts w:ascii="Times New Roman" w:hAnsi="Times New Roman"/>
          <w:sz w:val="21"/>
          <w:szCs w:val="24"/>
        </w:r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bookmarkStart w:id="149" w:name="OLE_LINK13"/>
      <w:r/>
      <w:bookmarkStart w:id="150" w:name="OLE_LINK14"/>
      <w:r>
        <w:rPr>
          <w:rFonts w:hint="eastAsia" w:ascii="仿宋" w:hAnsi="仿宋" w:eastAsia="仿宋"/>
          <w:spacing w:val="6"/>
          <w:sz w:val="28"/>
          <w:szCs w:val="28"/>
        </w:rPr>
        <w:t xml:space="preserve"> 残疾人福利性单位声明函</w:t>
      </w:r>
      <w:bookmarkEnd w:id="149"/>
      <w:r/>
      <w:bookmarkEnd w:id="150"/>
      <w:r/>
      <w:r/>
    </w:p>
    <w:p>
      <w:pPr>
        <w:rPr>
          <w:rFonts w:ascii="仿宋" w:hAnsi="仿宋" w:eastAsia="仿宋"/>
          <w:sz w:val="28"/>
          <w:szCs w:val="28"/>
        </w:rPr>
      </w:pPr>
      <w:r>
        <w:rPr>
          <w:rFonts w:ascii="仿宋" w:hAnsi="仿宋" w:eastAsia="仿宋"/>
          <w:sz w:val="28"/>
          <w:szCs w:val="28"/>
        </w:rPr>
      </w:r>
      <w:r/>
    </w:p>
    <w:p>
      <w:pPr>
        <w:rPr>
          <w:rFonts w:ascii="仿宋" w:hAnsi="仿宋" w:eastAsia="仿宋"/>
          <w:sz w:val="24"/>
          <w:u w:val="single"/>
        </w:rPr>
      </w:pPr>
      <w:r/>
      <w:bookmarkStart w:id="151" w:name="OLE_LINK341"/>
      <w:r/>
      <w:bookmarkStart w:id="152" w:name="OLE_LINK342"/>
      <w:r>
        <w:rPr>
          <w:rFonts w:hint="eastAsia" w:ascii="仿宋" w:hAnsi="仿宋" w:eastAsia="仿宋"/>
          <w:sz w:val="24"/>
        </w:rPr>
        <w:t xml:space="preserve">项目名称：</w:t>
      </w:r>
      <w:r>
        <w:rPr>
          <w:rFonts w:hint="eastAsia" w:ascii="仿宋" w:hAnsi="仿宋" w:eastAsia="仿宋"/>
          <w:sz w:val="24"/>
          <w:u w:val="single"/>
        </w:rPr>
        <w:t xml:space="preserve">徐州经济技术开发区新一代电子政务外网服务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JSZC-320300-XZCG-G2026-0002</w:t>
      </w:r>
      <w:bookmarkEnd w:id="151"/>
      <w:r/>
      <w:bookmarkEnd w:id="152"/>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bookmarkStart w:id="153" w:name="_GoBack"/>
      <w:r/>
      <w:bookmarkEnd w:id="153"/>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rPr>
        <w:t xml:space="preserve">徐州经济技术开发区党政办公室</w:t>
      </w:r>
      <w:r>
        <w:rPr>
          <w:rFonts w:hint="eastAsia" w:ascii="仿宋" w:hAnsi="仿宋" w:eastAsia="仿宋"/>
          <w:spacing w:val="6"/>
          <w:sz w:val="28"/>
          <w:szCs w:val="28"/>
        </w:rPr>
        <w:t xml:space="preserve">单位的</w:t>
      </w:r>
      <w:r>
        <w:rPr>
          <w:rFonts w:hint="eastAsia" w:ascii="仿宋" w:hAnsi="仿宋" w:eastAsia="仿宋"/>
          <w:spacing w:val="6"/>
          <w:sz w:val="28"/>
          <w:szCs w:val="28"/>
          <w:u w:val="single"/>
        </w:rPr>
        <w:t xml:space="preserve">徐州经济技术开发区新一代电子政务外网服务</w:t>
      </w:r>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750"/>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tabs>
          <w:tab w:val="left" w:pos="1275" w:leader="none"/>
        </w:tabs>
        <w:rPr>
          <w:rFonts w:ascii="仿宋" w:hAnsi="仿宋" w:eastAsia="仿宋"/>
          <w:sz w:val="24"/>
        </w:rPr>
      </w:pPr>
      <w:r>
        <w:rPr>
          <w:rFonts w:ascii="仿宋" w:hAnsi="仿宋" w:eastAsia="仿宋"/>
          <w:sz w:val="24"/>
        </w:rPr>
        <w:tab/>
      </w:r>
      <w:r/>
    </w:p>
    <w:p>
      <w:pPr>
        <w:rPr>
          <w:rFonts w:ascii="仿宋" w:hAnsi="仿宋" w:eastAsia="仿宋"/>
          <w:sz w:val="24"/>
          <w:u w:val="single"/>
        </w:rPr>
      </w:pPr>
      <w:r/>
      <w:bookmarkStart w:id="154" w:name="OLE_LINK347"/>
      <w:r/>
      <w:bookmarkStart w:id="155" w:name="OLE_LINK348"/>
      <w:r>
        <w:rPr>
          <w:rFonts w:hint="eastAsia" w:ascii="仿宋" w:hAnsi="仿宋" w:eastAsia="仿宋"/>
          <w:sz w:val="24"/>
        </w:rPr>
        <w:t xml:space="preserve">项目名称：</w:t>
      </w:r>
      <w:r>
        <w:rPr>
          <w:rFonts w:hint="eastAsia" w:ascii="仿宋" w:hAnsi="仿宋" w:eastAsia="仿宋"/>
          <w:sz w:val="24"/>
          <w:u w:val="single"/>
        </w:rPr>
        <w:t xml:space="preserve">徐州经济技术开发区新一代电子政务外网服务</w:t>
      </w:r>
      <w:r/>
    </w:p>
    <w:p>
      <w:pPr>
        <w:rPr>
          <w:rFonts w:ascii="仿宋" w:hAnsi="仿宋" w:eastAsia="仿宋"/>
          <w:sz w:val="24"/>
          <w:u w:val="single"/>
        </w:rPr>
      </w:pPr>
      <w:r>
        <w:rPr>
          <w:rFonts w:hint="eastAsia" w:ascii="仿宋" w:hAnsi="仿宋" w:eastAsia="仿宋"/>
          <w:sz w:val="24"/>
        </w:rPr>
        <w:t xml:space="preserve">项目编号：</w:t>
      </w:r>
      <w:bookmarkStart w:id="156" w:name="OLE_LINK345"/>
      <w:r/>
      <w:bookmarkStart w:id="157" w:name="OLE_LINK346"/>
      <w:r>
        <w:rPr>
          <w:rFonts w:hint="eastAsia" w:ascii="仿宋" w:hAnsi="仿宋" w:eastAsia="仿宋"/>
          <w:sz w:val="24"/>
          <w:u w:val="single"/>
        </w:rPr>
        <w:t xml:space="preserve">JSZC-320300-XZCG-G2026-0002</w:t>
      </w:r>
      <w:bookmarkEnd w:id="154"/>
      <w:r/>
      <w:bookmarkEnd w:id="155"/>
      <w:r/>
      <w:bookmarkEnd w:id="156"/>
      <w:r/>
      <w:bookmarkEnd w:id="157"/>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u w:val="single"/>
        </w:rPr>
        <w:t xml:space="preserve">徐州经济技术开发区新一代电子政务外网服务</w:t>
      </w:r>
      <w:r>
        <w:rPr>
          <w:rFonts w:hint="eastAsia" w:ascii="仿宋" w:hAnsi="仿宋" w:eastAsia="仿宋"/>
          <w:sz w:val="24"/>
        </w:rPr>
        <w:t xml:space="preserve">，项目编号：</w:t>
      </w:r>
      <w:r>
        <w:rPr>
          <w:rFonts w:hint="eastAsia" w:ascii="仿宋" w:hAnsi="仿宋" w:eastAsia="仿宋"/>
          <w:sz w:val="24"/>
          <w:u w:val="single"/>
        </w:rPr>
        <w:t xml:space="preserve">JSZC-320300-XZCG-G2026-0002</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750"/>
        <w:rPr>
          <w:rFonts w:ascii="仿宋" w:hAnsi="仿宋" w:cs="宋体"/>
          <w:sz w:val="30"/>
          <w:szCs w:val="30"/>
        </w:rPr>
      </w:pPr>
      <w:r>
        <w:rPr>
          <w:rFonts w:ascii="仿宋" w:hAnsi="仿宋" w:cs="宋体"/>
          <w:sz w:val="30"/>
          <w:szCs w:val="30"/>
        </w:rPr>
      </w:r>
      <w:r/>
    </w:p>
    <w:p>
      <w:pPr>
        <w:pStyle w:val="750"/>
        <w:rPr>
          <w:rFonts w:ascii="仿宋" w:hAnsi="仿宋" w:cs="宋体"/>
          <w:sz w:val="30"/>
          <w:szCs w:val="30"/>
        </w:rPr>
      </w:pPr>
      <w:r>
        <w:rPr>
          <w:rFonts w:ascii="仿宋" w:hAnsi="仿宋" w:cs="宋体"/>
          <w:sz w:val="30"/>
          <w:szCs w:val="30"/>
        </w:rPr>
      </w:r>
      <w:r/>
    </w:p>
    <w:p>
      <w:pPr>
        <w:pStyle w:val="750"/>
        <w:rPr>
          <w:rFonts w:ascii="仿宋" w:hAnsi="仿宋" w:cs="宋体"/>
          <w:sz w:val="30"/>
          <w:szCs w:val="30"/>
        </w:rPr>
      </w:pPr>
      <w:r>
        <w:rPr>
          <w:rFonts w:ascii="仿宋" w:hAnsi="仿宋" w:cs="宋体"/>
          <w:sz w:val="30"/>
          <w:szCs w:val="30"/>
        </w:rPr>
      </w:r>
      <w:r/>
    </w:p>
    <w:p>
      <w:pPr>
        <w:pStyle w:val="750"/>
        <w:rPr>
          <w:rFonts w:ascii="仿宋" w:hAnsi="仿宋" w:cs="宋体"/>
          <w:sz w:val="30"/>
          <w:szCs w:val="30"/>
        </w:rPr>
      </w:pPr>
      <w:r>
        <w:rPr>
          <w:rFonts w:ascii="仿宋" w:hAnsi="仿宋" w:cs="宋体"/>
          <w:sz w:val="30"/>
          <w:szCs w:val="30"/>
        </w:rPr>
      </w:r>
      <w:r/>
    </w:p>
    <w:p>
      <w:pPr>
        <w:pStyle w:val="750"/>
        <w:rPr>
          <w:rFonts w:ascii="仿宋" w:hAnsi="仿宋" w:cs="宋体"/>
          <w:sz w:val="30"/>
          <w:szCs w:val="30"/>
        </w:rPr>
      </w:pPr>
      <w:r>
        <w:rPr>
          <w:rFonts w:ascii="仿宋" w:hAnsi="仿宋" w:cs="宋体"/>
          <w:sz w:val="30"/>
          <w:szCs w:val="30"/>
        </w:rPr>
      </w:r>
      <w:r/>
    </w:p>
    <w:p>
      <w:pPr>
        <w:pStyle w:val="750"/>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9.投标人相关承诺</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徐州经济技术开发区新一代电子政务外网服务</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u w:val="single"/>
        </w:rPr>
        <w:t xml:space="preserve">JSZC-320300-XZCG-G2026-0002</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771"/>
      </w:pPr>
      <w:r/>
      <w:r/>
    </w:p>
    <w:p>
      <w:pPr>
        <w:pStyle w:val="771"/>
      </w:pPr>
      <w:r/>
      <w:r/>
    </w:p>
    <w:p>
      <w:pPr>
        <w:pStyle w:val="771"/>
      </w:pPr>
      <w:r/>
      <w:r/>
    </w:p>
    <w:p>
      <w:pPr>
        <w:pStyle w:val="771"/>
      </w:pPr>
      <w:r/>
      <w:r/>
    </w:p>
    <w:p>
      <w:pPr>
        <w:pStyle w:val="771"/>
      </w:pPr>
      <w:r/>
      <w:r/>
    </w:p>
    <w:p>
      <w:pPr>
        <w:pStyle w:val="771"/>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br w:type="page" w:clear="all"/>
      </w:r>
      <w:r>
        <w:rPr>
          <w:rFonts w:hint="eastAsia" w:ascii="仿宋" w:hAnsi="仿宋" w:eastAsia="仿宋"/>
          <w:sz w:val="28"/>
          <w:szCs w:val="28"/>
        </w:rPr>
        <w:t xml:space="preserve">10.投标人书面声明</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徐州经济技术开发区新一代电子政务外网服务</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u w:val="single"/>
        </w:rPr>
        <w:t xml:space="preserve">JSZC-320300-XZCG-G2026-0002</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71"/>
      </w:pPr>
      <w:r/>
      <w:r/>
    </w:p>
    <w:p>
      <w:pPr>
        <w:pStyle w:val="771"/>
      </w:pPr>
      <w:r/>
      <w:r/>
    </w:p>
    <w:p>
      <w:pPr>
        <w:pStyle w:val="771"/>
      </w:pPr>
      <w:r/>
      <w:r/>
    </w:p>
    <w:p>
      <w:pPr>
        <w:pStyle w:val="771"/>
      </w:pPr>
      <w:r/>
      <w:r/>
    </w:p>
    <w:p>
      <w:pPr>
        <w:pStyle w:val="771"/>
      </w:pPr>
      <w:r/>
      <w:r/>
    </w:p>
    <w:p>
      <w:pPr>
        <w:pStyle w:val="771"/>
      </w:pPr>
      <w:r/>
      <w:r/>
    </w:p>
    <w:p>
      <w:pPr>
        <w:pStyle w:val="771"/>
      </w:pPr>
      <w:r/>
      <w:r/>
    </w:p>
    <w:p>
      <w:pPr>
        <w:pStyle w:val="771"/>
      </w:pPr>
      <w:r/>
      <w:r/>
    </w:p>
    <w:p>
      <w:pPr>
        <w:pStyle w:val="771"/>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750"/>
        <w:ind w:firstLine="2880"/>
        <w:rPr>
          <w:rFonts w:ascii="仿宋" w:hAnsi="仿宋" w:cs="宋体"/>
          <w:sz w:val="30"/>
          <w:szCs w:val="30"/>
        </w:rPr>
      </w:pPr>
      <w:r>
        <w:rPr>
          <w:rFonts w:hint="eastAsia" w:ascii="仿宋" w:hAnsi="仿宋"/>
          <w:sz w:val="24"/>
        </w:rPr>
        <w:t xml:space="preserve">日期：   年  月  日</w:t>
      </w:r>
      <w:r/>
    </w:p>
    <w:p>
      <w:pPr>
        <w:pStyle w:val="750"/>
        <w:rPr>
          <w:rFonts w:ascii="仿宋" w:hAnsi="仿宋" w:cs="宋体"/>
          <w:sz w:val="30"/>
          <w:szCs w:val="30"/>
        </w:rPr>
      </w:pPr>
      <w:r>
        <w:rPr>
          <w:rFonts w:ascii="仿宋" w:hAnsi="仿宋" w:cs="宋体"/>
          <w:sz w:val="30"/>
          <w:szCs w:val="30"/>
        </w:rPr>
      </w:r>
      <w:r/>
    </w:p>
    <w:p>
      <w:pPr>
        <w:pStyle w:val="750"/>
        <w:rPr>
          <w:rFonts w:ascii="仿宋" w:hAnsi="仿宋" w:cs="宋体"/>
          <w:sz w:val="30"/>
          <w:szCs w:val="30"/>
        </w:rPr>
      </w:pPr>
      <w:r>
        <w:rPr>
          <w:rFonts w:ascii="仿宋" w:hAnsi="仿宋" w:cs="宋体"/>
          <w:sz w:val="30"/>
          <w:szCs w:val="30"/>
        </w:rPr>
      </w:r>
      <w:r/>
    </w:p>
    <w:p>
      <w:pPr>
        <w:pStyle w:val="750"/>
        <w:rPr>
          <w:rFonts w:ascii="仿宋" w:hAnsi="仿宋" w:cs="宋体"/>
          <w:sz w:val="30"/>
          <w:szCs w:val="30"/>
        </w:rPr>
      </w:pPr>
      <w:r>
        <w:rPr>
          <w:rFonts w:ascii="仿宋" w:hAnsi="仿宋" w:cs="宋体"/>
          <w:sz w:val="30"/>
          <w:szCs w:val="30"/>
        </w:rPr>
      </w:r>
      <w:r/>
    </w:p>
    <w:p>
      <w:pPr>
        <w:pStyle w:val="750"/>
        <w:rPr>
          <w:rFonts w:ascii="仿宋" w:hAnsi="仿宋" w:cs="宋体"/>
          <w:sz w:val="30"/>
          <w:szCs w:val="30"/>
        </w:rPr>
      </w:pPr>
      <w:r>
        <w:rPr>
          <w:rFonts w:ascii="仿宋" w:hAnsi="仿宋" w:cs="宋体"/>
          <w:sz w:val="30"/>
          <w:szCs w:val="30"/>
        </w:rPr>
      </w:r>
      <w:r/>
    </w:p>
    <w:p>
      <w:pPr>
        <w:pStyle w:val="750"/>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11.采购需求符合性条件响应表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徐州经济技术开发区新一代电子政务外网服务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JSZC-320300-XZCG-G2026-0002</w:t>
      </w:r>
      <w:r/>
    </w:p>
    <w:p>
      <w:pPr>
        <w:rPr>
          <w:rFonts w:ascii="仿宋" w:hAnsi="仿宋" w:eastAsia="仿宋"/>
          <w:sz w:val="24"/>
          <w:u w:val="single"/>
        </w:rPr>
      </w:pPr>
      <w:r>
        <w:rPr>
          <w:rFonts w:ascii="仿宋" w:hAnsi="仿宋" w:eastAsia="仿宋"/>
          <w:sz w:val="24"/>
          <w:u w:val="single"/>
        </w:rPr>
      </w:r>
      <w:r/>
    </w:p>
    <w:tbl>
      <w:tblPr>
        <w:tblW w:w="10348"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567"/>
        <w:gridCol w:w="2694"/>
        <w:gridCol w:w="2268"/>
        <w:gridCol w:w="2126"/>
        <w:gridCol w:w="2693"/>
      </w:tblGrid>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“清单1：传输线路配置清单” “清单2：网络设备配置清单”中“数量”要求的响应情况</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“接入单位清单”要求的响应情况</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540"/>
        </w:trPr>
        <w:tc>
          <w:tcPr>
            <w:tcBorders>
              <w:top w:val="single" w:color="000000" w:sz="6"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000000" w:sz="6"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“特别要求”要求的响应情况</w:t>
            </w:r>
            <w:r/>
          </w:p>
        </w:tc>
        <w:tc>
          <w:tcPr>
            <w:tcBorders>
              <w:top w:val="single" w:color="000000" w:sz="6"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bookmarkStart w:id="158" w:name="OLE_LINK361"/>
            <w:r/>
            <w:bookmarkStart w:id="159" w:name="OLE_LINK362"/>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w:t>
            </w:r>
            <w:r>
              <w:rPr>
                <w:rFonts w:hint="eastAsia" w:ascii="仿宋" w:hAnsi="仿宋" w:eastAsia="仿宋" w:cs="仿宋"/>
                <w:sz w:val="24"/>
              </w:rPr>
              <w:t xml:space="preserve">要求</w:t>
            </w:r>
            <w:bookmarkEnd w:id="158"/>
            <w:r/>
            <w:bookmarkEnd w:id="159"/>
            <w:r/>
            <w:r/>
          </w:p>
        </w:tc>
        <w:tc>
          <w:tcPr>
            <w:tcBorders>
              <w:top w:val="single" w:color="000000" w:sz="6"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auto" w:sz="4" w:space="0"/>
              <w:right w:val="single" w:color="000000" w:sz="6" w:space="0"/>
            </w:tcBorders>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210"/>
        </w:trPr>
        <w:tc>
          <w:tcPr>
            <w:tcBorders>
              <w:top w:val="single" w:color="auto" w:sz="4"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“项目服务期限”的响应情况</w:t>
            </w:r>
            <w:r/>
          </w:p>
        </w:tc>
        <w:tc>
          <w:tcPr>
            <w:tcBorders>
              <w:top w:val="single" w:color="auto" w:sz="4"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47"/>
        </w:trPr>
        <w:tc>
          <w:tcPr>
            <w:tcBorders>
              <w:top w:val="single" w:color="auto" w:sz="4"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sz w:val="24"/>
                <w:highlight w:val="green"/>
              </w:rPr>
            </w:pPr>
            <w:r>
              <w:rPr>
                <w:rFonts w:hint="eastAsia" w:ascii="仿宋" w:hAnsi="仿宋" w:eastAsia="仿宋" w:cs="仿宋"/>
                <w:sz w:val="24"/>
              </w:rPr>
              <w:t xml:space="preserve">“付款方式” 的响应情况</w:t>
            </w:r>
            <w:r/>
          </w:p>
        </w:tc>
        <w:tc>
          <w:tcPr>
            <w:tcBorders>
              <w:top w:val="single" w:color="auto" w:sz="4"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50"/>
        </w:trPr>
        <w:tc>
          <w:tcPr>
            <w:tcBorders>
              <w:top w:val="single" w:color="auto" w:sz="4"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highlight w:val="green"/>
              </w:rPr>
            </w:pPr>
            <w:r>
              <w:rPr>
                <w:rFonts w:hint="eastAsia" w:ascii="仿宋" w:hAnsi="仿宋" w:eastAsia="仿宋" w:cs="仿宋"/>
                <w:sz w:val="24"/>
              </w:rPr>
              <w:t xml:space="preserve">“关于投标报价的相关说明”的响应情况</w:t>
            </w:r>
            <w:r/>
          </w:p>
        </w:tc>
        <w:tc>
          <w:tcPr>
            <w:tcBorders>
              <w:top w:val="single" w:color="auto" w:sz="4"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Borders>
              <w:top w:val="single" w:color="auto" w:sz="4"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000000" w:sz="6" w:space="0"/>
              <w:right w:val="single" w:color="000000" w:sz="6" w:space="0"/>
            </w:tcBorders>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bl>
    <w:p>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w:t>
      </w:r>
      <w:r>
        <w:rPr>
          <w:rFonts w:hint="eastAsia" w:ascii="仿宋" w:hAnsi="仿宋" w:eastAsia="仿宋"/>
          <w:b/>
          <w:sz w:val="24"/>
          <w:u w:val="single"/>
        </w:rPr>
        <w:t xml:space="preserve">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pPr>
        <w:pStyle w:val="746"/>
      </w:pPr>
      <w:r/>
      <w:r/>
    </w:p>
    <w:p>
      <w:pPr>
        <w:pStyle w:val="757"/>
        <w:ind w:firstLine="480"/>
        <w:spacing w:before="0" w:beforeAutospacing="0" w:after="0" w:afterAutospacing="0"/>
        <w:shd w:val="clear" w:color="auto" w:fill="ffffff"/>
      </w:pPr>
      <w:r/>
      <w:r/>
    </w:p>
    <w:p>
      <w:r/>
      <w:r/>
    </w:p>
    <w:sectPr>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隶书">
    <w:panose1 w:val="02010509060101010101"/>
  </w:font>
  <w:font w:name="Wingdings 2">
    <w:panose1 w:val="05020102010507070707"/>
  </w:font>
  <w:font w:name="Symbol">
    <w:panose1 w:val="05050102010706020507"/>
  </w:font>
  <w:font w:name="Calibri Light">
    <w:panose1 w:val="020F0302020204030204"/>
  </w:font>
  <w:font w:name="MingLiU">
    <w:panose1 w:val="02020500000000000000"/>
  </w:font>
  <w:font w:name="Wingdings">
    <w:panose1 w:val="05000000000000000000"/>
  </w:font>
  <w:font w:name="华文楷体">
    <w:panose1 w:val="02010600040101010101"/>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华文仿宋">
    <w:panose1 w:val="0201060004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0" w:firstLine="0"/>
        <w:tabs>
          <w:tab w:val="left" w:pos="312" w:leader="none"/>
        </w:tabs>
      </w:pPr>
    </w:lvl>
    <w:lvl w:ilvl="1">
      <w:start w:val="3"/>
      <w:numFmt w:val="decimal"/>
      <w:isLgl/>
      <w:suff w:val="tab"/>
      <w:lvlText w:val="%1.%2"/>
      <w:lvlJc w:val="left"/>
      <w:pPr>
        <w:ind w:left="960" w:hanging="720"/>
      </w:pPr>
    </w:lvl>
    <w:lvl w:ilvl="2">
      <w:start w:val="4"/>
      <w:numFmt w:val="decimal"/>
      <w:isLgl/>
      <w:suff w:val="tab"/>
      <w:lvlText w:val="%1.%2.%3"/>
      <w:lvlJc w:val="left"/>
      <w:pPr>
        <w:ind w:left="1200" w:hanging="720"/>
      </w:pPr>
    </w:lvl>
    <w:lvl w:ilvl="3">
      <w:start w:val="1"/>
      <w:numFmt w:val="decimal"/>
      <w:isLgl/>
      <w:suff w:val="tab"/>
      <w:lvlText w:val="%1.%2.%3.%4"/>
      <w:lvlJc w:val="left"/>
      <w:pPr>
        <w:ind w:left="1440" w:hanging="720"/>
      </w:pPr>
    </w:lvl>
    <w:lvl w:ilvl="4">
      <w:start w:val="1"/>
      <w:numFmt w:val="decimal"/>
      <w:isLgl/>
      <w:suff w:val="tab"/>
      <w:lvlText w:val="%1.%2.%3.%4.%5"/>
      <w:lvlJc w:val="left"/>
      <w:pPr>
        <w:ind w:left="2040" w:hanging="1080"/>
      </w:pPr>
    </w:lvl>
    <w:lvl w:ilvl="5">
      <w:start w:val="1"/>
      <w:numFmt w:val="decimal"/>
      <w:isLgl/>
      <w:suff w:val="tab"/>
      <w:lvlText w:val="%1.%2.%3.%4.%5.%6"/>
      <w:lvlJc w:val="left"/>
      <w:pPr>
        <w:ind w:left="2280" w:hanging="1080"/>
      </w:pPr>
    </w:lvl>
    <w:lvl w:ilvl="6">
      <w:start w:val="1"/>
      <w:numFmt w:val="decimal"/>
      <w:isLgl/>
      <w:suff w:val="tab"/>
      <w:lvlText w:val="%1.%2.%3.%4.%5.%6.%7"/>
      <w:lvlJc w:val="left"/>
      <w:pPr>
        <w:ind w:left="2880" w:hanging="1440"/>
      </w:pPr>
    </w:lvl>
    <w:lvl w:ilvl="7">
      <w:start w:val="1"/>
      <w:numFmt w:val="decimal"/>
      <w:isLgl/>
      <w:suff w:val="tab"/>
      <w:lvlText w:val="%1.%2.%3.%4.%5.%6.%7.%8"/>
      <w:lvlJc w:val="left"/>
      <w:pPr>
        <w:ind w:left="3120" w:hanging="1440"/>
      </w:pPr>
    </w:lvl>
    <w:lvl w:ilvl="8">
      <w:start w:val="1"/>
      <w:numFmt w:val="decimal"/>
      <w:isLgl/>
      <w:suff w:val="tab"/>
      <w:lvlText w:val="%1.%2.%3.%4.%5.%6.%7.%8.%9"/>
      <w:lvlJc w:val="left"/>
      <w:pPr>
        <w:ind w:left="3360" w:hanging="1440"/>
      </w:pPr>
    </w:lvl>
  </w:abstractNum>
  <w:abstractNum w:abstractNumId="3">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japaneseCounting"/>
      <w:isLgl w:val="false"/>
      <w:suff w:val="tab"/>
      <w:lvlText w:val="第%1条"/>
      <w:lvlJc w:val="left"/>
      <w:pPr>
        <w:ind w:left="840" w:hanging="84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741"/>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12">
    <w:multiLevelType w:val="hybridMultilevel"/>
    <w:lvl w:ilvl="0">
      <w:start w:val="1"/>
      <w:numFmt w:val="japaneseCounting"/>
      <w:isLgl w:val="false"/>
      <w:suff w:val="tab"/>
      <w:lvlText w:val="第%1章"/>
      <w:lvlJc w:val="left"/>
      <w:pPr>
        <w:ind w:left="3170" w:hanging="825"/>
      </w:pPr>
    </w:lvl>
    <w:lvl w:ilvl="1">
      <w:start w:val="1"/>
      <w:numFmt w:val="lowerLetter"/>
      <w:isLgl w:val="false"/>
      <w:suff w:val="tab"/>
      <w:lvlText w:val="%2)"/>
      <w:lvlJc w:val="left"/>
      <w:pPr>
        <w:ind w:left="3185" w:hanging="420"/>
      </w:pPr>
    </w:lvl>
    <w:lvl w:ilvl="2">
      <w:start w:val="1"/>
      <w:numFmt w:val="lowerRoman"/>
      <w:isLgl w:val="false"/>
      <w:suff w:val="tab"/>
      <w:lvlText w:val="%3."/>
      <w:lvlJc w:val="right"/>
      <w:pPr>
        <w:ind w:left="3605" w:hanging="420"/>
      </w:pPr>
    </w:lvl>
    <w:lvl w:ilvl="3">
      <w:start w:val="1"/>
      <w:numFmt w:val="decimal"/>
      <w:isLgl w:val="false"/>
      <w:suff w:val="tab"/>
      <w:lvlText w:val="%4."/>
      <w:lvlJc w:val="left"/>
      <w:pPr>
        <w:ind w:left="4025" w:hanging="420"/>
      </w:pPr>
    </w:lvl>
    <w:lvl w:ilvl="4">
      <w:start w:val="1"/>
      <w:numFmt w:val="lowerLetter"/>
      <w:isLgl w:val="false"/>
      <w:suff w:val="tab"/>
      <w:lvlText w:val="%5)"/>
      <w:lvlJc w:val="left"/>
      <w:pPr>
        <w:ind w:left="4445" w:hanging="420"/>
      </w:pPr>
    </w:lvl>
    <w:lvl w:ilvl="5">
      <w:start w:val="1"/>
      <w:numFmt w:val="lowerRoman"/>
      <w:isLgl w:val="false"/>
      <w:suff w:val="tab"/>
      <w:lvlText w:val="%6."/>
      <w:lvlJc w:val="right"/>
      <w:pPr>
        <w:ind w:left="4865" w:hanging="420"/>
      </w:pPr>
    </w:lvl>
    <w:lvl w:ilvl="6">
      <w:start w:val="1"/>
      <w:numFmt w:val="decimal"/>
      <w:isLgl w:val="false"/>
      <w:suff w:val="tab"/>
      <w:lvlText w:val="%7."/>
      <w:lvlJc w:val="left"/>
      <w:pPr>
        <w:ind w:left="5285" w:hanging="420"/>
      </w:pPr>
    </w:lvl>
    <w:lvl w:ilvl="7">
      <w:start w:val="1"/>
      <w:numFmt w:val="lowerLetter"/>
      <w:isLgl w:val="false"/>
      <w:suff w:val="tab"/>
      <w:lvlText w:val="%8)"/>
      <w:lvlJc w:val="left"/>
      <w:pPr>
        <w:ind w:left="5705" w:hanging="420"/>
      </w:pPr>
    </w:lvl>
    <w:lvl w:ilvl="8">
      <w:start w:val="1"/>
      <w:numFmt w:val="lowerRoman"/>
      <w:isLgl w:val="false"/>
      <w:suff w:val="tab"/>
      <w:lvlText w:val="%9."/>
      <w:lvlJc w:val="right"/>
      <w:pPr>
        <w:ind w:left="6125" w:hanging="420"/>
      </w:pPr>
    </w:lvl>
  </w:abstractNum>
  <w:abstractNum w:abstractNumId="13">
    <w:multiLevelType w:val="hybridMultilevel"/>
    <w:lvl w:ilvl="0">
      <w:start w:val="1"/>
      <w:numFmt w:val="decimal"/>
      <w:isLgl w:val="false"/>
      <w:suff w:val="tab"/>
      <w:lvlText w:val="（%1）"/>
      <w:lvlJc w:val="left"/>
      <w:pPr>
        <w:ind w:left="1177" w:hanging="530"/>
      </w:pPr>
      <w:rPr>
        <w:rFonts w:hint="default" w:ascii="宋体" w:hAnsi="宋体" w:eastAsia="宋体" w:cs="宋体"/>
        <w:spacing w:val="-2"/>
        <w:sz w:val="19"/>
        <w:szCs w:val="19"/>
        <w:lang w:val="zh-CN" w:eastAsia="zh-CN" w:bidi="zh-CN"/>
      </w:rPr>
    </w:lvl>
    <w:lvl w:ilvl="1">
      <w:start w:val="1"/>
      <w:numFmt w:val="bullet"/>
      <w:isLgl w:val="false"/>
      <w:suff w:val="tab"/>
      <w:lvlText w:val="•"/>
      <w:lvlJc w:val="left"/>
      <w:pPr>
        <w:ind w:left="2547" w:hanging="530"/>
      </w:pPr>
      <w:rPr>
        <w:rFonts w:hint="default"/>
        <w:lang w:val="zh-CN" w:eastAsia="zh-CN" w:bidi="zh-CN"/>
      </w:rPr>
    </w:lvl>
    <w:lvl w:ilvl="2">
      <w:start w:val="1"/>
      <w:numFmt w:val="bullet"/>
      <w:isLgl w:val="false"/>
      <w:suff w:val="tab"/>
      <w:lvlText w:val="•"/>
      <w:lvlJc w:val="left"/>
      <w:pPr>
        <w:ind w:left="3915" w:hanging="530"/>
      </w:pPr>
      <w:rPr>
        <w:rFonts w:hint="default"/>
        <w:lang w:val="zh-CN" w:eastAsia="zh-CN" w:bidi="zh-CN"/>
      </w:rPr>
    </w:lvl>
    <w:lvl w:ilvl="3">
      <w:start w:val="1"/>
      <w:numFmt w:val="bullet"/>
      <w:isLgl w:val="false"/>
      <w:suff w:val="tab"/>
      <w:lvlText w:val="•"/>
      <w:lvlJc w:val="left"/>
      <w:pPr>
        <w:ind w:left="5283" w:hanging="530"/>
      </w:pPr>
      <w:rPr>
        <w:rFonts w:hint="default"/>
        <w:lang w:val="zh-CN" w:eastAsia="zh-CN" w:bidi="zh-CN"/>
      </w:rPr>
    </w:lvl>
    <w:lvl w:ilvl="4">
      <w:start w:val="1"/>
      <w:numFmt w:val="bullet"/>
      <w:isLgl w:val="false"/>
      <w:suff w:val="tab"/>
      <w:lvlText w:val="•"/>
      <w:lvlJc w:val="left"/>
      <w:pPr>
        <w:ind w:left="6651" w:hanging="530"/>
      </w:pPr>
      <w:rPr>
        <w:rFonts w:hint="default"/>
        <w:lang w:val="zh-CN" w:eastAsia="zh-CN" w:bidi="zh-CN"/>
      </w:rPr>
    </w:lvl>
    <w:lvl w:ilvl="5">
      <w:start w:val="1"/>
      <w:numFmt w:val="bullet"/>
      <w:isLgl w:val="false"/>
      <w:suff w:val="tab"/>
      <w:lvlText w:val="•"/>
      <w:lvlJc w:val="left"/>
      <w:pPr>
        <w:ind w:left="8019" w:hanging="530"/>
      </w:pPr>
      <w:rPr>
        <w:rFonts w:hint="default"/>
        <w:lang w:val="zh-CN" w:eastAsia="zh-CN" w:bidi="zh-CN"/>
      </w:rPr>
    </w:lvl>
    <w:lvl w:ilvl="6">
      <w:start w:val="1"/>
      <w:numFmt w:val="bullet"/>
      <w:isLgl w:val="false"/>
      <w:suff w:val="tab"/>
      <w:lvlText w:val="•"/>
      <w:lvlJc w:val="left"/>
      <w:pPr>
        <w:ind w:left="9387" w:hanging="530"/>
      </w:pPr>
      <w:rPr>
        <w:rFonts w:hint="default"/>
        <w:lang w:val="zh-CN" w:eastAsia="zh-CN" w:bidi="zh-CN"/>
      </w:rPr>
    </w:lvl>
    <w:lvl w:ilvl="7">
      <w:start w:val="1"/>
      <w:numFmt w:val="bullet"/>
      <w:isLgl w:val="false"/>
      <w:suff w:val="tab"/>
      <w:lvlText w:val="•"/>
      <w:lvlJc w:val="left"/>
      <w:pPr>
        <w:ind w:left="10754" w:hanging="530"/>
      </w:pPr>
      <w:rPr>
        <w:rFonts w:hint="default"/>
        <w:lang w:val="zh-CN" w:eastAsia="zh-CN" w:bidi="zh-CN"/>
      </w:rPr>
    </w:lvl>
    <w:lvl w:ilvl="8">
      <w:start w:val="1"/>
      <w:numFmt w:val="bullet"/>
      <w:isLgl w:val="false"/>
      <w:suff w:val="tab"/>
      <w:lvlText w:val="•"/>
      <w:lvlJc w:val="left"/>
      <w:pPr>
        <w:ind w:left="12122" w:hanging="530"/>
      </w:pPr>
      <w:rPr>
        <w:rFonts w:hint="default"/>
        <w:lang w:val="zh-CN" w:eastAsia="zh-CN" w:bidi="zh-CN"/>
      </w:rPr>
    </w:lvl>
  </w:abstractNum>
  <w:abstractNum w:abstractNumId="14">
    <w:multiLevelType w:val="hybridMultilevel"/>
    <w:lvl w:ilvl="0">
      <w:start w:val="1"/>
      <w:numFmt w:val="japaneseCounting"/>
      <w:isLgl w:val="false"/>
      <w:suff w:val="tab"/>
      <w:lvlText w:val="第%1章"/>
      <w:lvlJc w:val="left"/>
      <w:pPr>
        <w:ind w:left="3170" w:hanging="825"/>
      </w:pPr>
    </w:lvl>
    <w:lvl w:ilvl="1">
      <w:start w:val="1"/>
      <w:numFmt w:val="lowerLetter"/>
      <w:isLgl w:val="false"/>
      <w:suff w:val="tab"/>
      <w:lvlText w:val="%2)"/>
      <w:lvlJc w:val="left"/>
      <w:pPr>
        <w:ind w:left="3185" w:hanging="420"/>
      </w:pPr>
    </w:lvl>
    <w:lvl w:ilvl="2">
      <w:start w:val="1"/>
      <w:numFmt w:val="lowerRoman"/>
      <w:isLgl w:val="false"/>
      <w:suff w:val="tab"/>
      <w:lvlText w:val="%3."/>
      <w:lvlJc w:val="right"/>
      <w:pPr>
        <w:ind w:left="3605" w:hanging="420"/>
      </w:pPr>
    </w:lvl>
    <w:lvl w:ilvl="3">
      <w:start w:val="1"/>
      <w:numFmt w:val="decimal"/>
      <w:isLgl w:val="false"/>
      <w:suff w:val="tab"/>
      <w:lvlText w:val="%4."/>
      <w:lvlJc w:val="left"/>
      <w:pPr>
        <w:ind w:left="4025" w:hanging="420"/>
      </w:pPr>
    </w:lvl>
    <w:lvl w:ilvl="4">
      <w:start w:val="1"/>
      <w:numFmt w:val="lowerLetter"/>
      <w:isLgl w:val="false"/>
      <w:suff w:val="tab"/>
      <w:lvlText w:val="%5)"/>
      <w:lvlJc w:val="left"/>
      <w:pPr>
        <w:ind w:left="4445" w:hanging="420"/>
      </w:pPr>
    </w:lvl>
    <w:lvl w:ilvl="5">
      <w:start w:val="1"/>
      <w:numFmt w:val="lowerRoman"/>
      <w:isLgl w:val="false"/>
      <w:suff w:val="tab"/>
      <w:lvlText w:val="%6."/>
      <w:lvlJc w:val="right"/>
      <w:pPr>
        <w:ind w:left="4865" w:hanging="420"/>
      </w:pPr>
    </w:lvl>
    <w:lvl w:ilvl="6">
      <w:start w:val="1"/>
      <w:numFmt w:val="decimal"/>
      <w:isLgl w:val="false"/>
      <w:suff w:val="tab"/>
      <w:lvlText w:val="%7."/>
      <w:lvlJc w:val="left"/>
      <w:pPr>
        <w:ind w:left="5285" w:hanging="420"/>
      </w:pPr>
    </w:lvl>
    <w:lvl w:ilvl="7">
      <w:start w:val="1"/>
      <w:numFmt w:val="lowerLetter"/>
      <w:isLgl w:val="false"/>
      <w:suff w:val="tab"/>
      <w:lvlText w:val="%8)"/>
      <w:lvlJc w:val="left"/>
      <w:pPr>
        <w:ind w:left="5705" w:hanging="420"/>
      </w:pPr>
    </w:lvl>
    <w:lvl w:ilvl="8">
      <w:start w:val="1"/>
      <w:numFmt w:val="lowerRoman"/>
      <w:isLgl w:val="false"/>
      <w:suff w:val="tab"/>
      <w:lvlText w:val="%9."/>
      <w:lvlJc w:val="right"/>
      <w:pPr>
        <w:ind w:left="6125" w:hanging="420"/>
      </w:pPr>
    </w:lvl>
  </w:abstractNum>
  <w:abstractNum w:abstractNumId="15">
    <w:multiLevelType w:val="hybridMultilevel"/>
    <w:lvl w:ilvl="0">
      <w:start w:val="1"/>
      <w:numFmt w:val="bullet"/>
      <w:isLgl w:val="false"/>
      <w:suff w:val="tab"/>
      <w:lvlText w:val=""/>
      <w:lvlJc w:val="left"/>
      <w:pPr>
        <w:ind w:left="228" w:hanging="296"/>
      </w:pPr>
      <w:rPr>
        <w:rFonts w:hint="default" w:ascii="Wingdings 2" w:hAnsi="Wingdings 2" w:eastAsia="Wingdings 2" w:cs="Wingdings 2"/>
        <w:sz w:val="21"/>
        <w:szCs w:val="21"/>
        <w:lang w:val="zh-CN" w:eastAsia="zh-CN" w:bidi="zh-CN"/>
      </w:rPr>
    </w:lvl>
    <w:lvl w:ilvl="1">
      <w:start w:val="1"/>
      <w:numFmt w:val="bullet"/>
      <w:isLgl w:val="false"/>
      <w:suff w:val="tab"/>
      <w:lvlText w:val="•"/>
      <w:lvlJc w:val="left"/>
      <w:pPr>
        <w:ind w:left="1683" w:hanging="296"/>
      </w:pPr>
      <w:rPr>
        <w:rFonts w:hint="default"/>
        <w:lang w:val="zh-CN" w:eastAsia="zh-CN" w:bidi="zh-CN"/>
      </w:rPr>
    </w:lvl>
    <w:lvl w:ilvl="2">
      <w:start w:val="1"/>
      <w:numFmt w:val="bullet"/>
      <w:isLgl w:val="false"/>
      <w:suff w:val="tab"/>
      <w:lvlText w:val="•"/>
      <w:lvlJc w:val="left"/>
      <w:pPr>
        <w:ind w:left="3147" w:hanging="296"/>
      </w:pPr>
      <w:rPr>
        <w:rFonts w:hint="default"/>
        <w:lang w:val="zh-CN" w:eastAsia="zh-CN" w:bidi="zh-CN"/>
      </w:rPr>
    </w:lvl>
    <w:lvl w:ilvl="3">
      <w:start w:val="1"/>
      <w:numFmt w:val="bullet"/>
      <w:isLgl w:val="false"/>
      <w:suff w:val="tab"/>
      <w:lvlText w:val="•"/>
      <w:lvlJc w:val="left"/>
      <w:pPr>
        <w:ind w:left="4611" w:hanging="296"/>
      </w:pPr>
      <w:rPr>
        <w:rFonts w:hint="default"/>
        <w:lang w:val="zh-CN" w:eastAsia="zh-CN" w:bidi="zh-CN"/>
      </w:rPr>
    </w:lvl>
    <w:lvl w:ilvl="4">
      <w:start w:val="1"/>
      <w:numFmt w:val="bullet"/>
      <w:isLgl w:val="false"/>
      <w:suff w:val="tab"/>
      <w:lvlText w:val="•"/>
      <w:lvlJc w:val="left"/>
      <w:pPr>
        <w:ind w:left="6075" w:hanging="296"/>
      </w:pPr>
      <w:rPr>
        <w:rFonts w:hint="default"/>
        <w:lang w:val="zh-CN" w:eastAsia="zh-CN" w:bidi="zh-CN"/>
      </w:rPr>
    </w:lvl>
    <w:lvl w:ilvl="5">
      <w:start w:val="1"/>
      <w:numFmt w:val="bullet"/>
      <w:isLgl w:val="false"/>
      <w:suff w:val="tab"/>
      <w:lvlText w:val="•"/>
      <w:lvlJc w:val="left"/>
      <w:pPr>
        <w:ind w:left="7539" w:hanging="296"/>
      </w:pPr>
      <w:rPr>
        <w:rFonts w:hint="default"/>
        <w:lang w:val="zh-CN" w:eastAsia="zh-CN" w:bidi="zh-CN"/>
      </w:rPr>
    </w:lvl>
    <w:lvl w:ilvl="6">
      <w:start w:val="1"/>
      <w:numFmt w:val="bullet"/>
      <w:isLgl w:val="false"/>
      <w:suff w:val="tab"/>
      <w:lvlText w:val="•"/>
      <w:lvlJc w:val="left"/>
      <w:pPr>
        <w:ind w:left="9003" w:hanging="296"/>
      </w:pPr>
      <w:rPr>
        <w:rFonts w:hint="default"/>
        <w:lang w:val="zh-CN" w:eastAsia="zh-CN" w:bidi="zh-CN"/>
      </w:rPr>
    </w:lvl>
    <w:lvl w:ilvl="7">
      <w:start w:val="1"/>
      <w:numFmt w:val="bullet"/>
      <w:isLgl w:val="false"/>
      <w:suff w:val="tab"/>
      <w:lvlText w:val="•"/>
      <w:lvlJc w:val="left"/>
      <w:pPr>
        <w:ind w:left="10466" w:hanging="296"/>
      </w:pPr>
      <w:rPr>
        <w:rFonts w:hint="default"/>
        <w:lang w:val="zh-CN" w:eastAsia="zh-CN" w:bidi="zh-CN"/>
      </w:rPr>
    </w:lvl>
    <w:lvl w:ilvl="8">
      <w:start w:val="1"/>
      <w:numFmt w:val="bullet"/>
      <w:isLgl w:val="false"/>
      <w:suff w:val="tab"/>
      <w:lvlText w:val="•"/>
      <w:lvlJc w:val="left"/>
      <w:pPr>
        <w:ind w:left="11930" w:hanging="296"/>
      </w:pPr>
      <w:rPr>
        <w:rFonts w:hint="default"/>
        <w:lang w:val="zh-CN" w:eastAsia="zh-CN" w:bidi="zh-CN"/>
      </w:rPr>
    </w:lvl>
  </w:abstractNum>
  <w:abstractNum w:abstractNumId="16">
    <w:multiLevelType w:val="hybridMultilevel"/>
    <w:lvl w:ilvl="0">
      <w:start w:val="1"/>
      <w:numFmt w:val="japaneseCounting"/>
      <w:isLgl w:val="false"/>
      <w:suff w:val="tab"/>
      <w:lvlText w:val="第%1条"/>
      <w:lvlJc w:val="left"/>
      <w:pPr>
        <w:ind w:left="1185" w:hanging="720"/>
      </w:pPr>
      <w:rPr>
        <w:rFonts w:hint="default"/>
      </w:rPr>
    </w:lvl>
    <w:lvl w:ilvl="1">
      <w:start w:val="1"/>
      <w:numFmt w:val="lowerLetter"/>
      <w:isLgl w:val="false"/>
      <w:suff w:val="tab"/>
      <w:lvlText w:val="%2)"/>
      <w:lvlJc w:val="left"/>
      <w:pPr>
        <w:ind w:left="1305" w:hanging="420"/>
      </w:pPr>
    </w:lvl>
    <w:lvl w:ilvl="2">
      <w:start w:val="1"/>
      <w:numFmt w:val="lowerRoman"/>
      <w:isLgl w:val="false"/>
      <w:suff w:val="tab"/>
      <w:lvlText w:val="%3."/>
      <w:lvlJc w:val="right"/>
      <w:pPr>
        <w:ind w:left="1725" w:hanging="420"/>
      </w:pPr>
    </w:lvl>
    <w:lvl w:ilvl="3">
      <w:start w:val="1"/>
      <w:numFmt w:val="decimal"/>
      <w:isLgl w:val="false"/>
      <w:suff w:val="tab"/>
      <w:lvlText w:val="%4."/>
      <w:lvlJc w:val="left"/>
      <w:pPr>
        <w:ind w:left="2145" w:hanging="420"/>
      </w:pPr>
    </w:lvl>
    <w:lvl w:ilvl="4">
      <w:start w:val="1"/>
      <w:numFmt w:val="lowerLetter"/>
      <w:isLgl w:val="false"/>
      <w:suff w:val="tab"/>
      <w:lvlText w:val="%5)"/>
      <w:lvlJc w:val="left"/>
      <w:pPr>
        <w:ind w:left="2565" w:hanging="420"/>
      </w:pPr>
    </w:lvl>
    <w:lvl w:ilvl="5">
      <w:start w:val="1"/>
      <w:numFmt w:val="lowerRoman"/>
      <w:isLgl w:val="false"/>
      <w:suff w:val="tab"/>
      <w:lvlText w:val="%6."/>
      <w:lvlJc w:val="right"/>
      <w:pPr>
        <w:ind w:left="2985" w:hanging="420"/>
      </w:pPr>
    </w:lvl>
    <w:lvl w:ilvl="6">
      <w:start w:val="1"/>
      <w:numFmt w:val="decimal"/>
      <w:isLgl w:val="false"/>
      <w:suff w:val="tab"/>
      <w:lvlText w:val="%7."/>
      <w:lvlJc w:val="left"/>
      <w:pPr>
        <w:ind w:left="3405" w:hanging="420"/>
      </w:pPr>
    </w:lvl>
    <w:lvl w:ilvl="7">
      <w:start w:val="1"/>
      <w:numFmt w:val="lowerLetter"/>
      <w:isLgl w:val="false"/>
      <w:suff w:val="tab"/>
      <w:lvlText w:val="%8)"/>
      <w:lvlJc w:val="left"/>
      <w:pPr>
        <w:ind w:left="3825" w:hanging="420"/>
      </w:pPr>
    </w:lvl>
    <w:lvl w:ilvl="8">
      <w:start w:val="1"/>
      <w:numFmt w:val="lowerRoman"/>
      <w:isLgl w:val="false"/>
      <w:suff w:val="tab"/>
      <w:lvlText w:val="%9."/>
      <w:lvlJc w:val="right"/>
      <w:pPr>
        <w:ind w:left="4245" w:hanging="420"/>
      </w:pPr>
    </w:lvl>
  </w:abstractNum>
  <w:abstractNum w:abstractNumId="17">
    <w:multiLevelType w:val="hybridMultilevel"/>
    <w:lvl w:ilvl="0">
      <w:start w:val="4"/>
      <w:numFmt w:val="japaneseCounting"/>
      <w:isLgl w:val="false"/>
      <w:suff w:val="tab"/>
      <w:lvlText w:val="第%1章"/>
      <w:lvlJc w:val="left"/>
      <w:pPr>
        <w:ind w:left="1080" w:hanging="1080"/>
        <w:tabs>
          <w:tab w:val="left" w:pos="108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1"/>
      <w:numFmt w:val="decimal"/>
      <w:isLgl w:val="false"/>
      <w:suff w:val="tab"/>
      <w:lvlText w:val="%1."/>
      <w:lvlJc w:val="left"/>
      <w:pPr>
        <w:ind w:left="240" w:hanging="24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1">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num w:numId="1">
    <w:abstractNumId w:val="11"/>
  </w:num>
  <w:num w:numId="2">
    <w:abstractNumId w:val="5"/>
  </w:num>
  <w:num w:numId="3">
    <w:abstractNumId w:val="19"/>
  </w:num>
  <w:num w:numId="4">
    <w:abstractNumId w:val="21"/>
  </w:num>
  <w:num w:numId="5">
    <w:abstractNumId w:val="3"/>
  </w:num>
  <w:num w:numId="6">
    <w:abstractNumId w:val="7"/>
  </w:num>
  <w:num w:numId="7">
    <w:abstractNumId w:val="4"/>
  </w:num>
  <w:num w:numId="8">
    <w:abstractNumId w:val="9"/>
  </w:num>
  <w:num w:numId="9">
    <w:abstractNumId w:val="2"/>
    <w:lvlOverride w:ilvl="0">
      <w:startOverride w:val="3"/>
    </w:lvlOverride>
    <w:lvlOverride w:ilvl="1">
      <w:startOverride w:val="3"/>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num>
  <w:num w:numId="11">
    <w:abstractNumId w:val="10"/>
    <w:lvlOverride w:ilvl="0">
      <w:startOverride w:val="1"/>
    </w:lvlOverride>
  </w:num>
  <w:num w:numId="12">
    <w:abstractNumId w:val="20"/>
    <w:lvlOverride w:ilvl="0">
      <w:startOverride w:val="1"/>
    </w:lvlOverride>
  </w:num>
  <w:num w:numId="13">
    <w:abstractNumId w:val="16"/>
  </w:num>
  <w:num w:numId="14">
    <w:abstractNumId w:val="13"/>
  </w:num>
  <w:num w:numId="15">
    <w:abstractNumId w:val="15"/>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14"/>
  </w:num>
  <w:num w:numId="21">
    <w:abstractNumId w:val="8"/>
  </w:num>
  <w:num w:numId="22">
    <w:abstractNumId w:val="18"/>
  </w:num>
  <w:num w:numId="23">
    <w:abstractNumId w:val="0"/>
  </w:num>
  <w:num w:numId="24">
    <w:abstractNumId w:val="1"/>
  </w:num>
  <w:num w:numId="25">
    <w:abstractNumId w:val="2"/>
  </w:num>
  <w:num w:numId="26">
    <w:abstractNumId w:val="6"/>
  </w:num>
  <w:num w:numId="27">
    <w:abstractNumId w:val="10"/>
  </w:num>
  <w:num w:numId="28">
    <w:abstractNumId w:val="2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Heading 6"/>
    <w:basedOn w:val="737"/>
    <w:next w:val="737"/>
    <w:link w:val="825"/>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37"/>
    <w:next w:val="737"/>
    <w:link w:val="827"/>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37"/>
    <w:next w:val="737"/>
    <w:link w:val="829"/>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37"/>
    <w:next w:val="737"/>
    <w:link w:val="831"/>
    <w:uiPriority w:val="9"/>
    <w:unhideWhenUsed/>
    <w:qFormat/>
    <w:pPr>
      <w:keepLines/>
      <w:keepNext/>
      <w:spacing w:before="320" w:after="200"/>
      <w:outlineLvl w:val="8"/>
    </w:pPr>
    <w:rPr>
      <w:rFonts w:ascii="Arial" w:hAnsi="Arial" w:eastAsia="Arial" w:cs="Arial"/>
      <w:i/>
      <w:iCs/>
      <w:sz w:val="21"/>
      <w:szCs w:val="21"/>
    </w:rPr>
  </w:style>
  <w:style w:type="character" w:styleId="710">
    <w:name w:val="Title Char"/>
    <w:basedOn w:val="743"/>
    <w:link w:val="805"/>
    <w:uiPriority w:val="10"/>
    <w:rPr>
      <w:sz w:val="48"/>
      <w:szCs w:val="48"/>
    </w:rPr>
  </w:style>
  <w:style w:type="character" w:styleId="711">
    <w:name w:val="Subtitle Char"/>
    <w:basedOn w:val="743"/>
    <w:link w:val="807"/>
    <w:uiPriority w:val="11"/>
    <w:rPr>
      <w:sz w:val="24"/>
      <w:szCs w:val="24"/>
    </w:rPr>
  </w:style>
  <w:style w:type="character" w:styleId="712">
    <w:name w:val="Quote Char"/>
    <w:link w:val="812"/>
    <w:uiPriority w:val="29"/>
    <w:rPr>
      <w:i/>
    </w:rPr>
  </w:style>
  <w:style w:type="character" w:styleId="713">
    <w:name w:val="Intense Quote Char"/>
    <w:link w:val="814"/>
    <w:uiPriority w:val="30"/>
    <w:rPr>
      <w:i/>
    </w:rPr>
  </w:style>
  <w:style w:type="paragraph" w:styleId="714">
    <w:name w:val="Caption"/>
    <w:basedOn w:val="737"/>
    <w:next w:val="737"/>
    <w:uiPriority w:val="35"/>
    <w:semiHidden/>
    <w:unhideWhenUsed/>
    <w:qFormat/>
    <w:pPr>
      <w:spacing w:line="276" w:lineRule="auto"/>
    </w:pPr>
    <w:rPr>
      <w:b/>
      <w:bCs/>
      <w:color w:val="4f81bd" w:themeColor="accent1"/>
      <w:sz w:val="18"/>
      <w:szCs w:val="18"/>
    </w:rPr>
  </w:style>
  <w:style w:type="table" w:styleId="715">
    <w:name w:val="Plain Table 1"/>
    <w:basedOn w:val="7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7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7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2"/>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3"/>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4"/>
    <w:basedOn w:val="7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name w:val="Grid Table 5 Dark"/>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5">
    <w:name w:val="Grid Table 6 Colorful"/>
    <w:basedOn w:val="7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6">
    <w:name w:val="Grid Table 7 Colorful"/>
    <w:basedOn w:val="7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7">
    <w:name w:val="List Table 1 Light"/>
    <w:basedOn w:val="7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name w:val="List Table 2"/>
    <w:basedOn w:val="7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9">
    <w:name w:val="List Table 3"/>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0">
    <w:name w:val="List Table 4"/>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1">
    <w:name w:val="List Table 5 Dark"/>
    <w:basedOn w:val="7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2">
    <w:name w:val="List Table 6 Colorful"/>
    <w:basedOn w:val="7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3">
    <w:name w:val="List Table 7 Colorful"/>
    <w:basedOn w:val="7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4">
    <w:name w:val="Footnote Text Char"/>
    <w:link w:val="800"/>
    <w:uiPriority w:val="99"/>
    <w:rPr>
      <w:sz w:val="18"/>
    </w:rPr>
  </w:style>
  <w:style w:type="character" w:styleId="735">
    <w:name w:val="Endnote Text Char"/>
    <w:link w:val="803"/>
    <w:uiPriority w:val="99"/>
    <w:rPr>
      <w:sz w:val="20"/>
    </w:rPr>
  </w:style>
  <w:style w:type="paragraph" w:styleId="736">
    <w:name w:val="TOC Heading"/>
    <w:uiPriority w:val="39"/>
    <w:unhideWhenUsed/>
  </w:style>
  <w:style w:type="paragraph" w:styleId="737" w:default="1">
    <w:name w:val="Normal"/>
    <w:next w:val="746"/>
    <w:qFormat/>
    <w:pPr>
      <w:jc w:val="both"/>
      <w:widowControl w:val="off"/>
    </w:pPr>
    <w:rPr>
      <w:sz w:val="21"/>
      <w:szCs w:val="24"/>
    </w:rPr>
  </w:style>
  <w:style w:type="paragraph" w:styleId="738">
    <w:name w:val="Heading 1"/>
    <w:basedOn w:val="737"/>
    <w:next w:val="737"/>
    <w:link w:val="790"/>
    <w:uiPriority w:val="9"/>
    <w:qFormat/>
    <w:pPr>
      <w:keepLines/>
      <w:keepNext/>
      <w:spacing w:before="340" w:after="330" w:line="578" w:lineRule="auto"/>
      <w:outlineLvl w:val="0"/>
    </w:pPr>
    <w:rPr>
      <w:b/>
      <w:bCs/>
      <w:sz w:val="44"/>
      <w:szCs w:val="44"/>
    </w:rPr>
  </w:style>
  <w:style w:type="paragraph" w:styleId="739">
    <w:name w:val="Heading 2"/>
    <w:basedOn w:val="737"/>
    <w:next w:val="737"/>
    <w:link w:val="776"/>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40">
    <w:name w:val="Heading 3"/>
    <w:basedOn w:val="737"/>
    <w:next w:val="737"/>
    <w:link w:val="770"/>
    <w:unhideWhenUsed/>
    <w:qFormat/>
    <w:pPr>
      <w:keepLines/>
      <w:keepNext/>
      <w:spacing w:before="260" w:after="260" w:line="416" w:lineRule="auto"/>
      <w:outlineLvl w:val="2"/>
    </w:pPr>
    <w:rPr>
      <w:b/>
      <w:bCs/>
      <w:sz w:val="32"/>
      <w:szCs w:val="32"/>
    </w:rPr>
  </w:style>
  <w:style w:type="paragraph" w:styleId="741">
    <w:name w:val="Heading 4"/>
    <w:basedOn w:val="737"/>
    <w:next w:val="747"/>
    <w:link w:val="791"/>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paragraph" w:styleId="742">
    <w:name w:val="Heading 5"/>
    <w:basedOn w:val="737"/>
    <w:next w:val="737"/>
    <w:link w:val="779"/>
    <w:semiHidden/>
    <w:unhideWhenUsed/>
    <w:qFormat/>
    <w:pPr>
      <w:ind w:left="1008" w:hanging="1008"/>
      <w:keepLines/>
      <w:keepNext/>
      <w:spacing w:line="372" w:lineRule="auto"/>
      <w:outlineLvl w:val="4"/>
    </w:pPr>
    <w:rPr>
      <w:rFonts w:ascii="宋体" w:hAnsi="宋体"/>
      <w:sz w:val="24"/>
      <w:szCs w:val="22"/>
    </w:rPr>
  </w:style>
  <w:style w:type="character" w:styleId="743" w:default="1">
    <w:name w:val="Default Paragraph Font"/>
    <w:uiPriority w:val="1"/>
    <w:semiHidden/>
    <w:unhideWhenUsed/>
  </w:style>
  <w:style w:type="table" w:styleId="744" w:default="1">
    <w:name w:val="Normal Table"/>
    <w:uiPriority w:val="99"/>
    <w:semiHidden/>
    <w:unhideWhenUsed/>
    <w:qFormat/>
    <w:tblPr>
      <w:tblInd w:w="0" w:type="dxa"/>
      <w:tblCellMar>
        <w:left w:w="108" w:type="dxa"/>
        <w:top w:w="0" w:type="dxa"/>
        <w:right w:w="108" w:type="dxa"/>
        <w:bottom w:w="0" w:type="dxa"/>
      </w:tblCellMar>
    </w:tblPr>
  </w:style>
  <w:style w:type="numbering" w:styleId="745" w:default="1">
    <w:name w:val="No List"/>
    <w:uiPriority w:val="99"/>
    <w:semiHidden/>
    <w:unhideWhenUsed/>
  </w:style>
  <w:style w:type="paragraph" w:styleId="746">
    <w:name w:val="toc 1"/>
    <w:basedOn w:val="737"/>
    <w:next w:val="737"/>
    <w:uiPriority w:val="39"/>
    <w:unhideWhenUsed/>
    <w:qFormat/>
    <w:pPr>
      <w:jc w:val="left"/>
      <w:spacing w:after="100" w:line="259" w:lineRule="auto"/>
      <w:widowControl/>
    </w:pPr>
    <w:rPr>
      <w:rFonts w:ascii="Calibri" w:hAnsi="Calibri"/>
      <w:sz w:val="22"/>
      <w:szCs w:val="22"/>
    </w:rPr>
  </w:style>
  <w:style w:type="paragraph" w:styleId="747">
    <w:name w:val="Normal Indent"/>
    <w:basedOn w:val="737"/>
    <w:qFormat/>
    <w:pPr>
      <w:ind w:firstLine="420"/>
    </w:pPr>
  </w:style>
  <w:style w:type="paragraph" w:styleId="748">
    <w:name w:val="Body Text Indent"/>
    <w:basedOn w:val="737"/>
    <w:link w:val="749"/>
    <w:qFormat/>
    <w:pPr>
      <w:ind w:left="420"/>
      <w:spacing w:after="120"/>
    </w:pPr>
  </w:style>
  <w:style w:type="character" w:styleId="749" w:customStyle="1">
    <w:name w:val="正文文本缩进 Char"/>
    <w:basedOn w:val="743"/>
    <w:link w:val="748"/>
    <w:qFormat/>
    <w:rPr>
      <w:sz w:val="21"/>
      <w:szCs w:val="24"/>
    </w:rPr>
  </w:style>
  <w:style w:type="paragraph" w:styleId="750">
    <w:name w:val="Block Text"/>
    <w:basedOn w:val="737"/>
    <w:uiPriority w:val="6"/>
    <w:qFormat/>
    <w:pPr>
      <w:ind w:left="256" w:right="6" w:firstLine="624"/>
    </w:pPr>
    <w:rPr>
      <w:rFonts w:eastAsia="仿宋"/>
      <w:sz w:val="28"/>
      <w:szCs w:val="20"/>
    </w:rPr>
  </w:style>
  <w:style w:type="paragraph" w:styleId="751">
    <w:name w:val="index 4"/>
    <w:basedOn w:val="737"/>
    <w:next w:val="737"/>
    <w:uiPriority w:val="99"/>
    <w:unhideWhenUsed/>
    <w:qFormat/>
    <w:pPr>
      <w:ind w:left="600"/>
    </w:pPr>
    <w:rPr>
      <w:rFonts w:ascii="Verdana" w:hAnsi="Verdana" w:eastAsia="微软雅黑"/>
      <w:szCs w:val="20"/>
    </w:rPr>
  </w:style>
  <w:style w:type="paragraph" w:styleId="752">
    <w:name w:val="Plain Text"/>
    <w:basedOn w:val="737"/>
    <w:link w:val="777"/>
    <w:qFormat/>
    <w:rPr>
      <w:rFonts w:ascii="宋体" w:hAnsi="Courier New"/>
      <w:szCs w:val="21"/>
    </w:rPr>
  </w:style>
  <w:style w:type="paragraph" w:styleId="753">
    <w:name w:val="Date"/>
    <w:basedOn w:val="737"/>
    <w:next w:val="737"/>
    <w:link w:val="809"/>
    <w:qFormat/>
    <w:rPr>
      <w:rFonts w:eastAsia="仿宋_GB2312"/>
      <w:sz w:val="28"/>
      <w:szCs w:val="20"/>
    </w:rPr>
  </w:style>
  <w:style w:type="paragraph" w:styleId="754">
    <w:name w:val="Body Text Indent 2"/>
    <w:basedOn w:val="737"/>
    <w:link w:val="810"/>
    <w:qFormat/>
    <w:pPr>
      <w:ind w:firstLine="475"/>
      <w:spacing w:line="10" w:lineRule="atLeast"/>
    </w:pPr>
    <w:rPr>
      <w:rFonts w:ascii="仿宋_GB2312" w:eastAsia="仿宋_GB2312"/>
      <w:sz w:val="24"/>
    </w:rPr>
  </w:style>
  <w:style w:type="paragraph" w:styleId="755">
    <w:name w:val="Footer"/>
    <w:basedOn w:val="737"/>
    <w:link w:val="780"/>
    <w:uiPriority w:val="99"/>
    <w:qFormat/>
    <w:pPr>
      <w:jc w:val="left"/>
      <w:tabs>
        <w:tab w:val="center" w:pos="4153" w:leader="none"/>
        <w:tab w:val="right" w:pos="8306" w:leader="none"/>
      </w:tabs>
    </w:pPr>
    <w:rPr>
      <w:sz w:val="18"/>
      <w:szCs w:val="18"/>
    </w:rPr>
  </w:style>
  <w:style w:type="paragraph" w:styleId="756">
    <w:name w:val="Header"/>
    <w:basedOn w:val="737"/>
    <w:link w:val="781"/>
    <w:uiPriority w:val="99"/>
    <w:qFormat/>
    <w:pPr>
      <w:jc w:val="center"/>
      <w:tabs>
        <w:tab w:val="center" w:pos="4153" w:leader="none"/>
        <w:tab w:val="right" w:pos="8306" w:leader="none"/>
      </w:tabs>
      <w:pBdr>
        <w:bottom w:val="single" w:color="auto" w:sz="6" w:space="1"/>
      </w:pBdr>
    </w:pPr>
    <w:rPr>
      <w:sz w:val="18"/>
      <w:szCs w:val="18"/>
    </w:rPr>
  </w:style>
  <w:style w:type="paragraph" w:styleId="757">
    <w:name w:val="Normal (Web)"/>
    <w:basedOn w:val="737"/>
    <w:qFormat/>
    <w:pPr>
      <w:jc w:val="left"/>
      <w:spacing w:before="100" w:beforeAutospacing="1" w:after="100" w:afterAutospacing="1"/>
      <w:widowControl/>
    </w:pPr>
    <w:rPr>
      <w:rFonts w:ascii="宋体" w:hAnsi="宋体" w:cs="宋体"/>
      <w:sz w:val="24"/>
    </w:rPr>
  </w:style>
  <w:style w:type="character" w:styleId="758">
    <w:name w:val="page number"/>
    <w:basedOn w:val="743"/>
    <w:qFormat/>
  </w:style>
  <w:style w:type="character" w:styleId="759">
    <w:name w:val="FollowedHyperlink"/>
    <w:basedOn w:val="743"/>
    <w:rPr>
      <w:color w:val="800080"/>
      <w:u w:val="single"/>
    </w:rPr>
  </w:style>
  <w:style w:type="character" w:styleId="760">
    <w:name w:val="Hyperlink"/>
    <w:qFormat/>
    <w:rPr>
      <w:color w:val="0000ff"/>
      <w:u w:val="single"/>
    </w:rPr>
  </w:style>
  <w:style w:type="paragraph" w:styleId="761" w:customStyle="1">
    <w:name w:val="默认段落字体 Para Char Char Char Char Char Char Char"/>
    <w:basedOn w:val="737"/>
    <w:qFormat/>
    <w:rPr>
      <w:rFonts w:ascii="Tahoma" w:hAnsi="Tahoma"/>
      <w:sz w:val="24"/>
      <w:szCs w:val="20"/>
    </w:rPr>
  </w:style>
  <w:style w:type="paragraph" w:styleId="762" w:customStyle="1">
    <w:name w:val="Char"/>
    <w:basedOn w:val="737"/>
    <w:qFormat/>
    <w:pPr>
      <w:tabs>
        <w:tab w:val="left" w:pos="360" w:leader="none"/>
      </w:tabs>
    </w:pPr>
    <w:rPr>
      <w:sz w:val="24"/>
    </w:rPr>
  </w:style>
  <w:style w:type="paragraph" w:styleId="763" w:customStyle="1">
    <w:name w:val="普通正文"/>
    <w:basedOn w:val="737"/>
    <w:qFormat/>
    <w:pPr>
      <w:ind w:firstLine="480"/>
      <w:jc w:val="left"/>
      <w:spacing w:before="120" w:after="120" w:line="360" w:lineRule="auto"/>
    </w:pPr>
    <w:rPr>
      <w:rFonts w:ascii="Arial" w:hAnsi="Arial"/>
      <w:sz w:val="24"/>
    </w:rPr>
  </w:style>
  <w:style w:type="paragraph" w:styleId="764" w:customStyle="1">
    <w:name w:val="p0"/>
    <w:basedOn w:val="737"/>
    <w:qFormat/>
    <w:pPr>
      <w:widowControl/>
    </w:pPr>
    <w:rPr>
      <w:szCs w:val="21"/>
    </w:rPr>
  </w:style>
  <w:style w:type="paragraph" w:styleId="765" w:customStyle="1">
    <w:name w:val="Default"/>
    <w:basedOn w:val="737"/>
    <w:qFormat/>
    <w:rPr>
      <w:rFonts w:ascii="宋体" w:hAnsi="宋体" w:cs="宋体"/>
      <w:color w:val="000000"/>
      <w:sz w:val="24"/>
    </w:rPr>
  </w:style>
  <w:style w:type="paragraph" w:styleId="766" w:customStyle="1">
    <w:name w:val="正文1"/>
    <w:qFormat/>
    <w:pPr>
      <w:jc w:val="both"/>
      <w:widowControl w:val="off"/>
    </w:pPr>
    <w:rPr>
      <w:rFonts w:ascii="Calibri" w:hAnsi="Calibri"/>
      <w:sz w:val="21"/>
      <w:szCs w:val="24"/>
    </w:rPr>
  </w:style>
  <w:style w:type="character" w:styleId="767" w:customStyle="1">
    <w:name w:val="16"/>
    <w:basedOn w:val="743"/>
    <w:qFormat/>
    <w:rPr>
      <w:rFonts w:hint="eastAsia" w:ascii="黑体" w:hAnsi="宋体" w:eastAsia="黑体" w:cs="黑体"/>
      <w:color w:val="000000"/>
      <w:sz w:val="44"/>
      <w:szCs w:val="44"/>
    </w:rPr>
  </w:style>
  <w:style w:type="character" w:styleId="768" w:customStyle="1">
    <w:name w:val="15"/>
    <w:basedOn w:val="743"/>
    <w:link w:val="840"/>
    <w:qFormat/>
    <w:rPr>
      <w:rFonts w:hint="eastAsia" w:ascii="仿宋" w:hAnsi="仿宋" w:eastAsia="仿宋" w:cs="仿宋"/>
      <w:color w:val="000000"/>
      <w:sz w:val="18"/>
      <w:szCs w:val="18"/>
    </w:rPr>
  </w:style>
  <w:style w:type="paragraph" w:styleId="769" w:customStyle="1">
    <w:name w:val="Table Paragraph"/>
    <w:basedOn w:val="737"/>
    <w:uiPriority w:val="1"/>
    <w:qFormat/>
    <w:rPr>
      <w:rFonts w:ascii="宋体" w:hAnsi="宋体" w:cs="宋体"/>
      <w:lang w:val="zh-CN" w:bidi="zh-CN"/>
    </w:rPr>
  </w:style>
  <w:style w:type="character" w:styleId="770" w:customStyle="1">
    <w:name w:val="标题 3 Char"/>
    <w:basedOn w:val="743"/>
    <w:link w:val="740"/>
    <w:qFormat/>
    <w:rPr>
      <w:b/>
      <w:bCs/>
      <w:sz w:val="32"/>
      <w:szCs w:val="32"/>
    </w:rPr>
  </w:style>
  <w:style w:type="paragraph" w:styleId="771">
    <w:name w:val="Body Text First Indent 2"/>
    <w:basedOn w:val="748"/>
    <w:link w:val="772"/>
    <w:qFormat/>
    <w:pPr>
      <w:ind w:firstLine="420"/>
    </w:pPr>
  </w:style>
  <w:style w:type="character" w:styleId="772" w:customStyle="1">
    <w:name w:val="正文首行缩进 2 Char"/>
    <w:basedOn w:val="749"/>
    <w:link w:val="771"/>
  </w:style>
  <w:style w:type="paragraph" w:styleId="773">
    <w:name w:val="List Paragraph"/>
    <w:basedOn w:val="737"/>
    <w:uiPriority w:val="1"/>
    <w:qFormat/>
    <w:pPr>
      <w:ind w:right="-107"/>
    </w:pPr>
  </w:style>
  <w:style w:type="paragraph" w:styleId="774" w:customStyle="1">
    <w:name w:val="AONormal"/>
    <w:qFormat/>
    <w:pPr>
      <w:ind w:firstLine="440"/>
      <w:spacing w:line="400" w:lineRule="exact"/>
    </w:pPr>
    <w:rPr>
      <w:rFonts w:ascii="华文楷体" w:hAnsi="华文楷体" w:eastAsia="华文楷体" w:cs="华文楷体"/>
      <w:sz w:val="22"/>
      <w:szCs w:val="21"/>
    </w:rPr>
  </w:style>
  <w:style w:type="character" w:styleId="775">
    <w:name w:val="Emphasis"/>
    <w:basedOn w:val="743"/>
    <w:uiPriority w:val="20"/>
    <w:qFormat/>
    <w:rPr>
      <w:i/>
      <w:iCs/>
    </w:rPr>
  </w:style>
  <w:style w:type="character" w:styleId="776" w:customStyle="1">
    <w:name w:val="标题 2 Char"/>
    <w:basedOn w:val="743"/>
    <w:link w:val="739"/>
    <w:qFormat/>
    <w:rPr>
      <w:rFonts w:asciiTheme="majorHAnsi" w:hAnsiTheme="majorHAnsi" w:eastAsiaTheme="majorEastAsia" w:cstheme="majorBidi"/>
      <w:b/>
      <w:bCs/>
      <w:sz w:val="32"/>
      <w:szCs w:val="32"/>
    </w:rPr>
  </w:style>
  <w:style w:type="character" w:styleId="777" w:customStyle="1">
    <w:name w:val="纯文本 Char"/>
    <w:basedOn w:val="743"/>
    <w:link w:val="752"/>
    <w:qFormat/>
    <w:rPr>
      <w:rFonts w:ascii="宋体" w:hAnsi="Courier New"/>
      <w:sz w:val="21"/>
      <w:szCs w:val="21"/>
    </w:rPr>
  </w:style>
  <w:style w:type="paragraph" w:styleId="778" w:customStyle="1">
    <w:name w:val="※正文"/>
    <w:basedOn w:val="737"/>
    <w:next w:val="737"/>
    <w:qFormat/>
    <w:pPr>
      <w:ind w:left="1131"/>
      <w:spacing w:line="400" w:lineRule="exact"/>
      <w:widowControl/>
    </w:pPr>
    <w:rPr>
      <w:rFonts w:ascii="Calibri Light" w:hAnsi="Calibri Light" w:eastAsia="华文仿宋"/>
      <w:sz w:val="28"/>
      <w:szCs w:val="28"/>
    </w:rPr>
  </w:style>
  <w:style w:type="character" w:styleId="779" w:customStyle="1">
    <w:name w:val="标题 5 Char"/>
    <w:basedOn w:val="743"/>
    <w:link w:val="742"/>
    <w:semiHidden/>
    <w:rPr>
      <w:rFonts w:ascii="宋体" w:hAnsi="宋体"/>
      <w:sz w:val="24"/>
      <w:szCs w:val="22"/>
    </w:rPr>
  </w:style>
  <w:style w:type="character" w:styleId="780" w:customStyle="1">
    <w:name w:val="页脚 Char"/>
    <w:basedOn w:val="743"/>
    <w:link w:val="755"/>
    <w:uiPriority w:val="99"/>
    <w:qFormat/>
    <w:rPr>
      <w:sz w:val="18"/>
      <w:szCs w:val="18"/>
    </w:rPr>
  </w:style>
  <w:style w:type="character" w:styleId="781" w:customStyle="1">
    <w:name w:val="页眉 Char"/>
    <w:basedOn w:val="743"/>
    <w:link w:val="756"/>
    <w:uiPriority w:val="99"/>
    <w:rPr>
      <w:sz w:val="18"/>
      <w:szCs w:val="18"/>
    </w:rPr>
  </w:style>
  <w:style w:type="character" w:styleId="782" w:customStyle="1">
    <w:name w:val="正文文本 Char"/>
    <w:basedOn w:val="743"/>
    <w:link w:val="783"/>
    <w:qFormat/>
    <w:rPr>
      <w:sz w:val="21"/>
      <w:szCs w:val="24"/>
    </w:rPr>
  </w:style>
  <w:style w:type="paragraph" w:styleId="783">
    <w:name w:val="Body Text"/>
    <w:basedOn w:val="737"/>
    <w:link w:val="782"/>
    <w:unhideWhenUsed/>
    <w:qFormat/>
    <w:pPr>
      <w:spacing w:after="120"/>
    </w:pPr>
  </w:style>
  <w:style w:type="character" w:styleId="784" w:customStyle="1">
    <w:name w:val="正文文本 Char1"/>
    <w:basedOn w:val="743"/>
    <w:link w:val="783"/>
    <w:rPr>
      <w:sz w:val="21"/>
      <w:szCs w:val="24"/>
    </w:rPr>
  </w:style>
  <w:style w:type="paragraph" w:styleId="785" w:customStyle="1">
    <w:name w:val="目录 11"/>
    <w:basedOn w:val="737"/>
    <w:next w:val="737"/>
    <w:uiPriority w:val="39"/>
    <w:unhideWhenUsed/>
    <w:qFormat/>
    <w:pPr>
      <w:jc w:val="left"/>
      <w:spacing w:after="100" w:line="259" w:lineRule="auto"/>
      <w:widowControl/>
    </w:pPr>
    <w:rPr>
      <w:rFonts w:ascii="Calibri" w:hAnsi="Calibri"/>
      <w:sz w:val="22"/>
      <w:szCs w:val="22"/>
    </w:rPr>
  </w:style>
  <w:style w:type="paragraph" w:styleId="786" w:customStyle="1">
    <w:name w:val="列出段落1"/>
    <w:basedOn w:val="737"/>
    <w:uiPriority w:val="34"/>
    <w:qFormat/>
    <w:pPr>
      <w:ind w:firstLine="420"/>
    </w:pPr>
  </w:style>
  <w:style w:type="paragraph" w:styleId="787" w:customStyle="1">
    <w:name w:val="标题 11"/>
    <w:basedOn w:val="737"/>
    <w:link w:val="816"/>
    <w:uiPriority w:val="9"/>
    <w:qFormat/>
    <w:pPr>
      <w:ind w:left="919" w:hanging="323"/>
      <w:jc w:val="left"/>
      <w:outlineLvl w:val="1"/>
    </w:pPr>
    <w:rPr>
      <w:rFonts w:ascii="Microsoft JhengHei" w:hAnsi="Microsoft JhengHei" w:eastAsia="Microsoft JhengHei" w:cs="Microsoft JhengHei"/>
      <w:b/>
      <w:bCs/>
      <w:szCs w:val="21"/>
      <w:lang w:val="zh-CN" w:bidi="zh-CN"/>
    </w:rPr>
  </w:style>
  <w:style w:type="paragraph" w:styleId="788" w:customStyle="1">
    <w:name w:val="Heading 1"/>
    <w:basedOn w:val="737"/>
    <w:uiPriority w:val="9"/>
    <w:qFormat/>
    <w:pPr>
      <w:ind w:left="919" w:hanging="323"/>
      <w:outlineLvl w:val="1"/>
    </w:pPr>
    <w:rPr>
      <w:rFonts w:ascii="Microsoft JhengHei" w:hAnsi="Microsoft JhengHei" w:eastAsia="Microsoft JhengHei" w:cs="Microsoft JhengHei"/>
      <w:b/>
      <w:bCs/>
      <w:szCs w:val="21"/>
    </w:rPr>
  </w:style>
  <w:style w:type="table" w:styleId="789" w:customStyle="1">
    <w:name w:val="Table Normal"/>
    <w:unhideWhenUsed/>
    <w:qFormat/>
    <w:rPr>
      <w:rFonts w:asciiTheme="minorHAnsi" w:hAnsiTheme="minorHAnsi" w:eastAsiaTheme="minorEastAsia" w:cstheme="minorBidi"/>
    </w:rPr>
    <w:tblPr>
      <w:tblCellMar>
        <w:left w:w="0" w:type="dxa"/>
        <w:top w:w="0" w:type="dxa"/>
        <w:right w:w="0" w:type="dxa"/>
        <w:bottom w:w="0" w:type="dxa"/>
      </w:tblCellMar>
    </w:tblPr>
  </w:style>
  <w:style w:type="character" w:styleId="790" w:customStyle="1">
    <w:name w:val="标题 1 Char"/>
    <w:basedOn w:val="743"/>
    <w:link w:val="738"/>
    <w:uiPriority w:val="9"/>
    <w:qFormat/>
    <w:rPr>
      <w:b/>
      <w:bCs/>
      <w:sz w:val="44"/>
      <w:szCs w:val="44"/>
    </w:rPr>
  </w:style>
  <w:style w:type="character" w:styleId="791" w:customStyle="1">
    <w:name w:val="标题 4 Char"/>
    <w:basedOn w:val="743"/>
    <w:link w:val="741"/>
    <w:qFormat/>
    <w:rPr>
      <w:rFonts w:ascii="黑体" w:hAnsi="Arial" w:eastAsia="黑体"/>
      <w:sz w:val="24"/>
    </w:rPr>
  </w:style>
  <w:style w:type="paragraph" w:styleId="792">
    <w:name w:val="toc 2"/>
    <w:basedOn w:val="737"/>
    <w:next w:val="737"/>
    <w:uiPriority w:val="39"/>
    <w:unhideWhenUsed/>
    <w:qFormat/>
    <w:pPr>
      <w:ind w:left="283"/>
      <w:spacing w:after="57"/>
    </w:pPr>
  </w:style>
  <w:style w:type="paragraph" w:styleId="793">
    <w:name w:val="toc 3"/>
    <w:basedOn w:val="737"/>
    <w:next w:val="737"/>
    <w:uiPriority w:val="39"/>
    <w:unhideWhenUsed/>
    <w:qFormat/>
    <w:pPr>
      <w:ind w:left="567"/>
      <w:spacing w:after="57"/>
    </w:pPr>
  </w:style>
  <w:style w:type="paragraph" w:styleId="794">
    <w:name w:val="toc 4"/>
    <w:basedOn w:val="737"/>
    <w:next w:val="737"/>
    <w:uiPriority w:val="39"/>
    <w:unhideWhenUsed/>
    <w:qFormat/>
    <w:pPr>
      <w:ind w:left="850"/>
      <w:spacing w:after="57"/>
    </w:pPr>
  </w:style>
  <w:style w:type="paragraph" w:styleId="795">
    <w:name w:val="toc 5"/>
    <w:basedOn w:val="737"/>
    <w:next w:val="737"/>
    <w:uiPriority w:val="39"/>
    <w:unhideWhenUsed/>
    <w:qFormat/>
    <w:pPr>
      <w:ind w:left="1134"/>
      <w:spacing w:after="57"/>
    </w:pPr>
  </w:style>
  <w:style w:type="paragraph" w:styleId="796">
    <w:name w:val="toc 6"/>
    <w:basedOn w:val="737"/>
    <w:next w:val="737"/>
    <w:uiPriority w:val="39"/>
    <w:unhideWhenUsed/>
    <w:qFormat/>
    <w:pPr>
      <w:ind w:left="1417"/>
      <w:spacing w:after="57"/>
    </w:pPr>
  </w:style>
  <w:style w:type="paragraph" w:styleId="797">
    <w:name w:val="toc 7"/>
    <w:basedOn w:val="737"/>
    <w:next w:val="737"/>
    <w:uiPriority w:val="39"/>
    <w:unhideWhenUsed/>
    <w:qFormat/>
    <w:pPr>
      <w:ind w:left="1701"/>
      <w:spacing w:after="57"/>
    </w:pPr>
  </w:style>
  <w:style w:type="paragraph" w:styleId="798">
    <w:name w:val="toc 8"/>
    <w:basedOn w:val="737"/>
    <w:next w:val="737"/>
    <w:uiPriority w:val="39"/>
    <w:unhideWhenUsed/>
    <w:qFormat/>
    <w:pPr>
      <w:ind w:left="1984"/>
      <w:spacing w:after="57"/>
    </w:pPr>
  </w:style>
  <w:style w:type="paragraph" w:styleId="799">
    <w:name w:val="toc 9"/>
    <w:basedOn w:val="737"/>
    <w:next w:val="737"/>
    <w:uiPriority w:val="39"/>
    <w:unhideWhenUsed/>
    <w:qFormat/>
    <w:pPr>
      <w:ind w:left="2268"/>
      <w:spacing w:after="57"/>
    </w:pPr>
  </w:style>
  <w:style w:type="paragraph" w:styleId="800">
    <w:name w:val="footnote text"/>
    <w:basedOn w:val="737"/>
    <w:link w:val="801"/>
    <w:uiPriority w:val="99"/>
    <w:unhideWhenUsed/>
    <w:qFormat/>
    <w:pPr>
      <w:spacing w:after="40"/>
    </w:pPr>
    <w:rPr>
      <w:sz w:val="18"/>
    </w:rPr>
  </w:style>
  <w:style w:type="character" w:styleId="801" w:customStyle="1">
    <w:name w:val="脚注文本 Char"/>
    <w:basedOn w:val="743"/>
    <w:link w:val="800"/>
    <w:uiPriority w:val="99"/>
    <w:rPr>
      <w:sz w:val="18"/>
      <w:szCs w:val="24"/>
    </w:rPr>
  </w:style>
  <w:style w:type="paragraph" w:styleId="802">
    <w:name w:val="table of figures"/>
    <w:basedOn w:val="737"/>
    <w:next w:val="737"/>
    <w:uiPriority w:val="99"/>
    <w:unhideWhenUsed/>
    <w:qFormat/>
  </w:style>
  <w:style w:type="paragraph" w:styleId="803">
    <w:name w:val="endnote text"/>
    <w:basedOn w:val="737"/>
    <w:link w:val="804"/>
    <w:uiPriority w:val="99"/>
    <w:unhideWhenUsed/>
    <w:qFormat/>
    <w:rPr>
      <w:sz w:val="20"/>
    </w:rPr>
  </w:style>
  <w:style w:type="character" w:styleId="804" w:customStyle="1">
    <w:name w:val="尾注文本 Char"/>
    <w:basedOn w:val="743"/>
    <w:link w:val="803"/>
    <w:uiPriority w:val="99"/>
    <w:rPr>
      <w:szCs w:val="24"/>
    </w:rPr>
  </w:style>
  <w:style w:type="paragraph" w:styleId="805">
    <w:name w:val="Title"/>
    <w:basedOn w:val="737"/>
    <w:next w:val="737"/>
    <w:link w:val="806"/>
    <w:uiPriority w:val="10"/>
    <w:qFormat/>
    <w:pPr>
      <w:contextualSpacing/>
      <w:spacing w:before="300" w:after="200"/>
    </w:pPr>
    <w:rPr>
      <w:sz w:val="48"/>
      <w:szCs w:val="48"/>
    </w:rPr>
  </w:style>
  <w:style w:type="character" w:styleId="806" w:customStyle="1">
    <w:name w:val="标题 Char"/>
    <w:basedOn w:val="743"/>
    <w:link w:val="805"/>
    <w:uiPriority w:val="10"/>
    <w:rPr>
      <w:sz w:val="48"/>
      <w:szCs w:val="48"/>
    </w:rPr>
  </w:style>
  <w:style w:type="paragraph" w:styleId="807">
    <w:name w:val="Subtitle"/>
    <w:basedOn w:val="737"/>
    <w:next w:val="737"/>
    <w:link w:val="808"/>
    <w:uiPriority w:val="11"/>
    <w:qFormat/>
    <w:pPr>
      <w:spacing w:before="200" w:after="200"/>
    </w:pPr>
    <w:rPr>
      <w:sz w:val="24"/>
    </w:rPr>
  </w:style>
  <w:style w:type="character" w:styleId="808" w:customStyle="1">
    <w:name w:val="副标题 Char"/>
    <w:basedOn w:val="743"/>
    <w:link w:val="807"/>
    <w:uiPriority w:val="11"/>
    <w:rPr>
      <w:sz w:val="24"/>
      <w:szCs w:val="24"/>
    </w:rPr>
  </w:style>
  <w:style w:type="character" w:styleId="809" w:customStyle="1">
    <w:name w:val="日期 Char"/>
    <w:basedOn w:val="743"/>
    <w:link w:val="753"/>
    <w:rPr>
      <w:rFonts w:eastAsia="仿宋_GB2312"/>
      <w:sz w:val="28"/>
    </w:rPr>
  </w:style>
  <w:style w:type="character" w:styleId="810" w:customStyle="1">
    <w:name w:val="正文文本缩进 2 Char"/>
    <w:basedOn w:val="743"/>
    <w:link w:val="754"/>
    <w:rPr>
      <w:rFonts w:ascii="仿宋_GB2312" w:eastAsia="仿宋_GB2312"/>
      <w:sz w:val="24"/>
      <w:szCs w:val="24"/>
    </w:rPr>
  </w:style>
  <w:style w:type="paragraph" w:styleId="811">
    <w:name w:val="No Spacing"/>
    <w:link w:val="1006"/>
    <w:uiPriority w:val="1"/>
    <w:qFormat/>
  </w:style>
  <w:style w:type="paragraph" w:styleId="812">
    <w:name w:val="Quote"/>
    <w:basedOn w:val="737"/>
    <w:next w:val="737"/>
    <w:link w:val="813"/>
    <w:uiPriority w:val="29"/>
    <w:qFormat/>
    <w:pPr>
      <w:ind w:left="720" w:right="720"/>
    </w:pPr>
    <w:rPr>
      <w:i/>
    </w:rPr>
  </w:style>
  <w:style w:type="character" w:styleId="813" w:customStyle="1">
    <w:name w:val="引用 Char"/>
    <w:basedOn w:val="743"/>
    <w:link w:val="812"/>
    <w:uiPriority w:val="29"/>
    <w:rPr>
      <w:i/>
      <w:sz w:val="21"/>
      <w:szCs w:val="24"/>
    </w:rPr>
  </w:style>
  <w:style w:type="paragraph" w:styleId="814">
    <w:name w:val="Intense Quote"/>
    <w:basedOn w:val="737"/>
    <w:next w:val="737"/>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明显引用 Char"/>
    <w:basedOn w:val="743"/>
    <w:link w:val="814"/>
    <w:uiPriority w:val="30"/>
    <w:rPr>
      <w:i/>
      <w:sz w:val="21"/>
      <w:szCs w:val="24"/>
      <w:shd w:val="clear" w:color="auto" w:fill="f2f2f2"/>
    </w:rPr>
  </w:style>
  <w:style w:type="character" w:styleId="816" w:customStyle="1">
    <w:name w:val="Heading 1 Char"/>
    <w:link w:val="787"/>
    <w:uiPriority w:val="9"/>
    <w:rPr>
      <w:rFonts w:ascii="Microsoft JhengHei" w:hAnsi="Microsoft JhengHei" w:eastAsia="Microsoft JhengHei" w:cs="Microsoft JhengHei"/>
      <w:b/>
      <w:bCs/>
      <w:sz w:val="21"/>
      <w:szCs w:val="21"/>
      <w:lang w:val="zh-CN" w:bidi="zh-CN"/>
    </w:rPr>
  </w:style>
  <w:style w:type="character" w:styleId="817" w:customStyle="1">
    <w:name w:val="Heading 2 Char"/>
    <w:link w:val="818"/>
    <w:uiPriority w:val="9"/>
    <w:qFormat/>
    <w:rPr>
      <w:rFonts w:ascii="Arial" w:hAnsi="Arial" w:eastAsia="Arial" w:cs="Arial"/>
      <w:sz w:val="34"/>
      <w:szCs w:val="24"/>
    </w:rPr>
  </w:style>
  <w:style w:type="paragraph" w:styleId="818" w:customStyle="1">
    <w:name w:val="标题 21"/>
    <w:basedOn w:val="737"/>
    <w:next w:val="737"/>
    <w:link w:val="817"/>
    <w:uiPriority w:val="9"/>
    <w:qFormat/>
    <w:pPr>
      <w:keepLines/>
      <w:keepNext/>
      <w:spacing w:before="360" w:after="200"/>
      <w:outlineLvl w:val="1"/>
    </w:pPr>
    <w:rPr>
      <w:rFonts w:ascii="Arial" w:hAnsi="Arial" w:eastAsia="Arial" w:cs="Arial"/>
      <w:sz w:val="34"/>
    </w:rPr>
  </w:style>
  <w:style w:type="character" w:styleId="819" w:customStyle="1">
    <w:name w:val="Heading 3 Char"/>
    <w:link w:val="820"/>
    <w:uiPriority w:val="9"/>
    <w:rPr>
      <w:rFonts w:ascii="Arial" w:hAnsi="Arial" w:eastAsia="Arial" w:cs="Arial"/>
      <w:sz w:val="30"/>
      <w:szCs w:val="30"/>
    </w:rPr>
  </w:style>
  <w:style w:type="paragraph" w:styleId="820" w:customStyle="1">
    <w:name w:val="标题 31"/>
    <w:basedOn w:val="737"/>
    <w:next w:val="737"/>
    <w:link w:val="819"/>
    <w:uiPriority w:val="9"/>
    <w:qFormat/>
    <w:pPr>
      <w:keepLines/>
      <w:keepNext/>
      <w:spacing w:before="320" w:after="200"/>
      <w:outlineLvl w:val="2"/>
    </w:pPr>
    <w:rPr>
      <w:rFonts w:ascii="Arial" w:hAnsi="Arial" w:eastAsia="Arial" w:cs="Arial"/>
      <w:sz w:val="30"/>
      <w:szCs w:val="30"/>
    </w:rPr>
  </w:style>
  <w:style w:type="character" w:styleId="821" w:customStyle="1">
    <w:name w:val="Heading 4 Char"/>
    <w:link w:val="822"/>
    <w:uiPriority w:val="9"/>
    <w:rPr>
      <w:rFonts w:ascii="Arial" w:hAnsi="Arial" w:eastAsia="Arial" w:cs="Arial"/>
      <w:b/>
      <w:bCs/>
      <w:sz w:val="26"/>
      <w:szCs w:val="26"/>
    </w:rPr>
  </w:style>
  <w:style w:type="paragraph" w:styleId="822" w:customStyle="1">
    <w:name w:val="标题 41"/>
    <w:basedOn w:val="737"/>
    <w:next w:val="737"/>
    <w:link w:val="821"/>
    <w:uiPriority w:val="9"/>
    <w:qFormat/>
    <w:pPr>
      <w:keepLines/>
      <w:keepNext/>
      <w:spacing w:before="320" w:after="200"/>
      <w:outlineLvl w:val="3"/>
    </w:pPr>
    <w:rPr>
      <w:rFonts w:ascii="Arial" w:hAnsi="Arial" w:eastAsia="Arial" w:cs="Arial"/>
      <w:b/>
      <w:bCs/>
      <w:sz w:val="26"/>
      <w:szCs w:val="26"/>
    </w:rPr>
  </w:style>
  <w:style w:type="character" w:styleId="823" w:customStyle="1">
    <w:name w:val="Heading 5 Char"/>
    <w:link w:val="824"/>
    <w:uiPriority w:val="9"/>
    <w:rPr>
      <w:rFonts w:ascii="Arial" w:hAnsi="Arial" w:eastAsia="Arial" w:cs="Arial"/>
      <w:b/>
      <w:bCs/>
      <w:sz w:val="24"/>
      <w:szCs w:val="24"/>
    </w:rPr>
  </w:style>
  <w:style w:type="paragraph" w:styleId="824" w:customStyle="1">
    <w:name w:val="标题 51"/>
    <w:basedOn w:val="737"/>
    <w:next w:val="737"/>
    <w:link w:val="823"/>
    <w:uiPriority w:val="9"/>
    <w:qFormat/>
    <w:pPr>
      <w:keepLines/>
      <w:keepNext/>
      <w:spacing w:before="320" w:after="200"/>
      <w:outlineLvl w:val="4"/>
    </w:pPr>
    <w:rPr>
      <w:rFonts w:ascii="Arial" w:hAnsi="Arial" w:eastAsia="Arial" w:cs="Arial"/>
      <w:b/>
      <w:bCs/>
      <w:sz w:val="24"/>
    </w:rPr>
  </w:style>
  <w:style w:type="character" w:styleId="825" w:customStyle="1">
    <w:name w:val="Heading 6 Char"/>
    <w:link w:val="826"/>
    <w:uiPriority w:val="9"/>
    <w:rPr>
      <w:rFonts w:ascii="Arial" w:hAnsi="Arial" w:eastAsia="Arial" w:cs="Arial"/>
      <w:b/>
      <w:bCs/>
      <w:sz w:val="22"/>
    </w:rPr>
  </w:style>
  <w:style w:type="paragraph" w:styleId="826" w:customStyle="1">
    <w:name w:val="标题 61"/>
    <w:basedOn w:val="737"/>
    <w:next w:val="737"/>
    <w:link w:val="825"/>
    <w:uiPriority w:val="9"/>
    <w:qFormat/>
    <w:pPr>
      <w:keepLines/>
      <w:keepNext/>
      <w:spacing w:before="320" w:after="200"/>
      <w:outlineLvl w:val="5"/>
    </w:pPr>
    <w:rPr>
      <w:rFonts w:ascii="Arial" w:hAnsi="Arial" w:eastAsia="Arial" w:cs="Arial"/>
      <w:b/>
      <w:bCs/>
      <w:sz w:val="22"/>
      <w:szCs w:val="20"/>
    </w:rPr>
  </w:style>
  <w:style w:type="character" w:styleId="827" w:customStyle="1">
    <w:name w:val="Heading 7 Char"/>
    <w:link w:val="828"/>
    <w:uiPriority w:val="9"/>
    <w:rPr>
      <w:rFonts w:ascii="Arial" w:hAnsi="Arial" w:eastAsia="Arial" w:cs="Arial"/>
      <w:b/>
      <w:bCs/>
      <w:i/>
      <w:iCs/>
      <w:sz w:val="22"/>
    </w:rPr>
  </w:style>
  <w:style w:type="paragraph" w:styleId="828" w:customStyle="1">
    <w:name w:val="标题 71"/>
    <w:basedOn w:val="737"/>
    <w:next w:val="737"/>
    <w:link w:val="827"/>
    <w:uiPriority w:val="9"/>
    <w:qFormat/>
    <w:pPr>
      <w:keepLines/>
      <w:keepNext/>
      <w:spacing w:before="320" w:after="200"/>
      <w:outlineLvl w:val="6"/>
    </w:pPr>
    <w:rPr>
      <w:rFonts w:ascii="Arial" w:hAnsi="Arial" w:eastAsia="Arial" w:cs="Arial"/>
      <w:b/>
      <w:bCs/>
      <w:i/>
      <w:iCs/>
      <w:sz w:val="22"/>
      <w:szCs w:val="20"/>
    </w:rPr>
  </w:style>
  <w:style w:type="character" w:styleId="829" w:customStyle="1">
    <w:name w:val="Heading 8 Char"/>
    <w:link w:val="830"/>
    <w:uiPriority w:val="9"/>
    <w:rPr>
      <w:rFonts w:ascii="Arial" w:hAnsi="Arial" w:eastAsia="Arial" w:cs="Arial"/>
      <w:i/>
      <w:iCs/>
      <w:sz w:val="22"/>
    </w:rPr>
  </w:style>
  <w:style w:type="paragraph" w:styleId="830" w:customStyle="1">
    <w:name w:val="标题 81"/>
    <w:basedOn w:val="737"/>
    <w:next w:val="737"/>
    <w:link w:val="829"/>
    <w:uiPriority w:val="9"/>
    <w:qFormat/>
    <w:pPr>
      <w:keepLines/>
      <w:keepNext/>
      <w:spacing w:before="320" w:after="200"/>
      <w:outlineLvl w:val="7"/>
    </w:pPr>
    <w:rPr>
      <w:rFonts w:ascii="Arial" w:hAnsi="Arial" w:eastAsia="Arial" w:cs="Arial"/>
      <w:i/>
      <w:iCs/>
      <w:sz w:val="22"/>
      <w:szCs w:val="20"/>
    </w:rPr>
  </w:style>
  <w:style w:type="character" w:styleId="831" w:customStyle="1">
    <w:name w:val="Heading 9 Char"/>
    <w:link w:val="832"/>
    <w:uiPriority w:val="9"/>
    <w:rPr>
      <w:rFonts w:ascii="Arial" w:hAnsi="Arial" w:eastAsia="Arial" w:cs="Arial"/>
      <w:i/>
      <w:iCs/>
      <w:szCs w:val="21"/>
    </w:rPr>
  </w:style>
  <w:style w:type="paragraph" w:styleId="832" w:customStyle="1">
    <w:name w:val="标题 91"/>
    <w:basedOn w:val="737"/>
    <w:next w:val="737"/>
    <w:link w:val="831"/>
    <w:uiPriority w:val="9"/>
    <w:qFormat/>
    <w:pPr>
      <w:keepLines/>
      <w:keepNext/>
      <w:spacing w:before="320" w:after="200"/>
      <w:outlineLvl w:val="8"/>
    </w:pPr>
    <w:rPr>
      <w:rFonts w:ascii="Arial" w:hAnsi="Arial" w:eastAsia="Arial" w:cs="Arial"/>
      <w:i/>
      <w:iCs/>
      <w:sz w:val="20"/>
      <w:szCs w:val="21"/>
    </w:rPr>
  </w:style>
  <w:style w:type="character" w:styleId="833" w:customStyle="1">
    <w:name w:val="Header Char"/>
    <w:link w:val="834"/>
    <w:uiPriority w:val="99"/>
    <w:rPr>
      <w:szCs w:val="24"/>
    </w:rPr>
  </w:style>
  <w:style w:type="paragraph" w:styleId="834" w:customStyle="1">
    <w:name w:val="页眉1"/>
    <w:basedOn w:val="737"/>
    <w:link w:val="833"/>
    <w:uiPriority w:val="99"/>
    <w:qFormat/>
    <w:pPr>
      <w:tabs>
        <w:tab w:val="center" w:pos="7143" w:leader="none"/>
        <w:tab w:val="right" w:pos="14287" w:leader="none"/>
      </w:tabs>
    </w:pPr>
    <w:rPr>
      <w:sz w:val="20"/>
    </w:rPr>
  </w:style>
  <w:style w:type="character" w:styleId="835" w:customStyle="1">
    <w:name w:val="Caption Char"/>
    <w:link w:val="836"/>
    <w:uiPriority w:val="99"/>
    <w:rPr>
      <w:szCs w:val="24"/>
    </w:rPr>
  </w:style>
  <w:style w:type="paragraph" w:styleId="836" w:customStyle="1">
    <w:name w:val="页脚1"/>
    <w:basedOn w:val="737"/>
    <w:link w:val="835"/>
    <w:uiPriority w:val="99"/>
    <w:qFormat/>
    <w:pPr>
      <w:tabs>
        <w:tab w:val="center" w:pos="7143" w:leader="none"/>
        <w:tab w:val="right" w:pos="14287" w:leader="none"/>
      </w:tabs>
    </w:pPr>
    <w:rPr>
      <w:sz w:val="20"/>
    </w:rPr>
  </w:style>
  <w:style w:type="paragraph" w:styleId="837" w:customStyle="1">
    <w:name w:val="题注1"/>
    <w:basedOn w:val="737"/>
    <w:next w:val="737"/>
    <w:uiPriority w:val="35"/>
    <w:semiHidden/>
    <w:qFormat/>
    <w:pPr>
      <w:spacing w:line="276" w:lineRule="auto"/>
    </w:pPr>
    <w:rPr>
      <w:b/>
      <w:bCs/>
      <w:color w:val="4f81bd" w:themeColor="accent1"/>
      <w:sz w:val="18"/>
      <w:szCs w:val="18"/>
    </w:rPr>
  </w:style>
  <w:style w:type="paragraph" w:styleId="838" w:customStyle="1">
    <w:name w:val="TOC 标题1"/>
    <w:uiPriority w:val="39"/>
    <w:qFormat/>
  </w:style>
  <w:style w:type="paragraph" w:styleId="839" w:customStyle="1">
    <w:name w:val="正文（缩进）"/>
    <w:basedOn w:val="737"/>
    <w:qFormat/>
    <w:rPr>
      <w:rFonts w:ascii="宋体"/>
      <w:szCs w:val="21"/>
    </w:rPr>
  </w:style>
  <w:style w:type="paragraph" w:styleId="840" w:customStyle="1">
    <w:name w:val="正文11"/>
    <w:next w:val="737"/>
    <w:link w:val="768"/>
    <w:qFormat/>
    <w:pPr>
      <w:jc w:val="both"/>
      <w:widowControl w:val="off"/>
    </w:pPr>
    <w:rPr>
      <w:rFonts w:hint="eastAsia" w:ascii="仿宋" w:hAnsi="仿宋" w:eastAsia="仿宋" w:cs="仿宋"/>
      <w:color w:val="000000"/>
      <w:sz w:val="18"/>
      <w:szCs w:val="18"/>
    </w:rPr>
  </w:style>
  <w:style w:type="character" w:styleId="841">
    <w:name w:val="footnote reference"/>
    <w:uiPriority w:val="99"/>
    <w:unhideWhenUsed/>
    <w:rPr>
      <w:vertAlign w:val="superscript"/>
    </w:rPr>
  </w:style>
  <w:style w:type="character" w:styleId="842">
    <w:name w:val="endnote reference"/>
    <w:uiPriority w:val="99"/>
    <w:unhideWhenUsed/>
    <w:rPr>
      <w:vertAlign w:val="superscript"/>
    </w:rPr>
  </w:style>
  <w:style w:type="character" w:styleId="843" w:customStyle="1">
    <w:name w:val="Footer Char"/>
    <w:uiPriority w:val="99"/>
  </w:style>
  <w:style w:type="character" w:styleId="844" w:customStyle="1">
    <w:name w:val="font31"/>
    <w:qFormat/>
    <w:rPr>
      <w:rFonts w:hint="eastAsia" w:ascii="仿宋" w:hAnsi="仿宋" w:eastAsia="仿宋" w:cs="仿宋"/>
      <w:strike w:val="0"/>
      <w:color w:val="000000"/>
      <w:sz w:val="24"/>
      <w:szCs w:val="24"/>
      <w:u w:val="none"/>
    </w:rPr>
  </w:style>
  <w:style w:type="character" w:styleId="845" w:customStyle="1">
    <w:name w:val="font41"/>
    <w:rPr>
      <w:rFonts w:hint="eastAsia" w:ascii="宋体" w:hAnsi="宋体" w:eastAsia="宋体" w:cs="宋体"/>
      <w:strike w:val="0"/>
      <w:color w:val="000000"/>
      <w:sz w:val="22"/>
      <w:szCs w:val="22"/>
      <w:u w:val="none"/>
    </w:rPr>
  </w:style>
  <w:style w:type="table" w:styleId="846">
    <w:name w:val="Table Grid"/>
    <w:basedOn w:val="744"/>
    <w:uiPriority w:val="99"/>
    <w:qFormat/>
    <w:tblPr>
      <w:tblInd w:w="0" w:type="dxa"/>
      <w:tblCellMar>
        <w:left w:w="108" w:type="dxa"/>
        <w:top w:w="0" w:type="dxa"/>
        <w:right w:w="108" w:type="dxa"/>
        <w:bottom w:w="0" w:type="dxa"/>
      </w:tblCellMar>
    </w:tblPr>
  </w:style>
  <w:style w:type="table" w:styleId="847"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8" w:customStyle="1">
    <w:name w:val="无格式表格 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auto" w:fill="f2f2f2" w:themeFill="text1" w:themeFillTint="00"/>
      </w:tcPr>
    </w:tblStylePr>
    <w:tblStylePr w:type="band1Vert">
      <w:tcPr>
        <w:shd w:val="clear" w:color="auto" w:fill="f2f2f2" w:themeFill="text1" w:themeFillTint="0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849" w:customStyle="1">
    <w:name w:val="无格式表格 21"/>
    <w:uiPriority w:val="59"/>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themeColor="text1" w:sz="4" w:space="0"/>
          <w:bottom w:val="single" w:color="000000" w:themeColor="text1"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850" w:customStyle="1">
    <w:name w:val="无格式表格 31"/>
    <w:uiPriority w:val="99"/>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hemeFill="text1" w:themeFillTint="00"/>
      </w:tcPr>
    </w:tblStylePr>
    <w:tblStylePr w:type="band1Vert">
      <w:rPr>
        <w:rFonts w:hint="default" w:ascii="Arial" w:hAnsi="Arial" w:cs="Arial"/>
        <w:color w:val="404040"/>
        <w:sz w:val="22"/>
        <w:szCs w:val="22"/>
      </w:rPr>
      <w:tcPr>
        <w:shd w:val="clear" w:color="auto"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无格式表格 41"/>
    <w:uiPriority w:val="99"/>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hemeFill="text1" w:themeFillTint="00"/>
      </w:tcPr>
    </w:tblStylePr>
    <w:tblStylePr w:type="band1Vert">
      <w:rPr>
        <w:rFonts w:hint="default" w:ascii="Arial" w:hAnsi="Arial" w:cs="Arial"/>
        <w:color w:val="404040"/>
        <w:sz w:val="22"/>
        <w:szCs w:val="22"/>
      </w:rPr>
      <w:tcPr>
        <w:shd w:val="clear" w:color="auto"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无格式表格 51"/>
    <w:uiPriority w:val="99"/>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hemeFill="text1" w:themeFillTint="00"/>
      </w:tcPr>
    </w:tblStylePr>
    <w:tblStylePr w:type="band1Vert">
      <w:rPr>
        <w:rFonts w:hint="default" w:ascii="Arial" w:hAnsi="Arial" w:cs="Arial"/>
        <w:color w:val="404040"/>
        <w:sz w:val="22"/>
        <w:szCs w:val="22"/>
      </w:rPr>
      <w:tcPr>
        <w:shd w:val="clear" w:color="auto" w:fill="f2f2f2" w:themeFill="text1" w:themeFillTint="00"/>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000000" w:sz="4" w:space="0"/>
          <w:bottom w:val="single" w:color="404040" w:sz="4" w:space="0"/>
          <w:right w:val="none" w:color="000000" w:sz="4"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000000" w:sz="4" w:space="0"/>
          <w:right w:val="none" w:color="000000" w:sz="4" w:space="0"/>
        </w:tcBorders>
      </w:tcPr>
    </w:tblStylePr>
  </w:style>
  <w:style w:type="table" w:styleId="853" w:customStyle="1">
    <w:name w:val="网格表 1 浅色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0" w:customStyle="1">
    <w:name w:val="网格表 2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1" w:customStyle="1">
    <w:name w:val="Grid Table 2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hemeFill="accent1" w:themeFillTint="34"/>
      </w:tcPr>
    </w:tblStylePr>
    <w:tblStylePr w:type="band1Vert">
      <w:rPr>
        <w:rFonts w:hint="default" w:ascii="Arial" w:hAnsi="Arial" w:cs="Arial"/>
        <w:color w:val="404040"/>
        <w:sz w:val="22"/>
        <w:szCs w:val="22"/>
      </w:rPr>
      <w:tcPr>
        <w:shd w:val="clear" w:color="auto" w:fill="dae5f1" w:themeFill="accent1"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2" w:customStyle="1">
    <w:name w:val="Grid Table 2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hemeFill="accent2" w:themeFillTint="32"/>
      </w:tcPr>
    </w:tblStylePr>
    <w:tblStylePr w:type="band1Vert">
      <w:rPr>
        <w:rFonts w:hint="default" w:ascii="Arial" w:hAnsi="Arial" w:cs="Arial"/>
        <w:color w:val="404040"/>
        <w:sz w:val="22"/>
        <w:szCs w:val="22"/>
      </w:rPr>
      <w:tcPr>
        <w:shd w:val="clear" w:color="auto" w:fill="f2dcdc" w:themeFill="accent2" w:themeFillTint="32"/>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63" w:customStyle="1">
    <w:name w:val="Grid Table 2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hemeFill="accent3" w:themeFillTint="34"/>
      </w:tcPr>
    </w:tblStylePr>
    <w:tblStylePr w:type="band1Vert">
      <w:rPr>
        <w:rFonts w:hint="default" w:ascii="Arial" w:hAnsi="Arial" w:cs="Arial"/>
        <w:color w:val="404040"/>
        <w:sz w:val="22"/>
        <w:szCs w:val="22"/>
      </w:rPr>
      <w:tcPr>
        <w:shd w:val="clear" w:color="auto" w:fill="eaf1dc" w:themeFill="accent3"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64"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hemeFill="accent4" w:themeFillTint="34"/>
      </w:tcPr>
    </w:tblStylePr>
    <w:tblStylePr w:type="band1Vert">
      <w:rPr>
        <w:rFonts w:hint="default" w:ascii="Arial" w:hAnsi="Arial" w:cs="Arial"/>
        <w:color w:val="404040"/>
        <w:sz w:val="22"/>
        <w:szCs w:val="22"/>
      </w:rPr>
      <w:tcPr>
        <w:shd w:val="clear" w:color="auto" w:fill="e5dfec" w:themeFill="accent4"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hemeFill="accent5" w:themeFillTint="34"/>
      </w:tcPr>
    </w:tblStylePr>
    <w:tblStylePr w:type="band1Vert">
      <w:rPr>
        <w:rFonts w:hint="default" w:ascii="Arial" w:hAnsi="Arial" w:cs="Arial"/>
        <w:color w:val="404040"/>
        <w:sz w:val="22"/>
        <w:szCs w:val="22"/>
      </w:rPr>
      <w:tcPr>
        <w:shd w:val="clear" w:color="auto" w:fill="daeef3" w:themeFill="accent5"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hemeFill="accent6" w:themeFillTint="34"/>
      </w:tcPr>
    </w:tblStylePr>
    <w:tblStylePr w:type="band1Vert">
      <w:rPr>
        <w:rFonts w:hint="default" w:ascii="Arial" w:hAnsi="Arial" w:cs="Arial"/>
        <w:color w:val="404040"/>
        <w:sz w:val="22"/>
        <w:szCs w:val="22"/>
      </w:rPr>
      <w:tcPr>
        <w:shd w:val="clear" w:color="auto" w:fill="fde9d8" w:themeFill="accent6"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网格表 3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hemeFill="accent1" w:themeFillTint="34"/>
      </w:tcPr>
    </w:tblStylePr>
    <w:tblStylePr w:type="band1Vert">
      <w:rPr>
        <w:rFonts w:hint="default" w:ascii="Arial" w:hAnsi="Arial" w:cs="Arial"/>
        <w:color w:val="404040"/>
        <w:sz w:val="22"/>
        <w:szCs w:val="22"/>
      </w:rPr>
      <w:tcPr>
        <w:shd w:val="clear" w:color="auto" w:fill="dae5f1" w:themeFill="accent1"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hemeFill="accent2" w:themeFillTint="32"/>
      </w:tcPr>
    </w:tblStylePr>
    <w:tblStylePr w:type="band1Vert">
      <w:rPr>
        <w:rFonts w:hint="default" w:ascii="Arial" w:hAnsi="Arial" w:cs="Arial"/>
        <w:color w:val="404040"/>
        <w:sz w:val="22"/>
        <w:szCs w:val="22"/>
      </w:rPr>
      <w:tcPr>
        <w:shd w:val="clear" w:color="auto" w:fill="f2dcdc" w:themeFill="accent2" w:themeFillTint="32"/>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hemeFill="accent3" w:themeFillTint="34"/>
      </w:tcPr>
    </w:tblStylePr>
    <w:tblStylePr w:type="band1Vert">
      <w:rPr>
        <w:rFonts w:hint="default" w:ascii="Arial" w:hAnsi="Arial" w:cs="Arial"/>
        <w:color w:val="404040"/>
        <w:sz w:val="22"/>
        <w:szCs w:val="22"/>
      </w:rPr>
      <w:tcPr>
        <w:shd w:val="clear" w:color="auto" w:fill="eaf1dc" w:themeFill="accent3"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hemeFill="accent4" w:themeFillTint="34"/>
      </w:tcPr>
    </w:tblStylePr>
    <w:tblStylePr w:type="band1Vert">
      <w:rPr>
        <w:rFonts w:hint="default" w:ascii="Arial" w:hAnsi="Arial" w:cs="Arial"/>
        <w:color w:val="404040"/>
        <w:sz w:val="22"/>
        <w:szCs w:val="22"/>
      </w:rPr>
      <w:tcPr>
        <w:shd w:val="clear" w:color="auto" w:fill="e5dfec" w:themeFill="accent4"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hemeFill="accent5" w:themeFillTint="34"/>
      </w:tcPr>
    </w:tblStylePr>
    <w:tblStylePr w:type="band1Vert">
      <w:rPr>
        <w:rFonts w:hint="default" w:ascii="Arial" w:hAnsi="Arial" w:cs="Arial"/>
        <w:color w:val="404040"/>
        <w:sz w:val="22"/>
        <w:szCs w:val="22"/>
      </w:rPr>
      <w:tcPr>
        <w:shd w:val="clear" w:color="auto" w:fill="daeef3" w:themeFill="accent5"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hemeFill="accent6" w:themeFillTint="34"/>
      </w:tcPr>
    </w:tblStylePr>
    <w:tblStylePr w:type="band1Vert">
      <w:rPr>
        <w:rFonts w:hint="default" w:ascii="Arial" w:hAnsi="Arial" w:cs="Arial"/>
        <w:color w:val="404040"/>
        <w:sz w:val="22"/>
        <w:szCs w:val="22"/>
      </w:rPr>
      <w:tcPr>
        <w:shd w:val="clear" w:color="auto" w:fill="fde9d8" w:themeFill="accent6"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874" w:customStyle="1">
    <w:name w:val="网格表 4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ce6f2" w:themeFill="accent1" w:themeFillTint="32"/>
      </w:tcPr>
    </w:tblStylePr>
    <w:tblStylePr w:type="band1Vert">
      <w:rPr>
        <w:rFonts w:hint="default" w:ascii="Arial" w:hAnsi="Arial" w:cs="Arial"/>
        <w:color w:val="404040"/>
        <w:sz w:val="22"/>
        <w:szCs w:val="22"/>
      </w:rPr>
      <w:tcPr>
        <w:shd w:val="clear" w:color="auto" w:fill="dce6f2" w:themeFill="accent1" w:themeFillTint="32"/>
      </w:tcPr>
    </w:tblStylePr>
    <w:tblStylePr w:type="firstCol">
      <w:rPr>
        <w:b/>
        <w:color w:val="404040"/>
      </w:rPr>
    </w:tblStylePr>
    <w:tblStylePr w:type="firstRow">
      <w:rPr>
        <w:rFonts w:hint="default" w:ascii="Arial" w:hAnsi="Arial" w:cs="Arial"/>
        <w:b/>
        <w:color w:val="ffffff"/>
        <w:sz w:val="22"/>
        <w:szCs w:val="22"/>
      </w:rPr>
      <w:tcPr>
        <w:shd w:val="clear" w:color="auto"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76"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hemeFill="accent2" w:themeFillTint="32"/>
      </w:tcPr>
    </w:tblStylePr>
    <w:tblStylePr w:type="band1Vert">
      <w:rPr>
        <w:rFonts w:hint="default" w:ascii="Arial" w:hAnsi="Arial" w:cs="Arial"/>
        <w:color w:val="404040"/>
        <w:sz w:val="22"/>
        <w:szCs w:val="22"/>
      </w:rPr>
      <w:tcPr>
        <w:shd w:val="clear" w:color="auto" w:fill="f2dcdc" w:themeFill="accent2" w:themeFillTint="32"/>
      </w:tcPr>
    </w:tblStylePr>
    <w:tblStylePr w:type="firstCol">
      <w:rPr>
        <w:b/>
        <w:color w:val="404040"/>
      </w:rPr>
    </w:tblStylePr>
    <w:tblStylePr w:type="firstRow">
      <w:rPr>
        <w:rFonts w:hint="default" w:ascii="Arial" w:hAnsi="Arial" w:cs="Arial"/>
        <w:b/>
        <w:color w:val="ffffff"/>
        <w:sz w:val="22"/>
        <w:szCs w:val="22"/>
      </w:rPr>
      <w:tcPr>
        <w:shd w:val="clear" w:color="auto"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77"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hemeFill="accent3" w:themeFillTint="34"/>
      </w:tcPr>
    </w:tblStylePr>
    <w:tblStylePr w:type="band1Vert">
      <w:rPr>
        <w:rFonts w:hint="default" w:ascii="Arial" w:hAnsi="Arial" w:cs="Arial"/>
        <w:color w:val="404040"/>
        <w:sz w:val="22"/>
        <w:szCs w:val="22"/>
      </w:rPr>
      <w:tcPr>
        <w:shd w:val="clear" w:color="auto" w:fill="eaf1dc" w:themeFill="accent3" w:themeFillTint="34"/>
      </w:tcPr>
    </w:tblStylePr>
    <w:tblStylePr w:type="firstCol">
      <w:rPr>
        <w:b/>
        <w:color w:val="404040"/>
      </w:rPr>
    </w:tblStylePr>
    <w:tblStylePr w:type="firstRow">
      <w:rPr>
        <w:rFonts w:hint="default" w:ascii="Arial" w:hAnsi="Arial" w:cs="Arial"/>
        <w:b/>
        <w:color w:val="ffffff"/>
        <w:sz w:val="22"/>
        <w:szCs w:val="22"/>
      </w:rPr>
      <w:tcPr>
        <w:shd w:val="clear" w:color="auto"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78"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hemeFill="accent4" w:themeFillTint="34"/>
      </w:tcPr>
    </w:tblStylePr>
    <w:tblStylePr w:type="band1Vert">
      <w:rPr>
        <w:rFonts w:hint="default" w:ascii="Arial" w:hAnsi="Arial" w:cs="Arial"/>
        <w:color w:val="404040"/>
        <w:sz w:val="22"/>
        <w:szCs w:val="22"/>
      </w:rPr>
      <w:tcPr>
        <w:shd w:val="clear" w:color="auto" w:fill="e5dfec" w:themeFill="accent4" w:themeFillTint="34"/>
      </w:tcPr>
    </w:tblStylePr>
    <w:tblStylePr w:type="firstCol">
      <w:rPr>
        <w:b/>
        <w:color w:val="404040"/>
      </w:rPr>
    </w:tblStylePr>
    <w:tblStylePr w:type="firstRow">
      <w:rPr>
        <w:rFonts w:hint="default" w:ascii="Arial" w:hAnsi="Arial" w:cs="Arial"/>
        <w:b/>
        <w:color w:val="ffffff"/>
        <w:sz w:val="22"/>
        <w:szCs w:val="22"/>
      </w:rPr>
      <w:tcPr>
        <w:shd w:val="clear" w:color="auto"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9"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hemeFill="accent5" w:themeFillTint="34"/>
      </w:tcPr>
    </w:tblStylePr>
    <w:tblStylePr w:type="band1Vert">
      <w:rPr>
        <w:rFonts w:hint="default" w:ascii="Arial" w:hAnsi="Arial" w:cs="Arial"/>
        <w:color w:val="404040"/>
        <w:sz w:val="22"/>
        <w:szCs w:val="22"/>
      </w:rPr>
      <w:tcPr>
        <w:shd w:val="clear" w:color="auto" w:fill="daeef3" w:themeFill="accent5" w:themeFillTint="34"/>
      </w:tcPr>
    </w:tblStylePr>
    <w:tblStylePr w:type="firstCol">
      <w:rPr>
        <w:b/>
        <w:color w:val="404040"/>
      </w:rPr>
    </w:tblStylePr>
    <w:tblStylePr w:type="firstRow">
      <w:rPr>
        <w:rFonts w:hint="default" w:ascii="Arial" w:hAnsi="Arial" w:cs="Arial"/>
        <w:b/>
        <w:color w:val="ffffff"/>
        <w:sz w:val="22"/>
        <w:szCs w:val="22"/>
      </w:rPr>
      <w:tcPr>
        <w:shd w:val="clear" w:color="auto"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0"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hemeFill="accent6" w:themeFillTint="34"/>
      </w:tcPr>
    </w:tblStylePr>
    <w:tblStylePr w:type="band1Vert">
      <w:rPr>
        <w:rFonts w:hint="default" w:ascii="Arial" w:hAnsi="Arial" w:cs="Arial"/>
        <w:color w:val="404040"/>
        <w:sz w:val="22"/>
        <w:szCs w:val="22"/>
      </w:rPr>
      <w:tcPr>
        <w:shd w:val="clear" w:color="auto" w:fill="fde9d8" w:themeFill="accent6" w:themeFillTint="34"/>
      </w:tcPr>
    </w:tblStylePr>
    <w:tblStylePr w:type="firstCol">
      <w:rPr>
        <w:b/>
        <w:color w:val="404040"/>
      </w:rPr>
    </w:tblStylePr>
    <w:tblStylePr w:type="firstRow">
      <w:rPr>
        <w:rFonts w:hint="default" w:ascii="Arial" w:hAnsi="Arial" w:cs="Arial"/>
        <w:b/>
        <w:color w:val="ffffff"/>
        <w:sz w:val="22"/>
        <w:szCs w:val="22"/>
      </w:rPr>
      <w:tcPr>
        <w:shd w:val="clear" w:color="auto"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1" w:customStyle="1">
    <w:name w:val="网格表 5 深色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8a8a8a" w:themeFill="text1" w:themeFillTint="75"/>
      </w:tcPr>
    </w:tblStylePr>
    <w:tblStylePr w:type="band1Vert">
      <w:tcPr>
        <w:shd w:val="clear" w:color="auto" w:fill="8a8a8a" w:themeFill="text1" w:themeFillTint="75"/>
      </w:tcPr>
    </w:tblStylePr>
    <w:tblStylePr w:type="firstCol">
      <w:rPr>
        <w:rFonts w:hint="default" w:ascii="Arial" w:hAnsi="Arial" w:cs="Arial"/>
        <w:b/>
        <w:color w:val="ffffff"/>
        <w:sz w:val="22"/>
        <w:szCs w:val="22"/>
      </w:rPr>
      <w:tcPr>
        <w:shd w:val="clear" w:color="auto" w:fill="000000" w:themeFill="text1"/>
      </w:tcPr>
    </w:tblStylePr>
    <w:tblStylePr w:type="firstRow">
      <w:rPr>
        <w:rFonts w:hint="default" w:ascii="Arial" w:hAnsi="Arial" w:cs="Arial"/>
        <w:b/>
        <w:color w:val="ffffff"/>
        <w:sz w:val="22"/>
        <w:szCs w:val="22"/>
      </w:rPr>
      <w:tcPr>
        <w:shd w:val="clear" w:color="auto" w:fill="000000" w:themeFill="text1"/>
      </w:tcPr>
    </w:tblStylePr>
    <w:tblStylePr w:type="lastCol">
      <w:rPr>
        <w:rFonts w:hint="default" w:ascii="Arial" w:hAnsi="Arial" w:cs="Arial"/>
        <w:b/>
        <w:color w:val="ffffff"/>
        <w:sz w:val="22"/>
        <w:szCs w:val="22"/>
      </w:rPr>
      <w:tcPr>
        <w:shd w:val="clear" w:color="auto" w:fill="000000" w:themeFill="text1"/>
      </w:tcPr>
    </w:tblStylePr>
    <w:tblStylePr w:type="lastRow">
      <w:rPr>
        <w:rFonts w:hint="default" w:ascii="Arial" w:hAnsi="Arial" w:cs="Arial"/>
        <w:b/>
        <w:color w:val="ffffff"/>
        <w:sz w:val="22"/>
        <w:szCs w:val="22"/>
      </w:rPr>
      <w:tcPr>
        <w:shd w:val="clear" w:color="auto" w:fill="000000" w:themeFill="text1"/>
        <w:tcBorders>
          <w:top w:val="single" w:color="FFFFFF" w:themeColor="light1" w:sz="4" w:space="0"/>
        </w:tcBorders>
      </w:tcPr>
    </w:tblStylePr>
  </w:style>
  <w:style w:type="table" w:styleId="882"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aec4e0" w:themeFill="accent1" w:themeFillTint="75"/>
      </w:tcPr>
    </w:tblStylePr>
    <w:tblStylePr w:type="band1Vert">
      <w:tcPr>
        <w:shd w:val="clear" w:color="auto" w:fill="aec4e0" w:themeFill="accent1" w:themeFillTint="75"/>
      </w:tcPr>
    </w:tblStylePr>
    <w:tblStylePr w:type="firstCol">
      <w:rPr>
        <w:rFonts w:hint="default" w:ascii="Arial" w:hAnsi="Arial" w:cs="Arial"/>
        <w:b/>
        <w:color w:val="ffffff"/>
        <w:sz w:val="22"/>
        <w:szCs w:val="22"/>
      </w:rPr>
      <w:tcPr>
        <w:shd w:val="clear" w:color="auto" w:fill="4f81bd" w:themeFill="accent1"/>
      </w:tcPr>
    </w:tblStylePr>
    <w:tblStylePr w:type="firstRow">
      <w:rPr>
        <w:rFonts w:hint="default" w:ascii="Arial" w:hAnsi="Arial" w:cs="Arial"/>
        <w:b/>
        <w:color w:val="ffffff"/>
        <w:sz w:val="22"/>
        <w:szCs w:val="22"/>
      </w:rPr>
      <w:tcPr>
        <w:shd w:val="clear" w:color="auto" w:fill="4f81bd" w:themeFill="accent1"/>
      </w:tcPr>
    </w:tblStylePr>
    <w:tblStylePr w:type="lastCol">
      <w:rPr>
        <w:rFonts w:hint="default" w:ascii="Arial" w:hAnsi="Arial" w:cs="Arial"/>
        <w:b/>
        <w:color w:val="ffffff"/>
        <w:sz w:val="22"/>
        <w:szCs w:val="22"/>
      </w:rPr>
      <w:tcPr>
        <w:shd w:val="clear" w:color="auto" w:fill="4f81bd" w:themeFill="accent1"/>
      </w:tcPr>
    </w:tblStylePr>
    <w:tblStylePr w:type="lastRow">
      <w:rPr>
        <w:rFonts w:hint="default" w:ascii="Arial" w:hAnsi="Arial" w:cs="Arial"/>
        <w:b/>
        <w:color w:val="ffffff"/>
        <w:sz w:val="22"/>
        <w:szCs w:val="22"/>
      </w:rPr>
      <w:tcPr>
        <w:shd w:val="clear" w:color="auto" w:fill="4f81bd" w:themeFill="accent1"/>
        <w:tcBorders>
          <w:top w:val="single" w:color="FFFFFF" w:themeColor="light1" w:sz="4" w:space="0"/>
        </w:tcBorders>
      </w:tcPr>
    </w:tblStylePr>
  </w:style>
  <w:style w:type="table" w:styleId="883"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e2aead" w:themeFill="accent2" w:themeFillTint="75"/>
      </w:tcPr>
    </w:tblStylePr>
    <w:tblStylePr w:type="band1Vert">
      <w:tcPr>
        <w:shd w:val="clear" w:color="auto" w:fill="e2aead" w:themeFill="accent2" w:themeFillTint="75"/>
      </w:tcPr>
    </w:tblStylePr>
    <w:tblStylePr w:type="firstCol">
      <w:rPr>
        <w:rFonts w:hint="default" w:ascii="Arial" w:hAnsi="Arial" w:cs="Arial"/>
        <w:b/>
        <w:color w:val="ffffff"/>
        <w:sz w:val="22"/>
        <w:szCs w:val="22"/>
      </w:rPr>
      <w:tcPr>
        <w:shd w:val="clear" w:color="auto" w:fill="c0504d" w:themeFill="accent2"/>
      </w:tcPr>
    </w:tblStylePr>
    <w:tblStylePr w:type="firstRow">
      <w:rPr>
        <w:rFonts w:hint="default" w:ascii="Arial" w:hAnsi="Arial" w:cs="Arial"/>
        <w:b/>
        <w:color w:val="ffffff"/>
        <w:sz w:val="22"/>
        <w:szCs w:val="22"/>
      </w:rPr>
      <w:tcPr>
        <w:shd w:val="clear" w:color="auto" w:fill="c0504d" w:themeFill="accent2"/>
      </w:tcPr>
    </w:tblStylePr>
    <w:tblStylePr w:type="lastCol">
      <w:rPr>
        <w:rFonts w:hint="default" w:ascii="Arial" w:hAnsi="Arial" w:cs="Arial"/>
        <w:b/>
        <w:color w:val="ffffff"/>
        <w:sz w:val="22"/>
        <w:szCs w:val="22"/>
      </w:rPr>
      <w:tcPr>
        <w:shd w:val="clear" w:color="auto" w:fill="c0504d" w:themeFill="accent2"/>
      </w:tcPr>
    </w:tblStylePr>
    <w:tblStylePr w:type="lastRow">
      <w:rPr>
        <w:rFonts w:hint="default" w:ascii="Arial" w:hAnsi="Arial" w:cs="Arial"/>
        <w:b/>
        <w:color w:val="ffffff"/>
        <w:sz w:val="22"/>
        <w:szCs w:val="22"/>
      </w:rPr>
      <w:tcPr>
        <w:shd w:val="clear" w:color="auto" w:fill="c0504d" w:themeFill="accent2"/>
        <w:tcBorders>
          <w:top w:val="single" w:color="FFFFFF" w:themeColor="light1" w:sz="4" w:space="0"/>
        </w:tcBorders>
      </w:tcPr>
    </w:tblStylePr>
  </w:style>
  <w:style w:type="table" w:styleId="884"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d0dfb2" w:themeFill="accent3" w:themeFillTint="75"/>
      </w:tcPr>
    </w:tblStylePr>
    <w:tblStylePr w:type="band1Vert">
      <w:tcPr>
        <w:shd w:val="clear" w:color="auto" w:fill="d0dfb2" w:themeFill="accent3" w:themeFillTint="75"/>
      </w:tcPr>
    </w:tblStylePr>
    <w:tblStylePr w:type="firstCol">
      <w:rPr>
        <w:rFonts w:hint="default" w:ascii="Arial" w:hAnsi="Arial" w:cs="Arial"/>
        <w:b/>
        <w:color w:val="ffffff"/>
        <w:sz w:val="22"/>
        <w:szCs w:val="22"/>
      </w:rPr>
      <w:tcPr>
        <w:shd w:val="clear" w:color="auto" w:fill="9bbb59" w:themeFill="accent3"/>
      </w:tcPr>
    </w:tblStylePr>
    <w:tblStylePr w:type="firstRow">
      <w:rPr>
        <w:rFonts w:hint="default" w:ascii="Arial" w:hAnsi="Arial" w:cs="Arial"/>
        <w:b/>
        <w:color w:val="ffffff"/>
        <w:sz w:val="22"/>
        <w:szCs w:val="22"/>
      </w:rPr>
      <w:tcPr>
        <w:shd w:val="clear" w:color="auto" w:fill="9bbb59" w:themeFill="accent3"/>
      </w:tcPr>
    </w:tblStylePr>
    <w:tblStylePr w:type="lastCol">
      <w:rPr>
        <w:rFonts w:hint="default" w:ascii="Arial" w:hAnsi="Arial" w:cs="Arial"/>
        <w:b/>
        <w:color w:val="ffffff"/>
        <w:sz w:val="22"/>
        <w:szCs w:val="22"/>
      </w:rPr>
      <w:tcPr>
        <w:shd w:val="clear" w:color="auto" w:fill="9bbb59" w:themeFill="accent3"/>
      </w:tcPr>
    </w:tblStylePr>
    <w:tblStylePr w:type="lastRow">
      <w:rPr>
        <w:rFonts w:hint="default" w:ascii="Arial" w:hAnsi="Arial" w:cs="Arial"/>
        <w:b/>
        <w:color w:val="ffffff"/>
        <w:sz w:val="22"/>
        <w:szCs w:val="22"/>
      </w:rPr>
      <w:tcPr>
        <w:shd w:val="clear" w:color="auto" w:fill="9bbb59" w:themeFill="accent3"/>
        <w:tcBorders>
          <w:top w:val="single" w:color="FFFFFF" w:themeColor="light1" w:sz="4" w:space="0"/>
        </w:tcBorders>
      </w:tcPr>
    </w:tblStylePr>
  </w:style>
  <w:style w:type="table" w:styleId="885"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c4b7d4" w:themeFill="accent4" w:themeFillTint="75"/>
      </w:tcPr>
    </w:tblStylePr>
    <w:tblStylePr w:type="band1Vert">
      <w:tcPr>
        <w:shd w:val="clear" w:color="auto" w:fill="c4b7d4" w:themeFill="accent4" w:themeFillTint="75"/>
      </w:tcPr>
    </w:tblStylePr>
    <w:tblStylePr w:type="firstCol">
      <w:rPr>
        <w:rFonts w:hint="default" w:ascii="Arial" w:hAnsi="Arial" w:cs="Arial"/>
        <w:b/>
        <w:color w:val="ffffff"/>
        <w:sz w:val="22"/>
        <w:szCs w:val="22"/>
      </w:rPr>
      <w:tcPr>
        <w:shd w:val="clear" w:color="auto" w:fill="8064a2" w:themeFill="accent4"/>
      </w:tcPr>
    </w:tblStylePr>
    <w:tblStylePr w:type="firstRow">
      <w:rPr>
        <w:rFonts w:hint="default" w:ascii="Arial" w:hAnsi="Arial" w:cs="Arial"/>
        <w:b/>
        <w:color w:val="ffffff"/>
        <w:sz w:val="22"/>
        <w:szCs w:val="22"/>
      </w:rPr>
      <w:tcPr>
        <w:shd w:val="clear" w:color="auto" w:fill="8064a2" w:themeFill="accent4"/>
      </w:tcPr>
    </w:tblStylePr>
    <w:tblStylePr w:type="lastCol">
      <w:rPr>
        <w:rFonts w:hint="default" w:ascii="Arial" w:hAnsi="Arial" w:cs="Arial"/>
        <w:b/>
        <w:color w:val="ffffff"/>
        <w:sz w:val="22"/>
        <w:szCs w:val="22"/>
      </w:rPr>
      <w:tcPr>
        <w:shd w:val="clear" w:color="auto" w:fill="8064a2" w:themeFill="accent4"/>
      </w:tcPr>
    </w:tblStylePr>
    <w:tblStylePr w:type="lastRow">
      <w:rPr>
        <w:rFonts w:hint="default" w:ascii="Arial" w:hAnsi="Arial" w:cs="Arial"/>
        <w:b/>
        <w:color w:val="ffffff"/>
        <w:sz w:val="22"/>
        <w:szCs w:val="22"/>
      </w:rPr>
      <w:tcPr>
        <w:shd w:val="clear" w:color="auto" w:fill="8064a2" w:themeFill="accent4"/>
        <w:tcBorders>
          <w:top w:val="single" w:color="FFFFFF" w:themeColor="light1" w:sz="4" w:space="0"/>
        </w:tcBorders>
      </w:tcPr>
    </w:tblStylePr>
  </w:style>
  <w:style w:type="table" w:styleId="886"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acd8e4" w:themeFill="accent5" w:themeFillTint="75"/>
      </w:tcPr>
    </w:tblStylePr>
    <w:tblStylePr w:type="band1Vert">
      <w:tcPr>
        <w:shd w:val="clear" w:color="auto" w:fill="acd8e4" w:themeFill="accent5" w:themeFillTint="75"/>
      </w:tcPr>
    </w:tblStylePr>
    <w:tblStylePr w:type="firstCol">
      <w:rPr>
        <w:rFonts w:hint="default" w:ascii="Arial" w:hAnsi="Arial" w:cs="Arial"/>
        <w:b/>
        <w:color w:val="ffffff"/>
        <w:sz w:val="22"/>
        <w:szCs w:val="22"/>
      </w:rPr>
      <w:tcPr>
        <w:shd w:val="clear" w:color="auto" w:fill="4bacc6" w:themeFill="accent5"/>
      </w:tcPr>
    </w:tblStylePr>
    <w:tblStylePr w:type="firstRow">
      <w:rPr>
        <w:rFonts w:hint="default" w:ascii="Arial" w:hAnsi="Arial" w:cs="Arial"/>
        <w:b/>
        <w:color w:val="ffffff"/>
        <w:sz w:val="22"/>
        <w:szCs w:val="22"/>
      </w:rPr>
      <w:tcPr>
        <w:shd w:val="clear" w:color="auto" w:fill="4bacc6" w:themeFill="accent5"/>
      </w:tcPr>
    </w:tblStylePr>
    <w:tblStylePr w:type="lastCol">
      <w:rPr>
        <w:rFonts w:hint="default" w:ascii="Arial" w:hAnsi="Arial" w:cs="Arial"/>
        <w:b/>
        <w:color w:val="ffffff"/>
        <w:sz w:val="22"/>
        <w:szCs w:val="22"/>
      </w:rPr>
      <w:tcPr>
        <w:shd w:val="clear" w:color="auto" w:fill="4bacc6" w:themeFill="accent5"/>
      </w:tcPr>
    </w:tblStylePr>
    <w:tblStylePr w:type="lastRow">
      <w:rPr>
        <w:rFonts w:hint="default" w:ascii="Arial" w:hAnsi="Arial" w:cs="Arial"/>
        <w:b/>
        <w:color w:val="ffffff"/>
        <w:sz w:val="22"/>
        <w:szCs w:val="22"/>
      </w:rPr>
      <w:tcPr>
        <w:shd w:val="clear" w:color="auto" w:fill="4bacc6" w:themeFill="accent5"/>
        <w:tcBorders>
          <w:top w:val="single" w:color="FFFFFF" w:themeColor="light1" w:sz="4" w:space="0"/>
        </w:tcBorders>
      </w:tcPr>
    </w:tblStylePr>
  </w:style>
  <w:style w:type="table" w:styleId="887"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fbceaa" w:themeFill="accent6" w:themeFillTint="75"/>
      </w:tcPr>
    </w:tblStylePr>
    <w:tblStylePr w:type="band1Vert">
      <w:tcPr>
        <w:shd w:val="clear" w:color="auto" w:fill="fbceaa" w:themeFill="accent6" w:themeFillTint="75"/>
      </w:tcPr>
    </w:tblStylePr>
    <w:tblStylePr w:type="firstCol">
      <w:rPr>
        <w:rFonts w:hint="default" w:ascii="Arial" w:hAnsi="Arial" w:cs="Arial"/>
        <w:b/>
        <w:color w:val="ffffff"/>
        <w:sz w:val="22"/>
        <w:szCs w:val="22"/>
      </w:rPr>
      <w:tcPr>
        <w:shd w:val="clear" w:color="auto" w:fill="f79646" w:themeFill="accent6"/>
      </w:tcPr>
    </w:tblStylePr>
    <w:tblStylePr w:type="firstRow">
      <w:rPr>
        <w:rFonts w:hint="default" w:ascii="Arial" w:hAnsi="Arial" w:cs="Arial"/>
        <w:b/>
        <w:color w:val="ffffff"/>
        <w:sz w:val="22"/>
        <w:szCs w:val="22"/>
      </w:rPr>
      <w:tcPr>
        <w:shd w:val="clear" w:color="auto" w:fill="f79646" w:themeFill="accent6"/>
      </w:tcPr>
    </w:tblStylePr>
    <w:tblStylePr w:type="lastCol">
      <w:rPr>
        <w:rFonts w:hint="default" w:ascii="Arial" w:hAnsi="Arial" w:cs="Arial"/>
        <w:b/>
        <w:color w:val="ffffff"/>
        <w:sz w:val="22"/>
        <w:szCs w:val="22"/>
      </w:rPr>
      <w:tcPr>
        <w:shd w:val="clear" w:color="auto" w:fill="f79646" w:themeFill="accent6"/>
      </w:tcPr>
    </w:tblStylePr>
    <w:tblStylePr w:type="lastRow">
      <w:rPr>
        <w:rFonts w:hint="default" w:ascii="Arial" w:hAnsi="Arial" w:cs="Arial"/>
        <w:b/>
        <w:color w:val="ffffff"/>
        <w:sz w:val="22"/>
        <w:szCs w:val="22"/>
      </w:rPr>
      <w:tcPr>
        <w:shd w:val="clear" w:color="auto" w:fill="f79646" w:themeFill="accent6"/>
        <w:tcBorders>
          <w:top w:val="single" w:color="FFFFFF" w:themeColor="light1" w:sz="4" w:space="0"/>
        </w:tcBorders>
      </w:tcPr>
    </w:tblStylePr>
  </w:style>
  <w:style w:type="table" w:styleId="888" w:customStyle="1">
    <w:name w:val="网格表 6 彩色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hint="default" w:ascii="Arial" w:hAnsi="Arial" w:cs="Arial"/>
        <w:color w:val="7f7f7f" w:themeColor="text1" w:themeTint="80" w:themeShade="95"/>
        <w:sz w:val="22"/>
        <w:szCs w:val="22"/>
      </w:rPr>
      <w:tcPr>
        <w:shd w:val="clear" w:color="auto" w:fill="cbcbcb" w:themeFill="text1" w:themeFillTint="34"/>
      </w:tcPr>
    </w:tblStylePr>
    <w:tblStylePr w:type="band1Vert">
      <w:tcPr>
        <w:shd w:val="clear" w:color="auto" w:fill="cbcbcb" w:themeFill="text1" w:themeFillTint="34"/>
      </w:tcPr>
    </w:tblStylePr>
    <w:tblStylePr w:type="band2Horz">
      <w:rPr>
        <w:rFonts w:hint="default" w:ascii="Arial" w:hAnsi="Arial" w:cs="Arial"/>
        <w:color w:val="7f7f7f" w:themeColor="text1" w:themeTint="80" w:themeShade="95"/>
        <w:sz w:val="22"/>
        <w:szCs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89"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hint="default" w:ascii="Arial" w:hAnsi="Arial" w:cs="Arial"/>
        <w:color w:val="a6bfdd" w:themeColor="accent1" w:themeTint="80" w:themeShade="95"/>
        <w:sz w:val="22"/>
        <w:szCs w:val="22"/>
      </w:rPr>
      <w:tcPr>
        <w:shd w:val="clear" w:color="auto" w:fill="dae5f1" w:themeFill="accent1" w:themeFillTint="34"/>
      </w:tcPr>
    </w:tblStylePr>
    <w:tblStylePr w:type="band1Vert">
      <w:tcPr>
        <w:shd w:val="clear" w:color="auto" w:fill="dae5f1" w:themeFill="accent1" w:themeFillTint="34"/>
      </w:tcPr>
    </w:tblStylePr>
    <w:tblStylePr w:type="band2Horz">
      <w:rPr>
        <w:rFonts w:hint="default" w:ascii="Arial" w:hAnsi="Arial" w:cs="Arial"/>
        <w:color w:val="a6bfdd" w:themeColor="accent1" w:themeTint="80" w:themeShade="95"/>
        <w:sz w:val="22"/>
        <w:szCs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90"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hint="default" w:ascii="Arial" w:hAnsi="Arial" w:cs="Arial"/>
        <w:color w:val="d99695" w:themeColor="accent2" w:themeTint="97" w:themeShade="95"/>
        <w:sz w:val="22"/>
        <w:szCs w:val="22"/>
      </w:rPr>
      <w:tcPr>
        <w:shd w:val="clear" w:color="auto" w:fill="f2dcdc" w:themeFill="accent2" w:themeFillTint="32"/>
      </w:tcPr>
    </w:tblStylePr>
    <w:tblStylePr w:type="band1Vert">
      <w:tcPr>
        <w:shd w:val="clear" w:color="auto" w:fill="f2dcdc" w:themeFill="accent2" w:themeFillTint="32"/>
      </w:tcPr>
    </w:tblStylePr>
    <w:tblStylePr w:type="band2Horz">
      <w:rPr>
        <w:rFonts w:hint="default" w:ascii="Arial" w:hAnsi="Arial" w:cs="Arial"/>
        <w:color w:val="d99695" w:themeColor="accent2" w:themeTint="97" w:themeShade="95"/>
        <w:sz w:val="22"/>
        <w:szCs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91"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hint="default" w:ascii="Arial" w:hAnsi="Arial" w:cs="Arial"/>
        <w:color w:val="9abb59" w:themeColor="accent3" w:themeTint="FE" w:themeShade="95"/>
        <w:sz w:val="22"/>
        <w:szCs w:val="22"/>
      </w:rPr>
      <w:tcPr>
        <w:shd w:val="clear" w:color="auto" w:fill="eaf1dc" w:themeFill="accent3" w:themeFillTint="34"/>
      </w:tcPr>
    </w:tblStylePr>
    <w:tblStylePr w:type="band1Vert">
      <w:tcPr>
        <w:shd w:val="clear" w:color="auto" w:fill="eaf1dc" w:themeFill="accent3" w:themeFillTint="34"/>
      </w:tcPr>
    </w:tblStylePr>
    <w:tblStylePr w:type="band2Horz">
      <w:rPr>
        <w:rFonts w:hint="default" w:ascii="Arial" w:hAnsi="Arial" w:cs="Arial"/>
        <w:color w:val="9abb59" w:themeColor="accent3" w:themeTint="FE" w:themeShade="95"/>
        <w:sz w:val="22"/>
        <w:szCs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92"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hint="default" w:ascii="Arial" w:hAnsi="Arial" w:cs="Arial"/>
        <w:color w:val="b2a1c6" w:themeColor="accent4" w:themeTint="9A" w:themeShade="95"/>
        <w:sz w:val="22"/>
        <w:szCs w:val="22"/>
      </w:rPr>
      <w:tcPr>
        <w:shd w:val="clear" w:color="auto" w:fill="e5dfec" w:themeFill="accent4" w:themeFillTint="34"/>
      </w:tcPr>
    </w:tblStylePr>
    <w:tblStylePr w:type="band1Vert">
      <w:tcPr>
        <w:shd w:val="clear" w:color="auto" w:fill="e5dfec" w:themeFill="accent4" w:themeFillTint="34"/>
      </w:tcPr>
    </w:tblStylePr>
    <w:tblStylePr w:type="band2Horz">
      <w:rPr>
        <w:rFonts w:hint="default" w:ascii="Arial" w:hAnsi="Arial" w:cs="Arial"/>
        <w:color w:val="b2a1c6" w:themeColor="accent4" w:themeTint="9A" w:themeShade="95"/>
        <w:sz w:val="22"/>
        <w:szCs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93"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hint="default" w:ascii="Arial" w:hAnsi="Arial" w:cs="Arial"/>
        <w:color w:val="266779" w:themeColor="accent5" w:themeShade="95"/>
        <w:sz w:val="22"/>
        <w:szCs w:val="22"/>
      </w:rPr>
      <w:tcPr>
        <w:shd w:val="clear" w:color="auto" w:fill="daeef3" w:themeFill="accent5" w:themeFillTint="34"/>
      </w:tcPr>
    </w:tblStylePr>
    <w:tblStylePr w:type="band1Vert">
      <w:tcPr>
        <w:shd w:val="clear" w:color="auto" w:fill="daeef3" w:themeFill="accent5" w:themeFillTint="34"/>
      </w:tcPr>
    </w:tblStylePr>
    <w:tblStylePr w:type="band2Horz">
      <w:rPr>
        <w:rFonts w:hint="default" w:ascii="Arial" w:hAnsi="Arial" w:cs="Arial"/>
        <w:color w:val="266779" w:themeColor="accent5" w:themeShade="95"/>
        <w:sz w:val="22"/>
        <w:szCs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4"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hint="default" w:ascii="Arial" w:hAnsi="Arial" w:cs="Arial"/>
        <w:color w:val="266779" w:themeColor="accent5" w:themeShade="95"/>
        <w:sz w:val="22"/>
        <w:szCs w:val="22"/>
      </w:rPr>
      <w:tcPr>
        <w:shd w:val="clear" w:color="auto" w:fill="fde9d8" w:themeFill="accent6" w:themeFillTint="34"/>
      </w:tcPr>
    </w:tblStylePr>
    <w:tblStylePr w:type="band1Vert">
      <w:tcPr>
        <w:shd w:val="clear" w:color="auto" w:fill="fde9d8" w:themeFill="accent6" w:themeFillTint="34"/>
      </w:tcPr>
    </w:tblStylePr>
    <w:tblStylePr w:type="band2Horz">
      <w:rPr>
        <w:rFonts w:hint="default" w:ascii="Arial" w:hAnsi="Arial" w:cs="Arial"/>
        <w:color w:val="266779" w:themeColor="accent5" w:themeShade="95"/>
        <w:sz w:val="22"/>
        <w:szCs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5"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hint="default" w:ascii="Arial" w:hAnsi="Arial" w:cs="Arial"/>
        <w:color w:val="7f7f7f" w:themeColor="text1" w:themeTint="80" w:themeShade="95"/>
        <w:sz w:val="22"/>
        <w:szCs w:val="22"/>
      </w:rPr>
      <w:tcPr>
        <w:shd w:val="clear" w:color="auto" w:fill="f2f2f2" w:themeFill="text1" w:themeFillTint="00"/>
      </w:tcPr>
    </w:tblStylePr>
    <w:tblStylePr w:type="band1Vert">
      <w:tcPr>
        <w:shd w:val="clear" w:color="auto" w:fill="f2f2f2" w:themeFill="text1" w:themeFillTint="00"/>
      </w:tcPr>
    </w:tblStylePr>
    <w:tblStylePr w:type="band2Horz">
      <w:rPr>
        <w:rFonts w:hint="default" w:ascii="Arial" w:hAnsi="Arial" w:cs="Arial"/>
        <w:color w:val="7f7f7f" w:themeColor="text1" w:themeTint="80" w:themeShade="95"/>
        <w:sz w:val="22"/>
        <w:szCs w:val="22"/>
      </w:rPr>
    </w:tblStylePr>
    <w:tblStylePr w:type="firstCol">
      <w:rPr>
        <w:rFonts w:hint="default" w:ascii="Arial" w:hAnsi="Arial" w:cs="Arial"/>
        <w:i/>
        <w:color w:val="7f7f7f" w:themeColor="text1" w:themeTint="80" w:themeShade="95"/>
        <w:sz w:val="22"/>
        <w:szCs w:val="22"/>
      </w:rPr>
      <w:pPr>
        <w:jc w:val="right"/>
      </w:pPr>
      <w:tcPr>
        <w:shd w:val="clear" w:color="auto"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hint="default" w:ascii="Arial" w:hAnsi="Arial" w:cs="Arial"/>
        <w:b/>
        <w:color w:val="7f7f7f" w:themeColor="text1" w:themeTint="80" w:themeShade="95"/>
        <w:sz w:val="22"/>
        <w:szCs w:val="22"/>
      </w:rPr>
      <w:tcPr>
        <w:shd w:val="clear" w:color="auto"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hint="default" w:ascii="Arial" w:hAnsi="Arial" w:cs="Arial"/>
        <w:i/>
        <w:color w:val="7f7f7f" w:themeColor="text1" w:themeTint="80" w:themeShade="95"/>
        <w:sz w:val="22"/>
        <w:szCs w:val="22"/>
      </w:rPr>
      <w:tcPr>
        <w:shd w:val="clear" w:color="auto"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hint="default" w:ascii="Arial" w:hAnsi="Arial" w:cs="Arial"/>
        <w:b/>
        <w:color w:val="7f7f7f" w:themeColor="text1" w:themeTint="80" w:themeShade="95"/>
        <w:sz w:val="22"/>
        <w:szCs w:val="22"/>
      </w:rPr>
      <w:tcPr>
        <w:shd w:val="clear" w:color="auto"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6"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hint="default" w:ascii="Arial" w:hAnsi="Arial" w:cs="Arial"/>
        <w:color w:val="a6bfdd" w:themeColor="accent1" w:themeTint="80" w:themeShade="95"/>
        <w:sz w:val="22"/>
        <w:szCs w:val="22"/>
      </w:rPr>
      <w:tcPr>
        <w:shd w:val="clear" w:color="auto" w:fill="dae5f1" w:themeFill="accent1" w:themeFillTint="34"/>
      </w:tcPr>
    </w:tblStylePr>
    <w:tblStylePr w:type="band1Vert">
      <w:tcPr>
        <w:shd w:val="clear" w:color="auto" w:fill="dae5f1" w:themeFill="accent1" w:themeFillTint="34"/>
      </w:tcPr>
    </w:tblStylePr>
    <w:tblStylePr w:type="band2Horz">
      <w:rPr>
        <w:rFonts w:hint="default" w:ascii="Arial" w:hAnsi="Arial" w:cs="Arial"/>
        <w:color w:val="a6bfdd" w:themeColor="accent1" w:themeTint="80" w:themeShade="95"/>
        <w:sz w:val="22"/>
        <w:szCs w:val="22"/>
      </w:rPr>
    </w:tblStylePr>
    <w:tblStylePr w:type="firstCol">
      <w:rPr>
        <w:rFonts w:hint="default" w:ascii="Arial" w:hAnsi="Arial" w:cs="Arial"/>
        <w:i/>
        <w:color w:val="a6bfdd" w:themeColor="accent1" w:themeTint="80" w:themeShade="95"/>
        <w:sz w:val="22"/>
        <w:szCs w:val="22"/>
      </w:rPr>
      <w:pPr>
        <w:jc w:val="right"/>
      </w:pPr>
      <w:tcPr>
        <w:shd w:val="clear" w:color="auto"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hint="default" w:ascii="Arial" w:hAnsi="Arial" w:cs="Arial"/>
        <w:b/>
        <w:color w:val="a6bfdd" w:themeColor="accent1" w:themeTint="80" w:themeShade="95"/>
        <w:sz w:val="22"/>
        <w:szCs w:val="22"/>
      </w:rPr>
      <w:tcPr>
        <w:shd w:val="clear" w:color="auto"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hint="default" w:ascii="Arial" w:hAnsi="Arial" w:cs="Arial"/>
        <w:i/>
        <w:color w:val="a6bfdd" w:themeColor="accent1" w:themeTint="80" w:themeShade="95"/>
        <w:sz w:val="22"/>
        <w:szCs w:val="22"/>
      </w:rPr>
      <w:tcPr>
        <w:shd w:val="clear" w:color="auto"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hint="default" w:ascii="Arial" w:hAnsi="Arial" w:cs="Arial"/>
        <w:b/>
        <w:color w:val="a6bfdd" w:themeColor="accent1" w:themeTint="80" w:themeShade="95"/>
        <w:sz w:val="22"/>
        <w:szCs w:val="22"/>
      </w:rPr>
      <w:tcPr>
        <w:shd w:val="clear" w:color="auto"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7"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hint="default" w:ascii="Arial" w:hAnsi="Arial" w:cs="Arial"/>
        <w:color w:val="d99695" w:themeColor="accent2" w:themeTint="97" w:themeShade="95"/>
        <w:sz w:val="22"/>
        <w:szCs w:val="22"/>
      </w:rPr>
      <w:tcPr>
        <w:shd w:val="clear" w:color="auto" w:fill="f2dcdc" w:themeFill="accent2" w:themeFillTint="32"/>
      </w:tcPr>
    </w:tblStylePr>
    <w:tblStylePr w:type="band1Vert">
      <w:tcPr>
        <w:shd w:val="clear" w:color="auto" w:fill="f2dcdc" w:themeFill="accent2" w:themeFillTint="32"/>
      </w:tcPr>
    </w:tblStylePr>
    <w:tblStylePr w:type="band2Horz">
      <w:rPr>
        <w:rFonts w:hint="default" w:ascii="Arial" w:hAnsi="Arial" w:cs="Arial"/>
        <w:color w:val="d99695" w:themeColor="accent2" w:themeTint="97" w:themeShade="95"/>
        <w:sz w:val="22"/>
        <w:szCs w:val="22"/>
      </w:rPr>
    </w:tblStylePr>
    <w:tblStylePr w:type="firstCol">
      <w:rPr>
        <w:rFonts w:hint="default" w:ascii="Arial" w:hAnsi="Arial" w:cs="Arial"/>
        <w:i/>
        <w:color w:val="d99695" w:themeColor="accent2" w:themeTint="97" w:themeShade="95"/>
        <w:sz w:val="22"/>
        <w:szCs w:val="22"/>
      </w:rPr>
      <w:pPr>
        <w:jc w:val="right"/>
      </w:pPr>
      <w:tcPr>
        <w:shd w:val="clear" w:color="auto"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hint="default" w:ascii="Arial" w:hAnsi="Arial" w:cs="Arial"/>
        <w:b/>
        <w:color w:val="d99695" w:themeColor="accent2" w:themeTint="97" w:themeShade="95"/>
        <w:sz w:val="22"/>
        <w:szCs w:val="22"/>
      </w:rPr>
      <w:tcPr>
        <w:shd w:val="clear" w:color="auto"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hint="default" w:ascii="Arial" w:hAnsi="Arial" w:cs="Arial"/>
        <w:i/>
        <w:color w:val="d99695" w:themeColor="accent2" w:themeTint="97" w:themeShade="95"/>
        <w:sz w:val="22"/>
        <w:szCs w:val="22"/>
      </w:rPr>
      <w:tcPr>
        <w:shd w:val="clear" w:color="auto"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hint="default" w:ascii="Arial" w:hAnsi="Arial" w:cs="Arial"/>
        <w:b/>
        <w:color w:val="d99695" w:themeColor="accent2" w:themeTint="97" w:themeShade="95"/>
        <w:sz w:val="22"/>
        <w:szCs w:val="22"/>
      </w:rPr>
      <w:tcPr>
        <w:shd w:val="clear" w:color="auto"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8"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hint="default" w:ascii="Arial" w:hAnsi="Arial" w:cs="Arial"/>
        <w:color w:val="9abb59" w:themeColor="accent3" w:themeTint="FE" w:themeShade="95"/>
        <w:sz w:val="22"/>
        <w:szCs w:val="22"/>
      </w:rPr>
      <w:tcPr>
        <w:shd w:val="clear" w:color="auto" w:fill="eaf1dc" w:themeFill="accent3" w:themeFillTint="34"/>
      </w:tcPr>
    </w:tblStylePr>
    <w:tblStylePr w:type="band1Vert">
      <w:tcPr>
        <w:shd w:val="clear" w:color="auto" w:fill="eaf1dc" w:themeFill="accent3" w:themeFillTint="34"/>
      </w:tcPr>
    </w:tblStylePr>
    <w:tblStylePr w:type="band2Horz">
      <w:rPr>
        <w:rFonts w:hint="default" w:ascii="Arial" w:hAnsi="Arial" w:cs="Arial"/>
        <w:color w:val="9abb59" w:themeColor="accent3" w:themeTint="FE" w:themeShade="95"/>
        <w:sz w:val="22"/>
        <w:szCs w:val="22"/>
      </w:rPr>
    </w:tblStylePr>
    <w:tblStylePr w:type="firstCol">
      <w:rPr>
        <w:rFonts w:hint="default" w:ascii="Arial" w:hAnsi="Arial" w:cs="Arial"/>
        <w:i/>
        <w:color w:val="9abb59" w:themeColor="accent3" w:themeTint="FE" w:themeShade="95"/>
        <w:sz w:val="22"/>
        <w:szCs w:val="22"/>
      </w:rPr>
      <w:pPr>
        <w:jc w:val="right"/>
      </w:pPr>
      <w:tcPr>
        <w:shd w:val="clear" w:color="auto"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hint="default" w:ascii="Arial" w:hAnsi="Arial" w:cs="Arial"/>
        <w:b/>
        <w:color w:val="9abb59" w:themeColor="accent3" w:themeTint="FE" w:themeShade="95"/>
        <w:sz w:val="22"/>
        <w:szCs w:val="22"/>
      </w:rPr>
      <w:tcPr>
        <w:shd w:val="clear" w:color="auto"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hint="default" w:ascii="Arial" w:hAnsi="Arial" w:cs="Arial"/>
        <w:i/>
        <w:color w:val="9abb59" w:themeColor="accent3" w:themeTint="FE" w:themeShade="95"/>
        <w:sz w:val="22"/>
        <w:szCs w:val="22"/>
      </w:rPr>
      <w:tcPr>
        <w:shd w:val="clear" w:color="auto"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hint="default" w:ascii="Arial" w:hAnsi="Arial" w:cs="Arial"/>
        <w:b/>
        <w:color w:val="9abb59" w:themeColor="accent3" w:themeTint="FE" w:themeShade="95"/>
        <w:sz w:val="22"/>
        <w:szCs w:val="22"/>
      </w:rPr>
      <w:tcPr>
        <w:shd w:val="clear" w:color="auto"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99"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hint="default" w:ascii="Arial" w:hAnsi="Arial" w:cs="Arial"/>
        <w:color w:val="b2a1c6" w:themeColor="accent4" w:themeTint="9A" w:themeShade="95"/>
        <w:sz w:val="22"/>
        <w:szCs w:val="22"/>
      </w:rPr>
      <w:tcPr>
        <w:shd w:val="clear" w:color="auto" w:fill="e5dfec" w:themeFill="accent4" w:themeFillTint="34"/>
      </w:tcPr>
    </w:tblStylePr>
    <w:tblStylePr w:type="band1Vert">
      <w:tcPr>
        <w:shd w:val="clear" w:color="auto" w:fill="e5dfec" w:themeFill="accent4" w:themeFillTint="34"/>
      </w:tcPr>
    </w:tblStylePr>
    <w:tblStylePr w:type="band2Horz">
      <w:rPr>
        <w:rFonts w:hint="default" w:ascii="Arial" w:hAnsi="Arial" w:cs="Arial"/>
        <w:color w:val="b2a1c6" w:themeColor="accent4" w:themeTint="9A" w:themeShade="95"/>
        <w:sz w:val="22"/>
        <w:szCs w:val="22"/>
      </w:rPr>
    </w:tblStylePr>
    <w:tblStylePr w:type="firstCol">
      <w:rPr>
        <w:rFonts w:hint="default" w:ascii="Arial" w:hAnsi="Arial" w:cs="Arial"/>
        <w:i/>
        <w:color w:val="b2a1c6" w:themeColor="accent4" w:themeTint="9A" w:themeShade="95"/>
        <w:sz w:val="22"/>
        <w:szCs w:val="22"/>
      </w:rPr>
      <w:pPr>
        <w:jc w:val="right"/>
      </w:pPr>
      <w:tcPr>
        <w:shd w:val="clear" w:color="auto"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hint="default" w:ascii="Arial" w:hAnsi="Arial" w:cs="Arial"/>
        <w:b/>
        <w:color w:val="b2a1c6" w:themeColor="accent4" w:themeTint="9A" w:themeShade="95"/>
        <w:sz w:val="22"/>
        <w:szCs w:val="22"/>
      </w:rPr>
      <w:tcPr>
        <w:shd w:val="clear" w:color="auto"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hint="default" w:ascii="Arial" w:hAnsi="Arial" w:cs="Arial"/>
        <w:i/>
        <w:color w:val="b2a1c6" w:themeColor="accent4" w:themeTint="9A" w:themeShade="95"/>
        <w:sz w:val="22"/>
        <w:szCs w:val="22"/>
      </w:rPr>
      <w:tcPr>
        <w:shd w:val="clear" w:color="auto"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hint="default" w:ascii="Arial" w:hAnsi="Arial" w:cs="Arial"/>
        <w:b/>
        <w:color w:val="b2a1c6" w:themeColor="accent4" w:themeTint="9A" w:themeShade="95"/>
        <w:sz w:val="22"/>
        <w:szCs w:val="22"/>
      </w:rPr>
      <w:tcPr>
        <w:shd w:val="clear" w:color="auto"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hint="default" w:ascii="Arial" w:hAnsi="Arial" w:cs="Arial"/>
        <w:color w:val="266779" w:themeColor="accent5" w:themeShade="95"/>
        <w:sz w:val="22"/>
        <w:szCs w:val="22"/>
      </w:rPr>
      <w:tcPr>
        <w:shd w:val="clear" w:color="auto" w:fill="daeef3" w:themeFill="accent5" w:themeFillTint="34"/>
      </w:tcPr>
    </w:tblStylePr>
    <w:tblStylePr w:type="band1Vert">
      <w:tcPr>
        <w:shd w:val="clear" w:color="auto" w:fill="daeef3" w:themeFill="accent5" w:themeFillTint="34"/>
      </w:tcPr>
    </w:tblStylePr>
    <w:tblStylePr w:type="band2Horz">
      <w:rPr>
        <w:rFonts w:hint="default" w:ascii="Arial" w:hAnsi="Arial" w:cs="Arial"/>
        <w:color w:val="266779" w:themeColor="accent5" w:themeShade="95"/>
        <w:sz w:val="22"/>
        <w:szCs w:val="22"/>
      </w:rPr>
    </w:tblStylePr>
    <w:tblStylePr w:type="firstCol">
      <w:rPr>
        <w:rFonts w:hint="default" w:ascii="Arial" w:hAnsi="Arial" w:cs="Arial"/>
        <w:i/>
        <w:color w:val="266779" w:themeColor="accent5" w:themeShade="95"/>
        <w:sz w:val="22"/>
        <w:szCs w:val="22"/>
      </w:rPr>
      <w:pPr>
        <w:jc w:val="right"/>
      </w:pPr>
      <w:tcPr>
        <w:shd w:val="clear" w:color="auto"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hint="default" w:ascii="Arial" w:hAnsi="Arial" w:cs="Arial"/>
        <w:b/>
        <w:color w:val="266779" w:themeColor="accent5" w:themeShade="95"/>
        <w:sz w:val="22"/>
        <w:szCs w:val="22"/>
      </w:rPr>
      <w:tcPr>
        <w:shd w:val="clear" w:color="auto"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hint="default" w:ascii="Arial" w:hAnsi="Arial" w:cs="Arial"/>
        <w:i/>
        <w:color w:val="266779" w:themeColor="accent5" w:themeShade="95"/>
        <w:sz w:val="22"/>
        <w:szCs w:val="22"/>
      </w:rPr>
      <w:tcPr>
        <w:shd w:val="clear" w:color="auto"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hint="default" w:ascii="Arial" w:hAnsi="Arial" w:cs="Arial"/>
        <w:b/>
        <w:color w:val="266779" w:themeColor="accent5" w:themeShade="95"/>
        <w:sz w:val="22"/>
        <w:szCs w:val="22"/>
      </w:rPr>
      <w:tcPr>
        <w:shd w:val="clear" w:color="auto"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1"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hint="default" w:ascii="Arial" w:hAnsi="Arial" w:cs="Arial"/>
        <w:color w:val="b15407" w:themeColor="accent6" w:themeShade="95"/>
        <w:sz w:val="22"/>
        <w:szCs w:val="22"/>
      </w:rPr>
      <w:tcPr>
        <w:shd w:val="clear" w:color="auto" w:fill="fde9d8" w:themeFill="accent6" w:themeFillTint="34"/>
      </w:tcPr>
    </w:tblStylePr>
    <w:tblStylePr w:type="band1Vert">
      <w:tcPr>
        <w:shd w:val="clear" w:color="auto" w:fill="fde9d8" w:themeFill="accent6" w:themeFillTint="34"/>
      </w:tcPr>
    </w:tblStylePr>
    <w:tblStylePr w:type="band2Horz">
      <w:rPr>
        <w:rFonts w:hint="default" w:ascii="Arial" w:hAnsi="Arial" w:cs="Arial"/>
        <w:color w:val="b15407" w:themeColor="accent6" w:themeShade="95"/>
        <w:sz w:val="22"/>
        <w:szCs w:val="22"/>
      </w:rPr>
    </w:tblStylePr>
    <w:tblStylePr w:type="firstCol">
      <w:rPr>
        <w:rFonts w:hint="default" w:ascii="Arial" w:hAnsi="Arial" w:cs="Arial"/>
        <w:i/>
        <w:color w:val="b15407" w:themeColor="accent6" w:themeShade="95"/>
        <w:sz w:val="22"/>
        <w:szCs w:val="22"/>
      </w:rPr>
      <w:pPr>
        <w:jc w:val="right"/>
      </w:pPr>
      <w:tcPr>
        <w:shd w:val="clear" w:color="auto"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hint="default" w:ascii="Arial" w:hAnsi="Arial" w:cs="Arial"/>
        <w:b/>
        <w:color w:val="b15407" w:themeColor="accent6" w:themeShade="95"/>
        <w:sz w:val="22"/>
        <w:szCs w:val="22"/>
      </w:rPr>
      <w:tcPr>
        <w:shd w:val="clear" w:color="auto"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hint="default" w:ascii="Arial" w:hAnsi="Arial" w:cs="Arial"/>
        <w:i/>
        <w:color w:val="b15407" w:themeColor="accent6" w:themeShade="95"/>
        <w:sz w:val="22"/>
        <w:szCs w:val="22"/>
      </w:rPr>
      <w:tcPr>
        <w:shd w:val="clear" w:color="auto"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hint="default" w:ascii="Arial" w:hAnsi="Arial" w:cs="Arial"/>
        <w:b/>
        <w:color w:val="b15407" w:themeColor="accent6" w:themeShade="95"/>
        <w:sz w:val="22"/>
        <w:szCs w:val="22"/>
      </w:rPr>
      <w:tcPr>
        <w:shd w:val="clear" w:color="auto"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2" w:customStyle="1">
    <w:name w:val="清单表 1 浅色1"/>
    <w:uiPriority w:val="99"/>
    <w:tblPr>
      <w:tblCellMar>
        <w:left w:w="0" w:type="dxa"/>
        <w:top w:w="0" w:type="dxa"/>
        <w:right w:w="0" w:type="dxa"/>
        <w:bottom w:w="0" w:type="dxa"/>
      </w:tblCellMar>
    </w:tblPr>
    <w:tblStylePr w:type="band1Horz">
      <w:tcPr>
        <w:shd w:val="clear" w:color="auto" w:fill="bfbfbf" w:themeFill="text1" w:themeFillTint="40"/>
      </w:tcPr>
    </w:tblStylePr>
    <w:tblStylePr w:type="band1Vert">
      <w:tcPr>
        <w:shd w:val="clear" w:color="auto"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customStyle="1">
    <w:name w:val="List Table 1 Light - Accent 1"/>
    <w:uiPriority w:val="99"/>
    <w:tblPr>
      <w:tblCellMar>
        <w:left w:w="0" w:type="dxa"/>
        <w:top w:w="0" w:type="dxa"/>
        <w:right w:w="0" w:type="dxa"/>
        <w:bottom w:w="0" w:type="dxa"/>
      </w:tblCellMar>
    </w:tblPr>
    <w:tblStylePr w:type="band1Horz">
      <w:tcPr>
        <w:shd w:val="clear" w:color="auto" w:fill="d2dfee" w:themeFill="accent1" w:themeFillTint="40"/>
      </w:tcPr>
    </w:tblStylePr>
    <w:tblStylePr w:type="band1Vert">
      <w:tcPr>
        <w:shd w:val="clear" w:color="auto"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1 Light - Accent 2"/>
    <w:uiPriority w:val="99"/>
    <w:tblPr>
      <w:tblCellMar>
        <w:left w:w="0" w:type="dxa"/>
        <w:top w:w="0" w:type="dxa"/>
        <w:right w:w="0" w:type="dxa"/>
        <w:bottom w:w="0" w:type="dxa"/>
      </w:tblCellMar>
    </w:tblPr>
    <w:tblStylePr w:type="band1Horz">
      <w:tcPr>
        <w:shd w:val="clear" w:color="auto" w:fill="efd2d2" w:themeFill="accent2" w:themeFillTint="40"/>
      </w:tcPr>
    </w:tblStylePr>
    <w:tblStylePr w:type="band1Vert">
      <w:tcPr>
        <w:shd w:val="clear" w:color="auto"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5" w:customStyle="1">
    <w:name w:val="List Table 1 Light - Accent 3"/>
    <w:uiPriority w:val="99"/>
    <w:tblPr>
      <w:tblCellMar>
        <w:left w:w="0" w:type="dxa"/>
        <w:top w:w="0" w:type="dxa"/>
        <w:right w:w="0" w:type="dxa"/>
        <w:bottom w:w="0" w:type="dxa"/>
      </w:tblCellMar>
    </w:tblPr>
    <w:tblStylePr w:type="band1Horz">
      <w:tcPr>
        <w:shd w:val="clear" w:color="auto" w:fill="e5eed5" w:themeFill="accent3" w:themeFillTint="40"/>
      </w:tcPr>
    </w:tblStylePr>
    <w:tblStylePr w:type="band1Vert">
      <w:tcPr>
        <w:shd w:val="clear" w:color="auto"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6" w:customStyle="1">
    <w:name w:val="List Table 1 Light - Accent 4"/>
    <w:uiPriority w:val="99"/>
    <w:tblPr>
      <w:tblCellMar>
        <w:left w:w="0" w:type="dxa"/>
        <w:top w:w="0" w:type="dxa"/>
        <w:right w:w="0" w:type="dxa"/>
        <w:bottom w:w="0" w:type="dxa"/>
      </w:tblCellMar>
    </w:tblPr>
    <w:tblStylePr w:type="band1Horz">
      <w:tcPr>
        <w:shd w:val="clear" w:color="auto" w:fill="dfd8e7" w:themeFill="accent4" w:themeFillTint="40"/>
      </w:tcPr>
    </w:tblStylePr>
    <w:tblStylePr w:type="band1Vert">
      <w:tcPr>
        <w:shd w:val="clear" w:color="auto"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7" w:customStyle="1">
    <w:name w:val="List Table 1 Light - Accent 5"/>
    <w:uiPriority w:val="99"/>
    <w:tblPr>
      <w:tblCellMar>
        <w:left w:w="0" w:type="dxa"/>
        <w:top w:w="0" w:type="dxa"/>
        <w:right w:w="0" w:type="dxa"/>
        <w:bottom w:w="0" w:type="dxa"/>
      </w:tblCellMar>
    </w:tblPr>
    <w:tblStylePr w:type="band1Horz">
      <w:tcPr>
        <w:shd w:val="clear" w:color="auto" w:fill="d1eaf0" w:themeFill="accent5" w:themeFillTint="40"/>
      </w:tcPr>
    </w:tblStylePr>
    <w:tblStylePr w:type="band1Vert">
      <w:tcPr>
        <w:shd w:val="clear" w:color="auto"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List Table 1 Light - Accent 6"/>
    <w:uiPriority w:val="99"/>
    <w:tblPr>
      <w:tblCellMar>
        <w:left w:w="0" w:type="dxa"/>
        <w:top w:w="0" w:type="dxa"/>
        <w:right w:w="0" w:type="dxa"/>
        <w:bottom w:w="0" w:type="dxa"/>
      </w:tblCellMar>
    </w:tblPr>
    <w:tblStylePr w:type="band1Horz">
      <w:tcPr>
        <w:shd w:val="clear" w:color="auto" w:fill="fde4d0" w:themeFill="accent6" w:themeFillTint="40"/>
      </w:tcPr>
    </w:tblStylePr>
    <w:tblStylePr w:type="band1Vert">
      <w:tcPr>
        <w:shd w:val="clear" w:color="auto"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hemeFill="text1" w:themeFillTint="40"/>
      </w:tcPr>
    </w:tblStylePr>
    <w:tblStylePr w:type="band1Vert">
      <w:rPr>
        <w:rFonts w:hint="default" w:ascii="Arial" w:hAnsi="Arial" w:cs="Arial"/>
        <w:color w:val="404040"/>
        <w:sz w:val="22"/>
        <w:szCs w:val="22"/>
      </w:rPr>
      <w:tcPr>
        <w:shd w:val="clear" w:color="auto" w:fill="bfbfbf" w:themeFill="text1"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0"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hemeFill="accent1" w:themeFillTint="40"/>
      </w:tcPr>
    </w:tblStylePr>
    <w:tblStylePr w:type="band1Vert">
      <w:rPr>
        <w:rFonts w:hint="default" w:ascii="Arial" w:hAnsi="Arial" w:cs="Arial"/>
        <w:color w:val="404040"/>
        <w:sz w:val="22"/>
        <w:szCs w:val="22"/>
      </w:rPr>
      <w:tcPr>
        <w:shd w:val="clear" w:color="auto" w:fill="d2dfee" w:themeFill="accent1"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1"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hemeFill="accent2" w:themeFillTint="40"/>
      </w:tcPr>
    </w:tblStylePr>
    <w:tblStylePr w:type="band1Vert">
      <w:rPr>
        <w:rFonts w:hint="default" w:ascii="Arial" w:hAnsi="Arial" w:cs="Arial"/>
        <w:color w:val="404040"/>
        <w:sz w:val="22"/>
        <w:szCs w:val="22"/>
      </w:rPr>
      <w:tcPr>
        <w:shd w:val="clear" w:color="auto" w:fill="efd2d2" w:themeFill="accent2"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2"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hemeFill="accent3" w:themeFillTint="40"/>
      </w:tcPr>
    </w:tblStylePr>
    <w:tblStylePr w:type="band1Vert">
      <w:rPr>
        <w:rFonts w:hint="default" w:ascii="Arial" w:hAnsi="Arial" w:cs="Arial"/>
        <w:color w:val="404040"/>
        <w:sz w:val="22"/>
        <w:szCs w:val="22"/>
      </w:rPr>
      <w:tcPr>
        <w:shd w:val="clear" w:color="auto" w:fill="e5eed5" w:themeFill="accent3"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3"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hemeFill="accent4" w:themeFillTint="40"/>
      </w:tcPr>
    </w:tblStylePr>
    <w:tblStylePr w:type="band1Vert">
      <w:rPr>
        <w:rFonts w:hint="default" w:ascii="Arial" w:hAnsi="Arial" w:cs="Arial"/>
        <w:color w:val="404040"/>
        <w:sz w:val="22"/>
        <w:szCs w:val="22"/>
      </w:rPr>
      <w:tcPr>
        <w:shd w:val="clear" w:color="auto" w:fill="dfd8e7" w:themeFill="accent4"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4"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hemeFill="accent5" w:themeFillTint="40"/>
      </w:tcPr>
    </w:tblStylePr>
    <w:tblStylePr w:type="band1Vert">
      <w:rPr>
        <w:rFonts w:hint="default" w:ascii="Arial" w:hAnsi="Arial" w:cs="Arial"/>
        <w:color w:val="404040"/>
        <w:sz w:val="22"/>
        <w:szCs w:val="22"/>
      </w:rPr>
      <w:tcPr>
        <w:shd w:val="clear" w:color="auto" w:fill="d1eaf0" w:themeFill="accent5"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5"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hemeFill="accent6" w:themeFillTint="40"/>
      </w:tcPr>
    </w:tblStylePr>
    <w:tblStylePr w:type="band1Vert">
      <w:rPr>
        <w:rFonts w:hint="default" w:ascii="Arial" w:hAnsi="Arial" w:cs="Arial"/>
        <w:color w:val="404040"/>
        <w:sz w:val="22"/>
        <w:szCs w:val="22"/>
      </w:rPr>
      <w:tcPr>
        <w:shd w:val="clear" w:color="auto" w:fill="fde4d0" w:themeFill="accent6"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6"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000000" w:themeColor="text1" w:sz="4" w:space="0"/>
          <w:bottom w:val="single" w:color="000000" w:themeColor="text1" w:sz="4" w:space="0"/>
        </w:tcBorders>
      </w:tcPr>
    </w:tblStylePr>
    <w:tblStylePr w:type="band1Vert">
      <w:rPr>
        <w:rFonts w:hint="default" w:ascii="Arial" w:hAnsi="Arial" w:cs="Arial"/>
        <w:color w:val="404040"/>
        <w:sz w:val="22"/>
        <w:szCs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917"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4F81BD" w:themeColor="accent1" w:sz="4" w:space="0"/>
          <w:bottom w:val="single" w:color="4F81BD" w:themeColor="accent1" w:sz="4" w:space="0"/>
        </w:tcBorders>
      </w:tcPr>
    </w:tblStylePr>
    <w:tblStylePr w:type="band1Vert">
      <w:rPr>
        <w:rFonts w:hint="default" w:ascii="Arial" w:hAnsi="Arial" w:cs="Arial"/>
        <w:color w:val="404040"/>
        <w:sz w:val="22"/>
        <w:szCs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4f81bd" w:themeFill="accent1"/>
      </w:tcPr>
    </w:tblStylePr>
    <w:tblStylePr w:type="lastCol">
      <w:rPr>
        <w:b/>
        <w:color w:val="404040"/>
      </w:rPr>
    </w:tblStylePr>
    <w:tblStylePr w:type="lastRow">
      <w:rPr>
        <w:b/>
        <w:color w:val="404040"/>
      </w:rPr>
    </w:tblStylePr>
  </w:style>
  <w:style w:type="table" w:styleId="918"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9695" w:themeColor="accent2" w:themeTint="97" w:sz="4" w:space="0"/>
          <w:bottom w:val="single" w:color="D99695" w:themeColor="accent2" w:themeTint="97" w:sz="4" w:space="0"/>
        </w:tcBorders>
      </w:tcPr>
    </w:tblStylePr>
    <w:tblStylePr w:type="band1Vert">
      <w:rPr>
        <w:rFonts w:hint="default" w:ascii="Arial" w:hAnsi="Arial" w:cs="Arial"/>
        <w:color w:val="404040"/>
        <w:sz w:val="22"/>
        <w:szCs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d99695" w:themeFill="accent2" w:themeFillTint="97"/>
      </w:tcPr>
    </w:tblStylePr>
    <w:tblStylePr w:type="lastCol">
      <w:rPr>
        <w:b/>
        <w:color w:val="404040"/>
      </w:rPr>
    </w:tblStylePr>
    <w:tblStylePr w:type="lastRow">
      <w:rPr>
        <w:b/>
        <w:color w:val="404040"/>
      </w:rPr>
    </w:tblStylePr>
  </w:style>
  <w:style w:type="table" w:styleId="919"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3D69B" w:themeColor="accent3" w:themeTint="98" w:sz="4" w:space="0"/>
          <w:bottom w:val="single" w:color="C3D69B" w:themeColor="accent3" w:themeTint="98" w:sz="4" w:space="0"/>
        </w:tcBorders>
      </w:tcPr>
    </w:tblStylePr>
    <w:tblStylePr w:type="band1Vert">
      <w:rPr>
        <w:rFonts w:hint="default" w:ascii="Arial" w:hAnsi="Arial" w:cs="Arial"/>
        <w:color w:val="404040"/>
        <w:sz w:val="22"/>
        <w:szCs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3d69b" w:themeFill="accent3" w:themeFillTint="98"/>
      </w:tcPr>
    </w:tblStylePr>
    <w:tblStylePr w:type="lastCol">
      <w:rPr>
        <w:b/>
        <w:color w:val="404040"/>
      </w:rPr>
    </w:tblStylePr>
    <w:tblStylePr w:type="lastRow">
      <w:rPr>
        <w:b/>
        <w:color w:val="404040"/>
      </w:rPr>
    </w:tblStylePr>
  </w:style>
  <w:style w:type="table" w:styleId="920"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2A1C6" w:themeColor="accent4" w:themeTint="9A" w:sz="4" w:space="0"/>
          <w:bottom w:val="single" w:color="B2A1C6" w:themeColor="accent4" w:themeTint="9A" w:sz="4" w:space="0"/>
        </w:tcBorders>
      </w:tcPr>
    </w:tblStylePr>
    <w:tblStylePr w:type="band1Vert">
      <w:rPr>
        <w:rFonts w:hint="default" w:ascii="Arial" w:hAnsi="Arial" w:cs="Arial"/>
        <w:color w:val="404040"/>
        <w:sz w:val="22"/>
        <w:szCs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b2a1c6" w:themeFill="accent4" w:themeFillTint="9A"/>
      </w:tcPr>
    </w:tblStylePr>
    <w:tblStylePr w:type="lastCol">
      <w:rPr>
        <w:b/>
        <w:color w:val="404040"/>
      </w:rPr>
    </w:tblStylePr>
    <w:tblStylePr w:type="lastRow">
      <w:rPr>
        <w:b/>
        <w:color w:val="404040"/>
      </w:rPr>
    </w:tblStylePr>
  </w:style>
  <w:style w:type="table" w:styleId="921"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2CCDC" w:themeColor="accent5" w:themeTint="9A" w:sz="4" w:space="0"/>
          <w:bottom w:val="single" w:color="92CCDC" w:themeColor="accent5" w:themeTint="9A" w:sz="4" w:space="0"/>
        </w:tcBorders>
      </w:tcPr>
    </w:tblStylePr>
    <w:tblStylePr w:type="band1Vert">
      <w:rPr>
        <w:rFonts w:hint="default" w:ascii="Arial" w:hAnsi="Arial" w:cs="Arial"/>
        <w:color w:val="404040"/>
        <w:sz w:val="22"/>
        <w:szCs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92ccdc" w:themeFill="accent5" w:themeFillTint="9A"/>
      </w:tcPr>
    </w:tblStylePr>
    <w:tblStylePr w:type="lastCol">
      <w:rPr>
        <w:b/>
        <w:color w:val="404040"/>
      </w:rPr>
    </w:tblStylePr>
    <w:tblStylePr w:type="lastRow">
      <w:rPr>
        <w:b/>
        <w:color w:val="404040"/>
      </w:rPr>
    </w:tblStylePr>
  </w:style>
  <w:style w:type="table" w:styleId="922"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AC090" w:themeColor="accent6" w:themeTint="98" w:sz="4" w:space="0"/>
          <w:bottom w:val="single" w:color="FAC090" w:themeColor="accent6" w:themeTint="98" w:sz="4" w:space="0"/>
        </w:tcBorders>
      </w:tcPr>
    </w:tblStylePr>
    <w:tblStylePr w:type="band1Vert">
      <w:rPr>
        <w:rFonts w:hint="default" w:ascii="Arial" w:hAnsi="Arial" w:cs="Arial"/>
        <w:color w:val="404040"/>
        <w:sz w:val="22"/>
        <w:szCs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ac090" w:themeFill="accent6" w:themeFillTint="98"/>
      </w:tcPr>
    </w:tblStylePr>
    <w:tblStylePr w:type="lastCol">
      <w:rPr>
        <w:b/>
        <w:color w:val="404040"/>
      </w:rPr>
    </w:tblStylePr>
    <w:tblStylePr w:type="lastRow">
      <w:rPr>
        <w:b/>
        <w:color w:val="404040"/>
      </w:rPr>
    </w:tblStylePr>
  </w:style>
  <w:style w:type="table" w:styleId="923"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hemeFill="text1" w:themeFillTint="40"/>
      </w:tcPr>
    </w:tblStylePr>
    <w:tblStylePr w:type="band1Vert">
      <w:rPr>
        <w:rFonts w:hint="default" w:ascii="Arial" w:hAnsi="Arial" w:cs="Arial"/>
        <w:color w:val="404040"/>
        <w:sz w:val="22"/>
        <w:szCs w:val="22"/>
      </w:rPr>
      <w:tcPr>
        <w:shd w:val="clear" w:color="auto" w:fill="bfbfbf" w:themeFill="text1" w:themeFillTint="40"/>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924"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hemeFill="accent1" w:themeFillTint="40"/>
      </w:tcPr>
    </w:tblStylePr>
    <w:tblStylePr w:type="band1Vert">
      <w:rPr>
        <w:rFonts w:hint="default" w:ascii="Arial" w:hAnsi="Arial" w:cs="Arial"/>
        <w:color w:val="404040"/>
        <w:sz w:val="22"/>
        <w:szCs w:val="22"/>
      </w:rPr>
      <w:tcPr>
        <w:shd w:val="clear" w:color="auto" w:fill="d2dfee" w:themeFill="accent1" w:themeFillTint="40"/>
      </w:tcPr>
    </w:tblStylePr>
    <w:tblStylePr w:type="firstCol">
      <w:rPr>
        <w:b/>
        <w:color w:val="404040"/>
      </w:rPr>
    </w:tblStylePr>
    <w:tblStylePr w:type="firstRow">
      <w:rPr>
        <w:rFonts w:hint="default" w:ascii="Arial" w:hAnsi="Arial" w:cs="Arial"/>
        <w:b/>
        <w:color w:val="ffffff"/>
        <w:sz w:val="22"/>
        <w:szCs w:val="22"/>
      </w:rPr>
      <w:tcPr>
        <w:shd w:val="clear" w:color="auto" w:fill="4f81bd" w:themeFill="accent1"/>
      </w:tcPr>
    </w:tblStylePr>
    <w:tblStylePr w:type="lastCol">
      <w:rPr>
        <w:b/>
        <w:color w:val="404040"/>
      </w:rPr>
    </w:tblStylePr>
    <w:tblStylePr w:type="lastRow">
      <w:rPr>
        <w:b/>
        <w:color w:val="404040"/>
      </w:rPr>
    </w:tblStylePr>
  </w:style>
  <w:style w:type="table" w:styleId="925"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hemeFill="accent2" w:themeFillTint="40"/>
      </w:tcPr>
    </w:tblStylePr>
    <w:tblStylePr w:type="band1Vert">
      <w:rPr>
        <w:rFonts w:hint="default" w:ascii="Arial" w:hAnsi="Arial" w:cs="Arial"/>
        <w:color w:val="404040"/>
        <w:sz w:val="22"/>
        <w:szCs w:val="22"/>
      </w:rPr>
      <w:tcPr>
        <w:shd w:val="clear" w:color="auto" w:fill="efd2d2" w:themeFill="accent2" w:themeFillTint="40"/>
      </w:tcPr>
    </w:tblStylePr>
    <w:tblStylePr w:type="firstCol">
      <w:rPr>
        <w:b/>
        <w:color w:val="404040"/>
      </w:rPr>
    </w:tblStylePr>
    <w:tblStylePr w:type="firstRow">
      <w:rPr>
        <w:rFonts w:hint="default" w:ascii="Arial" w:hAnsi="Arial" w:cs="Arial"/>
        <w:b/>
        <w:color w:val="ffffff"/>
        <w:sz w:val="22"/>
        <w:szCs w:val="22"/>
      </w:rPr>
      <w:tcPr>
        <w:shd w:val="clear" w:color="auto" w:fill="c0504d" w:themeFill="accent2"/>
      </w:tcPr>
    </w:tblStylePr>
    <w:tblStylePr w:type="lastCol">
      <w:rPr>
        <w:b/>
        <w:color w:val="404040"/>
      </w:rPr>
    </w:tblStylePr>
    <w:tblStylePr w:type="lastRow">
      <w:rPr>
        <w:b/>
        <w:color w:val="404040"/>
      </w:rPr>
    </w:tblStylePr>
  </w:style>
  <w:style w:type="table" w:styleId="926"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hemeFill="accent3" w:themeFillTint="40"/>
      </w:tcPr>
    </w:tblStylePr>
    <w:tblStylePr w:type="band1Vert">
      <w:rPr>
        <w:rFonts w:hint="default" w:ascii="Arial" w:hAnsi="Arial" w:cs="Arial"/>
        <w:color w:val="404040"/>
        <w:sz w:val="22"/>
        <w:szCs w:val="22"/>
      </w:rPr>
      <w:tcPr>
        <w:shd w:val="clear" w:color="auto" w:fill="e5eed5" w:themeFill="accent3" w:themeFillTint="40"/>
      </w:tcPr>
    </w:tblStylePr>
    <w:tblStylePr w:type="firstCol">
      <w:rPr>
        <w:b/>
        <w:color w:val="404040"/>
      </w:rPr>
    </w:tblStylePr>
    <w:tblStylePr w:type="firstRow">
      <w:rPr>
        <w:rFonts w:hint="default" w:ascii="Arial" w:hAnsi="Arial" w:cs="Arial"/>
        <w:b/>
        <w:color w:val="ffffff"/>
        <w:sz w:val="22"/>
        <w:szCs w:val="22"/>
      </w:rPr>
      <w:tcPr>
        <w:shd w:val="clear" w:color="auto" w:fill="9bbb59" w:themeFill="accent3"/>
      </w:tcPr>
    </w:tblStylePr>
    <w:tblStylePr w:type="lastCol">
      <w:rPr>
        <w:b/>
        <w:color w:val="404040"/>
      </w:rPr>
    </w:tblStylePr>
    <w:tblStylePr w:type="lastRow">
      <w:rPr>
        <w:b/>
        <w:color w:val="404040"/>
      </w:rPr>
    </w:tblStylePr>
  </w:style>
  <w:style w:type="table" w:styleId="927"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hemeFill="accent4" w:themeFillTint="40"/>
      </w:tcPr>
    </w:tblStylePr>
    <w:tblStylePr w:type="band1Vert">
      <w:rPr>
        <w:rFonts w:hint="default" w:ascii="Arial" w:hAnsi="Arial" w:cs="Arial"/>
        <w:color w:val="404040"/>
        <w:sz w:val="22"/>
        <w:szCs w:val="22"/>
      </w:rPr>
      <w:tcPr>
        <w:shd w:val="clear" w:color="auto" w:fill="dfd8e7" w:themeFill="accent4" w:themeFillTint="40"/>
      </w:tcPr>
    </w:tblStylePr>
    <w:tblStylePr w:type="firstCol">
      <w:rPr>
        <w:b/>
        <w:color w:val="404040"/>
      </w:rPr>
    </w:tblStylePr>
    <w:tblStylePr w:type="firstRow">
      <w:rPr>
        <w:rFonts w:hint="default" w:ascii="Arial" w:hAnsi="Arial" w:cs="Arial"/>
        <w:b/>
        <w:color w:val="ffffff"/>
        <w:sz w:val="22"/>
        <w:szCs w:val="22"/>
      </w:rPr>
      <w:tcPr>
        <w:shd w:val="clear" w:color="auto" w:fill="8064a2" w:themeFill="accent4"/>
      </w:tcPr>
    </w:tblStylePr>
    <w:tblStylePr w:type="lastCol">
      <w:rPr>
        <w:b/>
        <w:color w:val="404040"/>
      </w:rPr>
    </w:tblStylePr>
    <w:tblStylePr w:type="lastRow">
      <w:rPr>
        <w:b/>
        <w:color w:val="404040"/>
      </w:rPr>
    </w:tblStylePr>
  </w:style>
  <w:style w:type="table" w:styleId="928"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hemeFill="accent5" w:themeFillTint="40"/>
      </w:tcPr>
    </w:tblStylePr>
    <w:tblStylePr w:type="band1Vert">
      <w:rPr>
        <w:rFonts w:hint="default" w:ascii="Arial" w:hAnsi="Arial" w:cs="Arial"/>
        <w:color w:val="404040"/>
        <w:sz w:val="22"/>
        <w:szCs w:val="22"/>
      </w:rPr>
      <w:tcPr>
        <w:shd w:val="clear" w:color="auto" w:fill="d1eaf0" w:themeFill="accent5" w:themeFillTint="40"/>
      </w:tcPr>
    </w:tblStylePr>
    <w:tblStylePr w:type="firstCol">
      <w:rPr>
        <w:b/>
        <w:color w:val="404040"/>
      </w:rPr>
    </w:tblStylePr>
    <w:tblStylePr w:type="firstRow">
      <w:rPr>
        <w:rFonts w:hint="default" w:ascii="Arial" w:hAnsi="Arial" w:cs="Arial"/>
        <w:b/>
        <w:color w:val="ffffff"/>
        <w:sz w:val="22"/>
        <w:szCs w:val="22"/>
      </w:rPr>
      <w:tcPr>
        <w:shd w:val="clear" w:color="auto" w:fill="4bacc6" w:themeFill="accent5"/>
      </w:tcPr>
    </w:tblStylePr>
    <w:tblStylePr w:type="lastCol">
      <w:rPr>
        <w:b/>
        <w:color w:val="404040"/>
      </w:rPr>
    </w:tblStylePr>
    <w:tblStylePr w:type="lastRow">
      <w:rPr>
        <w:b/>
        <w:color w:val="404040"/>
      </w:rPr>
    </w:tblStylePr>
  </w:style>
  <w:style w:type="table" w:styleId="929"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hemeFill="accent6" w:themeFillTint="40"/>
      </w:tcPr>
    </w:tblStylePr>
    <w:tblStylePr w:type="band1Vert">
      <w:rPr>
        <w:rFonts w:hint="default" w:ascii="Arial" w:hAnsi="Arial" w:cs="Arial"/>
        <w:color w:val="404040"/>
        <w:sz w:val="22"/>
        <w:szCs w:val="22"/>
      </w:rPr>
      <w:tcPr>
        <w:shd w:val="clear" w:color="auto" w:fill="fde4d0" w:themeFill="accent6" w:themeFillTint="40"/>
      </w:tcPr>
    </w:tblStylePr>
    <w:tblStylePr w:type="firstCol">
      <w:rPr>
        <w:b/>
        <w:color w:val="404040"/>
      </w:rPr>
    </w:tblStylePr>
    <w:tblStylePr w:type="firstRow">
      <w:rPr>
        <w:rFonts w:hint="default" w:ascii="Arial" w:hAnsi="Arial" w:cs="Arial"/>
        <w:b/>
        <w:color w:val="ffffff"/>
        <w:sz w:val="22"/>
        <w:szCs w:val="22"/>
      </w:rPr>
      <w:tcPr>
        <w:shd w:val="clear" w:color="auto" w:fill="f79646" w:themeFill="accent6"/>
      </w:tcPr>
    </w:tblStylePr>
    <w:tblStylePr w:type="lastCol">
      <w:rPr>
        <w:b/>
        <w:color w:val="404040"/>
      </w:rPr>
    </w:tblStylePr>
    <w:tblStylePr w:type="lastRow">
      <w:rPr>
        <w:b/>
        <w:color w:val="404040"/>
      </w:rPr>
    </w:tblStylePr>
  </w:style>
  <w:style w:type="table" w:styleId="930" w:customStyle="1">
    <w:name w:val="清单表 5 深色1"/>
    <w:uiPriority w:val="99"/>
    <w:tblPr>
      <w:tblBorders>
        <w:top w:val="single" w:color="7F7F7F" w:themeColor="text1" w:themeTint="80" w:sz="36" w:space="0"/>
        <w:left w:val="single" w:color="7F7F7F" w:themeColor="text1" w:themeTint="80" w:sz="36" w:space="0"/>
        <w:bottom w:val="single" w:color="7F7F7F" w:themeColor="text1" w:themeTint="80" w:sz="36" w:space="0"/>
        <w:right w:val="single" w:color="7F7F7F" w:themeColor="text1" w:themeTint="80" w:sz="36" w:space="0"/>
      </w:tblBorders>
      <w:tblCellMar>
        <w:left w:w="0" w:type="dxa"/>
        <w:top w:w="0" w:type="dxa"/>
        <w:right w:w="0" w:type="dxa"/>
        <w:bottom w:w="0" w:type="dxa"/>
      </w:tblCellMar>
    </w:tblPr>
    <w:tblStylePr w:type="band1Horz">
      <w:tcPr>
        <w:shd w:val="clear" w:color="auto" w:fill="7f7f7f" w:themeFill="text1" w:themeFillTint="80"/>
        <w:tcBorders>
          <w:top w:val="single" w:color="FFFFFF" w:themeColor="light1" w:sz="4" w:space="0"/>
          <w:bottom w:val="single" w:color="FFFFFF" w:themeColor="light1" w:sz="4" w:space="0"/>
        </w:tcBorders>
      </w:tcPr>
    </w:tblStylePr>
    <w:tblStylePr w:type="band1Vert">
      <w:tcPr>
        <w:shd w:val="clear" w:color="auto" w:fill="7f7f7f" w:themeFill="text1" w:themeFillTint="80"/>
        <w:tcBorders>
          <w:left w:val="single" w:color="FFFFFF" w:themeColor="light1" w:sz="4" w:space="0"/>
          <w:right w:val="single" w:color="FFFFFF" w:themeColor="light1" w:sz="4" w:space="0"/>
        </w:tcBorders>
      </w:tcPr>
    </w:tblStylePr>
    <w:tblStylePr w:type="band2Horz">
      <w:tcPr>
        <w:shd w:val="clear" w:color="auto"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7F7F7F" w:themeColor="text1" w:themeTint="80"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7f7f7f" w:themeFill="text1" w:themeFillTint="80"/>
        <w:tcBorders>
          <w:top w:val="single" w:color="7F7F7F" w:themeColor="text1" w:themeTint="80" w:sz="36" w:space="0"/>
          <w:bottom w:val="single" w:color="FFFFFF" w:themeColor="light1" w:sz="12" w:space="0"/>
        </w:tcBorders>
      </w:tcPr>
    </w:tblStylePr>
    <w:tblStylePr w:type="lastCol">
      <w:tcPr>
        <w:tcBorders>
          <w:left w:val="single" w:color="FFFFFF" w:themeColor="light1" w:sz="4" w:space="0"/>
          <w:right w:val="single" w:color="7F7F7F" w:themeColor="text1" w:themeTint="80" w:sz="36" w:space="0"/>
        </w:tcBorders>
      </w:tcPr>
    </w:tblStylePr>
    <w:tblStylePr w:type="lastRow">
      <w:rPr>
        <w:rFonts w:hint="default" w:ascii="Arial" w:hAnsi="Arial" w:cs="Arial"/>
        <w:b/>
        <w:color w:val="ffffff" w:themeColor="light1"/>
        <w:sz w:val="22"/>
        <w:szCs w:val="22"/>
      </w:rPr>
    </w:tblStylePr>
  </w:style>
  <w:style w:type="table" w:styleId="931" w:customStyle="1">
    <w:name w:val="List Table 5 Dark - Accent 1"/>
    <w:uiPriority w:val="99"/>
    <w:tblPr>
      <w:tblBorders>
        <w:top w:val="single" w:color="4F81BD" w:themeColor="accent1" w:sz="36" w:space="0"/>
        <w:left w:val="single" w:color="4F81BD" w:themeColor="accent1" w:sz="36" w:space="0"/>
        <w:bottom w:val="single" w:color="4F81BD" w:themeColor="accent1" w:sz="36" w:space="0"/>
        <w:right w:val="single" w:color="4F81BD" w:themeColor="accent1" w:sz="36" w:space="0"/>
      </w:tblBorders>
      <w:tblCellMar>
        <w:left w:w="0" w:type="dxa"/>
        <w:top w:w="0" w:type="dxa"/>
        <w:right w:w="0" w:type="dxa"/>
        <w:bottom w:w="0" w:type="dxa"/>
      </w:tblCellMar>
    </w:tblPr>
    <w:tblStylePr w:type="band1Horz">
      <w:tcPr>
        <w:shd w:val="clear" w:color="auto" w:fill="4f81bd" w:themeFill="accent1"/>
        <w:tcBorders>
          <w:top w:val="single" w:color="FFFFFF" w:themeColor="light1" w:sz="4" w:space="0"/>
          <w:bottom w:val="single" w:color="FFFFFF" w:themeColor="light1" w:sz="4" w:space="0"/>
        </w:tcBorders>
      </w:tcPr>
    </w:tblStylePr>
    <w:tblStylePr w:type="band1Vert">
      <w:tcPr>
        <w:shd w:val="clear" w:color="auto" w:fill="4f81bd" w:themeFill="accent1"/>
        <w:tcBorders>
          <w:left w:val="single" w:color="FFFFFF" w:themeColor="light1" w:sz="4" w:space="0"/>
          <w:right w:val="single" w:color="FFFFFF" w:themeColor="light1" w:sz="4" w:space="0"/>
        </w:tcBorders>
      </w:tcPr>
    </w:tblStylePr>
    <w:tblStylePr w:type="band2Horz">
      <w:tcPr>
        <w:shd w:val="clear" w:color="auto"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4F81BD" w:themeColor="accent1"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4f81bd" w:themeFill="accent1"/>
        <w:tcBorders>
          <w:top w:val="single" w:color="4F81BD" w:themeColor="accent1" w:sz="36" w:space="0"/>
          <w:bottom w:val="single" w:color="FFFFFF" w:themeColor="light1" w:sz="12" w:space="0"/>
        </w:tcBorders>
      </w:tcPr>
    </w:tblStylePr>
    <w:tblStylePr w:type="lastCol">
      <w:tcPr>
        <w:tcBorders>
          <w:left w:val="single" w:color="FFFFFF" w:themeColor="light1" w:sz="4" w:space="0"/>
          <w:right w:val="single" w:color="4F81BD" w:themeColor="accent1" w:sz="36" w:space="0"/>
        </w:tcBorders>
      </w:tcPr>
    </w:tblStylePr>
    <w:tblStylePr w:type="lastRow">
      <w:rPr>
        <w:rFonts w:hint="default" w:ascii="Arial" w:hAnsi="Arial" w:cs="Arial"/>
        <w:b/>
        <w:color w:val="ffffff" w:themeColor="light1"/>
        <w:sz w:val="22"/>
        <w:szCs w:val="22"/>
      </w:rPr>
    </w:tblStylePr>
  </w:style>
  <w:style w:type="table" w:styleId="932" w:customStyle="1">
    <w:name w:val="List Table 5 Dark - Accent 2"/>
    <w:uiPriority w:val="99"/>
    <w:tblPr>
      <w:tblBorders>
        <w:top w:val="single" w:color="D99695" w:themeColor="accent2" w:themeTint="97" w:sz="36" w:space="0"/>
        <w:left w:val="single" w:color="D99695" w:themeColor="accent2" w:themeTint="97" w:sz="36" w:space="0"/>
        <w:bottom w:val="single" w:color="D99695" w:themeColor="accent2" w:themeTint="97" w:sz="36" w:space="0"/>
        <w:right w:val="single" w:color="D99695" w:themeColor="accent2" w:themeTint="97" w:sz="36" w:space="0"/>
      </w:tblBorders>
      <w:tblCellMar>
        <w:left w:w="0" w:type="dxa"/>
        <w:top w:w="0" w:type="dxa"/>
        <w:right w:w="0" w:type="dxa"/>
        <w:bottom w:w="0" w:type="dxa"/>
      </w:tblCellMar>
    </w:tblPr>
    <w:tblStylePr w:type="band1Horz">
      <w:tcPr>
        <w:shd w:val="clear" w:color="auto" w:fill="d99695" w:themeFill="accent2" w:themeFillTint="97"/>
        <w:tcBorders>
          <w:top w:val="single" w:color="FFFFFF" w:themeColor="light1" w:sz="4" w:space="0"/>
          <w:bottom w:val="single" w:color="FFFFFF" w:themeColor="light1" w:sz="4" w:space="0"/>
        </w:tcBorders>
      </w:tcPr>
    </w:tblStylePr>
    <w:tblStylePr w:type="band1Vert">
      <w:tcPr>
        <w:shd w:val="clear" w:color="auto" w:fill="d99695" w:themeFill="accent2" w:themeFillTint="97"/>
        <w:tcBorders>
          <w:left w:val="single" w:color="FFFFFF" w:themeColor="light1" w:sz="4" w:space="0"/>
          <w:right w:val="single" w:color="FFFFFF" w:themeColor="light1" w:sz="4" w:space="0"/>
        </w:tcBorders>
      </w:tcPr>
    </w:tblStylePr>
    <w:tblStylePr w:type="band2Horz">
      <w:tcPr>
        <w:shd w:val="clear" w:color="auto"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D99695" w:themeColor="accent2" w:themeTint="97"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d99695" w:themeFill="accent2" w:themeFillTint="97"/>
        <w:tcBorders>
          <w:top w:val="single" w:color="D99695" w:themeColor="accent2" w:themeTint="97" w:sz="36" w:space="0"/>
          <w:bottom w:val="single" w:color="FFFFFF" w:themeColor="light1" w:sz="12" w:space="0"/>
        </w:tcBorders>
      </w:tcPr>
    </w:tblStylePr>
    <w:tblStylePr w:type="lastCol">
      <w:tcPr>
        <w:tcBorders>
          <w:left w:val="single" w:color="FFFFFF" w:themeColor="light1" w:sz="4" w:space="0"/>
          <w:right w:val="single" w:color="D99695" w:themeColor="accent2" w:themeTint="97" w:sz="36" w:space="0"/>
        </w:tcBorders>
      </w:tcPr>
    </w:tblStylePr>
    <w:tblStylePr w:type="lastRow">
      <w:rPr>
        <w:rFonts w:hint="default" w:ascii="Arial" w:hAnsi="Arial" w:cs="Arial"/>
        <w:b/>
        <w:color w:val="ffffff" w:themeColor="light1"/>
        <w:sz w:val="22"/>
        <w:szCs w:val="22"/>
      </w:rPr>
    </w:tblStylePr>
  </w:style>
  <w:style w:type="table" w:styleId="933" w:customStyle="1">
    <w:name w:val="List Table 5 Dark - Accent 3"/>
    <w:uiPriority w:val="99"/>
    <w:tblPr>
      <w:tblBorders>
        <w:top w:val="single" w:color="C3D69B" w:themeColor="accent3" w:themeTint="98" w:sz="36" w:space="0"/>
        <w:left w:val="single" w:color="C3D69B" w:themeColor="accent3" w:themeTint="98" w:sz="36" w:space="0"/>
        <w:bottom w:val="single" w:color="C3D69B" w:themeColor="accent3" w:themeTint="98" w:sz="36" w:space="0"/>
        <w:right w:val="single" w:color="C3D69B" w:themeColor="accent3" w:themeTint="98" w:sz="36" w:space="0"/>
      </w:tblBorders>
      <w:tblCellMar>
        <w:left w:w="0" w:type="dxa"/>
        <w:top w:w="0" w:type="dxa"/>
        <w:right w:w="0" w:type="dxa"/>
        <w:bottom w:w="0" w:type="dxa"/>
      </w:tblCellMar>
    </w:tblPr>
    <w:tblStylePr w:type="band1Horz">
      <w:tcPr>
        <w:shd w:val="clear" w:color="auto" w:fill="c3d69b" w:themeFill="accent3" w:themeFillTint="98"/>
        <w:tcBorders>
          <w:top w:val="single" w:color="FFFFFF" w:themeColor="light1" w:sz="4" w:space="0"/>
          <w:bottom w:val="single" w:color="FFFFFF" w:themeColor="light1" w:sz="4" w:space="0"/>
        </w:tcBorders>
      </w:tcPr>
    </w:tblStylePr>
    <w:tblStylePr w:type="band1Vert">
      <w:tcPr>
        <w:shd w:val="clear" w:color="auto" w:fill="c3d69b" w:themeFill="accent3" w:themeFillTint="98"/>
        <w:tcBorders>
          <w:left w:val="single" w:color="FFFFFF" w:themeColor="light1" w:sz="4" w:space="0"/>
          <w:right w:val="single" w:color="FFFFFF" w:themeColor="light1" w:sz="4" w:space="0"/>
        </w:tcBorders>
      </w:tcPr>
    </w:tblStylePr>
    <w:tblStylePr w:type="band2Horz">
      <w:tcPr>
        <w:shd w:val="clear" w:color="auto"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C3D69B" w:themeColor="accent3" w:themeTint="98"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c3d69b" w:themeFill="accent3" w:themeFillTint="98"/>
        <w:tcBorders>
          <w:top w:val="single" w:color="C3D69B" w:themeColor="accent3" w:themeTint="98" w:sz="36" w:space="0"/>
          <w:bottom w:val="single" w:color="FFFFFF" w:themeColor="light1" w:sz="12" w:space="0"/>
        </w:tcBorders>
      </w:tcPr>
    </w:tblStylePr>
    <w:tblStylePr w:type="lastCol">
      <w:tcPr>
        <w:tcBorders>
          <w:left w:val="single" w:color="FFFFFF" w:themeColor="light1" w:sz="4" w:space="0"/>
          <w:right w:val="single" w:color="C3D69B" w:themeColor="accent3" w:themeTint="98" w:sz="36" w:space="0"/>
        </w:tcBorders>
      </w:tcPr>
    </w:tblStylePr>
    <w:tblStylePr w:type="lastRow">
      <w:rPr>
        <w:rFonts w:hint="default" w:ascii="Arial" w:hAnsi="Arial" w:cs="Arial"/>
        <w:b/>
        <w:color w:val="ffffff" w:themeColor="light1"/>
        <w:sz w:val="22"/>
        <w:szCs w:val="22"/>
      </w:rPr>
    </w:tblStylePr>
  </w:style>
  <w:style w:type="table" w:styleId="934" w:customStyle="1">
    <w:name w:val="List Table 5 Dark - Accent 4"/>
    <w:uiPriority w:val="99"/>
    <w:tblPr>
      <w:tblBorders>
        <w:top w:val="single" w:color="B2A1C6" w:themeColor="accent4" w:themeTint="9A" w:sz="36" w:space="0"/>
        <w:left w:val="single" w:color="B2A1C6" w:themeColor="accent4" w:themeTint="9A" w:sz="36" w:space="0"/>
        <w:bottom w:val="single" w:color="B2A1C6" w:themeColor="accent4" w:themeTint="9A" w:sz="36" w:space="0"/>
        <w:right w:val="single" w:color="B2A1C6" w:themeColor="accent4" w:themeTint="9A" w:sz="36" w:space="0"/>
      </w:tblBorders>
      <w:tblCellMar>
        <w:left w:w="0" w:type="dxa"/>
        <w:top w:w="0" w:type="dxa"/>
        <w:right w:w="0" w:type="dxa"/>
        <w:bottom w:w="0" w:type="dxa"/>
      </w:tblCellMar>
    </w:tblPr>
    <w:tblStylePr w:type="band1Horz">
      <w:tcPr>
        <w:shd w:val="clear" w:color="auto" w:fill="b2a1c6" w:themeFill="accent4" w:themeFillTint="9A"/>
        <w:tcBorders>
          <w:top w:val="single" w:color="FFFFFF" w:themeColor="light1" w:sz="4" w:space="0"/>
          <w:bottom w:val="single" w:color="FFFFFF" w:themeColor="light1" w:sz="4" w:space="0"/>
        </w:tcBorders>
      </w:tcPr>
    </w:tblStylePr>
    <w:tblStylePr w:type="band1Vert">
      <w:tcPr>
        <w:shd w:val="clear" w:color="auto" w:fill="b2a1c6" w:themeFill="accent4" w:themeFillTint="9A"/>
        <w:tcBorders>
          <w:left w:val="single" w:color="FFFFFF" w:themeColor="light1" w:sz="4" w:space="0"/>
          <w:right w:val="single" w:color="FFFFFF" w:themeColor="light1" w:sz="4" w:space="0"/>
        </w:tcBorders>
      </w:tcPr>
    </w:tblStylePr>
    <w:tblStylePr w:type="band2Horz">
      <w:tcPr>
        <w:shd w:val="clear" w:color="auto"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B2A1C6" w:themeColor="accent4" w:themeTint="9A"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b2a1c6" w:themeFill="accent4" w:themeFillTint="9A"/>
        <w:tcBorders>
          <w:top w:val="single" w:color="B2A1C6" w:themeColor="accent4" w:themeTint="9A" w:sz="36" w:space="0"/>
          <w:bottom w:val="single" w:color="FFFFFF" w:themeColor="light1" w:sz="12" w:space="0"/>
        </w:tcBorders>
      </w:tcPr>
    </w:tblStylePr>
    <w:tblStylePr w:type="lastCol">
      <w:tcPr>
        <w:tcBorders>
          <w:left w:val="single" w:color="FFFFFF" w:themeColor="light1" w:sz="4" w:space="0"/>
          <w:right w:val="single" w:color="B2A1C6" w:themeColor="accent4" w:themeTint="9A" w:sz="36" w:space="0"/>
        </w:tcBorders>
      </w:tcPr>
    </w:tblStylePr>
    <w:tblStylePr w:type="lastRow">
      <w:rPr>
        <w:rFonts w:hint="default" w:ascii="Arial" w:hAnsi="Arial" w:cs="Arial"/>
        <w:b/>
        <w:color w:val="ffffff" w:themeColor="light1"/>
        <w:sz w:val="22"/>
        <w:szCs w:val="22"/>
      </w:rPr>
    </w:tblStylePr>
  </w:style>
  <w:style w:type="table" w:styleId="935" w:customStyle="1">
    <w:name w:val="List Table 5 Dark - Accent 5"/>
    <w:uiPriority w:val="99"/>
    <w:tblPr>
      <w:tblBorders>
        <w:top w:val="single" w:color="92CCDC" w:themeColor="accent5" w:themeTint="9A" w:sz="36" w:space="0"/>
        <w:left w:val="single" w:color="92CCDC" w:themeColor="accent5" w:themeTint="9A" w:sz="36" w:space="0"/>
        <w:bottom w:val="single" w:color="92CCDC" w:themeColor="accent5" w:themeTint="9A" w:sz="36" w:space="0"/>
        <w:right w:val="single" w:color="92CCDC" w:themeColor="accent5" w:themeTint="9A" w:sz="36" w:space="0"/>
      </w:tblBorders>
      <w:tblCellMar>
        <w:left w:w="0" w:type="dxa"/>
        <w:top w:w="0" w:type="dxa"/>
        <w:right w:w="0" w:type="dxa"/>
        <w:bottom w:w="0" w:type="dxa"/>
      </w:tblCellMar>
    </w:tblPr>
    <w:tblStylePr w:type="band1Horz">
      <w:tcPr>
        <w:shd w:val="clear" w:color="auto" w:fill="92ccdc" w:themeFill="accent5" w:themeFillTint="9A"/>
        <w:tcBorders>
          <w:top w:val="single" w:color="FFFFFF" w:themeColor="light1" w:sz="4" w:space="0"/>
          <w:bottom w:val="single" w:color="FFFFFF" w:themeColor="light1" w:sz="4" w:space="0"/>
        </w:tcBorders>
      </w:tcPr>
    </w:tblStylePr>
    <w:tblStylePr w:type="band1Vert">
      <w:tcPr>
        <w:shd w:val="clear" w:color="auto" w:fill="92ccdc" w:themeFill="accent5" w:themeFillTint="9A"/>
        <w:tcBorders>
          <w:left w:val="single" w:color="FFFFFF" w:themeColor="light1" w:sz="4" w:space="0"/>
          <w:right w:val="single" w:color="FFFFFF" w:themeColor="light1" w:sz="4" w:space="0"/>
        </w:tcBorders>
      </w:tcPr>
    </w:tblStylePr>
    <w:tblStylePr w:type="band2Horz">
      <w:tcPr>
        <w:shd w:val="clear" w:color="auto"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92CCDC" w:themeColor="accent5" w:themeTint="9A"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92ccdc" w:themeFill="accent5" w:themeFillTint="9A"/>
        <w:tcBorders>
          <w:top w:val="single" w:color="92CCDC" w:themeColor="accent5" w:themeTint="9A" w:sz="36" w:space="0"/>
          <w:bottom w:val="single" w:color="FFFFFF" w:themeColor="light1" w:sz="12" w:space="0"/>
        </w:tcBorders>
      </w:tcPr>
    </w:tblStylePr>
    <w:tblStylePr w:type="lastCol">
      <w:tcPr>
        <w:tcBorders>
          <w:left w:val="single" w:color="FFFFFF" w:themeColor="light1" w:sz="4" w:space="0"/>
          <w:right w:val="single" w:color="92CCDC" w:themeColor="accent5" w:themeTint="9A" w:sz="36" w:space="0"/>
        </w:tcBorders>
      </w:tcPr>
    </w:tblStylePr>
    <w:tblStylePr w:type="lastRow">
      <w:rPr>
        <w:rFonts w:hint="default" w:ascii="Arial" w:hAnsi="Arial" w:cs="Arial"/>
        <w:b/>
        <w:color w:val="ffffff" w:themeColor="light1"/>
        <w:sz w:val="22"/>
        <w:szCs w:val="22"/>
      </w:rPr>
    </w:tblStylePr>
  </w:style>
  <w:style w:type="table" w:styleId="936" w:customStyle="1">
    <w:name w:val="List Table 5 Dark - Accent 6"/>
    <w:uiPriority w:val="99"/>
    <w:tblPr>
      <w:tblBorders>
        <w:top w:val="single" w:color="FAC090" w:themeColor="accent6" w:themeTint="98" w:sz="36" w:space="0"/>
        <w:left w:val="single" w:color="FAC090" w:themeColor="accent6" w:themeTint="98" w:sz="36" w:space="0"/>
        <w:bottom w:val="single" w:color="FAC090" w:themeColor="accent6" w:themeTint="98" w:sz="36" w:space="0"/>
        <w:right w:val="single" w:color="FAC090" w:themeColor="accent6" w:themeTint="98" w:sz="36" w:space="0"/>
      </w:tblBorders>
      <w:tblCellMar>
        <w:left w:w="0" w:type="dxa"/>
        <w:top w:w="0" w:type="dxa"/>
        <w:right w:w="0" w:type="dxa"/>
        <w:bottom w:w="0" w:type="dxa"/>
      </w:tblCellMar>
    </w:tblPr>
    <w:tblStylePr w:type="band1Horz">
      <w:tcPr>
        <w:shd w:val="clear" w:color="auto" w:fill="fac090" w:themeFill="accent6" w:themeFillTint="98"/>
        <w:tcBorders>
          <w:top w:val="single" w:color="FFFFFF" w:themeColor="light1" w:sz="4" w:space="0"/>
          <w:bottom w:val="single" w:color="FFFFFF" w:themeColor="light1" w:sz="4" w:space="0"/>
        </w:tcBorders>
      </w:tcPr>
    </w:tblStylePr>
    <w:tblStylePr w:type="band1Vert">
      <w:tcPr>
        <w:shd w:val="clear" w:color="auto" w:fill="fac090" w:themeFill="accent6" w:themeFillTint="98"/>
        <w:tcBorders>
          <w:left w:val="single" w:color="FFFFFF" w:themeColor="light1" w:sz="4" w:space="0"/>
          <w:right w:val="single" w:color="FFFFFF" w:themeColor="light1" w:sz="4" w:space="0"/>
        </w:tcBorders>
      </w:tcPr>
    </w:tblStylePr>
    <w:tblStylePr w:type="band2Horz">
      <w:tcPr>
        <w:shd w:val="clear" w:color="auto"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FAC090" w:themeColor="accent6" w:themeTint="98"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fac090" w:themeFill="accent6" w:themeFillTint="98"/>
        <w:tcBorders>
          <w:top w:val="single" w:color="FAC090" w:themeColor="accent6" w:themeTint="98" w:sz="36" w:space="0"/>
          <w:bottom w:val="single" w:color="FFFFFF" w:themeColor="light1" w:sz="12" w:space="0"/>
        </w:tcBorders>
      </w:tcPr>
    </w:tblStylePr>
    <w:tblStylePr w:type="lastCol">
      <w:tcPr>
        <w:tcBorders>
          <w:left w:val="single" w:color="FFFFFF" w:themeColor="light1" w:sz="4" w:space="0"/>
          <w:right w:val="single" w:color="FAC090" w:themeColor="accent6" w:themeTint="98" w:sz="36" w:space="0"/>
        </w:tcBorders>
      </w:tcPr>
    </w:tblStylePr>
    <w:tblStylePr w:type="lastRow">
      <w:rPr>
        <w:rFonts w:hint="default" w:ascii="Arial" w:hAnsi="Arial" w:cs="Arial"/>
        <w:b/>
        <w:color w:val="ffffff" w:themeColor="light1"/>
        <w:sz w:val="22"/>
        <w:szCs w:val="22"/>
      </w:rPr>
    </w:tblStylePr>
  </w:style>
  <w:style w:type="table" w:styleId="937"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hint="default" w:ascii="Arial" w:hAnsi="Arial" w:cs="Arial"/>
        <w:color w:val="000000" w:themeColor="text1"/>
        <w:sz w:val="22"/>
        <w:szCs w:val="22"/>
      </w:rPr>
      <w:tcPr>
        <w:shd w:val="clear" w:color="auto" w:fill="bfbfbf" w:themeFill="text1" w:themeFillTint="40"/>
      </w:tcPr>
    </w:tblStylePr>
    <w:tblStylePr w:type="band1Vert">
      <w:tcPr>
        <w:shd w:val="clear" w:color="auto" w:fill="bfbfbf" w:themeFill="text1" w:themeFillTint="40"/>
      </w:tcPr>
    </w:tblStylePr>
    <w:tblStylePr w:type="band2Horz">
      <w:rPr>
        <w:rFonts w:hint="default" w:ascii="Arial" w:hAnsi="Arial" w:cs="Arial"/>
        <w:color w:val="000000" w:themeColor="text1"/>
        <w:sz w:val="22"/>
        <w:szCs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8"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hint="default" w:ascii="Arial" w:hAnsi="Arial" w:cs="Arial"/>
        <w:color w:val="2a4a71" w:themeColor="accent1" w:themeShade="95"/>
        <w:sz w:val="22"/>
        <w:szCs w:val="22"/>
      </w:rPr>
      <w:tcPr>
        <w:shd w:val="clear" w:color="auto" w:fill="d2dfee" w:themeFill="accent1" w:themeFillTint="40"/>
      </w:tcPr>
    </w:tblStylePr>
    <w:tblStylePr w:type="band1Vert">
      <w:tcPr>
        <w:shd w:val="clear" w:color="auto" w:fill="d2dfee" w:themeFill="accent1" w:themeFillTint="40"/>
      </w:tcPr>
    </w:tblStylePr>
    <w:tblStylePr w:type="band2Horz">
      <w:rPr>
        <w:rFonts w:hint="default" w:ascii="Arial" w:hAnsi="Arial" w:cs="Arial"/>
        <w:color w:val="2a4a71" w:themeColor="accent1" w:themeShade="95"/>
        <w:sz w:val="22"/>
        <w:szCs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39"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hint="default" w:ascii="Arial" w:hAnsi="Arial" w:cs="Arial"/>
        <w:color w:val="d99695" w:themeColor="accent2" w:themeTint="97" w:themeShade="95"/>
        <w:sz w:val="22"/>
        <w:szCs w:val="22"/>
      </w:rPr>
      <w:tcPr>
        <w:shd w:val="clear" w:color="auto" w:fill="efd2d2" w:themeFill="accent2" w:themeFillTint="40"/>
      </w:tcPr>
    </w:tblStylePr>
    <w:tblStylePr w:type="band1Vert">
      <w:tcPr>
        <w:shd w:val="clear" w:color="auto" w:fill="efd2d2" w:themeFill="accent2" w:themeFillTint="40"/>
      </w:tcPr>
    </w:tblStylePr>
    <w:tblStylePr w:type="band2Horz">
      <w:rPr>
        <w:rFonts w:hint="default" w:ascii="Arial" w:hAnsi="Arial" w:cs="Arial"/>
        <w:color w:val="d99695" w:themeColor="accent2" w:themeTint="97" w:themeShade="95"/>
        <w:sz w:val="22"/>
        <w:szCs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40"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hint="default" w:ascii="Arial" w:hAnsi="Arial" w:cs="Arial"/>
        <w:color w:val="c3d69b" w:themeColor="accent3" w:themeTint="98" w:themeShade="95"/>
        <w:sz w:val="22"/>
        <w:szCs w:val="22"/>
      </w:rPr>
      <w:tcPr>
        <w:shd w:val="clear" w:color="auto" w:fill="e5eed5" w:themeFill="accent3" w:themeFillTint="40"/>
      </w:tcPr>
    </w:tblStylePr>
    <w:tblStylePr w:type="band1Vert">
      <w:tcPr>
        <w:shd w:val="clear" w:color="auto" w:fill="e5eed5" w:themeFill="accent3" w:themeFillTint="40"/>
      </w:tcPr>
    </w:tblStylePr>
    <w:tblStylePr w:type="band2Horz">
      <w:rPr>
        <w:rFonts w:hint="default" w:ascii="Arial" w:hAnsi="Arial" w:cs="Arial"/>
        <w:color w:val="c3d69b" w:themeColor="accent3" w:themeTint="98" w:themeShade="95"/>
        <w:sz w:val="22"/>
        <w:szCs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41"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hint="default" w:ascii="Arial" w:hAnsi="Arial" w:cs="Arial"/>
        <w:color w:val="b2a1c6" w:themeColor="accent4" w:themeTint="9A" w:themeShade="95"/>
        <w:sz w:val="22"/>
        <w:szCs w:val="22"/>
      </w:rPr>
      <w:tcPr>
        <w:shd w:val="clear" w:color="auto" w:fill="dfd8e7" w:themeFill="accent4" w:themeFillTint="40"/>
      </w:tcPr>
    </w:tblStylePr>
    <w:tblStylePr w:type="band1Vert">
      <w:tcPr>
        <w:shd w:val="clear" w:color="auto" w:fill="dfd8e7" w:themeFill="accent4" w:themeFillTint="40"/>
      </w:tcPr>
    </w:tblStylePr>
    <w:tblStylePr w:type="band2Horz">
      <w:rPr>
        <w:rFonts w:hint="default" w:ascii="Arial" w:hAnsi="Arial" w:cs="Arial"/>
        <w:color w:val="b2a1c6" w:themeColor="accent4" w:themeTint="9A" w:themeShade="95"/>
        <w:sz w:val="22"/>
        <w:szCs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42"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hint="default" w:ascii="Arial" w:hAnsi="Arial" w:cs="Arial"/>
        <w:color w:val="92ccdc" w:themeColor="accent5" w:themeTint="9A" w:themeShade="95"/>
        <w:sz w:val="22"/>
        <w:szCs w:val="22"/>
      </w:rPr>
      <w:tcPr>
        <w:shd w:val="clear" w:color="auto" w:fill="d1eaf0" w:themeFill="accent5" w:themeFillTint="40"/>
      </w:tcPr>
    </w:tblStylePr>
    <w:tblStylePr w:type="band1Vert">
      <w:tcPr>
        <w:shd w:val="clear" w:color="auto" w:fill="d1eaf0" w:themeFill="accent5" w:themeFillTint="40"/>
      </w:tcPr>
    </w:tblStylePr>
    <w:tblStylePr w:type="band2Horz">
      <w:rPr>
        <w:rFonts w:hint="default" w:ascii="Arial" w:hAnsi="Arial" w:cs="Arial"/>
        <w:color w:val="92ccdc" w:themeColor="accent5" w:themeTint="9A" w:themeShade="95"/>
        <w:sz w:val="22"/>
        <w:szCs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43"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hint="default" w:ascii="Arial" w:hAnsi="Arial" w:cs="Arial"/>
        <w:color w:val="fac090" w:themeColor="accent6" w:themeTint="98" w:themeShade="95"/>
        <w:sz w:val="22"/>
        <w:szCs w:val="22"/>
      </w:rPr>
      <w:tcPr>
        <w:shd w:val="clear" w:color="auto" w:fill="fde4d0" w:themeFill="accent6" w:themeFillTint="40"/>
      </w:tcPr>
    </w:tblStylePr>
    <w:tblStylePr w:type="band1Vert">
      <w:tcPr>
        <w:shd w:val="clear" w:color="auto" w:fill="fde4d0" w:themeFill="accent6" w:themeFillTint="40"/>
      </w:tcPr>
    </w:tblStylePr>
    <w:tblStylePr w:type="band2Horz">
      <w:rPr>
        <w:rFonts w:hint="default" w:ascii="Arial" w:hAnsi="Arial" w:cs="Arial"/>
        <w:color w:val="fac090" w:themeColor="accent6" w:themeTint="98" w:themeShade="95"/>
        <w:sz w:val="22"/>
        <w:szCs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44"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hint="default" w:ascii="Arial" w:hAnsi="Arial" w:cs="Arial"/>
        <w:color w:val="7f7f7f" w:themeColor="text1" w:themeTint="80" w:themeShade="95"/>
        <w:sz w:val="22"/>
        <w:szCs w:val="22"/>
      </w:rPr>
      <w:tcPr>
        <w:shd w:val="clear" w:color="auto" w:fill="bfbfbf" w:themeFill="text1" w:themeFillTint="40"/>
      </w:tcPr>
    </w:tblStylePr>
    <w:tblStylePr w:type="band1Vert">
      <w:tcPr>
        <w:shd w:val="clear" w:color="auto" w:fill="bfbfbf" w:themeFill="text1" w:themeFillTint="40"/>
      </w:tcPr>
    </w:tblStylePr>
    <w:tblStylePr w:type="band2Horz">
      <w:rPr>
        <w:rFonts w:hint="default" w:ascii="Arial" w:hAnsi="Arial" w:cs="Arial"/>
        <w:color w:val="7f7f7f" w:themeColor="text1" w:themeTint="80" w:themeShade="95"/>
        <w:sz w:val="22"/>
        <w:szCs w:val="22"/>
      </w:rPr>
    </w:tblStylePr>
    <w:tblStylePr w:type="firstCol">
      <w:rPr>
        <w:rFonts w:hint="default" w:ascii="Arial" w:hAnsi="Arial" w:cs="Arial"/>
        <w:i/>
        <w:color w:val="7f7f7f" w:themeColor="text1" w:themeTint="80" w:themeShade="95"/>
        <w:sz w:val="22"/>
        <w:szCs w:val="22"/>
      </w:rPr>
      <w:pPr>
        <w:jc w:val="right"/>
      </w:pPr>
      <w:tcPr>
        <w:shd w:val="clear" w:color="auto"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hint="default" w:ascii="Arial" w:hAnsi="Arial" w:cs="Arial"/>
        <w:i/>
        <w:color w:val="7f7f7f" w:themeColor="text1" w:themeTint="80" w:themeShade="95"/>
        <w:sz w:val="22"/>
        <w:szCs w:val="22"/>
      </w:rPr>
      <w:tcPr>
        <w:shd w:val="clear" w:color="auto"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hint="default" w:ascii="Arial" w:hAnsi="Arial" w:cs="Arial"/>
        <w:i/>
        <w:color w:val="7f7f7f" w:themeColor="text1" w:themeTint="80" w:themeShade="95"/>
        <w:sz w:val="22"/>
        <w:szCs w:val="22"/>
      </w:rPr>
      <w:tcPr>
        <w:shd w:val="clear" w:color="auto"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hint="default" w:ascii="Arial" w:hAnsi="Arial" w:cs="Arial"/>
        <w:i/>
        <w:color w:val="7f7f7f" w:themeColor="text1" w:themeTint="80" w:themeShade="95"/>
        <w:sz w:val="22"/>
        <w:szCs w:val="22"/>
      </w:rPr>
      <w:tcPr>
        <w:shd w:val="clear" w:color="auto"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5"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hint="default" w:ascii="Arial" w:hAnsi="Arial" w:cs="Arial"/>
        <w:color w:val="2a4a71" w:themeColor="accent1" w:themeShade="95"/>
        <w:sz w:val="22"/>
        <w:szCs w:val="22"/>
      </w:rPr>
      <w:tcPr>
        <w:shd w:val="clear" w:color="auto" w:fill="d2dfee" w:themeFill="accent1" w:themeFillTint="40"/>
      </w:tcPr>
    </w:tblStylePr>
    <w:tblStylePr w:type="band1Vert">
      <w:tcPr>
        <w:shd w:val="clear" w:color="auto" w:fill="d2dfee" w:themeFill="accent1" w:themeFillTint="40"/>
      </w:tcPr>
    </w:tblStylePr>
    <w:tblStylePr w:type="band2Horz">
      <w:rPr>
        <w:rFonts w:hint="default" w:ascii="Arial" w:hAnsi="Arial" w:cs="Arial"/>
        <w:color w:val="2a4a71" w:themeColor="accent1" w:themeShade="95"/>
        <w:sz w:val="22"/>
        <w:szCs w:val="22"/>
      </w:rPr>
    </w:tblStylePr>
    <w:tblStylePr w:type="firstCol">
      <w:rPr>
        <w:rFonts w:hint="default" w:ascii="Arial" w:hAnsi="Arial" w:cs="Arial"/>
        <w:i/>
        <w:color w:val="2a4a71" w:themeColor="accent1" w:themeShade="95"/>
        <w:sz w:val="22"/>
        <w:szCs w:val="22"/>
      </w:rPr>
      <w:pPr>
        <w:jc w:val="right"/>
      </w:pPr>
      <w:tcPr>
        <w:shd w:val="clear" w:color="auto" w:fill="auto"/>
        <w:tcBorders>
          <w:top w:val="none" w:color="000000" w:sz="4" w:space="0"/>
          <w:left w:val="none" w:color="000000" w:sz="4" w:space="0"/>
          <w:bottom w:val="none" w:color="000000" w:sz="4" w:space="0"/>
          <w:right w:val="single" w:color="4F81BD" w:themeColor="accent1" w:sz="4" w:space="0"/>
        </w:tcBorders>
      </w:tcPr>
    </w:tblStylePr>
    <w:tblStylePr w:type="firstRow">
      <w:rPr>
        <w:rFonts w:hint="default" w:ascii="Arial" w:hAnsi="Arial" w:cs="Arial"/>
        <w:i/>
        <w:color w:val="2a4a71" w:themeColor="accent1" w:themeShade="95"/>
        <w:sz w:val="22"/>
        <w:szCs w:val="22"/>
      </w:rPr>
      <w:tcPr>
        <w:shd w:val="clear" w:color="auto"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hint="default" w:ascii="Arial" w:hAnsi="Arial" w:cs="Arial"/>
        <w:i/>
        <w:color w:val="2a4a71" w:themeColor="accent1" w:themeShade="95"/>
        <w:sz w:val="22"/>
        <w:szCs w:val="22"/>
      </w:rPr>
      <w:tcPr>
        <w:shd w:val="clear" w:color="auto" w:fill="auto"/>
        <w:tcBorders>
          <w:top w:val="none" w:color="000000" w:sz="4" w:space="0"/>
          <w:left w:val="single" w:color="4F81BD" w:themeColor="accent1" w:sz="4" w:space="0"/>
          <w:bottom w:val="none" w:color="000000" w:sz="4" w:space="0"/>
          <w:right w:val="none" w:color="000000" w:sz="4" w:space="0"/>
        </w:tcBorders>
      </w:tcPr>
    </w:tblStylePr>
    <w:tblStylePr w:type="lastRow">
      <w:rPr>
        <w:rFonts w:hint="default" w:ascii="Arial" w:hAnsi="Arial" w:cs="Arial"/>
        <w:i/>
        <w:color w:val="2a4a71" w:themeColor="accent1" w:themeShade="95"/>
        <w:sz w:val="22"/>
        <w:szCs w:val="22"/>
      </w:rPr>
      <w:tcPr>
        <w:shd w:val="clear" w:color="auto"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hint="default" w:ascii="Arial" w:hAnsi="Arial" w:cs="Arial"/>
        <w:color w:val="d99695" w:themeColor="accent2" w:themeTint="97" w:themeShade="95"/>
        <w:sz w:val="22"/>
        <w:szCs w:val="22"/>
      </w:rPr>
      <w:tcPr>
        <w:shd w:val="clear" w:color="auto" w:fill="efd2d2" w:themeFill="accent2" w:themeFillTint="40"/>
      </w:tcPr>
    </w:tblStylePr>
    <w:tblStylePr w:type="band1Vert">
      <w:tcPr>
        <w:shd w:val="clear" w:color="auto" w:fill="efd2d2" w:themeFill="accent2" w:themeFillTint="40"/>
      </w:tcPr>
    </w:tblStylePr>
    <w:tblStylePr w:type="band2Horz">
      <w:rPr>
        <w:rFonts w:hint="default" w:ascii="Arial" w:hAnsi="Arial" w:cs="Arial"/>
        <w:color w:val="d99695" w:themeColor="accent2" w:themeTint="97" w:themeShade="95"/>
        <w:sz w:val="22"/>
        <w:szCs w:val="22"/>
      </w:rPr>
    </w:tblStylePr>
    <w:tblStylePr w:type="firstCol">
      <w:rPr>
        <w:rFonts w:hint="default" w:ascii="Arial" w:hAnsi="Arial" w:cs="Arial"/>
        <w:i/>
        <w:color w:val="d99695" w:themeColor="accent2" w:themeTint="97" w:themeShade="95"/>
        <w:sz w:val="22"/>
        <w:szCs w:val="22"/>
      </w:rPr>
      <w:pPr>
        <w:jc w:val="right"/>
      </w:pPr>
      <w:tcPr>
        <w:shd w:val="clear" w:color="auto"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hint="default" w:ascii="Arial" w:hAnsi="Arial" w:cs="Arial"/>
        <w:i/>
        <w:color w:val="d99695" w:themeColor="accent2" w:themeTint="97" w:themeShade="95"/>
        <w:sz w:val="22"/>
        <w:szCs w:val="22"/>
      </w:rPr>
      <w:tcPr>
        <w:shd w:val="clear" w:color="auto"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hint="default" w:ascii="Arial" w:hAnsi="Arial" w:cs="Arial"/>
        <w:i/>
        <w:color w:val="d99695" w:themeColor="accent2" w:themeTint="97" w:themeShade="95"/>
        <w:sz w:val="22"/>
        <w:szCs w:val="22"/>
      </w:rPr>
      <w:tcPr>
        <w:shd w:val="clear" w:color="auto"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hint="default" w:ascii="Arial" w:hAnsi="Arial" w:cs="Arial"/>
        <w:i/>
        <w:color w:val="d99695" w:themeColor="accent2" w:themeTint="97" w:themeShade="95"/>
        <w:sz w:val="22"/>
        <w:szCs w:val="22"/>
      </w:rPr>
      <w:tcPr>
        <w:shd w:val="clear" w:color="auto"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7"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hint="default" w:ascii="Arial" w:hAnsi="Arial" w:cs="Arial"/>
        <w:color w:val="c3d69b" w:themeColor="accent3" w:themeTint="98" w:themeShade="95"/>
        <w:sz w:val="22"/>
        <w:szCs w:val="22"/>
      </w:rPr>
      <w:tcPr>
        <w:shd w:val="clear" w:color="auto" w:fill="e5eed5" w:themeFill="accent3" w:themeFillTint="40"/>
      </w:tcPr>
    </w:tblStylePr>
    <w:tblStylePr w:type="band1Vert">
      <w:tcPr>
        <w:shd w:val="clear" w:color="auto" w:fill="e5eed5" w:themeFill="accent3" w:themeFillTint="40"/>
      </w:tcPr>
    </w:tblStylePr>
    <w:tblStylePr w:type="band2Horz">
      <w:rPr>
        <w:rFonts w:hint="default" w:ascii="Arial" w:hAnsi="Arial" w:cs="Arial"/>
        <w:color w:val="c3d69b" w:themeColor="accent3" w:themeTint="98" w:themeShade="95"/>
        <w:sz w:val="22"/>
        <w:szCs w:val="22"/>
      </w:rPr>
    </w:tblStylePr>
    <w:tblStylePr w:type="firstCol">
      <w:rPr>
        <w:rFonts w:hint="default" w:ascii="Arial" w:hAnsi="Arial" w:cs="Arial"/>
        <w:i/>
        <w:color w:val="c3d69b" w:themeColor="accent3" w:themeTint="98" w:themeShade="95"/>
        <w:sz w:val="22"/>
        <w:szCs w:val="22"/>
      </w:rPr>
      <w:pPr>
        <w:jc w:val="right"/>
      </w:pPr>
      <w:tcPr>
        <w:shd w:val="clear" w:color="auto"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hint="default" w:ascii="Arial" w:hAnsi="Arial" w:cs="Arial"/>
        <w:i/>
        <w:color w:val="c3d69b" w:themeColor="accent3" w:themeTint="98" w:themeShade="95"/>
        <w:sz w:val="22"/>
        <w:szCs w:val="22"/>
      </w:rPr>
      <w:tcPr>
        <w:shd w:val="clear" w:color="auto"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hint="default" w:ascii="Arial" w:hAnsi="Arial" w:cs="Arial"/>
        <w:i/>
        <w:color w:val="c3d69b" w:themeColor="accent3" w:themeTint="98" w:themeShade="95"/>
        <w:sz w:val="22"/>
        <w:szCs w:val="22"/>
      </w:rPr>
      <w:tcPr>
        <w:shd w:val="clear" w:color="auto"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hint="default" w:ascii="Arial" w:hAnsi="Arial" w:cs="Arial"/>
        <w:i/>
        <w:color w:val="c3d69b" w:themeColor="accent3" w:themeTint="98" w:themeShade="95"/>
        <w:sz w:val="22"/>
        <w:szCs w:val="22"/>
      </w:rPr>
      <w:tcPr>
        <w:shd w:val="clear" w:color="auto"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48"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hint="default" w:ascii="Arial" w:hAnsi="Arial" w:cs="Arial"/>
        <w:color w:val="b2a1c6" w:themeColor="accent4" w:themeTint="9A" w:themeShade="95"/>
        <w:sz w:val="22"/>
        <w:szCs w:val="22"/>
      </w:rPr>
      <w:tcPr>
        <w:shd w:val="clear" w:color="auto" w:fill="dfd8e7" w:themeFill="accent4" w:themeFillTint="40"/>
      </w:tcPr>
    </w:tblStylePr>
    <w:tblStylePr w:type="band1Vert">
      <w:tcPr>
        <w:shd w:val="clear" w:color="auto" w:fill="dfd8e7" w:themeFill="accent4" w:themeFillTint="40"/>
      </w:tcPr>
    </w:tblStylePr>
    <w:tblStylePr w:type="band2Horz">
      <w:rPr>
        <w:rFonts w:hint="default" w:ascii="Arial" w:hAnsi="Arial" w:cs="Arial"/>
        <w:color w:val="b2a1c6" w:themeColor="accent4" w:themeTint="9A" w:themeShade="95"/>
        <w:sz w:val="22"/>
        <w:szCs w:val="22"/>
      </w:rPr>
    </w:tblStylePr>
    <w:tblStylePr w:type="firstCol">
      <w:rPr>
        <w:rFonts w:hint="default" w:ascii="Arial" w:hAnsi="Arial" w:cs="Arial"/>
        <w:i/>
        <w:color w:val="b2a1c6" w:themeColor="accent4" w:themeTint="9A" w:themeShade="95"/>
        <w:sz w:val="22"/>
        <w:szCs w:val="22"/>
      </w:rPr>
      <w:pPr>
        <w:jc w:val="right"/>
      </w:pPr>
      <w:tcPr>
        <w:shd w:val="clear" w:color="auto"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hint="default" w:ascii="Arial" w:hAnsi="Arial" w:cs="Arial"/>
        <w:i/>
        <w:color w:val="b2a1c6" w:themeColor="accent4" w:themeTint="9A" w:themeShade="95"/>
        <w:sz w:val="22"/>
        <w:szCs w:val="22"/>
      </w:rPr>
      <w:tcPr>
        <w:shd w:val="clear" w:color="auto"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hint="default" w:ascii="Arial" w:hAnsi="Arial" w:cs="Arial"/>
        <w:i/>
        <w:color w:val="b2a1c6" w:themeColor="accent4" w:themeTint="9A" w:themeShade="95"/>
        <w:sz w:val="22"/>
        <w:szCs w:val="22"/>
      </w:rPr>
      <w:tcPr>
        <w:shd w:val="clear" w:color="auto"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hint="default" w:ascii="Arial" w:hAnsi="Arial" w:cs="Arial"/>
        <w:i/>
        <w:color w:val="b2a1c6" w:themeColor="accent4" w:themeTint="9A" w:themeShade="95"/>
        <w:sz w:val="22"/>
        <w:szCs w:val="22"/>
      </w:rPr>
      <w:tcPr>
        <w:shd w:val="clear" w:color="auto"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hint="default" w:ascii="Arial" w:hAnsi="Arial" w:cs="Arial"/>
        <w:color w:val="92ccdc" w:themeColor="accent5" w:themeTint="9A" w:themeShade="95"/>
        <w:sz w:val="22"/>
        <w:szCs w:val="22"/>
      </w:rPr>
      <w:tcPr>
        <w:shd w:val="clear" w:color="auto" w:fill="d1eaf0" w:themeFill="accent5" w:themeFillTint="40"/>
      </w:tcPr>
    </w:tblStylePr>
    <w:tblStylePr w:type="band1Vert">
      <w:tcPr>
        <w:shd w:val="clear" w:color="auto" w:fill="d1eaf0" w:themeFill="accent5" w:themeFillTint="40"/>
      </w:tcPr>
    </w:tblStylePr>
    <w:tblStylePr w:type="band2Horz">
      <w:rPr>
        <w:rFonts w:hint="default" w:ascii="Arial" w:hAnsi="Arial" w:cs="Arial"/>
        <w:color w:val="92ccdc" w:themeColor="accent5" w:themeTint="9A" w:themeShade="95"/>
        <w:sz w:val="22"/>
        <w:szCs w:val="22"/>
      </w:rPr>
    </w:tblStylePr>
    <w:tblStylePr w:type="firstCol">
      <w:rPr>
        <w:rFonts w:hint="default" w:ascii="Arial" w:hAnsi="Arial" w:cs="Arial"/>
        <w:i/>
        <w:color w:val="92ccdc" w:themeColor="accent5" w:themeTint="9A" w:themeShade="95"/>
        <w:sz w:val="22"/>
        <w:szCs w:val="22"/>
      </w:rPr>
      <w:pPr>
        <w:jc w:val="right"/>
      </w:pPr>
      <w:tcPr>
        <w:shd w:val="clear" w:color="auto"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hint="default" w:ascii="Arial" w:hAnsi="Arial" w:cs="Arial"/>
        <w:i/>
        <w:color w:val="92ccdc" w:themeColor="accent5" w:themeTint="9A" w:themeShade="95"/>
        <w:sz w:val="22"/>
        <w:szCs w:val="22"/>
      </w:rPr>
      <w:tcPr>
        <w:shd w:val="clear" w:color="auto"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hint="default" w:ascii="Arial" w:hAnsi="Arial" w:cs="Arial"/>
        <w:i/>
        <w:color w:val="92ccdc" w:themeColor="accent5" w:themeTint="9A" w:themeShade="95"/>
        <w:sz w:val="22"/>
        <w:szCs w:val="22"/>
      </w:rPr>
      <w:tcPr>
        <w:shd w:val="clear" w:color="auto"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hint="default" w:ascii="Arial" w:hAnsi="Arial" w:cs="Arial"/>
        <w:i/>
        <w:color w:val="92ccdc" w:themeColor="accent5" w:themeTint="9A" w:themeShade="95"/>
        <w:sz w:val="22"/>
        <w:szCs w:val="22"/>
      </w:rPr>
      <w:tcPr>
        <w:shd w:val="clear" w:color="auto"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0"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hint="default" w:ascii="Arial" w:hAnsi="Arial" w:cs="Arial"/>
        <w:color w:val="fac090" w:themeColor="accent6" w:themeTint="98" w:themeShade="95"/>
        <w:sz w:val="22"/>
        <w:szCs w:val="22"/>
      </w:rPr>
      <w:tcPr>
        <w:shd w:val="clear" w:color="auto" w:fill="fde4d0" w:themeFill="accent6" w:themeFillTint="40"/>
      </w:tcPr>
    </w:tblStylePr>
    <w:tblStylePr w:type="band1Vert">
      <w:tcPr>
        <w:shd w:val="clear" w:color="auto" w:fill="fde4d0" w:themeFill="accent6" w:themeFillTint="40"/>
      </w:tcPr>
    </w:tblStylePr>
    <w:tblStylePr w:type="band2Horz">
      <w:rPr>
        <w:rFonts w:hint="default" w:ascii="Arial" w:hAnsi="Arial" w:cs="Arial"/>
        <w:color w:val="fac090" w:themeColor="accent6" w:themeTint="98" w:themeShade="95"/>
        <w:sz w:val="22"/>
        <w:szCs w:val="22"/>
      </w:rPr>
    </w:tblStylePr>
    <w:tblStylePr w:type="firstCol">
      <w:rPr>
        <w:rFonts w:hint="default" w:ascii="Arial" w:hAnsi="Arial" w:cs="Arial"/>
        <w:i/>
        <w:color w:val="fac090" w:themeColor="accent6" w:themeTint="98" w:themeShade="95"/>
        <w:sz w:val="22"/>
        <w:szCs w:val="22"/>
      </w:rPr>
      <w:pPr>
        <w:jc w:val="right"/>
      </w:pPr>
      <w:tcPr>
        <w:shd w:val="clear" w:color="auto"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hint="default" w:ascii="Arial" w:hAnsi="Arial" w:cs="Arial"/>
        <w:i/>
        <w:color w:val="fac090" w:themeColor="accent6" w:themeTint="98" w:themeShade="95"/>
        <w:sz w:val="22"/>
        <w:szCs w:val="22"/>
      </w:rPr>
      <w:tcPr>
        <w:shd w:val="clear" w:color="auto"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hint="default" w:ascii="Arial" w:hAnsi="Arial" w:cs="Arial"/>
        <w:i/>
        <w:color w:val="fac090" w:themeColor="accent6" w:themeTint="98" w:themeShade="95"/>
        <w:sz w:val="22"/>
        <w:szCs w:val="22"/>
      </w:rPr>
      <w:tcPr>
        <w:shd w:val="clear" w:color="auto"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hint="default" w:ascii="Arial" w:hAnsi="Arial" w:cs="Arial"/>
        <w:i/>
        <w:color w:val="fac090" w:themeColor="accent6" w:themeTint="98" w:themeShade="95"/>
        <w:sz w:val="22"/>
        <w:szCs w:val="22"/>
      </w:rPr>
      <w:tcPr>
        <w:shd w:val="clear" w:color="auto"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1" w:customStyle="1">
    <w:name w:val="Lined - Accent"/>
    <w:uiPriority w:val="99"/>
    <w:rPr>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hemeFill="text1" w:themeFillTint="00"/>
      </w:tcPr>
    </w:tblStylePr>
    <w:tblStylePr w:type="band2Vert">
      <w:rPr>
        <w:rFonts w:hint="default" w:ascii="Arial" w:hAnsi="Arial" w:cs="Arial"/>
        <w:color w:val="404040"/>
        <w:sz w:val="22"/>
        <w:szCs w:val="22"/>
      </w:rPr>
      <w:tcPr>
        <w:shd w:val="clear" w:color="auto" w:fill="f2f2f2" w:themeFill="text1" w:themeFillTint="00"/>
      </w:tcPr>
    </w:tblStylePr>
    <w:tblStylePr w:type="firstCol">
      <w:rPr>
        <w:rFonts w:hint="default" w:ascii="Arial" w:hAnsi="Arial" w:cs="Arial"/>
        <w:color w:val="f2f2f2"/>
        <w:sz w:val="22"/>
        <w:szCs w:val="22"/>
      </w:rPr>
      <w:tcPr>
        <w:shd w:val="clear" w:color="auto" w:fill="7f7f7f" w:themeFill="text1" w:themeFillTint="80"/>
      </w:tcPr>
    </w:tblStylePr>
    <w:tblStylePr w:type="firstRow">
      <w:rPr>
        <w:rFonts w:hint="default" w:ascii="Arial" w:hAnsi="Arial" w:cs="Arial"/>
        <w:color w:val="f2f2f2"/>
        <w:sz w:val="22"/>
        <w:szCs w:val="22"/>
      </w:rPr>
      <w:tcPr>
        <w:shd w:val="clear" w:color="auto" w:fill="7f7f7f" w:themeFill="text1" w:themeFillTint="80"/>
      </w:tcPr>
    </w:tblStylePr>
    <w:tblStylePr w:type="lastCol">
      <w:rPr>
        <w:rFonts w:hint="default" w:ascii="Arial" w:hAnsi="Arial" w:cs="Arial"/>
        <w:color w:val="f2f2f2"/>
        <w:sz w:val="22"/>
        <w:szCs w:val="22"/>
      </w:rPr>
      <w:tcPr>
        <w:shd w:val="clear" w:color="auto" w:fill="7f7f7f" w:themeFill="text1" w:themeFillTint="80"/>
      </w:tcPr>
    </w:tblStylePr>
    <w:tblStylePr w:type="lastRow">
      <w:rPr>
        <w:rFonts w:hint="default" w:ascii="Arial" w:hAnsi="Arial" w:cs="Arial"/>
        <w:color w:val="f2f2f2"/>
        <w:sz w:val="22"/>
        <w:szCs w:val="22"/>
      </w:rPr>
      <w:tcPr>
        <w:shd w:val="clear" w:color="auto" w:fill="7f7f7f" w:themeFill="text1" w:themeFillTint="80"/>
      </w:tcPr>
    </w:tblStylePr>
  </w:style>
  <w:style w:type="table" w:styleId="952" w:customStyle="1">
    <w:name w:val="Lined - Accent 1"/>
    <w:uiPriority w:val="99"/>
    <w:rPr>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hemeFill="accent1" w:themeFillTint="50"/>
      </w:tcPr>
    </w:tblStylePr>
    <w:tblStylePr w:type="band2Vert">
      <w:rPr>
        <w:rFonts w:hint="default" w:ascii="Arial" w:hAnsi="Arial" w:cs="Arial"/>
        <w:color w:val="404040"/>
        <w:sz w:val="22"/>
        <w:szCs w:val="22"/>
      </w:rPr>
      <w:tcPr>
        <w:shd w:val="clear" w:color="auto" w:fill="c7d7ea" w:themeFill="accent1" w:themeFillTint="50"/>
      </w:tcPr>
    </w:tblStylePr>
    <w:tblStylePr w:type="firstCol">
      <w:rPr>
        <w:rFonts w:hint="default" w:ascii="Arial" w:hAnsi="Arial" w:cs="Arial"/>
        <w:color w:val="f2f2f2"/>
        <w:sz w:val="22"/>
        <w:szCs w:val="22"/>
      </w:rPr>
      <w:tcPr>
        <w:shd w:val="clear" w:color="auto" w:fill="5d8ac2" w:themeFill="accent1" w:themeFillTint="EA"/>
      </w:tcPr>
    </w:tblStylePr>
    <w:tblStylePr w:type="firstRow">
      <w:rPr>
        <w:rFonts w:hint="default" w:ascii="Arial" w:hAnsi="Arial" w:cs="Arial"/>
        <w:color w:val="f2f2f2"/>
        <w:sz w:val="22"/>
        <w:szCs w:val="22"/>
      </w:rPr>
      <w:tcPr>
        <w:shd w:val="clear" w:color="auto" w:fill="5d8ac2" w:themeFill="accent1" w:themeFillTint="EA"/>
      </w:tcPr>
    </w:tblStylePr>
    <w:tblStylePr w:type="lastCol">
      <w:rPr>
        <w:rFonts w:hint="default" w:ascii="Arial" w:hAnsi="Arial" w:cs="Arial"/>
        <w:color w:val="f2f2f2"/>
        <w:sz w:val="22"/>
        <w:szCs w:val="22"/>
      </w:rPr>
      <w:tcPr>
        <w:shd w:val="clear" w:color="auto" w:fill="5d8ac2" w:themeFill="accent1" w:themeFillTint="EA"/>
      </w:tcPr>
    </w:tblStylePr>
    <w:tblStylePr w:type="lastRow">
      <w:rPr>
        <w:rFonts w:hint="default" w:ascii="Arial" w:hAnsi="Arial" w:cs="Arial"/>
        <w:color w:val="f2f2f2"/>
        <w:sz w:val="22"/>
        <w:szCs w:val="22"/>
      </w:rPr>
      <w:tcPr>
        <w:shd w:val="clear" w:color="auto" w:fill="5d8ac2" w:themeFill="accent1" w:themeFillTint="EA"/>
      </w:tcPr>
    </w:tblStylePr>
  </w:style>
  <w:style w:type="table" w:styleId="953" w:customStyle="1">
    <w:name w:val="Lined - Accent 2"/>
    <w:uiPriority w:val="99"/>
    <w:rPr>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hemeFill="accent2" w:themeFillTint="32"/>
      </w:tcPr>
    </w:tblStylePr>
    <w:tblStylePr w:type="band2Vert">
      <w:rPr>
        <w:rFonts w:hint="default" w:ascii="Arial" w:hAnsi="Arial" w:cs="Arial"/>
        <w:color w:val="404040"/>
        <w:sz w:val="22"/>
        <w:szCs w:val="22"/>
      </w:rPr>
      <w:tcPr>
        <w:shd w:val="clear" w:color="auto" w:fill="f2dcdc" w:themeFill="accent2" w:themeFillTint="32"/>
      </w:tcPr>
    </w:tblStylePr>
    <w:tblStylePr w:type="firstCol">
      <w:rPr>
        <w:rFonts w:hint="default" w:ascii="Arial" w:hAnsi="Arial" w:cs="Arial"/>
        <w:color w:val="f2f2f2"/>
        <w:sz w:val="22"/>
        <w:szCs w:val="22"/>
      </w:rPr>
      <w:tcPr>
        <w:shd w:val="clear" w:color="auto" w:fill="d99695" w:themeFill="accent2" w:themeFillTint="97"/>
      </w:tcPr>
    </w:tblStylePr>
    <w:tblStylePr w:type="firstRow">
      <w:rPr>
        <w:rFonts w:hint="default" w:ascii="Arial" w:hAnsi="Arial" w:cs="Arial"/>
        <w:color w:val="f2f2f2"/>
        <w:sz w:val="22"/>
        <w:szCs w:val="22"/>
      </w:rPr>
      <w:tcPr>
        <w:shd w:val="clear" w:color="auto" w:fill="d99695" w:themeFill="accent2" w:themeFillTint="97"/>
      </w:tcPr>
    </w:tblStylePr>
    <w:tblStylePr w:type="lastCol">
      <w:rPr>
        <w:rFonts w:hint="default" w:ascii="Arial" w:hAnsi="Arial" w:cs="Arial"/>
        <w:color w:val="f2f2f2"/>
        <w:sz w:val="22"/>
        <w:szCs w:val="22"/>
      </w:rPr>
      <w:tcPr>
        <w:shd w:val="clear" w:color="auto" w:fill="d99695" w:themeFill="accent2" w:themeFillTint="97"/>
      </w:tcPr>
    </w:tblStylePr>
    <w:tblStylePr w:type="lastRow">
      <w:rPr>
        <w:rFonts w:hint="default" w:ascii="Arial" w:hAnsi="Arial" w:cs="Arial"/>
        <w:color w:val="f2f2f2"/>
        <w:sz w:val="22"/>
        <w:szCs w:val="22"/>
      </w:rPr>
      <w:tcPr>
        <w:shd w:val="clear" w:color="auto" w:fill="d99695" w:themeFill="accent2" w:themeFillTint="97"/>
      </w:tcPr>
    </w:tblStylePr>
  </w:style>
  <w:style w:type="table" w:styleId="954" w:customStyle="1">
    <w:name w:val="Lined - Accent 3"/>
    <w:uiPriority w:val="99"/>
    <w:rPr>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hemeFill="accent3" w:themeFillTint="34"/>
      </w:tcPr>
    </w:tblStylePr>
    <w:tblStylePr w:type="band2Vert">
      <w:rPr>
        <w:rFonts w:hint="default" w:ascii="Arial" w:hAnsi="Arial" w:cs="Arial"/>
        <w:color w:val="404040"/>
        <w:sz w:val="22"/>
        <w:szCs w:val="22"/>
      </w:rPr>
      <w:tcPr>
        <w:shd w:val="clear" w:color="auto" w:fill="eaf1dc" w:themeFill="accent3" w:themeFillTint="34"/>
      </w:tcPr>
    </w:tblStylePr>
    <w:tblStylePr w:type="firstCol">
      <w:rPr>
        <w:rFonts w:hint="default" w:ascii="Arial" w:hAnsi="Arial" w:cs="Arial"/>
        <w:color w:val="f2f2f2"/>
        <w:sz w:val="22"/>
        <w:szCs w:val="22"/>
      </w:rPr>
      <w:tcPr>
        <w:shd w:val="clear" w:color="auto" w:fill="9abb59" w:themeFill="accent3" w:themeFillTint="FE"/>
      </w:tcPr>
    </w:tblStylePr>
    <w:tblStylePr w:type="firstRow">
      <w:rPr>
        <w:rFonts w:hint="default" w:ascii="Arial" w:hAnsi="Arial" w:cs="Arial"/>
        <w:color w:val="f2f2f2"/>
        <w:sz w:val="22"/>
        <w:szCs w:val="22"/>
      </w:rPr>
      <w:tcPr>
        <w:shd w:val="clear" w:color="auto" w:fill="9abb59" w:themeFill="accent3" w:themeFillTint="FE"/>
      </w:tcPr>
    </w:tblStylePr>
    <w:tblStylePr w:type="lastCol">
      <w:rPr>
        <w:rFonts w:hint="default" w:ascii="Arial" w:hAnsi="Arial" w:cs="Arial"/>
        <w:color w:val="f2f2f2"/>
        <w:sz w:val="22"/>
        <w:szCs w:val="22"/>
      </w:rPr>
      <w:tcPr>
        <w:shd w:val="clear" w:color="auto" w:fill="9abb59" w:themeFill="accent3" w:themeFillTint="FE"/>
      </w:tcPr>
    </w:tblStylePr>
    <w:tblStylePr w:type="lastRow">
      <w:rPr>
        <w:rFonts w:hint="default" w:ascii="Arial" w:hAnsi="Arial" w:cs="Arial"/>
        <w:color w:val="f2f2f2"/>
        <w:sz w:val="22"/>
        <w:szCs w:val="22"/>
      </w:rPr>
      <w:tcPr>
        <w:shd w:val="clear" w:color="auto" w:fill="9abb59" w:themeFill="accent3" w:themeFillTint="FE"/>
      </w:tcPr>
    </w:tblStylePr>
  </w:style>
  <w:style w:type="table" w:styleId="955" w:customStyle="1">
    <w:name w:val="Lined - Accent 4"/>
    <w:uiPriority w:val="99"/>
    <w:rPr>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hemeFill="accent4" w:themeFillTint="34"/>
      </w:tcPr>
    </w:tblStylePr>
    <w:tblStylePr w:type="band2Vert">
      <w:rPr>
        <w:rFonts w:hint="default" w:ascii="Arial" w:hAnsi="Arial" w:cs="Arial"/>
        <w:color w:val="404040"/>
        <w:sz w:val="22"/>
        <w:szCs w:val="22"/>
      </w:rPr>
      <w:tcPr>
        <w:shd w:val="clear" w:color="auto" w:fill="e5dfec" w:themeFill="accent4" w:themeFillTint="34"/>
      </w:tcPr>
    </w:tblStylePr>
    <w:tblStylePr w:type="firstCol">
      <w:rPr>
        <w:rFonts w:hint="default" w:ascii="Arial" w:hAnsi="Arial" w:cs="Arial"/>
        <w:color w:val="f2f2f2"/>
        <w:sz w:val="22"/>
        <w:szCs w:val="22"/>
      </w:rPr>
      <w:tcPr>
        <w:shd w:val="clear" w:color="auto" w:fill="b2a1c6" w:themeFill="accent4" w:themeFillTint="9A"/>
      </w:tcPr>
    </w:tblStylePr>
    <w:tblStylePr w:type="firstRow">
      <w:rPr>
        <w:rFonts w:hint="default" w:ascii="Arial" w:hAnsi="Arial" w:cs="Arial"/>
        <w:color w:val="f2f2f2"/>
        <w:sz w:val="22"/>
        <w:szCs w:val="22"/>
      </w:rPr>
      <w:tcPr>
        <w:shd w:val="clear" w:color="auto" w:fill="b2a1c6" w:themeFill="accent4" w:themeFillTint="9A"/>
      </w:tcPr>
    </w:tblStylePr>
    <w:tblStylePr w:type="lastCol">
      <w:rPr>
        <w:rFonts w:hint="default" w:ascii="Arial" w:hAnsi="Arial" w:cs="Arial"/>
        <w:color w:val="f2f2f2"/>
        <w:sz w:val="22"/>
        <w:szCs w:val="22"/>
      </w:rPr>
      <w:tcPr>
        <w:shd w:val="clear" w:color="auto" w:fill="b2a1c6" w:themeFill="accent4" w:themeFillTint="9A"/>
      </w:tcPr>
    </w:tblStylePr>
    <w:tblStylePr w:type="lastRow">
      <w:rPr>
        <w:rFonts w:hint="default" w:ascii="Arial" w:hAnsi="Arial" w:cs="Arial"/>
        <w:color w:val="f2f2f2"/>
        <w:sz w:val="22"/>
        <w:szCs w:val="22"/>
      </w:rPr>
      <w:tcPr>
        <w:shd w:val="clear" w:color="auto" w:fill="b2a1c6" w:themeFill="accent4" w:themeFillTint="9A"/>
      </w:tcPr>
    </w:tblStylePr>
  </w:style>
  <w:style w:type="table" w:styleId="956" w:customStyle="1">
    <w:name w:val="Lined - Accent 5"/>
    <w:uiPriority w:val="99"/>
    <w:rPr>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hemeFill="accent5" w:themeFillTint="34"/>
      </w:tcPr>
    </w:tblStylePr>
    <w:tblStylePr w:type="band2Vert">
      <w:rPr>
        <w:rFonts w:hint="default" w:ascii="Arial" w:hAnsi="Arial" w:cs="Arial"/>
        <w:color w:val="404040"/>
        <w:sz w:val="22"/>
        <w:szCs w:val="22"/>
      </w:rPr>
      <w:tcPr>
        <w:shd w:val="clear" w:color="auto" w:fill="daeef3" w:themeFill="accent5" w:themeFillTint="34"/>
      </w:tcPr>
    </w:tblStylePr>
    <w:tblStylePr w:type="firstCol">
      <w:rPr>
        <w:rFonts w:hint="default" w:ascii="Arial" w:hAnsi="Arial" w:cs="Arial"/>
        <w:color w:val="f2f2f2"/>
        <w:sz w:val="22"/>
        <w:szCs w:val="22"/>
      </w:rPr>
      <w:tcPr>
        <w:shd w:val="clear" w:color="auto" w:fill="4bacc6" w:themeFill="accent5"/>
      </w:tcPr>
    </w:tblStylePr>
    <w:tblStylePr w:type="firstRow">
      <w:rPr>
        <w:rFonts w:hint="default" w:ascii="Arial" w:hAnsi="Arial" w:cs="Arial"/>
        <w:color w:val="f2f2f2"/>
        <w:sz w:val="22"/>
        <w:szCs w:val="22"/>
      </w:rPr>
      <w:tcPr>
        <w:shd w:val="clear" w:color="auto" w:fill="4bacc6" w:themeFill="accent5"/>
      </w:tcPr>
    </w:tblStylePr>
    <w:tblStylePr w:type="lastCol">
      <w:rPr>
        <w:rFonts w:hint="default" w:ascii="Arial" w:hAnsi="Arial" w:cs="Arial"/>
        <w:color w:val="f2f2f2"/>
        <w:sz w:val="22"/>
        <w:szCs w:val="22"/>
      </w:rPr>
      <w:tcPr>
        <w:shd w:val="clear" w:color="auto" w:fill="4bacc6" w:themeFill="accent5"/>
      </w:tcPr>
    </w:tblStylePr>
    <w:tblStylePr w:type="lastRow">
      <w:rPr>
        <w:rFonts w:hint="default" w:ascii="Arial" w:hAnsi="Arial" w:cs="Arial"/>
        <w:color w:val="f2f2f2"/>
        <w:sz w:val="22"/>
        <w:szCs w:val="22"/>
      </w:rPr>
      <w:tcPr>
        <w:shd w:val="clear" w:color="auto" w:fill="4bacc6" w:themeFill="accent5"/>
      </w:tcPr>
    </w:tblStylePr>
  </w:style>
  <w:style w:type="table" w:styleId="957" w:customStyle="1">
    <w:name w:val="Lined - Accent 6"/>
    <w:uiPriority w:val="99"/>
    <w:rPr>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hemeFill="accent6" w:themeFillTint="34"/>
      </w:tcPr>
    </w:tblStylePr>
    <w:tblStylePr w:type="band2Vert">
      <w:rPr>
        <w:rFonts w:hint="default" w:ascii="Arial" w:hAnsi="Arial" w:cs="Arial"/>
        <w:color w:val="404040"/>
        <w:sz w:val="22"/>
        <w:szCs w:val="22"/>
      </w:rPr>
      <w:tcPr>
        <w:shd w:val="clear" w:color="auto" w:fill="fde9d8" w:themeFill="accent6" w:themeFillTint="34"/>
      </w:tcPr>
    </w:tblStylePr>
    <w:tblStylePr w:type="firstCol">
      <w:rPr>
        <w:rFonts w:hint="default" w:ascii="Arial" w:hAnsi="Arial" w:cs="Arial"/>
        <w:color w:val="f2f2f2"/>
        <w:sz w:val="22"/>
        <w:szCs w:val="22"/>
      </w:rPr>
      <w:tcPr>
        <w:shd w:val="clear" w:color="auto" w:fill="f79646" w:themeFill="accent6"/>
      </w:tcPr>
    </w:tblStylePr>
    <w:tblStylePr w:type="firstRow">
      <w:rPr>
        <w:rFonts w:hint="default" w:ascii="Arial" w:hAnsi="Arial" w:cs="Arial"/>
        <w:color w:val="f2f2f2"/>
        <w:sz w:val="22"/>
        <w:szCs w:val="22"/>
      </w:rPr>
      <w:tcPr>
        <w:shd w:val="clear" w:color="auto" w:fill="f79646" w:themeFill="accent6"/>
      </w:tcPr>
    </w:tblStylePr>
    <w:tblStylePr w:type="lastCol">
      <w:rPr>
        <w:rFonts w:hint="default" w:ascii="Arial" w:hAnsi="Arial" w:cs="Arial"/>
        <w:color w:val="f2f2f2"/>
        <w:sz w:val="22"/>
        <w:szCs w:val="22"/>
      </w:rPr>
      <w:tcPr>
        <w:shd w:val="clear" w:color="auto" w:fill="f79646" w:themeFill="accent6"/>
      </w:tcPr>
    </w:tblStylePr>
    <w:tblStylePr w:type="lastRow">
      <w:rPr>
        <w:rFonts w:hint="default" w:ascii="Arial" w:hAnsi="Arial" w:cs="Arial"/>
        <w:color w:val="f2f2f2"/>
        <w:sz w:val="22"/>
        <w:szCs w:val="22"/>
      </w:rPr>
      <w:tcPr>
        <w:shd w:val="clear" w:color="auto" w:fill="f79646" w:themeFill="accent6"/>
      </w:tcPr>
    </w:tblStylePr>
  </w:style>
  <w:style w:type="table" w:styleId="958"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hemeFill="text1" w:themeFillTint="00"/>
      </w:tcPr>
    </w:tblStylePr>
    <w:tblStylePr w:type="band2Vert">
      <w:rPr>
        <w:rFonts w:hint="default" w:ascii="Arial" w:hAnsi="Arial" w:cs="Arial"/>
        <w:color w:val="404040"/>
        <w:sz w:val="22"/>
        <w:szCs w:val="22"/>
      </w:rPr>
      <w:tcPr>
        <w:shd w:val="clear" w:color="auto" w:fill="f2f2f2" w:themeFill="text1" w:themeFillTint="00"/>
      </w:tcPr>
    </w:tblStylePr>
    <w:tblStylePr w:type="firstCol">
      <w:rPr>
        <w:rFonts w:hint="default" w:ascii="Arial" w:hAnsi="Arial" w:cs="Arial"/>
        <w:color w:val="f2f2f2"/>
        <w:sz w:val="22"/>
        <w:szCs w:val="22"/>
      </w:rPr>
      <w:tcPr>
        <w:shd w:val="clear" w:color="auto" w:fill="7f7f7f" w:themeFill="text1" w:themeFillTint="80"/>
      </w:tcPr>
    </w:tblStylePr>
    <w:tblStylePr w:type="firstRow">
      <w:rPr>
        <w:rFonts w:hint="default" w:ascii="Arial" w:hAnsi="Arial" w:cs="Arial"/>
        <w:color w:val="f2f2f2"/>
        <w:sz w:val="22"/>
        <w:szCs w:val="22"/>
      </w:rPr>
      <w:tcPr>
        <w:shd w:val="clear" w:color="auto" w:fill="7f7f7f" w:themeFill="text1" w:themeFillTint="80"/>
      </w:tcPr>
    </w:tblStylePr>
    <w:tblStylePr w:type="lastCol">
      <w:rPr>
        <w:rFonts w:hint="default" w:ascii="Arial" w:hAnsi="Arial" w:cs="Arial"/>
        <w:color w:val="f2f2f2"/>
        <w:sz w:val="22"/>
        <w:szCs w:val="22"/>
      </w:rPr>
      <w:tcPr>
        <w:shd w:val="clear" w:color="auto" w:fill="7f7f7f" w:themeFill="text1" w:themeFillTint="80"/>
      </w:tcPr>
    </w:tblStylePr>
    <w:tblStylePr w:type="lastRow">
      <w:rPr>
        <w:rFonts w:hint="default" w:ascii="Arial" w:hAnsi="Arial" w:cs="Arial"/>
        <w:color w:val="f2f2f2"/>
        <w:sz w:val="22"/>
        <w:szCs w:val="22"/>
      </w:rPr>
      <w:tcPr>
        <w:shd w:val="clear" w:color="auto" w:fill="7f7f7f" w:themeFill="text1" w:themeFillTint="80"/>
      </w:tcPr>
    </w:tblStylePr>
  </w:style>
  <w:style w:type="table" w:styleId="959"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hemeFill="accent1" w:themeFillTint="50"/>
      </w:tcPr>
    </w:tblStylePr>
    <w:tblStylePr w:type="band2Vert">
      <w:rPr>
        <w:rFonts w:hint="default" w:ascii="Arial" w:hAnsi="Arial" w:cs="Arial"/>
        <w:color w:val="404040"/>
        <w:sz w:val="22"/>
        <w:szCs w:val="22"/>
      </w:rPr>
      <w:tcPr>
        <w:shd w:val="clear" w:color="auto" w:fill="c7d7ea" w:themeFill="accent1" w:themeFillTint="50"/>
      </w:tcPr>
    </w:tblStylePr>
    <w:tblStylePr w:type="firstCol">
      <w:rPr>
        <w:rFonts w:hint="default" w:ascii="Arial" w:hAnsi="Arial" w:cs="Arial"/>
        <w:color w:val="f2f2f2"/>
        <w:sz w:val="22"/>
        <w:szCs w:val="22"/>
      </w:rPr>
      <w:tcPr>
        <w:shd w:val="clear" w:color="auto" w:fill="5d8ac2" w:themeFill="accent1" w:themeFillTint="EA"/>
      </w:tcPr>
    </w:tblStylePr>
    <w:tblStylePr w:type="firstRow">
      <w:rPr>
        <w:rFonts w:hint="default" w:ascii="Arial" w:hAnsi="Arial" w:cs="Arial"/>
        <w:color w:val="f2f2f2"/>
        <w:sz w:val="22"/>
        <w:szCs w:val="22"/>
      </w:rPr>
      <w:tcPr>
        <w:shd w:val="clear" w:color="auto" w:fill="5d8ac2" w:themeFill="accent1" w:themeFillTint="EA"/>
      </w:tcPr>
    </w:tblStylePr>
    <w:tblStylePr w:type="lastCol">
      <w:rPr>
        <w:rFonts w:hint="default" w:ascii="Arial" w:hAnsi="Arial" w:cs="Arial"/>
        <w:color w:val="f2f2f2"/>
        <w:sz w:val="22"/>
        <w:szCs w:val="22"/>
      </w:rPr>
      <w:tcPr>
        <w:shd w:val="clear" w:color="auto" w:fill="5d8ac2" w:themeFill="accent1" w:themeFillTint="EA"/>
      </w:tcPr>
    </w:tblStylePr>
    <w:tblStylePr w:type="lastRow">
      <w:rPr>
        <w:rFonts w:hint="default" w:ascii="Arial" w:hAnsi="Arial" w:cs="Arial"/>
        <w:color w:val="f2f2f2"/>
        <w:sz w:val="22"/>
        <w:szCs w:val="22"/>
      </w:rPr>
      <w:tcPr>
        <w:shd w:val="clear" w:color="auto" w:fill="5d8ac2" w:themeFill="accent1" w:themeFillTint="EA"/>
      </w:tcPr>
    </w:tblStylePr>
  </w:style>
  <w:style w:type="table" w:styleId="960"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hemeFill="accent2" w:themeFillTint="32"/>
      </w:tcPr>
    </w:tblStylePr>
    <w:tblStylePr w:type="band2Vert">
      <w:rPr>
        <w:rFonts w:hint="default" w:ascii="Arial" w:hAnsi="Arial" w:cs="Arial"/>
        <w:color w:val="404040"/>
        <w:sz w:val="22"/>
        <w:szCs w:val="22"/>
      </w:rPr>
      <w:tcPr>
        <w:shd w:val="clear" w:color="auto" w:fill="f2dcdc" w:themeFill="accent2" w:themeFillTint="32"/>
      </w:tcPr>
    </w:tblStylePr>
    <w:tblStylePr w:type="firstCol">
      <w:rPr>
        <w:rFonts w:hint="default" w:ascii="Arial" w:hAnsi="Arial" w:cs="Arial"/>
        <w:color w:val="f2f2f2"/>
        <w:sz w:val="22"/>
        <w:szCs w:val="22"/>
      </w:rPr>
      <w:tcPr>
        <w:shd w:val="clear" w:color="auto" w:fill="d99695" w:themeFill="accent2" w:themeFillTint="97"/>
      </w:tcPr>
    </w:tblStylePr>
    <w:tblStylePr w:type="firstRow">
      <w:rPr>
        <w:rFonts w:hint="default" w:ascii="Arial" w:hAnsi="Arial" w:cs="Arial"/>
        <w:color w:val="f2f2f2"/>
        <w:sz w:val="22"/>
        <w:szCs w:val="22"/>
      </w:rPr>
      <w:tcPr>
        <w:shd w:val="clear" w:color="auto" w:fill="d99695" w:themeFill="accent2" w:themeFillTint="97"/>
      </w:tcPr>
    </w:tblStylePr>
    <w:tblStylePr w:type="lastCol">
      <w:rPr>
        <w:rFonts w:hint="default" w:ascii="Arial" w:hAnsi="Arial" w:cs="Arial"/>
        <w:color w:val="f2f2f2"/>
        <w:sz w:val="22"/>
        <w:szCs w:val="22"/>
      </w:rPr>
      <w:tcPr>
        <w:shd w:val="clear" w:color="auto" w:fill="d99695" w:themeFill="accent2" w:themeFillTint="97"/>
      </w:tcPr>
    </w:tblStylePr>
    <w:tblStylePr w:type="lastRow">
      <w:rPr>
        <w:rFonts w:hint="default" w:ascii="Arial" w:hAnsi="Arial" w:cs="Arial"/>
        <w:color w:val="f2f2f2"/>
        <w:sz w:val="22"/>
        <w:szCs w:val="22"/>
      </w:rPr>
      <w:tcPr>
        <w:shd w:val="clear" w:color="auto" w:fill="d99695" w:themeFill="accent2" w:themeFillTint="97"/>
      </w:tcPr>
    </w:tblStylePr>
  </w:style>
  <w:style w:type="table" w:styleId="961"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hemeFill="accent3" w:themeFillTint="34"/>
      </w:tcPr>
    </w:tblStylePr>
    <w:tblStylePr w:type="band2Vert">
      <w:rPr>
        <w:rFonts w:hint="default" w:ascii="Arial" w:hAnsi="Arial" w:cs="Arial"/>
        <w:color w:val="404040"/>
        <w:sz w:val="22"/>
        <w:szCs w:val="22"/>
      </w:rPr>
      <w:tcPr>
        <w:shd w:val="clear" w:color="auto" w:fill="eaf1dc" w:themeFill="accent3" w:themeFillTint="34"/>
      </w:tcPr>
    </w:tblStylePr>
    <w:tblStylePr w:type="firstCol">
      <w:rPr>
        <w:rFonts w:hint="default" w:ascii="Arial" w:hAnsi="Arial" w:cs="Arial"/>
        <w:color w:val="f2f2f2"/>
        <w:sz w:val="22"/>
        <w:szCs w:val="22"/>
      </w:rPr>
      <w:tcPr>
        <w:shd w:val="clear" w:color="auto" w:fill="9abb59" w:themeFill="accent3" w:themeFillTint="FE"/>
      </w:tcPr>
    </w:tblStylePr>
    <w:tblStylePr w:type="firstRow">
      <w:rPr>
        <w:rFonts w:hint="default" w:ascii="Arial" w:hAnsi="Arial" w:cs="Arial"/>
        <w:color w:val="f2f2f2"/>
        <w:sz w:val="22"/>
        <w:szCs w:val="22"/>
      </w:rPr>
      <w:tcPr>
        <w:shd w:val="clear" w:color="auto" w:fill="9abb59" w:themeFill="accent3" w:themeFillTint="FE"/>
      </w:tcPr>
    </w:tblStylePr>
    <w:tblStylePr w:type="lastCol">
      <w:rPr>
        <w:rFonts w:hint="default" w:ascii="Arial" w:hAnsi="Arial" w:cs="Arial"/>
        <w:color w:val="f2f2f2"/>
        <w:sz w:val="22"/>
        <w:szCs w:val="22"/>
      </w:rPr>
      <w:tcPr>
        <w:shd w:val="clear" w:color="auto" w:fill="9abb59" w:themeFill="accent3" w:themeFillTint="FE"/>
      </w:tcPr>
    </w:tblStylePr>
    <w:tblStylePr w:type="lastRow">
      <w:rPr>
        <w:rFonts w:hint="default" w:ascii="Arial" w:hAnsi="Arial" w:cs="Arial"/>
        <w:color w:val="f2f2f2"/>
        <w:sz w:val="22"/>
        <w:szCs w:val="22"/>
      </w:rPr>
      <w:tcPr>
        <w:shd w:val="clear" w:color="auto" w:fill="9abb59" w:themeFill="accent3" w:themeFillTint="FE"/>
      </w:tcPr>
    </w:tblStylePr>
  </w:style>
  <w:style w:type="table" w:styleId="962"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hemeFill="accent4" w:themeFillTint="34"/>
      </w:tcPr>
    </w:tblStylePr>
    <w:tblStylePr w:type="band2Vert">
      <w:rPr>
        <w:rFonts w:hint="default" w:ascii="Arial" w:hAnsi="Arial" w:cs="Arial"/>
        <w:color w:val="404040"/>
        <w:sz w:val="22"/>
        <w:szCs w:val="22"/>
      </w:rPr>
      <w:tcPr>
        <w:shd w:val="clear" w:color="auto" w:fill="e5dfec" w:themeFill="accent4" w:themeFillTint="34"/>
      </w:tcPr>
    </w:tblStylePr>
    <w:tblStylePr w:type="firstCol">
      <w:rPr>
        <w:rFonts w:hint="default" w:ascii="Arial" w:hAnsi="Arial" w:cs="Arial"/>
        <w:color w:val="f2f2f2"/>
        <w:sz w:val="22"/>
        <w:szCs w:val="22"/>
      </w:rPr>
      <w:tcPr>
        <w:shd w:val="clear" w:color="auto" w:fill="b2a1c6" w:themeFill="accent4" w:themeFillTint="9A"/>
      </w:tcPr>
    </w:tblStylePr>
    <w:tblStylePr w:type="firstRow">
      <w:rPr>
        <w:rFonts w:hint="default" w:ascii="Arial" w:hAnsi="Arial" w:cs="Arial"/>
        <w:color w:val="f2f2f2"/>
        <w:sz w:val="22"/>
        <w:szCs w:val="22"/>
      </w:rPr>
      <w:tcPr>
        <w:shd w:val="clear" w:color="auto" w:fill="b2a1c6" w:themeFill="accent4" w:themeFillTint="9A"/>
      </w:tcPr>
    </w:tblStylePr>
    <w:tblStylePr w:type="lastCol">
      <w:rPr>
        <w:rFonts w:hint="default" w:ascii="Arial" w:hAnsi="Arial" w:cs="Arial"/>
        <w:color w:val="f2f2f2"/>
        <w:sz w:val="22"/>
        <w:szCs w:val="22"/>
      </w:rPr>
      <w:tcPr>
        <w:shd w:val="clear" w:color="auto" w:fill="b2a1c6" w:themeFill="accent4" w:themeFillTint="9A"/>
      </w:tcPr>
    </w:tblStylePr>
    <w:tblStylePr w:type="lastRow">
      <w:rPr>
        <w:rFonts w:hint="default" w:ascii="Arial" w:hAnsi="Arial" w:cs="Arial"/>
        <w:color w:val="f2f2f2"/>
        <w:sz w:val="22"/>
        <w:szCs w:val="22"/>
      </w:rPr>
      <w:tcPr>
        <w:shd w:val="clear" w:color="auto" w:fill="b2a1c6" w:themeFill="accent4" w:themeFillTint="9A"/>
      </w:tcPr>
    </w:tblStylePr>
  </w:style>
  <w:style w:type="table" w:styleId="963"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hemeFill="accent5" w:themeFillTint="34"/>
      </w:tcPr>
    </w:tblStylePr>
    <w:tblStylePr w:type="band2Vert">
      <w:rPr>
        <w:rFonts w:hint="default" w:ascii="Arial" w:hAnsi="Arial" w:cs="Arial"/>
        <w:color w:val="404040"/>
        <w:sz w:val="22"/>
        <w:szCs w:val="22"/>
      </w:rPr>
      <w:tcPr>
        <w:shd w:val="clear" w:color="auto" w:fill="daeef3" w:themeFill="accent5" w:themeFillTint="34"/>
      </w:tcPr>
    </w:tblStylePr>
    <w:tblStylePr w:type="firstCol">
      <w:rPr>
        <w:rFonts w:hint="default" w:ascii="Arial" w:hAnsi="Arial" w:cs="Arial"/>
        <w:color w:val="f2f2f2"/>
        <w:sz w:val="22"/>
        <w:szCs w:val="22"/>
      </w:rPr>
      <w:tcPr>
        <w:shd w:val="clear" w:color="auto" w:fill="4bacc6" w:themeFill="accent5"/>
      </w:tcPr>
    </w:tblStylePr>
    <w:tblStylePr w:type="firstRow">
      <w:rPr>
        <w:rFonts w:hint="default" w:ascii="Arial" w:hAnsi="Arial" w:cs="Arial"/>
        <w:color w:val="f2f2f2"/>
        <w:sz w:val="22"/>
        <w:szCs w:val="22"/>
      </w:rPr>
      <w:tcPr>
        <w:shd w:val="clear" w:color="auto" w:fill="4bacc6" w:themeFill="accent5"/>
      </w:tcPr>
    </w:tblStylePr>
    <w:tblStylePr w:type="lastCol">
      <w:rPr>
        <w:rFonts w:hint="default" w:ascii="Arial" w:hAnsi="Arial" w:cs="Arial"/>
        <w:color w:val="f2f2f2"/>
        <w:sz w:val="22"/>
        <w:szCs w:val="22"/>
      </w:rPr>
      <w:tcPr>
        <w:shd w:val="clear" w:color="auto" w:fill="4bacc6" w:themeFill="accent5"/>
      </w:tcPr>
    </w:tblStylePr>
    <w:tblStylePr w:type="lastRow">
      <w:rPr>
        <w:rFonts w:hint="default" w:ascii="Arial" w:hAnsi="Arial" w:cs="Arial"/>
        <w:color w:val="f2f2f2"/>
        <w:sz w:val="22"/>
        <w:szCs w:val="22"/>
      </w:rPr>
      <w:tcPr>
        <w:shd w:val="clear" w:color="auto" w:fill="4bacc6" w:themeFill="accent5"/>
      </w:tcPr>
    </w:tblStylePr>
  </w:style>
  <w:style w:type="table" w:styleId="964"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hemeFill="accent6" w:themeFillTint="34"/>
      </w:tcPr>
    </w:tblStylePr>
    <w:tblStylePr w:type="band2Vert">
      <w:rPr>
        <w:rFonts w:hint="default" w:ascii="Arial" w:hAnsi="Arial" w:cs="Arial"/>
        <w:color w:val="404040"/>
        <w:sz w:val="22"/>
        <w:szCs w:val="22"/>
      </w:rPr>
      <w:tcPr>
        <w:shd w:val="clear" w:color="auto" w:fill="fde9d8" w:themeFill="accent6" w:themeFillTint="34"/>
      </w:tcPr>
    </w:tblStylePr>
    <w:tblStylePr w:type="firstCol">
      <w:rPr>
        <w:rFonts w:hint="default" w:ascii="Arial" w:hAnsi="Arial" w:cs="Arial"/>
        <w:color w:val="f2f2f2"/>
        <w:sz w:val="22"/>
        <w:szCs w:val="22"/>
      </w:rPr>
      <w:tcPr>
        <w:shd w:val="clear" w:color="auto" w:fill="f79646" w:themeFill="accent6"/>
      </w:tcPr>
    </w:tblStylePr>
    <w:tblStylePr w:type="firstRow">
      <w:rPr>
        <w:rFonts w:hint="default" w:ascii="Arial" w:hAnsi="Arial" w:cs="Arial"/>
        <w:color w:val="f2f2f2"/>
        <w:sz w:val="22"/>
        <w:szCs w:val="22"/>
      </w:rPr>
      <w:tcPr>
        <w:shd w:val="clear" w:color="auto" w:fill="f79646" w:themeFill="accent6"/>
      </w:tcPr>
    </w:tblStylePr>
    <w:tblStylePr w:type="lastCol">
      <w:rPr>
        <w:rFonts w:hint="default" w:ascii="Arial" w:hAnsi="Arial" w:cs="Arial"/>
        <w:color w:val="f2f2f2"/>
        <w:sz w:val="22"/>
        <w:szCs w:val="22"/>
      </w:rPr>
      <w:tcPr>
        <w:shd w:val="clear" w:color="auto" w:fill="f79646" w:themeFill="accent6"/>
      </w:tcPr>
    </w:tblStylePr>
    <w:tblStylePr w:type="lastRow">
      <w:rPr>
        <w:rFonts w:hint="default" w:ascii="Arial" w:hAnsi="Arial" w:cs="Arial"/>
        <w:color w:val="f2f2f2"/>
        <w:sz w:val="22"/>
        <w:szCs w:val="22"/>
      </w:rPr>
      <w:tcPr>
        <w:shd w:val="clear" w:color="auto" w:fill="f79646" w:themeFill="accent6"/>
      </w:tcPr>
    </w:tblStylePr>
  </w:style>
  <w:style w:type="table" w:styleId="965"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F7F7F" w:themeColor="text1" w:themeTint="80" w:sz="12" w:space="0"/>
        </w:tcBorders>
      </w:tcPr>
    </w:tblStylePr>
    <w:tblStylePr w:type="lastCol">
      <w:rPr>
        <w:rFonts w:hint="default" w:ascii="Arial" w:hAnsi="Arial" w:cs="Arial"/>
        <w:color w:val="404040"/>
        <w:sz w:val="22"/>
        <w:szCs w:val="22"/>
      </w:rPr>
      <w:tcPr>
        <w:tcBorders>
          <w:left w:val="single" w:color="7F7F7F" w:themeColor="text1" w:themeTint="80" w:sz="12" w:space="0"/>
        </w:tcBorders>
      </w:tcPr>
    </w:tblStylePr>
    <w:tblStylePr w:type="lastRow">
      <w:rPr>
        <w:rFonts w:hint="default" w:ascii="Arial" w:hAnsi="Arial" w:cs="Arial"/>
        <w:color w:val="404040"/>
        <w:sz w:val="22"/>
        <w:szCs w:val="22"/>
      </w:rPr>
      <w:tcPr>
        <w:tcBorders>
          <w:top w:val="single" w:color="7F7F7F" w:themeColor="text1" w:themeTint="80" w:sz="12" w:space="0"/>
        </w:tcBorders>
      </w:tcPr>
    </w:tblStylePr>
  </w:style>
  <w:style w:type="table" w:styleId="966"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4F81BD" w:themeColor="accent1" w:sz="12" w:space="0"/>
        </w:tcBorders>
      </w:tcPr>
    </w:tblStylePr>
    <w:tblStylePr w:type="lastCol">
      <w:rPr>
        <w:rFonts w:hint="default" w:ascii="Arial" w:hAnsi="Arial" w:cs="Arial"/>
        <w:color w:val="404040"/>
        <w:sz w:val="22"/>
        <w:szCs w:val="22"/>
      </w:rPr>
      <w:tcPr>
        <w:tcBorders>
          <w:left w:val="single" w:color="4F81BD" w:themeColor="accent1" w:sz="12" w:space="0"/>
        </w:tcBorders>
      </w:tcPr>
    </w:tblStylePr>
    <w:tblStylePr w:type="lastRow">
      <w:rPr>
        <w:rFonts w:hint="default" w:ascii="Arial" w:hAnsi="Arial" w:cs="Arial"/>
        <w:color w:val="404040"/>
        <w:sz w:val="22"/>
        <w:szCs w:val="22"/>
      </w:rPr>
      <w:tcPr>
        <w:tcBorders>
          <w:top w:val="single" w:color="4F81BD" w:themeColor="accent1" w:sz="12" w:space="0"/>
        </w:tcBorders>
      </w:tcPr>
    </w:tblStylePr>
  </w:style>
  <w:style w:type="table" w:styleId="967"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D99695" w:themeColor="accent2" w:themeTint="97" w:sz="12" w:space="0"/>
        </w:tcBorders>
      </w:tcPr>
    </w:tblStylePr>
    <w:tblStylePr w:type="lastCol">
      <w:rPr>
        <w:rFonts w:hint="default" w:ascii="Arial" w:hAnsi="Arial" w:cs="Arial"/>
        <w:color w:val="404040"/>
        <w:sz w:val="22"/>
        <w:szCs w:val="22"/>
      </w:rPr>
      <w:tcPr>
        <w:tcBorders>
          <w:left w:val="single" w:color="D99695" w:themeColor="accent2" w:themeTint="97" w:sz="12" w:space="0"/>
        </w:tcBorders>
      </w:tcPr>
    </w:tblStylePr>
    <w:tblStylePr w:type="lastRow">
      <w:rPr>
        <w:rFonts w:hint="default" w:ascii="Arial" w:hAnsi="Arial" w:cs="Arial"/>
        <w:color w:val="404040"/>
        <w:sz w:val="22"/>
        <w:szCs w:val="22"/>
      </w:rPr>
      <w:tcPr>
        <w:tcBorders>
          <w:top w:val="single" w:color="D99695" w:themeColor="accent2" w:themeTint="97" w:sz="12" w:space="0"/>
        </w:tcBorders>
      </w:tcPr>
    </w:tblStylePr>
  </w:style>
  <w:style w:type="table" w:styleId="968"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3D69B" w:themeColor="accent3" w:themeTint="98" w:sz="12" w:space="0"/>
        </w:tcBorders>
      </w:tcPr>
    </w:tblStylePr>
    <w:tblStylePr w:type="lastCol">
      <w:rPr>
        <w:rFonts w:hint="default" w:ascii="Arial" w:hAnsi="Arial" w:cs="Arial"/>
        <w:color w:val="404040"/>
        <w:sz w:val="22"/>
        <w:szCs w:val="22"/>
      </w:rPr>
      <w:tcPr>
        <w:tcBorders>
          <w:left w:val="single" w:color="C3D69B" w:themeColor="accent3" w:themeTint="98" w:sz="12" w:space="0"/>
        </w:tcBorders>
      </w:tcPr>
    </w:tblStylePr>
    <w:tblStylePr w:type="lastRow">
      <w:rPr>
        <w:rFonts w:hint="default" w:ascii="Arial" w:hAnsi="Arial" w:cs="Arial"/>
        <w:color w:val="404040"/>
        <w:sz w:val="22"/>
        <w:szCs w:val="22"/>
      </w:rPr>
      <w:tcPr>
        <w:tcBorders>
          <w:top w:val="single" w:color="C3D69B" w:themeColor="accent3" w:themeTint="98" w:sz="12" w:space="0"/>
        </w:tcBorders>
      </w:tcPr>
    </w:tblStylePr>
  </w:style>
  <w:style w:type="table" w:styleId="969"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B2A1C6" w:themeColor="accent4" w:themeTint="9A" w:sz="12" w:space="0"/>
        </w:tcBorders>
      </w:tcPr>
    </w:tblStylePr>
    <w:tblStylePr w:type="lastCol">
      <w:rPr>
        <w:rFonts w:hint="default" w:ascii="Arial" w:hAnsi="Arial" w:cs="Arial"/>
        <w:color w:val="404040"/>
        <w:sz w:val="22"/>
        <w:szCs w:val="22"/>
      </w:rPr>
      <w:tcPr>
        <w:tcBorders>
          <w:left w:val="single" w:color="B2A1C6" w:themeColor="accent4" w:themeTint="9A" w:sz="12" w:space="0"/>
        </w:tcBorders>
      </w:tcPr>
    </w:tblStylePr>
    <w:tblStylePr w:type="lastRow">
      <w:rPr>
        <w:rFonts w:hint="default" w:ascii="Arial" w:hAnsi="Arial" w:cs="Arial"/>
        <w:color w:val="404040"/>
        <w:sz w:val="22"/>
        <w:szCs w:val="22"/>
      </w:rPr>
      <w:tcPr>
        <w:tcBorders>
          <w:top w:val="single" w:color="B2A1C6" w:themeColor="accent4" w:themeTint="9A" w:sz="12" w:space="0"/>
        </w:tcBorders>
      </w:tcPr>
    </w:tblStylePr>
  </w:style>
  <w:style w:type="table" w:styleId="970"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92CCDC" w:themeColor="accent5" w:themeTint="9A" w:sz="12" w:space="0"/>
        </w:tcBorders>
      </w:tcPr>
    </w:tblStylePr>
    <w:tblStylePr w:type="lastCol">
      <w:rPr>
        <w:rFonts w:hint="default" w:ascii="Arial" w:hAnsi="Arial" w:cs="Arial"/>
        <w:color w:val="404040"/>
        <w:sz w:val="22"/>
        <w:szCs w:val="22"/>
      </w:rPr>
      <w:tcPr>
        <w:tcBorders>
          <w:left w:val="single" w:color="92CCDC" w:themeColor="accent5" w:themeTint="9A" w:sz="12" w:space="0"/>
        </w:tcBorders>
      </w:tcPr>
    </w:tblStylePr>
    <w:tblStylePr w:type="lastRow">
      <w:rPr>
        <w:rFonts w:hint="default" w:ascii="Arial" w:hAnsi="Arial" w:cs="Arial"/>
        <w:color w:val="404040"/>
        <w:sz w:val="22"/>
        <w:szCs w:val="22"/>
      </w:rPr>
      <w:tcPr>
        <w:tcBorders>
          <w:top w:val="single" w:color="92CCDC" w:themeColor="accent5" w:themeTint="9A" w:sz="12" w:space="0"/>
        </w:tcBorders>
      </w:tcPr>
    </w:tblStylePr>
  </w:style>
  <w:style w:type="table" w:styleId="971"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AC090" w:themeColor="accent6" w:themeTint="98" w:sz="12" w:space="0"/>
        </w:tcBorders>
      </w:tcPr>
    </w:tblStylePr>
    <w:tblStylePr w:type="lastCol">
      <w:rPr>
        <w:rFonts w:hint="default" w:ascii="Arial" w:hAnsi="Arial" w:cs="Arial"/>
        <w:color w:val="404040"/>
        <w:sz w:val="22"/>
        <w:szCs w:val="22"/>
      </w:rPr>
      <w:tcPr>
        <w:tcBorders>
          <w:left w:val="single" w:color="FAC090" w:themeColor="accent6" w:themeTint="98" w:sz="12" w:space="0"/>
        </w:tcBorders>
      </w:tcPr>
    </w:tblStylePr>
    <w:tblStylePr w:type="lastRow">
      <w:rPr>
        <w:rFonts w:hint="default" w:ascii="Arial" w:hAnsi="Arial" w:cs="Arial"/>
        <w:color w:val="404040"/>
        <w:sz w:val="22"/>
        <w:szCs w:val="22"/>
      </w:rPr>
      <w:tcPr>
        <w:tcBorders>
          <w:top w:val="single" w:color="FAC090" w:themeColor="accent6" w:themeTint="98" w:sz="12" w:space="0"/>
        </w:tcBorders>
      </w:tcPr>
    </w:tblStylePr>
  </w:style>
  <w:style w:type="table" w:styleId="972" w:customStyle="1">
    <w:name w:val="Table Normal1"/>
    <w:uiPriority w:val="2"/>
    <w:semiHidden/>
    <w:qFormat/>
    <w:rPr>
      <w:rFonts w:ascii="Calibri" w:hAnsi="Calibri"/>
    </w:rPr>
    <w:tblPr>
      <w:tblCellMar>
        <w:left w:w="0" w:type="dxa"/>
        <w:top w:w="0" w:type="dxa"/>
        <w:right w:w="0" w:type="dxa"/>
        <w:bottom w:w="0" w:type="dxa"/>
      </w:tblCellMar>
    </w:tblPr>
  </w:style>
  <w:style w:type="table" w:styleId="973" w:customStyle="1">
    <w:name w:val="Table Normal2"/>
    <w:uiPriority w:val="2"/>
    <w:semiHidden/>
    <w:qFormat/>
    <w:rPr>
      <w:rFonts w:ascii="Calibri" w:hAnsi="Calibri"/>
    </w:rPr>
    <w:tblPr>
      <w:tblCellMar>
        <w:left w:w="0" w:type="dxa"/>
        <w:top w:w="0" w:type="dxa"/>
        <w:right w:w="0" w:type="dxa"/>
        <w:bottom w:w="0" w:type="dxa"/>
      </w:tblCellMar>
    </w:tblPr>
  </w:style>
  <w:style w:type="table" w:styleId="974" w:customStyle="1">
    <w:name w:val="Table Normal3"/>
    <w:uiPriority w:val="2"/>
    <w:semiHidden/>
    <w:qFormat/>
    <w:rPr>
      <w:rFonts w:ascii="Calibri" w:hAnsi="Calibri"/>
    </w:rPr>
    <w:tblPr>
      <w:tblCellMar>
        <w:left w:w="0" w:type="dxa"/>
        <w:top w:w="0" w:type="dxa"/>
        <w:right w:w="0" w:type="dxa"/>
        <w:bottom w:w="0" w:type="dxa"/>
      </w:tblCellMar>
    </w:tblPr>
  </w:style>
  <w:style w:type="table" w:styleId="975" w:customStyle="1">
    <w:name w:val="Table Normal4"/>
    <w:uiPriority w:val="2"/>
    <w:semiHidden/>
    <w:qFormat/>
    <w:rPr>
      <w:rFonts w:ascii="Calibri" w:hAnsi="Calibri"/>
    </w:rPr>
    <w:tblPr>
      <w:tblCellMar>
        <w:left w:w="0" w:type="dxa"/>
        <w:top w:w="0" w:type="dxa"/>
        <w:right w:w="0" w:type="dxa"/>
        <w:bottom w:w="0" w:type="dxa"/>
      </w:tblCellMar>
    </w:tblPr>
  </w:style>
  <w:style w:type="table" w:styleId="976" w:customStyle="1">
    <w:name w:val="Table Normal5"/>
    <w:uiPriority w:val="2"/>
    <w:semiHidden/>
    <w:qFormat/>
    <w:rPr>
      <w:rFonts w:ascii="Calibri" w:hAnsi="Calibri"/>
    </w:rPr>
    <w:tblPr>
      <w:tblCellMar>
        <w:left w:w="0" w:type="dxa"/>
        <w:top w:w="0" w:type="dxa"/>
        <w:right w:w="0" w:type="dxa"/>
        <w:bottom w:w="0" w:type="dxa"/>
      </w:tblCellMar>
    </w:tblPr>
  </w:style>
  <w:style w:type="table" w:styleId="977" w:customStyle="1">
    <w:name w:val="Table Normal6"/>
    <w:uiPriority w:val="2"/>
    <w:semiHidden/>
    <w:qFormat/>
    <w:rPr>
      <w:rFonts w:ascii="Calibri" w:hAnsi="Calibri"/>
    </w:rPr>
    <w:tblPr>
      <w:tblCellMar>
        <w:left w:w="0" w:type="dxa"/>
        <w:top w:w="0" w:type="dxa"/>
        <w:right w:w="0" w:type="dxa"/>
        <w:bottom w:w="0" w:type="dxa"/>
      </w:tblCellMar>
    </w:tblPr>
  </w:style>
  <w:style w:type="table" w:styleId="978" w:customStyle="1">
    <w:name w:val="Table Normal7"/>
    <w:uiPriority w:val="2"/>
    <w:semiHidden/>
    <w:qFormat/>
    <w:rPr>
      <w:rFonts w:ascii="Calibri" w:hAnsi="Calibri"/>
    </w:rPr>
    <w:tblPr>
      <w:tblCellMar>
        <w:left w:w="0" w:type="dxa"/>
        <w:top w:w="0" w:type="dxa"/>
        <w:right w:w="0" w:type="dxa"/>
        <w:bottom w:w="0" w:type="dxa"/>
      </w:tblCellMar>
    </w:tblPr>
  </w:style>
  <w:style w:type="table" w:styleId="979" w:customStyle="1">
    <w:name w:val="Table Normal8"/>
    <w:uiPriority w:val="2"/>
    <w:semiHidden/>
    <w:qFormat/>
    <w:rPr>
      <w:rFonts w:ascii="Calibri" w:hAnsi="Calibri"/>
    </w:rPr>
    <w:tblPr>
      <w:tblCellMar>
        <w:left w:w="0" w:type="dxa"/>
        <w:top w:w="0" w:type="dxa"/>
        <w:right w:w="0" w:type="dxa"/>
        <w:bottom w:w="0" w:type="dxa"/>
      </w:tblCellMar>
    </w:tblPr>
  </w:style>
  <w:style w:type="table" w:styleId="980" w:customStyle="1">
    <w:name w:val="Table Normal9"/>
    <w:uiPriority w:val="2"/>
    <w:semiHidden/>
    <w:qFormat/>
    <w:rPr>
      <w:rFonts w:ascii="Calibri" w:hAnsi="Calibri"/>
    </w:rPr>
    <w:tblPr>
      <w:tblCellMar>
        <w:left w:w="0" w:type="dxa"/>
        <w:top w:w="0" w:type="dxa"/>
        <w:right w:w="0" w:type="dxa"/>
        <w:bottom w:w="0" w:type="dxa"/>
      </w:tblCellMar>
    </w:tblPr>
  </w:style>
  <w:style w:type="table" w:styleId="981" w:customStyle="1">
    <w:name w:val="Table Normal10"/>
    <w:uiPriority w:val="2"/>
    <w:semiHidden/>
    <w:qFormat/>
    <w:rPr>
      <w:rFonts w:ascii="Calibri" w:hAnsi="Calibri"/>
    </w:rPr>
    <w:tblPr>
      <w:tblCellMar>
        <w:left w:w="0" w:type="dxa"/>
        <w:top w:w="0" w:type="dxa"/>
        <w:right w:w="0" w:type="dxa"/>
        <w:bottom w:w="0" w:type="dxa"/>
      </w:tblCellMar>
    </w:tblPr>
  </w:style>
  <w:style w:type="table" w:styleId="982" w:customStyle="1">
    <w:name w:val="Table Normal11"/>
    <w:uiPriority w:val="2"/>
    <w:semiHidden/>
    <w:qFormat/>
    <w:rPr>
      <w:rFonts w:ascii="Calibri" w:hAnsi="Calibri"/>
    </w:rPr>
    <w:tblPr>
      <w:tblCellMar>
        <w:left w:w="0" w:type="dxa"/>
        <w:top w:w="0" w:type="dxa"/>
        <w:right w:w="0" w:type="dxa"/>
        <w:bottom w:w="0" w:type="dxa"/>
      </w:tblCellMar>
    </w:tblPr>
  </w:style>
  <w:style w:type="table" w:styleId="983" w:customStyle="1">
    <w:name w:val="Table Normal12"/>
    <w:uiPriority w:val="2"/>
    <w:semiHidden/>
    <w:qFormat/>
    <w:rPr>
      <w:rFonts w:ascii="Calibri" w:hAnsi="Calibri"/>
    </w:rPr>
    <w:tblPr>
      <w:tblCellMar>
        <w:left w:w="0" w:type="dxa"/>
        <w:top w:w="0" w:type="dxa"/>
        <w:right w:w="0" w:type="dxa"/>
        <w:bottom w:w="0" w:type="dxa"/>
      </w:tblCellMar>
    </w:tblPr>
  </w:style>
  <w:style w:type="table" w:styleId="984" w:customStyle="1">
    <w:name w:val="Table Normal13"/>
    <w:uiPriority w:val="2"/>
    <w:semiHidden/>
    <w:qFormat/>
    <w:rPr>
      <w:rFonts w:ascii="Calibri" w:hAnsi="Calibri"/>
    </w:rPr>
    <w:tblPr>
      <w:tblCellMar>
        <w:left w:w="0" w:type="dxa"/>
        <w:top w:w="0" w:type="dxa"/>
        <w:right w:w="0" w:type="dxa"/>
        <w:bottom w:w="0" w:type="dxa"/>
      </w:tblCellMar>
    </w:tblPr>
  </w:style>
  <w:style w:type="table" w:styleId="985" w:customStyle="1">
    <w:name w:val="Table Normal14"/>
    <w:uiPriority w:val="2"/>
    <w:semiHidden/>
    <w:qFormat/>
    <w:rPr>
      <w:rFonts w:ascii="Calibri" w:hAnsi="Calibri"/>
    </w:rPr>
    <w:tblPr>
      <w:tblCellMar>
        <w:left w:w="0" w:type="dxa"/>
        <w:top w:w="0" w:type="dxa"/>
        <w:right w:w="0" w:type="dxa"/>
        <w:bottom w:w="0" w:type="dxa"/>
      </w:tblCellMar>
    </w:tblPr>
  </w:style>
  <w:style w:type="table" w:styleId="986" w:customStyle="1">
    <w:name w:val="Table Normal15"/>
    <w:uiPriority w:val="2"/>
    <w:semiHidden/>
    <w:qFormat/>
    <w:rPr>
      <w:rFonts w:ascii="Calibri" w:hAnsi="Calibri"/>
    </w:rPr>
    <w:tblPr>
      <w:tblCellMar>
        <w:left w:w="0" w:type="dxa"/>
        <w:top w:w="0" w:type="dxa"/>
        <w:right w:w="0" w:type="dxa"/>
        <w:bottom w:w="0" w:type="dxa"/>
      </w:tblCellMar>
    </w:tblPr>
  </w:style>
  <w:style w:type="table" w:styleId="987" w:customStyle="1">
    <w:name w:val="Table Normal16"/>
    <w:uiPriority w:val="2"/>
    <w:semiHidden/>
    <w:qFormat/>
    <w:rPr>
      <w:rFonts w:ascii="Calibri" w:hAnsi="Calibri"/>
    </w:rPr>
    <w:tblPr>
      <w:tblCellMar>
        <w:left w:w="0" w:type="dxa"/>
        <w:top w:w="0" w:type="dxa"/>
        <w:right w:w="0" w:type="dxa"/>
        <w:bottom w:w="0" w:type="dxa"/>
      </w:tblCellMar>
    </w:tblPr>
  </w:style>
  <w:style w:type="table" w:styleId="988" w:customStyle="1">
    <w:name w:val="Table Normal17"/>
    <w:uiPriority w:val="2"/>
    <w:semiHidden/>
    <w:qFormat/>
    <w:rPr>
      <w:rFonts w:ascii="Calibri" w:hAnsi="Calibri"/>
    </w:rPr>
    <w:tblPr>
      <w:tblCellMar>
        <w:left w:w="0" w:type="dxa"/>
        <w:top w:w="0" w:type="dxa"/>
        <w:right w:w="0" w:type="dxa"/>
        <w:bottom w:w="0" w:type="dxa"/>
      </w:tblCellMar>
    </w:tblPr>
  </w:style>
  <w:style w:type="table" w:styleId="989" w:customStyle="1">
    <w:name w:val="Table Normal18"/>
    <w:uiPriority w:val="2"/>
    <w:semiHidden/>
    <w:qFormat/>
    <w:rPr>
      <w:rFonts w:ascii="Calibri" w:hAnsi="Calibri"/>
    </w:rPr>
    <w:tblPr>
      <w:tblCellMar>
        <w:left w:w="0" w:type="dxa"/>
        <w:top w:w="0" w:type="dxa"/>
        <w:right w:w="0" w:type="dxa"/>
        <w:bottom w:w="0" w:type="dxa"/>
      </w:tblCellMar>
    </w:tblPr>
  </w:style>
  <w:style w:type="table" w:styleId="990" w:customStyle="1">
    <w:name w:val="Table Normal19"/>
    <w:uiPriority w:val="2"/>
    <w:semiHidden/>
    <w:qFormat/>
    <w:rPr>
      <w:rFonts w:ascii="Calibri" w:hAnsi="Calibri"/>
    </w:rPr>
    <w:tblPr>
      <w:tblCellMar>
        <w:left w:w="0" w:type="dxa"/>
        <w:top w:w="0" w:type="dxa"/>
        <w:right w:w="0" w:type="dxa"/>
        <w:bottom w:w="0" w:type="dxa"/>
      </w:tblCellMar>
    </w:tblPr>
  </w:style>
  <w:style w:type="table" w:styleId="991" w:customStyle="1">
    <w:name w:val="Table Normal20"/>
    <w:uiPriority w:val="2"/>
    <w:semiHidden/>
    <w:qFormat/>
    <w:rPr>
      <w:rFonts w:ascii="Calibri" w:hAnsi="Calibri"/>
    </w:rPr>
    <w:tblPr>
      <w:tblCellMar>
        <w:left w:w="0" w:type="dxa"/>
        <w:top w:w="0" w:type="dxa"/>
        <w:right w:w="0" w:type="dxa"/>
        <w:bottom w:w="0" w:type="dxa"/>
      </w:tblCellMar>
    </w:tblPr>
  </w:style>
  <w:style w:type="table" w:styleId="992" w:customStyle="1">
    <w:name w:val="Table Normal21"/>
    <w:uiPriority w:val="2"/>
    <w:semiHidden/>
    <w:qFormat/>
    <w:rPr>
      <w:rFonts w:ascii="Calibri" w:hAnsi="Calibri"/>
    </w:rPr>
    <w:tblPr>
      <w:tblCellMar>
        <w:left w:w="0" w:type="dxa"/>
        <w:top w:w="0" w:type="dxa"/>
        <w:right w:w="0" w:type="dxa"/>
        <w:bottom w:w="0" w:type="dxa"/>
      </w:tblCellMar>
    </w:tblPr>
  </w:style>
  <w:style w:type="table" w:styleId="993" w:customStyle="1">
    <w:name w:val="Table Normal22"/>
    <w:uiPriority w:val="2"/>
    <w:semiHidden/>
    <w:qFormat/>
    <w:rPr>
      <w:rFonts w:ascii="Calibri" w:hAnsi="Calibri"/>
    </w:rPr>
    <w:tblPr>
      <w:tblCellMar>
        <w:left w:w="0" w:type="dxa"/>
        <w:top w:w="0" w:type="dxa"/>
        <w:right w:w="0" w:type="dxa"/>
        <w:bottom w:w="0" w:type="dxa"/>
      </w:tblCellMar>
    </w:tblPr>
  </w:style>
  <w:style w:type="paragraph" w:styleId="994">
    <w:name w:val="annotation text"/>
    <w:basedOn w:val="737"/>
    <w:link w:val="995"/>
    <w:qFormat/>
    <w:pPr>
      <w:jc w:val="left"/>
    </w:pPr>
  </w:style>
  <w:style w:type="character" w:styleId="995" w:customStyle="1">
    <w:name w:val="批注文字 Char"/>
    <w:basedOn w:val="743"/>
    <w:link w:val="994"/>
    <w:rPr>
      <w:sz w:val="21"/>
      <w:szCs w:val="24"/>
    </w:rPr>
  </w:style>
  <w:style w:type="character" w:styleId="996">
    <w:name w:val="annotation reference"/>
    <w:basedOn w:val="743"/>
    <w:uiPriority w:val="99"/>
    <w:rPr>
      <w:sz w:val="21"/>
      <w:szCs w:val="21"/>
    </w:rPr>
  </w:style>
  <w:style w:type="paragraph" w:styleId="997" w:customStyle="1">
    <w:name w:val="表格标题"/>
    <w:basedOn w:val="737"/>
    <w:qFormat/>
    <w:pPr>
      <w:shd w:val="clear" w:color="auto" w:fill="ffffff"/>
    </w:pPr>
    <w:rPr>
      <w:rFonts w:ascii="MingLiU" w:hAnsi="MingLiU" w:eastAsia="MingLiU" w:cs="MingLiU"/>
      <w:b/>
      <w:bCs/>
      <w:lang w:val="zh-CN" w:bidi="zh-CN"/>
    </w:rPr>
  </w:style>
  <w:style w:type="paragraph" w:styleId="998" w:customStyle="1">
    <w:name w:val="正文111"/>
    <w:next w:val="999"/>
    <w:qFormat/>
    <w:pPr>
      <w:jc w:val="both"/>
      <w:widowControl w:val="off"/>
    </w:pPr>
    <w:rPr>
      <w:sz w:val="21"/>
      <w:szCs w:val="24"/>
    </w:rPr>
  </w:style>
  <w:style w:type="paragraph" w:styleId="999" w:customStyle="1">
    <w:name w:val="目录 111"/>
    <w:basedOn w:val="737"/>
    <w:next w:val="998"/>
    <w:uiPriority w:val="39"/>
    <w:unhideWhenUsed/>
    <w:qFormat/>
    <w:pPr>
      <w:spacing w:after="100" w:line="259" w:lineRule="auto"/>
    </w:pPr>
    <w:rPr>
      <w:rFonts w:ascii="Calibri" w:hAnsi="Calibri"/>
      <w:sz w:val="22"/>
      <w:szCs w:val="22"/>
    </w:rPr>
  </w:style>
  <w:style w:type="paragraph" w:styleId="1000" w:customStyle="1">
    <w:name w:val="标书正文"/>
    <w:basedOn w:val="737"/>
    <w:qFormat/>
    <w:rPr>
      <w:lang w:val="zh-CN"/>
    </w:rPr>
  </w:style>
  <w:style w:type="paragraph" w:styleId="1001" w:customStyle="1">
    <w:name w:val="其他"/>
    <w:basedOn w:val="737"/>
    <w:qFormat/>
    <w:pPr>
      <w:spacing w:line="311" w:lineRule="exact"/>
      <w:shd w:val="clear" w:color="auto" w:fill="ffffff"/>
    </w:pPr>
    <w:rPr>
      <w:rFonts w:ascii="MingLiU" w:hAnsi="MingLiU" w:eastAsia="MingLiU" w:cs="MingLiU"/>
      <w:lang w:val="zh-CN" w:bidi="zh-CN"/>
    </w:rPr>
  </w:style>
  <w:style w:type="paragraph" w:styleId="1002" w:customStyle="1">
    <w:name w:val="正文文本1"/>
    <w:basedOn w:val="737"/>
    <w:qFormat/>
    <w:pPr>
      <w:ind w:firstLine="400"/>
      <w:spacing w:line="259" w:lineRule="auto"/>
      <w:shd w:val="clear" w:color="auto" w:fill="ffffff"/>
    </w:pPr>
    <w:rPr>
      <w:rFonts w:ascii="MingLiU" w:hAnsi="MingLiU" w:eastAsia="MingLiU" w:cs="MingLiU"/>
      <w:lang w:val="zh-CN" w:bidi="zh-CN"/>
    </w:rPr>
  </w:style>
  <w:style w:type="paragraph" w:styleId="1003" w:customStyle="1">
    <w:name w:val="标题 #3"/>
    <w:basedOn w:val="737"/>
    <w:qFormat/>
    <w:pPr>
      <w:ind w:firstLine="500"/>
      <w:spacing w:line="311" w:lineRule="exact"/>
      <w:shd w:val="clear" w:color="auto" w:fill="ffffff"/>
      <w:outlineLvl w:val="2"/>
    </w:pPr>
    <w:rPr>
      <w:rFonts w:ascii="MingLiU" w:hAnsi="MingLiU" w:eastAsia="MingLiU" w:cs="MingLiU"/>
      <w:b/>
      <w:bCs/>
      <w:lang w:val="zh-CN" w:bidi="zh-CN"/>
    </w:rPr>
  </w:style>
  <w:style w:type="paragraph" w:styleId="1004" w:customStyle="1">
    <w:name w:val="标题 #2"/>
    <w:basedOn w:val="737"/>
    <w:qFormat/>
    <w:pPr>
      <w:jc w:val="center"/>
      <w:spacing w:after="260"/>
      <w:shd w:val="clear" w:color="auto" w:fill="ffffff"/>
      <w:outlineLvl w:val="1"/>
    </w:pPr>
    <w:rPr>
      <w:rFonts w:ascii="黑体" w:hAnsi="黑体" w:eastAsia="黑体" w:cs="黑体"/>
      <w:sz w:val="32"/>
      <w:szCs w:val="32"/>
      <w:lang w:val="zh-CN" w:bidi="zh-CN"/>
    </w:rPr>
  </w:style>
  <w:style w:type="character" w:styleId="1005">
    <w:name w:val="Placeholder Text"/>
    <w:basedOn w:val="743"/>
    <w:uiPriority w:val="99"/>
    <w:unhideWhenUsed/>
    <w:rPr>
      <w:color w:val="808080"/>
    </w:rPr>
  </w:style>
  <w:style w:type="character" w:styleId="1006" w:customStyle="1">
    <w:name w:val="无间隔 Char"/>
    <w:basedOn w:val="743"/>
    <w:link w:val="811"/>
    <w:uiPriority w:val="1"/>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hyperlink" Target="http://jszfcg.jsczt.cn/" TargetMode="External"/><Relationship Id="rId12" Type="http://schemas.openxmlformats.org/officeDocument/2006/relationships/hyperlink" Target="http://www.creditchina.gov.cn/" TargetMode="External"/><Relationship Id="rId13" Type="http://schemas.openxmlformats.org/officeDocument/2006/relationships/hyperlink" Target="http://www.ccgp.gov.cn/" TargetMode="External"/><Relationship Id="rId14"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刘颖</cp:lastModifiedBy>
  <cp:revision>43</cp:revision>
  <dcterms:created xsi:type="dcterms:W3CDTF">2026-01-05T06:10:00Z</dcterms:created>
  <dcterms:modified xsi:type="dcterms:W3CDTF">2026-01-06T06:48:31Z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