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auto"/>
        <w:rPr>
          <w:rFonts w:ascii="宋体" w:hAnsi="宋体" w:eastAsia="宋体" w:cs="宋体"/>
          <w:sz w:val="24"/>
          <w:szCs w:val="24"/>
        </w:rPr>
      </w:pPr>
      <w:r>
        <w:rPr>
          <w:rFonts w:ascii="宋体" w:hAnsi="宋体" w:eastAsia="宋体" w:cs="宋体"/>
          <w:sz w:val="24"/>
          <w:szCs w:val="24"/>
        </w:rPr>
      </w:r>
      <w:r/>
    </w:p>
    <w:p>
      <w:pPr>
        <w:pStyle w:val="813"/>
        <w:rPr>
          <w:rFonts w:ascii="宋体" w:hAnsi="宋体" w:eastAsia="宋体" w:cs="宋体"/>
          <w:sz w:val="24"/>
          <w:szCs w:val="24"/>
        </w:rPr>
      </w:pPr>
      <w:r>
        <w:rPr>
          <w:rFonts w:ascii="宋体" w:hAnsi="宋体" w:eastAsia="宋体" w:cs="宋体"/>
          <w:sz w:val="24"/>
          <w:szCs w:val="24"/>
        </w:rPr>
      </w:r>
      <w:r/>
    </w:p>
    <w:p>
      <w:pPr>
        <w:pStyle w:val="813"/>
        <w:rPr>
          <w:rFonts w:ascii="宋体" w:hAnsi="宋体" w:eastAsia="宋体" w:cs="宋体"/>
          <w:sz w:val="24"/>
          <w:szCs w:val="24"/>
        </w:rPr>
      </w:pPr>
      <w:r>
        <w:rPr>
          <w:rFonts w:ascii="宋体" w:hAnsi="宋体" w:eastAsia="宋体" w:cs="宋体"/>
          <w:sz w:val="24"/>
          <w:szCs w:val="24"/>
        </w:rPr>
      </w:r>
      <w:r/>
    </w:p>
    <w:p>
      <w:pPr>
        <w:pStyle w:val="813"/>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spacing w:before="120" w:after="120" w:line="360" w:lineRule="auto"/>
        <w:rPr>
          <w:rFonts w:hint="eastAsia" w:ascii="黑体" w:hAnsi="黑体" w:eastAsia="黑体" w:cs="黑体"/>
          <w:b/>
          <w:bCs/>
          <w:sz w:val="32"/>
          <w:szCs w:val="24"/>
        </w:rPr>
      </w:pPr>
      <w:r>
        <w:rPr>
          <w:rFonts w:hint="eastAsia" w:ascii="黑体" w:hAnsi="黑体" w:eastAsia="黑体" w:cs="黑体"/>
          <w:b/>
          <w:bCs/>
          <w:sz w:val="32"/>
          <w:szCs w:val="24"/>
        </w:rPr>
        <w:t xml:space="preserve">项目名称：南通市人民检察院驻看守所检察室信息化建设</w:t>
      </w:r>
      <w:r/>
    </w:p>
    <w:p>
      <w:pPr>
        <w:spacing w:before="120" w:after="120" w:line="360" w:lineRule="auto"/>
        <w:rPr>
          <w:rFonts w:hint="default" w:ascii="Arial" w:hAnsi="Arial" w:eastAsia="宋体"/>
          <w:bCs/>
          <w:sz w:val="32"/>
          <w:szCs w:val="24"/>
          <w:lang w:val="en-US" w:eastAsia="zh-CN"/>
        </w:rPr>
      </w:pPr>
      <w:r>
        <w:rPr>
          <w:rFonts w:hint="eastAsia" w:ascii="黑体" w:hAnsi="黑体" w:eastAsia="黑体" w:cs="黑体"/>
          <w:b/>
          <w:bCs/>
          <w:sz w:val="32"/>
          <w:szCs w:val="24"/>
        </w:rPr>
        <w:t xml:space="preserve">项目编号</w:t>
      </w:r>
      <w:r>
        <w:rPr>
          <w:rFonts w:hint="eastAsia" w:ascii="Arial" w:hAnsi="Arial"/>
          <w:b/>
          <w:bCs/>
          <w:sz w:val="32"/>
          <w:szCs w:val="24"/>
        </w:rPr>
        <w:t xml:space="preserve">：</w:t>
      </w:r>
      <w:r>
        <w:rPr>
          <w:rFonts w:hint="default" w:ascii="Times New Roman" w:hAnsi="Times New Roman" w:cs="Times New Roman"/>
          <w:b/>
          <w:bCs/>
          <w:sz w:val="32"/>
          <w:szCs w:val="24"/>
        </w:rPr>
        <w:t xml:space="preserve">JSZC-320600-JZCG-G2024-0258</w:t>
      </w:r>
      <w:r/>
    </w:p>
    <w:p>
      <w:pPr>
        <w:ind w:left="3012" w:hanging="3012"/>
        <w:rPr>
          <w:rFonts w:hint="eastAsia"/>
          <w:b/>
          <w:color w:val="ff0000"/>
          <w:sz w:val="30"/>
          <w:szCs w:val="30"/>
        </w:rPr>
      </w:pPr>
      <w:r>
        <w:rPr>
          <w:rFonts w:hint="eastAsia"/>
          <w:b/>
          <w:color w:val="ff0000"/>
          <w:sz w:val="30"/>
          <w:szCs w:val="3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13"/>
        <w:ind w:firstLine="0"/>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r>
      <w:r/>
    </w:p>
    <w:p>
      <w:pPr>
        <w:pStyle w:val="813"/>
        <w:ind w:firstLine="0"/>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r>
      <w:r/>
    </w:p>
    <w:p>
      <w:pPr>
        <w:pStyle w:val="813"/>
        <w:ind w:firstLine="0"/>
        <w:rPr>
          <w:rFonts w:hint="eastAsia"/>
          <w:lang w:val="en-US" w:eastAsia="zh-CN"/>
        </w:rPr>
      </w:pPr>
      <w:r>
        <w:rPr>
          <w:rFonts w:hint="eastAsia"/>
          <w:lang w:val="en-US" w:eastAsia="zh-CN"/>
        </w:rPr>
      </w:r>
      <w:r/>
    </w:p>
    <w:p>
      <w:pPr>
        <w:pStyle w:val="813"/>
        <w:ind w:firstLine="0"/>
        <w:rPr>
          <w:rFonts w:hint="eastAsia"/>
          <w:lang w:val="en-US" w:eastAsia="zh-CN"/>
        </w:rPr>
      </w:pPr>
      <w:r>
        <w:rPr>
          <w:rFonts w:hint="eastAsia"/>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w:t>
      </w:r>
      <w:r/>
    </w:p>
    <w:p>
      <w:pPr>
        <w:jc w:val="center"/>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p>
    <w:p>
      <w:pPr>
        <w:jc w:val="center"/>
        <w:spacing w:before="120" w:after="120" w:line="360" w:lineRule="auto"/>
        <w:rPr>
          <w:rFonts w:hint="eastAsia" w:ascii="Arial" w:hAnsi="Arial"/>
          <w:color w:val="000000"/>
          <w:sz w:val="24"/>
          <w:szCs w:val="24"/>
          <w:u w:val="single"/>
        </w:rPr>
      </w:pPr>
      <w:r>
        <w:rPr>
          <w:rFonts w:hint="eastAsia" w:ascii="Arial" w:hAnsi="Arial"/>
          <w:b/>
          <w:bCs/>
          <w:color w:val="000000"/>
          <w:sz w:val="32"/>
          <w:szCs w:val="24"/>
        </w:rPr>
        <w:t xml:space="preserve">2024年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5"/>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……………………………………1</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21</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25</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40</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46</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both"/>
        <w:keepLines w:val="0"/>
        <w:keepNext w:val="0"/>
        <w:pageBreakBefore w:val="0"/>
        <w:spacing w:line="360" w:lineRule="auto"/>
        <w:widowControl w:val="off"/>
        <w:rPr>
          <w:rFonts w:hint="eastAsia"/>
          <w:color w:val="000000"/>
          <w:szCs w:val="21"/>
        </w:rPr>
      </w:pPr>
      <w:r>
        <w:rPr>
          <w:rFonts w:hint="eastAsia"/>
          <w:color w:val="000000"/>
          <w:szCs w:val="21"/>
        </w:rPr>
      </w:r>
      <w:r/>
    </w:p>
    <w:p>
      <w:pPr>
        <w:jc w:val="both"/>
        <w:keepLines w:val="0"/>
        <w:keepNext w:val="0"/>
        <w:pageBreakBefore w:val="0"/>
        <w:spacing w:line="360" w:lineRule="auto"/>
        <w:widowControl w:val="off"/>
        <w:rPr>
          <w:rFonts w:hint="eastAsia" w:ascii="黑体" w:eastAsia="黑体"/>
          <w:color w:val="000000"/>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黑体" w:eastAsia="黑体"/>
          <w:color w:val="000000"/>
          <w:sz w:val="44"/>
          <w:szCs w:val="44"/>
        </w:rPr>
      </w:r>
      <w:r/>
    </w:p>
    <w:p>
      <w:pPr>
        <w:jc w:val="center"/>
        <w:keepLines w:val="0"/>
        <w:keepNext w:val="0"/>
        <w:pageBreakBefore w:val="0"/>
        <w:spacing w:line="360" w:lineRule="auto"/>
        <w:widowControl w:val="off"/>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560"/>
        <w:keepLines w:val="0"/>
        <w:keepNext w:val="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受</w:t>
      </w:r>
      <w:r>
        <w:rPr>
          <w:rFonts w:hint="eastAsia" w:ascii="仿宋" w:hAnsi="仿宋" w:eastAsia="仿宋"/>
          <w:color w:val="000000"/>
          <w:sz w:val="28"/>
          <w:szCs w:val="28"/>
          <w:lang w:val="en-US" w:eastAsia="zh-CN"/>
        </w:rPr>
        <w:t xml:space="preserve">[南通市人民检察院]</w:t>
      </w:r>
      <w:r>
        <w:rPr>
          <w:rFonts w:hint="eastAsia" w:ascii="仿宋" w:hAnsi="仿宋" w:eastAsia="仿宋"/>
          <w:color w:val="000000"/>
          <w:sz w:val="28"/>
          <w:szCs w:val="28"/>
        </w:rPr>
        <w:t xml:space="preserve">的委托，南通市公共资源交易中心就</w:t>
      </w:r>
      <w:r>
        <w:rPr>
          <w:rFonts w:hint="eastAsia" w:ascii="仿宋" w:hAnsi="仿宋" w:eastAsia="仿宋"/>
          <w:color w:val="000000"/>
          <w:sz w:val="28"/>
          <w:szCs w:val="28"/>
          <w:lang w:val="en-US" w:eastAsia="zh-CN"/>
        </w:rPr>
        <w:t xml:space="preserve">[南通市人民检察院驻看守所检察室信息化建设]</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w:t>
      </w:r>
      <w:r>
        <w:rPr>
          <w:rFonts w:hint="default" w:ascii="Times New Roman" w:hAnsi="Times New Roman" w:eastAsia="仿宋" w:cs="Times New Roman"/>
          <w:color w:val="000000"/>
          <w:sz w:val="28"/>
          <w:szCs w:val="28"/>
          <w:lang w:val="en-US" w:eastAsia="zh-CN"/>
        </w:rPr>
        <w:t xml:space="preserve">JSZC-320600-JZCG-G2024-0258</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)进行公开招标采购，欢迎符合条件的供应商投标。</w:t>
      </w:r>
      <w:r>
        <w:tab/>
      </w:r>
      <w:r/>
    </w:p>
    <w:p>
      <w:pPr>
        <w:ind w:firstLine="560"/>
        <w:pageBreakBefore w:val="0"/>
        <w:spacing w:line="360" w:lineRule="auto"/>
        <w:rPr>
          <w:rFonts w:ascii="仿宋" w:hAnsi="仿宋" w:eastAsia="仿宋"/>
          <w:color w:val="000000"/>
          <w:sz w:val="28"/>
          <w:szCs w:val="28"/>
        </w:rPr>
        <w:pBdr>
          <w:top w:val="single" w:color="000000" w:sz="4" w:space="0"/>
          <w:left w:val="single" w:color="000000" w:sz="4" w:space="3"/>
          <w:bottom w:val="single" w:color="000000" w:sz="4" w:space="0"/>
          <w:right w:val="single" w:color="000000" w:sz="4" w:space="3"/>
        </w:pBdr>
      </w:pPr>
      <w:r>
        <w:rPr>
          <w:rFonts w:hint="eastAsia" w:ascii="仿宋" w:hAnsi="仿宋" w:eastAsia="仿宋"/>
          <w:color w:val="000000"/>
          <w:sz w:val="28"/>
          <w:szCs w:val="28"/>
        </w:rPr>
        <w:t xml:space="preserve">项目概况</w:t>
      </w:r>
      <w:r/>
    </w:p>
    <w:p>
      <w:pPr>
        <w:ind w:firstLine="560"/>
        <w:pageBreakBefore w:val="0"/>
        <w:spacing w:line="360" w:lineRule="auto"/>
        <w:rPr>
          <w:rFonts w:hint="eastAsia" w:ascii="仿宋" w:hAnsi="仿宋" w:eastAsia="仿宋"/>
          <w:color w:val="000000"/>
          <w:sz w:val="28"/>
          <w:szCs w:val="28"/>
          <w:highlight w:val="none"/>
        </w:rPr>
        <w:pBdr>
          <w:top w:val="single" w:color="000000" w:sz="4" w:space="0"/>
          <w:left w:val="single" w:color="000000" w:sz="4" w:space="3"/>
          <w:bottom w:val="single" w:color="000000" w:sz="4" w:space="0"/>
          <w:right w:val="single" w:color="000000" w:sz="4" w:space="3"/>
        </w:pBdr>
      </w:pPr>
      <w:r>
        <w:rPr>
          <w:rFonts w:hint="eastAsia" w:ascii="仿宋" w:hAnsi="仿宋" w:eastAsia="仿宋"/>
          <w:color w:val="000000"/>
          <w:sz w:val="28"/>
          <w:szCs w:val="28"/>
          <w:u w:val="single"/>
        </w:rPr>
        <w:t xml:space="preserve">南通市人民检察院驻看守所检察室信息化建设</w:t>
      </w:r>
      <w:r>
        <w:rPr>
          <w:rFonts w:hint="eastAsia" w:ascii="仿宋" w:hAnsi="仿宋" w:eastAsia="仿宋"/>
          <w:color w:val="000000"/>
          <w:sz w:val="28"/>
          <w:szCs w:val="28"/>
        </w:rPr>
        <w:t xml:space="preserve">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default" w:ascii="Times New Roman" w:hAnsi="Times New Roman" w:eastAsia="仿宋" w:cs="Times New Roman"/>
          <w:b w:val="0"/>
          <w:bCs w:val="0"/>
          <w:color w:val="000000" w:themeColor="text1"/>
          <w:sz w:val="28"/>
          <w:szCs w:val="28"/>
          <w:highlight w:val="none"/>
          <w:u w:val="single"/>
          <w14:textFill>
            <w14:solidFill>
              <w14:schemeClr w14:val="tx1"/>
            </w14:solidFill>
          </w14:textFill>
        </w:rPr>
        <w:t xml:space="preserve">202</w:t>
      </w:r>
      <w:r>
        <w:rPr>
          <w:rFonts w:hint="default" w:ascii="Times New Roman" w:hAnsi="Times New Roman" w:eastAsia="仿宋" w:cs="Times New Roman"/>
          <w:b w:val="0"/>
          <w:bCs w:val="0"/>
          <w:color w:val="000000" w:themeColor="text1"/>
          <w:sz w:val="28"/>
          <w:szCs w:val="28"/>
          <w:highlight w:val="none"/>
          <w:u w:val="single"/>
          <w:lang w:val="en-US" w:eastAsia="zh-CN"/>
          <w14:textFill>
            <w14:solidFill>
              <w14:schemeClr w14:val="tx1"/>
            </w14:solidFill>
          </w14:textFill>
        </w:rPr>
        <w:t xml:space="preserve">4</w:t>
      </w:r>
      <w:r>
        <w:rPr>
          <w:rFonts w:hint="eastAsia" w:ascii="Times New Roman" w:hAnsi="Times New Roman" w:eastAsia="Times New Roman" w:cs="Times New Roman"/>
          <w:b w:val="0"/>
          <w:bCs w:val="0"/>
          <w:color w:val="000000" w:themeColor="text1"/>
          <w:sz w:val="28"/>
          <w:szCs w:val="28"/>
          <w:highlight w:val="none"/>
          <w:u w:val="single"/>
          <w14:textFill>
            <w14:solidFill>
              <w14:schemeClr w14:val="tx1"/>
            </w14:solidFill>
          </w14:textFill>
        </w:rPr>
        <w:t xml:space="preserve">年</w:t>
      </w:r>
      <w:r>
        <w:rPr>
          <w:rFonts w:hint="eastAsia" w:eastAsia="仿宋" w:cs="Times New Roman"/>
          <w:b w:val="0"/>
          <w:bCs w:val="0"/>
          <w:color w:val="000000" w:themeColor="text1"/>
          <w:sz w:val="28"/>
          <w:szCs w:val="28"/>
          <w:highlight w:val="none"/>
          <w:u w:val="single"/>
          <w:lang w:val="en-US" w:eastAsia="zh-CN"/>
          <w14:textFill>
            <w14:solidFill>
              <w14:schemeClr w14:val="tx1"/>
            </w14:solidFill>
          </w14:textFill>
        </w:rPr>
        <w:t xml:space="preserve">12</w:t>
      </w:r>
      <w:r>
        <w:rPr>
          <w:rFonts w:hint="eastAsia" w:ascii="Times New Roman" w:hAnsi="Times New Roman" w:eastAsia="Times New Roman" w:cs="Times New Roman"/>
          <w:b w:val="0"/>
          <w:bCs w:val="0"/>
          <w:color w:val="000000" w:themeColor="text1"/>
          <w:sz w:val="28"/>
          <w:szCs w:val="28"/>
          <w:highlight w:val="none"/>
          <w:u w:val="single"/>
          <w:lang w:val="en-US" w:eastAsia="zh-CN"/>
          <w14:textFill>
            <w14:solidFill>
              <w14:schemeClr w14:val="tx1"/>
            </w14:solidFill>
          </w14:textFill>
        </w:rPr>
        <w:t xml:space="preserve">月</w:t>
      </w:r>
      <w:r>
        <w:rPr>
          <w:rFonts w:hint="eastAsia" w:eastAsia="Times New Roman" w:cs="Times New Roman"/>
          <w:b w:val="0"/>
          <w:bCs w:val="0"/>
          <w:color w:val="000000" w:themeColor="text1"/>
          <w:sz w:val="28"/>
          <w:szCs w:val="28"/>
          <w:highlight w:val="none"/>
          <w:u w:val="single"/>
          <w:lang w:val="en-US" w:eastAsia="zh-CN"/>
          <w14:textFill>
            <w14:solidFill>
              <w14:schemeClr w14:val="tx1"/>
            </w14:solidFill>
          </w14:textFill>
        </w:rPr>
        <w:t xml:space="preserve">31</w:t>
      </w:r>
      <w:r>
        <w:rPr>
          <w:rFonts w:hint="eastAsia" w:ascii="Times New Roman" w:hAnsi="Times New Roman" w:eastAsia="Times New Roman" w:cs="Times New Roman"/>
          <w:b w:val="0"/>
          <w:bCs w:val="0"/>
          <w:color w:val="000000" w:themeColor="text1"/>
          <w:sz w:val="28"/>
          <w:szCs w:val="28"/>
          <w:highlight w:val="none"/>
          <w:u w:val="single"/>
          <w:lang w:val="en-US" w:eastAsia="zh-CN"/>
          <w14:textFill>
            <w14:solidFill>
              <w14:schemeClr w14:val="tx1"/>
            </w14:solidFill>
          </w14:textFill>
        </w:rPr>
        <w:t xml:space="preserve">日</w:t>
      </w:r>
      <w:r>
        <w:rPr>
          <w:rFonts w:hint="eastAsia" w:ascii="Times New Roman" w:hAnsi="Times New Roman" w:eastAsia="仿宋" w:cs="Times New Roman"/>
          <w:b w:val="0"/>
          <w:bCs w:val="0"/>
          <w:color w:val="000000" w:themeColor="text1"/>
          <w:sz w:val="28"/>
          <w:szCs w:val="28"/>
          <w:highlight w:val="none"/>
          <w:u w:val="single"/>
          <w:lang w:val="en-US" w:eastAsia="zh-CN"/>
          <w14:textFill>
            <w14:solidFill>
              <w14:schemeClr w14:val="tx1"/>
            </w14:solidFill>
          </w14:textFill>
        </w:rPr>
        <w:t xml:space="preserve">1</w:t>
      </w:r>
      <w:r>
        <w:rPr>
          <w:rFonts w:hint="eastAsia" w:eastAsia="仿宋" w:cs="Times New Roman"/>
          <w:b w:val="0"/>
          <w:bCs w:val="0"/>
          <w:color w:val="000000" w:themeColor="text1"/>
          <w:sz w:val="28"/>
          <w:szCs w:val="28"/>
          <w:highlight w:val="none"/>
          <w:u w:val="single"/>
          <w:lang w:val="en-US" w:eastAsia="zh-CN"/>
          <w14:textFill>
            <w14:solidFill>
              <w14:schemeClr w14:val="tx1"/>
            </w14:solidFill>
          </w14:textFill>
        </w:rPr>
        <w:t xml:space="preserve">0</w:t>
      </w:r>
      <w:r>
        <w:rPr>
          <w:rFonts w:hint="eastAsia" w:ascii="Times New Roman" w:hAnsi="Times New Roman" w:eastAsia="仿宋" w:cs="Times New Roman"/>
          <w:b w:val="0"/>
          <w:bCs w:val="0"/>
          <w:color w:val="000000" w:themeColor="text1"/>
          <w:sz w:val="28"/>
          <w:szCs w:val="28"/>
          <w:highlight w:val="none"/>
          <w:u w:val="single"/>
          <w:lang w:val="en-US" w:eastAsia="zh-CN"/>
          <w14:textFill>
            <w14:solidFill>
              <w14:schemeClr w14:val="tx1"/>
            </w14:solidFill>
          </w14:textFill>
        </w:rPr>
        <w:t xml:space="preserve">:00</w:t>
      </w:r>
      <w:r>
        <w:rPr>
          <w:rFonts w:hint="eastAsia" w:ascii="Times New Roman" w:hAnsi="Times New Roman" w:eastAsia="Times New Roman" w:cs="Times New Roman"/>
          <w:b w:val="0"/>
          <w:bCs w:val="0"/>
          <w:color w:val="000000" w:themeColor="text1"/>
          <w:sz w:val="28"/>
          <w:szCs w:val="28"/>
          <w:highlight w:val="none"/>
          <w:u w:val="single"/>
          <w:lang w:val="en-US" w:eastAsia="zh-CN"/>
          <w14:textFill>
            <w14:solidFill>
              <w14:schemeClr w14:val="tx1"/>
            </w14:solidFill>
          </w14:textFill>
        </w:rPr>
        <w:t xml:space="preserve">分</w:t>
      </w:r>
      <w:r>
        <w:rPr>
          <w:rFonts w:hint="eastAsia" w:ascii="仿宋" w:hAnsi="仿宋" w:eastAsia="仿宋"/>
          <w:bCs/>
          <w:color w:val="000000"/>
          <w:sz w:val="28"/>
          <w:szCs w:val="28"/>
          <w:highlight w:val="none"/>
          <w:u w:val="single"/>
        </w:rPr>
        <w:t xml:space="preserve">（</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p>
    <w:p>
      <w:pPr>
        <w:keepLines/>
        <w:keepNext/>
        <w:pageBreakBefore w:val="0"/>
        <w:spacing w:before="120" w:after="120" w:line="360" w:lineRule="auto"/>
        <w:rPr>
          <w:rFonts w:ascii="仿宋" w:hAnsi="仿宋" w:eastAsia="仿宋"/>
          <w:b/>
          <w:bCs/>
          <w:color w:val="000000"/>
          <w:sz w:val="28"/>
          <w:szCs w:val="28"/>
        </w:rPr>
        <w:outlineLvl w:val="2"/>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仿宋" w:hAnsi="仿宋" w:eastAsia="仿宋"/>
          <w:b/>
          <w:bCs/>
          <w:color w:val="000000"/>
          <w:sz w:val="28"/>
          <w:szCs w:val="28"/>
        </w:rPr>
        <w:t xml:space="preserve">一、项目基本情况</w:t>
      </w:r>
      <w:bookmarkEnd w:id="6"/>
      <w:r/>
      <w:bookmarkEnd w:id="7"/>
      <w:r/>
      <w:bookmarkEnd w:id="8"/>
      <w:r/>
      <w:bookmarkEnd w:id="9"/>
      <w:r/>
      <w:bookmarkEnd w:id="10"/>
      <w:r/>
      <w:r/>
    </w:p>
    <w:p>
      <w:pPr>
        <w:ind w:firstLine="560"/>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1.项目编</w:t>
      </w:r>
      <w:r>
        <w:rPr>
          <w:rFonts w:hint="eastAsia" w:ascii="仿宋" w:hAnsi="仿宋" w:eastAsia="仿宋"/>
          <w:sz w:val="28"/>
          <w:szCs w:val="28"/>
        </w:rPr>
        <w:t xml:space="preserve">号：</w:t>
      </w:r>
      <w:r>
        <w:rPr>
          <w:rFonts w:hint="default" w:ascii="Times New Roman" w:hAnsi="Times New Roman" w:eastAsia="仿宋" w:cs="Times New Roman"/>
          <w:color w:val="000000"/>
          <w:sz w:val="28"/>
          <w:szCs w:val="28"/>
          <w:lang w:val="en-US" w:eastAsia="zh-CN"/>
        </w:rPr>
        <w:t xml:space="preserve">JSZC-320600-JZCG-G2024-0258</w:t>
      </w:r>
      <w:r/>
    </w:p>
    <w:p>
      <w:pPr>
        <w:ind w:firstLine="560"/>
        <w:pageBreakBefore w:val="0"/>
        <w:spacing w:line="360" w:lineRule="auto"/>
        <w:rPr>
          <w:rFonts w:ascii="仿宋" w:hAnsi="仿宋" w:eastAsia="仿宋"/>
          <w:color w:val="000000"/>
          <w:sz w:val="28"/>
          <w:szCs w:val="28"/>
        </w:rPr>
      </w:pPr>
      <w:r>
        <w:rPr>
          <w:rFonts w:hint="eastAsia" w:ascii="仿宋" w:hAnsi="仿宋" w:eastAsia="仿宋"/>
          <w:color w:val="000000"/>
          <w:sz w:val="28"/>
          <w:szCs w:val="28"/>
        </w:rPr>
        <w:t xml:space="preserve">2.项目名称：</w:t>
      </w:r>
      <w:bookmarkEnd w:id="11"/>
      <w:r>
        <w:rPr>
          <w:rFonts w:hint="eastAsia" w:ascii="仿宋" w:hAnsi="仿宋" w:eastAsia="仿宋"/>
          <w:color w:val="000000"/>
          <w:sz w:val="28"/>
          <w:szCs w:val="28"/>
        </w:rPr>
        <w:t xml:space="preserve">南通市人民检察院驻看守所检察室信息化建设</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3.预算金额：</w:t>
      </w:r>
      <w:r>
        <w:rPr>
          <w:rFonts w:hint="default" w:ascii="Times New Roman" w:hAnsi="Times New Roman" w:eastAsia="仿宋" w:cs="Times New Roman"/>
          <w:sz w:val="28"/>
          <w:szCs w:val="28"/>
          <w:lang w:val="en-US" w:eastAsia="zh-CN"/>
        </w:rPr>
        <w:t xml:space="preserve">151</w:t>
      </w:r>
      <w:r>
        <w:rPr>
          <w:rFonts w:hint="eastAsia" w:ascii="仿宋" w:hAnsi="仿宋" w:eastAsia="仿宋"/>
          <w:color w:val="000000"/>
          <w:sz w:val="28"/>
          <w:szCs w:val="28"/>
        </w:rPr>
        <w:t xml:space="preserve">万元</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4.本项目设定最高限价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最高限价为</w:t>
      </w:r>
      <w:r>
        <w:rPr>
          <w:rFonts w:hint="default" w:ascii="Times New Roman" w:hAnsi="Times New Roman" w:eastAsia="仿宋" w:cs="Times New Roman"/>
          <w:sz w:val="28"/>
          <w:szCs w:val="28"/>
          <w:lang w:val="en-US" w:eastAsia="zh-CN"/>
        </w:rPr>
        <w:t xml:space="preserve">151</w:t>
      </w:r>
      <w:r>
        <w:rPr>
          <w:rFonts w:hint="eastAsia" w:ascii="仿宋" w:hAnsi="仿宋" w:eastAsia="仿宋"/>
          <w:color w:val="000000"/>
          <w:sz w:val="28"/>
          <w:szCs w:val="28"/>
        </w:rPr>
        <w:t xml:space="preserve">万元</w:t>
      </w:r>
      <w:r/>
    </w:p>
    <w:p>
      <w:pPr>
        <w:ind w:firstLine="560"/>
        <w:pageBreakBefore w:val="0"/>
        <w:spacing w:line="360" w:lineRule="auto"/>
        <w:rPr>
          <w:rFonts w:hint="eastAsia" w:ascii="仿宋" w:hAnsi="仿宋" w:eastAsia="仿宋" w:cs="宋体"/>
          <w:color w:val="000000"/>
          <w:sz w:val="28"/>
          <w:szCs w:val="28"/>
        </w:rPr>
      </w:pPr>
      <w:r>
        <w:rPr>
          <w:rFonts w:hint="eastAsia" w:ascii="仿宋" w:hAnsi="仿宋" w:eastAsia="仿宋"/>
          <w:color w:val="000000"/>
          <w:sz w:val="28"/>
          <w:szCs w:val="28"/>
        </w:rPr>
        <w:t xml:space="preserve">5.采购需求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详细内容见本招标文件第四章</w:t>
      </w:r>
      <w:r/>
    </w:p>
    <w:p>
      <w:pPr>
        <w:ind w:firstLine="560"/>
        <w:pageBreakBefore w:val="0"/>
        <w:spacing w:line="360" w:lineRule="auto"/>
        <w:rPr>
          <w:rFonts w:hint="default" w:ascii="仿宋" w:hAnsi="仿宋" w:eastAsia="仿宋"/>
          <w:color w:val="000000"/>
          <w:sz w:val="28"/>
          <w:szCs w:val="28"/>
          <w:u w:val="single"/>
          <w:lang w:val="en-US" w:eastAsia="zh-CN"/>
        </w:rPr>
      </w:pPr>
      <w:r>
        <w:rPr>
          <w:rFonts w:hint="eastAsia" w:ascii="仿宋" w:hAnsi="仿宋" w:eastAsia="仿宋"/>
          <w:color w:val="000000"/>
          <w:sz w:val="28"/>
          <w:szCs w:val="28"/>
        </w:rPr>
        <w:t xml:space="preserve">6.合同履行期限：合同签署后</w:t>
      </w:r>
      <w:r>
        <w:rPr>
          <w:rFonts w:hint="default" w:ascii="Times New Roman" w:hAnsi="Times New Roman" w:eastAsia="仿宋" w:cs="Times New Roman"/>
          <w:color w:val="000000"/>
          <w:sz w:val="28"/>
          <w:szCs w:val="28"/>
        </w:rPr>
        <w:t xml:space="preserve">90</w:t>
      </w:r>
      <w:r>
        <w:rPr>
          <w:rFonts w:hint="eastAsia" w:ascii="仿宋" w:hAnsi="仿宋" w:eastAsia="仿宋"/>
          <w:color w:val="000000"/>
          <w:sz w:val="28"/>
          <w:szCs w:val="28"/>
        </w:rPr>
        <w:t xml:space="preserve">天内完成建设任务</w:t>
      </w:r>
      <w:r/>
    </w:p>
    <w:p>
      <w:pPr>
        <w:keepLines/>
        <w:keepNext/>
        <w:pageBreakBefore w:val="0"/>
        <w:spacing w:before="120" w:after="120" w:line="360" w:lineRule="auto"/>
        <w:rPr>
          <w:rFonts w:ascii="仿宋" w:hAnsi="仿宋" w:eastAsia="仿宋"/>
          <w:b/>
          <w:bCs/>
          <w:color w:val="000000"/>
          <w:sz w:val="28"/>
          <w:szCs w:val="28"/>
        </w:rPr>
        <w:outlineLvl w:val="2"/>
      </w:pPr>
      <w:r/>
      <w:bookmarkStart w:id="12" w:name="_Toc35393791"/>
      <w:r/>
      <w:bookmarkStart w:id="13" w:name="_Toc28359080"/>
      <w:r/>
      <w:bookmarkStart w:id="14" w:name="_Toc35393622"/>
      <w:r/>
      <w:bookmarkStart w:id="15" w:name="_Toc28359003"/>
      <w:r/>
      <w:bookmarkStart w:id="16" w:name="_Toc38985264"/>
      <w:r>
        <w:rPr>
          <w:rFonts w:hint="eastAsia" w:ascii="仿宋" w:hAnsi="仿宋" w:eastAsia="仿宋"/>
          <w:b/>
          <w:bCs/>
          <w:color w:val="000000"/>
          <w:sz w:val="28"/>
          <w:szCs w:val="28"/>
        </w:rPr>
        <w:t xml:space="preserve">二、申请人的资格要求：</w:t>
      </w:r>
      <w:bookmarkEnd w:id="12"/>
      <w:r/>
      <w:bookmarkEnd w:id="13"/>
      <w:r/>
      <w:bookmarkEnd w:id="14"/>
      <w:r/>
      <w:bookmarkEnd w:id="15"/>
      <w:r/>
      <w:bookmarkEnd w:id="16"/>
      <w:r/>
      <w:r/>
    </w:p>
    <w:p>
      <w:pPr>
        <w:ind w:firstLine="560"/>
        <w:pageBreakBefore w:val="0"/>
        <w:spacing w:line="360" w:lineRule="auto"/>
        <w:rPr>
          <w:rFonts w:hint="eastAsia" w:ascii="仿宋" w:hAnsi="仿宋" w:eastAsia="仿宋"/>
          <w:color w:val="000000"/>
          <w:sz w:val="28"/>
          <w:szCs w:val="28"/>
        </w:rPr>
      </w:pPr>
      <w:r/>
      <w:bookmarkStart w:id="17" w:name="_Toc35393623"/>
      <w:r/>
      <w:bookmarkStart w:id="18" w:name="_Toc28359081"/>
      <w:r/>
      <w:bookmarkStart w:id="19" w:name="_Toc38985265"/>
      <w:r/>
      <w:bookmarkStart w:id="20" w:name="_Toc35393792"/>
      <w:r/>
      <w:bookmarkStart w:id="21" w:name="_Toc28359004"/>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p>
    <w:p>
      <w:pPr>
        <w:ind w:firstLine="560"/>
        <w:pageBreakBefore w:val="0"/>
        <w:spacing w:line="360" w:lineRule="auto"/>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.本项目不接受联合体投标。</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.本项目不接受分包。</w:t>
      </w:r>
      <w:r/>
    </w:p>
    <w:p>
      <w:pPr>
        <w:ind w:firstLine="560"/>
        <w:pageBreakBefore w:val="0"/>
        <w:spacing w:line="360" w:lineRule="auto"/>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（二）落</w:t>
      </w:r>
      <w:r>
        <w:rPr>
          <w:rFonts w:hint="eastAsia" w:ascii="仿宋" w:hAnsi="仿宋" w:eastAsia="仿宋"/>
          <w:color w:val="000000"/>
          <w:sz w:val="28"/>
          <w:szCs w:val="28"/>
        </w:rPr>
        <w:t xml:space="preserve">实政府采购政策需满足的资格要求</w:t>
      </w:r>
      <w:r/>
    </w:p>
    <w:p>
      <w:pPr>
        <w:numPr>
          <w:ilvl w:val="0"/>
          <w:numId w:val="0"/>
        </w:numPr>
        <w:ind w:firstLine="560"/>
        <w:keepLines w:val="0"/>
        <w:keepNext w:val="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numPr>
          <w:ilvl w:val="0"/>
          <w:numId w:val="6"/>
        </w:num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本项目的特定资格要求</w:t>
      </w:r>
      <w:r/>
    </w:p>
    <w:p>
      <w:pPr>
        <w:numPr>
          <w:ilvl w:val="0"/>
          <w:numId w:val="0"/>
        </w:numPr>
        <w:ind w:firstLine="560"/>
        <w:keepLines w:val="0"/>
        <w:keepNext w:val="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无</w:t>
      </w:r>
      <w:r/>
    </w:p>
    <w:p>
      <w:pPr>
        <w:keepLines/>
        <w:keepNext/>
        <w:pageBreakBefore w:val="0"/>
        <w:spacing w:before="120" w:after="120" w:line="360" w:lineRule="auto"/>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17"/>
      <w:r/>
      <w:bookmarkEnd w:id="18"/>
      <w:r/>
      <w:bookmarkEnd w:id="19"/>
      <w:r/>
      <w:bookmarkEnd w:id="20"/>
      <w:r/>
      <w:bookmarkEnd w:id="21"/>
      <w:r/>
      <w:r/>
    </w:p>
    <w:p>
      <w:pPr>
        <w:ind w:firstLine="540"/>
        <w:pageBreakBefore w:val="0"/>
        <w:spacing w:line="360" w:lineRule="auto"/>
        <w:rPr>
          <w:rFonts w:ascii="仿宋" w:hAnsi="仿宋" w:eastAsia="仿宋" w:cs="宋体"/>
          <w:color w:val="000000"/>
          <w:sz w:val="28"/>
          <w:szCs w:val="28"/>
        </w:rPr>
      </w:pPr>
      <w:r/>
      <w:bookmarkStart w:id="22" w:name="_Toc28359082"/>
      <w:r/>
      <w:bookmarkStart w:id="23" w:name="_Toc28359005"/>
      <w:r/>
      <w:bookmarkStart w:id="24" w:name="_Toc35393793"/>
      <w:r/>
      <w:bookmarkStart w:id="25" w:name="_Toc38985266"/>
      <w:r/>
      <w:bookmarkStart w:id="26" w:name="_Toc35393624"/>
      <w:r>
        <w:rPr>
          <w:rFonts w:hint="eastAsia" w:ascii="仿宋" w:hAnsi="仿宋" w:eastAsia="仿宋" w:cs="宋体"/>
          <w:color w:val="000000"/>
          <w:sz w:val="28"/>
          <w:szCs w:val="28"/>
        </w:rPr>
        <w:t xml:space="preserve">1.时间：自招标文件公告发布之日起</w:t>
      </w:r>
      <w:r>
        <w:rPr>
          <w:rFonts w:hint="eastAsia" w:ascii="Times New Roman" w:hAnsi="Times New Roman" w:eastAsia="仿宋" w:cs="Times New Roman"/>
          <w:sz w:val="28"/>
          <w:szCs w:val="28"/>
          <w:lang w:val="en-US" w:eastAsia="zh-CN"/>
        </w:rPr>
        <w:t xml:space="preserve">5</w:t>
      </w:r>
      <w:r>
        <w:rPr>
          <w:rFonts w:hint="eastAsia" w:ascii="仿宋" w:hAnsi="仿宋" w:eastAsia="仿宋" w:cs="宋体"/>
          <w:color w:val="000000"/>
          <w:sz w:val="28"/>
          <w:szCs w:val="28"/>
        </w:rPr>
        <w:t xml:space="preserve">个工作日。</w:t>
      </w:r>
      <w:r/>
    </w:p>
    <w:p>
      <w:pPr>
        <w:ind w:firstLine="540"/>
        <w:pageBreakBefore w:val="0"/>
        <w:spacing w:line="360" w:lineRule="auto"/>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2.方式：凡有意参与投标的供应商须登录江苏省政府采购网首页点击“苏采云”→通过</w:t>
      </w:r>
      <w:r>
        <w:rPr>
          <w:rFonts w:hint="default" w:ascii="Times New Roman" w:hAnsi="Times New Roman" w:eastAsia="仿宋" w:cs="Times New Roman"/>
          <w:color w:val="000000"/>
          <w:sz w:val="28"/>
          <w:szCs w:val="28"/>
        </w:rPr>
        <w:t xml:space="preserve">CA</w:t>
      </w:r>
      <w:r>
        <w:rPr>
          <w:rFonts w:hint="eastAsia" w:ascii="仿宋" w:hAnsi="仿宋" w:eastAsia="仿宋" w:cs="宋体"/>
          <w:color w:val="000000"/>
          <w:sz w:val="28"/>
          <w:szCs w:val="28"/>
        </w:rPr>
        <w:t xml:space="preserve">锁进行响应确认，并自行在招标文件有效获取期内及时下载获取。</w:t>
      </w:r>
      <w:r/>
    </w:p>
    <w:p>
      <w:pPr>
        <w:keepLines/>
        <w:keepNext/>
        <w:pageBreakBefore w:val="0"/>
        <w:spacing w:before="120" w:after="120" w:line="360" w:lineRule="auto"/>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22"/>
      <w:r/>
      <w:bookmarkEnd w:id="23"/>
      <w:r>
        <w:rPr>
          <w:rFonts w:hint="eastAsia" w:ascii="仿宋" w:hAnsi="仿宋" w:eastAsia="仿宋"/>
          <w:b/>
          <w:bCs/>
          <w:color w:val="000000"/>
          <w:sz w:val="28"/>
          <w:szCs w:val="28"/>
        </w:rPr>
        <w:t xml:space="preserve">截止时间、开标时间和地点</w:t>
      </w:r>
      <w:bookmarkEnd w:id="24"/>
      <w:r/>
      <w:bookmarkEnd w:id="25"/>
      <w:r/>
      <w:bookmarkEnd w:id="26"/>
      <w:r/>
      <w:r/>
    </w:p>
    <w:p>
      <w:pPr>
        <w:ind w:firstLine="560"/>
        <w:pageBreakBefore w:val="0"/>
        <w:spacing w:line="360" w:lineRule="auto"/>
        <w:rPr>
          <w:rFonts w:hint="eastAsia" w:ascii="仿宋" w:hAnsi="仿宋" w:eastAsia="仿宋" w:cs="宋体"/>
          <w:i/>
          <w:color w:val="000000"/>
          <w:sz w:val="28"/>
          <w:szCs w:val="28"/>
          <w:highlight w:val="yellow"/>
        </w:rPr>
      </w:pPr>
      <w:r>
        <w:rPr>
          <w:rFonts w:hint="eastAsia" w:ascii="Times New Roman" w:hAnsi="Times New Roman" w:eastAsia="仿宋" w:cs="Times New Roman"/>
          <w:bCs/>
          <w:color w:val="000000"/>
          <w:sz w:val="28"/>
          <w:szCs w:val="28"/>
          <w:highlight w:val="none"/>
          <w:u w:val="none"/>
        </w:rPr>
        <w:t xml:space="preserve">1. </w:t>
      </w:r>
      <w:r>
        <w:rPr>
          <w:rFonts w:hint="eastAsia" w:ascii="Times New Roman" w:hAnsi="Times New Roman" w:eastAsia="仿宋" w:cs="Times New Roman"/>
          <w:bCs/>
          <w:color w:val="000000"/>
          <w:sz w:val="28"/>
          <w:szCs w:val="28"/>
          <w:highlight w:val="none"/>
          <w:u w:val="single"/>
        </w:rPr>
        <w:t xml:space="preserve">2024</w:t>
      </w:r>
      <w:r>
        <w:rPr>
          <w:rFonts w:hint="eastAsia" w:ascii="Times New Roman" w:hAnsi="Times New Roman" w:eastAsia="Times New Roman" w:cs="Times New Roman"/>
          <w:color w:val="000000"/>
          <w:sz w:val="28"/>
          <w:szCs w:val="28"/>
          <w:highlight w:val="none"/>
          <w:u w:val="single"/>
        </w:rPr>
        <w:t xml:space="preserve">年1</w:t>
      </w:r>
      <w:r>
        <w:rPr>
          <w:rFonts w:hint="eastAsia" w:cs="Times New Roman"/>
          <w:color w:val="000000"/>
          <w:sz w:val="28"/>
          <w:szCs w:val="28"/>
          <w:highlight w:val="none"/>
          <w:u w:val="single"/>
          <w:lang w:val="en-US" w:eastAsia="zh-CN"/>
        </w:rPr>
        <w:t xml:space="preserve">2</w:t>
      </w:r>
      <w:r>
        <w:rPr>
          <w:rFonts w:hint="eastAsia" w:ascii="Times New Roman" w:hAnsi="Times New Roman" w:eastAsia="Times New Roman" w:cs="Times New Roman"/>
          <w:color w:val="000000"/>
          <w:sz w:val="28"/>
          <w:szCs w:val="28"/>
          <w:highlight w:val="none"/>
          <w:u w:val="single"/>
          <w:lang w:val="en-US" w:eastAsia="zh-CN"/>
        </w:rPr>
        <w:t xml:space="preserve">月31</w:t>
      </w:r>
      <w:r>
        <w:rPr>
          <w:rFonts w:hint="eastAsia" w:ascii="Times New Roman" w:hAnsi="Times New Roman" w:eastAsia="Times New Roman" w:cs="Times New Roman"/>
          <w:color w:val="000000"/>
          <w:sz w:val="28"/>
          <w:szCs w:val="28"/>
          <w:highlight w:val="none"/>
          <w:u w:val="single"/>
          <w:lang w:val="en-US" w:eastAsia="zh-CN"/>
        </w:rPr>
        <w:t xml:space="preserve">日</w:t>
      </w:r>
      <w:r>
        <w:rPr>
          <w:rFonts w:hint="eastAsia" w:eastAsia="Times New Roman" w:cs="Times New Roman"/>
          <w:color w:val="000000"/>
          <w:sz w:val="28"/>
          <w:szCs w:val="28"/>
          <w:highlight w:val="none"/>
          <w:u w:val="single"/>
          <w:lang w:val="en-US" w:eastAsia="zh-CN"/>
        </w:rPr>
        <w:t xml:space="preserve">10</w:t>
      </w:r>
      <w:r>
        <w:rPr>
          <w:rFonts w:hint="eastAsia" w:ascii="Times New Roman" w:hAnsi="Times New Roman" w:eastAsia="Times New Roman" w:cs="Times New Roman"/>
          <w:color w:val="000000"/>
          <w:sz w:val="28"/>
          <w:szCs w:val="28"/>
          <w:highlight w:val="none"/>
          <w:u w:val="single"/>
          <w:lang w:val="en-US" w:eastAsia="zh-CN"/>
        </w:rPr>
        <w:t xml:space="preserve">点00分</w:t>
      </w:r>
      <w:r>
        <w:rPr>
          <w:rFonts w:hint="eastAsia" w:ascii="Times New Roman" w:hAnsi="Times New Roman" w:eastAsia="仿宋" w:cs="Times New Roman"/>
          <w:color w:val="000000"/>
          <w:sz w:val="28"/>
          <w:szCs w:val="28"/>
          <w:highlight w:val="none"/>
          <w:u w:val="single"/>
          <w:lang w:val="en-US" w:eastAsia="zh-CN"/>
        </w:rPr>
        <w:t xml:space="preserve"> </w:t>
      </w:r>
      <w:r>
        <w:rPr>
          <w:rFonts w:hint="eastAsia" w:ascii="仿宋" w:hAnsi="仿宋" w:eastAsia="仿宋"/>
          <w:bCs/>
          <w:color w:val="000000"/>
          <w:sz w:val="28"/>
          <w:szCs w:val="28"/>
          <w:highlight w:val="none"/>
        </w:rPr>
        <w:t xml:space="preserve">（北京时间）</w:t>
      </w:r>
      <w:r/>
    </w:p>
    <w:p>
      <w:pPr>
        <w:ind w:firstLine="560"/>
        <w:pageBreakBefore w:val="0"/>
        <w:spacing w:line="360" w:lineRule="auto"/>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keepLines/>
        <w:keepNext/>
        <w:pageBreakBefore w:val="0"/>
        <w:spacing w:before="120" w:after="120" w:line="360" w:lineRule="auto"/>
        <w:rPr>
          <w:rFonts w:ascii="仿宋" w:hAnsi="仿宋" w:eastAsia="仿宋"/>
          <w:b/>
          <w:bCs/>
          <w:color w:val="000000"/>
          <w:sz w:val="28"/>
          <w:szCs w:val="28"/>
        </w:rPr>
        <w:outlineLvl w:val="2"/>
      </w:pPr>
      <w:r/>
      <w:bookmarkStart w:id="27" w:name="_Toc38985267"/>
      <w:r/>
      <w:bookmarkStart w:id="28" w:name="_Toc35393794"/>
      <w:r/>
      <w:bookmarkStart w:id="29" w:name="_Toc35393625"/>
      <w:r/>
      <w:bookmarkStart w:id="30" w:name="_Toc28359007"/>
      <w:r/>
      <w:bookmarkStart w:id="31" w:name="_Toc28359084"/>
      <w:r>
        <w:rPr>
          <w:rFonts w:hint="eastAsia" w:ascii="仿宋" w:hAnsi="仿宋" w:eastAsia="仿宋"/>
          <w:b/>
          <w:bCs/>
          <w:color w:val="000000"/>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360" w:lineRule="auto"/>
        <w:widowControl w:val="off"/>
        <w:rPr>
          <w:rFonts w:ascii="仿宋" w:hAnsi="仿宋" w:eastAsia="仿宋" w:cs="宋体"/>
          <w:color w:val="000000"/>
          <w:sz w:val="28"/>
          <w:szCs w:val="28"/>
        </w:rPr>
      </w:pPr>
      <w:r/>
      <w:bookmarkStart w:id="32" w:name="_Toc35393626"/>
      <w:r/>
      <w:bookmarkStart w:id="33" w:name="_Toc38985268"/>
      <w:r/>
      <w:bookmarkStart w:id="34" w:name="_Toc35393795"/>
      <w:r>
        <w:rPr>
          <w:rFonts w:hint="eastAsia" w:ascii="仿宋" w:hAnsi="仿宋" w:eastAsia="仿宋" w:cs="宋体"/>
          <w:sz w:val="28"/>
          <w:szCs w:val="28"/>
        </w:rPr>
        <w:t xml:space="preserve">招标公告及招标文件公告期限为自本公告发布之日起5个工作日。</w:t>
      </w:r>
      <w:r/>
    </w:p>
    <w:p>
      <w:pPr>
        <w:keepLines/>
        <w:keepNext/>
        <w:pageBreakBefore w:val="0"/>
        <w:spacing w:before="120" w:after="120" w:line="360" w:lineRule="auto"/>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32"/>
      <w:r/>
      <w:bookmarkEnd w:id="33"/>
      <w:r/>
      <w:bookmarkEnd w:id="34"/>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投标保证金：免收</w:t>
      </w:r>
      <w:r/>
    </w:p>
    <w:p>
      <w:pPr>
        <w:ind w:right="119" w:firstLine="560"/>
        <w:pageBreakBefore w:val="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2.</w:t>
      </w:r>
      <w:r>
        <w:rPr>
          <w:rFonts w:ascii="仿宋" w:hAnsi="仿宋" w:eastAsia="仿宋" w:cs="宋体"/>
          <w:color w:val="000000"/>
          <w:sz w:val="28"/>
          <w:szCs w:val="28"/>
        </w:rPr>
        <w:t xml:space="preserve">项目演示、样品、答辩等：</w:t>
      </w:r>
      <w:r>
        <w:rPr>
          <w:rFonts w:hint="eastAsia" w:ascii="仿宋" w:hAnsi="仿宋" w:eastAsia="仿宋" w:cs="宋体"/>
          <w:color w:val="000000"/>
          <w:sz w:val="28"/>
          <w:szCs w:val="28"/>
        </w:rPr>
        <w:t xml:space="preserve">无</w:t>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4.有关本次招标的事项若存在变动或修改，均以江苏政府采购网发布的更正或补充通知为准，敬请及时关注。</w:t>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pageBreakBefore w:val="0"/>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6.“苏采云”系统使用相关提醒</w:t>
      </w:r>
      <w:r/>
    </w:p>
    <w:p>
      <w:pPr>
        <w:ind w:right="119" w:firstLine="560"/>
        <w:pageBreakBefore w:val="0"/>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firstLine="560"/>
        <w:pageBreakBefore w:val="0"/>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http://www.ccgp-jiangsu.gov.cn/jiangsu/zlxz/ee/ee3a4bc5a3454aa2b0d9312230633ce9.html。</w:t>
      </w:r>
      <w:r/>
    </w:p>
    <w:p>
      <w:pPr>
        <w:ind w:right="119" w:firstLine="560"/>
        <w:pageBreakBefore w:val="0"/>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6.2领取CA和办理电子签章请至南通市政务服务中心裙楼四楼（南通市公共资源交中心）CA办理窗口办理，详见《江苏省政府采购数字证书(供应商)</w:t>
      </w:r>
      <w:r>
        <w:rPr>
          <w:rFonts w:hint="eastAsia" w:ascii="宋体" w:hAnsi="宋体" w:cs="宋体"/>
          <w:bCs/>
          <w:color w:val="000000"/>
          <w:sz w:val="28"/>
          <w:szCs w:val="28"/>
        </w:rPr>
        <w:t xml:space="preserve"> </w:t>
      </w:r>
      <w:r>
        <w:rPr>
          <w:rFonts w:hint="eastAsia" w:ascii="仿宋" w:hAnsi="仿宋" w:eastAsia="仿宋" w:cs="仿宋"/>
          <w:bCs/>
          <w:color w:val="000000"/>
          <w:sz w:val="28"/>
          <w:szCs w:val="28"/>
        </w:rPr>
        <w:t xml:space="preserve">CA</w:t>
      </w:r>
      <w:r>
        <w:rPr>
          <w:rFonts w:hint="eastAsia" w:ascii="仿宋" w:hAnsi="仿宋" w:eastAsia="仿宋" w:cs="宋体"/>
          <w:bCs/>
          <w:color w:val="000000"/>
          <w:sz w:val="28"/>
          <w:szCs w:val="28"/>
        </w:rPr>
        <w:t xml:space="preserve">及电子签章办理指南》），请及时进行注册并按要求制作、上传电子投标文件。</w:t>
      </w:r>
      <w:r/>
    </w:p>
    <w:p>
      <w:pPr>
        <w:ind w:right="119" w:firstLine="560"/>
        <w:pageBreakBefore w:val="0"/>
        <w:spacing w:line="360" w:lineRule="auto"/>
        <w:rPr>
          <w:rFonts w:hint="eastAsia" w:ascii="仿宋" w:hAnsi="仿宋" w:eastAsia="仿宋" w:cs="宋体"/>
          <w:b/>
          <w:sz w:val="28"/>
          <w:szCs w:val="28"/>
        </w:rPr>
      </w:pPr>
      <w:r>
        <w:rPr>
          <w:rFonts w:hint="eastAsia" w:ascii="仿宋" w:hAnsi="仿宋" w:eastAsia="仿宋" w:cs="宋体"/>
          <w:bCs/>
          <w:color w:val="000000"/>
          <w:sz w:val="28"/>
          <w:szCs w:val="28"/>
        </w:rPr>
        <w:t xml:space="preserve">6.3开标当天投标供应商应及时登录“苏采云”不见面开标大厅，并在规定时</w:t>
      </w:r>
      <w:r>
        <w:rPr>
          <w:rFonts w:hint="eastAsia" w:ascii="仿宋" w:hAnsi="仿宋" w:eastAsia="仿宋" w:cs="宋体"/>
          <w:bCs/>
          <w:color w:val="00000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360" w:lineRule="auto"/>
        <w:rPr>
          <w:rFonts w:ascii="仿宋" w:hAnsi="仿宋" w:eastAsia="仿宋"/>
          <w:b/>
          <w:bCs/>
          <w:color w:val="000000"/>
          <w:sz w:val="28"/>
          <w:szCs w:val="28"/>
        </w:rPr>
        <w:outlineLvl w:val="2"/>
      </w:pPr>
      <w:r/>
      <w:bookmarkStart w:id="35" w:name="_Toc28359085"/>
      <w:r/>
      <w:bookmarkStart w:id="36" w:name="_Toc35393627"/>
      <w:r/>
      <w:bookmarkStart w:id="37" w:name="_Toc28359008"/>
      <w:r/>
      <w:bookmarkStart w:id="38" w:name="_Toc38985269"/>
      <w:r/>
      <w:bookmarkStart w:id="39" w:name="_Toc35393796"/>
      <w:r>
        <w:rPr>
          <w:rFonts w:hint="eastAsia" w:ascii="仿宋" w:hAnsi="仿宋" w:eastAsia="仿宋"/>
          <w:b/>
          <w:bCs/>
          <w:color w:val="000000"/>
          <w:sz w:val="28"/>
          <w:szCs w:val="28"/>
        </w:rPr>
        <w:t xml:space="preserve">七、本次招标联系方式</w:t>
      </w:r>
      <w:bookmarkEnd w:id="35"/>
      <w:r/>
      <w:bookmarkEnd w:id="36"/>
      <w:r/>
      <w:bookmarkEnd w:id="37"/>
      <w:r/>
      <w:bookmarkEnd w:id="38"/>
      <w:r/>
      <w:bookmarkEnd w:id="39"/>
      <w:r/>
      <w:r/>
    </w:p>
    <w:p>
      <w:pPr>
        <w:jc w:val="left"/>
        <w:pageBreakBefore w:val="0"/>
        <w:spacing w:line="360" w:lineRule="auto"/>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p>
    <w:p>
      <w:pPr>
        <w:ind w:firstLine="280"/>
        <w:jc w:val="left"/>
        <w:pageBreakBefore w:val="0"/>
        <w:spacing w:line="360" w:lineRule="auto"/>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名 称：江苏省南通市人民检察院　</w:t>
      </w:r>
      <w:r/>
    </w:p>
    <w:p>
      <w:pPr>
        <w:ind w:firstLine="280"/>
        <w:jc w:val="left"/>
        <w:pageBreakBefore w:val="0"/>
        <w:spacing w:line="360" w:lineRule="auto"/>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地</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址：</w:t>
      </w:r>
      <w:r>
        <w:rPr>
          <w:rFonts w:hint="eastAsia" w:ascii="仿宋" w:hAnsi="仿宋" w:eastAsia="仿宋"/>
          <w:color w:val="000000"/>
          <w:sz w:val="28"/>
          <w:szCs w:val="28"/>
          <w:lang w:val="en-US" w:eastAsia="zh-CN"/>
        </w:rPr>
        <w:t xml:space="preserve">江苏省</w:t>
      </w:r>
      <w:r>
        <w:rPr>
          <w:rFonts w:hint="eastAsia" w:ascii="仿宋" w:hAnsi="仿宋" w:eastAsia="仿宋"/>
          <w:color w:val="000000"/>
          <w:sz w:val="28"/>
          <w:szCs w:val="28"/>
        </w:rPr>
        <w:t xml:space="preserve">南通市濠南路251号　</w:t>
      </w:r>
      <w:r/>
    </w:p>
    <w:p>
      <w:pPr>
        <w:ind w:firstLine="280"/>
        <w:jc w:val="left"/>
        <w:pageBreakBefore w:val="0"/>
        <w:spacing w:line="360" w:lineRule="auto"/>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王子飞 </w:t>
      </w:r>
      <w:r>
        <w:rPr>
          <w:rFonts w:hint="eastAsia" w:ascii="仿宋" w:hAnsi="仿宋" w:eastAsia="仿宋"/>
          <w:color w:val="000000"/>
          <w:sz w:val="28"/>
          <w:szCs w:val="28"/>
          <w:lang w:val="en-US" w:eastAsia="zh-CN"/>
        </w:rPr>
        <w:tab/>
      </w:r>
      <w:r/>
    </w:p>
    <w:p>
      <w:pPr>
        <w:ind w:firstLine="280"/>
        <w:jc w:val="left"/>
        <w:pageBreakBefore w:val="0"/>
        <w:spacing w:line="360" w:lineRule="auto"/>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联系方式：</w:t>
      </w:r>
      <w:bookmarkStart w:id="40" w:name="_Toc28359086"/>
      <w:r/>
      <w:bookmarkStart w:id="41" w:name="_Toc28359009"/>
      <w:r>
        <w:rPr>
          <w:rFonts w:hint="eastAsia" w:ascii="Times New Roman" w:hAnsi="Times New Roman" w:eastAsia="仿宋" w:cs="Times New Roman"/>
          <w:sz w:val="28"/>
          <w:szCs w:val="28"/>
          <w:lang w:val="en-US" w:eastAsia="zh-CN"/>
        </w:rPr>
        <w:t xml:space="preserve">13921670203　</w:t>
      </w:r>
      <w:r/>
    </w:p>
    <w:p>
      <w:pPr>
        <w:ind w:firstLine="0"/>
        <w:jc w:val="left"/>
        <w:pageBreakBefore w:val="0"/>
        <w:spacing w:line="360" w:lineRule="auto"/>
        <w:rPr>
          <w:rFonts w:ascii="仿宋" w:hAnsi="仿宋" w:eastAsia="仿宋"/>
          <w:color w:val="000000"/>
          <w:sz w:val="28"/>
          <w:szCs w:val="28"/>
        </w:rPr>
      </w:pPr>
      <w:r>
        <w:rPr>
          <w:rFonts w:hint="eastAsia" w:ascii="仿宋" w:hAnsi="仿宋" w:eastAsia="仿宋" w:cs="宋体"/>
          <w:color w:val="000000"/>
          <w:sz w:val="28"/>
          <w:szCs w:val="28"/>
        </w:rPr>
        <w:t xml:space="preserve">2.南通市公共资源交易中心信息</w:t>
      </w:r>
      <w:bookmarkEnd w:id="40"/>
      <w:r/>
      <w:bookmarkEnd w:id="41"/>
      <w:r/>
      <w:r/>
    </w:p>
    <w:p>
      <w:pPr>
        <w:ind w:firstLine="280"/>
        <w:pageBreakBefore w:val="0"/>
        <w:spacing w:line="360" w:lineRule="auto"/>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w:t>
      </w:r>
      <w:r>
        <w:rPr>
          <w:rFonts w:hint="eastAsia" w:ascii="Times New Roman" w:hAnsi="Times New Roman" w:eastAsia="仿宋" w:cs="Times New Roman"/>
          <w:sz w:val="28"/>
          <w:szCs w:val="28"/>
          <w:lang w:val="en-US" w:eastAsia="zh-CN"/>
        </w:rPr>
        <w:t xml:space="preserve">150</w:t>
      </w:r>
      <w:r>
        <w:rPr>
          <w:rFonts w:ascii="仿宋" w:hAnsi="仿宋" w:eastAsia="仿宋"/>
          <w:sz w:val="28"/>
          <w:szCs w:val="28"/>
        </w:rPr>
        <w:t xml:space="preserve">号</w:t>
      </w:r>
      <w:r/>
    </w:p>
    <w:p>
      <w:pPr>
        <w:ind w:firstLine="280"/>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陈君妍</w:t>
      </w:r>
      <w:r/>
    </w:p>
    <w:p>
      <w:pPr>
        <w:ind w:firstLine="280"/>
        <w:pageBreakBefore w:val="0"/>
        <w:spacing w:line="360" w:lineRule="auto"/>
        <w:rPr>
          <w:rFonts w:hint="eastAsia"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42" w:name="_Toc28359087"/>
      <w:r/>
      <w:bookmarkStart w:id="43" w:name="_Toc28359010"/>
      <w:r>
        <w:rPr>
          <w:rFonts w:hint="eastAsia" w:ascii="Times New Roman" w:hAnsi="Times New Roman" w:eastAsia="仿宋" w:cs="Times New Roman"/>
          <w:sz w:val="28"/>
          <w:szCs w:val="28"/>
          <w:lang w:val="en-US" w:eastAsia="zh-CN"/>
        </w:rPr>
        <w:t xml:space="preserve">0513-59001955</w:t>
      </w:r>
      <w:r/>
    </w:p>
    <w:p>
      <w:pPr>
        <w:ind w:firstLine="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3.软件技术支持：</w:t>
      </w:r>
      <w:r>
        <w:rPr>
          <w:rFonts w:hint="eastAsia" w:ascii="Times New Roman" w:hAnsi="Times New Roman" w:eastAsia="仿宋" w:cs="Times New Roman"/>
          <w:sz w:val="28"/>
          <w:szCs w:val="28"/>
          <w:lang w:val="en-US" w:eastAsia="zh-CN"/>
        </w:rPr>
        <w:t xml:space="preserve">0519-86722801</w:t>
      </w:r>
      <w:r/>
    </w:p>
    <w:p>
      <w:pPr>
        <w:ind w:firstLine="280"/>
        <w:pageBreakBefore w:val="0"/>
        <w:spacing w:line="360" w:lineRule="auto"/>
        <w:rPr>
          <w:rFonts w:hint="eastAsia" w:ascii="仿宋" w:hAnsi="仿宋" w:eastAsia="仿宋"/>
          <w:color w:val="000000"/>
          <w:sz w:val="28"/>
          <w:szCs w:val="28"/>
        </w:rPr>
      </w:pPr>
      <w:r>
        <w:rPr>
          <w:rFonts w:hint="eastAsia" w:ascii="仿宋" w:hAnsi="仿宋" w:eastAsia="仿宋"/>
          <w:sz w:val="28"/>
          <w:szCs w:val="28"/>
        </w:rPr>
        <w:t xml:space="preserve">那家铭</w:t>
      </w:r>
      <w:r>
        <w:rPr>
          <w:rFonts w:hint="eastAsia" w:ascii="仿宋" w:hAnsi="仿宋" w:eastAsia="仿宋"/>
          <w:sz w:val="28"/>
          <w:szCs w:val="28"/>
          <w:lang w:eastAsia="zh-CN"/>
        </w:rPr>
        <w:t xml:space="preserve">：</w:t>
      </w:r>
      <w:r>
        <w:rPr>
          <w:rFonts w:hint="eastAsia" w:ascii="Times New Roman" w:hAnsi="Times New Roman" w:eastAsia="仿宋" w:cs="Times New Roman"/>
          <w:sz w:val="28"/>
          <w:szCs w:val="28"/>
          <w:lang w:val="en-US" w:eastAsia="zh-CN"/>
        </w:rPr>
        <w:t xml:space="preserve">0513-59001950</w:t>
      </w:r>
      <w:bookmarkEnd w:id="42"/>
      <w:r/>
      <w:bookmarkEnd w:id="43"/>
      <w:r/>
      <w:r/>
    </w:p>
    <w:p>
      <w:pPr>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4" w:name="_Toc120614211"/>
      <w:r>
        <w:rPr>
          <w:rFonts w:hint="eastAsia" w:ascii="宋体" w:hAnsi="宋体"/>
          <w:color w:val="000000"/>
          <w:sz w:val="24"/>
          <w:szCs w:val="24"/>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
    </w:p>
    <w:p>
      <w:pPr>
        <w:keepLines/>
        <w:keepNext/>
        <w:pageBreakBefore w:val="0"/>
        <w:spacing w:line="360" w:lineRule="auto"/>
        <w:widowControl w:val="off"/>
        <w:rPr>
          <w:rFonts w:ascii="仿宋" w:hAnsi="仿宋" w:eastAsia="仿宋"/>
          <w:b/>
          <w:bCs/>
          <w:sz w:val="28"/>
          <w:szCs w:val="28"/>
        </w:rPr>
        <w:outlineLvl w:val="2"/>
      </w:pPr>
      <w:r/>
      <w:bookmarkStart w:id="49" w:name="_Toc120614214"/>
      <w:r/>
      <w:bookmarkStart w:id="50" w:name="_Toc16938519"/>
      <w:r/>
      <w:bookmarkStart w:id="51" w:name="_Toc20823275"/>
      <w:r/>
      <w:bookmarkStart w:id="52" w:name="_Toc513029203"/>
      <w:r>
        <w:rPr>
          <w:rFonts w:ascii="仿宋" w:hAnsi="仿宋" w:eastAsia="仿宋"/>
          <w:b/>
          <w:bCs/>
          <w:sz w:val="28"/>
          <w:szCs w:val="28"/>
        </w:rPr>
        <w:t xml:space="preserve">（一）总则</w:t>
      </w:r>
      <w:bookmarkEnd w:id="49"/>
      <w:r/>
      <w:bookmarkEnd w:id="50"/>
      <w:r/>
      <w:bookmarkEnd w:id="51"/>
      <w:r/>
      <w:bookmarkEnd w:id="52"/>
      <w:r/>
      <w:r/>
    </w:p>
    <w:p>
      <w:pPr>
        <w:keepNext/>
        <w:pageBreakBefore w:val="0"/>
        <w:spacing w:line="360" w:lineRule="auto"/>
        <w:widowControl w:val="off"/>
        <w:rPr>
          <w:rFonts w:ascii="仿宋" w:hAnsi="仿宋" w:eastAsia="仿宋"/>
          <w:b/>
          <w:bCs/>
          <w:sz w:val="28"/>
          <w:szCs w:val="28"/>
        </w:rPr>
        <w:outlineLvl w:val="3"/>
      </w:pPr>
      <w:r/>
      <w:bookmarkStart w:id="53" w:name="_Hlt16619475"/>
      <w:r/>
      <w:bookmarkEnd w:id="53"/>
      <w:r/>
      <w:bookmarkStart w:id="54" w:name="_Toc20823276"/>
      <w:r/>
      <w:bookmarkStart w:id="55" w:name="_Toc513029204"/>
      <w:r/>
      <w:bookmarkStart w:id="56" w:name="_Toc16938520"/>
      <w:r>
        <w:rPr>
          <w:rFonts w:ascii="仿宋" w:hAnsi="仿宋" w:eastAsia="仿宋"/>
          <w:sz w:val="28"/>
          <w:szCs w:val="28"/>
        </w:rPr>
        <w:t xml:space="preserve">1、招标方式</w:t>
      </w:r>
      <w:bookmarkEnd w:id="54"/>
      <w:r/>
      <w:bookmarkEnd w:id="55"/>
      <w:r/>
      <w:bookmarkEnd w:id="56"/>
      <w:r/>
      <w:r/>
    </w:p>
    <w:p>
      <w:pPr>
        <w:ind w:firstLine="560"/>
        <w:pageBreakBefore w:val="0"/>
        <w:spacing w:line="360" w:lineRule="auto"/>
        <w:widowControl w:val="off"/>
        <w:rPr>
          <w:rFonts w:ascii="仿宋" w:hAnsi="仿宋" w:eastAsia="仿宋"/>
          <w:sz w:val="28"/>
          <w:szCs w:val="28"/>
        </w:rPr>
      </w:pPr>
      <w:r>
        <w:rPr>
          <w:rFonts w:ascii="仿宋" w:hAnsi="仿宋" w:eastAsia="仿宋"/>
          <w:sz w:val="28"/>
          <w:szCs w:val="28"/>
        </w:rPr>
        <w:t xml:space="preserve">1.1本次招标采取公开招标方式，本招标文件仅适用于招标公告中所述项目。</w:t>
      </w:r>
      <w:r/>
    </w:p>
    <w:p>
      <w:pPr>
        <w:keepNext/>
        <w:pageBreakBefore w:val="0"/>
        <w:spacing w:line="360" w:lineRule="auto"/>
        <w:widowControl w:val="off"/>
        <w:rPr>
          <w:rFonts w:ascii="仿宋" w:hAnsi="仿宋" w:eastAsia="仿宋"/>
          <w:b/>
          <w:bCs/>
          <w:sz w:val="28"/>
          <w:szCs w:val="28"/>
        </w:rPr>
        <w:outlineLvl w:val="3"/>
      </w:pPr>
      <w:r/>
      <w:bookmarkStart w:id="57" w:name="_Toc16938521"/>
      <w:r/>
      <w:bookmarkStart w:id="58" w:name="_Toc20823277"/>
      <w:r/>
      <w:bookmarkStart w:id="59" w:name="_Toc513029205"/>
      <w:r>
        <w:rPr>
          <w:rFonts w:ascii="仿宋" w:hAnsi="仿宋" w:eastAsia="仿宋"/>
          <w:sz w:val="28"/>
          <w:szCs w:val="28"/>
        </w:rPr>
        <w:t xml:space="preserve">2、合格的投标人</w:t>
      </w:r>
      <w:bookmarkEnd w:id="57"/>
      <w:r/>
      <w:bookmarkEnd w:id="58"/>
      <w:r/>
      <w:bookmarkEnd w:id="59"/>
      <w:r/>
      <w:r/>
    </w:p>
    <w:p>
      <w:pPr>
        <w:ind w:firstLine="560"/>
        <w:pageBreakBefore w:val="0"/>
        <w:spacing w:line="360" w:lineRule="auto"/>
        <w:widowControl w:val="off"/>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lang w:val="en-US" w:eastAsia="zh-CN"/>
        </w:rPr>
        <w:t xml:space="preserve">1</w:t>
      </w:r>
      <w:r>
        <w:rPr>
          <w:rFonts w:ascii="仿宋" w:hAnsi="仿宋" w:eastAsia="仿宋"/>
          <w:sz w:val="28"/>
          <w:szCs w:val="28"/>
        </w:rPr>
        <w:t xml:space="preserve">满足招标公告中供应商的资格要求的规定。</w:t>
      </w:r>
      <w:r/>
    </w:p>
    <w:p>
      <w:pPr>
        <w:ind w:firstLine="560"/>
        <w:pageBreakBefore w:val="0"/>
        <w:spacing w:line="360" w:lineRule="auto"/>
        <w:widowControl w:val="off"/>
        <w:rPr>
          <w:rFonts w:ascii="仿宋" w:hAnsi="仿宋" w:eastAsia="仿宋"/>
          <w:sz w:val="28"/>
          <w:szCs w:val="28"/>
        </w:rPr>
      </w:pPr>
      <w:r>
        <w:rPr>
          <w:rFonts w:ascii="仿宋" w:hAnsi="仿宋" w:eastAsia="仿宋"/>
          <w:sz w:val="28"/>
          <w:szCs w:val="28"/>
        </w:rPr>
        <w:t xml:space="preserve">2.2满足本文件实质性条款的规定。</w:t>
      </w:r>
      <w:r/>
    </w:p>
    <w:p>
      <w:pPr>
        <w:keepNext/>
        <w:pageBreakBefore w:val="0"/>
        <w:spacing w:line="360" w:lineRule="auto"/>
        <w:widowControl w:val="off"/>
        <w:rPr>
          <w:rFonts w:ascii="仿宋" w:hAnsi="仿宋" w:eastAsia="仿宋"/>
          <w:b/>
          <w:bCs/>
          <w:sz w:val="28"/>
          <w:szCs w:val="28"/>
        </w:rPr>
        <w:outlineLvl w:val="3"/>
      </w:pPr>
      <w:r/>
      <w:bookmarkStart w:id="60" w:name="_Toc16938522"/>
      <w:r/>
      <w:bookmarkStart w:id="61" w:name="_Toc513029206"/>
      <w:r/>
      <w:bookmarkStart w:id="62" w:name="_Toc20823278"/>
      <w:r>
        <w:rPr>
          <w:rFonts w:ascii="仿宋" w:hAnsi="仿宋" w:eastAsia="仿宋"/>
          <w:sz w:val="28"/>
          <w:szCs w:val="28"/>
        </w:rPr>
        <w:t xml:space="preserve">3、适用法律</w:t>
      </w:r>
      <w:bookmarkEnd w:id="60"/>
      <w:r/>
      <w:bookmarkEnd w:id="61"/>
      <w:r/>
      <w:bookmarkEnd w:id="62"/>
      <w:r/>
      <w:r/>
    </w:p>
    <w:p>
      <w:pPr>
        <w:ind w:firstLine="490"/>
        <w:pageBreakBefore w:val="0"/>
        <w:spacing w:line="360" w:lineRule="auto"/>
        <w:widowControl w:val="off"/>
        <w:rPr>
          <w:rFonts w:ascii="仿宋" w:hAnsi="仿宋" w:eastAsia="仿宋"/>
          <w:sz w:val="28"/>
          <w:szCs w:val="28"/>
        </w:rPr>
      </w:pPr>
      <w:r>
        <w:rPr>
          <w:rFonts w:ascii="仿宋" w:hAnsi="仿宋" w:eastAsia="仿宋"/>
          <w:sz w:val="28"/>
          <w:szCs w:val="28"/>
        </w:rPr>
        <w:t xml:space="preserve">3.1本次招标及由此产生的合同受中华人民共和国有关的法律法规制约和保护。</w:t>
      </w:r>
      <w:r/>
    </w:p>
    <w:p>
      <w:pPr>
        <w:keepNext/>
        <w:pageBreakBefore w:val="0"/>
        <w:spacing w:line="360" w:lineRule="auto"/>
        <w:widowControl w:val="off"/>
        <w:rPr>
          <w:rFonts w:ascii="仿宋" w:hAnsi="仿宋" w:eastAsia="仿宋"/>
          <w:b/>
          <w:bCs/>
          <w:sz w:val="28"/>
          <w:szCs w:val="28"/>
        </w:rPr>
        <w:outlineLvl w:val="3"/>
      </w:pPr>
      <w:r/>
      <w:bookmarkStart w:id="63" w:name="_Toc20823279"/>
      <w:r/>
      <w:bookmarkStart w:id="64" w:name="_Toc513029207"/>
      <w:r/>
      <w:bookmarkStart w:id="65" w:name="_Toc16938523"/>
      <w:r/>
      <w:bookmarkStart w:id="66" w:name="_Toc462564067"/>
      <w:r>
        <w:rPr>
          <w:rFonts w:ascii="仿宋" w:hAnsi="仿宋" w:eastAsia="仿宋"/>
          <w:sz w:val="28"/>
          <w:szCs w:val="28"/>
        </w:rPr>
        <w:t xml:space="preserve">4、投标费用</w:t>
      </w:r>
      <w:bookmarkEnd w:id="63"/>
      <w:r/>
      <w:bookmarkEnd w:id="64"/>
      <w:r/>
      <w:bookmarkEnd w:id="65"/>
      <w:r/>
      <w:bookmarkEnd w:id="66"/>
      <w:r/>
      <w:r/>
    </w:p>
    <w:p>
      <w:pPr>
        <w:ind w:firstLine="560"/>
        <w:pageBreakBefore w:val="0"/>
        <w:spacing w:line="360" w:lineRule="auto"/>
        <w:widowControl w:val="off"/>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投标人应自行承担所有与参加投标有关的费用，无论投标过程中的做法和结果如何，南通市</w:t>
      </w:r>
      <w:r>
        <w:rPr>
          <w:rFonts w:hint="eastAsia" w:ascii="仿宋" w:hAnsi="仿宋" w:eastAsia="仿宋"/>
          <w:sz w:val="28"/>
          <w:szCs w:val="28"/>
        </w:rPr>
        <w:t xml:space="preserve">公共资源交易</w:t>
      </w:r>
      <w:r>
        <w:rPr>
          <w:rFonts w:ascii="仿宋" w:hAnsi="仿宋" w:eastAsia="仿宋"/>
          <w:sz w:val="28"/>
          <w:szCs w:val="28"/>
        </w:rPr>
        <w:t xml:space="preserve">中心（以下简称采购中心）在任何情况下均无义务和责任承担这些费用。</w:t>
      </w:r>
      <w:r/>
    </w:p>
    <w:p>
      <w:pPr>
        <w:ind w:firstLine="560"/>
        <w:pageBreakBefore w:val="0"/>
        <w:spacing w:line="360" w:lineRule="auto"/>
        <w:widowControl w:val="off"/>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p>
    <w:p>
      <w:pPr>
        <w:keepNext/>
        <w:pageBreakBefore w:val="0"/>
        <w:spacing w:line="360" w:lineRule="auto"/>
        <w:widowControl w:val="off"/>
        <w:rPr>
          <w:rFonts w:ascii="仿宋" w:hAnsi="仿宋" w:eastAsia="仿宋"/>
          <w:b/>
          <w:bCs/>
          <w:sz w:val="28"/>
          <w:szCs w:val="28"/>
        </w:rPr>
        <w:outlineLvl w:val="3"/>
      </w:pPr>
      <w:r>
        <w:rPr>
          <w:rFonts w:ascii="仿宋" w:hAnsi="仿宋" w:eastAsia="仿宋"/>
          <w:sz w:val="28"/>
          <w:szCs w:val="28"/>
        </w:rPr>
        <w:t xml:space="preserve">5、招标文件的约束力</w:t>
      </w:r>
      <w:r/>
    </w:p>
    <w:p>
      <w:pPr>
        <w:ind w:firstLine="560"/>
        <w:pageBreakBefore w:val="0"/>
        <w:spacing w:line="360" w:lineRule="auto"/>
        <w:widowControl w:val="off"/>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投标人一旦参加本项目采购活动，即被认为接受了本招标文件的规定和约束。</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67" w:name="_Toc513029209"/>
      <w:r/>
      <w:bookmarkStart w:id="68" w:name="_Toc20823281"/>
      <w:r/>
      <w:bookmarkStart w:id="69" w:name="_Toc120614215"/>
      <w:r/>
      <w:bookmarkStart w:id="70" w:name="_Toc16938525"/>
      <w:r>
        <w:rPr>
          <w:rFonts w:hint="eastAsia" w:ascii="仿宋" w:hAnsi="仿宋" w:eastAsia="仿宋"/>
          <w:b/>
          <w:bCs/>
          <w:color w:val="000000"/>
          <w:sz w:val="28"/>
          <w:szCs w:val="28"/>
        </w:rPr>
        <w:t xml:space="preserve">二、招标文件</w:t>
      </w:r>
      <w:bookmarkEnd w:id="67"/>
      <w:r/>
      <w:bookmarkEnd w:id="68"/>
      <w:r/>
      <w:bookmarkEnd w:id="69"/>
      <w:r/>
      <w:bookmarkEnd w:id="70"/>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71" w:name="_Toc513029210"/>
      <w:r/>
      <w:bookmarkStart w:id="72" w:name="_Toc20823282"/>
      <w:r/>
      <w:bookmarkStart w:id="73" w:name="_Toc16938526"/>
      <w:r>
        <w:rPr>
          <w:rFonts w:hint="eastAsia" w:ascii="仿宋" w:hAnsi="仿宋" w:eastAsia="仿宋" w:cs="Arial"/>
          <w:color w:val="000000"/>
          <w:sz w:val="28"/>
          <w:szCs w:val="28"/>
        </w:rPr>
        <w:t xml:space="preserve">6、招标文件构成</w:t>
      </w:r>
      <w:bookmarkEnd w:id="71"/>
      <w:r/>
      <w:bookmarkEnd w:id="72"/>
      <w:r/>
      <w:bookmarkEnd w:id="73"/>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招标文件由以下部分组成：</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74" w:name="_Toc462564070"/>
      <w:r/>
      <w:bookmarkStart w:id="75" w:name="_Toc20823283"/>
      <w:r/>
      <w:bookmarkStart w:id="76" w:name="_Toc513029211"/>
      <w:r/>
      <w:bookmarkStart w:id="77" w:name="_Toc16938527"/>
      <w:r>
        <w:rPr>
          <w:rFonts w:hint="eastAsia" w:ascii="仿宋" w:hAnsi="仿宋" w:eastAsia="仿宋" w:cs="Arial"/>
          <w:color w:val="000000"/>
          <w:sz w:val="28"/>
          <w:szCs w:val="28"/>
        </w:rPr>
        <w:t xml:space="preserve">7、招标文件的澄清</w:t>
      </w:r>
      <w:bookmarkEnd w:id="74"/>
      <w:r/>
      <w:bookmarkEnd w:id="75"/>
      <w:r/>
      <w:bookmarkEnd w:id="76"/>
      <w:r/>
      <w:bookmarkEnd w:id="77"/>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7.1</w:t>
      </w: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bCs w:val="0"/>
          <w:color w:val="000000"/>
          <w:sz w:val="28"/>
          <w:szCs w:val="28"/>
        </w:rPr>
        <w:t xml:space="preserve">十日前</w:t>
      </w:r>
      <w:r>
        <w:rPr>
          <w:rFonts w:hint="eastAsia" w:ascii="仿宋" w:hAnsi="仿宋" w:eastAsia="仿宋"/>
          <w:color w:val="000000"/>
          <w:sz w:val="28"/>
          <w:szCs w:val="28"/>
        </w:rPr>
        <w:t xml:space="preserve">按招标公告中的通讯地址，以书面形式通知采购中心。采购人有权对发出的招标文件进行必要的澄清或修改。</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78" w:name="_Toc462564071"/>
      <w:r/>
      <w:bookmarkStart w:id="79" w:name="_Toc513029212"/>
      <w:r/>
      <w:bookmarkStart w:id="80" w:name="_Toc16938528"/>
      <w:r/>
      <w:bookmarkStart w:id="81" w:name="_Toc20823284"/>
      <w:r>
        <w:rPr>
          <w:rFonts w:hint="eastAsia" w:ascii="仿宋" w:hAnsi="仿宋" w:eastAsia="仿宋" w:cs="Arial"/>
          <w:color w:val="000000"/>
          <w:sz w:val="28"/>
          <w:szCs w:val="28"/>
        </w:rPr>
        <w:t xml:space="preserve">8、招标文件的修改</w:t>
      </w:r>
      <w:bookmarkEnd w:id="78"/>
      <w:r/>
      <w:bookmarkEnd w:id="79"/>
      <w:r/>
      <w:bookmarkEnd w:id="80"/>
      <w:r/>
      <w:bookmarkEnd w:id="81"/>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在投标截止时间前，采购中心可以对招标文件进行修改。</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8.2</w:t>
      </w:r>
      <w:r>
        <w:rPr>
          <w:rFonts w:hint="eastAsia" w:ascii="仿宋" w:hAnsi="仿宋" w:eastAsia="仿宋"/>
          <w:color w:val="000000"/>
          <w:sz w:val="28"/>
          <w:szCs w:val="28"/>
        </w:rPr>
        <w:t xml:space="preserve">采购中心有权按照法定的要求推迟投标截止日期和开标日期。</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8.3</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82" w:name="_Toc462564072"/>
      <w:r/>
      <w:bookmarkStart w:id="83" w:name="_Toc20823285"/>
      <w:r/>
      <w:bookmarkStart w:id="84" w:name="_Toc513029213"/>
      <w:r/>
      <w:bookmarkStart w:id="85" w:name="_Toc120614216"/>
      <w:r/>
      <w:bookmarkStart w:id="86" w:name="_Toc16938529"/>
      <w:r>
        <w:rPr>
          <w:rFonts w:hint="eastAsia" w:ascii="仿宋" w:hAnsi="仿宋" w:eastAsia="仿宋"/>
          <w:b/>
          <w:bCs/>
          <w:color w:val="000000"/>
          <w:sz w:val="28"/>
          <w:szCs w:val="28"/>
        </w:rPr>
        <w:t xml:space="preserve">三、投标文件的编制</w:t>
      </w:r>
      <w:bookmarkEnd w:id="82"/>
      <w:r/>
      <w:bookmarkEnd w:id="83"/>
      <w:r/>
      <w:bookmarkEnd w:id="84"/>
      <w:r/>
      <w:bookmarkEnd w:id="85"/>
      <w:r/>
      <w:bookmarkEnd w:id="86"/>
      <w:r/>
      <w:r/>
    </w:p>
    <w:p>
      <w:pPr>
        <w:keepLines/>
        <w:keepNext/>
        <w:pageBreakBefore w:val="0"/>
        <w:spacing w:line="360" w:lineRule="auto"/>
        <w:widowControl w:val="off"/>
        <w:rPr>
          <w:rFonts w:hint="eastAsia" w:ascii="仿宋" w:hAnsi="仿宋" w:eastAsia="仿宋" w:cs="Arial"/>
          <w:b/>
          <w:color w:val="000000"/>
          <w:sz w:val="28"/>
          <w:szCs w:val="28"/>
        </w:rPr>
        <w:outlineLvl w:val="3"/>
      </w:pPr>
      <w:r/>
      <w:bookmarkStart w:id="87" w:name="_Toc20823286"/>
      <w:r/>
      <w:bookmarkStart w:id="88" w:name="_Toc462564073"/>
      <w:r/>
      <w:bookmarkStart w:id="89" w:name="_Toc513029214"/>
      <w:r/>
      <w:bookmarkStart w:id="90" w:name="_Toc16938530"/>
      <w:r>
        <w:rPr>
          <w:rFonts w:hint="eastAsia" w:ascii="仿宋" w:hAnsi="仿宋" w:eastAsia="仿宋" w:cs="Arial"/>
          <w:color w:val="000000"/>
          <w:sz w:val="28"/>
          <w:szCs w:val="28"/>
        </w:rPr>
        <w:t xml:space="preserve">9、投标文件的语言及度量衡单位</w:t>
      </w:r>
      <w:bookmarkEnd w:id="87"/>
      <w:r/>
      <w:bookmarkEnd w:id="88"/>
      <w:r/>
      <w:bookmarkEnd w:id="89"/>
      <w:r/>
      <w:bookmarkEnd w:id="90"/>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投标人提交的投标文件以及投标人与采购中心就有关投标的所有来往通知、函件和文件均应使用简体中文。</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除技术性能另有规定外，投标文件所使用的度量衡单位，均须采用国家法定计量单位。</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91" w:name="_Toc462564074"/>
      <w:r/>
      <w:bookmarkStart w:id="92" w:name="_Toc16938531"/>
      <w:r/>
      <w:bookmarkStart w:id="93" w:name="_Toc20823287"/>
      <w:r/>
      <w:bookmarkStart w:id="94" w:name="_Toc513029215"/>
      <w:r>
        <w:rPr>
          <w:rFonts w:hint="eastAsia" w:ascii="仿宋" w:hAnsi="仿宋" w:eastAsia="仿宋" w:cs="Arial"/>
          <w:color w:val="000000"/>
          <w:sz w:val="28"/>
          <w:szCs w:val="28"/>
        </w:rPr>
        <w:t xml:space="preserve">10、投标文件构成</w:t>
      </w:r>
      <w:bookmarkEnd w:id="91"/>
      <w:r/>
      <w:bookmarkEnd w:id="92"/>
      <w:r/>
      <w:bookmarkEnd w:id="93"/>
      <w:r/>
      <w:bookmarkEnd w:id="94"/>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10.2如标书制作工具中格式和内容与“江苏政府采购网”发布的招标文件不一致，请以“江苏政府采购网”发布的招标文件为准。</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95" w:name="_Hlt26670360"/>
      <w:r/>
      <w:bookmarkEnd w:id="95"/>
      <w:r/>
      <w:bookmarkStart w:id="96" w:name="_Hlt26668975"/>
      <w:r/>
      <w:bookmarkEnd w:id="96"/>
      <w:r/>
      <w:bookmarkStart w:id="97" w:name="_Hlt26954838"/>
      <w:r/>
      <w:bookmarkEnd w:id="97"/>
      <w:r/>
      <w:bookmarkStart w:id="98" w:name="_Toc513029216"/>
      <w:r/>
      <w:bookmarkStart w:id="99" w:name="_Toc49090509"/>
      <w:r/>
      <w:bookmarkStart w:id="100" w:name="_Toc513029219"/>
      <w:r/>
      <w:bookmarkStart w:id="101" w:name="_Toc14577354"/>
      <w:r/>
      <w:bookmarkStart w:id="102" w:name="_Toc14577357"/>
      <w:r/>
      <w:bookmarkStart w:id="103" w:name="_Toc49090507"/>
      <w:r/>
      <w:bookmarkStart w:id="104" w:name="_Toc49090508"/>
      <w:r/>
      <w:bookmarkStart w:id="105" w:name="_Toc14577355"/>
      <w:r>
        <w:rPr>
          <w:rFonts w:hint="eastAsia" w:ascii="仿宋" w:hAnsi="仿宋" w:eastAsia="仿宋" w:cs="Arial"/>
          <w:color w:val="000000"/>
          <w:sz w:val="28"/>
          <w:szCs w:val="28"/>
        </w:rPr>
        <w:t xml:space="preserve">11、证明投标人及投标标的符合招标文件规定的文件</w:t>
      </w:r>
      <w:bookmarkEnd w:id="98"/>
      <w:r/>
      <w:bookmarkEnd w:id="99"/>
      <w:r/>
      <w:bookmarkEnd w:id="100"/>
      <w:r/>
      <w:bookmarkEnd w:id="101"/>
      <w:r/>
      <w:bookmarkEnd w:id="102"/>
      <w:r/>
      <w:bookmarkEnd w:id="103"/>
      <w:r/>
      <w:r/>
    </w:p>
    <w:p>
      <w:pPr>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    11.1投标人应按照招标文件要求提交证明文件，证明其及投标标的符合招标文件规定。</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bookmarkEnd w:id="104"/>
      <w:r/>
      <w:bookmarkEnd w:id="105"/>
      <w:r/>
      <w:r/>
    </w:p>
    <w:p>
      <w:pPr>
        <w:keepLines/>
        <w:keepNext/>
        <w:pageBreakBefore w:val="0"/>
        <w:spacing w:line="360" w:lineRule="auto"/>
        <w:widowControl w:val="off"/>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12、投标分项报价表</w:t>
      </w:r>
      <w:r/>
    </w:p>
    <w:p>
      <w:pPr>
        <w:ind w:firstLine="560"/>
        <w:pageBreakBefore w:val="0"/>
        <w:spacing w:line="360" w:lineRule="auto"/>
        <w:widowControl w:val="off"/>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投标人按照招标文件规定格式填报投标分项报价表。</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06" w:name="_Hlt26954848"/>
      <w:r/>
      <w:bookmarkEnd w:id="106"/>
      <w:r/>
      <w:bookmarkStart w:id="107" w:name="_Hlt26954846"/>
      <w:r/>
      <w:bookmarkEnd w:id="107"/>
      <w:r/>
      <w:bookmarkStart w:id="108" w:name="_Hlt26670486"/>
      <w:r/>
      <w:bookmarkEnd w:id="108"/>
      <w:r/>
      <w:bookmarkStart w:id="109" w:name="_Hlt26670482"/>
      <w:r/>
      <w:bookmarkEnd w:id="109"/>
      <w:r/>
      <w:bookmarkStart w:id="110" w:name="_Hlt26954731"/>
      <w:r/>
      <w:bookmarkEnd w:id="110"/>
      <w:r>
        <w:rPr>
          <w:rFonts w:hint="eastAsia" w:ascii="仿宋" w:hAnsi="仿宋" w:eastAsia="仿宋" w:cs="Arial"/>
          <w:color w:val="000000"/>
          <w:sz w:val="28"/>
          <w:szCs w:val="28"/>
        </w:rPr>
        <w:t xml:space="preserve">13、技术要求响应及偏离表、商务要求响应及偏离表</w:t>
      </w:r>
      <w:r/>
    </w:p>
    <w:p>
      <w:pPr>
        <w:ind w:firstLine="480"/>
        <w:pageBreakBefore w:val="0"/>
        <w:spacing w:line="360" w:lineRule="auto"/>
        <w:widowControl w:val="off"/>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pageBreakBefore w:val="0"/>
        <w:spacing w:line="360" w:lineRule="auto"/>
        <w:widowControl w:val="off"/>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14、服务承诺、培训计划、人员安排及其他</w:t>
      </w:r>
      <w:r/>
    </w:p>
    <w:p>
      <w:pPr>
        <w:ind w:firstLine="48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14.1</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14.2投标人需根据招标文件要求提供培训计划。</w:t>
      </w:r>
      <w:r/>
    </w:p>
    <w:p>
      <w:pPr>
        <w:ind w:firstLine="48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14.3投标人需根据招标文件要求提供</w:t>
      </w:r>
      <w:r>
        <w:rPr>
          <w:rFonts w:hint="eastAsia" w:ascii="仿宋" w:hAnsi="仿宋" w:eastAsia="仿宋" w:cs="宋体"/>
          <w:color w:val="000000"/>
          <w:sz w:val="28"/>
          <w:szCs w:val="28"/>
          <w:lang w:val="zh-CN"/>
        </w:rPr>
        <w:t xml:space="preserve">所投标的的主要组成部分、功能设计、实现思路及关键技术等。</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11" w:name="_Toc49090510"/>
      <w:r/>
      <w:bookmarkStart w:id="112" w:name="_Toc14577359"/>
      <w:r>
        <w:rPr>
          <w:rFonts w:hint="eastAsia" w:ascii="仿宋" w:hAnsi="仿宋" w:eastAsia="仿宋" w:cs="Arial"/>
          <w:color w:val="000000"/>
          <w:sz w:val="28"/>
          <w:szCs w:val="28"/>
        </w:rPr>
        <w:t xml:space="preserve">15、投标函和开标一览表</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投标人应按照招标文件中提供的格式完整、正确填写投标函、开标一览表。</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15.2对于采用货币报价的项目，开标一览表中的投标总报价应与分项报价表中的投标总报价一致，如不一致，不作为无效投标处理，但评标时按开标一览表中价格为准。</w:t>
      </w:r>
      <w:bookmarkEnd w:id="111"/>
      <w:r/>
      <w:bookmarkEnd w:id="112"/>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13" w:name="_Toc14577360"/>
      <w:r/>
      <w:bookmarkStart w:id="114" w:name="_Toc49090511"/>
      <w:r>
        <w:rPr>
          <w:rFonts w:hint="eastAsia" w:ascii="仿宋" w:hAnsi="仿宋" w:eastAsia="仿宋" w:cs="Arial"/>
          <w:color w:val="000000"/>
          <w:sz w:val="28"/>
          <w:szCs w:val="28"/>
        </w:rPr>
        <w:t xml:space="preserve">16、投标有效期</w:t>
      </w:r>
      <w:bookmarkEnd w:id="113"/>
      <w:r/>
      <w:bookmarkEnd w:id="114"/>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16.1投标有效期为采购中心规定的开标之日后</w:t>
      </w:r>
      <w:r>
        <w:rPr>
          <w:rFonts w:hint="eastAsia" w:ascii="仿宋" w:hAnsi="仿宋" w:eastAsia="仿宋"/>
          <w:color w:val="000000"/>
          <w:sz w:val="28"/>
          <w:szCs w:val="28"/>
          <w:u w:val="single"/>
        </w:rPr>
        <w:t xml:space="preserve">九十（90）天</w:t>
      </w:r>
      <w:r>
        <w:rPr>
          <w:rFonts w:hint="eastAsia" w:ascii="仿宋" w:hAnsi="仿宋" w:eastAsia="仿宋"/>
          <w:bCs/>
          <w:color w:val="000000"/>
          <w:sz w:val="28"/>
          <w:szCs w:val="28"/>
        </w:rPr>
        <w:t xml:space="preserve">。投标有效期比规定短的将被视为未实质性响应招标文件而予以拒绝。</w:t>
      </w:r>
      <w:r/>
    </w:p>
    <w:p>
      <w:pPr>
        <w:keepLines/>
        <w:keepNext/>
        <w:pageBreakBefore w:val="0"/>
        <w:spacing w:line="360" w:lineRule="auto"/>
        <w:widowControl w:val="off"/>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、投标有效期的延长</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115" w:name="_Hlt26954852"/>
      <w:r/>
      <w:bookmarkEnd w:id="115"/>
      <w:r/>
      <w:bookmarkStart w:id="116" w:name="_Hlt26954739"/>
      <w:r/>
      <w:bookmarkEnd w:id="116"/>
      <w:r/>
      <w:bookmarkStart w:id="117" w:name="_Toc513029224"/>
      <w:r/>
      <w:bookmarkStart w:id="118" w:name="_Toc120614217"/>
      <w:r/>
      <w:bookmarkStart w:id="119" w:name="_Toc16938540"/>
      <w:r/>
      <w:bookmarkStart w:id="120" w:name="_Toc20823296"/>
      <w:r>
        <w:rPr>
          <w:rFonts w:hint="eastAsia" w:ascii="仿宋" w:hAnsi="仿宋" w:eastAsia="仿宋"/>
          <w:b/>
          <w:bCs/>
          <w:color w:val="000000"/>
          <w:sz w:val="28"/>
          <w:szCs w:val="28"/>
        </w:rPr>
        <w:t xml:space="preserve">四、投标文件的递交</w:t>
      </w:r>
      <w:bookmarkEnd w:id="117"/>
      <w:r/>
      <w:bookmarkEnd w:id="118"/>
      <w:r/>
      <w:bookmarkEnd w:id="119"/>
      <w:r/>
      <w:bookmarkEnd w:id="120"/>
      <w:r/>
      <w:r/>
    </w:p>
    <w:p>
      <w:pPr>
        <w:keepLines/>
        <w:keepNext/>
        <w:pageBreakBefore w:val="0"/>
        <w:spacing w:line="360" w:lineRule="auto"/>
        <w:widowControl w:val="off"/>
        <w:rPr>
          <w:rFonts w:hint="eastAsia" w:ascii="仿宋" w:hAnsi="仿宋" w:eastAsia="仿宋"/>
          <w:bCs/>
          <w:color w:val="000000"/>
          <w:sz w:val="28"/>
          <w:szCs w:val="28"/>
        </w:rPr>
        <w:outlineLvl w:val="3"/>
      </w:pPr>
      <w:r/>
      <w:bookmarkStart w:id="121" w:name="_Toc513029225"/>
      <w:r/>
      <w:bookmarkStart w:id="122" w:name="_Toc20823297"/>
      <w:r/>
      <w:bookmarkStart w:id="123" w:name="_Toc462564084"/>
      <w:r/>
      <w:bookmarkStart w:id="124" w:name="_Toc16938541"/>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、电子投标文件</w:t>
      </w:r>
      <w:bookmarkEnd w:id="121"/>
      <w:r/>
      <w:bookmarkEnd w:id="122"/>
      <w:r/>
      <w:bookmarkEnd w:id="123"/>
      <w:r/>
      <w:bookmarkEnd w:id="124"/>
      <w:r>
        <w:rPr>
          <w:rFonts w:hint="eastAsia" w:ascii="仿宋" w:hAnsi="仿宋" w:eastAsia="仿宋"/>
          <w:bCs/>
          <w:color w:val="000000"/>
          <w:sz w:val="28"/>
          <w:szCs w:val="28"/>
        </w:rPr>
        <w:t xml:space="preserve">的递交</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25" w:name="_Toc20823298"/>
      <w:r/>
      <w:bookmarkStart w:id="126" w:name="_Toc513029226"/>
      <w:r/>
      <w:bookmarkStart w:id="127" w:name="_Toc16938542"/>
      <w:r/>
      <w:r/>
    </w:p>
    <w:p>
      <w:pPr>
        <w:keepLines/>
        <w:keepNext/>
        <w:pageBreakBefore w:val="0"/>
        <w:spacing w:line="360" w:lineRule="auto"/>
        <w:widowControl w:val="off"/>
        <w:rPr>
          <w:rFonts w:hint="eastAsia" w:ascii="仿宋" w:hAnsi="仿宋" w:eastAsia="仿宋"/>
          <w:bCs/>
          <w:color w:val="000000"/>
          <w:sz w:val="28"/>
          <w:szCs w:val="28"/>
        </w:rPr>
        <w:outlineLvl w:val="3"/>
      </w:pPr>
      <w:r>
        <w:rPr>
          <w:rFonts w:ascii="仿宋" w:hAnsi="仿宋" w:eastAsia="仿宋"/>
          <w:bCs/>
          <w:color w:val="000000"/>
          <w:sz w:val="28"/>
          <w:szCs w:val="28"/>
        </w:rPr>
        <w:t xml:space="preserve">19</w:t>
      </w:r>
      <w:r>
        <w:rPr>
          <w:rFonts w:hint="eastAsia" w:ascii="仿宋" w:hAnsi="仿宋" w:eastAsia="仿宋"/>
          <w:bCs/>
          <w:color w:val="000000"/>
          <w:sz w:val="28"/>
          <w:szCs w:val="28"/>
        </w:rPr>
        <w:t xml:space="preserve">、投标截止日期</w:t>
      </w:r>
      <w:bookmarkEnd w:id="125"/>
      <w:r/>
      <w:bookmarkEnd w:id="126"/>
      <w:r/>
      <w:bookmarkEnd w:id="127"/>
      <w:r/>
      <w:r/>
    </w:p>
    <w:p>
      <w:pPr>
        <w:ind w:firstLine="562"/>
        <w:pageBreakBefore w:val="0"/>
        <w:spacing w:line="360" w:lineRule="auto"/>
        <w:widowControl w:val="off"/>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投标人上传电子投标文件的时间不得迟于招标公告中规定的投标截止时间。</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pageBreakBefore w:val="0"/>
        <w:spacing w:line="360" w:lineRule="auto"/>
        <w:widowControl w:val="off"/>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采购中心可以按照规定，通过修改招标文件酌情延长投标截止日期，在此情况下，投标人的所有权利和义务以及投标人受制的截止日期均应以延长后新的截止日期为准。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28" w:name="_Toc20823299"/>
      <w:r/>
      <w:bookmarkStart w:id="129" w:name="_Toc16938543"/>
      <w:r/>
      <w:bookmarkStart w:id="130" w:name="_Toc513029227"/>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0</w:t>
      </w:r>
      <w:r>
        <w:rPr>
          <w:rFonts w:hint="eastAsia" w:ascii="仿宋" w:hAnsi="仿宋" w:eastAsia="仿宋" w:cs="Arial"/>
          <w:color w:val="000000"/>
          <w:sz w:val="28"/>
          <w:szCs w:val="28"/>
        </w:rPr>
        <w:t xml:space="preserve">、投标文件</w:t>
      </w:r>
      <w:bookmarkEnd w:id="128"/>
      <w:r/>
      <w:bookmarkEnd w:id="129"/>
      <w:r/>
      <w:bookmarkEnd w:id="130"/>
      <w:r>
        <w:rPr>
          <w:rFonts w:hint="eastAsia" w:ascii="仿宋" w:hAnsi="仿宋" w:eastAsia="仿宋" w:cs="Arial"/>
          <w:color w:val="000000"/>
          <w:sz w:val="28"/>
          <w:szCs w:val="28"/>
        </w:rPr>
        <w:t xml:space="preserve">的拒收</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20.1采购中心拒绝接收在其规定的投标截止时间后上传的任何投标文件。</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31" w:name="_Toc16938544"/>
      <w:r/>
      <w:bookmarkStart w:id="132" w:name="_Toc20823300"/>
      <w:r/>
      <w:bookmarkStart w:id="133" w:name="_Toc513029228"/>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1</w:t>
      </w:r>
      <w:r>
        <w:rPr>
          <w:rFonts w:hint="eastAsia" w:ascii="仿宋" w:hAnsi="仿宋" w:eastAsia="仿宋" w:cs="Arial"/>
          <w:color w:val="000000"/>
          <w:sz w:val="28"/>
          <w:szCs w:val="28"/>
        </w:rPr>
        <w:t xml:space="preserve">、投标文件的撤回和修改</w:t>
      </w:r>
      <w:bookmarkEnd w:id="131"/>
      <w:r/>
      <w:bookmarkEnd w:id="132"/>
      <w:r/>
      <w:bookmarkEnd w:id="133"/>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.1投标文件的撤回</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.1.1电子投标文件的撤回</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投标人撤回电子投标文件，则认为其不再参与本项目投标活动。</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.2投标文件的修改</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在投标截止时间之后，投标人不得对其电子投标文件作任何修改。</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在投标截止时间至招标文件中规定的投标有效期满之间的这段时间内，投标人不得撤回其投标。</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134" w:name="_Toc16938545"/>
      <w:r/>
      <w:bookmarkStart w:id="135" w:name="_Toc513029229"/>
      <w:r/>
      <w:bookmarkStart w:id="136" w:name="_Toc120614218"/>
      <w:r/>
      <w:bookmarkStart w:id="137" w:name="_Toc20823301"/>
      <w:r>
        <w:rPr>
          <w:rFonts w:hint="eastAsia" w:ascii="仿宋" w:hAnsi="仿宋" w:eastAsia="仿宋"/>
          <w:b/>
          <w:bCs/>
          <w:color w:val="000000"/>
          <w:sz w:val="28"/>
          <w:szCs w:val="28"/>
        </w:rPr>
        <w:t xml:space="preserve">五、开标与评标</w:t>
      </w:r>
      <w:bookmarkEnd w:id="134"/>
      <w:r/>
      <w:bookmarkEnd w:id="135"/>
      <w:r/>
      <w:bookmarkEnd w:id="136"/>
      <w:r/>
      <w:bookmarkEnd w:id="137"/>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38" w:name="_Toc20823302"/>
      <w:r/>
      <w:bookmarkStart w:id="139" w:name="_Toc513029230"/>
      <w:r/>
      <w:bookmarkStart w:id="140" w:name="_Toc16938546"/>
      <w:r>
        <w:rPr>
          <w:rFonts w:hint="eastAsia" w:ascii="仿宋" w:hAnsi="仿宋" w:eastAsia="仿宋" w:cs="Arial"/>
          <w:color w:val="000000"/>
          <w:sz w:val="28"/>
          <w:szCs w:val="28"/>
        </w:rPr>
        <w:t xml:space="preserve">22、开标</w:t>
      </w:r>
      <w:bookmarkEnd w:id="138"/>
      <w:r/>
      <w:bookmarkEnd w:id="139"/>
      <w:r/>
      <w:bookmarkEnd w:id="140"/>
      <w:r/>
      <w:r/>
    </w:p>
    <w:p>
      <w:pPr>
        <w:ind w:firstLine="42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pageBreakBefore w:val="0"/>
        <w:spacing w:line="360" w:lineRule="auto"/>
        <w:widowControl w:val="off"/>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pageBreakBefore w:val="0"/>
        <w:spacing w:line="360" w:lineRule="auto"/>
        <w:widowControl w:val="off"/>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41" w:name="_Toc16938547"/>
      <w:r/>
      <w:bookmarkStart w:id="142" w:name="_Toc20823303"/>
      <w:r/>
      <w:bookmarkStart w:id="143" w:name="_Toc513029231"/>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p>
    <w:p>
      <w:pPr>
        <w:pageBreakBefore w:val="0"/>
        <w:spacing w:line="360" w:lineRule="auto"/>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.1开标后，采购中心将立即组织评标委员会（以下简称评委会）进行评标。</w:t>
      </w:r>
      <w:r/>
    </w:p>
    <w:p>
      <w:pPr>
        <w:pageBreakBefore w:val="0"/>
        <w:spacing w:line="360" w:lineRule="auto"/>
        <w:widowControl w:val="off"/>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.2评委会由采购人代表和有关技术、经济等方面的专家组成，且人员构成符合政府采购有关规定。</w:t>
      </w:r>
      <w:r/>
    </w:p>
    <w:p>
      <w:pPr>
        <w:pageBreakBefore w:val="0"/>
        <w:spacing w:line="360" w:lineRule="auto"/>
        <w:widowControl w:val="off"/>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p>
    <w:p>
      <w:pPr>
        <w:keepLines/>
        <w:keepNext/>
        <w:pageBreakBefore w:val="0"/>
        <w:spacing w:line="360" w:lineRule="auto"/>
        <w:widowControl w:val="off"/>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lang w:eastAsia="zh-CN"/>
        </w:rPr>
        <w:t xml:space="preserve">、</w:t>
      </w:r>
      <w:r>
        <w:rPr>
          <w:rFonts w:hint="eastAsia" w:ascii="仿宋" w:hAnsi="仿宋" w:eastAsia="仿宋" w:cs="Arial"/>
          <w:color w:val="000000"/>
          <w:sz w:val="28"/>
          <w:szCs w:val="28"/>
        </w:rPr>
        <w:t xml:space="preserve">评标过程的保密与公正</w:t>
      </w:r>
      <w:bookmarkEnd w:id="141"/>
      <w:r/>
      <w:bookmarkEnd w:id="142"/>
      <w:r/>
      <w:bookmarkEnd w:id="143"/>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.2在评标过程中，投标人不得以任何行为影响评标过程，否则其投标文件将被作为无效投标文件。</w:t>
      </w:r>
      <w:r/>
    </w:p>
    <w:p>
      <w:pPr>
        <w:ind w:firstLine="560"/>
        <w:pageBreakBefore w:val="0"/>
        <w:spacing w:line="360" w:lineRule="auto"/>
        <w:widowControl w:val="off"/>
        <w:rPr>
          <w:rFonts w:hint="eastAsia" w:ascii="仿宋" w:hAnsi="仿宋" w:eastAsia="仿宋"/>
          <w:b/>
          <w:color w:val="000000"/>
          <w:sz w:val="28"/>
          <w:szCs w:val="28"/>
        </w:rPr>
      </w:pPr>
      <w:r>
        <w:rPr>
          <w:rFonts w:ascii="仿宋" w:hAnsi="仿宋" w:eastAsia="仿宋"/>
          <w:color w:val="000000"/>
          <w:sz w:val="28"/>
          <w:szCs w:val="28"/>
        </w:rPr>
        <w:t xml:space="preserve">24</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采购中心和评标委员会不向未中标的投标人解释未中标原因，也不公布评标过程中的相关细节。</w:t>
      </w:r>
      <w:r/>
    </w:p>
    <w:p>
      <w:pPr>
        <w:ind w:firstLine="560"/>
        <w:pageBreakBefore w:val="0"/>
        <w:spacing w:line="360" w:lineRule="auto"/>
        <w:widowControl w:val="off"/>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采用综合评分法的项目，未中标的投标人可于中标结果公告期限届满之日起通过苏采云系统查看自己的评审得分及排序情况。</w:t>
      </w:r>
      <w:r/>
    </w:p>
    <w:p>
      <w:pPr>
        <w:keepLines/>
        <w:keepNext/>
        <w:pageBreakBefore w:val="0"/>
        <w:spacing w:line="360" w:lineRule="auto"/>
        <w:widowControl w:val="off"/>
        <w:rPr>
          <w:rFonts w:hint="eastAsia" w:ascii="仿宋" w:hAnsi="仿宋" w:eastAsia="仿宋" w:cs="Arial"/>
          <w:color w:val="000000"/>
          <w:sz w:val="28"/>
          <w:szCs w:val="28"/>
        </w:rPr>
        <w:outlineLvl w:val="3"/>
      </w:pPr>
      <w:r/>
      <w:bookmarkStart w:id="144" w:name="_Toc513029232"/>
      <w:r/>
      <w:bookmarkStart w:id="145" w:name="_Toc20823304"/>
      <w:r/>
      <w:bookmarkStart w:id="146" w:name="_Toc16938548"/>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lang w:eastAsia="zh-CN"/>
        </w:rPr>
        <w:t xml:space="preserve">、</w:t>
      </w:r>
      <w:r>
        <w:rPr>
          <w:rFonts w:hint="eastAsia" w:ascii="仿宋" w:hAnsi="仿宋" w:eastAsia="仿宋" w:cs="Arial"/>
          <w:color w:val="000000"/>
          <w:sz w:val="28"/>
          <w:szCs w:val="28"/>
        </w:rPr>
        <w:t xml:space="preserve">投标文件的澄清</w:t>
      </w:r>
      <w:bookmarkEnd w:id="144"/>
      <w:r/>
      <w:bookmarkEnd w:id="145"/>
      <w:r/>
      <w:bookmarkEnd w:id="146"/>
      <w:r/>
      <w:r/>
    </w:p>
    <w:p>
      <w:pPr>
        <w:ind w:firstLine="560"/>
        <w:pageBreakBefore w:val="0"/>
        <w:spacing w:line="360" w:lineRule="auto"/>
        <w:widowControl w:val="off"/>
        <w:rPr>
          <w:rFonts w:ascii="仿宋" w:hAnsi="仿宋" w:eastAsia="仿宋"/>
          <w:color w:val="000000"/>
          <w:sz w:val="28"/>
          <w:szCs w:val="28"/>
        </w:rPr>
      </w:pPr>
      <w:r/>
      <w:bookmarkStart w:id="147" w:name="_Toc513029233"/>
      <w:r/>
      <w:bookmarkStart w:id="148" w:name="_Toc16938549"/>
      <w:r/>
      <w:bookmarkStart w:id="149" w:name="_Toc20823305"/>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pageBreakBefore w:val="0"/>
        <w:spacing w:line="360" w:lineRule="auto"/>
        <w:widowControl w:val="off"/>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47"/>
      <w:r/>
      <w:bookmarkEnd w:id="148"/>
      <w:r/>
      <w:bookmarkEnd w:id="149"/>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line="360" w:lineRule="auto"/>
        <w:widowControl w:val="off"/>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pageBreakBefore w:val="0"/>
        <w:spacing w:line="360" w:lineRule="auto"/>
        <w:widowControl w:val="off"/>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pageBreakBefore w:val="0"/>
        <w:spacing w:line="360" w:lineRule="auto"/>
        <w:widowControl w:val="off"/>
        <w:rPr>
          <w:rFonts w:ascii="仿宋" w:hAnsi="仿宋" w:eastAsia="仿宋"/>
          <w:color w:val="000000"/>
          <w:sz w:val="28"/>
          <w:szCs w:val="28"/>
        </w:rPr>
      </w:pPr>
      <w:r/>
      <w:bookmarkStart w:id="150" w:name="_Toc16938550"/>
      <w:r/>
      <w:bookmarkStart w:id="151" w:name="_Toc20823306"/>
      <w:r/>
      <w:bookmarkStart w:id="152"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pageBreakBefore w:val="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ind w:firstLine="420"/>
        <w:keepLines/>
        <w:keepNext/>
        <w:pageBreakBefore w:val="0"/>
        <w:spacing w:line="360" w:lineRule="auto"/>
        <w:widowControl w:val="off"/>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50"/>
      <w:r/>
      <w:bookmarkEnd w:id="151"/>
      <w:r/>
      <w:bookmarkEnd w:id="152"/>
      <w:r>
        <w:rPr>
          <w:rFonts w:hint="eastAsia" w:ascii="仿宋" w:hAnsi="仿宋" w:eastAsia="仿宋" w:cs="Arial"/>
          <w:color w:val="000000"/>
          <w:sz w:val="28"/>
          <w:szCs w:val="28"/>
        </w:rPr>
        <w:t xml:space="preserve">无效投标条款和废标条款</w:t>
      </w:r>
      <w:r/>
    </w:p>
    <w:p>
      <w:pPr>
        <w:ind w:left="479"/>
        <w:pageBreakBefore w:val="0"/>
        <w:spacing w:line="360" w:lineRule="auto"/>
        <w:widowControl w:val="off"/>
        <w:rPr>
          <w:rFonts w:hint="eastAsia" w:ascii="仿宋" w:hAnsi="仿宋" w:eastAsia="仿宋"/>
          <w:bCs/>
          <w:color w:val="000000"/>
          <w:sz w:val="28"/>
          <w:szCs w:val="28"/>
        </w:rPr>
      </w:pPr>
      <w:r/>
      <w:bookmarkStart w:id="153" w:name="_Toc20823307"/>
      <w:r/>
      <w:bookmarkStart w:id="154" w:name="_Toc16938551"/>
      <w:r/>
      <w:bookmarkStart w:id="155" w:name="_Toc513029235"/>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p>
    <w:p>
      <w:pPr>
        <w:ind w:firstLine="42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w:t>
      </w:r>
      <w:r>
        <w:rPr>
          <w:rFonts w:hint="eastAsia" w:ascii="仿宋" w:hAnsi="仿宋" w:eastAsia="仿宋"/>
          <w:bCs/>
          <w:color w:val="000000"/>
          <w:sz w:val="28"/>
          <w:szCs w:val="28"/>
        </w:rPr>
        <w:t xml:space="preserve">的时间内未成功解密电子投标文件的。</w:t>
      </w:r>
      <w:r/>
    </w:p>
    <w:p>
      <w:pPr>
        <w:ind w:firstLine="42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投标人未按照招标文件要求上传电子投标文件的。</w:t>
      </w:r>
      <w:r/>
    </w:p>
    <w:p>
      <w:pPr>
        <w:ind w:firstLine="42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w:t>
      </w:r>
      <w:r>
        <w:rPr>
          <w:rFonts w:hint="eastAsia" w:ascii="仿宋" w:hAnsi="仿宋" w:eastAsia="仿宋"/>
          <w:bCs/>
          <w:sz w:val="28"/>
          <w:szCs w:val="28"/>
        </w:rPr>
        <w:t xml:space="preserve">人同一</w:t>
      </w:r>
      <w:r>
        <w:rPr>
          <w:rFonts w:ascii="仿宋" w:hAnsi="仿宋" w:eastAsia="仿宋"/>
          <w:bCs/>
          <w:sz w:val="28"/>
          <w:szCs w:val="28"/>
        </w:rPr>
        <w:t xml:space="preserve">分包</w:t>
      </w:r>
      <w:r>
        <w:rPr>
          <w:rFonts w:hint="eastAsia" w:ascii="仿宋" w:hAnsi="仿宋" w:eastAsia="仿宋"/>
          <w:bCs/>
          <w:sz w:val="28"/>
          <w:szCs w:val="28"/>
        </w:rPr>
        <w:t xml:space="preserve">提交</w:t>
      </w:r>
      <w:r>
        <w:rPr>
          <w:rFonts w:hint="eastAsia" w:ascii="仿宋" w:hAnsi="仿宋" w:eastAsia="仿宋"/>
          <w:bCs/>
          <w:color w:val="000000"/>
          <w:sz w:val="28"/>
          <w:szCs w:val="28"/>
        </w:rPr>
        <w:t xml:space="preserve">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p>
    <w:p>
      <w:pPr>
        <w:ind w:firstLine="42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投标人不具备招标文件中规定资格要求的。</w:t>
      </w:r>
      <w:r/>
    </w:p>
    <w:p>
      <w:pPr>
        <w:ind w:firstLine="42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p>
    <w:p>
      <w:pPr>
        <w:ind w:firstLine="420"/>
        <w:pageBreakBefore w:val="0"/>
        <w:spacing w:line="360" w:lineRule="auto"/>
        <w:widowControl w:val="off"/>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p>
    <w:p>
      <w:pPr>
        <w:ind w:firstLine="420"/>
        <w:pageBreakBefore w:val="0"/>
        <w:spacing w:line="360" w:lineRule="auto"/>
        <w:widowControl w:val="off"/>
        <w:rPr>
          <w:rFonts w:hint="eastAsia" w:ascii="仿宋" w:hAnsi="仿宋" w:eastAsia="仿宋"/>
          <w:b/>
          <w:bCs/>
          <w:sz w:val="28"/>
          <w:szCs w:val="28"/>
          <w:highlight w:val="red"/>
          <w:u w:val="single"/>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7</w:t>
      </w:r>
      <w:r>
        <w:rPr>
          <w:rFonts w:hint="eastAsia" w:ascii="仿宋" w:hAnsi="仿宋" w:eastAsia="仿宋"/>
          <w:bCs/>
          <w:sz w:val="28"/>
          <w:szCs w:val="28"/>
        </w:rPr>
        <w:t xml:space="preserve">不符合招标文件中规定的实质性要求的</w:t>
      </w:r>
      <w:r>
        <w:rPr>
          <w:rFonts w:hint="eastAsia" w:ascii="仿宋" w:hAnsi="仿宋" w:eastAsia="仿宋"/>
          <w:b/>
          <w:bCs/>
          <w:sz w:val="28"/>
          <w:szCs w:val="28"/>
        </w:rPr>
        <w:t xml:space="preserve">（详见本招标文件第四章采购需求中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p>
    <w:p>
      <w:pPr>
        <w:ind w:firstLine="42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   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p>
    <w:p>
      <w:pPr>
        <w:ind w:firstLine="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   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w:t>
      </w:r>
      <w:r>
        <w:rPr>
          <w:rFonts w:hint="eastAsia" w:ascii="仿宋" w:hAnsi="仿宋" w:eastAsia="仿宋"/>
          <w:bCs/>
          <w:sz w:val="28"/>
          <w:szCs w:val="28"/>
        </w:rPr>
        <w:t xml:space="preserve">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w:t>
      </w:r>
      <w:r>
        <w:rPr>
          <w:rFonts w:hint="eastAsia" w:ascii="仿宋" w:hAnsi="仿宋" w:eastAsia="仿宋"/>
          <w:bCs/>
          <w:color w:val="000000"/>
          <w:sz w:val="28"/>
          <w:szCs w:val="28"/>
        </w:rPr>
        <w:t xml:space="preserve">不能证明其报价合理性的，评标委员会应当将其作为无效投标处理。</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投标文件未按照招标文件要求加盖CA电子公章的。</w:t>
      </w:r>
      <w:r/>
    </w:p>
    <w:p>
      <w:pPr>
        <w:ind w:firstLine="560"/>
        <w:pageBreakBefore w:val="0"/>
        <w:spacing w:line="360" w:lineRule="auto"/>
        <w:widowControl w:val="off"/>
        <w:rPr>
          <w:rFonts w:hint="eastAsia" w:ascii="仿宋" w:hAnsi="仿宋" w:eastAsia="仿宋"/>
          <w:bCs/>
          <w:color w:val="000000"/>
          <w:sz w:val="28"/>
          <w:szCs w:val="28"/>
          <w:highlight w:val="yellow"/>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其他法律、法规及本招标文件规定的属无效投标的情形。</w:t>
      </w:r>
      <w:r/>
    </w:p>
    <w:p>
      <w:pPr>
        <w:ind w:firstLine="560"/>
        <w:pageBreakBefore w:val="0"/>
        <w:spacing w:line="360" w:lineRule="auto"/>
        <w:widowControl w:val="off"/>
        <w:rPr>
          <w:rFonts w:ascii="仿宋" w:hAnsi="仿宋" w:eastAsia="仿宋"/>
          <w:bCs/>
          <w:color w:val="000000"/>
          <w:sz w:val="28"/>
          <w:szCs w:val="28"/>
          <w:highlight w:val="green"/>
        </w:rPr>
      </w:pPr>
      <w:r>
        <w:rPr>
          <w:rFonts w:hint="eastAsia" w:ascii="仿宋" w:hAnsi="仿宋" w:eastAsia="仿宋"/>
          <w:bCs/>
          <w:color w:val="000000"/>
          <w:sz w:val="28"/>
          <w:szCs w:val="28"/>
        </w:rPr>
        <w:t xml:space="preserve">27.1.14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ind w:left="479"/>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p>
    <w:p>
      <w:pPr>
        <w:ind w:left="479"/>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p>
    <w:p>
      <w:pPr>
        <w:ind w:left="479"/>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p>
    <w:p>
      <w:pPr>
        <w:ind w:left="479"/>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p>
    <w:p>
      <w:pPr>
        <w:ind w:left="479"/>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w:t>
      </w:r>
      <w:r>
        <w:rPr>
          <w:rFonts w:hint="eastAsia" w:ascii="仿宋" w:hAnsi="仿宋" w:eastAsia="仿宋"/>
          <w:bCs/>
          <w:color w:val="000000"/>
          <w:sz w:val="28"/>
          <w:szCs w:val="28"/>
          <w:lang w:val="en-US" w:eastAsia="zh-CN"/>
        </w:rPr>
        <w:t xml:space="preserve">审工作</w:t>
      </w:r>
      <w:r>
        <w:rPr>
          <w:rFonts w:hint="eastAsia" w:ascii="仿宋" w:hAnsi="仿宋" w:eastAsia="仿宋"/>
          <w:bCs/>
          <w:color w:val="000000"/>
          <w:sz w:val="28"/>
          <w:szCs w:val="28"/>
        </w:rPr>
        <w:t xml:space="preserve">无法进行。</w:t>
      </w:r>
      <w:r/>
    </w:p>
    <w:p>
      <w:pPr>
        <w:ind w:left="479"/>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w:t>
      </w:r>
      <w:r>
        <w:rPr>
          <w:rFonts w:hint="eastAsia" w:ascii="仿宋" w:hAnsi="仿宋" w:eastAsia="仿宋"/>
          <w:bCs/>
          <w:sz w:val="28"/>
          <w:szCs w:val="28"/>
        </w:rPr>
        <w:t xml:space="preserve">因</w:t>
      </w:r>
      <w:r>
        <w:rPr>
          <w:rFonts w:hint="eastAsia" w:ascii="仿宋" w:hAnsi="仿宋" w:eastAsia="仿宋"/>
          <w:sz w:val="28"/>
          <w:szCs w:val="28"/>
        </w:rPr>
        <w:t xml:space="preserve">苏采云系统</w:t>
      </w:r>
      <w:r>
        <w:rPr>
          <w:rFonts w:ascii="仿宋" w:hAnsi="仿宋" w:eastAsia="仿宋"/>
          <w:bCs/>
          <w:sz w:val="28"/>
          <w:szCs w:val="28"/>
        </w:rPr>
        <w:t xml:space="preserve">系统故</w:t>
      </w:r>
      <w:r>
        <w:rPr>
          <w:rFonts w:ascii="仿宋" w:hAnsi="仿宋" w:eastAsia="仿宋"/>
          <w:bCs/>
          <w:color w:val="000000"/>
          <w:sz w:val="28"/>
          <w:szCs w:val="28"/>
        </w:rPr>
        <w:t xml:space="preserve">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p>
    <w:p>
      <w:pPr>
        <w:ind w:left="479"/>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156" w:name="_Toc120614219"/>
      <w:r>
        <w:rPr>
          <w:rFonts w:hint="eastAsia" w:ascii="仿宋" w:hAnsi="仿宋" w:eastAsia="仿宋"/>
          <w:b/>
          <w:bCs/>
          <w:color w:val="000000"/>
          <w:sz w:val="28"/>
          <w:szCs w:val="28"/>
        </w:rPr>
        <w:t xml:space="preserve">六、</w:t>
      </w:r>
      <w:bookmarkEnd w:id="153"/>
      <w:r/>
      <w:bookmarkEnd w:id="154"/>
      <w:r/>
      <w:bookmarkEnd w:id="155"/>
      <w:r>
        <w:rPr>
          <w:rFonts w:hint="eastAsia" w:ascii="仿宋" w:hAnsi="仿宋" w:eastAsia="仿宋"/>
          <w:b/>
          <w:bCs/>
          <w:color w:val="000000"/>
          <w:sz w:val="28"/>
          <w:szCs w:val="28"/>
        </w:rPr>
        <w:t xml:space="preserve">定标</w:t>
      </w:r>
      <w:bookmarkEnd w:id="156"/>
      <w:r/>
      <w:r/>
    </w:p>
    <w:p>
      <w:pPr>
        <w:keepLines/>
        <w:keepNext/>
        <w:pageBreakBefore w:val="0"/>
        <w:spacing w:line="360" w:lineRule="auto"/>
        <w:widowControl w:val="off"/>
        <w:rPr>
          <w:rFonts w:hint="eastAsia" w:ascii="仿宋" w:hAnsi="仿宋" w:eastAsia="仿宋"/>
          <w:bCs/>
          <w:color w:val="000000"/>
          <w:sz w:val="28"/>
          <w:szCs w:val="28"/>
        </w:rPr>
        <w:outlineLvl w:val="3"/>
      </w:pPr>
      <w:r/>
      <w:bookmarkStart w:id="157" w:name="_Toc513029238"/>
      <w:r/>
      <w:bookmarkStart w:id="158" w:name="_Toc16938554"/>
      <w:r/>
      <w:bookmarkStart w:id="159" w:name="_Toc20823310"/>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57"/>
      <w:r>
        <w:rPr>
          <w:rFonts w:hint="eastAsia" w:ascii="仿宋" w:hAnsi="仿宋" w:eastAsia="仿宋"/>
          <w:bCs/>
          <w:color w:val="000000"/>
          <w:sz w:val="28"/>
          <w:szCs w:val="28"/>
        </w:rPr>
        <w:t xml:space="preserve">确定</w:t>
      </w:r>
      <w:bookmarkEnd w:id="158"/>
      <w:r/>
      <w:bookmarkEnd w:id="159"/>
      <w:r>
        <w:rPr>
          <w:rFonts w:hint="eastAsia" w:ascii="仿宋" w:hAnsi="仿宋" w:eastAsia="仿宋"/>
          <w:bCs/>
          <w:color w:val="000000"/>
          <w:sz w:val="28"/>
          <w:szCs w:val="28"/>
        </w:rPr>
        <w:t xml:space="preserve">中标单位</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.2采购人应根据评委会推荐的中标候选人确定中标人。</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w:t>
      </w:r>
      <w:r>
        <w:rPr>
          <w:rFonts w:hint="eastAsia" w:ascii="仿宋" w:hAnsi="仿宋" w:eastAsia="仿宋"/>
          <w:color w:val="000000"/>
          <w:sz w:val="28"/>
          <w:szCs w:val="28"/>
        </w:rPr>
        <w:t xml:space="preserve">采购中心将在“江苏政府采购网”发布中标公告，公告期限为1个工作日。</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.4若有充分证据证明，中标人出现下列情况之一的，一经查实，将被取消中标资格：</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p>
    <w:p>
      <w:pPr>
        <w:ind w:firstLine="560"/>
        <w:pageBreakBefore w:val="0"/>
        <w:spacing w:line="360" w:lineRule="auto"/>
        <w:widowControl w:val="off"/>
        <w:rPr>
          <w:rFonts w:ascii="仿宋" w:hAnsi="仿宋" w:eastAsia="仿宋"/>
          <w:color w:val="000000"/>
          <w:sz w:val="28"/>
          <w:szCs w:val="28"/>
        </w:rPr>
      </w:pPr>
      <w:r/>
      <w:bookmarkStart w:id="160"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p>
    <w:p>
      <w:pPr>
        <w:ind w:firstLine="56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p>
    <w:p>
      <w:pPr>
        <w:ind w:firstLine="56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p>
    <w:p>
      <w:pPr>
        <w:ind w:firstLine="56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.5.3不同投标人的投标文件载明的项目管理成员或者联系人员为同一人；</w:t>
      </w:r>
      <w:r/>
    </w:p>
    <w:p>
      <w:pPr>
        <w:ind w:firstLine="56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p>
    <w:p>
      <w:pPr>
        <w:keepLines/>
        <w:keepNext/>
        <w:pageBreakBefore w:val="0"/>
        <w:spacing w:line="360" w:lineRule="auto"/>
        <w:widowControl w:val="off"/>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60"/>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.1提出质疑的供应商应当是参与所质疑项目采购活动的供应商。潜在供应商依法获取其可质疑的采购文件的，可以对采购文件提出质疑。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560"/>
        <w:jc w:val="both"/>
        <w:pageBreakBefore w:val="0"/>
        <w:spacing w:line="360" w:lineRule="auto"/>
        <w:widowControl w:val="off"/>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p>
    <w:p>
      <w:pPr>
        <w:ind w:firstLine="560"/>
        <w:pageBreakBefore w:val="0"/>
        <w:spacing w:line="360" w:lineRule="auto"/>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360" w:lineRule="auto"/>
        <w:widowControl w:val="off"/>
        <w:rPr>
          <w:rFonts w:hint="eastAsia" w:ascii="仿宋" w:hAnsi="仿宋" w:eastAsia="仿宋"/>
          <w:b/>
          <w:sz w:val="28"/>
          <w:szCs w:val="28"/>
        </w:rPr>
      </w:pPr>
      <w:r>
        <w:rPr>
          <w:rFonts w:ascii="仿宋" w:hAnsi="仿宋" w:eastAsia="仿宋"/>
          <w:sz w:val="28"/>
          <w:szCs w:val="28"/>
        </w:rPr>
        <w:t xml:space="preserve">29</w:t>
      </w:r>
      <w:r>
        <w:rPr>
          <w:rFonts w:hint="eastAsia" w:ascii="仿宋" w:hAnsi="仿宋" w:eastAsia="仿宋"/>
          <w:sz w:val="28"/>
          <w:szCs w:val="28"/>
        </w:rPr>
        <w:t xml:space="preserve">.4供应商（含潜在</w:t>
      </w:r>
      <w:r>
        <w:rPr>
          <w:rFonts w:ascii="仿宋" w:hAnsi="仿宋" w:eastAsia="仿宋"/>
          <w:sz w:val="28"/>
          <w:szCs w:val="28"/>
        </w:rPr>
        <w:t xml:space="preserve">供应商</w:t>
      </w:r>
      <w:r>
        <w:rPr>
          <w:rFonts w:hint="eastAsia" w:ascii="仿宋" w:hAnsi="仿宋" w:eastAsia="仿宋"/>
          <w:sz w:val="28"/>
          <w:szCs w:val="28"/>
        </w:rPr>
        <w:t xml:space="preserve">）对</w:t>
      </w:r>
      <w:r>
        <w:rPr>
          <w:rFonts w:ascii="仿宋" w:hAnsi="仿宋" w:eastAsia="仿宋"/>
          <w:sz w:val="28"/>
          <w:szCs w:val="28"/>
        </w:rPr>
        <w:t xml:space="preserve">采购方式、</w:t>
      </w:r>
      <w:r>
        <w:rPr>
          <w:rFonts w:hint="eastAsia" w:ascii="仿宋" w:hAnsi="仿宋" w:eastAsia="仿宋"/>
          <w:sz w:val="28"/>
          <w:szCs w:val="28"/>
        </w:rPr>
        <w:t xml:space="preserve">招标文件中采购</w:t>
      </w:r>
      <w:r>
        <w:rPr>
          <w:rFonts w:ascii="仿宋" w:hAnsi="仿宋" w:eastAsia="仿宋"/>
          <w:sz w:val="28"/>
          <w:szCs w:val="28"/>
        </w:rPr>
        <w:t xml:space="preserve">需求、</w:t>
      </w:r>
      <w:r>
        <w:rPr>
          <w:rFonts w:hint="eastAsia" w:ascii="仿宋" w:hAnsi="仿宋" w:eastAsia="仿宋"/>
          <w:sz w:val="28"/>
          <w:szCs w:val="28"/>
        </w:rPr>
        <w:t xml:space="preserve">供应商</w:t>
      </w:r>
      <w:r>
        <w:rPr>
          <w:rFonts w:ascii="仿宋" w:hAnsi="仿宋" w:eastAsia="仿宋"/>
          <w:sz w:val="28"/>
          <w:szCs w:val="28"/>
        </w:rPr>
        <w:t xml:space="preserve">资格条件、</w:t>
      </w:r>
      <w:r>
        <w:rPr>
          <w:rFonts w:hint="eastAsia" w:ascii="仿宋" w:hAnsi="仿宋" w:eastAsia="仿宋"/>
          <w:sz w:val="28"/>
          <w:szCs w:val="28"/>
        </w:rPr>
        <w:t xml:space="preserve">评标方法</w:t>
      </w:r>
      <w:r>
        <w:rPr>
          <w:rFonts w:ascii="仿宋" w:hAnsi="仿宋" w:eastAsia="仿宋"/>
          <w:sz w:val="28"/>
          <w:szCs w:val="28"/>
        </w:rPr>
        <w:t xml:space="preserve">和评标标准、合同文本</w:t>
      </w:r>
      <w:r>
        <w:rPr>
          <w:rFonts w:hint="eastAsia" w:ascii="仿宋" w:hAnsi="仿宋" w:eastAsia="仿宋"/>
          <w:sz w:val="28"/>
          <w:szCs w:val="28"/>
        </w:rPr>
        <w:t xml:space="preserve">及</w:t>
      </w:r>
      <w:r>
        <w:rPr>
          <w:rFonts w:ascii="仿宋" w:hAnsi="仿宋" w:eastAsia="仿宋"/>
          <w:sz w:val="28"/>
          <w:szCs w:val="28"/>
        </w:rPr>
        <w:t xml:space="preserve">资格</w:t>
      </w:r>
      <w:r>
        <w:rPr>
          <w:rFonts w:hint="eastAsia" w:ascii="仿宋" w:hAnsi="仿宋" w:eastAsia="仿宋"/>
          <w:sz w:val="28"/>
          <w:szCs w:val="28"/>
        </w:rPr>
        <w:t xml:space="preserve">审查结果的</w:t>
      </w:r>
      <w:r>
        <w:rPr>
          <w:rFonts w:ascii="仿宋" w:hAnsi="仿宋" w:eastAsia="仿宋"/>
          <w:sz w:val="28"/>
          <w:szCs w:val="28"/>
        </w:rPr>
        <w:t xml:space="preserve">询问</w:t>
      </w:r>
      <w:r>
        <w:rPr>
          <w:rFonts w:hint="eastAsia" w:ascii="仿宋" w:hAnsi="仿宋" w:eastAsia="仿宋"/>
          <w:sz w:val="28"/>
          <w:szCs w:val="28"/>
        </w:rPr>
        <w:t xml:space="preserve">、质疑</w:t>
      </w:r>
      <w:r>
        <w:rPr>
          <w:rFonts w:ascii="仿宋" w:hAnsi="仿宋" w:eastAsia="仿宋"/>
          <w:sz w:val="28"/>
          <w:szCs w:val="28"/>
        </w:rPr>
        <w:t xml:space="preserve">请向采购人提出，由采购人负责答复。</w:t>
      </w:r>
      <w:r>
        <w:rPr>
          <w:rFonts w:hint="eastAsia" w:ascii="仿宋" w:hAnsi="仿宋" w:eastAsia="仿宋"/>
          <w:sz w:val="28"/>
          <w:szCs w:val="28"/>
        </w:rPr>
        <w:t xml:space="preserve">供应商对</w:t>
      </w:r>
      <w:r>
        <w:rPr>
          <w:rFonts w:ascii="仿宋" w:hAnsi="仿宋" w:eastAsia="仿宋"/>
          <w:sz w:val="28"/>
          <w:szCs w:val="28"/>
        </w:rPr>
        <w:t xml:space="preserve">其他事项</w:t>
      </w:r>
      <w:r>
        <w:rPr>
          <w:rFonts w:hint="eastAsia" w:ascii="仿宋" w:hAnsi="仿宋" w:eastAsia="仿宋"/>
          <w:sz w:val="28"/>
          <w:szCs w:val="28"/>
        </w:rPr>
        <w:t xml:space="preserve">的询问</w:t>
      </w:r>
      <w:r>
        <w:rPr>
          <w:rFonts w:ascii="仿宋" w:hAnsi="仿宋" w:eastAsia="仿宋"/>
          <w:sz w:val="28"/>
          <w:szCs w:val="28"/>
        </w:rPr>
        <w:t xml:space="preserve">、质疑请向采购中心提出，由采购中心</w:t>
      </w:r>
      <w:r>
        <w:rPr>
          <w:rFonts w:hint="eastAsia" w:ascii="仿宋" w:hAnsi="仿宋" w:eastAsia="仿宋"/>
          <w:sz w:val="28"/>
          <w:szCs w:val="28"/>
        </w:rPr>
        <w:t xml:space="preserve">负责</w:t>
      </w:r>
      <w:r>
        <w:rPr>
          <w:rFonts w:ascii="仿宋" w:hAnsi="仿宋" w:eastAsia="仿宋"/>
          <w:sz w:val="28"/>
          <w:szCs w:val="28"/>
        </w:rPr>
        <w:t xml:space="preserve">答复。</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采购人及采购中心只接收以纸质原件形式送达的质疑,建议供应商尽量通过邮寄方式提交质疑（采购人和采购中心不接受无快递运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采购中心质疑接收部门为政策法规科（快递运单上的收件人填写“政策法规科”即可），联系地址：南通市崇川区工农路150号南通市政务中心裙楼415室，联系电话：0513-59001850。</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.5.1内容不符合《政府采购质疑和投诉办法》第十二条规定的质疑。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.5.2超出政府采购法定期限的质疑。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.5.3以传真、电子邮件等方式递交的非原件形式的质疑。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.5.4未参加投标活动的供应商或在投标活动中自身权益未受到损害的供应商所提出的质疑。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p>
    <w:p>
      <w:pPr>
        <w:ind w:firstLine="546"/>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、中标通知书</w:t>
      </w:r>
      <w:r/>
    </w:p>
    <w:p>
      <w:pPr>
        <w:ind w:firstLine="560"/>
        <w:pageBreakBefore w:val="0"/>
        <w:spacing w:line="360" w:lineRule="auto"/>
        <w:widowControl w:val="off"/>
        <w:rPr>
          <w:rFonts w:hint="eastAsia"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161" w:name="_Toc20823308"/>
      <w:r/>
      <w:bookmarkStart w:id="162" w:name="_Toc120614220"/>
      <w:r/>
      <w:bookmarkStart w:id="163" w:name="_Toc513029236"/>
      <w:r/>
      <w:bookmarkStart w:id="164" w:name="_Toc16938552"/>
      <w:r>
        <w:rPr>
          <w:rFonts w:hint="eastAsia" w:ascii="仿宋" w:hAnsi="仿宋" w:eastAsia="仿宋"/>
          <w:b/>
          <w:bCs/>
          <w:color w:val="000000"/>
          <w:sz w:val="28"/>
          <w:szCs w:val="28"/>
        </w:rPr>
        <w:t xml:space="preserve">七、授予合同</w:t>
      </w:r>
      <w:bookmarkEnd w:id="161"/>
      <w:r/>
      <w:bookmarkEnd w:id="162"/>
      <w:r/>
      <w:bookmarkEnd w:id="163"/>
      <w:r/>
      <w:bookmarkEnd w:id="164"/>
      <w:r/>
      <w:r/>
    </w:p>
    <w:p>
      <w:pPr>
        <w:keepLines/>
        <w:keepNext/>
        <w:pageBreakBefore w:val="0"/>
        <w:spacing w:line="360" w:lineRule="auto"/>
        <w:widowControl w:val="off"/>
        <w:rPr>
          <w:rFonts w:hint="eastAsia" w:ascii="仿宋" w:hAnsi="仿宋" w:eastAsia="仿宋"/>
          <w:bCs/>
          <w:color w:val="000000"/>
          <w:sz w:val="28"/>
          <w:szCs w:val="28"/>
        </w:rPr>
        <w:outlineLvl w:val="3"/>
      </w:pPr>
      <w:r/>
      <w:bookmarkStart w:id="165" w:name="_Toc20823309"/>
      <w:r/>
      <w:bookmarkStart w:id="166" w:name="_Toc16938553"/>
      <w:r/>
      <w:bookmarkStart w:id="167" w:name="_Toc513029237"/>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签订合同</w:t>
      </w:r>
      <w:r/>
    </w:p>
    <w:p>
      <w:pPr>
        <w:ind w:firstLine="70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1</w:t>
      </w:r>
      <w:r>
        <w:rPr>
          <w:rFonts w:hint="eastAsia" w:ascii="仿宋" w:hAnsi="仿宋" w:eastAsia="仿宋"/>
          <w:color w:val="000000"/>
          <w:sz w:val="28"/>
          <w:szCs w:val="28"/>
        </w:rPr>
        <w:t xml:space="preserve">.2招标文件、中标人的投标文件及招标过程中有关澄清、承诺文件均应作为合同附件。</w:t>
      </w:r>
      <w:r/>
    </w:p>
    <w:p>
      <w:pPr>
        <w:ind w:firstLine="70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31.3签订合同后，</w:t>
      </w:r>
      <w:r>
        <w:rPr>
          <w:rFonts w:hint="eastAsia" w:ascii="仿宋" w:hAnsi="仿宋" w:eastAsia="仿宋"/>
          <w:i/>
          <w:iCs/>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p>
    <w:p>
      <w:pPr>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、服务（包含与服务相关的货物）的追加</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仿宋" w:hAnsi="仿宋" w:eastAsia="仿宋"/>
          <w:color w:val="000000"/>
          <w:sz w:val="28"/>
          <w:szCs w:val="28"/>
        </w:rPr>
        <w:t xml:space="preserve">。</w:t>
      </w:r>
      <w:bookmarkEnd w:id="165"/>
      <w:r/>
      <w:bookmarkEnd w:id="166"/>
      <w:r/>
      <w:bookmarkEnd w:id="167"/>
      <w:r/>
      <w:r/>
    </w:p>
    <w:p>
      <w:pPr>
        <w:keepLines/>
        <w:keepNext/>
        <w:pageBreakBefore w:val="0"/>
        <w:spacing w:line="360" w:lineRule="auto"/>
        <w:widowControl w:val="off"/>
        <w:rPr>
          <w:rFonts w:ascii="仿宋" w:hAnsi="仿宋" w:eastAsia="仿宋"/>
          <w:bCs/>
          <w:color w:val="000000"/>
          <w:sz w:val="28"/>
          <w:szCs w:val="28"/>
        </w:rPr>
        <w:outlineLvl w:val="3"/>
      </w:pPr>
      <w:r/>
      <w:bookmarkStart w:id="168" w:name="_Toc16938558"/>
      <w:r/>
      <w:bookmarkStart w:id="169" w:name="_Toc20823314"/>
      <w:r/>
      <w:bookmarkStart w:id="170" w:name="_Toc120614221"/>
      <w:r/>
      <w:bookmarkStart w:id="171" w:name="_Toc479757207"/>
      <w:r/>
      <w:bookmarkStart w:id="172" w:name="_Toc513029242"/>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、政府采购履约资金扶持政策</w:t>
      </w:r>
      <w:r/>
    </w:p>
    <w:p>
      <w:pPr>
        <w:ind w:firstLine="555"/>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hd w:val="clear" w:color="auto"/>
        <w:rPr>
          <w:rFonts w:hint="eastAsia" w:ascii="宋体" w:hAnsi="宋体"/>
          <w:bCs/>
          <w:color w:val="000000"/>
          <w:sz w:val="24"/>
          <w:szCs w:val="24"/>
        </w:rPr>
      </w:pPr>
      <w:r>
        <w:rPr>
          <w:rFonts w:hint="eastAsia"/>
          <w:color w:val="000000"/>
          <w:szCs w:val="21"/>
        </w:rPr>
        <w:br w:type="page" w:clear="all"/>
      </w:r>
      <w:r/>
    </w:p>
    <w:p>
      <w:pPr>
        <w:jc w:val="center"/>
        <w:keepLines w:val="0"/>
        <w:keepNext/>
        <w:pageBreakBefore w:val="0"/>
        <w:spacing w:line="360" w:lineRule="auto"/>
        <w:widowControl w:val="off"/>
        <w:rPr>
          <w:rFonts w:ascii="宋体" w:hAnsi="宋体" w:cs="宋体"/>
          <w:b/>
          <w:bCs/>
          <w:spacing w:val="-20"/>
          <w:sz w:val="48"/>
          <w:szCs w:val="48"/>
        </w:rPr>
        <w:outlineLvl w:val="0"/>
      </w:pPr>
      <w:r>
        <w:rPr>
          <w:rFonts w:hint="eastAsia" w:ascii="黑体" w:eastAsia="黑体"/>
          <w:bCs/>
          <w:color w:val="000000"/>
          <w:sz w:val="44"/>
          <w:szCs w:val="28"/>
        </w:rPr>
        <w:t xml:space="preserve">第三章  合同</w:t>
      </w:r>
      <w:bookmarkEnd w:id="168"/>
      <w:r/>
      <w:bookmarkEnd w:id="169"/>
      <w:r/>
      <w:bookmarkEnd w:id="170"/>
      <w:r/>
      <w:bookmarkEnd w:id="171"/>
      <w:r/>
      <w:bookmarkEnd w:id="172"/>
      <w:r>
        <w:rPr>
          <w:rFonts w:hint="eastAsia" w:ascii="黑体" w:eastAsia="黑体"/>
          <w:bCs/>
          <w:color w:val="000000"/>
          <w:sz w:val="44"/>
          <w:szCs w:val="28"/>
        </w:rPr>
        <w:t xml:space="preserve">文本</w:t>
      </w:r>
      <w:bookmarkStart w:id="173" w:name="_Toc3995"/>
      <w:r/>
      <w:bookmarkEnd w:id="173"/>
      <w:r/>
      <w:bookmarkStart w:id="174" w:name="_Hlt16619369"/>
      <w:r/>
      <w:bookmarkEnd w:id="174"/>
      <w:r/>
      <w:bookmarkStart w:id="175" w:name="_Hlt16619350"/>
      <w:r/>
      <w:bookmarkStart w:id="176" w:name="_Toc20823346"/>
      <w:r/>
      <w:bookmarkStart w:id="177" w:name="_Toc16938590"/>
      <w:r/>
      <w:bookmarkStart w:id="178" w:name="_Toc120614244"/>
      <w:r/>
      <w:bookmarkStart w:id="179" w:name="_Toc462564139"/>
      <w:r/>
      <w:bookmarkStart w:id="180" w:name="_Toc479757211"/>
      <w:r/>
      <w:r/>
    </w:p>
    <w:p>
      <w:pPr>
        <w:ind w:firstLine="480"/>
        <w:jc w:val="both"/>
        <w:keepLines w:val="0"/>
        <w:keepNext w:val="0"/>
        <w:pageBreakBefore w:val="0"/>
        <w:spacing w:after="0"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以下为中标后签订本项目合同的通用条款，中标人不得提出实质性的修改。</w:t>
      </w:r>
      <w:r/>
    </w:p>
    <w:p>
      <w:pPr>
        <w:ind w:firstLine="480"/>
        <w:jc w:val="center"/>
        <w:keepLines w:val="0"/>
        <w:keepNext w:val="0"/>
        <w:pageBreakBefore w:val="0"/>
        <w:spacing w:after="0"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江苏省政府采购合同（服务）（合同编号）</w:t>
      </w:r>
      <w:r/>
    </w:p>
    <w:p>
      <w:pPr>
        <w:ind w:firstLine="480"/>
        <w:jc w:val="both"/>
        <w:keepLines w:val="0"/>
        <w:keepNext w:val="0"/>
        <w:pageBreakBefore w:val="0"/>
        <w:spacing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u w:val="single"/>
        </w:rPr>
        <w:t xml:space="preserve">南通市人民检察院驻看守所检察室信息化建设项目</w:t>
      </w:r>
      <w:r>
        <w:rPr>
          <w:rFonts w:hint="eastAsia" w:ascii="仿宋" w:hAnsi="仿宋" w:eastAsia="仿宋" w:cs="仿宋"/>
          <w:color w:val="000000"/>
          <w:sz w:val="28"/>
          <w:szCs w:val="28"/>
        </w:rPr>
        <w:t xml:space="preserve">                                     </w:t>
      </w:r>
      <w:r/>
    </w:p>
    <w:p>
      <w:pPr>
        <w:ind w:firstLine="480"/>
        <w:jc w:val="both"/>
        <w:keepLines w:val="0"/>
        <w:keepNext w:val="0"/>
        <w:pageBreakBefore w:val="0"/>
        <w:spacing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甲方：（买方）</w:t>
      </w:r>
      <w:r>
        <w:rPr>
          <w:rFonts w:hint="eastAsia" w:ascii="仿宋" w:hAnsi="仿宋" w:eastAsia="仿宋" w:cs="仿宋"/>
          <w:color w:val="000000"/>
          <w:sz w:val="28"/>
          <w:szCs w:val="28"/>
          <w:u w:val="single"/>
        </w:rPr>
        <w:t xml:space="preserve">___江苏省南通市人民检察院______</w:t>
      </w:r>
      <w:r/>
    </w:p>
    <w:p>
      <w:pPr>
        <w:ind w:firstLine="480"/>
        <w:jc w:val="both"/>
        <w:keepLines w:val="0"/>
        <w:keepNext w:val="0"/>
        <w:pageBreakBefore w:val="0"/>
        <w:spacing w:after="0" w:line="360" w:lineRule="auto"/>
        <w:widowControl w:val="off"/>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乙方：（卖方）</w:t>
      </w:r>
      <w:r>
        <w:rPr>
          <w:rFonts w:hint="eastAsia" w:ascii="仿宋" w:hAnsi="仿宋" w:eastAsia="仿宋" w:cs="仿宋"/>
          <w:color w:val="000000"/>
          <w:sz w:val="28"/>
          <w:szCs w:val="28"/>
          <w:u w:val="single"/>
          <w:lang w:val="en-US" w:eastAsia="zh-CN"/>
        </w:rPr>
        <w:t xml:space="preserve">                               </w:t>
      </w:r>
      <w:r/>
    </w:p>
    <w:p>
      <w:pPr>
        <w:numPr>
          <w:ilvl w:val="0"/>
          <w:numId w:val="7"/>
        </w:numPr>
        <w:ind w:firstLine="480"/>
        <w:jc w:val="both"/>
        <w:keepLines w:val="0"/>
        <w:keepNext w:val="0"/>
        <w:pageBreakBefore w:val="0"/>
        <w:spacing w:after="0" w:line="360" w:lineRule="auto"/>
        <w:widowControl w:val="off"/>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rPr>
        <w:t xml:space="preserve">乙双方根据南通市政府采购中心</w:t>
      </w:r>
      <w:r>
        <w:rPr>
          <w:rFonts w:hint="eastAsia" w:ascii="仿宋" w:hAnsi="仿宋" w:eastAsia="仿宋" w:cs="仿宋"/>
          <w:color w:val="000000"/>
          <w:sz w:val="28"/>
          <w:szCs w:val="28"/>
          <w:u w:val="single"/>
        </w:rPr>
        <w:t xml:space="preserve">南通市人民检察院驻看守所检察室信息化建设项目</w:t>
      </w:r>
      <w:r>
        <w:rPr>
          <w:rFonts w:hint="eastAsia" w:ascii="仿宋" w:hAnsi="仿宋" w:eastAsia="仿宋" w:cs="仿宋"/>
          <w:color w:val="000000"/>
          <w:sz w:val="28"/>
          <w:szCs w:val="28"/>
        </w:rPr>
        <w:t xml:space="preserve">项目（项目编号：</w:t>
      </w:r>
      <w:r>
        <w:rPr>
          <w:rFonts w:hint="default" w:ascii="Times New Roman" w:hAnsi="Times New Roman" w:eastAsia="仿宋" w:cs="Times New Roman"/>
          <w:color w:val="000000"/>
          <w:sz w:val="28"/>
          <w:szCs w:val="28"/>
        </w:rPr>
        <w:t xml:space="preserve">JSZC-320600-JZCG-G2024-0258</w:t>
      </w:r>
      <w:r>
        <w:rPr>
          <w:rFonts w:hint="eastAsia" w:ascii="仿宋" w:hAnsi="仿宋" w:eastAsia="仿宋" w:cs="仿宋"/>
          <w:color w:val="000000"/>
          <w:sz w:val="28"/>
          <w:szCs w:val="28"/>
        </w:rPr>
        <w:t xml:space="preserve">）公</w:t>
      </w:r>
      <w:r>
        <w:rPr>
          <w:rFonts w:hint="eastAsia" w:ascii="仿宋" w:hAnsi="仿宋" w:eastAsia="仿宋" w:cs="仿宋"/>
          <w:color w:val="000000"/>
          <w:sz w:val="28"/>
          <w:szCs w:val="28"/>
          <w:highlight w:val="none"/>
        </w:rPr>
        <w:t xml:space="preserve">开招标的结果，签署本合同。</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一、合同内容</w:t>
      </w:r>
      <w:r/>
    </w:p>
    <w:p>
      <w:pPr>
        <w:pStyle w:val="985"/>
        <w:ind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 标的名称：</w:t>
      </w:r>
      <w:r>
        <w:rPr>
          <w:rFonts w:hint="eastAsia" w:ascii="仿宋" w:hAnsi="仿宋" w:eastAsia="仿宋" w:cs="仿宋"/>
          <w:sz w:val="28"/>
          <w:szCs w:val="28"/>
          <w:highlight w:val="none"/>
          <w:u w:val="single"/>
        </w:rPr>
        <w:t xml:space="preserve">南通市人民检察院驻看守所检察室信息化建设项目</w:t>
      </w:r>
      <w:r/>
    </w:p>
    <w:p>
      <w:pPr>
        <w:pStyle w:val="1066"/>
        <w:ind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1.2标的质量：符合招投标文件要求的软硬件产品</w:t>
      </w:r>
      <w:r>
        <w:rPr>
          <w:rFonts w:hint="eastAsia" w:ascii="仿宋" w:hAnsi="仿宋" w:eastAsia="仿宋" w:cs="仿宋"/>
          <w:color w:val="c00000"/>
          <w:sz w:val="28"/>
          <w:szCs w:val="28"/>
          <w:highlight w:val="none"/>
        </w:rPr>
        <w:t xml:space="preserve"> </w:t>
      </w:r>
      <w:r/>
    </w:p>
    <w:p>
      <w:pPr>
        <w:pStyle w:val="985"/>
        <w:ind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 标的数量（规模）：同招标文件要求。</w:t>
      </w:r>
      <w:r/>
    </w:p>
    <w:p>
      <w:pPr>
        <w:pStyle w:val="985"/>
        <w:ind w:firstLine="560"/>
        <w:keepLines w:val="0"/>
        <w:keepNext w:val="0"/>
        <w:pageBreakBefore w:val="0"/>
        <w:spacing w:before="120" w:after="120" w:line="360" w:lineRule="auto"/>
        <w:widowControl w:val="off"/>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1.4 履行时间</w:t>
      </w:r>
      <w:r>
        <w:rPr>
          <w:rFonts w:hint="eastAsia" w:ascii="仿宋" w:hAnsi="仿宋" w:eastAsia="仿宋" w:cs="仿宋"/>
          <w:color w:val="auto"/>
          <w:sz w:val="28"/>
          <w:szCs w:val="28"/>
          <w:highlight w:val="none"/>
        </w:rPr>
        <w:t xml:space="preserve">（期限）：合同签署后90天。</w:t>
      </w:r>
      <w:r/>
    </w:p>
    <w:p>
      <w:pPr>
        <w:pStyle w:val="985"/>
        <w:ind w:firstLine="560"/>
        <w:keepLines w:val="0"/>
        <w:keepNext w:val="0"/>
        <w:pageBreakBefore w:val="0"/>
        <w:spacing w:before="120" w:after="12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 履行地点：南通市人民检察院指定地点</w:t>
      </w:r>
      <w:r/>
    </w:p>
    <w:p>
      <w:pPr>
        <w:pStyle w:val="985"/>
        <w:ind w:firstLine="560"/>
        <w:keepLines w:val="0"/>
        <w:keepNext w:val="0"/>
        <w:pageBreakBefore w:val="0"/>
        <w:spacing w:before="120" w:after="12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1.6履行方式：信息化集成服务及现场施工建设。</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二、合同金额</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本合同金额为（大写）：____________圆（____________元）人民币或其他币种。</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三、技术资料</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3.1乙方应按招标文件规定的时间向甲方提供服务（包含与服务相关的货物）的有关技术资料。</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 没有甲方事先书面同意，乙方不得将由甲方提供的有关合同或任何合同条文、规格、计划、图纸、样品或资料提供</w:t>
      </w:r>
      <w:r>
        <w:rPr>
          <w:rFonts w:hint="eastAsia" w:ascii="仿宋" w:hAnsi="仿宋" w:eastAsia="仿宋" w:cs="仿宋"/>
          <w:sz w:val="28"/>
          <w:szCs w:val="28"/>
          <w:highlight w:val="none"/>
          <w:lang w:eastAsia="zh-CN"/>
        </w:rPr>
        <w:t xml:space="preserve">给予</w:t>
      </w:r>
      <w:r>
        <w:rPr>
          <w:rFonts w:hint="eastAsia" w:ascii="仿宋" w:hAnsi="仿宋" w:eastAsia="仿宋" w:cs="仿宋"/>
          <w:sz w:val="28"/>
          <w:szCs w:val="28"/>
          <w:highlight w:val="none"/>
        </w:rPr>
        <w:t xml:space="preserve">履行本合同无关的任何其他人。即使向履行本合同有关的人员提供，也应注意保密并限于履行合同的必需范围。</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 保密条款，乙方应按照</w:t>
      </w:r>
      <w:r>
        <w:rPr>
          <w:rFonts w:hint="eastAsia" w:ascii="仿宋" w:hAnsi="仿宋" w:eastAsia="仿宋" w:cs="仿宋"/>
          <w:sz w:val="28"/>
          <w:szCs w:val="28"/>
          <w:highlight w:val="none"/>
          <w:lang w:eastAsia="zh-CN"/>
        </w:rPr>
        <w:t xml:space="preserve">甲方</w:t>
      </w:r>
      <w:r>
        <w:rPr>
          <w:rFonts w:hint="eastAsia" w:ascii="仿宋" w:hAnsi="仿宋" w:eastAsia="仿宋" w:cs="仿宋"/>
          <w:sz w:val="28"/>
          <w:szCs w:val="28"/>
          <w:highlight w:val="none"/>
        </w:rPr>
        <w:t xml:space="preserve">的保密要求，对项目实施过程中的人员和接触到的数据加强管理，须对服务人员进行背景调查，并向甲方提交保密承诺书。</w:t>
      </w:r>
      <w:r/>
    </w:p>
    <w:p>
      <w:pPr>
        <w:pStyle w:val="985"/>
        <w:ind w:left="412" w:hanging="412"/>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四、知识产权</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项目经办人应提醒采购人注意，采购项目涉及采购标的的知识产权归属、处理的，如订购、设计、定制开发的信息化建设项目等，应当约定知识产权的归属和处理方式。招标文件采购人确认后正式发布前删除该备注）。</w:t>
      </w:r>
      <w:r/>
    </w:p>
    <w:p>
      <w:pPr>
        <w:pStyle w:val="985"/>
        <w:keepLines w:val="0"/>
        <w:keepNext w:val="0"/>
        <w:pageBreakBefore w:val="0"/>
        <w:spacing w:before="120" w:after="120" w:line="360" w:lineRule="auto"/>
        <w:widowControl w:val="off"/>
        <w:rPr>
          <w:rFonts w:hint="eastAsia" w:ascii="仿宋" w:hAnsi="仿宋" w:eastAsia="仿宋" w:cs="仿宋"/>
          <w:sz w:val="28"/>
          <w:szCs w:val="28"/>
          <w:highlight w:val="none"/>
          <w:u w:val="single"/>
        </w:rPr>
      </w:pPr>
      <w:r>
        <w:rPr>
          <w:rFonts w:hint="eastAsia" w:ascii="仿宋" w:hAnsi="仿宋" w:eastAsia="仿宋" w:cs="仿宋"/>
          <w:b/>
          <w:sz w:val="28"/>
          <w:szCs w:val="28"/>
          <w:highlight w:val="none"/>
        </w:rPr>
        <w:t xml:space="preserve">五、产权担保</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 乙方保证所交付的服务（包含与服务相关的货物）的所有权完全属于乙方且无任何抵押、查封等产权瑕疵。</w:t>
      </w:r>
      <w:r/>
    </w:p>
    <w:p>
      <w:pPr>
        <w:pStyle w:val="985"/>
        <w:ind w:left="410" w:hanging="410"/>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六、履约保证金</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 不收取履约保证金</w:t>
      </w:r>
      <w:r/>
    </w:p>
    <w:p>
      <w:pPr>
        <w:pStyle w:val="985"/>
        <w:ind w:left="410" w:hanging="410"/>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七、合同转包或分包</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7.1乙方不得将合同标的转包给他人履行。</w:t>
      </w:r>
      <w:r/>
    </w:p>
    <w:p>
      <w:pPr>
        <w:pStyle w:val="985"/>
        <w:ind w:left="0" w:firstLine="56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7.2乙方如有转包或未经甲方同意的分包行为，甲方有权解除合同。</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八、合同款项支付</w:t>
      </w:r>
      <w:r/>
    </w:p>
    <w:p>
      <w:pPr>
        <w:pStyle w:val="985"/>
        <w:ind w:left="0" w:firstLine="560"/>
        <w:keepLines w:val="0"/>
        <w:keepNext w:val="0"/>
        <w:pageBreakBefore w:val="0"/>
        <w:spacing w:before="120" w:after="120" w:line="360" w:lineRule="auto"/>
        <w:widowControl w:val="off"/>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 xml:space="preserve">8.1合同款项的支付方式及进度安排</w:t>
      </w:r>
      <w:r/>
    </w:p>
    <w:p>
      <w:pPr>
        <w:pStyle w:val="985"/>
        <w:ind w:left="0" w:firstLine="560"/>
        <w:keepLines w:val="0"/>
        <w:keepNext w:val="0"/>
        <w:pageBreakBefore w:val="0"/>
        <w:spacing w:before="120" w:after="120" w:line="360" w:lineRule="auto"/>
        <w:widowControl w:val="off"/>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 xml:space="preserve">8.1.1 预付款支付时间：合同签订后15日内，预付款支付比例：不低于合同金额的60%。</w:t>
      </w:r>
      <w:r/>
    </w:p>
    <w:p>
      <w:pPr>
        <w:pStyle w:val="985"/>
        <w:ind w:left="0" w:firstLine="560"/>
        <w:keepLines w:val="0"/>
        <w:keepNext w:val="0"/>
        <w:pageBreakBefore w:val="0"/>
        <w:spacing w:before="120" w:after="120" w:line="360" w:lineRule="auto"/>
        <w:widowControl w:val="off"/>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 xml:space="preserve">8.1.2 尾款支付时间：服务结束并验收合格</w:t>
      </w:r>
      <w:r>
        <w:rPr>
          <w:rFonts w:hint="default" w:ascii="Times New Roman" w:hAnsi="Times New Roman" w:eastAsia="仿宋" w:cs="Times New Roman"/>
          <w:sz w:val="28"/>
          <w:szCs w:val="28"/>
          <w:highlight w:val="none"/>
          <w:lang w:eastAsia="zh-CN"/>
        </w:rPr>
        <w:t xml:space="preserve">，</w:t>
      </w:r>
      <w:r>
        <w:rPr>
          <w:rFonts w:hint="default" w:ascii="Times New Roman" w:hAnsi="Times New Roman" w:eastAsia="仿宋" w:cs="Times New Roman"/>
          <w:sz w:val="28"/>
          <w:szCs w:val="28"/>
          <w:highlight w:val="none"/>
        </w:rPr>
        <w:t xml:space="preserve">采购人收到发票后15日内，验收后支付至合同金额的95%。尾款在质保期满后30日内全部支付。</w:t>
      </w:r>
      <w:r/>
    </w:p>
    <w:p>
      <w:pPr>
        <w:keepLines w:val="0"/>
        <w:keepNext w:val="0"/>
        <w:pageBreakBefore w:val="0"/>
        <w:spacing w:before="145" w:after="145"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九、税费</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9.1本合同执行中相关的一切税费均由乙方负担。</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十、项目验收</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10.1 甲方依法组织履约验收工作。</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10.3 对于实际使用人和甲方分离的项目，甲方邀请实际使用人参与验收。</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10.4 如有必要，甲方邀请参加本项目的其他供应商或第三方专业机构及专家参与验收，相关意见将作为验收书的参考资料。</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10.5本项目中需对接省院或外部数据的，以接口发布的情况确定，对未能发布的接口，以承诺函的方式，待接口发布后完成对接，不影响项目验收。</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10.6 甲方成立验收小组，按照采购合同的约定对乙方的履约情况进行验收。验收时</w:t>
      </w:r>
      <w:r>
        <w:rPr>
          <w:rFonts w:hint="eastAsia" w:ascii="Times New Roman" w:hAnsi="Times New Roman" w:eastAsia="仿宋" w:cs="Times New Roman"/>
          <w:sz w:val="28"/>
          <w:szCs w:val="28"/>
          <w:highlight w:val="none"/>
          <w:lang w:val="en-US" w:eastAsia="zh-CN" w:bidi="ar-SA"/>
        </w:rPr>
        <w:t xml:space="preserve">，</w:t>
      </w:r>
      <w:r>
        <w:rPr>
          <w:rFonts w:hint="eastAsia" w:ascii="Times New Roman" w:hAnsi="Times New Roman" w:eastAsia="仿宋" w:cs="Times New Roman"/>
          <w:sz w:val="28"/>
          <w:szCs w:val="28"/>
          <w:highlight w:val="none"/>
          <w:lang w:val="en-US" w:eastAsia="en-US" w:bidi="ar-SA"/>
        </w:rPr>
        <w:t xml:space="preserve">甲方按照采购合同的约定对每一项技术、服务、安全标准的履约情况进行确认。验收结束后</w:t>
      </w:r>
      <w:r>
        <w:rPr>
          <w:rFonts w:hint="eastAsia" w:ascii="Times New Roman" w:hAnsi="Times New Roman" w:eastAsia="仿宋" w:cs="Times New Roman"/>
          <w:sz w:val="28"/>
          <w:szCs w:val="28"/>
          <w:highlight w:val="none"/>
          <w:lang w:val="en-US" w:eastAsia="zh-CN" w:bidi="ar-SA"/>
        </w:rPr>
        <w:t xml:space="preserve">，</w:t>
      </w:r>
      <w:r>
        <w:rPr>
          <w:rFonts w:hint="eastAsia" w:ascii="Times New Roman" w:hAnsi="Times New Roman" w:eastAsia="仿宋" w:cs="Times New Roman"/>
          <w:sz w:val="28"/>
          <w:szCs w:val="28"/>
          <w:highlight w:val="none"/>
          <w:lang w:val="en-US" w:eastAsia="en-US" w:bidi="ar-SA"/>
        </w:rPr>
        <w:t xml:space="preserve">验收小组出具验收书</w:t>
      </w:r>
      <w:r>
        <w:rPr>
          <w:rFonts w:hint="eastAsia" w:ascii="Times New Roman" w:hAnsi="Times New Roman" w:eastAsia="仿宋" w:cs="Times New Roman"/>
          <w:sz w:val="28"/>
          <w:szCs w:val="28"/>
          <w:highlight w:val="none"/>
          <w:lang w:val="en-US" w:eastAsia="zh-CN" w:bidi="ar-SA"/>
        </w:rPr>
        <w:t xml:space="preserve">，</w:t>
      </w:r>
      <w:r>
        <w:rPr>
          <w:rFonts w:hint="eastAsia" w:ascii="Times New Roman" w:hAnsi="Times New Roman" w:eastAsia="仿宋" w:cs="Times New Roman"/>
          <w:sz w:val="28"/>
          <w:szCs w:val="28"/>
          <w:highlight w:val="none"/>
          <w:lang w:val="en-US" w:eastAsia="en-US" w:bidi="ar-SA"/>
        </w:rPr>
        <w:t xml:space="preserve">列明各项标准的验收情况及项目总体评价</w:t>
      </w:r>
      <w:r>
        <w:rPr>
          <w:rFonts w:hint="eastAsia" w:ascii="Times New Roman" w:hAnsi="Times New Roman" w:eastAsia="仿宋" w:cs="Times New Roman"/>
          <w:sz w:val="28"/>
          <w:szCs w:val="28"/>
          <w:highlight w:val="none"/>
          <w:lang w:val="en-US" w:eastAsia="zh-CN" w:bidi="ar-SA"/>
        </w:rPr>
        <w:t xml:space="preserve">，</w:t>
      </w:r>
      <w:r>
        <w:rPr>
          <w:rFonts w:hint="eastAsia" w:ascii="Times New Roman" w:hAnsi="Times New Roman" w:eastAsia="仿宋" w:cs="Times New Roman"/>
          <w:sz w:val="28"/>
          <w:szCs w:val="28"/>
          <w:highlight w:val="none"/>
          <w:lang w:val="en-US" w:eastAsia="en-US" w:bidi="ar-SA"/>
        </w:rPr>
        <w:t xml:space="preserve">由验收双方共同签署。验收结果与采购合同约定的资金支付及履约保证金返还条件挂钩。履约验收的各项资料存档备查。</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10.7 验收合格的项目</w:t>
      </w:r>
      <w:r>
        <w:rPr>
          <w:rFonts w:hint="eastAsia" w:ascii="Times New Roman" w:hAnsi="Times New Roman" w:eastAsia="仿宋" w:cs="Times New Roman"/>
          <w:sz w:val="28"/>
          <w:szCs w:val="28"/>
          <w:highlight w:val="none"/>
          <w:lang w:val="en-US" w:eastAsia="zh-CN" w:bidi="ar-SA"/>
        </w:rPr>
        <w:t xml:space="preserve">，</w:t>
      </w:r>
      <w:r>
        <w:rPr>
          <w:rFonts w:hint="eastAsia" w:ascii="Times New Roman" w:hAnsi="Times New Roman" w:eastAsia="仿宋" w:cs="Times New Roman"/>
          <w:sz w:val="28"/>
          <w:szCs w:val="28"/>
          <w:highlight w:val="none"/>
          <w:lang w:val="en-US" w:eastAsia="en-US" w:bidi="ar-SA"/>
        </w:rPr>
        <w:t xml:space="preserve">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eastAsia="仿宋" w:cs="Times New Roman"/>
          <w:sz w:val="28"/>
          <w:szCs w:val="28"/>
          <w:highlight w:val="none"/>
          <w:lang w:val="en-US" w:eastAsia="zh-CN" w:bidi="ar-SA"/>
        </w:rPr>
        <w:t xml:space="preserve">中华人民共和国民法典</w:t>
      </w:r>
      <w:r>
        <w:rPr>
          <w:rFonts w:hint="eastAsia" w:ascii="Times New Roman" w:hAnsi="Times New Roman" w:eastAsia="仿宋" w:cs="Times New Roman"/>
          <w:sz w:val="28"/>
          <w:szCs w:val="28"/>
          <w:highlight w:val="none"/>
          <w:lang w:val="en-US" w:eastAsia="en-US" w:bidi="ar-SA"/>
        </w:rPr>
        <w:t xml:space="preserve">》。乙方在履约过程中有政府采购法律法规规定的违法违规情形的</w:t>
      </w:r>
      <w:r>
        <w:rPr>
          <w:rFonts w:hint="eastAsia" w:ascii="Times New Roman" w:hAnsi="Times New Roman" w:eastAsia="仿宋" w:cs="Times New Roman"/>
          <w:sz w:val="28"/>
          <w:szCs w:val="28"/>
          <w:highlight w:val="none"/>
          <w:lang w:val="en-US" w:eastAsia="zh-CN" w:bidi="ar-SA"/>
        </w:rPr>
        <w:t xml:space="preserve">，</w:t>
      </w:r>
      <w:r>
        <w:rPr>
          <w:rFonts w:hint="eastAsia" w:ascii="Times New Roman" w:hAnsi="Times New Roman" w:eastAsia="仿宋" w:cs="Times New Roman"/>
          <w:sz w:val="28"/>
          <w:szCs w:val="28"/>
          <w:highlight w:val="none"/>
          <w:lang w:val="en-US" w:eastAsia="en-US" w:bidi="ar-SA"/>
        </w:rPr>
        <w:t xml:space="preserve">甲方将及时报告本级财政部门。</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10.8 验收标准：按招标文件规定的设备和功能需求为准。 </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十一、违约责任</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11.1 甲方无正当理由拒绝接受乙方提供服务的，甲方向乙方偿付拒绝接受服务合同价款总值    的违约金。</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11.2 甲方无故逾期验收和办理合同款项支付手续的</w:t>
      </w:r>
      <w:r>
        <w:rPr>
          <w:rFonts w:hint="eastAsia" w:ascii="Times New Roman" w:hAnsi="Times New Roman" w:eastAsia="仿宋" w:cs="Times New Roman"/>
          <w:sz w:val="28"/>
          <w:szCs w:val="28"/>
          <w:highlight w:val="none"/>
          <w:lang w:val="en-US" w:eastAsia="zh-CN" w:bidi="ar-SA"/>
        </w:rPr>
        <w:t xml:space="preserve">，</w:t>
      </w:r>
      <w:r>
        <w:rPr>
          <w:rFonts w:hint="eastAsia" w:ascii="Times New Roman" w:hAnsi="Times New Roman" w:eastAsia="仿宋" w:cs="Times New Roman"/>
          <w:sz w:val="28"/>
          <w:szCs w:val="28"/>
          <w:highlight w:val="none"/>
          <w:lang w:val="en-US" w:eastAsia="en-US" w:bidi="ar-SA"/>
        </w:rPr>
        <w:t xml:space="preserve">甲方应按逾期付款总额    每日向乙方支付违约金。</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560"/>
        <w:keepLines w:val="0"/>
        <w:keepNext w:val="0"/>
        <w:pageBreakBefore w:val="0"/>
        <w:spacing w:before="145" w:after="145" w:line="360" w:lineRule="auto"/>
        <w:widowControl w:val="off"/>
        <w:rPr>
          <w:rFonts w:hint="eastAsia" w:ascii="仿宋" w:hAnsi="仿宋" w:eastAsia="仿宋" w:cs="仿宋"/>
          <w:sz w:val="28"/>
          <w:szCs w:val="28"/>
          <w:highlight w:val="none"/>
        </w:rPr>
      </w:pPr>
      <w:r>
        <w:rPr>
          <w:rFonts w:hint="eastAsia" w:ascii="Times New Roman" w:hAnsi="Times New Roman" w:eastAsia="仿宋" w:cs="Times New Roman"/>
          <w:sz w:val="28"/>
          <w:szCs w:val="28"/>
          <w:highlight w:val="none"/>
          <w:lang w:val="en-US" w:eastAsia="en-US" w:bidi="ar-SA"/>
        </w:rPr>
        <w:t xml:space="preserve">11.4 乙方所提供服务的标准不符合合同规定及招标文件规定标准的，甲方有权拒绝接受服务，并可单方面解除合同</w:t>
      </w:r>
      <w:r>
        <w:rPr>
          <w:rFonts w:hint="eastAsia" w:ascii="仿宋" w:hAnsi="仿宋" w:eastAsia="仿宋" w:cs="仿宋"/>
          <w:sz w:val="28"/>
          <w:szCs w:val="28"/>
          <w:highlight w:val="none"/>
        </w:rPr>
        <w:t xml:space="preserve">。</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十二、不可抗力事件处理</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12.1 在合同有效期内，任何一方因不可抗力事件导致不能履行合同，则合同履行期可延长，其延长期与不可抗力影响 期相同。</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12.2 不可抗力事件发生后，应立即通知对方，并寄送有关权威机构出具的证明。</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12.3 不可抗力事件延续120天以上，双方应通过友好协商，确定是否继续履行合同。</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十三、解决争议的方法</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13.1双方在签订、履行合同中所发生的一切争议，应通过友好协商解决。如协商不成，由甲方住所地人民法院管辖。</w:t>
      </w:r>
      <w:r/>
    </w:p>
    <w:p>
      <w:pPr>
        <w:pStyle w:val="985"/>
        <w:keepLines w:val="0"/>
        <w:keepNext w:val="0"/>
        <w:pageBreakBefore w:val="0"/>
        <w:spacing w:before="120" w:after="120"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十四、合同生效及其</w:t>
      </w:r>
      <w:r>
        <w:rPr>
          <w:rFonts w:hint="eastAsia" w:ascii="仿宋" w:hAnsi="仿宋" w:eastAsia="仿宋" w:cs="仿宋"/>
          <w:b/>
          <w:sz w:val="28"/>
          <w:szCs w:val="28"/>
          <w:highlight w:val="none"/>
          <w:lang w:eastAsia="zh-CN"/>
        </w:rPr>
        <w:t xml:space="preserve">他</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14.1 合同经双方法定代表人或授权委托代表人签字并加盖单位公章后生效。</w:t>
      </w:r>
      <w:r/>
    </w:p>
    <w:p>
      <w:pPr>
        <w:ind w:firstLine="560"/>
        <w:keepLines w:val="0"/>
        <w:keepNext w:val="0"/>
        <w:pageBreakBefore w:val="0"/>
        <w:spacing w:before="145" w:after="145" w:line="360" w:lineRule="auto"/>
        <w:widowControl w:val="off"/>
        <w:rPr>
          <w:rFonts w:hint="eastAsia" w:ascii="Times New Roman" w:hAnsi="Times New Roman" w:eastAsia="仿宋" w:cs="Times New Roman"/>
          <w:sz w:val="28"/>
          <w:szCs w:val="28"/>
          <w:highlight w:val="none"/>
          <w:lang w:val="en-US" w:eastAsia="en-US" w:bidi="ar-SA"/>
        </w:rPr>
      </w:pPr>
      <w:r>
        <w:rPr>
          <w:rFonts w:hint="eastAsia" w:ascii="Times New Roman" w:hAnsi="Times New Roman" w:eastAsia="仿宋" w:cs="Times New Roman"/>
          <w:sz w:val="28"/>
          <w:szCs w:val="28"/>
          <w:highlight w:val="none"/>
          <w:lang w:val="en-US" w:eastAsia="en-US" w:bidi="ar-SA"/>
        </w:rPr>
        <w:t xml:space="preserve">14.2本合同未尽事宜，遵照中华人民共和国现行法律法规有关条文执行。</w:t>
      </w:r>
      <w:r/>
    </w:p>
    <w:p>
      <w:pPr>
        <w:ind w:firstLine="560"/>
        <w:keepLines w:val="0"/>
        <w:keepNext w:val="0"/>
        <w:pageBreakBefore w:val="0"/>
        <w:spacing w:before="145" w:after="145" w:line="360" w:lineRule="auto"/>
        <w:widowControl w:val="off"/>
        <w:rPr>
          <w:rFonts w:hint="eastAsia" w:ascii="仿宋" w:hAnsi="仿宋" w:eastAsia="仿宋" w:cs="仿宋"/>
          <w:sz w:val="28"/>
          <w:szCs w:val="28"/>
          <w:highlight w:val="none"/>
        </w:rPr>
      </w:pPr>
      <w:r>
        <w:rPr>
          <w:rFonts w:hint="eastAsia" w:ascii="Times New Roman" w:hAnsi="Times New Roman" w:eastAsia="仿宋" w:cs="Times New Roman"/>
          <w:sz w:val="28"/>
          <w:szCs w:val="28"/>
          <w:highlight w:val="none"/>
          <w:lang w:val="en-US" w:eastAsia="en-US" w:bidi="ar-SA"/>
        </w:rPr>
        <w:t xml:space="preserve">14.3 本合同正本一式两份，具有同等法律效</w:t>
      </w:r>
      <w:r>
        <w:rPr>
          <w:rFonts w:hint="eastAsia" w:ascii="仿宋" w:hAnsi="仿宋" w:eastAsia="仿宋" w:cs="仿宋"/>
          <w:sz w:val="28"/>
          <w:szCs w:val="28"/>
          <w:highlight w:val="none"/>
        </w:rPr>
        <w:t xml:space="preserve">力，甲方、乙方各执一份。</w:t>
      </w:r>
      <w:r/>
    </w:p>
    <w:p>
      <w:pPr>
        <w:pStyle w:val="985"/>
        <w:ind w:left="480" w:hanging="48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甲方：                        乙方： </w:t>
      </w:r>
      <w:r/>
    </w:p>
    <w:p>
      <w:pPr>
        <w:pStyle w:val="985"/>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地址：                        地址： </w:t>
      </w:r>
      <w:r/>
    </w:p>
    <w:p>
      <w:pPr>
        <w:pStyle w:val="985"/>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法定代表人或授权代表：        法定代表人或授权代表：</w:t>
      </w:r>
      <w:r/>
    </w:p>
    <w:p>
      <w:pPr>
        <w:pStyle w:val="985"/>
        <w:ind w:firstLine="280"/>
        <w:keepLines w:val="0"/>
        <w:keepNext w:val="0"/>
        <w:pageBreakBefore w:val="0"/>
        <w:spacing w:before="120" w:after="12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联系电话：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联系电话：          </w:t>
      </w:r>
      <w:r/>
    </w:p>
    <w:p>
      <w:pPr>
        <w:jc w:val="center"/>
        <w:keepLines w:val="0"/>
        <w:keepNext w:val="0"/>
        <w:pageBreakBefore w:val="0"/>
        <w:spacing w:before="120" w:after="120" w:line="360" w:lineRule="auto"/>
        <w:widowControl w:val="off"/>
        <w:rPr>
          <w:rFonts w:hint="eastAsia" w:ascii="宋体" w:hAnsi="宋体" w:cs="Courier New"/>
          <w:color w:val="000000"/>
          <w:sz w:val="24"/>
          <w:szCs w:val="24"/>
        </w:rPr>
      </w:pPr>
      <w:r>
        <w:rPr>
          <w:rFonts w:hint="eastAsia" w:ascii="仿宋" w:hAnsi="仿宋" w:eastAsia="仿宋" w:cs="仿宋"/>
          <w:sz w:val="28"/>
          <w:szCs w:val="28"/>
          <w:highlight w:val="none"/>
        </w:rPr>
        <w:t xml:space="preserve">                             签订日期：      年    月   日</w:t>
      </w: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 采购需求</w:t>
      </w:r>
      <w:bookmarkEnd w:id="176"/>
      <w:r/>
      <w:bookmarkEnd w:id="177"/>
      <w:r/>
      <w:bookmarkEnd w:id="178"/>
      <w:r/>
      <w:r/>
    </w:p>
    <w:p>
      <w:pPr>
        <w:keepLines w:val="0"/>
        <w:keepNext w:val="0"/>
        <w:pageBreakBefore w:val="0"/>
        <w:spacing w:line="360" w:lineRule="auto"/>
        <w:widowControl w:val="off"/>
        <w:rPr>
          <w:rFonts w:hint="eastAsia" w:ascii="仿宋" w:hAnsi="仿宋" w:eastAsia="仿宋"/>
          <w:b/>
          <w:bCs/>
          <w:color w:val="000000"/>
          <w:sz w:val="28"/>
          <w:szCs w:val="28"/>
        </w:rPr>
      </w:pPr>
      <w:r/>
      <w:bookmarkStart w:id="181" w:name="_Toc26554093"/>
      <w:r/>
      <w:bookmarkStart w:id="182" w:name="_Toc49090575"/>
      <w:r>
        <w:rPr>
          <w:rFonts w:hint="eastAsia" w:ascii="仿宋" w:hAnsi="仿宋" w:eastAsia="仿宋"/>
          <w:b/>
          <w:bCs/>
          <w:color w:val="000000"/>
          <w:sz w:val="28"/>
          <w:szCs w:val="28"/>
        </w:rPr>
        <w:t xml:space="preserve">项目属性:</w:t>
      </w:r>
      <w:r>
        <w:rPr>
          <w:rFonts w:hint="eastAsia" w:ascii="仿宋" w:hAnsi="仿宋" w:eastAsia="仿宋"/>
          <w:b/>
          <w:bCs/>
          <w:color w:val="000000"/>
          <w:sz w:val="28"/>
          <w:szCs w:val="28"/>
          <w:lang w:val="en-US" w:eastAsia="zh-CN"/>
        </w:rPr>
        <w:t xml:space="preserve">服务</w:t>
      </w:r>
      <w:r>
        <w:rPr>
          <w:rFonts w:hint="eastAsia" w:ascii="仿宋" w:hAnsi="仿宋" w:eastAsia="仿宋"/>
          <w:b/>
          <w:bCs/>
          <w:color w:val="000000"/>
          <w:sz w:val="28"/>
          <w:szCs w:val="28"/>
        </w:rPr>
        <w:t xml:space="preserve">类项目。</w:t>
      </w:r>
      <w:r/>
    </w:p>
    <w:p>
      <w:pPr>
        <w:keepLines w:val="0"/>
        <w:keepNext w:val="0"/>
        <w:pageBreakBefore w:val="0"/>
        <w:spacing w:line="360" w:lineRule="auto"/>
        <w:widowControl w:val="off"/>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p>
    <w:tbl>
      <w:tblPr>
        <w:tblStyle w:val="740"/>
        <w:tblW w:w="8240" w:type="dxa"/>
        <w:tblInd w:w="-125" w:type="dxa"/>
        <w:tblLayout w:type="fixed"/>
        <w:tblCellMar>
          <w:left w:w="108" w:type="dxa"/>
          <w:top w:w="0" w:type="dxa"/>
          <w:right w:w="108" w:type="dxa"/>
          <w:bottom w:w="0" w:type="dxa"/>
        </w:tblCellMar>
        <w:tblLook w:val="04A0" w:firstRow="1" w:lastRow="0" w:firstColumn="1" w:lastColumn="0" w:noHBand="0" w:noVBand="1"/>
      </w:tblPr>
      <w:tblGrid>
        <w:gridCol w:w="936"/>
        <w:gridCol w:w="1628"/>
        <w:gridCol w:w="3924"/>
        <w:gridCol w:w="816"/>
        <w:gridCol w:w="936"/>
      </w:tblGrid>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描述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数量</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综合布线</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分别有</w:t>
            </w:r>
            <w:r>
              <w:rPr>
                <w:rFonts w:hint="eastAsia" w:ascii="仿宋" w:hAnsi="仿宋" w:eastAsia="仿宋" w:cs="仿宋"/>
                <w:b w:val="0"/>
                <w:bCs w:val="0"/>
                <w:color w:val="000000"/>
                <w:sz w:val="24"/>
                <w:szCs w:val="24"/>
                <w:lang w:bidi="ar"/>
              </w:rPr>
              <w:t xml:space="preserve">检察工作网、检察互联网及电话、公安网、布线安装辅材等。</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设备间建设</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设备间UPS、空调、接地、气体灭火等环境建设。</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监控屏系统</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监控室显示系统。</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分布式坐席系统</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通过</w:t>
            </w:r>
            <w:r>
              <w:rPr>
                <w:rFonts w:hint="eastAsia" w:ascii="仿宋" w:hAnsi="仿宋" w:eastAsia="仿宋" w:cs="仿宋"/>
                <w:b w:val="0"/>
                <w:bCs w:val="0"/>
                <w:color w:val="000000"/>
                <w:sz w:val="24"/>
                <w:szCs w:val="24"/>
                <w:lang w:bidi="ar"/>
              </w:rPr>
              <w:t xml:space="preserve">分布式坐席实现跨检察工作网、公安网进行监控调度。</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视频平台及存储系统</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支持不少于3000路视频接入授权；支持</w:t>
            </w:r>
            <w:r>
              <w:rPr>
                <w:rFonts w:hint="eastAsia" w:ascii="仿宋" w:hAnsi="仿宋" w:eastAsia="仿宋" w:cs="仿宋"/>
                <w:b w:val="0"/>
                <w:bCs w:val="0"/>
                <w:color w:val="000000"/>
                <w:sz w:val="24"/>
                <w:szCs w:val="24"/>
                <w:lang w:eastAsia="zh-CN"/>
              </w:rPr>
              <w:t xml:space="preserve">信创</w:t>
            </w:r>
            <w:r>
              <w:rPr>
                <w:rFonts w:hint="eastAsia" w:ascii="仿宋" w:hAnsi="仿宋" w:eastAsia="仿宋" w:cs="仿宋"/>
                <w:b w:val="0"/>
                <w:bCs w:val="0"/>
                <w:color w:val="000000"/>
                <w:sz w:val="24"/>
                <w:szCs w:val="24"/>
              </w:rPr>
              <w:t xml:space="preserve">化环境部署；支持</w:t>
            </w:r>
            <w:r>
              <w:rPr>
                <w:rFonts w:hint="eastAsia" w:ascii="仿宋" w:hAnsi="仿宋" w:eastAsia="仿宋" w:cs="仿宋"/>
                <w:b w:val="0"/>
                <w:bCs w:val="0"/>
                <w:color w:val="000000"/>
                <w:sz w:val="24"/>
                <w:szCs w:val="24"/>
                <w:lang w:eastAsia="zh-CN"/>
              </w:rPr>
              <w:t xml:space="preserve">信创</w:t>
            </w:r>
            <w:r>
              <w:rPr>
                <w:rFonts w:hint="eastAsia" w:ascii="仿宋" w:hAnsi="仿宋" w:eastAsia="仿宋" w:cs="仿宋"/>
                <w:b w:val="0"/>
                <w:bCs w:val="0"/>
                <w:color w:val="000000"/>
                <w:sz w:val="24"/>
                <w:szCs w:val="24"/>
              </w:rPr>
              <w:t xml:space="preserve">化客户端操作；支持国标推送，支持实时视频、录像回放、录像下载等视频类功能，详细参数见招标方案</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公共安防系统</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过道、机房、审讯室等安防监控</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视频私网建设</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检察机关视频私网，并接边界安全系统</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驻监检察会议室（会议侦查指挥室）</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利旧部分会议系统，加入解码等设备，实现侦查指挥的相关功能。</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提审室系统</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符合最高人民检察院</w:t>
            </w:r>
            <w:r>
              <w:rPr>
                <w:rFonts w:hint="eastAsia" w:ascii="仿宋" w:hAnsi="仿宋" w:eastAsia="仿宋" w:cs="仿宋"/>
                <w:b w:val="0"/>
                <w:bCs w:val="0"/>
                <w:color w:val="000000"/>
                <w:sz w:val="24"/>
                <w:szCs w:val="24"/>
                <w:lang w:bidi="ar"/>
              </w:rPr>
              <w:t xml:space="preserve">提审室建设标准，并可接入省院远程提审系统和市院江海智检通综合视频办案系统。</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门禁系统</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过道、机房、审讯室等部位，支持人脸、卡片、密码、二维码等多种验证方式。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利旧安装和搬迁</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对老看守所现有机房设备进行拆除，部分设备运送至市院指定地点，完成报废工作，涉密机柜、波分传输网设备及利旧设备搬迁至新看守所，做好记录，并完成安装调试。</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江海智检通视频综合办案系统</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在原南通市人民检察院三远一网业务系统基础上，进行</w:t>
            </w:r>
            <w:r>
              <w:rPr>
                <w:rFonts w:hint="eastAsia" w:ascii="仿宋" w:hAnsi="仿宋" w:eastAsia="仿宋" w:cs="仿宋"/>
                <w:b w:val="0"/>
                <w:bCs w:val="0"/>
                <w:color w:val="000000"/>
                <w:sz w:val="24"/>
                <w:szCs w:val="24"/>
                <w:lang w:eastAsia="zh-CN"/>
              </w:rPr>
              <w:t xml:space="preserve">信创</w:t>
            </w:r>
            <w:r>
              <w:rPr>
                <w:rFonts w:hint="eastAsia" w:ascii="仿宋" w:hAnsi="仿宋" w:eastAsia="仿宋" w:cs="仿宋"/>
                <w:b w:val="0"/>
                <w:bCs w:val="0"/>
                <w:color w:val="000000"/>
                <w:sz w:val="24"/>
                <w:szCs w:val="24"/>
              </w:rPr>
              <w:t xml:space="preserve">化升级改造，整合原崇川区院办案中心业务系统，构建江海智检通视频综合办案系统，并将原三远一网手机端办案APP升级为微信小程序——江海智检通。详细功能升级点见方案；</w:t>
            </w:r>
            <w:r/>
          </w:p>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平台软件开放标准接口协议，用于多品牌设备对接（协议另附），投标单位所投远程提讯视频终端、高清同步录音录像主机等设备需按照我院设备标准协议接口规范进行接入，需提供满足设备接口协议无缝对接承诺函。</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工作网短信接口模块</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定制检察工作网短信接口模块，提供给南通市人民检察院各业务系统使用，系统调用市检现有短信网关，具备鉴权功能，并统计各业务模块发送短信数量。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统一身份认证对接</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bidi="ar"/>
              </w:rPr>
              <w:t xml:space="preserve">按照省院统一部署的统一身份认证系统完成江海智检通的对接开发工作，实现统一身份认证。</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双网隔离会议终端</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扩容江海智检通综合视频办案系统5G+互联网小程序视频办案的并发数量。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left"/>
              <w:widowControl/>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基础装修</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综合楼二楼过道玻璃门（效果图）</w:t>
            </w:r>
            <w:r>
              <w:rPr>
                <w:rFonts w:hint="eastAsia" w:ascii="仿宋" w:hAnsi="仿宋" w:eastAsia="仿宋" w:cs="仿宋"/>
                <w:b w:val="0"/>
                <w:bCs w:val="0"/>
                <w:sz w:val="24"/>
                <w:szCs w:val="24"/>
              </w:rPr>
              <w:t xml:space="preserve">，</w:t>
            </w:r>
            <w:r>
              <w:rPr>
                <w:rFonts w:hint="eastAsia" w:ascii="仿宋" w:hAnsi="仿宋" w:eastAsia="仿宋" w:cs="仿宋"/>
                <w:b w:val="0"/>
                <w:bCs w:val="0"/>
                <w:color w:val="000000"/>
                <w:sz w:val="24"/>
                <w:szCs w:val="24"/>
                <w:lang w:bidi="ar"/>
              </w:rPr>
              <w:t xml:space="preserve">施工过程中的墙面、软包、吊顶等的恢复，以及施工电源、垃圾处理等。</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w:t>
            </w:r>
            <w:r/>
          </w:p>
        </w:tc>
      </w:tr>
    </w:tbl>
    <w:p>
      <w:pPr>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p>
    <w:p>
      <w:pPr>
        <w:ind w:firstLine="562"/>
        <w:jc w:val="left"/>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技术要求是指对采购标的功能和质量要求，包括性能、材料、结构、外观、安全，或者服务内容和标准等。</w:t>
      </w:r>
      <w:r/>
    </w:p>
    <w:p>
      <w:pPr>
        <w:ind w:firstLine="562"/>
        <w:jc w:val="left"/>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（一）采购标的需实现的功能或者目标, 以及为落实政府采购政策需满足的要求</w:t>
      </w:r>
      <w:r/>
    </w:p>
    <w:p>
      <w:pPr>
        <w:ind w:firstLine="562"/>
        <w:jc w:val="left"/>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满足本项目中驻看守所检察室建设的信息化建设需求，能够实现驻监检察室和市看守所监控联网，并通过市院工作网边界安全，与市院工作网视频平台联网，同时实现省、市院远程提审、江海智检通（视频综合办案系统）互联互通。</w:t>
      </w:r>
      <w:r/>
    </w:p>
    <w:p>
      <w:pPr>
        <w:ind w:firstLine="281"/>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rPr>
        <w:t xml:space="preserve">建设项目的主要内容及功能要求</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综合布线，在驻监检察室综合楼敷设检察工作网、公安网、互联网、电话网、视频私网，在刑事检察提审专用（5间）敷设检察工作网，在监区内谈话（讯问）室4间敷设检察工作网、公安网。</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设备间建设，在驻看守所检察室监控室内进行机房建设，设计检察工作网机柜3个、公安网机柜1个、互联网机柜1个，配备气体消防、防火钢门、防雷接地、UPS（不间断电源）、单冷空调等设备。</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监控屏建设，为了满足驻监检察室对看守所1000多路视频监控的要求，建设98寸（长度约241.37厘米，宽度约120.06厘米）</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含）以上大屏液晶电视，配</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化控制电脑和全钢结构3位操作台（含配套座椅）。</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分布式坐席系统建设，为实现检察院跨地点、跨网办公的要求，本次建设分布式坐席系统，保障网络安全的同时，实现便捷办公。</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视频平台及存储建设，在看守所监控网上建设不少于3000路的视频平台（支持H.264、h.265多种标准）；存储需支持全局和局部热备份，直存性能不少于1000路（4Mbps/路）</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硬盘裸空间不少于1200T，保障1000路视频存储不少于30天。</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公共安防系统建设，包含：二楼过道、监控室、资料室、会议室（侦查指挥室）、二楼远程提审室（驻所检察官）、提审区5间提审室、监区内4间）无死角覆盖，存储1个月。 </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7</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视频私网建设，使用市检察院波分传输网构建视频存储建设传输至市院检察工作网安全边界，并通过国标互联至检察工作网视频平台（利旧）。</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8</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驻监检察会议室（侦查指挥室）：安装98寸液晶电视，扩声系统（利旧），将原4楼会议室改造的会议系统，含4只壁挂音箱在驻监检察会议室利旧安装。该房间需具有侦查指挥功能，能对监区内审讯室进行音频交互，审讯室视频监视。</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9</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审室建设，包括：本地提审室（配同步录音录像设备）有提审区建设5间、监区内2间。远程提审室（配远程提设备）综合楼二楼建设1间（检察官办案）、提审区建设2间、监区内1间。（远程提审室是在本地提审的基础上复用房间）。</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门禁系统建设，综合楼二楼过道、设备间（机房）、提审区5个房间建设门禁系统，按设计图在2楼综合楼建设过道玻璃门，安装人脸识别门禁。</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利旧安装和搬迁，完成老看守所现有机房设备的拆除和报废，利旧的传输网等相关设备的搬迁至新看守所，并完成安装调试。</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江海智检通视频综合办案系统，在原南通市人民检察院三远一网业务系统基础上，进行</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化升级改造，整合原崇川区院办案中心业务系统，按照“江海智检通”统一应用架构开发标准，构建江海智检通视频综合办案系统模块，并将原三远一网手机端办案APP升级为微信小程序——江海智检通</w:t>
      </w:r>
      <w:r>
        <w:rPr>
          <w:rFonts w:hint="eastAsia" w:ascii="仿宋" w:hAnsi="仿宋" w:eastAsia="仿宋" w:cs="仿宋"/>
          <w:b/>
          <w:bCs/>
          <w:color w:val="auto"/>
          <w:sz w:val="28"/>
          <w:szCs w:val="28"/>
        </w:rPr>
        <w:t xml:space="preserve">（开放第三方功能开发）</w:t>
      </w:r>
      <w:r>
        <w:rPr>
          <w:rFonts w:hint="eastAsia" w:ascii="仿宋" w:hAnsi="仿宋" w:eastAsia="仿宋" w:cs="仿宋"/>
          <w:sz w:val="28"/>
          <w:szCs w:val="28"/>
        </w:rPr>
        <w:t xml:space="preserve">。平台软件开放标准接口协议，用于多品牌设备对接（协议另附）。</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开发检察工作网短信接口模块</w:t>
      </w:r>
      <w:r>
        <w:rPr>
          <w:rFonts w:hint="eastAsia" w:ascii="仿宋" w:hAnsi="仿宋" w:eastAsia="仿宋" w:cs="仿宋"/>
          <w:b/>
          <w:bCs/>
          <w:color w:val="auto"/>
          <w:sz w:val="28"/>
          <w:szCs w:val="28"/>
        </w:rPr>
        <w:t xml:space="preserve">（符合“江海智检通”统一应用架构开发标准）</w:t>
      </w:r>
      <w:r>
        <w:rPr>
          <w:rFonts w:hint="eastAsia" w:ascii="仿宋" w:hAnsi="仿宋" w:eastAsia="仿宋" w:cs="仿宋"/>
          <w:sz w:val="28"/>
          <w:szCs w:val="28"/>
        </w:rPr>
        <w:t xml:space="preserve">，为</w:t>
      </w:r>
      <w:r>
        <w:rPr>
          <w:rFonts w:hint="eastAsia" w:ascii="仿宋" w:hAnsi="仿宋" w:eastAsia="仿宋" w:cs="仿宋"/>
          <w:sz w:val="28"/>
          <w:szCs w:val="28"/>
          <w:lang w:eastAsia="zh-CN"/>
        </w:rPr>
        <w:t xml:space="preserve">其他</w:t>
      </w:r>
      <w:r>
        <w:rPr>
          <w:rFonts w:hint="eastAsia" w:ascii="仿宋" w:hAnsi="仿宋" w:eastAsia="仿宋" w:cs="仿宋"/>
          <w:sz w:val="28"/>
          <w:szCs w:val="28"/>
        </w:rPr>
        <w:t xml:space="preserve">应用系统服务，通过安全边界将短信报文发送至DMZ区短信网关，并转发至运营商短信平台，同时需在短信接口模块中进行发送量的统计（统计表按需确定）。</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统一身份认证对接，按照省院统一部署的统一身份认证系统完成江海智检通的对接开发工作，实现统一身份认证。</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双网隔离会议终端建设，基于江海智检通（视频综合办案系统）当前业务承载量，后续非羁押状态办案时并发能力不足，本次增加1套互联网远程提讯设备（2台双网隔离会议终端）。</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施工过程中的墙面、软包、吊顶等的恢复，以及施工电源、垃圾处理等。</w:t>
      </w:r>
      <w:r/>
    </w:p>
    <w:p>
      <w:pPr>
        <w:ind w:firstLine="560"/>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方案设计</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敷设检察工作网、公安网、互联网、电话网、视频私网等相关网络，搬迁现看守所波分传输网设备（利旧）连通市院和驻监检察室网络，敷设光纤连接远程提审区（5间）、监区内（4间）与综合楼二楼驻看检察室设备间。通过在波分设备上开通视频私网传输至市院检察工作网安全边界，使用国标协议与市院工作网视频平台联网，远程提审设备同时实现与市院江海智检通（视频综合办案系统）联网。</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连接市看守所监控网核心（万兆互联）。</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看守所视频系统拓扑图：</w:t>
      </w:r>
      <w:r/>
    </w:p>
    <w:p>
      <w:pPr>
        <w:pStyle w:val="1067"/>
        <w:ind w:firstLine="0"/>
        <w:keepLines w:val="0"/>
        <w:keepNext w:val="0"/>
        <w:pageBreakBefore w:val="0"/>
        <w:spacing w:line="360" w:lineRule="auto"/>
        <w:rPr>
          <w:rFonts w:hint="eastAsia" w:ascii="仿宋" w:hAnsi="仿宋" w:eastAsia="仿宋" w:cs="仿宋"/>
          <w:sz w:val="20"/>
          <w:szCs w:val="22"/>
        </w:rPr>
      </w:pPr>
      <w:r>
        <w:rPr>
          <w:rFonts w:hint="eastAsia" w:ascii="仿宋" w:hAnsi="仿宋" w:eastAsia="仿宋" w:cs="仿宋"/>
          <w:sz w:val="20"/>
          <w:szCs w:val="22"/>
        </w:rPr>
        <mc:AlternateContent>
          <mc:Choice Requires="wpg">
            <w:drawing>
              <wp:inline xmlns:wp="http://schemas.openxmlformats.org/drawingml/2006/wordprocessingDrawing" distT="0" distB="0" distL="0" distR="0">
                <wp:extent cx="5347970" cy="25304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348554" cy="2530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1.1pt;height:199.2pt;mso-wrap-distance-left:0.0pt;mso-wrap-distance-top:0.0pt;mso-wrap-distance-right:0.0pt;mso-wrap-distance-bottom:0.0pt;" stroked="f">
                <v:path textboxrect="0,0,0,0"/>
                <v:imagedata r:id="rId14" o:title=""/>
              </v:shape>
            </w:pict>
          </mc:Fallback>
        </mc:AlternateContent>
      </w:r>
      <w:r/>
    </w:p>
    <w:p>
      <w:pPr>
        <w:ind w:firstLine="640"/>
        <w:keepLines w:val="0"/>
        <w:keepNext w:val="0"/>
        <w:pageBreakBefore w:val="0"/>
        <w:spacing w:line="360" w:lineRule="auto"/>
        <w:rPr>
          <w:rFonts w:hint="eastAsia" w:ascii="仿宋" w:hAnsi="仿宋" w:eastAsia="仿宋" w:cs="仿宋"/>
          <w:sz w:val="32"/>
          <w:szCs w:val="32"/>
        </w:rPr>
      </w:pPr>
      <w:r>
        <w:rPr>
          <w:rFonts w:hint="eastAsia" w:ascii="仿宋" w:hAnsi="仿宋" w:eastAsia="仿宋" w:cs="仿宋"/>
          <w:sz w:val="32"/>
          <w:szCs w:val="32"/>
        </w:rPr>
        <w:t xml:space="preserve">驻看检察室提审系统拓扑图：</w:t>
      </w:r>
      <w:r/>
    </w:p>
    <w:p>
      <w:pPr>
        <w:pStyle w:val="1067"/>
        <w:ind w:firstLine="0"/>
        <w:jc w:val="left"/>
        <w:keepLines w:val="0"/>
        <w:keepNext w:val="0"/>
        <w:pageBreakBefore w:val="0"/>
        <w:spacing w:line="360" w:lineRule="auto"/>
        <w:rPr>
          <w:rFonts w:hint="eastAsia"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5270500" cy="420941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270538" cy="42094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331.4pt;mso-wrap-distance-left:0.0pt;mso-wrap-distance-top:0.0pt;mso-wrap-distance-right:0.0pt;mso-wrap-distance-bottom:0.0pt;" stroked="f">
                <v:path textboxrect="0,0,0,0"/>
                <v:imagedata r:id="rId15" o:title=""/>
              </v:shape>
            </w:pict>
          </mc:Fallback>
        </mc:AlternateConten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综合布线：</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综合楼二楼驻监检察室综合楼房间共12间，每间办公室两个工位，每工位敷设4个信息点位，分别为检察工作网、公安网、互联网、电话网，信息点位离地面30公分。墙面开槽敷设JDG管路，网络线通过JDG管汇至走廊弱电桥架至驻看检察室二楼机房，并将市看守所主机房公安网光纤延伸至检察室。</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远程提审区共5间，敷设检察工作网信息点，点位按远程提审设备安装使用确定。墙面开槽敷设JDG管路，网络线通过JDG管汇至走廊弱电桥架至提审第一间房间的墙柜，通过光纤连接至综合楼2楼驻看守所检察室机房。</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监区内讯问室共4间，每间办公室两个工位，每工位敷设2个信息点位，分别为检察工作网、公安网，信息点位离地面30公分。墙面开槽敷设JDG管路，网络线通过JDG管汇至房间的墙柜，通过光纤连接至综合楼2楼机房。</w:t>
      </w:r>
      <w:r/>
    </w:p>
    <w:p>
      <w:pPr>
        <w:pStyle w:val="1067"/>
        <w:ind w:left="1588" w:firstLine="84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综合布线信息点点位表：</w:t>
      </w:r>
      <w:r/>
    </w:p>
    <w:tbl>
      <w:tblPr>
        <w:tblStyle w:val="740"/>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338"/>
        <w:gridCol w:w="1006"/>
        <w:gridCol w:w="978"/>
        <w:gridCol w:w="1178"/>
        <w:gridCol w:w="1212"/>
        <w:gridCol w:w="960"/>
        <w:gridCol w:w="1036"/>
        <w:gridCol w:w="920"/>
      </w:tblGrid>
      <w:tr>
        <w:trPr>
          <w:jc w:val="center"/>
        </w:trPr>
        <w:tc>
          <w:tcPr>
            <w:tcW w:w="691"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序号</w:t>
            </w:r>
            <w:r/>
          </w:p>
        </w:tc>
        <w:tc>
          <w:tcPr>
            <w:tcW w:w="1338"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名称</w:t>
            </w:r>
            <w:r/>
          </w:p>
        </w:tc>
        <w:tc>
          <w:tcPr>
            <w:tcW w:w="1006"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综合楼2楼</w:t>
            </w:r>
            <w:r/>
          </w:p>
        </w:tc>
        <w:tc>
          <w:tcPr>
            <w:tcW w:w="978"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刑检提审区</w:t>
            </w:r>
            <w:r/>
          </w:p>
        </w:tc>
        <w:tc>
          <w:tcPr>
            <w:tcW w:w="1178"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约见检察官谈话室</w:t>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重大案件讯问合法性核查室</w:t>
            </w:r>
            <w:r/>
          </w:p>
        </w:tc>
        <w:tc>
          <w:tcPr>
            <w:tcW w:w="96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一般谈话室</w:t>
            </w:r>
            <w:r/>
          </w:p>
        </w:tc>
        <w:tc>
          <w:tcPr>
            <w:tcW w:w="1036"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未成年人谈话室</w:t>
            </w:r>
            <w:r/>
          </w:p>
        </w:tc>
        <w:tc>
          <w:tcPr>
            <w:tcW w:w="92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数量合计</w:t>
            </w:r>
            <w:r/>
          </w:p>
        </w:tc>
      </w:tr>
      <w:tr>
        <w:trPr>
          <w:jc w:val="center"/>
        </w:trPr>
        <w:tc>
          <w:tcPr>
            <w:tcW w:w="691"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1</w:t>
            </w:r>
            <w:r/>
          </w:p>
        </w:tc>
        <w:tc>
          <w:tcPr>
            <w:tcW w:w="133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电话网</w:t>
            </w:r>
            <w:r/>
          </w:p>
        </w:tc>
        <w:tc>
          <w:tcPr>
            <w:tcW w:w="100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24</w:t>
            </w:r>
            <w:r/>
          </w:p>
        </w:tc>
        <w:tc>
          <w:tcPr>
            <w:tcW w:w="9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11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96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103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92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24</w:t>
            </w:r>
            <w:r/>
          </w:p>
        </w:tc>
      </w:tr>
      <w:tr>
        <w:trPr>
          <w:jc w:val="center"/>
        </w:trPr>
        <w:tc>
          <w:tcPr>
            <w:tcW w:w="691"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133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检察工作网</w:t>
            </w:r>
            <w:r/>
          </w:p>
        </w:tc>
        <w:tc>
          <w:tcPr>
            <w:tcW w:w="100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30</w:t>
            </w:r>
            <w:r/>
          </w:p>
        </w:tc>
        <w:tc>
          <w:tcPr>
            <w:tcW w:w="9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10</w:t>
            </w:r>
            <w:r/>
          </w:p>
        </w:tc>
        <w:tc>
          <w:tcPr>
            <w:tcW w:w="11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96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103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92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48</w:t>
            </w:r>
            <w:r/>
          </w:p>
        </w:tc>
      </w:tr>
      <w:tr>
        <w:trPr>
          <w:jc w:val="center"/>
        </w:trPr>
        <w:tc>
          <w:tcPr>
            <w:tcW w:w="691"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3</w:t>
            </w:r>
            <w:r/>
          </w:p>
        </w:tc>
        <w:tc>
          <w:tcPr>
            <w:tcW w:w="133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互联网</w:t>
            </w:r>
            <w:r/>
          </w:p>
        </w:tc>
        <w:tc>
          <w:tcPr>
            <w:tcW w:w="100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24</w:t>
            </w:r>
            <w:r/>
          </w:p>
        </w:tc>
        <w:tc>
          <w:tcPr>
            <w:tcW w:w="9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11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96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103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92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24</w:t>
            </w:r>
            <w:r/>
          </w:p>
        </w:tc>
      </w:tr>
      <w:tr>
        <w:trPr>
          <w:jc w:val="center"/>
        </w:trPr>
        <w:tc>
          <w:tcPr>
            <w:tcW w:w="691"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4</w:t>
            </w:r>
            <w:r/>
          </w:p>
        </w:tc>
        <w:tc>
          <w:tcPr>
            <w:tcW w:w="133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公安网</w:t>
            </w:r>
            <w:r/>
          </w:p>
        </w:tc>
        <w:tc>
          <w:tcPr>
            <w:tcW w:w="100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24</w:t>
            </w:r>
            <w:r/>
          </w:p>
        </w:tc>
        <w:tc>
          <w:tcPr>
            <w:tcW w:w="9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0</w:t>
            </w:r>
            <w:r/>
          </w:p>
        </w:tc>
        <w:tc>
          <w:tcPr>
            <w:tcW w:w="11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96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103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w:t>
            </w:r>
            <w:r/>
          </w:p>
        </w:tc>
        <w:tc>
          <w:tcPr>
            <w:tcW w:w="92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32</w:t>
            </w:r>
            <w:r/>
          </w:p>
        </w:tc>
      </w:tr>
      <w:tr>
        <w:trPr>
          <w:jc w:val="center"/>
        </w:trPr>
        <w:tc>
          <w:tcPr>
            <w:tcW w:w="691"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5</w:t>
            </w:r>
            <w:r/>
          </w:p>
        </w:tc>
        <w:tc>
          <w:tcPr>
            <w:tcW w:w="133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楼间互联光纤</w:t>
            </w:r>
            <w:r/>
          </w:p>
        </w:tc>
        <w:tc>
          <w:tcPr>
            <w:tcW w:w="100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5</w:t>
            </w:r>
            <w:r/>
          </w:p>
        </w:tc>
        <w:tc>
          <w:tcPr>
            <w:tcW w:w="9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1（分配至5间）</w:t>
            </w:r>
            <w:r/>
          </w:p>
        </w:tc>
        <w:tc>
          <w:tcPr>
            <w:tcW w:w="11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2（公安网、检察工作网）</w:t>
            </w:r>
            <w:r/>
          </w:p>
        </w:tc>
        <w:tc>
          <w:tcPr>
            <w:gridSpan w:val="3"/>
            <w:tcW w:w="320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2（公安网、检察工作网）</w:t>
            </w:r>
            <w:r/>
          </w:p>
        </w:tc>
        <w:tc>
          <w:tcPr>
            <w:tcW w:w="920"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10</w:t>
            </w:r>
            <w:r/>
          </w:p>
        </w:tc>
      </w:tr>
      <w:tr>
        <w:trPr>
          <w:jc w:val="center"/>
        </w:trPr>
        <w:tc>
          <w:tcPr>
            <w:tcW w:w="691"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tc>
        <w:tc>
          <w:tcPr>
            <w:tcW w:w="133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合计</w:t>
            </w:r>
            <w:r/>
          </w:p>
        </w:tc>
        <w:tc>
          <w:tcPr>
            <w:tcW w:w="100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tc>
        <w:tc>
          <w:tcPr>
            <w:tcW w:w="9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tc>
        <w:tc>
          <w:tcPr>
            <w:tcW w:w="1178"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tc>
        <w:tc>
          <w:tcPr>
            <w:tcW w:w="960" w:type="dxa"/>
            <w:vAlign w:val="top"/>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tc>
        <w:tc>
          <w:tcPr>
            <w:tcW w:w="1036" w:type="dxa"/>
            <w:vAlign w:val="center"/>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tc>
        <w:tc>
          <w:tcPr>
            <w:tcW w:w="920" w:type="dxa"/>
            <w:vAlign w:val="top"/>
            <w:textDirection w:val="lrTb"/>
            <w:noWrap w:val="false"/>
          </w:tcPr>
          <w:p>
            <w:pPr>
              <w:jc w:val="center"/>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t xml:space="preserve">138</w:t>
            </w:r>
            <w:r/>
          </w:p>
        </w:tc>
      </w:tr>
    </w:tbl>
    <w:p>
      <w:pPr>
        <w:pStyle w:val="1067"/>
        <w:ind w:firstLine="0"/>
        <w:jc w:val="cente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综合楼二楼点位平面示意图：</w:t>
      </w:r>
      <w:r/>
    </w:p>
    <w:p>
      <w:pPr>
        <w:pStyle w:val="1067"/>
        <w:ind w:firstLine="0"/>
        <w:keepLines w:val="0"/>
        <w:keepNext w:val="0"/>
        <w:pageBreakBefore w:val="0"/>
        <w:spacing w:line="360" w:lineRule="auto"/>
        <w:rPr>
          <w:rFonts w:hint="eastAsia" w:ascii="仿宋" w:hAnsi="仿宋" w:eastAsia="仿宋" w:cs="仿宋"/>
          <w:sz w:val="32"/>
          <w:szCs w:val="32"/>
        </w:rPr>
      </w:pPr>
      <w:r>
        <w:rPr>
          <w:rFonts w:hint="eastAsia" w:ascii="仿宋" w:hAnsi="仿宋" w:eastAsia="仿宋" w:cs="仿宋"/>
        </w:rPr>
        <mc:AlternateContent>
          <mc:Choice Requires="wpg">
            <w:drawing>
              <wp:inline xmlns:wp="http://schemas.openxmlformats.org/drawingml/2006/wordprocessingDrawing" distT="0" distB="0" distL="0" distR="0">
                <wp:extent cx="4989830" cy="3713480"/>
                <wp:effectExtent l="0" t="0" r="1270" b="127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4989830" cy="3713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2.9pt;height:292.4pt;mso-wrap-distance-left:0.0pt;mso-wrap-distance-top:0.0pt;mso-wrap-distance-right:0.0pt;mso-wrap-distance-bottom:0.0pt;" stroked="f">
                <v:path textboxrect="0,0,0,0"/>
                <v:imagedata r:id="rId16" o:title=""/>
              </v:shape>
            </w:pict>
          </mc:Fallback>
        </mc:AlternateContent>
      </w:r>
      <w:r/>
    </w:p>
    <w:p>
      <w:pPr>
        <w:pStyle w:val="1067"/>
        <w:ind w:firstLine="0"/>
        <w:jc w:val="cente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提审室点位平面示意图：</w:t>
      </w:r>
      <w:r/>
    </w:p>
    <w:p>
      <w:pPr>
        <w:pStyle w:val="1067"/>
        <w:ind w:firstLine="0"/>
        <w:keepLines w:val="0"/>
        <w:keepNext w:val="0"/>
        <w:pageBreakBefore w:val="0"/>
        <w:spacing w:line="360" w:lineRule="auto"/>
        <w:rPr>
          <w:rFonts w:hint="eastAsia" w:ascii="仿宋" w:hAnsi="仿宋" w:eastAsia="仿宋" w:cs="仿宋"/>
          <w:sz w:val="24"/>
        </w:rPr>
      </w:pPr>
      <w:r>
        <w:rPr>
          <w:rFonts w:hint="eastAsia" w:ascii="仿宋" w:hAnsi="仿宋" w:eastAsia="仿宋" w:cs="仿宋"/>
        </w:rPr>
        <mc:AlternateContent>
          <mc:Choice Requires="wpg">
            <w:drawing>
              <wp:inline xmlns:wp="http://schemas.openxmlformats.org/drawingml/2006/wordprocessingDrawing" distT="0" distB="0" distL="0" distR="0">
                <wp:extent cx="5269865" cy="354457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5269890" cy="35446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9pt;height:279.1pt;mso-wrap-distance-left:0.0pt;mso-wrap-distance-top:0.0pt;mso-wrap-distance-right:0.0pt;mso-wrap-distance-bottom:0.0pt;" stroked="f">
                <v:path textboxrect="0,0,0,0"/>
                <v:imagedata r:id="rId17" o:title=""/>
              </v:shape>
            </w:pict>
          </mc:Fallback>
        </mc:AlternateContent>
      </w:r>
      <w:r/>
    </w:p>
    <w:p>
      <w:pPr>
        <w:pStyle w:val="1067"/>
        <w:ind w:firstLine="0"/>
        <w:jc w:val="cente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约见检察官谈话室示意图：</w:t>
      </w:r>
      <w:r/>
    </w:p>
    <w:p>
      <w:pPr>
        <w:pStyle w:val="1067"/>
        <w:ind w:firstLine="0"/>
        <w:jc w:val="center"/>
        <w:keepLines w:val="0"/>
        <w:keepNext w:val="0"/>
        <w:pageBreakBefore w:val="0"/>
        <w:spacing w:line="360" w:lineRule="auto"/>
        <w:rPr>
          <w:rFonts w:hint="eastAsia"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4454525" cy="421703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4454627" cy="4217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0.8pt;height:332.1pt;mso-wrap-distance-left:0.0pt;mso-wrap-distance-top:0.0pt;mso-wrap-distance-right:0.0pt;mso-wrap-distance-bottom:0.0pt;" stroked="f">
                <v:path textboxrect="0,0,0,0"/>
                <v:imagedata r:id="rId18" o:title=""/>
              </v:shape>
            </w:pict>
          </mc:Fallback>
        </mc:AlternateContent>
      </w:r>
      <w:r/>
    </w:p>
    <w:p>
      <w:pPr>
        <w:pStyle w:val="1067"/>
        <w:ind w:firstLine="0"/>
        <w:jc w:val="cente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侦查办案审讯室/重大案件讯问合法性核查室/未成年人谈话室示意图：</w:t>
      </w:r>
      <w:r/>
    </w:p>
    <w:p>
      <w:pPr>
        <w:pStyle w:val="1067"/>
        <w:ind w:firstLine="0"/>
        <w:keepLines w:val="0"/>
        <w:keepNext w:val="0"/>
        <w:pageBreakBefore w:val="0"/>
        <w:spacing w:line="360" w:lineRule="auto"/>
        <w:rPr>
          <w:rFonts w:hint="eastAsia"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5271770" cy="436372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5271897" cy="4363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1pt;height:343.6pt;mso-wrap-distance-left:0.0pt;mso-wrap-distance-top:0.0pt;mso-wrap-distance-right:0.0pt;mso-wrap-distance-bottom:0.0pt;" stroked="f">
                <v:path textboxrect="0,0,0,0"/>
                <v:imagedata r:id="rId19" o:title=""/>
              </v:shape>
            </w:pict>
          </mc:Fallback>
        </mc:AlternateConten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设备间建设：</w:t>
      </w:r>
      <w:r/>
    </w:p>
    <w:p>
      <w:pPr>
        <w:ind w:firstLine="560"/>
        <w:keepLines w:val="0"/>
        <w:keepNext w:val="0"/>
        <w:pageBreakBefore w:val="0"/>
        <w:spacing w:line="360" w:lineRule="auto"/>
        <w:rPr>
          <w:rFonts w:hint="eastAsia" w:ascii="仿宋" w:hAnsi="仿宋" w:eastAsia="仿宋" w:cs="仿宋"/>
          <w:sz w:val="22"/>
          <w:szCs w:val="22"/>
        </w:rPr>
      </w:pPr>
      <w:r>
        <w:rPr>
          <w:rFonts w:hint="eastAsia" w:ascii="仿宋" w:hAnsi="仿宋" w:eastAsia="仿宋" w:cs="仿宋"/>
          <w:sz w:val="28"/>
          <w:szCs w:val="28"/>
        </w:rPr>
        <w:t xml:space="preserve">综合楼二楼设备间，进行机房建设，设计检察工作网机柜、公安网机柜、互联网机柜，考虑到承重，需在机柜及UPS电池下方建散力架，防静电地板采有无边款的硫酸钙地板。配备七氟丙烷气体灭火系统、机房防火钢门、门禁系统、UPS不间断电源设备，同时在机房内敷设防雷接地系统，确保设备的安全。</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监控屏建设</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为了满足驻监检察室对看守所1000多路视频监控的要求，建设98寸液晶电视1台，配</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化控制电脑、坐席、解码器和全钢结构3位操作台。</w:t>
      </w:r>
      <w:r/>
    </w:p>
    <w:p>
      <w:pPr>
        <w:ind w:firstLine="560"/>
        <w:keepLines w:val="0"/>
        <w:keepNext w:val="0"/>
        <w:pageBreakBefore w:val="0"/>
        <w:spacing w:line="360" w:lineRule="auto"/>
        <w:rPr>
          <w:rFonts w:hint="eastAsia" w:ascii="仿宋" w:hAnsi="仿宋" w:eastAsia="仿宋" w:cs="仿宋"/>
          <w:sz w:val="28"/>
          <w:szCs w:val="28"/>
        </w:rPr>
      </w:pPr>
      <w:r/>
      <w:bookmarkStart w:id="183" w:name="_Hlk178171502"/>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分布式坐席系统建设</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为实现检察院跨地点、跨网办公的要求，本次建设分布式坐席系统，共涉及2台分布式输入节点、2台分布式输出节点及1套分布式系统。其中2台分布式节点部署在看守所侧，分别采集看守所公安网电脑（放置于机柜）及解码器信号；1台输出节点部署于看守所会议室，实现跨楼层同步操作；1台输出节点部署于检察院9楼会议室，分别输出到大屏及控制显示器，保障网络安全的同时，实现跨地点、跨网办公的需求。</w:t>
      </w:r>
      <w:bookmarkEnd w:id="183"/>
      <w:r/>
      <w:r/>
    </w:p>
    <w:p>
      <w:pPr>
        <w:pStyle w:val="1067"/>
        <w:ind w:firstLine="0"/>
        <w:keepLines w:val="0"/>
        <w:keepNext w:val="0"/>
        <w:pageBreakBefore w:val="0"/>
        <w:spacing w:line="360" w:lineRule="auto"/>
        <w:rPr>
          <w:rFonts w:hint="eastAsia" w:ascii="仿宋" w:hAnsi="仿宋" w:eastAsia="仿宋" w:cs="仿宋"/>
          <w:sz w:val="20"/>
          <w:szCs w:val="22"/>
        </w:rPr>
      </w:pPr>
      <w:r>
        <w:rPr>
          <w:rFonts w:hint="eastAsia" w:ascii="仿宋" w:hAnsi="仿宋" w:eastAsia="仿宋" w:cs="仿宋"/>
        </w:rPr>
        <mc:AlternateContent>
          <mc:Choice Requires="wpg">
            <w:drawing>
              <wp:inline xmlns:wp="http://schemas.openxmlformats.org/drawingml/2006/wordprocessingDrawing" distT="0" distB="0" distL="0" distR="0">
                <wp:extent cx="5274945" cy="230441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5274945" cy="2304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181.4pt;mso-wrap-distance-left:0.0pt;mso-wrap-distance-top:0.0pt;mso-wrap-distance-right:0.0pt;mso-wrap-distance-bottom:0.0pt;" stroked="f">
                <v:path textboxrect="0,0,0,0"/>
                <v:imagedata r:id="rId20" o:title=""/>
              </v:shape>
            </w:pict>
          </mc:Fallback>
        </mc:AlternateConten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视频平台及存储建设</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次在南通市人民检察院驻看检察室建设驻看视频存储系统，视频存储系统需支持将南通市看守所监控网建设的所有监控视频统一接入存储，网络录像存储设备内置大容量硬盘，支持看守所视频接入存储，本次建设硬盘裸空间不少于1200T，保障1000路视频存储不少于30天。硬盘录满后，自动删除最旧的录像资料，重复循环使用硬盘空间。对看守所重点区域内容可依据需要设置录像锁定或长时间存储，避免关键数据覆盖。音视频存储设备具备冗余保护手段，可通过硬盘冗余机制恢复损坏的数据。</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系统组成：</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视频联网平台：用于接入看守所已建监控视频，本次建设不少于3000路的视频接入管理，支持H.264、H.265多种标准，平台实现设备管理、用户管理、日志管理等业务功能，视频资源通过GB28181协议与市院视频平台对接。</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网络视频存储服务器：视频存储服务器负责监所视频的接入、转发、存储和管理与一体，通过Onvif、GB28181等标准协议，保障了对不同厂家前端设备的兼容性，并减少了流媒体服务器的部署；硬盘录满后，自动删除最旧的录像资料，重复循环使用硬盘空间，且通过RAID技术，保障数据可靠性</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直存性能不少于1000路（4Mbps/路）。本次建设硬盘裸空间不少于1200T，保障1000路视频存储不少于30天。</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公共安防系统建设</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建设监控系统，监控系统包含二楼过道、监控室、资料室、二楼远程提审室、提审区5间提审室、监区内4间，实现无死角覆盖，并能够存储1个月.</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监控点位表：</w:t>
      </w:r>
      <w:r/>
    </w:p>
    <w:tbl>
      <w:tblPr>
        <w:tblStyle w:val="740"/>
        <w:tblW w:w="8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190"/>
        <w:gridCol w:w="860"/>
        <w:gridCol w:w="1530"/>
        <w:gridCol w:w="1520"/>
        <w:gridCol w:w="1550"/>
      </w:tblGrid>
      <w:tr>
        <w:trPr>
          <w:jc w:val="center"/>
          <w:trHeight w:val="412"/>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名称</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半球</w:t>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全景摄像机</w:t>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特写摄像机</w:t>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提审摄像机</w:t>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综合楼机房</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综合楼监控室</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综合楼资料室</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综合楼远程提审</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综合楼过道</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刑检提审区</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约见检察官谈话室</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重大案件讯问合法性核查室</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一般谈话室</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未成年人谈话室</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19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合计</w:t>
            </w:r>
            <w:r/>
          </w:p>
        </w:tc>
        <w:tc>
          <w:tcPr>
            <w:tcW w:w="86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W w:w="153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18</w:t>
            </w:r>
            <w:r/>
          </w:p>
        </w:tc>
        <w:tc>
          <w:tcPr>
            <w:tcW w:w="152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r/>
          </w:p>
        </w:tc>
        <w:tc>
          <w:tcPr>
            <w:tcW w:w="15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r>
    </w:tbl>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7</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视频私网建设</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建设的</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化视频联网平台通过看守所监控专网接入看守所建设的监控视频前端，同时平台启用第二个网络域，通过市检察院波分传输网，将接入的驻看视频通过市院检察工作网安全边界，传送至检察工作网视频平台。</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8</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驻监检察会议室（会议侦查指挥室）</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建设98寸液晶电视，将原4楼会议室改造时拆下的会议系统，含4只壁挂音箱、手拉手会议话筒进行利旧安装，敷设新的音频线、VGA、HDMI线、手拉手话筒线等配件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确保会议扩声系统的正常工作，同时新侦查指挥IP电话系统1套。</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9</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提审室建设</w:t>
      </w:r>
      <w:r/>
    </w:p>
    <w:p>
      <w:pPr>
        <w:ind w:firstLine="560"/>
        <w:keepLines w:val="0"/>
        <w:keepNext w:val="0"/>
        <w:pageBreakBefore w:val="0"/>
        <w:spacing w:line="360" w:lineRule="auto"/>
        <w:rPr>
          <w:rFonts w:hint="eastAsia" w:ascii="仿宋" w:hAnsi="仿宋" w:eastAsia="仿宋" w:cs="仿宋"/>
          <w:sz w:val="28"/>
          <w:szCs w:val="28"/>
          <w:highlight w:val="red"/>
        </w:rPr>
      </w:pPr>
      <w:r>
        <w:rPr>
          <w:rFonts w:hint="eastAsia" w:ascii="仿宋" w:hAnsi="仿宋" w:eastAsia="仿宋" w:cs="仿宋"/>
          <w:sz w:val="28"/>
          <w:szCs w:val="28"/>
        </w:rPr>
        <w:t xml:space="preserve">提审室建设，包括：本地提审室（配同步录音录像设备）有提审区建设5间、监区内2间。远程提审室（配远程提设备）综合楼二楼建设1间（检察官办案）、提审区建设2间、监区内1间。（远程提审室是在本地提审的基础上复用房间）。接入市院已建</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化江海智检通（视频综合办案系统）系统，实现和远程提审系统的互联互通，保障南通两级院及省院进行远程提审羁押嫌疑人。</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系统组成：</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远程提审会议终端：主要用于远程提审时检察官和羁押人员的特写画面采集以及音视频通讯。</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高清同步录音录像主机：接入特写、全景、温湿度、拾音器等设备，并经过音视频混合形成混合流，通过高清同步录音录像主机进行同步刻录。</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示证展台：主要用于远程示证，同时示证画面也在合成画面中同步刻录。</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55寸电视机：每间提审室配置两台55寸电视机（需使用电动升降轨道），用于远程提审画面实时显示。</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电子签名板：用于远程提审羁押人员远程电子签名。</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办案配套办公 ：包括</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化操作电脑（市院利旧）以及打印机，每间提审室配置一套。</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驻所检察谈话室，重大案件讯问合法性核查室</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每间各安装全景相机、特写相机和温湿度显示屏（校时）；安装高清同步录音录像主机及</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化电脑1套（市院利旧）。</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门禁系统建设，综合楼二楼过道、提审区5个房间建设门禁系统，按设计图在2楼综合楼建设过道玻璃门，安装人脸识别门禁。</w:t>
      </w:r>
      <w:r/>
    </w:p>
    <w:p>
      <w:pPr>
        <w:ind w:firstLine="562"/>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门禁点位表 </w:t>
      </w:r>
      <w:r/>
    </w:p>
    <w:tbl>
      <w:tblPr>
        <w:tblStyle w:val="740"/>
        <w:tblW w:w="8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002"/>
        <w:gridCol w:w="1519"/>
        <w:gridCol w:w="1211"/>
        <w:gridCol w:w="1518"/>
        <w:gridCol w:w="1039"/>
      </w:tblGrid>
      <w:tr>
        <w:trPr>
          <w:jc w:val="center"/>
          <w:trHeight w:val="412"/>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名称</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人脸识别门禁</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开门按钮</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单门磁力锁</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双门电插锁</w:t>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综合楼过道门</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远程提审室1</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远程提审室2</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提审室3</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提审室4</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提审室5</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设备间（机房）</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2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0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合计</w:t>
            </w:r>
            <w:r/>
          </w:p>
        </w:tc>
        <w:tc>
          <w:tcPr>
            <w:tcW w:w="151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p>
        </w:tc>
        <w:tc>
          <w:tcPr>
            <w:tcW w:w="1211"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p>
        </w:tc>
        <w:tc>
          <w:tcPr>
            <w:tcW w:w="1518"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p>
        </w:tc>
        <w:tc>
          <w:tcPr>
            <w:tcW w:w="103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r>
    </w:tbl>
    <w:p>
      <w:pPr>
        <w:pStyle w:val="1067"/>
        <w:ind w:firstLine="0"/>
        <w:keepLines w:val="0"/>
        <w:keepNext w:val="0"/>
        <w:pageBreakBefore w:val="0"/>
        <w:spacing w:line="360" w:lineRule="auto"/>
        <w:rPr>
          <w:rFonts w:hint="eastAsia" w:ascii="仿宋" w:hAnsi="仿宋" w:eastAsia="仿宋" w:cs="仿宋"/>
        </w:rPr>
      </w:pPr>
      <w:r>
        <w:rPr>
          <w:rFonts w:hint="eastAsia" w:ascii="仿宋" w:hAnsi="仿宋" w:eastAsia="仿宋" w:cs="仿宋"/>
        </w:rPr>
      </w:r>
      <w:r/>
    </w:p>
    <w:p>
      <w:pPr>
        <w:pStyle w:val="1067"/>
        <w:ind w:firstLine="0"/>
        <w:jc w:val="center"/>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玻璃门设计图</w:t>
      </w:r>
      <w:r/>
    </w:p>
    <w:p>
      <w:pPr>
        <w:pStyle w:val="1067"/>
        <w:ind w:firstLine="0"/>
        <w:jc w:val="center"/>
        <w:keepLines w:val="0"/>
        <w:keepNext w:val="0"/>
        <w:pageBreakBefore w:val="0"/>
        <w:spacing w:line="360" w:lineRule="auto"/>
        <w:rPr>
          <w:rFonts w:hint="eastAsia"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4156075" cy="2639695"/>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4156202" cy="2640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27.2pt;height:207.8pt;mso-wrap-distance-left:0.0pt;mso-wrap-distance-top:0.0pt;mso-wrap-distance-right:0.0pt;mso-wrap-distance-bottom:0.0pt;" stroked="f">
                <v:path textboxrect="0,0,0,0"/>
                <v:imagedata r:id="rId21" o:title=""/>
              </v:shape>
            </w:pict>
          </mc:Fallback>
        </mc:AlternateContent>
      </w:r>
      <w:r/>
    </w:p>
    <w:p>
      <w:pPr>
        <w:ind w:firstLine="560"/>
        <w:keepLines w:val="0"/>
        <w:keepNext w:val="0"/>
        <w:pageBreakBefore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利旧安装和搬迁</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对老看守所现有机房设备进行拆除，部分设备运送至市院指定地点，完成报废工作，波分传输网设备及利旧设备搬迁至新看守所，做好记录，并完成安装调试。</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江海智检通视频综合办案系统</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充分考虑检察院视频综合办案的合规、便捷、高效等因素，本次建设基于检察院原有“三远一网”系统及崇川区院综合视频办案系统，实现系统的整合及</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化适配（根据市院的</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化终端进行适配），同时根据实际办案需求，增加个性化功能点，迭代成新一代</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化江海智检通视频综合办案系统，并按“江海智检通统一应用标准”进行模块化改造。</w:t>
      </w:r>
      <w:r/>
    </w:p>
    <w:p>
      <w:pPr>
        <w:pStyle w:val="1069"/>
        <w:numPr>
          <w:ilvl w:val="0"/>
          <w:numId w:val="0"/>
        </w:numPr>
        <w:ind w:firstLine="56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小程序部分新增功能：</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非羁押办案，预约房间发起会议时，定义一个虚拟房间，用于检察官异地办案，通过VPN进入工作网，并支持手机入会。</w:t>
      </w:r>
      <w:r/>
    </w:p>
    <w:p>
      <w:pPr>
        <w:pStyle w:val="1069"/>
        <w:numPr>
          <w:ilvl w:val="0"/>
          <w:numId w:val="0"/>
        </w:numPr>
        <w:ind w:firstLine="560"/>
        <w:keepLines w:val="0"/>
        <w:keepNext w:val="0"/>
        <w:pageBreakBefore w:val="0"/>
        <w:spacing w:line="360"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）信息统计新增数据维度：</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该部分在原三远一网基础上进行</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化迭代，并增加部分统计、展示、操作维度。</w:t>
      </w:r>
      <w:r/>
    </w:p>
    <w:p>
      <w:pPr>
        <w:pStyle w:val="1069"/>
        <w:numPr>
          <w:ilvl w:val="0"/>
          <w:numId w:val="0"/>
        </w:numPr>
        <w:ind w:firstLine="56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a）</w:t>
      </w:r>
      <w:r>
        <w:rPr>
          <w:rFonts w:hint="eastAsia" w:ascii="仿宋" w:hAnsi="仿宋" w:eastAsia="仿宋" w:cs="仿宋"/>
          <w:sz w:val="28"/>
          <w:szCs w:val="28"/>
        </w:rPr>
        <w:t xml:space="preserve">辖区图：</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支持展示南通辖区图，点击区县辖区展示对应的案件统计情况。</w:t>
      </w:r>
      <w:r/>
    </w:p>
    <w:p>
      <w:pPr>
        <w:pStyle w:val="1069"/>
        <w:numPr>
          <w:ilvl w:val="0"/>
          <w:numId w:val="0"/>
        </w:numPr>
        <w:ind w:firstLine="56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b）</w:t>
      </w:r>
      <w:r>
        <w:rPr>
          <w:rFonts w:hint="eastAsia" w:ascii="仿宋" w:hAnsi="仿宋" w:eastAsia="仿宋" w:cs="仿宋"/>
          <w:sz w:val="28"/>
          <w:szCs w:val="28"/>
        </w:rPr>
        <w:t xml:space="preserve">笔录统计：</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支持笔录数统计，展示系统生成的笔录数量和外部导入的笔录数量。</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支持按组织架构展示相应单位、部门的案件统计情况。</w:t>
      </w:r>
      <w:r/>
    </w:p>
    <w:p>
      <w:pPr>
        <w:pStyle w:val="1069"/>
        <w:numPr>
          <w:ilvl w:val="0"/>
          <w:numId w:val="0"/>
        </w:numPr>
        <w:ind w:firstLine="56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c）</w:t>
      </w:r>
      <w:r>
        <w:rPr>
          <w:rFonts w:hint="eastAsia" w:ascii="仿宋" w:hAnsi="仿宋" w:eastAsia="仿宋" w:cs="仿宋"/>
          <w:sz w:val="28"/>
          <w:szCs w:val="28"/>
        </w:rPr>
        <w:t xml:space="preserve">数据接口：</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支持提供数据统计接口给数据中心，按时间、组织架构返回全部统计数据。</w:t>
      </w:r>
      <w:r/>
    </w:p>
    <w:p>
      <w:pPr>
        <w:pStyle w:val="1069"/>
        <w:numPr>
          <w:ilvl w:val="0"/>
          <w:numId w:val="0"/>
        </w:numPr>
        <w:ind w:firstLine="56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综合管理：</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该部分根据本项目要求进行适配定制，需实现如下功能：</w:t>
      </w:r>
      <w:r/>
    </w:p>
    <w:p>
      <w:pPr>
        <w:pStyle w:val="1069"/>
        <w:numPr>
          <w:ilvl w:val="0"/>
          <w:numId w:val="0"/>
        </w:num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a）</w:t>
      </w:r>
      <w:r>
        <w:rPr>
          <w:rFonts w:hint="eastAsia" w:ascii="仿宋" w:hAnsi="仿宋" w:eastAsia="仿宋" w:cs="仿宋"/>
          <w:sz w:val="28"/>
          <w:szCs w:val="28"/>
        </w:rPr>
        <w:t xml:space="preserve">设备对接：</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为考虑系统的兼容性，本次建设将明确我院江海智检通（视频综合办案系统）接口协议，同步录音录像主机等硬件设备需支持我院统一接口协议，实现无缝对接（协议见附件）。</w:t>
      </w:r>
      <w:r/>
    </w:p>
    <w:p>
      <w:pPr>
        <w:pStyle w:val="1069"/>
        <w:numPr>
          <w:ilvl w:val="0"/>
          <w:numId w:val="0"/>
        </w:num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b）</w:t>
      </w:r>
      <w:r>
        <w:rPr>
          <w:rFonts w:hint="eastAsia" w:ascii="仿宋" w:hAnsi="仿宋" w:eastAsia="仿宋" w:cs="仿宋"/>
          <w:sz w:val="28"/>
          <w:szCs w:val="28"/>
        </w:rPr>
        <w:t xml:space="preserve">数据对接：</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支持统一对接到第三方门户平台、支持对接大数据平台。</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开发检察工作网短信接口模块</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开发检察工作网短信接口模块，为</w:t>
      </w:r>
      <w:r>
        <w:rPr>
          <w:rFonts w:hint="eastAsia" w:ascii="仿宋" w:hAnsi="仿宋" w:eastAsia="仿宋" w:cs="仿宋"/>
          <w:sz w:val="28"/>
          <w:szCs w:val="28"/>
          <w:lang w:eastAsia="zh-CN"/>
        </w:rPr>
        <w:t xml:space="preserve">其他</w:t>
      </w:r>
      <w:r>
        <w:rPr>
          <w:rFonts w:hint="eastAsia" w:ascii="仿宋" w:hAnsi="仿宋" w:eastAsia="仿宋" w:cs="仿宋"/>
          <w:sz w:val="28"/>
          <w:szCs w:val="28"/>
        </w:rPr>
        <w:t xml:space="preserve">应用系统服务提供调用平台接口，约定号码与短信内容，并且对调用方约定发送方与发送时间等内容，后台通过接口将短信报文发送至DMZ区短信网关，并转发至运营商短信平台，后台对约定的发送方与发送时间进行保存统计，后期统计表可根据保存的内容进行统计。</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统一身份认证对接：</w:t>
      </w:r>
      <w:r/>
    </w:p>
    <w:p>
      <w:pPr>
        <w:pStyle w:val="1067"/>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按照省院统一部署的统一身份认证系统完成江海智检通的对接开发工作，实现统一身份认证。</w:t>
      </w:r>
      <w:r/>
    </w:p>
    <w:p>
      <w:pPr>
        <w:pStyle w:val="1067"/>
        <w:ind w:firstLine="560"/>
        <w:keepLines w:val="0"/>
        <w:keepNext w:val="0"/>
        <w:pageBreakBefore w:val="0"/>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2.15、双网隔离交互终端建设，基于江海智检通（视频综合办案系统）当前业务承载量，后续非羁押状态办案时并发能力不足，本次增加1套互联网远程提讯设备（2台双网隔离会议终端）。</w:t>
      </w:r>
      <w:r/>
    </w:p>
    <w:p>
      <w:pPr>
        <w:jc w:val="left"/>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ind w:firstLine="562"/>
        <w:jc w:val="left"/>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（二）采购标的需执行的国家相关标准、行业标准、地方标准或者其他标准、规范</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《数字检察建设规划纲要》（2023-8-30）</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《数字中国建设整体布局规划》（2023-02-27）</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《中共中央关于加强新时代检察机关法律监督工作的意见》（2021-06-15）</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《检察大数据行动指南（2017—2020年）》</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《计算机软件文档编制规范》GB/T 8567</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《数据安全技术 数据分类分级规则》GB/T 43697</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《信息安全技术 信息安全风险评估方法》GB/T 20984</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《信息安全技术 信息系统密码应用基本要求》GB/T 39786</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《信息安全技术 信息系统安全等级保护定级指南》GB/T 22240</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《信息安全技术 网络安全等级保护基本要求》GB/T 22239</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《信息安全技术 网络安全等级保护测评要求》GB/T 28448</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《信息安全技术 政府部门信息安全管理基本要素》GB/T 29245</w:t>
      </w:r>
      <w:r/>
    </w:p>
    <w:p>
      <w:pPr>
        <w:ind w:firstLine="562"/>
        <w:jc w:val="both"/>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《数据管理能力成熟度评估模型》GB/T 36073</w:t>
      </w:r>
      <w:r/>
    </w:p>
    <w:p>
      <w:pPr>
        <w:ind w:firstLine="562"/>
        <w:jc w:val="both"/>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（三）采购标的需满足的质量、安全、技术规格、物理特性等要求设备技术参数要求</w:t>
      </w:r>
      <w:r/>
    </w:p>
    <w:p>
      <w:pPr>
        <w:pStyle w:val="1067"/>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本项目建设要完全实现项目需求中的全部功能要求，并在信息化建设中对装修进行修补和局部建设，确保验收交付后即能办公使用。</w:t>
      </w:r>
      <w:r/>
    </w:p>
    <w:p>
      <w:pPr>
        <w:pStyle w:val="1067"/>
        <w:numPr>
          <w:ilvl w:val="0"/>
          <w:numId w:val="0"/>
        </w:num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rPr>
        <w:t xml:space="preserve">技术规格、物理特性等要求</w:t>
      </w:r>
      <w:r/>
    </w:p>
    <w:p>
      <w:pPr>
        <w:ind w:firstLine="562"/>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1.1、</w:t>
      </w:r>
      <w:r>
        <w:rPr>
          <w:rFonts w:hint="eastAsia" w:ascii="仿宋" w:hAnsi="仿宋" w:eastAsia="仿宋" w:cs="仿宋"/>
          <w:b/>
          <w:bCs/>
          <w:sz w:val="28"/>
          <w:szCs w:val="28"/>
        </w:rPr>
        <w:t xml:space="preserve">工作网汇聚交换机</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交换容量≥672Gbps，转发性能≥207Mpps，</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固化100/1000M SFP光接口≥24个，10G/1G SFP+光接口≥8个</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支持可拔插双模块化电源，实现1+1冗余；</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支持SAVI功能，可防止地址解析欺骗；</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支持RIP/RIPng、OSPFv2/OSPFv3等三层路由协议；</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支持CPU保护功能，限制非法报文对CPU的攻击，保护交换机在各种环境下稳定工作；</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支持专门基础网络保护机制，支持限制用户向网络中发送数据包的速率，对有攻击行为的用户进行隔离，保证设备和整网的安全稳定运行；</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支持虚拟化功能，即可将多台物理设备虚拟化为一台逻辑设备统一管理，并且链路故障的收敛时间≤50ms；</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支持SNMP、CLI(Telnet/Console)、RMON、SSH、Syslog、NTP/SNTP、FTP、TFTP、Web；</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为保证IPv6的可部署性和应用性，所投交换机需具备IPv6 Ready Phase2认证证书；</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设备关键芯片如CPU满足</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化要求，推动自主可控。</w:t>
      </w:r>
      <w:r/>
    </w:p>
    <w:p>
      <w:pPr>
        <w:ind w:firstLine="281"/>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1.2、24口交换机</w:t>
      </w:r>
      <w:r/>
    </w:p>
    <w:p>
      <w:pPr>
        <w:ind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交换容量≥336Gbps，包转发率≥108Mpps</w:t>
      </w:r>
      <w:r/>
    </w:p>
    <w:p>
      <w:pPr>
        <w:ind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支持24个10/100/1000Base-T以太网端口，4个万兆SFP+</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支持MAC表容量≥16k，ARP表容量≥4k，IPv4路由表≥4k</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支持MAC地址认证、802.1x认证、Portal认证等多种安全认证方式，实现用户策略（VLAN、QoS、ACL）的动态下发。</w:t>
      </w:r>
      <w:r/>
    </w:p>
    <w:p>
      <w:pPr>
        <w:ind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支持静态路由，支持RIP、RIPng、OSPF、OSPFv3协议</w:t>
      </w:r>
      <w:r/>
    </w:p>
    <w:p>
      <w:pPr>
        <w:ind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支持纵向虚拟化，支持作为SVF client，简化管理与配置</w:t>
      </w:r>
      <w:r/>
    </w:p>
    <w:p>
      <w:pPr>
        <w:ind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支持RRPP环型拓扑和RRPP多实例，支持ERPS以太环保护协议（G.8032）</w:t>
      </w:r>
      <w:r/>
    </w:p>
    <w:p>
      <w:pPr>
        <w:ind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支持Telemetry技术，可实时采集设备数据24口，万兆上联</w:t>
      </w:r>
      <w:r/>
    </w:p>
    <w:p>
      <w:pPr>
        <w:ind w:firstLine="281"/>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1.3、UPS主机</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1）▲纯在线式双变换UPS产品；UPS主机容量20kVA，根据用户现场情况，选择采用立式安装，</w:t>
      </w:r>
      <w:r>
        <w:rPr>
          <w:rFonts w:hint="eastAsia" w:ascii="仿宋" w:hAnsi="仿宋" w:eastAsia="仿宋" w:cs="仿宋"/>
          <w:b/>
          <w:bCs/>
          <w:color w:val="auto"/>
          <w:sz w:val="28"/>
          <w:szCs w:val="28"/>
        </w:rPr>
        <w:t xml:space="preserve">（提供证明材料并加盖投标人公章）</w:t>
      </w:r>
      <w:r>
        <w:rPr>
          <w:rFonts w:hint="eastAsia" w:ascii="仿宋" w:hAnsi="仿宋" w:eastAsia="仿宋" w:cs="仿宋"/>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2）兼容可立可卧安装，面板LCD重力感应自动切换横屏或竖屏显示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可手动或自动模式</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 为了适应用户现场配电，UPS主机要求支持三进三出、三进单出。</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4）UPS主机尺寸（机架安装时）应满足：宽度≤440mm，深度≤550mm，高度≤130mm。</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5）▲具有LCD+LED指示的操作界面，实时记录工作状态和运行信息，管理更加直观；操作界面要求配备手动双键开关机按钮，防止误操作发生。</w:t>
      </w:r>
      <w:r>
        <w:rPr>
          <w:rFonts w:hint="eastAsia" w:ascii="仿宋" w:hAnsi="仿宋" w:eastAsia="仿宋" w:cs="仿宋"/>
          <w:b/>
          <w:bCs/>
          <w:color w:val="auto"/>
          <w:sz w:val="28"/>
          <w:szCs w:val="28"/>
        </w:rPr>
        <w:t xml:space="preserve">（要求提供显示面板实物照片证明材料并加盖投标单位公章）</w:t>
      </w:r>
      <w:r/>
    </w:p>
    <w:p>
      <w:pPr>
        <w:ind w:firstLine="560"/>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6）▲为了满足现场配电要求，便于设备实现不断电的前提下进行主机维护更换，主机和配电采取分离设计，UPS主机可采用搭载市电、旁路、输出与维护旁路四个断路器的配电箱，且配电箱应具有示意配电开关电气关系，风格与主机保持一致。</w:t>
      </w:r>
      <w:r>
        <w:rPr>
          <w:rFonts w:hint="eastAsia" w:ascii="仿宋" w:hAnsi="仿宋" w:eastAsia="仿宋" w:cs="仿宋"/>
          <w:b/>
          <w:bCs/>
          <w:color w:val="auto"/>
          <w:sz w:val="28"/>
          <w:szCs w:val="28"/>
        </w:rPr>
        <w:t xml:space="preserve">（提供所投产品实物照片证明并加盖投标单位公章） </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7）数字化并机：并机通讯接口板采用SLOT插槽设计，单机和并机可灵活切换，方便备库存，支持并机单用、扩容、冗余、双母线等多种工作制式；支持用户无须拆机现场单机升级成并机。</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8） 高性能指标：</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1）整机UPS效率：</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100%阻性负载：≥94%</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50%阻性负载：≥92%</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30%阻性负载：≥90%</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2）输出功率因素：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输出有功功率应 ≥额定容量×0.9 kW/kVA即输出PF≥0.9，输出端可带更多负载； </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3）输入电流谐波：</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100%非线性负载：＜5%， </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50%非线性负载：＜8%，</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30%非线性负载：＜11%；</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4）过载能力：125%负载维持10分钟。</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9）电池直流电压输入范围：单体12V电池支持±12～±20节（即±144V～±240V连续可调），现场配置灵活。</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10）具备大充电电流，20kVA充电电流最大可增至10A，缩短充电时间。</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11）安全保护：输入浪涌保护，火线对地具有保护措施，能承受更高的浪涌尖峰电压，同时，电池应具备防反接保护。</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12） 智能化管理：</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1）具备开机密码管理功能；享受原厂服务。</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2）用户日志记录：记录用户设置操作记录，数据可通讯导出；</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3）电池管理功能：UPS主机具备直接通过面板功能对电池组进行无风险标准和深度放电检测，不需切断市电开关，避免放电时因电池组故障造成预外掉电；</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13）UPS主机应满足在高海拔2000米内使用且不降额，满足高海拔地区用户的使用需求，无需加大规划ups容量，降低初始投资成本。</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1.4、</w:t>
      </w:r>
      <w:r>
        <w:rPr>
          <w:rFonts w:hint="eastAsia" w:ascii="仿宋" w:hAnsi="仿宋" w:eastAsia="仿宋" w:cs="仿宋"/>
          <w:b/>
          <w:bCs/>
          <w:sz w:val="28"/>
          <w:szCs w:val="28"/>
        </w:rPr>
        <w:t xml:space="preserve">调音台</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1）4路话筒输入，4路（2组）立体声输入；</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2）带48V幻像电源，隐藏式按键开关；</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3）话筒输入高中低3段均衡，立体声高低2段均衡，输入推子60mm；  </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4）一个AUX发送（推子前信号），一个FX发送（推子后信号），AUX发送由推子控制，FX发送由旋钮控制；</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5）输入每路带PFL按键，可以监听推子前信号，独特透光按键设计；</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6）每路带信号指示灯和峰值指示灯，共用可变色指示灯,绿色红色可变；</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7）播放模块特点：带蓝牙,USB播放,录音功能，也可以做为简易声卡直接和电脑连接，播放音乐可以显示歌名，歌词，支持MP3,WAV等多种格式，中英文界面可选，循环模式可选；</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8）内置效果器，延时和重复比例可调，可以组合多种效果模式；效果可以加入主输入，也可以加入辅助AUX输出；  </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9）两主输出，带卡龙和***RCA两种输出口（方便给本地或远程录音信号），两个推子独立控制，60mm进口推子；</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10）立体声监听输出，可以耳机监听，也可以外接音箱监听，旋钮控制音量大小；</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11）左右立体声辅助返回，旋钮控制返回音量大小；</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12）标准双12段光柱电平表，精确指示电平大小；</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13）话筒输入可以选择卡龙或6.35接口，立体声输入可以选择RCA或6.35接口；</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14）可选配支架，安装在标准机柜上；</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15）外置大功率电源，有效减少外部电源干扰。</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技术参数：  </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频率响应：20 Hz~20 KHz(+/-0.5 dB)；</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总谐波失真：&lt;1%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额定条件：20 HZ-20 KHZ)；</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等效输入噪音：≤-110 dBm；</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输入通道均衡特性：                                   </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低频：80 Hz/±15 dB；</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中频：2.5 KHz±15 dB；</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高频：12 KHz/±15 dB；</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线路输入时的最大增益：≥20 dB；</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传声器输入时的最大增益：≥50 dB；</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输入阻抗：</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话筒输入：≥1.0 KΩ；</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线路输出：≥10 KΩ；</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辅助返回输入:20 KΩ；</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输出阻抗：</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左总输出：≤300Ω；</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右总输出：≤300Ω；</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监听总输出：≤300Ω；</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卡式输出：≤10KΩ；</w:t>
      </w:r>
      <w:r/>
    </w:p>
    <w:p>
      <w:pPr>
        <w:ind w:firstLine="85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辅助输出： ≤10KΩ；</w:t>
      </w:r>
      <w:r/>
    </w:p>
    <w:p>
      <w:pPr>
        <w:ind w:firstLine="281"/>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1.5、</w:t>
      </w:r>
      <w:r>
        <w:rPr>
          <w:rFonts w:hint="eastAsia" w:ascii="仿宋" w:hAnsi="仿宋" w:eastAsia="仿宋" w:cs="仿宋"/>
          <w:b/>
          <w:bCs/>
          <w:sz w:val="28"/>
          <w:szCs w:val="28"/>
        </w:rPr>
        <w:t xml:space="preserve">吊麦</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产品拾音采用V型夹角超心型设计，适用于学院精品录播、视频会议、乐器录制、采访录音、演讲等录、扩音还原场所。</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1）内外置铝合金管体 内置导相流钢制带孔管体。</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2）每只麦克风可满足5-30平面积使用要求；</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3）拾音头内置雷击、电源极性反转保护功能，使用更安全稳定；</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4）符合标准最高检同步录音录像系统建设规范。</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技术参数：</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指向性：V型超心形拾音角度</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灵敏度：-30dB</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失真度：≤0.01%</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动态范围：≥100dB</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频率响应：20Hz-20KHz </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输出阻抗：600Ω</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信噪比：≥80dB</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最大输入声压：125dB</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输出电压信号：25vpp/-25dB</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拾音距离：5m</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材质：铝合金 </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尺寸：长160mm* 直径20mm</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电源供电：幻相9V-48V直流主机供电</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1.6</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鹅颈麦</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功能介绍：</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具先进的数字ID导频功能，彻底杜绝干扰和窜频现象</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采用23级电子音量控制,简约搭配</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音质清晰亮丽，理想使用距离100米</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200组可选频点，抗干扰能力强</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接收机带发射电池用量显示，手咪通用</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设有回输啸叫抑制减弱功能，能有效减少回输啸叫</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适用于大小舞台，会议厅，KTV包房等</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可任意选配手咪、头戴、领夹、鹅颈。</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参数:</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频率范围：640-690MHz</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调制方式：宽带FM</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可调范围：50MHz</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信道数目：200</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信道间隔：250KHz</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频率稳定度：±0.005%以内</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动态范围：&gt;105dB</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最大频偏：±45KHz</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音频响应：40Hz-18KHz(±3dB)</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综合信噪比：&gt;110dB</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综合失真：≤0.2%</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工作温度：-25℃--+40℃</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接收机指标：</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接收机方式：二次变频超外差</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输入功率：5W</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中频频率：第一中频：110MHz,第二中频10.7MHz</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无线接口：BNC/50Ω</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灵敏度：12 dBμV (80dBS/N)</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灵敏度调节范围：10-32dBμV</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杂散抑制：≥95dB</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最大输出电平：+10 dBV</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发射器指标：</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天线程式：佩挂发射器采用1/4 波长鞭状天线,手持麦克风</w:t>
      </w:r>
      <w:r/>
    </w:p>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内置天线</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输出功率：20mW</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杂散抑制：-60dB</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供电：两节 AA 电池</w:t>
      </w:r>
      <w:r/>
    </w:p>
    <w:p>
      <w:pPr>
        <w:ind w:left="425" w:firstLine="42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使用时间：约8—10小时</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1.7、</w:t>
      </w:r>
      <w:r>
        <w:rPr>
          <w:rFonts w:hint="eastAsia" w:ascii="仿宋" w:hAnsi="仿宋" w:eastAsia="仿宋" w:cs="仿宋"/>
          <w:b/>
          <w:bCs/>
          <w:sz w:val="28"/>
          <w:szCs w:val="28"/>
        </w:rPr>
        <w:t xml:space="preserve">监控室解码器</w:t>
      </w:r>
      <w:r/>
    </w:p>
    <w:p>
      <w:pPr>
        <w:ind w:left="424"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视频输入：2路HDMI；</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▲支持设置指定电脑允许的接管范围和窗口，除此之外的电脑内容不予以显示。（提供检测报告复印件加盖投标单位公章）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视频输出路数：4路HDMI</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4个HDMI输出口可支持同时输出分辨率为3840×2160，60Hz的视频图像。</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画面分割：单屏支持1/4/6/8/9/16/25/36固定分割；支持M×N自定义分割，M×N≤36；</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视频压缩标准：H.265;H.264;MJPEG;MPEG4;SVAC;MPEG2；</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解码能力：最大支持2路32MP@25fps/7路12MP@25fps/10路8MP@25fps/14路6MP@25fps/18路5MP@25fps/28路3MP@25fps/36路1080p@30fps/144路D1@30fps同时解码；</w:t>
      </w:r>
      <w:r/>
    </w:p>
    <w:p>
      <w:pPr>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支持在大屏上对事件的视频录像进行回放，支持暂停和播放操作</w:t>
      </w:r>
      <w:r>
        <w:rPr>
          <w:rFonts w:hint="eastAsia" w:ascii="仿宋" w:hAnsi="仿宋" w:eastAsia="仿宋" w:cs="仿宋"/>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支持视频图像跨屏同步显示功能，所有跨屏信号源可以同时发送至各个屏幕显示，时差≤50ｕs。（提供检测报告复印件加盖投标单位公章）</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1.8、</w:t>
      </w:r>
      <w:r>
        <w:rPr>
          <w:rFonts w:hint="eastAsia" w:ascii="仿宋" w:hAnsi="仿宋" w:eastAsia="仿宋" w:cs="仿宋"/>
          <w:b/>
          <w:bCs/>
          <w:sz w:val="28"/>
          <w:szCs w:val="28"/>
        </w:rPr>
        <w:t xml:space="preserve">分布式输入节点</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支持DP/HDMI接口视音频采集；支持1路HDMI环通输出</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输入节点视频转发不少于100路1080P@60Hz。（提供检测报告复印件加盖投标单位公章）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采集输入分辨率支持1280×720@60fps、1920×1080@60fps、2560×1440@60fps、3840×2160@60fps分辨率。</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编码分辨率自适应采集电脑分辨率，无需手动切换；支持H.264/H.265编码，默认H.265</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支持音频格式编码PCM；支持RTSP等协议接入</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支持液晶面板显示设备名称和IP信息，可通过物理按键进行配置，支持网络光电热备,自动切换</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设备同时具有SFP光纤接口和RJ45网络接口，光口和网口可以同时使用，断掉任意一个接口的连接，都不会对设备的网络造成影响。（提供检测报告复印件加盖投标单位公章）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支持不少于1路HDMI或1路DP接口输入，1路HDMI环通输出；1个3.5mm音频输出接口、2个3.5mm音频输入接口；3个 USB 、1个RS232接口；1个 RS485接口、1个 复位按钮、1个 电源灯、1个 运行状态灯、1个 光口链接指示灯、1个 485状态灯、1个 VI信号锁位灯、1个sys预留灯、1个 TF卡插槽； 2个报警输入，2个报警输出，2个红外IR接口</w:t>
      </w:r>
      <w:r/>
    </w:p>
    <w:p>
      <w:pPr>
        <w:ind w:firstLine="281"/>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1.9、</w:t>
      </w:r>
      <w:r>
        <w:rPr>
          <w:rFonts w:hint="eastAsia" w:ascii="仿宋" w:hAnsi="仿宋" w:eastAsia="仿宋" w:cs="仿宋"/>
          <w:b/>
          <w:bCs/>
          <w:sz w:val="28"/>
          <w:szCs w:val="28"/>
        </w:rPr>
        <w:t xml:space="preserve">分布式输出节点</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1套鼠标键盘控制多个不同业务平台系统，实现跨网段、跨系统编辑操作，输出节点具备单台显示器同时查看并跨屏操控64个不同业务系统的画面功能，单屏64画面模式下支持鼠标滑屏，鼠标滑动到任意一个分割区域都可对相应的主机进行KVM控制。</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支持用户通过快捷键，将本地信号进行画面推送至其他席位或大屏，可在OSD菜单中可视化的虚拟出电视墙实际布局，根据需要可直观选择窗口推送； </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具备KVM操作功能，并支持一人多机、一机多屏、人机分离等坐席应用场景。</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可在坐席上通过RTSP、onvif协议接入前端设备。</w:t>
      </w:r>
      <w:r/>
    </w:p>
    <w:p>
      <w:pPr>
        <w:ind w:firstLine="56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单节点支持2路7680×3840@25fps或7路4000×3000@25fps或10路3840×2160@25fps或18路2506×1920@25fps或18路2688×1520@25fps或28路2048×1536@25fps或36路1920×1080@30fps或网络视频实时解码。</w:t>
      </w:r>
      <w:r>
        <w:rPr>
          <w:rFonts w:hint="eastAsia" w:ascii="仿宋" w:hAnsi="仿宋" w:eastAsia="仿宋" w:cs="仿宋"/>
          <w:b/>
          <w:bCs/>
          <w:sz w:val="28"/>
          <w:szCs w:val="28"/>
        </w:rPr>
        <w:t xml:space="preserve">（提供检测报告复印件并加盖投标单位公章）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兼容支持LCD、LED、DLP等类型屏幕。</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设备支持预案轮巡和窗口轮巡，可以对添加好的任意预案添加到轮巡组进行轮巡，也可以任意多个信号源在选中的窗口进行信号源的轮巡。轮巡间隔时间可调节。</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不少于1个HDMI输出接口；1个3.5mm音频输出接口；2个USB2.0，2个USB3.0；支持1路RS232接口、1路RS485接口、1个 复位按钮、1个 电源灯、1个 运行状态灯、1个 光口链接指示灯、1个 千兆电口（RJ45）、1个 千兆光口；1个液晶显示板，用于显示IP地址+设备名称 2个开关量输入 2个继电器输出；</w:t>
      </w:r>
      <w:r/>
    </w:p>
    <w:p>
      <w:pPr>
        <w:ind w:firstLine="562"/>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1.10、</w:t>
      </w:r>
      <w:r>
        <w:rPr>
          <w:rFonts w:hint="eastAsia" w:ascii="仿宋" w:hAnsi="仿宋" w:eastAsia="仿宋" w:cs="仿宋"/>
          <w:b/>
          <w:bCs/>
          <w:sz w:val="28"/>
          <w:szCs w:val="28"/>
          <w:lang w:eastAsia="zh-CN"/>
        </w:rPr>
        <w:t xml:space="preserve">信创</w:t>
      </w:r>
      <w:r>
        <w:rPr>
          <w:rFonts w:hint="eastAsia" w:ascii="仿宋" w:hAnsi="仿宋" w:eastAsia="仿宋" w:cs="仿宋"/>
          <w:b/>
          <w:bCs/>
          <w:sz w:val="28"/>
          <w:szCs w:val="28"/>
        </w:rPr>
        <w:t xml:space="preserve">化视频联网平台</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支持不少于3000路视频接入授权；支持</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化环境部署；支持</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化客户端操作；支持国标推送</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支持实时视频、录像回放、录像下载等视频类功能</w:t>
      </w:r>
      <w:r/>
    </w:p>
    <w:p>
      <w:pPr>
        <w:ind w:firstLine="56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支持收藏夹轮巡，支持以10秒、30秒、1分钟、2分钟、5分钟、10分钟6种可选轮巡间隔；</w:t>
      </w:r>
      <w:r>
        <w:rPr>
          <w:rFonts w:hint="eastAsia" w:ascii="仿宋" w:hAnsi="仿宋" w:eastAsia="仿宋" w:cs="仿宋"/>
          <w:b/>
          <w:bCs/>
          <w:sz w:val="28"/>
          <w:szCs w:val="28"/>
        </w:rPr>
        <w:t xml:space="preserve"> </w:t>
      </w:r>
      <w:r/>
    </w:p>
    <w:p>
      <w:pPr>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支持报警预案，接受预案配置的各类报警，支持报警详细信息查看，支持报警事件推送、快速督导功能</w:t>
      </w:r>
      <w:r>
        <w:rPr>
          <w:rFonts w:hint="eastAsia" w:ascii="仿宋" w:hAnsi="仿宋" w:eastAsia="仿宋" w:cs="仿宋"/>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支持电视上墙，支持快捷对正在播放的视频通道进行上墙；支持视频下载</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存储计划：支持视频类设备的录像计划、补录计划、失效录像计划、录像执行管理、私密录像配置等功能。</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电视墙配置：用于电视墙任务配置管理，支持窗口数、编码通道选择、使用角色等配置。</w:t>
      </w:r>
      <w:r/>
    </w:p>
    <w:p>
      <w:pPr>
        <w:ind w:firstLine="56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支持直播和回放同一时间轴展示，支持直播回放同一时间轴来回切换，时间轴上可显示预览缩略图；支持通道缩略图和树状列表展示，支持通道缩略图动态更新，支持通道列表动态加载，支持通道收藏功能</w:t>
      </w:r>
      <w:r>
        <w:rPr>
          <w:rFonts w:hint="eastAsia" w:ascii="仿宋" w:hAnsi="仿宋" w:eastAsia="仿宋" w:cs="仿宋"/>
          <w:b/>
          <w:bCs/>
          <w:sz w:val="28"/>
          <w:szCs w:val="28"/>
        </w:rPr>
        <w:t xml:space="preserve">（提供检测报告复印件加盖投标单位公章）</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1.11、</w:t>
      </w:r>
      <w:r>
        <w:rPr>
          <w:rFonts w:hint="eastAsia" w:ascii="仿宋" w:hAnsi="仿宋" w:eastAsia="仿宋" w:cs="仿宋"/>
          <w:b/>
          <w:bCs/>
          <w:sz w:val="28"/>
          <w:szCs w:val="28"/>
          <w:lang w:eastAsia="zh-CN"/>
        </w:rPr>
        <w:t xml:space="preserve">信创</w:t>
      </w:r>
      <w:r>
        <w:rPr>
          <w:rFonts w:hint="eastAsia" w:ascii="仿宋" w:hAnsi="仿宋" w:eastAsia="仿宋" w:cs="仿宋"/>
          <w:b/>
          <w:bCs/>
          <w:sz w:val="28"/>
          <w:szCs w:val="28"/>
        </w:rPr>
        <w:t xml:space="preserve">化网络视频存储服务器</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操作系统：</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操作系统；</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高速缓存：标配16GB，可扩展至512GB；</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视频直存（私有协议）：最大支持1024路（2048Mbps）前端接入；存储；转发，32路（64Mbps）网络回放；</w:t>
      </w:r>
      <w:r/>
    </w:p>
    <w:p>
      <w:pPr>
        <w:ind w:firstLine="28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设备可接入双音轨，可同时或分别播放左右音轨</w:t>
      </w:r>
      <w:r>
        <w:rPr>
          <w:rFonts w:hint="eastAsia" w:ascii="仿宋" w:hAnsi="仿宋" w:eastAsia="仿宋" w:cs="仿宋"/>
          <w:b/>
          <w:bCs/>
          <w:sz w:val="28"/>
          <w:szCs w:val="28"/>
        </w:rPr>
        <w:t xml:space="preserve">（提供检测报告复印件加盖投标单位公章）</w:t>
      </w:r>
      <w:r/>
    </w:p>
    <w:p>
      <w:pPr>
        <w:ind w:firstLine="28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支持纠删码技术。最多可以支持16个盘掉线或者损坏，数据仍然有效，保留的硬盘中的数据可正常读出，且新数据可正常写入.创建RAID后即为同步完成状态</w:t>
      </w:r>
      <w:r>
        <w:rPr>
          <w:rFonts w:hint="eastAsia" w:ascii="仿宋" w:hAnsi="仿宋" w:eastAsia="仿宋" w:cs="仿宋"/>
          <w:b/>
          <w:bCs/>
          <w:sz w:val="28"/>
          <w:szCs w:val="28"/>
        </w:rPr>
        <w:t xml:space="preserve">（提供检测报告复印件加盖投标单位公章）</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当系统检查到硬盘损坏、坏块太多、读写大量异常或者无法获取硬盘信息等问题，硬盘会被定义为错误盘。用户界面硬盘位标识为红色，硬盘灯也显示为红色长亮。</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1个千兆管理电口，4个千兆数据电口，2个万兆数据光口</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当用户通过 RTSP 协议访问样机时，账户密码应使用 digest 认证方式，而不能使用 basic 认证方式</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支持将第三方业务平台整体嵌入在一个控制器中，同时运行（提供检测报告复印件加盖投标单位公章）</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更换系统盘并配置好信息后,再次开机无需人工介入,可自动恢复业务,历史数据不应丢失;应支持系统盘中数据库恢复和加密,数据库中的数据只能本机读取（提供检测报告复印件加盖投标单位公章）</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支持任意 N 台设备（N≥2） 通过 SAS数据线组成环状结构集群， 设备集群之间数据能够通过环状结构进行传递和通信， 其中任意 1 台设备都可以访问其下游设备中的数据（提供检测报告复印件加盖投标单位公章）</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硬盘接口：36个；</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本次配置含36块18T企业级硬盘。</w:t>
      </w:r>
      <w:r/>
    </w:p>
    <w:p>
      <w:pPr>
        <w:ind w:firstLine="281"/>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1.12、</w:t>
      </w:r>
      <w:r>
        <w:rPr>
          <w:rFonts w:hint="eastAsia" w:ascii="仿宋" w:hAnsi="仿宋" w:eastAsia="仿宋" w:cs="仿宋"/>
          <w:b/>
          <w:bCs/>
          <w:sz w:val="28"/>
          <w:szCs w:val="28"/>
        </w:rPr>
        <w:t xml:space="preserve">网络存储</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操作系统：</w:t>
      </w:r>
      <w:r>
        <w:rPr>
          <w:rFonts w:hint="eastAsia" w:ascii="仿宋" w:hAnsi="仿宋" w:eastAsia="仿宋" w:cs="仿宋"/>
          <w:sz w:val="28"/>
          <w:szCs w:val="28"/>
          <w:lang w:eastAsia="zh-CN"/>
        </w:rPr>
        <w:t xml:space="preserve">信创</w:t>
      </w:r>
      <w:r>
        <w:rPr>
          <w:rFonts w:hint="eastAsia" w:ascii="仿宋" w:hAnsi="仿宋" w:eastAsia="仿宋" w:cs="仿宋"/>
          <w:sz w:val="28"/>
          <w:szCs w:val="28"/>
        </w:rPr>
        <w:t xml:space="preserve">操作系统；</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支持任意 N 台设备（N≥2） 通过 SAS数据线组成环状结构集群， 设备集群之间数据能够通过环状结构进行传递和通信， 其中任意 1 台设备都可以访问其下游设备中的数据（提供检测报告复印件加盖投标单位公章）</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高速缓存：标配8GB，可扩展至128GB；</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视频直存（私有协议）：最大支持512路（1024Mbps）前端接入、存储、转发，32路（64Mbps）网络回放；</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可检测接入视频的异常项，异常项目包括：视频遮挡、场景变化、 视频抖动、噪声检测、条纹干扰、视频丢失、画面冻结、高亮度检测、清晰度侦测、视频偏色、场景剧变、低对比度、雪花噪点、保护膜未撕、视频紫边异常；支持轮巡检测；可按通道、 时间查询视频质量诊断报表， 支持采用饼图和柱状图汇总视频数据信息， 支持采用表格展示检测异常项目（提供检测报告复印件加盖投标单位公章）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可在客户端界面查看数据重构状态，磁盘或节点离线并重新插回后，可在界面显示离线磁盘或节点的数据重构过程，离线前数据不丢失（提供检测报告复印件加盖投标单位公章）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可将录制的视频图像进行合并， 并支持延迟摄影视频的预览及下载， 支持按照自定义的时间间隔抽帧生成视频（提供检测报告复印件加盖投标单位公章）</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设备可接入双音轨，可同时或分别播放左右音轨</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硬盘接口：24个；</w:t>
      </w:r>
      <w:r/>
    </w:p>
    <w:p>
      <w:pPr>
        <w:ind w:firstLine="281"/>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1.13、</w:t>
      </w:r>
      <w:r>
        <w:rPr>
          <w:rFonts w:hint="eastAsia" w:ascii="仿宋" w:hAnsi="仿宋" w:eastAsia="仿宋" w:cs="仿宋"/>
          <w:b/>
          <w:bCs/>
          <w:sz w:val="28"/>
          <w:szCs w:val="28"/>
        </w:rPr>
        <w:t xml:space="preserve">会议室解码器</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视频输出路数：1路</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画面分割：单屏支持1/4/6/8/9/16/25/36/64固定分割；支持M×N自定义分割，M×N≤64；</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视频压缩标准：H.265;H.264;MJPEG;MPEG4;SVAC;MPEG2；</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解码能力：支持1路32MP@25fps/3路12MP@15fps/4路8MP@30fps/6路6MP@25fps/8路5MP@25fps/9路4MP@25fps/10路3MP@30fps/16路1080p@30fps/64路D1@30fps同时解码；</w:t>
      </w:r>
      <w:r/>
    </w:p>
    <w:p>
      <w:pPr>
        <w:ind w:left="567" w:firstLine="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支持不少于1/4/9/16/25/36/64画面分割显示</w:t>
      </w:r>
      <w:r>
        <w:rPr>
          <w:rFonts w:hint="eastAsia" w:ascii="仿宋" w:hAnsi="仿宋" w:eastAsia="仿宋" w:cs="仿宋"/>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支持对前端智能设备的码流进行解码显示，当前端智能设备发生各种报警行为时，可在屏幕上进行提示。</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HDMI口支持不小于4K(3840×2160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的高清视频显示输出。</w:t>
      </w:r>
      <w:r/>
    </w:p>
    <w:p>
      <w:pPr>
        <w:ind w:firstLine="56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lang w:val="en-US" w:eastAsia="zh-CN"/>
        </w:rPr>
        <w:t xml:space="preserve">1.14、</w:t>
      </w:r>
      <w:r>
        <w:rPr>
          <w:rFonts w:hint="eastAsia" w:ascii="仿宋" w:hAnsi="仿宋" w:eastAsia="仿宋" w:cs="仿宋"/>
          <w:b/>
          <w:bCs/>
          <w:sz w:val="28"/>
          <w:szCs w:val="28"/>
        </w:rPr>
        <w:t xml:space="preserve">检察官端远程提审视频终端</w:t>
      </w:r>
      <w:r/>
    </w:p>
    <w:p>
      <w:pPr>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支持ITU-T H.323和IETF SIP通信标准；高清摄像头210万像素，支持10倍光学变焦，60.9°水平视场角</w:t>
      </w:r>
      <w:r>
        <w:rPr>
          <w:rFonts w:hint="eastAsia" w:ascii="仿宋" w:hAnsi="仿宋" w:eastAsia="仿宋" w:cs="仿宋"/>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支持H265编解码，支持双HDMI输出，支持主流、辅流最大分辨率1080P</w:t>
      </w:r>
      <w:r>
        <w:rPr>
          <w:rFonts w:hint="eastAsia" w:ascii="仿宋" w:hAnsi="仿宋" w:eastAsia="仿宋" w:cs="仿宋"/>
          <w:sz w:val="28"/>
          <w:szCs w:val="28"/>
          <w:lang w:eastAsia="zh-CN"/>
        </w:rPr>
        <w:t xml:space="preserve">；</w:t>
      </w:r>
      <w:r/>
    </w:p>
    <w:p>
      <w:pPr>
        <w:ind w:left="567" w:firstLine="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视频编解码协议：H.265、H.264 HP、H.264 BP、H.263、H.263+等</w:t>
      </w:r>
      <w:r>
        <w:rPr>
          <w:rFonts w:hint="eastAsia" w:ascii="仿宋" w:hAnsi="仿宋" w:eastAsia="仿宋" w:cs="仿宋"/>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视频输入：1 × VGA、1 × HDMI，1 × 内置摄像机输入；视频输出：2 × HDMI</w:t>
      </w:r>
      <w:r>
        <w:rPr>
          <w:rFonts w:hint="eastAsia" w:ascii="仿宋" w:hAnsi="仿宋" w:eastAsia="仿宋" w:cs="仿宋"/>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音频输入：2 × 3.5mm，1 × DH-AI(数字阵列麦克接口) ，1 × HDMI；音频输出：1 × 3.5mm ，1 × HDMI(支持主屏音频输出)</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音频处理：AEC（自动回声抵消）、AGC（自动增益）、ANS（自动噪声抑制）、后置自适应滤波、音频误码纠错、唇音同步</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支持OPUS音频编码、48KHz采样频率</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支持全向麦克风的接入</w:t>
      </w:r>
      <w:r/>
    </w:p>
    <w:p>
      <w:pPr>
        <w:ind w:left="567"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支持红外遥控器、无线鼠标、键盘等外设控制</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在不增加第三方设备或网关情况下，支持同网段的高清监控摄像头通过IP网络将监控图像发送给视频会议终端，可作为辅流图像源或直接输出到显示器（提供检测报告复印件加盖投标单位公章）</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1.15</w:t>
      </w:r>
      <w:r>
        <w:rPr>
          <w:rFonts w:hint="eastAsia" w:ascii="仿宋" w:hAnsi="仿宋" w:eastAsia="仿宋" w:cs="仿宋"/>
          <w:b/>
          <w:bCs/>
          <w:sz w:val="28"/>
          <w:szCs w:val="28"/>
        </w:rPr>
        <w:t xml:space="preserve">看守所端远程提审视频终端</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 ITU-T H.323 和 IETF SIP 通信标准</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支持H265编码，支持1080P60fps双流</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视频编解码协议：H.265、H.264 HP、H.264 BP、H.263、H.263+</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支持OPUS音频编码、48KHz采样频率</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支持USB全向麦克风的接入</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视频输入：1 × HDMI、1 × 3G-SDI、1 × DVI/HDMI/VGA/YPbPr、1 × CVBS</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视频输出：2 × HDMI、1 × DVI/HDMI/VGA、1 × CVBS</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音频输入：2 × XLR , 2 × RCA , 1 × 6.35mm , 1 × DH-AI (数字阵列麦克接口)1 × HDMI</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音频输出：4 × RCA、1 × 6.35mm、1 × HDMI</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音频处理：AEC（自动回声抵消）、AGC（自动增益）、ANS（自动噪声抑制）、后置自适应滤波、音频误码纠错、唇音同步</w:t>
      </w:r>
      <w:r/>
    </w:p>
    <w:p>
      <w:pPr>
        <w:ind w:left="283"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支持红外遥控器、鼠标、键盘等外设控制</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采用嵌入式操作系统，非Windows、Android系统，非PC架构、非工控机架构。(提供检测报告复印件加盖投标单位公章)</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支持4K高清视频解码，支持4K图像输出，连接4K显示器图像显示正常。</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支持分屏画面输出，输出屏最大显示28个视频图像，支持辅流、音频会场和视频会场混合排列。</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会议语音模式中80%网络丢包情况下，会议正常进行，声音清晰流畅，可准确理解（提供检测报告复印件加盖投标单位公章）</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1.16、</w:t>
      </w:r>
      <w:r>
        <w:rPr>
          <w:rFonts w:hint="eastAsia" w:ascii="仿宋" w:hAnsi="仿宋" w:eastAsia="仿宋" w:cs="仿宋"/>
          <w:b/>
          <w:bCs/>
          <w:sz w:val="28"/>
          <w:szCs w:val="28"/>
        </w:rPr>
        <w:t xml:space="preserve">双网隔离交互终端</w:t>
      </w:r>
      <w:r/>
    </w:p>
    <w:p>
      <w:pPr>
        <w:ind w:left="422"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 ITU-T H.323 和 IETF SIP 通信标准</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支持H265编码，支持1080P60fps双流</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视频编解码协议：H.265、H.264 HP、H.264 BP、H.263、H.263+</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支持OPUS音频编码、48KHz采样频率</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支持USB全向麦克风的接入</w:t>
      </w:r>
      <w:r/>
    </w:p>
    <w:p>
      <w:pPr>
        <w:ind w:firstLine="560"/>
        <w:jc w:val="both"/>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视频输入：1 × HDMI、1 × 3G-SDI、1 × DVI/HDMI/VGA/YPbPr、1 × CVBS</w:t>
      </w:r>
      <w:r/>
    </w:p>
    <w:p>
      <w:pPr>
        <w:ind w:left="424" w:firstLine="0"/>
        <w:jc w:val="both"/>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视频输出：2 × HDMI、1 × DVI/HDMI/VGA、1 × CVBS</w:t>
      </w:r>
      <w:r/>
    </w:p>
    <w:p>
      <w:pPr>
        <w:ind w:left="424" w:firstLine="0"/>
        <w:jc w:val="both"/>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音频输入：2 × XLR , 2 × RCA , 1 × 6.35mm , 1 × DH-AI (数字阵列麦克接口)1 × HDMI</w:t>
      </w:r>
      <w:r/>
    </w:p>
    <w:p>
      <w:pPr>
        <w:ind w:left="424" w:firstLine="0"/>
        <w:jc w:val="both"/>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音频输出：4 × RCA、1 × 6.35mm、1 × HDMI</w:t>
      </w:r>
      <w:r/>
    </w:p>
    <w:p>
      <w:pPr>
        <w:ind w:firstLine="280"/>
        <w:jc w:val="both"/>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音频处理：AEC（自动回声抵消）、AGC（自动增益）、ANS（自动噪声抑制）、后置自适应滤波、音频误码纠错、唇音同步</w:t>
      </w:r>
      <w:r/>
    </w:p>
    <w:p>
      <w:pPr>
        <w:ind w:left="424" w:firstLine="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支持红外遥控器、鼠标、键盘等外设控制</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采用嵌入式操作系统，非Windows、Android系统，非PC架构、非工控机架构。(提供检测报告复印件加盖投标单位公章)</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支持4K高清视频解码，支持4K图像输出，连接4K显示器图像显示正常（提供检测报告复印件加盖投标单位公章）</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支持分屏画面输出，输出屏最大显示28个视频图像，支持辅流、音频会场和视频会场混合排列。</w:t>
      </w:r>
      <w:r/>
    </w:p>
    <w:p>
      <w:pPr>
        <w:ind w:firstLine="2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会议语音模式中80%网络丢包情况下，会议正常进行，声音清晰流畅，可准确理解。</w:t>
      </w:r>
      <w:r/>
    </w:p>
    <w:p>
      <w:pPr>
        <w:ind w:firstLine="281"/>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1.17、</w:t>
      </w:r>
      <w:r>
        <w:rPr>
          <w:rFonts w:hint="eastAsia" w:ascii="仿宋" w:hAnsi="仿宋" w:eastAsia="仿宋" w:cs="仿宋"/>
          <w:b/>
          <w:bCs/>
          <w:sz w:val="28"/>
          <w:szCs w:val="28"/>
        </w:rPr>
        <w:t xml:space="preserve">同步录音录像审讯主机（含1块4T硬盘）</w:t>
      </w:r>
      <w:r/>
    </w:p>
    <w:p>
      <w:pPr>
        <w:ind w:left="424" w:firstLine="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符合高检统一标准</w:t>
      </w:r>
      <w:r/>
    </w:p>
    <w:p>
      <w:pPr>
        <w:ind w:firstLine="2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支持4路网络通道+4路模拟通道+2路VGA+2路HDMI混合视频输入；支持最大8路网络通道输入</w:t>
      </w:r>
      <w:r/>
    </w:p>
    <w:p>
      <w:pPr>
        <w:ind w:firstLine="2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支持2路VGA，2路HDMI输出，其中VGA2/HDMI2输出可以配置预案，可以通过前面板按键快速切换</w:t>
      </w:r>
      <w:r/>
    </w:p>
    <w:p>
      <w:pPr>
        <w:ind w:firstLine="2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支持前面板7寸电容触控屏</w:t>
      </w:r>
      <w:r/>
    </w:p>
    <w:p>
      <w:pPr>
        <w:ind w:left="424" w:firstLine="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支持NTP、NFS、GB28181、ONVIF、RTSP等多种协议</w:t>
      </w:r>
      <w:r/>
    </w:p>
    <w:p>
      <w:pPr>
        <w:ind w:left="424" w:firstLine="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支持多种协议温湿度屏接入，支持温湿度信息叠加</w:t>
      </w:r>
      <w:r/>
    </w:p>
    <w:p>
      <w:pPr>
        <w:ind w:left="424" w:firstLine="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支持DVD或蓝光光盘刻录</w:t>
      </w:r>
      <w:r/>
    </w:p>
    <w:p>
      <w:pPr>
        <w:ind w:left="424" w:firstLine="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支持双室双刻功能，可以创建2个PIP通道，分别刻录</w:t>
      </w:r>
      <w:r/>
    </w:p>
    <w:p>
      <w:pPr>
        <w:pStyle w:val="813"/>
        <w:ind w:firstLine="0"/>
        <w:jc w:val="both"/>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both"/>
        <w:pageBreakBefore w:val="0"/>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三、商务要求</w:t>
      </w:r>
      <w:r/>
    </w:p>
    <w:p>
      <w:pPr>
        <w:ind w:firstLine="560"/>
        <w:jc w:val="both"/>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包括交付（实施）的时间（期限）和地点（范围），付款条件（进度和方法），包装和运输，售后服务，保险等：</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（一）采购标的数量、采购项目交付或者实施的时间和地点</w:t>
      </w:r>
      <w:r/>
    </w:p>
    <w:p>
      <w:pPr>
        <w:ind w:firstLine="562"/>
        <w:jc w:val="both"/>
        <w:keepLines w:val="0"/>
        <w:keepNext w:val="0"/>
        <w:pageBreakBefore w:val="0"/>
        <w:spacing w:before="120" w:after="120" w:line="360" w:lineRule="auto"/>
        <w:widowControl w:val="off"/>
        <w:tabs>
          <w:tab w:val="left" w:pos="0" w:leader="none"/>
        </w:tabs>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1、采购标的数量</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本项目标的的数量，所列清单仅供投标人参考，由于各厂商产品功能不一致，投标人在投标及建设过程中以实现本项目的功能要求为目标，在投标时自行补充完善清单，在实现功能要求的基础上不得提出合同费用增减。</w:t>
      </w:r>
      <w:r/>
    </w:p>
    <w:tbl>
      <w:tblPr>
        <w:tblStyle w:val="740"/>
        <w:tblW w:w="8698" w:type="dxa"/>
        <w:tblInd w:w="-12" w:type="dxa"/>
        <w:tblLayout w:type="fixed"/>
        <w:tblCellMar>
          <w:left w:w="108" w:type="dxa"/>
          <w:top w:w="0" w:type="dxa"/>
          <w:right w:w="108" w:type="dxa"/>
          <w:bottom w:w="0" w:type="dxa"/>
        </w:tblCellMar>
        <w:tblLook w:val="04A0" w:firstRow="1" w:lastRow="0" w:firstColumn="1" w:lastColumn="0" w:noHBand="0" w:noVBand="1"/>
      </w:tblPr>
      <w:tblGrid>
        <w:gridCol w:w="973"/>
        <w:gridCol w:w="1515"/>
        <w:gridCol w:w="4260"/>
        <w:gridCol w:w="870"/>
        <w:gridCol w:w="1080"/>
      </w:tblGrid>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仿宋" w:hAnsi="仿宋" w:eastAsia="仿宋" w:cs="仿宋"/>
                <w:b/>
                <w:bCs/>
                <w:color w:val="000000"/>
                <w:sz w:val="28"/>
                <w:szCs w:val="28"/>
              </w:rPr>
            </w:pPr>
            <w:r/>
            <w:bookmarkStart w:id="184" w:name="_Hlk183522154"/>
            <w:r/>
            <w:bookmarkStart w:id="185" w:name="_Hlk183522187"/>
            <w:r>
              <w:rPr>
                <w:rFonts w:hint="eastAsia" w:ascii="仿宋" w:hAnsi="仿宋" w:eastAsia="仿宋" w:cs="仿宋"/>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名称</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center"/>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描述</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数量</w:t>
            </w:r>
            <w:bookmarkEnd w:id="184"/>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一、综合布线</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检察工作网</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双口信息面板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国标86型，与RJ45模块插座配套。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单口信息面板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国标86型，与RJ45模块插座配套。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6类信息模块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六类非屏蔽模块；材料：所有塑料材料符合UL 94-V0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24口6类网络配线架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1U（24口），支持超五，六类、超六类等模块安装  </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24口光纤配线架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1U可安装24个法兰，支持SC\FC\LC\ST光纤产品适配器。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 理线器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1U、1.6MM厚钢板</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单模LC-LC,3米</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六类非屏蔽跳线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2米、六类非屏蔽</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工作网汇聚交换机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1）交换容量≥672Gbps，转发性能≥207Mpps，</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2）固化100/1000M SFP光接口≥24个，10G/1G SFP+光接口≥8个</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支持24个10/100/1000Base-T以太网端口，4个万兆SFP+</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8口交换机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8个10/100/1000Mbps自适应电口，2个1000Mbps上行光口；</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交换容量：256Gbps，包转发率：19.5Mpps/27 Mpps；</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单模千兆光模块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光模块-eSFP-GE-单模模块(1310nm,10km,LC)</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单模万兆光模块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光模块-SFP+-10G-单模模块(1310nm,10km,LC)</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（二）</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检察互联网及电话</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双口信息面板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国标86型，与RJ45模块插座配套。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6类信息模块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六类非屏蔽模块；材料：所有塑料材料符合UL 94-V0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24口6类网络配线架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1U（24口），支持超五，六类、超六类等模块安装  </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 理线器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1U、1.6MM厚钢板</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单模LC-LC,3米</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六类非屏蔽跳线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2米、六类非屏蔽</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110配线架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100对机架式110跳线架，19英寸1HU。</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支持24个10/100/1000Base-T以太网端口，4个万兆SFP+</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单模万兆光模块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光模块-SFP+-10G-单模模块(1310nm,10km,LC)</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（三）</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公安网</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双口信息面板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国标86型，与RJ45模块插座配套。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6类信息模块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六类非屏蔽模块；材料：所有塑料材料符合UL 94-V0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24口6类网络配线架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1U（24口），支持超五，六类、超六类等模块安装  </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24口光纤配线架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1U可安装24个法兰，支持SC\FC\LC\ST光纤产品适配器。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 理线器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1U、1.6MM厚钢板</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单模LC-LC,3米</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六类非屏蔽跳线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2米、六类非屏蔽</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支持24个10/100/1000Base-T以太网端口，4个万兆SFP+</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8口交换机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8个10/100/1000Mbps自适应电口，2个1000Mbps上行光口；</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交换容量：256Gbps，包转发率：19.5Mpps/27 Mpps；</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单模千兆光模块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光模块-eSFP-GE-单模模块(1310nm,10km,LC)</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单模万兆光模块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光模块-SFP+-10G-单模模块(1310nm,10km,LC)</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（四）</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布线安装辅材等</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六类双绞线缆</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六类双绞线缆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8芯单模光纤</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8芯单模光纤，室外型。</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电源线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RVV2*1.0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电源线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RVV4*1.0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配管</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JDG20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二、设备间建设</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UPS主机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纯在线式双变换UPS产品；UPS主机容量20kVA</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UPS电池</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电池额定容量12V100A，后备时间1小时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电池柜</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能够容纳40节电池，定制，底面积≥1.6平方米，电池负荷小于1.2t/m2，含散力架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电池开关盒</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配套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电池及主机连接线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配套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空调</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5匹</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66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七氟丙烷柜式灭火装置</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箱体、钢瓶、虹吸管、容器阀、电磁启动器、压力信号发生器、不锈钢连接软管、喷头等</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药剂</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HFC-227ea</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泄压口</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550*550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感烟点型探测器总线制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点型光电感烟探测器2.规格 JBF4101.类型 总线制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感温点型探测器总线制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点型感温火灾探测器2.规格 JBF4111.类型 总线制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紧急启停按钮</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紧急启停按钮</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气体释放显示灯</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气体释放显示灯</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声光报警警报装置</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声光报警警报装置</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气体灭火控制器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总线制 壁挂安装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控制模块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配套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电源线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ZR-BV2.5MM2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消防信号线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ZR-RVS2*1.5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机柜</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600*1000*2000mm </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静电地板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600*600*35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平米</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机房防火钢门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ff0000"/>
                <w:sz w:val="24"/>
                <w:szCs w:val="24"/>
                <w:lang w:bidi="ar"/>
              </w:rPr>
            </w:pPr>
            <w:r>
              <w:rPr>
                <w:rFonts w:hint="eastAsia" w:ascii="仿宋" w:hAnsi="仿宋" w:eastAsia="仿宋" w:cs="仿宋"/>
                <w:sz w:val="24"/>
                <w:szCs w:val="24"/>
                <w:lang w:bidi="ar"/>
              </w:rPr>
              <w:t xml:space="preserve">1050*2000mm(尺寸根据现场定制)，含门夹等配件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紫铜排</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30*3，地板下等电位铜排网</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20</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接地连接线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BVR6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接地连接线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BVR16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UPS机柜电源线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YJV-3*4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三、监控屏系统</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98寸电视机（含壁挂支架）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98寸，含壁挂支架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监控室解码器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视频输入：2路HDMI；视频输出路数：4路HDMI</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画面分割：单屏支持1/4/6/8/9/16/25/36固定分割；支持M×N自定义分割，M×N≤36；</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解码能力：最大支持2路32MP@25fps/7路12MP@25fps/10路8MP@25fps/14路6MP@25fps/18路5MP@25fps/28路3MP@25fps/36路1080p@30fps/144路D1@30fps同时解码；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控制键盘</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10.1英寸电容触摸屏，分辨率1280*800</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支持在触屏观看图像或通过HDMI将图像投到屏幕上</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最大支持4路1080P或者1路4K解码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支持10000路以上设备控制</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支持抓图、录像功能，文件保存至U盘</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支持POE供电，语音对讲，一键抓图</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支持画面预监，电视墙画面回显，场景预编辑功能</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全钢三工位控制台</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全钢三工位控制台</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四、分布式坐席系统</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分布式输入节点</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支持1路HDMI 2.0 最大支持4K@60分辨率输出显示</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支持H.264/H.265等码流解码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支持私有/RTSP/Onvif等协议接入</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分布式输出节点</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支持1路HDMI 2.0 最大支持4K@60分辨率输出显示</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支持H.264/H.265等码流解码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支持私有/RTSP/Onvif等协议接入</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分布式管理软件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支持USB鼠标、键盘，实现一台终端控制所有输入节点的KVM功能</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支持跨网络、跨操作平台，兼容支持</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硬件和操作系统，提供跨平台操作能力，操作终端可完美支持</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操作系统上</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具备KVM操作功能，并支持一人多机、一机多屏、人机分离等坐席应用场景</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单台设备具备USB 数据透传功能，可对U盘等设备进行数据拷贝及授权功能；</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系统支持远程电脑开关机管理功能。用户可通过界面中的开关机按钮对前端电脑进行单台或批量开关机管理控制</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为保证系统安全性，系统需支持HTTPS加密通讯协议，支持AES-256位安全数据传输</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本软件后续可按需扩容，无授权限制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五、视频平台及存储系统</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化视频联网平台</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支持不少于3000路视频接入授权；支持</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化环境部署；支持</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化客户端操作；支持国标推送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支持实时视频、录像回放、录像下载等视频类功能</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化服务器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采用2颗</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化处理器，每颗处理器≥24核；≥2.6GHz</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2U机架式服务器机箱</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硬盘：配置2块2T 3.5寸 SATA热插拔机械硬盘2块480GB 2.5寸 固态硬盘</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内存：配置128G内存</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RAID卡：SAS3908 4G</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BMC管理功能：主板集成Ibmc, 支持 IPMI、SOL、KVM over IP 以及虚拟媒体，提供 1 个10/100/1000Mbps 的 RJ45 管理网口</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化网络视频存储服务器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操作系统：</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操作系统；</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高速缓存：标配16GB，可扩展至512GB；</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视频直存（私有协议）：最大支持1024路（2048Mbps）前端接入；存储；转发，32路（64Mbps）网络回放；</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硬盘接口：36个；本次每台配置36块18T企业级硬盘。</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六、公共安防系统</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半球摄像机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像素：400万；</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补光灯：1颗（红外灯）；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镜头类型：定焦可选；</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智能编码：H.264：支持；H.265：支持；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内置MIC；</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接入标准：ONVIF（Profile S &amp; Profile T）；CGI；GB/T28181-2022；</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供电方式：DC12V/PoE；</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防护等级：IP67；IK10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网络存储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主处理器：64位高性能多核处理器；</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操作系统：</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操作系统；</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硬盘接口：24个；本次配置6块18T企业级硬盘。</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七、视频私网建设</w:t>
            </w:r>
            <w:r/>
          </w:p>
        </w:tc>
      </w:tr>
      <w:tr>
        <w:trPr>
          <w:trHeight w:val="58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支持24个10/100/1000Base-T以太网端口，4个万兆SFP+</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八、驻监检察会议室（会议侦查指挥室）</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98寸电视机（含壁挂支架）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98寸，含壁挂支架</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会议室解码器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视频输出路数：1路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画面分割：单屏支持1/4/6/8/9/16/25/36/64固定分割；支持M×N自定义分割，M×N≤64；</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解码能力：支持1路32MP@25fps/3路12MP@15fps/4路8MP@30fps/6路6MP@25fps/8路5MP@25fps/9路4MP@25fps/10路3MP@30fps/16路1080p@30fps/64路D1@30fps同时解码；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IP电话</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彩屏IP话机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2.8寸320 x 240像素彩屏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菜单驱动的用户界面，XML的待机屏幕</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2个RJ45以太网口（1Internet+ 1 PC）</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2个VoIP帐号</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支持有线耳麦</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支持POE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拆除及利旧</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原4楼会议室设备拆除、安装、利旧</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线缆</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敷设新的音频线、VGA、HDMI线、手拉手话筒线等</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九、提审室系统</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全景相机（用吊杆安装）</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像素：400万；</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补光灯：2颗（红外灯）；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镜头焦距：2.7mm～13.5mm；</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智能编码：H.264:支持；H.265:支持；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内置MIC；</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接入标准：ONVIF（Profile S &amp; Profile G &amp; Profile T）；CGI；GB/T28181（双国标）；</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最大Micro SD卡：256GB；</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RS-485接口：1个（波特率范围：1200bps～115200bps）；</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音频输入：1路；音频输出：1路；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报警输入：3路；报警输出：2路；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模拟输出接口：1路（CVBS输出 BNC接口）；</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电源返送：支持DC12V电源返送，最大电流165mA，峰值电流700mA；</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供电方式：DC12V/PoE；</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防护等级：IK10；IP67；</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特写相机（本地办案使用）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像素：400万；</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补光灯：2颗（红外灯）；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镜头焦距：2.7mm～13.5mm；</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智能编码：H.264:支持；H.265:支持；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内置MIC；</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接入标准：ONVIF（Profile S &amp; Profile G &amp; Profile T）；CGI；GB/T28181（双国标）；</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最大Micro SD卡：256GB；</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RS-485接口：1个（波特率范围：1200bps～115200bps）；</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音频输入：1路；音频输出：1路；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报警输入：3路；报警输出：2路；</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模拟输出接口：1路（CVBS输出 BNC接口）；</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电源返送：支持DC12V电源返送，最大电流165mA，峰值电流700mA；</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供电方式：DC12V/PoE；</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防护等级：IK10；IP67；</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检察官端远程提审视频终端</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支持ITU-T H.323和IETF SIP通信标准；高清摄像头210万像素，支持10倍光学变焦，60.9°水平视场角</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支持H265编解码，支持双HDMI输出，支持主流、辅流最大分辨率1080P</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视频编解码协议：H.265、H.264 HP、H.264 BP、H.263、H.263+等</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视频输入：1 × VGA、1 × HDMI，1 × 内置摄像机输入；视频输出：2 × HDMI</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音频输入：2 × 3.5mm，1 × DH-AI(数字阵列麦克接口) ，1 × HDMI；音频输出：1 × 3.5mm ，1 × HDMI(支持主屏音频输出)</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支持红外遥控器、无线鼠标、键盘等外设控制</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看守所端远程提审视频终端</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 ITU-T H.323 和 IETF SIP 通信标准</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视频编解码协议：H.265、H.264 HP、H.264 BP、H.263、H.263+</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视频输入：1 × HDMI、1 × 3G-SDI、1 × DVI/HDMI/VGA/YPbPr、1 × CVBS视频输出：2 × HDMI、1 × DVI/HDMI/VGA、1 × CVBS</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音频输入：2 × XLR , 2 × RCA , 1 × 6.35mm , 1 × DH-AI (数字阵列麦克接口)1 × HDMI音频输出：4 × RCA、1 × 6.35mm、1 × HDMI</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支持红外遥控器、鼠标、键盘等外设控制</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提审摄像机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支持1080P60fps视频输出，采用约210万像素1/2.8英寸 CMOS成像传感器</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12倍光学变焦</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HDMI、3G-SDI、CVBS等丰富视频接口输出</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支持VISCA控制协议</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支持256个位置预设位</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支持正装、倒装等安装方式</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全向麦克风</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内置不少于8单元全向麦克风阵列，360度全向拾音，最远可支持6米拾音半径，采样频率48KHz</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鹅颈麦</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1.具先进的数字ID导频功能，彻底杜绝干扰和窜频现象</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2.采用23级电子音量控制,简约搭配</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3.音质清晰亮丽，理想使用距离100米</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4.200组可选频点，抗干扰能力强</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5.接收机带发射电池用量显示，手咪通用</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6.设有回输啸叫抑制减弱功能，能有效减少回输啸叫</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吊麦</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产品拾音采用V型夹角超心型设计</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1、内外置铝合金管体 内置导相流钢制带孔管体。</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2、每只麦克风可满足5-30平面积使用要求；</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3、拾音头内置雷击、电源极性反转保护功能，使用更安全稳定；</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4、符合标准最高检同步录音录像系统建设规范。</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温湿度显示屏</w:t>
            </w:r>
            <w:r>
              <w:rPr>
                <w:rFonts w:hint="eastAsia" w:ascii="仿宋" w:hAnsi="仿宋" w:eastAsia="仿宋" w:cs="仿宋"/>
                <w:b/>
                <w:bCs/>
                <w:color w:val="auto"/>
                <w:sz w:val="24"/>
                <w:szCs w:val="24"/>
                <w:lang w:bidi="ar"/>
              </w:rPr>
              <w:t xml:space="preserve">（校时）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主处理器：工业级嵌入式微控制器</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RS-485接口：1</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电源：12V 2A</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功能：实时显示温度、湿度和当前时间信息，可以通过485信号对接设备（校时），上报温湿度等信息</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示证展台</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500 万像素；</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 路VGA、2 路AUDIO、1 路AV、1 路HDMI；</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2 路VGA、1 路VIDEO、1 路AUDIO、1 路HDMI；</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分辨率XGA、SXGA、720P、1080P；</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拍摄最大A4；</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1 路RS-232、1 路USB Slave；</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内置VGA转HDMI转换器；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55寸电视机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面板尺寸：55英寸；</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升降/移动支架</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可安装集成55寸显示器,可加装摄像机，定制，升降2套，移动2套。</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电子签名板</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ARM Cortex-A35 四核64-bit CPU，主频1.5GHz；</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内存2 G + 8 G；</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支持高清语音录入；</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手写笔；</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音箱</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阻抗：4欧姆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频率响应：65Hz-20KHz(±3dB)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额定功率150W/最大承载功率300W.</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灵敏度：97dB</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覆盖角度：H90°×V 90°</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最大声压级：107dB</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分频模式：无源二分频</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分频点：3200Hz</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高频：1″×125mm喉口)，</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低频：4″×4 </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功放</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90V~270V电源波动净化 ·总谐波失真&lt;0.003%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接地噪声双向引流净化 ·信噪比:112DB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信号源噪声二级净化 频率响应:20HZ-20KHZ+-0.25DB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直接能量放大器 ·阻尼系数:&gt;1000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恒定不失真功率控制 ·转换速率:80V/US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复电抗相移控制 ·输入阻抗:30K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功率8欧：350w</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功率4欧：550W</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时序电源</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LAN 以太网: 10/100Mbps；</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保护:内建5KV 电磁隔离；</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NPSC: RS232,RS485串口及RJ45网口；</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串口速率: 波特率115200 bps；</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网络协议: TCP、UDP；</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工具软件: PC工作模式配置软件、TCP,UDP 测试工具、串口调试软件；</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配置方式:网络，UART；</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电源: 交流220V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控制数量及容量：8路10A可控，1路直通。</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r>
      <w:tr>
        <w:trPr>
          <w:trHeight w:val="44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调音台</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4路话筒输入，4路（2组）立体声输入；带48V幻像电源，隐藏式按键开关；</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机柜</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600*600*2000MM</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机柜</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600*600*1000MM</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打印机</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激光打印机，</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优质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同步录音录像审讯主机（含1块4T硬盘）</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符合高检统一标准</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支持4路网络通道+4路模拟通道+2路VGA+2路HDMI混合视频输入；支持最大8路网络通道输入</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支持2路VGA，2路HDMI输出，其中VGA2/HDMI2输出可以配置预案，可以通过前面板按键快速切换</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支持前面板7寸电容触控屏</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支持NTP、NFS、GB28181、ONVIF、RTSP等多种协议</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支持多种协议温湿度屏接入，支持温湿度信息叠加</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支持DVD或蓝光光盘刻录</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支持双室双刻功能，可以创建2个PIP通道，分别刻录</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本次配置含1块4T企业级硬盘。</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拾音器（本地办案使用）</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连接方式：3条引线（电源、音频、公共地）；</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拾音范围：5米；</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灵敏度：-48dB；</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信噪比：80dB（1米40 dB音源SPL）30dB(10米40dB 音源SPL)1KHz at 1 Pa；</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指向特性：单一指向性，90度；</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动态范围：100dB(1KHz at Max dB SPL)；</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线缆</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敷设新的音频线、VGA、HDMI线、话筒线等</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十、门禁系统</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人脸门禁</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不低于7英寸LCD触摸显示屏，屏幕分辨率应不低于1024×600</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具有双目摄像头，像素不低于200W。 </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设备应具有防假体攻击功能。对视频、电子照片、打印照片中的人脸、3D 人脸面具应不能进行人脸识别。</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设备应支持胁迫报警、防拆报警、闯入报警、门超时报警、非法卡超次报警</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设备应支持人脸、卡片、密码、二维码等多种验证方式；</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含电源</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单门磁力锁</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外壳材料：铝合金；</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信号输出：COM/NO/NC；</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门状态检测：1路，继电器；</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安全类型：断电开门；</w:t>
            </w:r>
            <w:r>
              <w:rPr>
                <w:rFonts w:hint="eastAsia" w:ascii="仿宋" w:hAnsi="仿宋" w:eastAsia="仿宋" w:cs="仿宋"/>
                <w:sz w:val="24"/>
                <w:szCs w:val="24"/>
                <w:lang w:bidi="ar"/>
              </w:rPr>
              <w:t xml:space="preserve">通电上锁</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最大拉力：280kg（600Lbs）直线拉力；</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含电源</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双门电插锁</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sz w:val="24"/>
                <w:szCs w:val="24"/>
                <w:lang w:bidi="ar"/>
              </w:rPr>
              <w:t xml:space="preserve">外壳材料：铝合金；</w:t>
            </w:r>
            <w:r>
              <w:rPr>
                <w:rFonts w:hint="eastAsia" w:ascii="仿宋" w:hAnsi="仿宋" w:eastAsia="仿宋" w:cs="仿宋"/>
                <w:sz w:val="24"/>
                <w:szCs w:val="24"/>
                <w:lang w:bidi="ar"/>
              </w:rPr>
              <w:br w:type="textWrapping" w:clear="all"/>
            </w:r>
            <w:r>
              <w:rPr>
                <w:rFonts w:hint="eastAsia" w:ascii="仿宋" w:hAnsi="仿宋" w:eastAsia="仿宋" w:cs="仿宋"/>
                <w:sz w:val="24"/>
                <w:szCs w:val="24"/>
                <w:lang w:bidi="ar"/>
              </w:rPr>
              <w:t xml:space="preserve">适用门型：玻璃门；</w:t>
            </w:r>
            <w:r>
              <w:rPr>
                <w:rFonts w:hint="eastAsia" w:ascii="仿宋" w:hAnsi="仿宋" w:eastAsia="仿宋" w:cs="仿宋"/>
                <w:sz w:val="24"/>
                <w:szCs w:val="24"/>
                <w:lang w:bidi="ar"/>
              </w:rPr>
              <w:br w:type="textWrapping" w:clear="all"/>
            </w:r>
            <w:r>
              <w:rPr>
                <w:rFonts w:hint="eastAsia" w:ascii="仿宋" w:hAnsi="仿宋" w:eastAsia="仿宋" w:cs="仿宋"/>
                <w:sz w:val="24"/>
                <w:szCs w:val="24"/>
                <w:lang w:bidi="ar"/>
              </w:rPr>
              <w:t xml:space="preserve">安全类型：断电开门；通电上锁</w:t>
            </w:r>
            <w:r>
              <w:rPr>
                <w:rFonts w:hint="eastAsia" w:ascii="仿宋" w:hAnsi="仿宋" w:eastAsia="仿宋" w:cs="仿宋"/>
                <w:sz w:val="24"/>
                <w:szCs w:val="24"/>
                <w:lang w:bidi="ar"/>
              </w:rPr>
              <w:br w:type="textWrapping" w:clear="all"/>
            </w:r>
            <w:r>
              <w:rPr>
                <w:rFonts w:hint="eastAsia" w:ascii="仿宋" w:hAnsi="仿宋" w:eastAsia="仿宋" w:cs="仿宋"/>
                <w:sz w:val="24"/>
                <w:szCs w:val="24"/>
                <w:lang w:bidi="ar"/>
              </w:rPr>
              <w:t xml:space="preserve">工作温度：-30℃～+60℃</w:t>
            </w:r>
            <w:r>
              <w:rPr>
                <w:rFonts w:hint="eastAsia" w:ascii="仿宋" w:hAnsi="仿宋" w:eastAsia="仿宋" w:cs="仿宋"/>
                <w:sz w:val="24"/>
                <w:szCs w:val="24"/>
                <w:lang w:bidi="ar"/>
              </w:rPr>
              <w:br w:type="textWrapping" w:clear="all"/>
            </w:r>
            <w:r>
              <w:rPr>
                <w:rFonts w:hint="eastAsia" w:ascii="仿宋" w:hAnsi="仿宋" w:eastAsia="仿宋" w:cs="仿宋"/>
                <w:sz w:val="24"/>
                <w:szCs w:val="24"/>
                <w:lang w:bidi="ar"/>
              </w:rPr>
              <w:t xml:space="preserve">含电源</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开门按钮</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外壳材料：不绣钢外壳；</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工作温度：-30℃～+60℃；</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工作湿度：≤95%；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十一、利旧安装和搬迁</w:t>
            </w:r>
            <w:r/>
          </w:p>
        </w:tc>
      </w:tr>
      <w:tr>
        <w:trPr>
          <w:trHeight w:val="120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利旧安装和搬迁</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对老看守所现有机房设备进行拆除，部分设备运送至市院指定地点，完成报废工作，涉密机柜、波分传输网设备及利旧设备搬迁至新看守所，做好记录，并完成安装调试。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十二.江海智检通视频综合办案系统</w:t>
            </w:r>
            <w:r/>
          </w:p>
        </w:tc>
      </w:tr>
      <w:tr>
        <w:trPr>
          <w:trHeight w:val="102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江海智检通综合视频办案系统</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化升级</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在原南通市人民检察院三远一网业务系统基础上，进行</w:t>
            </w:r>
            <w:r>
              <w:rPr>
                <w:rFonts w:hint="eastAsia" w:ascii="仿宋" w:hAnsi="仿宋" w:eastAsia="仿宋" w:cs="仿宋"/>
                <w:color w:val="000000"/>
                <w:sz w:val="24"/>
                <w:szCs w:val="24"/>
                <w:lang w:eastAsia="zh-CN" w:bidi="ar"/>
              </w:rPr>
              <w:t xml:space="preserve">信创</w:t>
            </w:r>
            <w:r>
              <w:rPr>
                <w:rFonts w:hint="eastAsia" w:ascii="仿宋" w:hAnsi="仿宋" w:eastAsia="仿宋" w:cs="仿宋"/>
                <w:color w:val="000000"/>
                <w:sz w:val="24"/>
                <w:szCs w:val="24"/>
                <w:lang w:bidi="ar"/>
              </w:rPr>
              <w:t xml:space="preserve">化升级改造，整合原崇川区院办案中心业务系统，构建江海智检通视频综合办案系统，并将原三远一网手机端办案APP升级为微信小程序——江海智检通。详细功能升级点见方案；</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平台软件开放标准接口协议，用于多品牌设备对接（协议另附），投标单位所投远程提讯视频终端、高清同步录音录像主机等设备需按照我院设备标准协议接口规范进行接入，需提供满足设备接口协议无缝对接承诺函。</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十三.开发工作网短信接口模块</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工作网短信接口模块</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定制检察工作网短信接口模块，提供给南通市人民检察院各业务系统使用，系统调用市检现有短信网关，具备鉴权功能，并统计各业务模块发送短信数量。</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十四.统一身份认证对接</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统一身份认证对接</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按照省院统一部署的统一身份认证系统完成江海智检通的对接开发工作，实现统一身份认证。</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十五.双网隔离会议终端</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双网隔离交互终端</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支持 ITU-T H.323 和 IETF SIP 通信标准</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视频编解码协议：H.265、H.264 HP、H.264 BP、H.263、H.263+</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视频输入：1 × HDMI、1 × 3G-SDI、1 × DVI/HDMI/VGA/YPbPr、1 × CVBS视频输出：2 × HDMI、1 × DVI/HDMI/VGA、1 × CVBS</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音频输入：2 × XLR , 2 × RCA , 1 × 6.35mm , 1 × DH-AI (数字阵列麦克接口)1 × HDMI音频输出：4 × RCA、1 × 6.35mm、1 × HDMI</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支持红外遥控器、鼠标、键盘等外设控制</w:t>
            </w:r>
            <w:r>
              <w:rPr>
                <w:rFonts w:hint="eastAsia" w:ascii="仿宋" w:hAnsi="仿宋" w:eastAsia="仿宋" w:cs="仿宋"/>
                <w:color w:val="000000"/>
                <w:sz w:val="24"/>
                <w:szCs w:val="24"/>
                <w:lang w:bidi="ar"/>
              </w:rPr>
              <w:br w:type="textWrapping" w:clear="all"/>
            </w:r>
            <w:r>
              <w:rPr>
                <w:rFonts w:hint="eastAsia" w:ascii="仿宋" w:hAnsi="仿宋" w:eastAsia="仿宋" w:cs="仿宋"/>
                <w:color w:val="000000"/>
                <w:sz w:val="24"/>
                <w:szCs w:val="24"/>
                <w:lang w:bidi="ar"/>
              </w:rPr>
              <w:t xml:space="preserve">详细参数见招标方案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408"/>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jc w:val="lef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十六.基础装修</w:t>
            </w:r>
            <w:r/>
          </w:p>
        </w:tc>
      </w:tr>
      <w:tr>
        <w:trPr>
          <w:trHeight w:val="40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基础装修</w:t>
            </w:r>
            <w:r/>
          </w:p>
        </w:tc>
        <w:tc>
          <w:tcPr>
            <w:tcBorders>
              <w:top w:val="single" w:color="000000" w:sz="4" w:space="0"/>
              <w:left w:val="single" w:color="000000" w:sz="4" w:space="0"/>
              <w:bottom w:val="single" w:color="000000" w:sz="4" w:space="0"/>
              <w:right w:val="single" w:color="000000" w:sz="4" w:space="0"/>
            </w:tcBorders>
            <w:tcW w:w="4260"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综合楼二楼过道玻璃门（效果图）</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lang w:bidi="ar"/>
              </w:rPr>
              <w:t xml:space="preserve">施工过程中的墙面、软包、吊顶等的恢复，以及施工电源、垃圾处理等。</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1</w:t>
            </w:r>
            <w:bookmarkEnd w:id="185"/>
            <w:r/>
            <w:r/>
          </w:p>
        </w:tc>
      </w:tr>
    </w:tbl>
    <w:p>
      <w:pPr>
        <w:numPr>
          <w:ilvl w:val="0"/>
          <w:numId w:val="0"/>
        </w:numPr>
        <w:ind w:firstLine="560"/>
        <w:keepLines w:val="0"/>
        <w:keepNext w:val="0"/>
        <w:pageBreakBefore w:val="0"/>
        <w:spacing w:line="360" w:lineRule="auto"/>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2、实施时间：</w:t>
      </w:r>
      <w:r>
        <w:rPr>
          <w:rFonts w:hint="eastAsia" w:ascii="仿宋" w:hAnsi="仿宋" w:eastAsia="仿宋" w:cs="仿宋"/>
          <w:b w:val="0"/>
          <w:bCs w:val="0"/>
          <w:sz w:val="28"/>
          <w:szCs w:val="28"/>
          <w:highlight w:val="none"/>
        </w:rPr>
        <w:t xml:space="preserve">本项目为不可分割的整体，所有建设任务均需要在90天内完成和投入使用</w:t>
      </w:r>
      <w:r>
        <w:rPr>
          <w:rFonts w:hint="eastAsia" w:ascii="仿宋" w:hAnsi="仿宋" w:eastAsia="仿宋" w:cs="仿宋"/>
          <w:b w:val="0"/>
          <w:bCs w:val="0"/>
          <w:sz w:val="28"/>
          <w:szCs w:val="28"/>
          <w:highlight w:val="none"/>
          <w:lang w:eastAsia="zh-CN"/>
        </w:rPr>
        <w:t xml:space="preserve">。</w:t>
      </w:r>
      <w:r/>
    </w:p>
    <w:p>
      <w:pPr>
        <w:ind w:firstLine="560"/>
        <w:jc w:val="both"/>
        <w:keepLines w:val="0"/>
        <w:keepNext w:val="0"/>
        <w:pageBreakBefore w:val="0"/>
        <w:spacing w:before="120" w:after="120" w:line="360" w:lineRule="auto"/>
        <w:widowControl w:val="off"/>
        <w:tabs>
          <w:tab w:val="left" w:pos="0" w:leader="none"/>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3、实施地点：</w:t>
      </w:r>
      <w:r>
        <w:rPr>
          <w:rFonts w:hint="eastAsia" w:ascii="仿宋" w:hAnsi="仿宋" w:eastAsia="仿宋" w:cs="仿宋"/>
          <w:b w:val="0"/>
          <w:bCs w:val="0"/>
          <w:sz w:val="28"/>
          <w:szCs w:val="28"/>
          <w:highlight w:val="none"/>
        </w:rPr>
        <w:t xml:space="preserve">项目建设地点由南通市人民检察院指定，成交供应商在施工时需要服从招标人的现场指挥。</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rPr>
        <w:t xml:space="preserve">）采购标的需满足的服务标准、期限、效率等要求</w:t>
      </w:r>
      <w:r/>
    </w:p>
    <w:p>
      <w:pPr>
        <w:ind w:firstLine="42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本项目需要成交供应商在中标后立即与招标单位进行对接，迅速开展建设工作。未能在约定期限内完成建设任务的，将按照每日千分之五收取违约金，但最高不超过成交价的30%。</w:t>
      </w:r>
      <w:r/>
    </w:p>
    <w:p>
      <w:pPr>
        <w:numPr>
          <w:ilvl w:val="0"/>
          <w:numId w:val="6"/>
        </w:numPr>
        <w:ind w:left="0" w:firstLine="560"/>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采购标的的验收标准</w:t>
      </w:r>
      <w:r/>
    </w:p>
    <w:p>
      <w:pPr>
        <w:numPr>
          <w:ilvl w:val="0"/>
          <w:numId w:val="0"/>
        </w:num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要符合计算机网络和应用系统的技术规范，达到招标文件和合同约定的要求，系统模块符合“江海智检通”统一应用架构开发标准，音视频存储达到设计要求，音视频端到端延迟在300ms以内，音频服务质量要求是：听得清楚，延时小，交流顺畅。</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采购标的的其他技术、服务等要求</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售后服务要求：</w:t>
      </w:r>
      <w:r/>
    </w:p>
    <w:p>
      <w:pPr>
        <w:numPr>
          <w:ilvl w:val="0"/>
          <w:numId w:val="8"/>
        </w:numPr>
        <w:ind w:firstLine="560"/>
        <w:keepLines w:val="0"/>
        <w:keepNext w:val="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项目整体质保期三年，成交供应商签订合同前须提供满足项目需求的产品的质保承诺函原件。提供免费三年软件平台维护质保、三年硬件设备维护质保。在质保期内，乙方应对货物出现的质量及安全问题负责处理解决并承担一切费用。</w:t>
      </w:r>
      <w:r/>
    </w:p>
    <w:p>
      <w:pPr>
        <w:numPr>
          <w:ilvl w:val="0"/>
          <w:numId w:val="8"/>
        </w:numPr>
        <w:ind w:firstLine="560"/>
        <w:keepLines w:val="0"/>
        <w:keepNext w:val="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成交供应商须提供安装、调试、培训、维护等服务，所有设备质保期内免费维护维修及技术支持，质保期以外提供免费维护和技术支持，维修只收材料成本费。设备发生故障时，接到用户通知需2小时内上门，48小时内解决问题。</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（3）售后服务时间自项目终验合格后计算，提供 7*24 小时的响应。工作时间内，故障响应速度不超过15 分钟，到场不超过 1 小时，并尽快修复故障；一般问题应在 2 小时内解决，重大故障应启动应急备用方案，最长不超过 24 小时解决。</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（4）项目上线运行时，供应商必须提供完整的服务实施方案，并承诺按该实施方案进行相应的后续服务，确保系统能顺利运行。</w:t>
      </w:r>
      <w:r/>
    </w:p>
    <w:p>
      <w:p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bCs/>
          <w:color w:val="000000"/>
          <w:sz w:val="28"/>
          <w:szCs w:val="28"/>
          <w:highlight w:val="none"/>
        </w:rPr>
        <w:t xml:space="preserve">（5）在系统运行期间，系统升级和维护工作要求放在非工作时间， 不能影响系统日常的使用。</w:t>
      </w:r>
      <w:r/>
    </w:p>
    <w:p>
      <w:pPr>
        <w:ind w:firstLine="562"/>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非单一产品采购项目，采购标的中的核心产品。</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c>
        <w:tc>
          <w:tcPr>
            <w:tcW w:w="5021"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核心产品</w:t>
            </w:r>
            <w:r/>
          </w:p>
        </w:tc>
      </w:tr>
      <w:tr>
        <w:trPr>
          <w:jc w:val="center"/>
        </w:trPr>
        <w:tc>
          <w:tcPr>
            <w:tcW w:w="121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021" w:type="dxa"/>
            <w:vAlign w:val="center"/>
            <w:textDirection w:val="lrTb"/>
            <w:noWrap w:val="false"/>
          </w:tcPr>
          <w:p>
            <w:pPr>
              <w:ind w:firstLine="840"/>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同步录音录像审讯主机</w:t>
            </w:r>
            <w:r/>
          </w:p>
        </w:tc>
      </w:tr>
    </w:tbl>
    <w:p>
      <w:pPr>
        <w:ind w:firstLine="562"/>
        <w:keepLines w:val="0"/>
        <w:keepNext w:val="0"/>
        <w:pageBreakBefore w:val="0"/>
        <w:spacing w:line="360" w:lineRule="auto"/>
        <w:widowControl w:val="off"/>
        <w:rPr>
          <w:rFonts w:hint="eastAsia" w:ascii="仿宋" w:hAnsi="仿宋" w:eastAsia="仿宋" w:cs="仿宋"/>
          <w:b/>
          <w:bCs/>
          <w:color w:val="ff0000"/>
          <w:sz w:val="28"/>
          <w:szCs w:val="28"/>
          <w:highlight w:val="none"/>
        </w:rPr>
      </w:pPr>
      <w:r>
        <w:rPr>
          <w:rFonts w:hint="eastAsia" w:ascii="仿宋" w:hAnsi="仿宋" w:eastAsia="仿宋" w:cs="仿宋"/>
          <w:b/>
          <w:bCs/>
          <w:iCs/>
          <w:sz w:val="28"/>
          <w:szCs w:val="28"/>
          <w:highlight w:val="none"/>
          <w:lang w:eastAsia="zh-CN"/>
        </w:rPr>
        <w:t xml:space="preserve">（</w:t>
      </w:r>
      <w:r>
        <w:rPr>
          <w:rFonts w:hint="eastAsia" w:ascii="仿宋" w:hAnsi="仿宋" w:eastAsia="仿宋" w:cs="仿宋"/>
          <w:b/>
          <w:bCs/>
          <w:iCs/>
          <w:sz w:val="28"/>
          <w:szCs w:val="28"/>
          <w:highlight w:val="none"/>
          <w:lang w:val="en-US" w:eastAsia="zh-CN"/>
        </w:rPr>
        <w:t xml:space="preserve">七</w:t>
      </w:r>
      <w:r>
        <w:rPr>
          <w:rFonts w:hint="eastAsia" w:ascii="仿宋" w:hAnsi="仿宋" w:eastAsia="仿宋" w:cs="仿宋"/>
          <w:b/>
          <w:bCs/>
          <w:iCs/>
          <w:sz w:val="28"/>
          <w:szCs w:val="28"/>
          <w:highlight w:val="none"/>
          <w:lang w:eastAsia="zh-CN"/>
        </w:rPr>
        <w:t xml:space="preserve">）</w:t>
      </w:r>
      <w:r>
        <w:rPr>
          <w:rFonts w:hint="eastAsia" w:ascii="仿宋" w:hAnsi="仿宋" w:eastAsia="仿宋" w:cs="仿宋"/>
          <w:b/>
          <w:bCs/>
          <w:iCs/>
          <w:sz w:val="28"/>
          <w:szCs w:val="28"/>
          <w:highlight w:val="none"/>
        </w:rPr>
        <w:t xml:space="preserve">本项目</w:t>
      </w:r>
      <w:r>
        <w:rPr>
          <w:rFonts w:hint="eastAsia" w:ascii="仿宋" w:hAnsi="仿宋" w:eastAsia="仿宋" w:cs="仿宋"/>
          <w:b/>
          <w:bCs/>
          <w:iCs/>
          <w:sz w:val="28"/>
          <w:szCs w:val="28"/>
          <w:highlight w:val="none"/>
          <w:u w:val="single"/>
        </w:rPr>
        <w:t xml:space="preserve"> 不接受 </w:t>
      </w:r>
      <w:r>
        <w:rPr>
          <w:rFonts w:hint="eastAsia" w:ascii="仿宋" w:hAnsi="仿宋" w:eastAsia="仿宋" w:cs="仿宋"/>
          <w:b/>
          <w:bCs/>
          <w:iCs/>
          <w:sz w:val="28"/>
          <w:szCs w:val="28"/>
          <w:highlight w:val="none"/>
        </w:rPr>
        <w:t xml:space="preserve">进口产品投标。</w:t>
      </w:r>
      <w:r/>
    </w:p>
    <w:p>
      <w:pPr>
        <w:ind w:firstLine="562"/>
        <w:keepLines w:val="0"/>
        <w:keepNext w:val="0"/>
        <w:pageBreakBefore w:val="0"/>
        <w:spacing w:line="360" w:lineRule="auto"/>
        <w:widowControl w:val="off"/>
        <w:rPr>
          <w:rFonts w:hint="default" w:ascii="仿宋" w:hAnsi="仿宋" w:eastAsia="仿宋" w:cs="仿宋"/>
          <w:b/>
          <w:bCs/>
          <w:iCs/>
          <w:sz w:val="28"/>
          <w:szCs w:val="28"/>
          <w:highlight w:val="none"/>
          <w:lang w:val="en-US" w:eastAsia="zh-CN"/>
        </w:rPr>
      </w:pPr>
      <w:r>
        <w:rPr>
          <w:rFonts w:hint="eastAsia" w:ascii="仿宋" w:hAnsi="仿宋" w:eastAsia="仿宋" w:cs="仿宋"/>
          <w:b/>
          <w:bCs/>
          <w:iCs/>
          <w:sz w:val="28"/>
          <w:szCs w:val="28"/>
          <w:highlight w:val="none"/>
          <w:lang w:eastAsia="zh-CN"/>
        </w:rPr>
        <w:t xml:space="preserve">（</w:t>
      </w:r>
      <w:r>
        <w:rPr>
          <w:rFonts w:hint="eastAsia" w:ascii="仿宋" w:hAnsi="仿宋" w:eastAsia="仿宋" w:cs="仿宋"/>
          <w:b/>
          <w:bCs/>
          <w:iCs/>
          <w:sz w:val="28"/>
          <w:szCs w:val="28"/>
          <w:highlight w:val="none"/>
          <w:lang w:val="en-US" w:eastAsia="zh-CN"/>
        </w:rPr>
        <w:t xml:space="preserve">八</w:t>
      </w:r>
      <w:r>
        <w:rPr>
          <w:rFonts w:hint="eastAsia" w:ascii="仿宋" w:hAnsi="仿宋" w:eastAsia="仿宋" w:cs="仿宋"/>
          <w:b/>
          <w:bCs/>
          <w:iCs/>
          <w:sz w:val="28"/>
          <w:szCs w:val="28"/>
          <w:highlight w:val="none"/>
          <w:lang w:eastAsia="zh-CN"/>
        </w:rPr>
        <w:t xml:space="preserve">）</w:t>
      </w:r>
      <w:r>
        <w:rPr>
          <w:rFonts w:hint="eastAsia" w:ascii="仿宋" w:hAnsi="仿宋" w:eastAsia="仿宋" w:cs="仿宋"/>
          <w:b/>
          <w:bCs/>
          <w:iCs/>
          <w:sz w:val="28"/>
          <w:szCs w:val="28"/>
          <w:highlight w:val="none"/>
          <w:lang w:val="en-US" w:eastAsia="zh-CN"/>
        </w:rPr>
        <w:t xml:space="preserve">付款方式</w:t>
      </w:r>
      <w:r/>
    </w:p>
    <w:p>
      <w:pPr>
        <w:pStyle w:val="985"/>
        <w:ind w:firstLine="560"/>
        <w:keepLines w:val="0"/>
        <w:keepNext w:val="0"/>
        <w:pageBreakBefore w:val="0"/>
        <w:spacing w:before="120" w:after="120" w:line="360" w:lineRule="auto"/>
        <w:widowControl w:val="off"/>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合同签订后15日内，预付款支付比例：不低于合同金额的60%。服务结束并验收合格，采购人收到发票后15日内支付至合同金额的95%。尾款在质保期满后30日内全部支付。</w:t>
      </w:r>
      <w:r/>
    </w:p>
    <w:p>
      <w:pPr>
        <w:ind w:firstLine="562"/>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九</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履约保证金</w:t>
      </w:r>
      <w:r/>
    </w:p>
    <w:p>
      <w:pPr>
        <w:ind w:firstLine="560"/>
        <w:keepLines w:val="0"/>
        <w:keepNext w:val="0"/>
        <w:pageBreakBefore w:val="0"/>
        <w:spacing w:line="360" w:lineRule="auto"/>
        <w:widowControl w:val="off"/>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 xml:space="preserve">无</w:t>
      </w:r>
      <w:r>
        <w:rPr>
          <w:rFonts w:hint="eastAsia" w:ascii="仿宋" w:hAnsi="仿宋" w:eastAsia="仿宋" w:cs="仿宋"/>
          <w:sz w:val="28"/>
          <w:szCs w:val="28"/>
          <w:highlight w:val="none"/>
          <w:u w:val="none"/>
          <w:lang w:val="en-US" w:eastAsia="zh-CN"/>
        </w:rPr>
      </w:r>
      <w:r/>
    </w:p>
    <w:p>
      <w:pPr>
        <w:ind w:firstLine="281"/>
        <w:keepLines w:val="0"/>
        <w:keepNext w:val="0"/>
        <w:pageBreakBefore w:val="0"/>
        <w:spacing w:line="360" w:lineRule="auto"/>
        <w:rPr>
          <w:rFonts w:hint="eastAsia" w:ascii="仿宋" w:hAnsi="仿宋" w:eastAsia="仿宋" w:cs="仿宋"/>
          <w:b/>
          <w:i/>
          <w:color w:val="000000"/>
          <w:sz w:val="28"/>
          <w:szCs w:val="28"/>
          <w:highlight w:val="none"/>
          <w:u w:val="single"/>
        </w:rPr>
      </w:pPr>
      <w:r>
        <w:rPr>
          <w:rFonts w:hint="eastAsia" w:ascii="仿宋" w:hAnsi="仿宋" w:eastAsia="仿宋" w:cs="仿宋"/>
          <w:b/>
          <w:i/>
          <w:color w:val="000000"/>
          <w:sz w:val="28"/>
          <w:szCs w:val="28"/>
          <w:highlight w:val="none"/>
          <w:u w:val="single"/>
        </w:rPr>
        <w:t xml:space="preserve">四、采购需求中必须满足的实质性要求</w:t>
      </w:r>
      <w:r/>
    </w:p>
    <w:p>
      <w:pPr>
        <w:ind w:firstLine="560"/>
        <w:keepLines w:val="0"/>
        <w:keepNext w:val="0"/>
        <w:pageBreakBefore w:val="0"/>
        <w:spacing w:line="360" w:lineRule="auto"/>
        <w:rPr>
          <w:rFonts w:hint="eastAsia" w:ascii="仿宋" w:hAnsi="仿宋" w:eastAsia="仿宋" w:cs="仿宋"/>
          <w:b/>
          <w:bCs/>
          <w:i/>
          <w:sz w:val="28"/>
          <w:szCs w:val="28"/>
          <w:highlight w:val="none"/>
          <w:u w:val="single"/>
        </w:rPr>
      </w:pPr>
      <w:r>
        <w:rPr>
          <w:rFonts w:hint="eastAsia" w:ascii="仿宋" w:hAnsi="仿宋" w:eastAsia="仿宋" w:cs="仿宋"/>
          <w:b/>
          <w:bCs/>
          <w:i/>
          <w:sz w:val="28"/>
          <w:szCs w:val="28"/>
          <w:highlight w:val="none"/>
          <w:u w:val="single"/>
        </w:rPr>
        <w:t xml:space="preserve">4.1技术部分实质性要求</w:t>
      </w:r>
      <w:r/>
    </w:p>
    <w:p>
      <w:pPr>
        <w:ind w:firstLine="480"/>
        <w:keepLines w:val="0"/>
        <w:keepNext w:val="0"/>
        <w:pageBreakBefore w:val="0"/>
        <w:spacing w:line="360" w:lineRule="auto"/>
        <w:rPr>
          <w:rFonts w:hint="eastAsia" w:ascii="仿宋" w:hAnsi="仿宋" w:eastAsia="仿宋" w:cs="仿宋"/>
          <w:bCs/>
          <w:i/>
          <w:iCs/>
          <w:sz w:val="28"/>
          <w:szCs w:val="28"/>
          <w:highlight w:val="none"/>
          <w:u w:val="single"/>
        </w:rPr>
      </w:pPr>
      <w:r>
        <w:rPr>
          <w:rFonts w:hint="eastAsia" w:ascii="仿宋" w:hAnsi="仿宋" w:eastAsia="仿宋" w:cs="仿宋"/>
          <w:bCs/>
          <w:i/>
          <w:iCs/>
          <w:sz w:val="28"/>
          <w:szCs w:val="28"/>
          <w:highlight w:val="none"/>
          <w:u w:val="single"/>
        </w:rPr>
        <w:t xml:space="preserve">（1）项目技术方案须符合信创技术要求（提供可行的信创技术路线和信创实施方案）；</w:t>
      </w:r>
      <w:r/>
    </w:p>
    <w:p>
      <w:pPr>
        <w:ind w:firstLine="480"/>
        <w:keepLines w:val="0"/>
        <w:keepNext w:val="0"/>
        <w:pageBreakBefore w:val="0"/>
        <w:spacing w:line="360" w:lineRule="auto"/>
        <w:rPr>
          <w:rFonts w:hint="eastAsia" w:ascii="仿宋" w:hAnsi="仿宋" w:eastAsia="仿宋" w:cs="仿宋"/>
          <w:bCs/>
          <w:i/>
          <w:iCs/>
          <w:sz w:val="28"/>
          <w:szCs w:val="28"/>
          <w:highlight w:val="none"/>
          <w:u w:val="single"/>
        </w:rPr>
      </w:pPr>
      <w:r>
        <w:rPr>
          <w:rFonts w:hint="eastAsia" w:ascii="仿宋" w:hAnsi="仿宋" w:eastAsia="仿宋" w:cs="仿宋"/>
          <w:bCs/>
          <w:i/>
          <w:iCs/>
          <w:sz w:val="28"/>
          <w:szCs w:val="28"/>
          <w:highlight w:val="none"/>
          <w:u w:val="single"/>
        </w:rPr>
        <w:t xml:space="preserve">（2）技术方案能够针对“采购需求--技术要求--建设项目的主要内容及功能”要求（共16项内容）逐项进行技术性响应，具有明确的技术方案，基本能够达到功能要求（对无具体内容的响应或响应内容空泛，评委会有权做出未实质性响应的结果）；</w:t>
      </w:r>
      <w:r/>
    </w:p>
    <w:p>
      <w:pPr>
        <w:ind w:firstLine="480"/>
        <w:keepLines w:val="0"/>
        <w:keepNext w:val="0"/>
        <w:pageBreakBefore w:val="0"/>
        <w:spacing w:line="360" w:lineRule="auto"/>
        <w:rPr>
          <w:rFonts w:hint="eastAsia" w:ascii="仿宋" w:hAnsi="仿宋" w:eastAsia="仿宋" w:cs="仿宋"/>
          <w:i/>
          <w:sz w:val="28"/>
          <w:szCs w:val="28"/>
          <w:highlight w:val="none"/>
          <w:u w:val="single"/>
        </w:rPr>
      </w:pPr>
      <w:r>
        <w:rPr>
          <w:rFonts w:hint="eastAsia" w:ascii="仿宋" w:hAnsi="仿宋" w:eastAsia="仿宋" w:cs="仿宋"/>
          <w:bCs/>
          <w:i/>
          <w:iCs/>
          <w:sz w:val="28"/>
          <w:szCs w:val="28"/>
          <w:highlight w:val="none"/>
          <w:u w:val="single"/>
        </w:rPr>
        <w:t xml:space="preserve">（3）项目软件系统需按照“江海智检通统一应用开发标准”进行模块化改造，并配合完成该模块的等级保护测评（提供承诺函，格式自拟）。</w:t>
      </w:r>
      <w:r/>
    </w:p>
    <w:p>
      <w:pPr>
        <w:ind w:firstLine="560"/>
        <w:keepLines w:val="0"/>
        <w:keepNext w:val="0"/>
        <w:pageBreakBefore w:val="0"/>
        <w:spacing w:line="360" w:lineRule="auto"/>
        <w:rPr>
          <w:rFonts w:hint="eastAsia" w:ascii="仿宋" w:hAnsi="仿宋" w:eastAsia="仿宋" w:cs="仿宋"/>
          <w:b/>
          <w:bCs/>
          <w:i/>
          <w:color w:val="000000"/>
          <w:sz w:val="28"/>
          <w:szCs w:val="28"/>
          <w:highlight w:val="none"/>
          <w:u w:val="single"/>
        </w:rPr>
      </w:pPr>
      <w:r>
        <w:rPr>
          <w:rFonts w:hint="eastAsia" w:ascii="仿宋" w:hAnsi="仿宋" w:eastAsia="仿宋" w:cs="仿宋"/>
          <w:b/>
          <w:bCs/>
          <w:i/>
          <w:sz w:val="28"/>
          <w:szCs w:val="28"/>
          <w:highlight w:val="none"/>
          <w:u w:val="single"/>
        </w:rPr>
        <w:t xml:space="preserve">4.2商务部分实质性要求</w:t>
      </w:r>
      <w:r/>
    </w:p>
    <w:p>
      <w:pPr>
        <w:ind w:firstLine="480"/>
        <w:keepLines w:val="0"/>
        <w:keepNext w:val="0"/>
        <w:pageBreakBefore w:val="0"/>
        <w:spacing w:line="360" w:lineRule="auto"/>
        <w:rPr>
          <w:rFonts w:hint="eastAsia" w:ascii="仿宋" w:hAnsi="仿宋" w:eastAsia="仿宋" w:cs="仿宋"/>
          <w:bCs/>
          <w:i/>
          <w:iCs/>
          <w:sz w:val="28"/>
          <w:szCs w:val="28"/>
          <w:highlight w:val="none"/>
          <w:u w:val="single"/>
        </w:rPr>
      </w:pPr>
      <w:r>
        <w:rPr>
          <w:rFonts w:hint="eastAsia" w:ascii="仿宋" w:hAnsi="仿宋" w:eastAsia="仿宋" w:cs="仿宋"/>
          <w:bCs/>
          <w:i/>
          <w:iCs/>
          <w:sz w:val="28"/>
          <w:szCs w:val="28"/>
          <w:highlight w:val="none"/>
          <w:u w:val="single"/>
        </w:rPr>
        <w:t xml:space="preserve">（1）本项目自项目终验合格起提供免费三年软硬件平台维护质保、三年硬件设备维护质保。质保运维期满后，年维护费不超过项目合同金额的10%。（提供承诺函，格式自拟）</w:t>
      </w:r>
      <w:r/>
    </w:p>
    <w:p>
      <w:pPr>
        <w:pStyle w:val="813"/>
        <w:ind w:firstLine="0"/>
        <w:pageBreakBefore w:val="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813"/>
        <w:ind w:firstLine="0"/>
        <w:jc w:val="center"/>
        <w:pageBreakBefore w:val="0"/>
        <w:spacing w:line="360" w:lineRule="auto"/>
        <w:rPr>
          <w:rFonts w:hint="eastAsia" w:ascii="黑体" w:hAnsi="黑体" w:eastAsia="黑体" w:cs="黑体"/>
          <w:bCs/>
          <w:color w:val="000000"/>
          <w:sz w:val="44"/>
          <w:szCs w:val="28"/>
        </w:rPr>
      </w:pPr>
      <w:r>
        <w:rPr>
          <w:rFonts w:hint="eastAsia" w:ascii="仿宋" w:hAnsi="仿宋" w:eastAsia="仿宋" w:cs="仿宋"/>
          <w:lang w:val="en-US" w:eastAsia="zh-CN"/>
        </w:rPr>
        <w:br w:type="page" w:clear="all"/>
      </w:r>
      <w:bookmarkStart w:id="186" w:name="_Toc120614281"/>
      <w:r>
        <w:rPr>
          <w:rFonts w:hint="eastAsia" w:ascii="黑体" w:hAnsi="黑体" w:eastAsia="黑体" w:cs="黑体"/>
          <w:b w:val="0"/>
          <w:bCs/>
          <w:color w:val="000000"/>
          <w:sz w:val="44"/>
          <w:szCs w:val="28"/>
        </w:rPr>
        <w:t xml:space="preserve">第五章  评标方法与评标标准</w:t>
      </w:r>
      <w:r/>
    </w:p>
    <w:p>
      <w:pPr>
        <w:ind w:firstLine="512"/>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514"/>
        <w:jc w:val="both"/>
        <w:pageBreakBefore w:val="0"/>
        <w:spacing w:before="120" w:after="120" w:line="360" w:lineRule="auto"/>
        <w:rPr>
          <w:rFonts w:hint="eastAsia" w:ascii="仿宋" w:hAnsi="仿宋" w:eastAsia="仿宋" w:cs="仿宋"/>
          <w:b/>
          <w:sz w:val="28"/>
          <w:szCs w:val="28"/>
        </w:rPr>
      </w:pPr>
      <w:r>
        <w:rPr>
          <w:rFonts w:hint="eastAsia" w:ascii="仿宋" w:hAnsi="仿宋" w:eastAsia="仿宋" w:cs="仿宋"/>
          <w:b/>
          <w:sz w:val="28"/>
          <w:szCs w:val="28"/>
        </w:rPr>
        <w:t xml:space="preserve">政府采购政策功能落实</w:t>
      </w:r>
      <w:r>
        <w:rPr>
          <w:rFonts w:hint="eastAsia" w:ascii="仿宋" w:hAnsi="仿宋" w:eastAsia="仿宋" w:cs="仿宋"/>
          <w:sz w:val="28"/>
          <w:szCs w:val="28"/>
        </w:rPr>
        <w:t xml:space="preserve">（如果该项目专门面向中小微型企业采购，则供应商不再享受任何价格扣除）</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1、小微型企业价格扣除</w:t>
      </w:r>
      <w:r/>
    </w:p>
    <w:p>
      <w:pPr>
        <w:ind w:firstLine="42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（1）本项目对小型和微型企业产品给予20%的扣除价格，用扣除后的价格参与评审。</w:t>
      </w:r>
      <w:r/>
    </w:p>
    <w:p>
      <w:pPr>
        <w:ind w:firstLine="42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（2）供应商需按照采购文件的要求提供相应的《小微企业声明函》。</w:t>
      </w:r>
      <w:r/>
    </w:p>
    <w:p>
      <w:pPr>
        <w:ind w:firstLine="42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（3）企业标准请参照《关于印发中小企业划型标准规定的通知》（工信部联企业〔2011〕300号）文件规定自行填写。</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2、残疾人福利单位价格扣除</w:t>
      </w:r>
      <w:r/>
    </w:p>
    <w:p>
      <w:pPr>
        <w:ind w:left="120" w:firstLine="42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（1）本项目对残疾人福利性单位视同小型、微型企业，给予20%的价格扣除，用扣除后的价格参与评审。</w:t>
      </w:r>
      <w:r/>
    </w:p>
    <w:p>
      <w:pPr>
        <w:ind w:left="120" w:firstLine="42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（2）残疾人福利单位需按照采购文件的要求提供《残疾人福利性单位声明函》。</w:t>
      </w:r>
      <w:r/>
    </w:p>
    <w:p>
      <w:pPr>
        <w:ind w:left="120" w:firstLine="42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（3）残疾人福利单位标准请参照《关于促进残疾人就业政府采购政策的通知》（财库〔2017〕141号）。</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3、监狱和戒毒企业价格扣除</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（1）本项目对监狱和戒毒企业（简称监狱企业）视同小型、微型企业，给予20%的价格扣除，用扣除后的价格参与评审。</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（3）监狱企业标准请参照《关于政府采购支持监狱企业发展有关问题的通知》（财库〔2014〕68号）。</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4、残疾人福利单位、监狱企业属于小型、微型企业的，不重复享受政策。</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6、联合体各方均为小型、微型企业（残疾人福利单位、监狱企业）的，联合体享受20%价格扣除，用扣除后的价格参与评审。</w:t>
      </w:r>
      <w:r/>
    </w:p>
    <w:p>
      <w:pPr>
        <w:ind w:firstLine="562"/>
        <w:jc w:val="both"/>
        <w:pageBreakBefore w:val="0"/>
        <w:spacing w:before="120" w:after="120" w:line="360" w:lineRule="auto"/>
        <w:rPr>
          <w:rFonts w:hint="eastAsia" w:ascii="仿宋" w:hAnsi="仿宋" w:eastAsia="仿宋" w:cs="仿宋"/>
          <w:b/>
          <w:color w:val="000000"/>
          <w:sz w:val="28"/>
          <w:szCs w:val="28"/>
          <w:highlight w:val="yellow"/>
        </w:rPr>
      </w:pPr>
      <w:r>
        <w:rPr>
          <w:rFonts w:hint="eastAsia" w:ascii="仿宋" w:hAnsi="仿宋" w:eastAsia="仿宋" w:cs="仿宋"/>
          <w:b/>
          <w:color w:val="000000"/>
          <w:sz w:val="28"/>
          <w:szCs w:val="28"/>
        </w:rPr>
        <w:t xml:space="preserve">评标方法与评标标准</w:t>
      </w:r>
      <w:r/>
    </w:p>
    <w:p>
      <w:pPr>
        <w:pStyle w:val="1031"/>
        <w:ind w:left="562" w:firstLine="0"/>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1.价格分：</w:t>
      </w:r>
      <w:r>
        <w:rPr>
          <w:rFonts w:hint="eastAsia" w:ascii="仿宋" w:hAnsi="仿宋" w:eastAsia="仿宋" w:cs="仿宋"/>
          <w:b/>
          <w:color w:val="000000"/>
          <w:sz w:val="28"/>
          <w:szCs w:val="28"/>
          <w:lang w:val="en-US" w:eastAsia="zh-CN"/>
        </w:rPr>
        <w:t xml:space="preserve">20</w:t>
      </w:r>
      <w:r>
        <w:rPr>
          <w:rFonts w:hint="eastAsia" w:ascii="仿宋" w:hAnsi="仿宋" w:eastAsia="仿宋" w:cs="仿宋"/>
          <w:b/>
          <w:color w:val="000000"/>
          <w:sz w:val="28"/>
          <w:szCs w:val="28"/>
        </w:rPr>
        <w:t xml:space="preserve">分</w:t>
      </w:r>
      <w:r/>
    </w:p>
    <w:p>
      <w:pPr>
        <w:pStyle w:val="1031"/>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价格分统一采用低价优先法计算，即满足招标文件要求且投标价格最低的投标报价为评标基准价，其价格分为满分。其他投标人的价格分统一按照下列公式计算：</w:t>
      </w:r>
      <w:r/>
    </w:p>
    <w:p>
      <w:pPr>
        <w:pStyle w:val="1031"/>
        <w:numPr>
          <w:ilvl w:val="0"/>
          <w:numId w:val="0"/>
        </w:numPr>
        <w:ind w:firstLine="482"/>
        <w:jc w:val="both"/>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lang w:val="en-US" w:eastAsia="zh-CN" w:bidi="ar-SA"/>
        </w:rPr>
        <w:t xml:space="preserve">投标报价得分=（评标基准价/投标报价）×价格权值×100</w:t>
      </w:r>
      <w:r/>
    </w:p>
    <w:p>
      <w:pPr>
        <w:ind w:left="562"/>
        <w:jc w:val="left"/>
        <w:pageBreakBefore w:val="0"/>
        <w:spacing w:before="120" w:after="12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left="562"/>
        <w:jc w:val="left"/>
        <w:pageBreakBefore w:val="0"/>
        <w:spacing w:before="120" w:after="12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2.技术分：</w:t>
      </w:r>
      <w:r>
        <w:rPr>
          <w:rFonts w:hint="eastAsia" w:ascii="仿宋" w:hAnsi="仿宋" w:eastAsia="仿宋" w:cs="仿宋"/>
          <w:b/>
          <w:color w:val="000000"/>
          <w:sz w:val="28"/>
          <w:szCs w:val="28"/>
          <w:lang w:val="en-US" w:eastAsia="zh-CN"/>
        </w:rPr>
        <w:t xml:space="preserve">55</w:t>
      </w:r>
      <w:r>
        <w:rPr>
          <w:rFonts w:hint="eastAsia" w:ascii="仿宋" w:hAnsi="仿宋" w:eastAsia="仿宋" w:cs="仿宋"/>
          <w:b/>
          <w:color w:val="000000"/>
          <w:sz w:val="28"/>
          <w:szCs w:val="28"/>
        </w:rPr>
        <w:t xml:space="preserve">分</w:t>
      </w:r>
      <w:r/>
    </w:p>
    <w:tbl>
      <w:tblPr>
        <w:tblStyle w:val="740"/>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1455"/>
        <w:gridCol w:w="4672"/>
        <w:gridCol w:w="709"/>
        <w:gridCol w:w="682"/>
        <w:gridCol w:w="980"/>
      </w:tblGrid>
      <w:tr>
        <w:trPr>
          <w:jc w:val="center"/>
          <w:trHeight w:val="575"/>
        </w:trPr>
        <w:tc>
          <w:tcPr>
            <w:tcW w:w="652" w:type="dxa"/>
            <w:vAlign w:val="center"/>
            <w:textDirection w:val="lrTb"/>
            <w:noWrap w:val="false"/>
          </w:tcPr>
          <w:p>
            <w:pPr>
              <w:jc w:val="center"/>
              <w:widowControl/>
              <w:rPr>
                <w:rFonts w:hint="eastAsia" w:ascii="仿宋" w:hAnsi="仿宋" w:eastAsia="仿宋" w:cs="仿宋"/>
                <w:b/>
                <w:bCs/>
                <w:color w:val="000000"/>
                <w:sz w:val="24"/>
                <w:szCs w:val="28"/>
              </w:rPr>
            </w:pPr>
            <w:r>
              <w:rPr>
                <w:rFonts w:hint="eastAsia" w:ascii="仿宋" w:hAnsi="仿宋" w:eastAsia="仿宋" w:cs="仿宋"/>
                <w:b/>
                <w:bCs/>
                <w:color w:val="000000"/>
                <w:sz w:val="24"/>
                <w:szCs w:val="28"/>
              </w:rPr>
              <w:t xml:space="preserve">序号</w:t>
            </w:r>
            <w:r/>
          </w:p>
        </w:tc>
        <w:tc>
          <w:tcPr>
            <w:tcW w:w="1455" w:type="dxa"/>
            <w:vAlign w:val="center"/>
            <w:textDirection w:val="lrTb"/>
            <w:noWrap w:val="false"/>
          </w:tcPr>
          <w:p>
            <w:pPr>
              <w:jc w:val="center"/>
              <w:widowControl/>
              <w:rPr>
                <w:rFonts w:hint="eastAsia" w:ascii="仿宋" w:hAnsi="仿宋" w:eastAsia="仿宋" w:cs="仿宋"/>
                <w:b/>
                <w:bCs/>
                <w:color w:val="000000"/>
                <w:sz w:val="24"/>
                <w:szCs w:val="28"/>
              </w:rPr>
            </w:pPr>
            <w:r>
              <w:rPr>
                <w:rFonts w:hint="eastAsia" w:ascii="仿宋" w:hAnsi="仿宋" w:eastAsia="仿宋" w:cs="仿宋"/>
                <w:b/>
                <w:bCs/>
                <w:color w:val="000000"/>
                <w:sz w:val="24"/>
                <w:szCs w:val="28"/>
              </w:rPr>
              <w:t xml:space="preserve">评分点名称</w:t>
            </w:r>
            <w:r/>
          </w:p>
        </w:tc>
        <w:tc>
          <w:tcPr>
            <w:tcW w:w="4672" w:type="dxa"/>
            <w:vAlign w:val="center"/>
            <w:textDirection w:val="lrTb"/>
            <w:noWrap w:val="false"/>
          </w:tcPr>
          <w:p>
            <w:pPr>
              <w:jc w:val="center"/>
              <w:widowControl/>
              <w:rPr>
                <w:rFonts w:hint="eastAsia" w:ascii="仿宋" w:hAnsi="仿宋" w:eastAsia="仿宋" w:cs="仿宋"/>
                <w:b/>
                <w:bCs/>
                <w:color w:val="000000"/>
                <w:sz w:val="24"/>
                <w:szCs w:val="28"/>
              </w:rPr>
            </w:pPr>
            <w:r>
              <w:rPr>
                <w:rFonts w:hint="eastAsia" w:ascii="仿宋" w:hAnsi="仿宋" w:eastAsia="仿宋" w:cs="仿宋"/>
                <w:b/>
                <w:bCs/>
                <w:color w:val="000000"/>
                <w:sz w:val="24"/>
                <w:szCs w:val="28"/>
              </w:rPr>
              <w:t xml:space="preserve">评审标准</w:t>
            </w:r>
            <w:r/>
          </w:p>
        </w:tc>
        <w:tc>
          <w:tcPr>
            <w:tcW w:w="709" w:type="dxa"/>
            <w:vAlign w:val="center"/>
            <w:textDirection w:val="lrTb"/>
            <w:noWrap w:val="false"/>
          </w:tcPr>
          <w:p>
            <w:pPr>
              <w:jc w:val="center"/>
              <w:widowControl/>
              <w:rPr>
                <w:rFonts w:hint="eastAsia" w:ascii="仿宋" w:hAnsi="仿宋" w:eastAsia="仿宋" w:cs="仿宋"/>
                <w:b/>
                <w:bCs/>
                <w:color w:val="000000"/>
                <w:sz w:val="24"/>
                <w:szCs w:val="28"/>
              </w:rPr>
            </w:pPr>
            <w:r>
              <w:rPr>
                <w:rFonts w:hint="eastAsia" w:ascii="仿宋" w:hAnsi="仿宋" w:eastAsia="仿宋" w:cs="仿宋"/>
                <w:b/>
                <w:bCs/>
                <w:color w:val="000000"/>
                <w:sz w:val="24"/>
                <w:szCs w:val="28"/>
              </w:rPr>
              <w:t xml:space="preserve">最高分</w:t>
            </w:r>
            <w:r/>
          </w:p>
        </w:tc>
        <w:tc>
          <w:tcPr>
            <w:tcW w:w="682" w:type="dxa"/>
            <w:vAlign w:val="center"/>
            <w:textDirection w:val="lrTb"/>
            <w:noWrap w:val="false"/>
          </w:tcPr>
          <w:p>
            <w:pPr>
              <w:jc w:val="center"/>
              <w:widowControl/>
              <w:rPr>
                <w:rFonts w:hint="eastAsia" w:ascii="仿宋" w:hAnsi="仿宋" w:eastAsia="仿宋" w:cs="仿宋"/>
                <w:b/>
                <w:bCs/>
                <w:color w:val="000000"/>
                <w:sz w:val="24"/>
                <w:szCs w:val="28"/>
              </w:rPr>
            </w:pPr>
            <w:r>
              <w:rPr>
                <w:rFonts w:hint="eastAsia" w:ascii="仿宋" w:hAnsi="仿宋" w:eastAsia="仿宋" w:cs="仿宋"/>
                <w:b/>
                <w:bCs/>
                <w:color w:val="000000"/>
                <w:sz w:val="24"/>
                <w:szCs w:val="28"/>
              </w:rPr>
              <w:t xml:space="preserve">最低分</w:t>
            </w:r>
            <w:r/>
          </w:p>
        </w:tc>
        <w:tc>
          <w:tcPr>
            <w:tcW w:w="980" w:type="dxa"/>
            <w:vAlign w:val="center"/>
            <w:textDirection w:val="lrTb"/>
            <w:noWrap w:val="false"/>
          </w:tcPr>
          <w:p>
            <w:pPr>
              <w:jc w:val="center"/>
              <w:widowControl/>
              <w:rPr>
                <w:rFonts w:hint="eastAsia" w:ascii="仿宋" w:hAnsi="仿宋" w:eastAsia="仿宋" w:cs="仿宋"/>
                <w:b/>
                <w:bCs/>
                <w:color w:val="000000"/>
                <w:sz w:val="24"/>
                <w:szCs w:val="28"/>
              </w:rPr>
            </w:pPr>
            <w:r>
              <w:rPr>
                <w:rFonts w:hint="eastAsia" w:ascii="仿宋" w:hAnsi="仿宋" w:eastAsia="仿宋" w:cs="仿宋"/>
                <w:b/>
                <w:bCs/>
                <w:color w:val="000000"/>
                <w:sz w:val="24"/>
                <w:szCs w:val="28"/>
              </w:rPr>
              <w:t xml:space="preserve">主/客观分</w:t>
            </w:r>
            <w:r/>
          </w:p>
        </w:tc>
      </w:tr>
      <w:tr>
        <w:trPr>
          <w:jc w:val="center"/>
          <w:trHeight w:val="1910"/>
        </w:trPr>
        <w:tc>
          <w:tcPr>
            <w:tcW w:w="65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45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技术参数</w:t>
            </w:r>
            <w:r/>
          </w:p>
        </w:tc>
        <w:tc>
          <w:tcPr>
            <w:tcW w:w="4672" w:type="dxa"/>
            <w:vAlign w:val="center"/>
            <w:textDirection w:val="lrTb"/>
            <w:noWrap w:val="false"/>
          </w:tcPr>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招标文件中所明确的产品技术参数要求进行打分。①加注“▲”号的参数不满足招标文件要求或未提供项目需求中要求的佐证材料的(即负偏离)每有1项扣1分，直至扣完为止；②其余未有加注的参数不满足招标文件要求(即负偏离)，每有1项扣0.5分，直至扣完为止。（注：需按顺序逐项进行应答，未按顺序应答将被认定为负偏离）</w:t>
            </w:r>
            <w:r/>
          </w:p>
        </w:tc>
        <w:tc>
          <w:tcPr>
            <w:tcW w:w="70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W w:w="6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客观分</w:t>
            </w:r>
            <w:r/>
          </w:p>
        </w:tc>
      </w:tr>
      <w:tr>
        <w:trPr>
          <w:jc w:val="center"/>
          <w:trHeight w:val="909"/>
        </w:trPr>
        <w:tc>
          <w:tcPr>
            <w:tcW w:w="652" w:type="dxa"/>
            <w:vAlign w:val="center"/>
            <w:textDirection w:val="lrTb"/>
            <w:noWrap w:val="false"/>
          </w:tcPr>
          <w:p>
            <w:pPr>
              <w:jc w:val="cente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p>
        </w:tc>
        <w:tc>
          <w:tcPr>
            <w:tcW w:w="145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产品技术性能</w:t>
            </w:r>
            <w:r/>
          </w:p>
        </w:tc>
        <w:tc>
          <w:tcPr>
            <w:tcW w:w="4672" w:type="dxa"/>
            <w:vAlign w:val="center"/>
            <w:textDirection w:val="lrTb"/>
            <w:noWrap w:val="false"/>
          </w:tcPr>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信创</w:t>
            </w:r>
            <w:r>
              <w:rPr>
                <w:rFonts w:hint="eastAsia" w:ascii="仿宋" w:hAnsi="仿宋" w:eastAsia="仿宋" w:cs="仿宋"/>
                <w:color w:val="000000"/>
                <w:sz w:val="24"/>
                <w:szCs w:val="24"/>
              </w:rPr>
              <w:t xml:space="preserve">网络视频存储服务器：组网辅助设备不做加密配置，数据采用透明传输的方式，可进行视频数据传输加密、传输解密、存储加密、存储解密。提供检测报告复印件的得2分。</w:t>
            </w:r>
            <w:r/>
          </w:p>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2、解码器：支持64个通道同时解码，支持开窗功能，最大支持64路开窗。提供检测报告复印件的得2分。</w:t>
            </w:r>
            <w:r/>
          </w:p>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看守所端远程提审视频终端：支持RTSP协议，将高清IPC(网络摄像机)作为视频源，以4K画质接入视频会议终端，可作为辅流图像源加入视频会议或直接输出到显示器，图像清晰流畅。提供检测报告复印件的得2分。</w:t>
            </w:r>
            <w:r/>
          </w:p>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4、UPS主机设备厂家的工业设计水平和创新能力应位于全国领先地位，入围工信部“国家级工业设计中心名单” 的得2分，提供相关名单及官网查询路径和截图。</w:t>
            </w:r>
            <w:r/>
          </w:p>
        </w:tc>
        <w:tc>
          <w:tcPr>
            <w:tcW w:w="70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6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客观分</w:t>
            </w:r>
            <w:r/>
          </w:p>
        </w:tc>
      </w:tr>
      <w:tr>
        <w:trPr>
          <w:jc w:val="center"/>
          <w:trHeight w:val="983"/>
        </w:trPr>
        <w:tc>
          <w:tcPr>
            <w:tcW w:w="652" w:type="dxa"/>
            <w:vAlign w:val="center"/>
            <w:textDirection w:val="lrTb"/>
            <w:noWrap w:val="false"/>
          </w:tcPr>
          <w:p>
            <w:pPr>
              <w:jc w:val="cente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w:t>
            </w:r>
            <w:r/>
          </w:p>
        </w:tc>
        <w:tc>
          <w:tcPr>
            <w:tcW w:w="145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技术方案</w:t>
            </w:r>
            <w:r/>
          </w:p>
        </w:tc>
        <w:tc>
          <w:tcPr>
            <w:tcW w:w="4672" w:type="dxa"/>
            <w:vAlign w:val="center"/>
            <w:textDirection w:val="lrTb"/>
            <w:noWrap w:val="false"/>
          </w:tcPr>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1、提供江海智检通视频综合办案系统</w:t>
            </w:r>
            <w:r>
              <w:rPr>
                <w:rFonts w:hint="eastAsia" w:ascii="仿宋" w:hAnsi="仿宋" w:eastAsia="仿宋" w:cs="仿宋"/>
                <w:color w:val="000000"/>
                <w:sz w:val="24"/>
                <w:szCs w:val="24"/>
                <w:lang w:eastAsia="zh-CN"/>
              </w:rPr>
              <w:t xml:space="preserve">信创</w:t>
            </w:r>
            <w:r>
              <w:rPr>
                <w:rFonts w:hint="eastAsia" w:ascii="仿宋" w:hAnsi="仿宋" w:eastAsia="仿宋" w:cs="仿宋"/>
                <w:color w:val="000000"/>
                <w:sz w:val="24"/>
                <w:szCs w:val="24"/>
              </w:rPr>
              <w:t xml:space="preserve">升级改造及整合迭代方案、检察工作网短信接口开发方案，方案合理可行、架构清晰满足需求的得4分；方案较合理可行，架构较清晰，得3分；方案可行性较差、架构不清晰，得1分；完全不满足的不得分。</w:t>
            </w:r>
            <w:r/>
          </w:p>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结合看守所实际使用场景，提供远程提审办案系统建设方案，方案具有接入江海智检通综合视频办案系统功能、架构清晰，得4分；方案较合理可行，架构较清晰，得3分；方案可行性较差、架构不清晰，得1分；完全不满足的不得分。</w:t>
            </w:r>
            <w:r/>
          </w:p>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提供驻看检察室设备间（机房）建设,提供检察工作网、互联网、视频私网建设方案，方案合理可行、架构清晰，得2分；方案较合理可行，架构较清晰，得1分；提供的方案可行性较差、架构不清晰或完全不满足的不得分。</w:t>
            </w:r>
            <w:r/>
          </w:p>
        </w:tc>
        <w:tc>
          <w:tcPr>
            <w:tcW w:w="70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W w:w="6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主观分</w:t>
            </w:r>
            <w:r/>
          </w:p>
        </w:tc>
      </w:tr>
      <w:tr>
        <w:trPr>
          <w:jc w:val="center"/>
          <w:trHeight w:val="983"/>
        </w:trPr>
        <w:tc>
          <w:tcPr>
            <w:tcW w:w="652" w:type="dxa"/>
            <w:vAlign w:val="center"/>
            <w:textDirection w:val="lrTb"/>
            <w:noWrap w:val="false"/>
          </w:tcPr>
          <w:p>
            <w:pPr>
              <w:jc w:val="cente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p>
        </w:tc>
        <w:tc>
          <w:tcPr>
            <w:tcW w:w="145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施工方案</w:t>
            </w:r>
            <w:r/>
          </w:p>
        </w:tc>
        <w:tc>
          <w:tcPr>
            <w:tcW w:w="4672" w:type="dxa"/>
            <w:vAlign w:val="center"/>
            <w:textDirection w:val="lrTb"/>
            <w:noWrap w:val="false"/>
          </w:tcPr>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供项目施工方案，至少包含施工进度、保障措施、人员组织、安全管理方案等，方案全面详实、充分理解需求、能够针对看守所现状进行描述、操作性针对性强，得4分；方案较合理、基本可行的，得2分；方案可行性一般、方案简单的，得1分；完全不满足的不得分。</w:t>
            </w:r>
            <w:r/>
          </w:p>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对提审区全景相机安装、显示器及远程提审摄像机升降安装提供详细实施方案，方案合理、结合日常使用需求、可行性高的得4分；方案较合理、基本可行的，得2分；方案可行性一般、方案简单的，得1分；完全不满足的不得分。</w:t>
            </w:r>
            <w:r/>
          </w:p>
          <w:p>
            <w:pPr>
              <w:jc w:val="both"/>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3、对原设备搬迁利旧提供详细实施方案。方案合理、可行性高的得4分；方案较合理、基本可行的，得2分；方案可行性一般、方案简单的，得1分；完全不满足的不得分。</w:t>
            </w:r>
            <w:r/>
          </w:p>
        </w:tc>
        <w:tc>
          <w:tcPr>
            <w:tcW w:w="70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W w:w="6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8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主观分</w:t>
            </w:r>
            <w:r/>
          </w:p>
        </w:tc>
      </w:tr>
    </w:tbl>
    <w:p>
      <w:pPr>
        <w:numPr>
          <w:ilvl w:val="0"/>
          <w:numId w:val="9"/>
        </w:numPr>
        <w:jc w:val="left"/>
        <w:pageBreakBefore w:val="0"/>
        <w:spacing w:before="120" w:after="12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商务分：3</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分</w:t>
      </w:r>
      <w:r/>
    </w:p>
    <w:tbl>
      <w:tblPr>
        <w:tblStyle w:val="740"/>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082"/>
        <w:gridCol w:w="4620"/>
        <w:gridCol w:w="750"/>
        <w:gridCol w:w="747"/>
        <w:gridCol w:w="913"/>
      </w:tblGrid>
      <w:tr>
        <w:trPr>
          <w:jc w:val="center"/>
          <w:trHeight w:val="550"/>
        </w:trPr>
        <w:tc>
          <w:tcPr>
            <w:tcW w:w="898"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082"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评分点名称</w:t>
            </w:r>
            <w:r/>
          </w:p>
        </w:tc>
        <w:tc>
          <w:tcPr>
            <w:tcW w:w="4620"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评审标准</w:t>
            </w:r>
            <w:r/>
          </w:p>
        </w:tc>
        <w:tc>
          <w:tcPr>
            <w:tcW w:w="750"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最高分</w:t>
            </w:r>
            <w:r/>
          </w:p>
        </w:tc>
        <w:tc>
          <w:tcPr>
            <w:tcW w:w="747"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最低分</w:t>
            </w:r>
            <w:r/>
          </w:p>
        </w:tc>
        <w:tc>
          <w:tcPr>
            <w:tcW w:w="913"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8"/>
              </w:rPr>
              <w:t xml:space="preserve">主/客观分</w:t>
            </w:r>
            <w:r/>
          </w:p>
        </w:tc>
      </w:tr>
      <w:tr>
        <w:trPr>
          <w:jc w:val="center"/>
          <w:trHeight w:val="1910"/>
        </w:trPr>
        <w:tc>
          <w:tcPr>
            <w:tcW w:w="89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0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企业实力</w:t>
            </w:r>
            <w:r/>
          </w:p>
        </w:tc>
        <w:tc>
          <w:tcPr>
            <w:tcW w:w="4620" w:type="dxa"/>
            <w:vAlign w:val="center"/>
            <w:textDirection w:val="lrTb"/>
            <w:noWrap w:val="false"/>
          </w:tcPr>
          <w:p>
            <w:pPr>
              <w:jc w:val="left"/>
              <w:keepLines w:val="0"/>
              <w:keepNext w:val="0"/>
              <w:pageBreakBefore w:val="0"/>
              <w:spacing w:line="400" w:lineRule="exact"/>
              <w:widowControl/>
            </w:pPr>
            <w:r>
              <w:rPr>
                <w:rFonts w:hint="eastAsia" w:ascii="仿宋" w:hAnsi="仿宋" w:eastAsia="仿宋" w:cs="仿宋"/>
                <w:color w:val="000000"/>
                <w:sz w:val="24"/>
                <w:szCs w:val="24"/>
              </w:rPr>
              <w:t xml:space="preserve">1．投标人同时具有信息安全管理体系认证、信息技术服务管理体系认证、环境管理体系认证、职业健康安全管理体系认证证书得1分，未提供或缺项不得分。</w:t>
            </w:r>
            <w:r>
              <w:rPr>
                <w:rFonts w:hint="eastAsia" w:ascii="仿宋" w:hAnsi="仿宋" w:eastAsia="仿宋" w:cs="仿宋"/>
                <w:color w:val="000000"/>
                <w:sz w:val="24"/>
                <w:szCs w:val="24"/>
              </w:rPr>
            </w:r>
            <w:r/>
          </w:p>
          <w:p>
            <w:pPr>
              <w:jc w:val="left"/>
              <w:keepLines w:val="0"/>
              <w:keepNext w:val="0"/>
              <w:pageBreakBefore w:val="0"/>
              <w:spacing w:line="400" w:lineRule="exact"/>
              <w:widowControl/>
            </w:pPr>
            <w:r>
              <w:rPr>
                <w:rFonts w:hint="eastAsia" w:ascii="仿宋" w:hAnsi="仿宋" w:eastAsia="仿宋" w:cs="仿宋"/>
                <w:color w:val="000000"/>
                <w:sz w:val="24"/>
                <w:szCs w:val="24"/>
              </w:rPr>
              <w:t xml:space="preserve">2．投标人具备CCRC信息安全服务资质认证三级及以上得2分，没有不得分。</w:t>
            </w:r>
            <w:r>
              <w:rPr>
                <w:rFonts w:hint="eastAsia" w:ascii="仿宋" w:hAnsi="仿宋" w:eastAsia="仿宋" w:cs="仿宋"/>
                <w:color w:val="000000"/>
                <w:sz w:val="24"/>
                <w:szCs w:val="24"/>
              </w:rPr>
            </w:r>
            <w:r/>
          </w:p>
          <w:p>
            <w:pPr>
              <w:jc w:val="left"/>
              <w:keepLines w:val="0"/>
              <w:keepNext w:val="0"/>
              <w:pageBreakBefore w:val="0"/>
              <w:spacing w:line="400" w:lineRule="exact"/>
              <w:widowControl/>
            </w:pPr>
            <w:r>
              <w:rPr>
                <w:rFonts w:hint="eastAsia" w:ascii="仿宋" w:hAnsi="仿宋" w:eastAsia="仿宋" w:cs="仿宋"/>
                <w:color w:val="000000"/>
                <w:sz w:val="24"/>
                <w:szCs w:val="24"/>
              </w:rPr>
              <w:t xml:space="preserve">3．投标人具备信息系统建设和服务能力CS证书的得2分，没有不得分。</w:t>
            </w:r>
            <w:r>
              <w:rPr>
                <w:rFonts w:hint="eastAsia" w:ascii="仿宋" w:hAnsi="仿宋" w:eastAsia="仿宋" w:cs="仿宋"/>
                <w:color w:val="000000"/>
                <w:sz w:val="24"/>
                <w:szCs w:val="24"/>
              </w:rPr>
            </w:r>
            <w:r/>
          </w:p>
          <w:p>
            <w:pPr>
              <w:jc w:val="left"/>
              <w:keepLines w:val="0"/>
              <w:keepNext w:val="0"/>
              <w:pageBreakBefore w:val="0"/>
              <w:spacing w:line="400" w:lineRule="exact"/>
              <w:widowControl/>
            </w:pPr>
            <w:r>
              <w:rPr>
                <w:rFonts w:hint="eastAsia" w:ascii="仿宋" w:hAnsi="仿宋" w:eastAsia="仿宋" w:cs="仿宋"/>
                <w:color w:val="000000"/>
                <w:sz w:val="24"/>
                <w:szCs w:val="24"/>
              </w:rPr>
              <w:t xml:space="preserve">4．投标人具备信息技术服务标准（ITSS）符合性证书的得2分，没有不得分。</w:t>
            </w:r>
            <w:r>
              <w:rPr>
                <w:rFonts w:hint="eastAsia" w:ascii="仿宋" w:hAnsi="仿宋" w:eastAsia="仿宋" w:cs="仿宋"/>
                <w:color w:val="000000"/>
                <w:sz w:val="24"/>
                <w:szCs w:val="24"/>
              </w:rPr>
            </w:r>
            <w:r/>
          </w:p>
          <w:p>
            <w:pPr>
              <w:jc w:val="left"/>
              <w:keepLines w:val="0"/>
              <w:keepNext w:val="0"/>
              <w:pageBreakBefore w:val="0"/>
              <w:spacing w:line="400" w:lineRule="exact"/>
              <w:widowControl/>
            </w:pPr>
            <w:r>
              <w:rPr>
                <w:rFonts w:hint="eastAsia" w:ascii="仿宋" w:hAnsi="仿宋" w:eastAsia="仿宋" w:cs="仿宋"/>
                <w:color w:val="000000"/>
                <w:sz w:val="24"/>
                <w:szCs w:val="24"/>
              </w:rPr>
              <w:t xml:space="preserve">5．投标人售后服务获得五星级认证证书得1分。</w:t>
            </w:r>
            <w:r>
              <w:rPr>
                <w:rFonts w:hint="eastAsia" w:ascii="仿宋" w:hAnsi="仿宋" w:eastAsia="仿宋" w:cs="仿宋"/>
                <w:color w:val="000000"/>
                <w:sz w:val="24"/>
                <w:szCs w:val="24"/>
              </w:rPr>
            </w:r>
            <w:r/>
          </w:p>
          <w:p>
            <w:pPr>
              <w:jc w:val="left"/>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(提供证明材料复印件并加盖投标人公章，未提供或未在有效期内不得分。)</w:t>
            </w:r>
            <w:r>
              <w:rPr>
                <w:rFonts w:hint="eastAsia" w:ascii="仿宋" w:hAnsi="仿宋" w:eastAsia="仿宋" w:cs="仿宋"/>
                <w:color w:val="000000"/>
                <w:sz w:val="24"/>
                <w:szCs w:val="24"/>
              </w:rPr>
            </w:r>
            <w:r/>
          </w:p>
        </w:tc>
        <w:tc>
          <w:tcPr>
            <w:tcW w:w="75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8</w:t>
            </w:r>
            <w:r/>
          </w:p>
        </w:tc>
        <w:tc>
          <w:tcPr>
            <w:tcW w:w="74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0</w:t>
            </w:r>
            <w:r/>
          </w:p>
        </w:tc>
        <w:tc>
          <w:tcPr>
            <w:tcW w:w="91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客观分</w:t>
            </w:r>
            <w:r/>
          </w:p>
        </w:tc>
      </w:tr>
      <w:tr>
        <w:trPr>
          <w:jc w:val="center"/>
          <w:trHeight w:val="1910"/>
        </w:trPr>
        <w:tc>
          <w:tcPr>
            <w:tcW w:w="89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0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成功案例</w:t>
            </w:r>
            <w:r/>
          </w:p>
        </w:tc>
        <w:tc>
          <w:tcPr>
            <w:tcW w:w="4620" w:type="dxa"/>
            <w:vAlign w:val="center"/>
            <w:textDirection w:val="lrTb"/>
            <w:noWrap w:val="false"/>
          </w:tcPr>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投标人具有类似的智能化施工案例(需提供中标通知书、合同、验收报告)每有一个得1分，最高得4分。</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以上合同必须为投标人自身签订的，分包或者转包合同无效，资料提供不全不得分。</w:t>
            </w:r>
            <w:r/>
          </w:p>
        </w:tc>
        <w:tc>
          <w:tcPr>
            <w:tcW w:w="75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4</w:t>
            </w:r>
            <w:r/>
          </w:p>
        </w:tc>
        <w:tc>
          <w:tcPr>
            <w:tcW w:w="74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0</w:t>
            </w:r>
            <w:r/>
          </w:p>
        </w:tc>
        <w:tc>
          <w:tcPr>
            <w:tcW w:w="91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客观分</w:t>
            </w:r>
            <w:r/>
          </w:p>
        </w:tc>
      </w:tr>
      <w:tr>
        <w:trPr>
          <w:jc w:val="center"/>
          <w:trHeight w:val="1910"/>
        </w:trPr>
        <w:tc>
          <w:tcPr>
            <w:tcW w:w="89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0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项目组成员</w:t>
            </w:r>
            <w:r/>
          </w:p>
        </w:tc>
        <w:tc>
          <w:tcPr>
            <w:tcW w:w="4620" w:type="dxa"/>
            <w:vAlign w:val="center"/>
            <w:textDirection w:val="lrTb"/>
            <w:noWrap w:val="false"/>
          </w:tcPr>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需成立专门的项目组，并提供相关人员名单。</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1、拟派项目负责人同时具备信息技术服务标准IT服务项目经理证书、机电工程注册建造师证书的得2分，未提供或缺项不得分； </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2、拟投入项目组实施成员具有CISP注册信息安全专业人员证书的，得1分。</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3、拟投入项目组实施成员具有系统分析师证书的，得2分。</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4、拟投入项目组实施成员具有CISAW信息安全保障人员认证证书的，得1分。</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5、拟投入项目组实施成员具有IT服务工程师证书的，得1分。</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6、拟投入项目组实施成员具有信息系统项目管理师证书的得1分。</w:t>
            </w:r>
            <w:r/>
          </w:p>
          <w:p>
            <w:pPr>
              <w:jc w:val="left"/>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（以上人员同一个人按顺序只采用1个证书，须提供相应资质证书复印件、近6个月内任一月份的社保缴纳证明，缺项或未提供不得分。)</w:t>
            </w:r>
            <w:r/>
          </w:p>
        </w:tc>
        <w:tc>
          <w:tcPr>
            <w:tcW w:w="750"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p>
        </w:tc>
        <w:tc>
          <w:tcPr>
            <w:tcW w:w="747"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0</w:t>
            </w:r>
            <w:r/>
          </w:p>
        </w:tc>
        <w:tc>
          <w:tcPr>
            <w:tcW w:w="91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客观分</w:t>
            </w:r>
            <w:r/>
          </w:p>
        </w:tc>
      </w:tr>
      <w:tr>
        <w:trPr>
          <w:jc w:val="center"/>
          <w:trHeight w:val="258"/>
        </w:trPr>
        <w:tc>
          <w:tcPr>
            <w:tcW w:w="89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08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售后服务方案</w:t>
            </w:r>
            <w:r/>
          </w:p>
        </w:tc>
        <w:tc>
          <w:tcPr>
            <w:tcW w:w="46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提供可行的售后服务方案、项目培训方案。方案合理、结合使用和运维需求、可行性高的得5分；方案较合理、基本可行的，得3分；方案可行性一般、方案简单的，得1分；完全不满足的不得分。</w:t>
            </w:r>
            <w:r/>
          </w:p>
        </w:tc>
        <w:tc>
          <w:tcPr>
            <w:tcW w:w="7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74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1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主观分</w:t>
            </w:r>
            <w:r/>
          </w:p>
        </w:tc>
      </w:tr>
    </w:tbl>
    <w:p>
      <w:pPr>
        <w:numPr>
          <w:numId w:val="0"/>
        </w:numPr>
        <w:jc w:val="left"/>
        <w:pageBreakBefore w:val="0"/>
        <w:spacing w:before="120" w:after="120"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注：1.投标人对其提供的证明材料的真实性、合法性负责。由于投标人提供虚假证明材料影响项目实施，甲方有权终止合同，并上报主管部门对投标人及关联责任单位按相关法律法规进行处理，取消其中标供应商资格并列入“政府采购严重违法失信行为记录名单”。</w:t>
      </w:r>
      <w:r/>
    </w:p>
    <w:p>
      <w:pPr>
        <w:numPr>
          <w:numId w:val="0"/>
        </w:numPr>
        <w:jc w:val="left"/>
        <w:pageBreakBefore w:val="0"/>
        <w:spacing w:before="120" w:after="120"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2、本招标文件中的“检测报告”是指具有检测资质的第三方单位出具的检测报告。</w:t>
      </w:r>
      <w:r/>
    </w:p>
    <w:p>
      <w:pPr>
        <w:contextualSpacing/>
        <w:jc w:val="center"/>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r>
      <w:r/>
    </w:p>
    <w:p>
      <w:pPr>
        <w:pStyle w:val="813"/>
        <w:ind w:firstLine="0"/>
        <w:jc w:val="left"/>
        <w:pageBreakBefore w:val="0"/>
        <w:spacing w:line="360" w:lineRule="auto"/>
        <w:rPr>
          <w:rFonts w:hint="eastAsia" w:ascii="仿宋" w:hAnsi="仿宋" w:eastAsia="仿宋" w:cs="仿宋"/>
          <w:lang w:val="en-US" w:eastAsia="zh-CN"/>
        </w:rPr>
      </w:pPr>
      <w:r>
        <w:rPr>
          <w:rFonts w:hint="eastAsia" w:ascii="仿宋" w:hAnsi="仿宋" w:eastAsia="仿宋" w:cs="仿宋"/>
          <w:lang w:val="en-US" w:eastAsia="zh-CN"/>
        </w:rPr>
        <w:br w:type="page" w:clear="all"/>
      </w:r>
      <w:r/>
    </w:p>
    <w:p>
      <w:pPr>
        <w:pStyle w:val="813"/>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813"/>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t xml:space="preserve">第六章  投标</w:t>
      </w:r>
      <w:bookmarkEnd w:id="181"/>
      <w:r/>
      <w:bookmarkEnd w:id="182"/>
      <w:r/>
      <w:bookmarkEnd w:id="186"/>
      <w:r>
        <w:rPr>
          <w:rFonts w:hint="eastAsia" w:ascii="黑体" w:hAnsi="黑体" w:eastAsia="黑体" w:cs="黑体"/>
          <w:b/>
          <w:bCs w:val="0"/>
          <w:color w:val="000000"/>
          <w:sz w:val="44"/>
          <w:szCs w:val="21"/>
          <w:lang w:val="en-US" w:eastAsia="zh-CN" w:bidi="ar-SA"/>
        </w:rPr>
        <w:t xml:space="preserve">文件格式</w:t>
      </w:r>
      <w:r/>
    </w:p>
    <w:p>
      <w:pPr>
        <w:jc w:val="center"/>
        <w:pageBreakBefore w:val="0"/>
        <w:spacing w:line="360" w:lineRule="auto"/>
        <w:rPr>
          <w:rFonts w:hint="eastAsia" w:ascii="黑体" w:hAnsi="黑体" w:eastAsia="黑体" w:cs="黑体"/>
          <w:b/>
          <w:color w:val="000000"/>
          <w:sz w:val="72"/>
          <w:szCs w:val="21"/>
        </w:rPr>
      </w:pPr>
      <w:r/>
      <w:bookmarkStart w:id="187" w:name="_Hlt26671244"/>
      <w:r/>
      <w:bookmarkEnd w:id="187"/>
      <w:r/>
      <w:bookmarkStart w:id="188" w:name="_Hlt26955039"/>
      <w:r/>
      <w:bookmarkEnd w:id="188"/>
      <w:r/>
      <w:bookmarkStart w:id="189" w:name="_Toc49090576"/>
      <w:r/>
      <w:bookmarkStart w:id="190" w:name="_Toc120614282"/>
      <w:r/>
      <w:bookmarkStart w:id="191" w:name="_Toc26554094"/>
      <w:r/>
      <w:r/>
    </w:p>
    <w:p>
      <w:pPr>
        <w:jc w:val="center"/>
        <w:pageBreakBefore w:val="0"/>
        <w:spacing w:line="360" w:lineRule="auto"/>
        <w:rPr>
          <w:rFonts w:hint="eastAsia" w:ascii="黑体" w:hAnsi="黑体" w:eastAsia="黑体" w:cs="黑体"/>
          <w:b/>
          <w:color w:val="000000"/>
          <w:sz w:val="72"/>
          <w:szCs w:val="21"/>
        </w:rPr>
      </w:pPr>
      <w:r>
        <w:rPr>
          <w:rFonts w:hint="eastAsia" w:ascii="黑体" w:hAnsi="黑体" w:eastAsia="黑体" w:cs="黑体"/>
          <w:b/>
          <w:color w:val="000000"/>
          <w:sz w:val="72"/>
          <w:szCs w:val="21"/>
        </w:rPr>
        <w:t xml:space="preserve">投  标  文  件</w:t>
      </w:r>
      <w:r/>
    </w:p>
    <w:p>
      <w:pPr>
        <w:jc w:val="center"/>
        <w:pageBreakBefore w:val="0"/>
        <w:spacing w:line="360" w:lineRule="auto"/>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jc w:val="center"/>
        <w:pageBreakBefore w:val="0"/>
        <w:spacing w:line="360" w:lineRule="auto"/>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jc w:val="center"/>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jc w:val="center"/>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jc w:val="center"/>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ind w:firstLine="1084"/>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p>
    <w:p>
      <w:pPr>
        <w:ind w:firstLine="1084"/>
        <w:pageBreakBefore w:val="0"/>
        <w:spacing w:line="360" w:lineRule="auto"/>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p>
    <w:p>
      <w:pPr>
        <w:pageBreakBefore w:val="0"/>
        <w:spacing w:line="360" w:lineRule="auto"/>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p>
    <w:p>
      <w:pPr>
        <w:pageBreakBefore w:val="0"/>
        <w:spacing w:line="360" w:lineRule="auto"/>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bookmarkEnd w:id="179"/>
      <w:r/>
      <w:bookmarkEnd w:id="180"/>
      <w:r/>
      <w:bookmarkEnd w:id="189"/>
      <w:r/>
      <w:bookmarkEnd w:id="190"/>
      <w:r/>
      <w:bookmarkEnd w:id="191"/>
      <w:r/>
      <w:r/>
    </w:p>
    <w:p>
      <w:pPr>
        <w:jc w:val="center"/>
        <w:pageBreakBefore w:val="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ageBreakBefore w:val="0"/>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ageBreakBefore w:val="0"/>
        <w:spacing w:line="360" w:lineRule="auto"/>
        <w:rPr>
          <w:rFonts w:hint="eastAsia" w:ascii="仿宋" w:hAnsi="仿宋" w:eastAsia="仿宋" w:cs="仿宋"/>
          <w:b/>
          <w:bCs/>
          <w:color w:val="000000"/>
          <w:sz w:val="36"/>
          <w:szCs w:val="36"/>
          <w:u w:val="single"/>
        </w:rPr>
      </w:pPr>
      <w:r>
        <w:rPr>
          <w:rFonts w:hint="eastAsia" w:ascii="仿宋" w:hAnsi="仿宋" w:eastAsia="仿宋" w:cs="仿宋"/>
          <w:b/>
          <w:bCs/>
          <w:color w:val="000000"/>
          <w:sz w:val="36"/>
          <w:szCs w:val="36"/>
          <w:u w:val="single"/>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left="48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一、基本目录</w:t>
      </w:r>
      <w:r/>
    </w:p>
    <w:p>
      <w:pPr>
        <w:ind w:left="480"/>
        <w:spacing w:line="360" w:lineRule="auto"/>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left="480"/>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二、资格审查内容</w:t>
      </w:r>
      <w:r/>
    </w:p>
    <w:p>
      <w:pPr>
        <w:ind w:firstLine="560"/>
        <w:spacing w:line="360" w:lineRule="auto"/>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投标人符合《政府采购法》第二十二条规定条件的声明函（格式见附件5）</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spacing w:line="360" w:lineRule="auto"/>
        <w:rPr>
          <w:rFonts w:ascii="仿宋" w:hAnsi="仿宋" w:eastAsia="仿宋"/>
          <w:sz w:val="28"/>
          <w:szCs w:val="28"/>
        </w:rPr>
      </w:pPr>
      <w:r>
        <w:rPr>
          <w:rFonts w:hint="eastAsia" w:ascii="仿宋" w:hAnsi="仿宋" w:eastAsia="仿宋"/>
          <w:sz w:val="28"/>
          <w:szCs w:val="28"/>
        </w:rPr>
        <w:t xml:space="preserve">总备注：上述“资格审查内容”中1、3、4条投标人必须在投标文件中提供相关材料，否则作无效投标处理；2、5、6、条如招标文件要求必须提供相关材料而未提供的，作无效投标处理。</w:t>
      </w:r>
      <w:r/>
    </w:p>
    <w:p>
      <w:pPr>
        <w:ind w:left="480"/>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三、符合性审查内容</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投标人必须对采购需求中加斜体下划线的实质性要求逐条做出响应，并按照招标文件要求提供证明材料，否则做无效投标处理。</w:t>
      </w:r>
      <w:r/>
    </w:p>
    <w:p>
      <w:pPr>
        <w:ind w:firstLine="560"/>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br w:type="page" w:clear="all"/>
      </w:r>
      <w:r>
        <w:rPr>
          <w:rFonts w:hint="eastAsia" w:ascii="仿宋" w:hAnsi="仿宋" w:eastAsia="仿宋" w:cs="仿宋"/>
          <w:b/>
          <w:bCs/>
          <w:sz w:val="32"/>
          <w:szCs w:val="32"/>
          <w:lang w:val="en-US" w:eastAsia="zh-CN"/>
        </w:rPr>
        <w:t xml:space="preserve">四、价格扣除证明文件</w:t>
      </w:r>
      <w:r/>
    </w:p>
    <w:p>
      <w:pPr>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1.中小微企业声明函（格式见附件8）</w:t>
      </w:r>
      <w:r/>
    </w:p>
    <w:p>
      <w:pPr>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2.残疾人福利性单位声明函（格式见附件9）</w:t>
      </w:r>
      <w:r/>
    </w:p>
    <w:p>
      <w:pPr>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clear="all"/>
      </w:r>
      <w:r/>
    </w:p>
    <w:p>
      <w:pPr>
        <w:jc w:val="center"/>
        <w:keepLines w:val="0"/>
        <w:keepNext w:val="0"/>
        <w:pageBreakBefore w:val="0"/>
        <w:spacing w:line="360" w:lineRule="auto"/>
        <w:widowControl w:val="off"/>
        <w:rPr>
          <w:rFonts w:hint="eastAsia" w:ascii="仿宋" w:hAnsi="仿宋" w:eastAsia="仿宋" w:cs="仿宋"/>
          <w:b/>
          <w:bCs/>
          <w:sz w:val="32"/>
          <w:szCs w:val="32"/>
          <w:lang w:val="en-US" w:eastAsia="zh-CN"/>
        </w:rPr>
        <w:outlineLvl w:val="0"/>
      </w:pPr>
      <w:r>
        <w:rPr>
          <w:rFonts w:hint="eastAsia" w:ascii="仿宋" w:hAnsi="仿宋" w:eastAsia="仿宋" w:cs="仿宋"/>
          <w:b/>
          <w:bCs/>
          <w:sz w:val="32"/>
          <w:szCs w:val="32"/>
          <w:lang w:val="en-US" w:eastAsia="zh-CN"/>
        </w:rPr>
      </w:r>
      <w:r/>
    </w:p>
    <w:p>
      <w:pPr>
        <w:jc w:val="center"/>
        <w:keepLines w:val="0"/>
        <w:keepNext w:val="0"/>
        <w:pageBreakBefore w:val="0"/>
        <w:spacing w:line="360" w:lineRule="auto"/>
        <w:widowControl w:val="off"/>
        <w:rPr>
          <w:rFonts w:hint="eastAsia" w:ascii="仿宋" w:hAnsi="仿宋" w:eastAsia="仿宋" w:cs="仿宋"/>
          <w:sz w:val="32"/>
          <w:szCs w:val="32"/>
        </w:rPr>
        <w:outlineLvl w:val="0"/>
      </w:pPr>
      <w:r>
        <w:rPr>
          <w:rFonts w:hint="eastAsia" w:ascii="仿宋" w:hAnsi="仿宋" w:eastAsia="仿宋" w:cs="仿宋"/>
          <w:b/>
          <w:bCs/>
          <w:sz w:val="32"/>
          <w:szCs w:val="32"/>
          <w:lang w:val="en-US" w:eastAsia="zh-CN"/>
        </w:rPr>
        <w:t xml:space="preserve">附件1  </w:t>
      </w:r>
      <w:r>
        <w:rPr>
          <w:rFonts w:hint="eastAsia" w:ascii="仿宋" w:hAnsi="仿宋" w:eastAsia="仿宋" w:cs="仿宋"/>
          <w:b/>
          <w:bCs/>
          <w:sz w:val="32"/>
          <w:szCs w:val="32"/>
        </w:rPr>
        <w:t xml:space="preserve">开标一览表</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项目</w:t>
      </w:r>
      <w:r>
        <w:rPr>
          <w:rFonts w:hint="eastAsia" w:ascii="仿宋" w:hAnsi="仿宋" w:eastAsia="仿宋" w:cs="仿宋"/>
          <w:sz w:val="28"/>
          <w:szCs w:val="28"/>
        </w:rPr>
        <w:t xml:space="preserve">编号：                                  </w:t>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8206" w:type="dxa"/>
            <w:vAlign w:val="center"/>
            <w:textDirection w:val="lrTb"/>
            <w:noWrap w:val="false"/>
          </w:tcPr>
          <w:p>
            <w:pPr>
              <w:pStyle w:val="1031"/>
              <w:ind w:firstLine="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8"/>
              </w:rPr>
              <w:t xml:space="preserve">小写：                             （人民币：元）</w:t>
            </w:r>
            <w:r/>
          </w:p>
        </w:tc>
      </w:tr>
    </w:tbl>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jc w:val="center"/>
        <w:keepLines w:val="0"/>
        <w:keepNext w:val="0"/>
        <w:pageBreakBefore w:val="0"/>
        <w:spacing w:line="360" w:lineRule="auto"/>
        <w:widowControl w:val="off"/>
        <w:rPr>
          <w:rFonts w:hint="eastAsia" w:ascii="仿宋" w:hAnsi="仿宋" w:eastAsia="仿宋" w:cs="仿宋"/>
          <w:b/>
          <w:sz w:val="32"/>
          <w:szCs w:val="32"/>
        </w:rPr>
        <w:outlineLvl w:val="0"/>
      </w:pPr>
      <w:r>
        <w:rPr>
          <w:rFonts w:hint="eastAsia" w:ascii="仿宋" w:hAnsi="仿宋" w:eastAsia="仿宋" w:cs="仿宋"/>
          <w:b/>
          <w:color w:val="000000"/>
          <w:sz w:val="32"/>
          <w:szCs w:val="32"/>
        </w:rPr>
        <w:t xml:space="preserve">附件2 投标分项报价表</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lang w:val="en-US" w:eastAsia="zh-CN"/>
        </w:rPr>
        <w:t xml:space="preserve">服务</w:t>
      </w:r>
      <w:r>
        <w:rPr>
          <w:rFonts w:hint="eastAsia" w:ascii="仿宋" w:hAnsi="仿宋" w:eastAsia="仿宋" w:cs="仿宋"/>
          <w:b/>
          <w:color w:val="000000"/>
          <w:sz w:val="32"/>
          <w:szCs w:val="32"/>
          <w:lang w:eastAsia="zh-CN"/>
        </w:rPr>
        <w:t xml:space="preserve">）</w:t>
      </w:r>
      <w:r/>
    </w:p>
    <w:tbl>
      <w:tblPr>
        <w:tblStyle w:val="74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w:t>
            </w:r>
            <w:r/>
          </w:p>
        </w:tc>
      </w:tr>
      <w:tr>
        <w:trPr>
          <w:cantSplit/>
          <w:trHeight w:val="294"/>
        </w:trPr>
        <w:tc>
          <w:tcPr>
            <w:tcW w:w="948"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分项服务名称</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交付期</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分项单位</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单价</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总价</w:t>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487"/>
        </w:trPr>
        <w:tc>
          <w:tcPr>
            <w:gridSpan w:val="6"/>
            <w:tcW w:w="725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投标总报价（人民币：元）</w:t>
            </w:r>
            <w:r/>
          </w:p>
        </w:tc>
        <w:tc>
          <w:tcPr>
            <w:tcW w:w="1798" w:type="dxa"/>
            <w:vAlign w:val="top"/>
            <w:textDirection w:val="lrTb"/>
            <w:noWrap w:val="false"/>
          </w:tcPr>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3  </w:t>
      </w:r>
      <w:r>
        <w:rPr>
          <w:rFonts w:hint="eastAsia" w:ascii="仿宋" w:hAnsi="仿宋" w:eastAsia="仿宋" w:cs="仿宋"/>
          <w:b/>
          <w:color w:val="000000"/>
          <w:sz w:val="32"/>
          <w:szCs w:val="32"/>
        </w:rPr>
        <w:t xml:space="preserve">技术要求响应及偏离表</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招标文件</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192" w:name="_Toc17519"/>
      <w:r/>
      <w:bookmarkStart w:id="193" w:name="_Toc11012"/>
      <w:r/>
      <w:bookmarkStart w:id="194" w:name="_Toc4145"/>
      <w:r/>
      <w:bookmarkStart w:id="195" w:name="_Toc14066"/>
      <w:r/>
      <w:bookmarkStart w:id="196" w:name="_Toc27942"/>
      <w:r>
        <w:rPr>
          <w:rFonts w:hint="eastAsia" w:ascii="仿宋" w:hAnsi="仿宋" w:eastAsia="仿宋" w:cs="仿宋"/>
          <w:color w:val="000000"/>
          <w:sz w:val="28"/>
          <w:szCs w:val="28"/>
        </w:rPr>
        <w:t xml:space="preserve">附件3-1  证明材料1，证明材料2，……</w:t>
      </w:r>
      <w:bookmarkEnd w:id="192"/>
      <w:r/>
      <w:bookmarkEnd w:id="193"/>
      <w:r/>
      <w:bookmarkEnd w:id="194"/>
      <w:r/>
      <w:bookmarkEnd w:id="195"/>
      <w:r/>
      <w:bookmarkEnd w:id="196"/>
      <w:r/>
      <w:r/>
    </w:p>
    <w:p>
      <w:pPr>
        <w:pageBreakBefore w:val="0"/>
        <w:spacing w:line="360" w:lineRule="auto"/>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1.投标人需对技术要求（未加斜体下划线的非实质性要求）做出明确响应。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2.如果招标文件要求提供证明材料，投标人需将证明材料列于该表之下。</w:t>
      </w:r>
      <w:r/>
    </w:p>
    <w:p>
      <w:pPr>
        <w:jc w:val="center"/>
        <w:pageBreakBefore w:val="0"/>
        <w:spacing w:line="360" w:lineRule="auto"/>
        <w:rPr>
          <w:rFonts w:hint="eastAsia" w:ascii="仿宋" w:hAnsi="仿宋" w:eastAsia="仿宋" w:cs="仿宋"/>
          <w:b/>
          <w:sz w:val="40"/>
          <w:szCs w:val="22"/>
        </w:rPr>
      </w:pPr>
      <w:r>
        <w:rPr>
          <w:rFonts w:hint="eastAsia" w:ascii="仿宋" w:hAnsi="仿宋" w:eastAsia="仿宋" w:cs="仿宋"/>
          <w:b/>
          <w:sz w:val="40"/>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Style w:val="1060"/>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pStyle w:val="1060"/>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jc w:val="center"/>
        <w:pageBreakBefore w:val="0"/>
        <w:spacing w:line="360" w:lineRule="auto"/>
        <w:rPr>
          <w:rFonts w:hint="eastAsia" w:ascii="仿宋" w:hAnsi="仿宋" w:eastAsia="仿宋" w:cs="仿宋"/>
          <w:b/>
          <w:color w:val="000000"/>
          <w:sz w:val="32"/>
          <w:szCs w:val="32"/>
        </w:rPr>
      </w:pPr>
      <w:r/>
      <w:bookmarkStart w:id="197" w:name="_Hlt26955054"/>
      <w:r/>
      <w:bookmarkEnd w:id="197"/>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jc w:val="center"/>
        <w:keepLines w:val="0"/>
        <w:keepNext w:val="0"/>
        <w:pageBreakBefore w:val="0"/>
        <w:spacing w:line="360" w:lineRule="auto"/>
        <w:widowControl w:val="off"/>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4  </w:t>
      </w:r>
      <w:r>
        <w:rPr>
          <w:rFonts w:hint="eastAsia" w:ascii="仿宋" w:hAnsi="仿宋" w:eastAsia="仿宋" w:cs="仿宋"/>
          <w:b/>
          <w:color w:val="000000"/>
          <w:sz w:val="32"/>
          <w:szCs w:val="32"/>
        </w:rPr>
        <w:t xml:space="preserve">商务要求响应及偏离表</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bookmarkStart w:id="198" w:name="_Hlt26671372"/>
            <w:r/>
            <w:bookmarkEnd w:id="198"/>
            <w:r/>
            <w:bookmarkStart w:id="199" w:name="_Hlt26580838"/>
            <w:r/>
            <w:bookmarkEnd w:id="199"/>
            <w:r/>
            <w:bookmarkStart w:id="200" w:name="_Hlt24879081"/>
            <w:r/>
            <w:bookmarkEnd w:id="200"/>
            <w:r/>
            <w:bookmarkStart w:id="201" w:name="_Hlt26955064"/>
            <w:r/>
            <w:bookmarkEnd w:id="201"/>
            <w:r/>
            <w:bookmarkStart w:id="202" w:name="_Hlt26671343"/>
            <w:r/>
            <w:bookmarkEnd w:id="202"/>
            <w:r/>
            <w:bookmarkStart w:id="203" w:name="_Hlt26609391"/>
            <w:r/>
            <w:bookmarkEnd w:id="203"/>
            <w:r/>
            <w:bookmarkStart w:id="204" w:name="_Hlt26955056"/>
            <w:r/>
            <w:bookmarkEnd w:id="204"/>
            <w:r/>
            <w:bookmarkStart w:id="205" w:name="_Hlt26782999"/>
            <w:r/>
            <w:bookmarkEnd w:id="205"/>
            <w:r>
              <w:rPr>
                <w:rFonts w:hint="eastAsia" w:ascii="仿宋" w:hAnsi="仿宋" w:eastAsia="仿宋" w:cs="仿宋"/>
                <w:sz w:val="28"/>
                <w:szCs w:val="28"/>
              </w:rPr>
              <w:t xml:space="preserve">序号</w:t>
            </w:r>
            <w:r/>
          </w:p>
        </w:tc>
        <w:tc>
          <w:tcPr>
            <w:tcW w:w="2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招标文件</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rPr>
              <w:t xml:space="preserve">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68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268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682"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8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color w:val="000000"/>
                <w:sz w:val="32"/>
                <w:szCs w:val="32"/>
              </w:rPr>
              <w:t xml:space="preserve">……</w:t>
            </w:r>
            <w:r/>
          </w:p>
        </w:tc>
        <w:tc>
          <w:tcPr>
            <w:tcW w:w="2883"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206" w:name="_Toc24768"/>
      <w:r/>
      <w:bookmarkStart w:id="207" w:name="_Toc11985"/>
      <w:r/>
      <w:bookmarkStart w:id="208" w:name="_Toc3831"/>
      <w:r/>
      <w:bookmarkStart w:id="209" w:name="_Toc16927"/>
      <w:r/>
      <w:bookmarkStart w:id="210" w:name="_Toc8940"/>
      <w:r>
        <w:rPr>
          <w:rFonts w:hint="eastAsia" w:ascii="仿宋" w:hAnsi="仿宋" w:eastAsia="仿宋" w:cs="仿宋"/>
          <w:color w:val="000000"/>
          <w:sz w:val="28"/>
          <w:szCs w:val="28"/>
        </w:rPr>
        <w:t xml:space="preserve">附件4-1  证明材料1，证明材料2，……</w:t>
      </w:r>
      <w:bookmarkEnd w:id="206"/>
      <w:r/>
      <w:bookmarkEnd w:id="207"/>
      <w:r/>
      <w:bookmarkEnd w:id="208"/>
      <w:r/>
      <w:bookmarkEnd w:id="209"/>
      <w:r/>
      <w:bookmarkEnd w:id="210"/>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1.投标人需对商务要求（未加斜体下划线的非实质性要求）做出明确响应。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2.如果招标文件要求提供证明材料，投标人需将证明材料列于该表之下。</w:t>
      </w:r>
      <w:r/>
    </w:p>
    <w:p>
      <w:pPr>
        <w:pageBreakBefore w:val="0"/>
        <w:spacing w:line="360" w:lineRule="auto"/>
        <w:rPr>
          <w:rFonts w:hint="eastAsia" w:ascii="仿宋" w:hAnsi="仿宋" w:eastAsia="仿宋" w:cs="仿宋"/>
          <w:sz w:val="28"/>
          <w:szCs w:val="22"/>
        </w:rPr>
        <w:outlineLvl w:val="9"/>
      </w:pPr>
      <w:r>
        <w:rPr>
          <w:rFonts w:hint="eastAsia" w:ascii="仿宋" w:hAnsi="仿宋" w:eastAsia="仿宋" w:cs="仿宋"/>
          <w:sz w:val="28"/>
          <w:szCs w:val="22"/>
        </w:rPr>
      </w:r>
      <w:r/>
    </w:p>
    <w:p>
      <w:pPr>
        <w:ind w:left="480"/>
        <w:pageBreakBefore w:val="0"/>
        <w:spacing w:line="360" w:lineRule="auto"/>
        <w:rPr>
          <w:rFonts w:hint="eastAsia" w:ascii="仿宋" w:hAnsi="仿宋" w:eastAsia="仿宋" w:cs="仿宋"/>
          <w:b/>
          <w:color w:val="000000"/>
          <w:sz w:val="32"/>
          <w:szCs w:val="32"/>
          <w:highlight w:val="green"/>
        </w:rPr>
        <w:outlineLvl w:val="9"/>
      </w:pPr>
      <w:r/>
      <w:bookmarkStart w:id="211" w:name="_Toc13278"/>
      <w:r/>
      <w:bookmarkStart w:id="212" w:name="_Toc10386"/>
      <w:r/>
      <w:bookmarkStart w:id="213" w:name="_Toc22668"/>
      <w:r/>
      <w:bookmarkStart w:id="214" w:name="_Toc11709"/>
      <w:r/>
      <w:bookmarkStart w:id="215" w:name="_Toc5624"/>
      <w:r/>
      <w:r/>
    </w:p>
    <w:p>
      <w:pPr>
        <w:ind w:left="48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0"/>
        <w:ind w:left="0" w:firstLine="0"/>
        <w:pageBreakBefore w:val="0"/>
        <w:spacing w:line="360" w:lineRule="auto"/>
        <w:rPr>
          <w:rFonts w:hint="eastAsia" w:ascii="仿宋" w:hAnsi="仿宋" w:eastAsia="仿宋" w:cs="仿宋"/>
          <w:b/>
          <w:color w:val="000000"/>
          <w:sz w:val="32"/>
          <w:szCs w:val="32"/>
          <w:highlight w:val="green"/>
        </w:rPr>
      </w:pPr>
      <w:r>
        <w:rPr>
          <w:rFonts w:hint="eastAsia" w:ascii="仿宋" w:hAnsi="仿宋" w:eastAsia="仿宋" w:cs="仿宋"/>
          <w:b/>
          <w:color w:val="000000"/>
          <w:sz w:val="32"/>
          <w:szCs w:val="32"/>
          <w:highlight w:val="green"/>
        </w:rPr>
      </w:r>
      <w:r/>
    </w:p>
    <w:p>
      <w:pPr>
        <w:pageBreakBefore w:val="0"/>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ind w:left="480"/>
        <w:jc w:val="center"/>
        <w:pageBreakBefore w:val="0"/>
        <w:spacing w:line="360" w:lineRule="auto"/>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t xml:space="preserve">附件5</w:t>
      </w:r>
      <w:bookmarkEnd w:id="211"/>
      <w:r/>
      <w:bookmarkEnd w:id="212"/>
      <w:r/>
      <w:bookmarkEnd w:id="213"/>
      <w:r/>
      <w:bookmarkEnd w:id="214"/>
      <w:r/>
      <w:bookmarkEnd w:id="215"/>
      <w:r>
        <w:rPr>
          <w:rFonts w:hint="eastAsia" w:ascii="仿宋" w:hAnsi="仿宋" w:eastAsia="仿宋" w:cs="仿宋"/>
          <w:b/>
          <w:color w:val="000000"/>
          <w:sz w:val="32"/>
          <w:szCs w:val="32"/>
          <w:highlight w:val="none"/>
        </w:rPr>
        <w:t xml:space="preserve"> 投标人符合《政府采购法》第二十二条规定条件的声明函</w:t>
      </w:r>
      <w:r/>
    </w:p>
    <w:p>
      <w:pPr>
        <w:pageBreakBefore w:val="0"/>
        <w:spacing w:line="360" w:lineRule="auto"/>
        <w:rPr>
          <w:rFonts w:hint="eastAsia" w:ascii="仿宋" w:hAnsi="仿宋" w:eastAsia="仿宋" w:cs="仿宋"/>
          <w:b/>
          <w:bCs/>
          <w:color w:val="000000"/>
          <w:sz w:val="48"/>
          <w:szCs w:val="48"/>
        </w:rPr>
      </w:pP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48"/>
          <w:szCs w:val="48"/>
        </w:rPr>
        <w:t xml:space="preserve">   </w:t>
      </w:r>
      <w:r/>
    </w:p>
    <w:p>
      <w:pPr>
        <w:ind w:firstLine="480"/>
        <w:pageBreakBefore w:val="0"/>
        <w:spacing w:line="360" w:lineRule="auto"/>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lang w:val="en-US" w:eastAsia="zh-CN"/>
        </w:rPr>
        <w:t xml:space="preserve">  </w:t>
      </w:r>
      <w:r>
        <w:rPr>
          <w:rFonts w:hint="default" w:ascii="Times New Roman" w:hAnsi="Times New Roman" w:eastAsia="仿宋" w:cs="Times New Roman"/>
          <w:bCs/>
          <w:color w:val="000000"/>
          <w:sz w:val="28"/>
          <w:szCs w:val="28"/>
          <w:u w:val="single"/>
          <w:lang w:val="en-US" w:eastAsia="zh-CN"/>
        </w:rPr>
        <w:t xml:space="preserve">JSZC-320600-JZCG-G2024-0177 </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（项目编号）投标活动。针对《中华人民共和国政府采购法》第二十二条规定做出如下声明：</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color w:val="000000"/>
          <w:sz w:val="28"/>
          <w:szCs w:val="28"/>
        </w:rPr>
        <w:t xml:space="preserve">6.我单位满足法律、行政法规规定的其他条件。</w:t>
      </w:r>
      <w:bookmarkStart w:id="216" w:name="_Hlt26671374"/>
      <w:r/>
      <w:bookmarkEnd w:id="216"/>
      <w:r/>
      <w:bookmarkStart w:id="217" w:name="_格式2__法定代表人授权书"/>
      <w:r/>
      <w:bookmarkEnd w:id="217"/>
      <w:r/>
      <w:bookmarkStart w:id="218" w:name="_Hlt26609389"/>
      <w:r/>
      <w:bookmarkEnd w:id="218"/>
      <w:r/>
      <w:bookmarkStart w:id="219" w:name="_Toc462564146"/>
      <w:r/>
      <w:bookmarkEnd w:id="219"/>
      <w:r/>
      <w:bookmarkStart w:id="220" w:name="_Hlt26955066"/>
      <w:r/>
      <w:bookmarkEnd w:id="220"/>
      <w:r/>
      <w:r/>
    </w:p>
    <w:p>
      <w:pP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承诺人名称（公章）：</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日期：</w:t>
      </w:r>
      <w:r>
        <w:rPr>
          <w:rFonts w:hint="eastAsia" w:ascii="仿宋" w:hAnsi="仿宋" w:eastAsia="仿宋" w:cs="仿宋"/>
          <w:bCs/>
          <w:color w:val="000000"/>
          <w:sz w:val="28"/>
          <w:szCs w:val="22"/>
          <w:u w:val="single"/>
          <w:lang w:val="en-US" w:eastAsia="zh-CN"/>
        </w:rPr>
        <w:t xml:space="preserve">     </w:t>
      </w:r>
      <w:r>
        <w:rPr>
          <w:rFonts w:hint="eastAsia" w:ascii="仿宋" w:hAnsi="仿宋" w:eastAsia="仿宋" w:cs="仿宋"/>
          <w:bCs/>
          <w:color w:val="000000"/>
          <w:sz w:val="28"/>
          <w:szCs w:val="22"/>
        </w:rPr>
        <w:t xml:space="preserve">年</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月</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日</w:t>
      </w:r>
      <w:r/>
    </w:p>
    <w:p>
      <w:pPr>
        <w:pStyle w:val="1060"/>
        <w:ind w:left="0" w:firstLine="0"/>
        <w:pageBreakBefore w:val="0"/>
        <w:spacing w:line="360" w:lineRule="auto"/>
        <w:rPr>
          <w:rFonts w:hint="eastAsia" w:ascii="仿宋" w:hAnsi="仿宋" w:eastAsia="仿宋" w:cs="仿宋"/>
          <w:i/>
          <w:sz w:val="36"/>
          <w:szCs w:val="36"/>
          <w:u w:val="single"/>
        </w:rPr>
      </w:pPr>
      <w:r>
        <w:rPr>
          <w:rFonts w:hint="eastAsia" w:ascii="仿宋" w:hAnsi="仿宋" w:eastAsia="仿宋" w:cs="仿宋"/>
          <w:i/>
          <w:sz w:val="36"/>
          <w:szCs w:val="36"/>
          <w:u w:val="single"/>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6 </w:t>
      </w:r>
      <w:r>
        <w:rPr>
          <w:rFonts w:hint="eastAsia" w:ascii="仿宋" w:hAnsi="仿宋" w:eastAsia="仿宋" w:cs="仿宋"/>
          <w:b/>
          <w:color w:val="000000"/>
          <w:sz w:val="32"/>
          <w:szCs w:val="32"/>
        </w:rPr>
        <w:t xml:space="preserve">法人授权书</w:t>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pStyle w:val="102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本授权书声明：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（投标人名称）授权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（被授权人的姓名）为我方就</w:t>
      </w:r>
      <w:r>
        <w:rPr>
          <w:rFonts w:hint="eastAsia" w:ascii="仿宋" w:hAnsi="仿宋" w:eastAsia="仿宋" w:cs="仿宋"/>
          <w:sz w:val="28"/>
          <w:szCs w:val="28"/>
          <w:u w:val="single"/>
          <w:lang w:val="en-US" w:eastAsia="zh-CN"/>
        </w:rPr>
        <w:t xml:space="preserve">  </w:t>
      </w:r>
      <w:r>
        <w:rPr>
          <w:rFonts w:hint="default" w:ascii="Times New Roman" w:hAnsi="Times New Roman" w:eastAsia="仿宋" w:cs="Times New Roman"/>
          <w:bCs/>
          <w:color w:val="000000"/>
          <w:sz w:val="28"/>
          <w:szCs w:val="28"/>
          <w:u w:val="single"/>
          <w:lang w:val="en-US" w:eastAsia="zh-CN"/>
        </w:rPr>
        <w:t xml:space="preserve">JSZC-320600-JZCG-G2024-0177</w:t>
      </w:r>
      <w:r>
        <w:rPr>
          <w:rFonts w:hint="default" w:ascii="Times New Roman" w:hAnsi="Times New Roman" w:eastAsia="仿宋" w:cs="Times New Roman"/>
          <w:sz w:val="28"/>
          <w:szCs w:val="28"/>
          <w:u w:val="single"/>
          <w:lang w:val="en-US" w:eastAsia="zh-CN"/>
        </w:rPr>
        <w:t xml:space="preserve"> </w:t>
      </w:r>
      <w:r>
        <w:rPr>
          <w:rFonts w:hint="eastAsia" w:eastAsia="仿宋" w:cs="Times New Roman"/>
          <w:bCs/>
          <w:color w:val="000000"/>
          <w:sz w:val="28"/>
          <w:szCs w:val="22"/>
          <w:u w:val="single"/>
          <w:lang w:val="en-US" w:eastAsia="zh-CN" w:bidi="ar-SA"/>
        </w:rPr>
        <w:t xml:space="preserve"> </w:t>
      </w:r>
      <w:r>
        <w:rPr>
          <w:rFonts w:hint="eastAsia" w:ascii="仿宋" w:hAnsi="仿宋" w:eastAsia="仿宋" w:cs="仿宋"/>
          <w:sz w:val="28"/>
          <w:szCs w:val="28"/>
        </w:rPr>
        <w:t xml:space="preserve">号项目采购活动的合法代理人，以本单位名义全权处理一切与该项目采购有关的事务。</w:t>
      </w:r>
      <w:r/>
    </w:p>
    <w:p>
      <w:pPr>
        <w:pStyle w:val="102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pStyle w:val="1029"/>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被授权人身份证号码：</w:t>
      </w:r>
      <w:r>
        <w:rPr>
          <w:rFonts w:hint="eastAsia" w:ascii="仿宋" w:hAnsi="仿宋" w:eastAsia="仿宋" w:cs="仿宋"/>
          <w:sz w:val="28"/>
          <w:szCs w:val="28"/>
          <w:u w:val="single"/>
        </w:rPr>
        <w:t xml:space="preserve">                              </w:t>
      </w:r>
      <w:r/>
    </w:p>
    <w:p>
      <w:pPr>
        <w:pStyle w:val="1029"/>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被授权人联系电话：（手机）</w:t>
      </w:r>
      <w:r>
        <w:rPr>
          <w:rFonts w:hint="eastAsia" w:ascii="仿宋" w:hAnsi="仿宋" w:eastAsia="仿宋" w:cs="仿宋"/>
          <w:sz w:val="28"/>
          <w:szCs w:val="28"/>
          <w:u w:val="single"/>
        </w:rPr>
        <w:t xml:space="preserve">                          </w:t>
      </w:r>
      <w:r/>
    </w:p>
    <w:p>
      <w:pPr>
        <w:pStyle w:val="1029"/>
        <w:ind w:firstLine="120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u w:val="single"/>
        </w:rPr>
        <w:t xml:space="preserve">（加盖CA电子公章）</w:t>
      </w:r>
      <w:r/>
    </w:p>
    <w:p>
      <w:pPr>
        <w:pStyle w:val="1029"/>
        <w:ind w:firstLine="48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单位地址：</w:t>
      </w:r>
      <w:r>
        <w:rPr>
          <w:rFonts w:hint="eastAsia" w:ascii="仿宋" w:hAnsi="仿宋" w:eastAsia="仿宋" w:cs="仿宋"/>
          <w:sz w:val="28"/>
          <w:szCs w:val="28"/>
          <w:u w:val="single"/>
        </w:rPr>
        <w:t xml:space="preserve">                                         </w:t>
      </w:r>
      <w:r/>
    </w:p>
    <w:p>
      <w:pPr>
        <w:pStyle w:val="102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日期：</w:t>
      </w:r>
      <w:bookmarkStart w:id="221" w:name="_Hlt26671380"/>
      <w:r/>
      <w:bookmarkEnd w:id="221"/>
      <w:r/>
      <w:bookmarkStart w:id="222" w:name="_格式3__银行出具的资信证明"/>
      <w:r/>
      <w:bookmarkEnd w:id="222"/>
      <w:r/>
      <w:bookmarkStart w:id="223" w:name="_Hlt26955070"/>
      <w:r/>
      <w:bookmarkEnd w:id="223"/>
      <w:r>
        <w:rPr>
          <w:rFonts w:hint="eastAsia" w:ascii="仿宋" w:hAnsi="仿宋" w:eastAsia="仿宋" w:cs="仿宋"/>
          <w:sz w:val="28"/>
          <w:szCs w:val="28"/>
          <w:u w:val="single"/>
        </w:rPr>
        <w:t xml:space="preserve">                                         </w:t>
      </w:r>
      <w:r/>
    </w:p>
    <w:p>
      <w:pPr>
        <w:pStyle w:val="953"/>
        <w:keepLines w:val="0"/>
        <w:keepNext w:val="0"/>
        <w:pageBreakBefore w:val="0"/>
        <w:spacing w:line="360" w:lineRule="auto"/>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r>
      <w:r/>
    </w:p>
    <w:p>
      <w:pPr>
        <w:pStyle w:val="953"/>
        <w:ind w:firstLine="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ageBreakBefore w:val="0"/>
        <w:spacing w:line="360" w:lineRule="auto"/>
        <w:rPr>
          <w:rFonts w:hint="eastAsia" w:ascii="仿宋" w:hAnsi="仿宋" w:eastAsia="仿宋" w:cs="仿宋"/>
          <w:bCs/>
          <w:sz w:val="28"/>
          <w:szCs w:val="22"/>
        </w:rPr>
      </w:pPr>
      <w:r>
        <w:rPr>
          <w:rFonts w:hint="eastAsia" w:ascii="仿宋" w:hAnsi="仿宋" w:eastAsia="仿宋" w:cs="仿宋"/>
          <w:bCs/>
          <w:sz w:val="28"/>
          <w:szCs w:val="22"/>
        </w:rPr>
      </w:r>
      <w:r/>
    </w:p>
    <w:p>
      <w:pPr>
        <w:pStyle w:val="952"/>
        <w:ind w:firstLine="3390"/>
        <w:jc w:val="both"/>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Cs w:val="0"/>
          <w:sz w:val="28"/>
          <w:szCs w:val="48"/>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7 </w:t>
      </w:r>
      <w:r>
        <w:rPr>
          <w:rFonts w:hint="eastAsia" w:ascii="仿宋" w:hAnsi="仿宋" w:eastAsia="仿宋" w:cs="仿宋"/>
          <w:b/>
          <w:color w:val="000000"/>
          <w:sz w:val="32"/>
          <w:szCs w:val="32"/>
        </w:rPr>
        <w:t xml:space="preserve">投标函</w:t>
      </w:r>
      <w:r/>
    </w:p>
    <w:p>
      <w:pPr>
        <w:pStyle w:val="1031"/>
        <w:ind w:firstLine="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致：</w:t>
      </w:r>
      <w:r>
        <w:rPr>
          <w:rFonts w:hint="eastAsia" w:ascii="仿宋" w:hAnsi="仿宋" w:eastAsia="仿宋" w:cs="仿宋"/>
          <w:sz w:val="28"/>
          <w:szCs w:val="22"/>
          <w:lang w:val="en-US" w:eastAsia="zh-CN"/>
        </w:rPr>
        <w:t xml:space="preserve">南通市</w:t>
      </w:r>
      <w:r>
        <w:rPr>
          <w:rFonts w:hint="eastAsia" w:ascii="仿宋" w:hAnsi="仿宋" w:eastAsia="仿宋" w:cs="仿宋"/>
          <w:sz w:val="28"/>
          <w:szCs w:val="22"/>
        </w:rPr>
        <w:t xml:space="preserve">政府采购中心</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根据贵方的</w:t>
      </w:r>
      <w:r>
        <w:rPr>
          <w:rFonts w:hint="eastAsia" w:ascii="仿宋" w:hAnsi="仿宋" w:eastAsia="仿宋" w:cs="仿宋"/>
          <w:sz w:val="28"/>
          <w:szCs w:val="22"/>
          <w:u w:val="single"/>
          <w:lang w:val="en-US" w:eastAsia="zh-CN"/>
        </w:rPr>
        <w:t xml:space="preserve">  </w:t>
      </w:r>
      <w:r>
        <w:rPr>
          <w:rFonts w:hint="default" w:ascii="Times New Roman" w:hAnsi="Times New Roman" w:eastAsia="仿宋" w:cs="Times New Roman"/>
          <w:bCs/>
          <w:color w:val="000000"/>
          <w:sz w:val="28"/>
          <w:szCs w:val="28"/>
          <w:u w:val="single"/>
          <w:lang w:val="en-US" w:eastAsia="zh-CN"/>
        </w:rPr>
        <w:t xml:space="preserve">JSZC-320600-JZCG-G2024-0177</w:t>
      </w:r>
      <w:r>
        <w:rPr>
          <w:rFonts w:hint="eastAsia" w:ascii="Times New Roman" w:hAnsi="Times New Roman" w:eastAsia="仿宋" w:cs="Times New Roman"/>
          <w:sz w:val="28"/>
          <w:szCs w:val="22"/>
          <w:u w:val="single"/>
          <w:lang w:val="en-US" w:eastAsia="zh-CN"/>
        </w:rPr>
        <w:t xml:space="preserve">  </w:t>
      </w:r>
      <w:r>
        <w:rPr>
          <w:rFonts w:hint="eastAsia" w:ascii="仿宋" w:hAnsi="仿宋" w:eastAsia="仿宋" w:cs="仿宋"/>
          <w:sz w:val="28"/>
          <w:szCs w:val="22"/>
        </w:rPr>
        <w:t xml:space="preserve">号招标文件，正式授权______(</w:t>
      </w:r>
      <w:r>
        <w:rPr>
          <w:rFonts w:hint="eastAsia" w:ascii="仿宋" w:hAnsi="仿宋" w:eastAsia="仿宋" w:cs="仿宋"/>
          <w:sz w:val="28"/>
          <w:szCs w:val="22"/>
          <w:lang w:val="en-US" w:eastAsia="zh-CN"/>
        </w:rPr>
        <w:t xml:space="preserve">被授权人</w:t>
      </w:r>
      <w:r>
        <w:rPr>
          <w:rFonts w:hint="eastAsia" w:ascii="仿宋" w:hAnsi="仿宋" w:eastAsia="仿宋" w:cs="仿宋"/>
          <w:sz w:val="28"/>
          <w:szCs w:val="22"/>
        </w:rPr>
        <w:t xml:space="preserve">姓名)代表我方______________（投标人的名称），全权处理本次项目投标的有关事宜。</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据此函，__________</w:t>
      </w:r>
      <w:r>
        <w:rPr>
          <w:rFonts w:hint="eastAsia" w:ascii="仿宋" w:hAnsi="仿宋" w:eastAsia="仿宋" w:cs="仿宋"/>
          <w:sz w:val="28"/>
          <w:szCs w:val="22"/>
          <w:lang w:val="en-US" w:eastAsia="zh-CN"/>
        </w:rPr>
        <w:t xml:space="preserve">（被授权人签字）兹</w:t>
      </w:r>
      <w:r>
        <w:rPr>
          <w:rFonts w:hint="eastAsia" w:ascii="仿宋" w:hAnsi="仿宋" w:eastAsia="仿宋" w:cs="仿宋"/>
          <w:sz w:val="28"/>
          <w:szCs w:val="22"/>
        </w:rPr>
        <w:t xml:space="preserve">宣布同意如下：</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1.按招标文件规定的各项要求，向买方提供所需服务（包含与服务相关的货物）。</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2.我们完全理解贵方不一定将合同授予最低报价的投标人。</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3.我们已详细审核全部招标文件及其有效补充文件，我们知道必须放弃提出含糊不清或误解问题的权利。</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4.我们同意从规定的开标日期起遵循本投标文件，并在规定的投标有效期期满之前均具有约束力。</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5.同意向贵方提供贵方可能另外要求的与投标有关的任何证据或资料，并保证我方已提供和将要提供的文件是真实的、准确的。</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6.一旦我方中标,我方将根据招标文件的规定，严格履行合同的责任和义务,并保证在招标文件规定的时间完成项目，交付买方验收、使用。</w:t>
      </w:r>
      <w:r/>
    </w:p>
    <w:p>
      <w:pPr>
        <w:pStyle w:val="1031"/>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7.与本投标有关的正式通讯地址为：</w:t>
      </w:r>
      <w:r/>
    </w:p>
    <w:p>
      <w:pPr>
        <w:pStyle w:val="1031"/>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地          址：</w:t>
      </w:r>
      <w:r/>
    </w:p>
    <w:p>
      <w:pPr>
        <w:pStyle w:val="1031"/>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邮          编：</w:t>
      </w:r>
      <w:r/>
    </w:p>
    <w:p>
      <w:pPr>
        <w:pStyle w:val="1031"/>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电          话：</w:t>
      </w:r>
      <w:r/>
    </w:p>
    <w:p>
      <w:pPr>
        <w:pStyle w:val="1031"/>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传          真：</w:t>
      </w:r>
      <w:r/>
    </w:p>
    <w:p>
      <w:pPr>
        <w:pStyle w:val="1031"/>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投标人开户行：</w:t>
      </w:r>
      <w:r/>
    </w:p>
    <w:p>
      <w:pPr>
        <w:pStyle w:val="1031"/>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账          号： </w:t>
      </w:r>
      <w:r/>
    </w:p>
    <w:p>
      <w:pPr>
        <w:pStyle w:val="1031"/>
        <w:ind w:left="420"/>
        <w:pageBreakBefore w:val="0"/>
        <w:spacing w:before="0" w:after="0" w:line="360" w:lineRule="auto"/>
        <w:rPr>
          <w:rFonts w:hint="eastAsia" w:ascii="仿宋" w:hAnsi="仿宋" w:eastAsia="仿宋" w:cs="仿宋"/>
          <w:b/>
          <w:color w:val="000000"/>
          <w:sz w:val="32"/>
          <w:szCs w:val="32"/>
        </w:rPr>
      </w:pPr>
      <w:r>
        <w:rPr>
          <w:rFonts w:hint="eastAsia" w:ascii="仿宋" w:hAnsi="仿宋" w:eastAsia="仿宋" w:cs="仿宋"/>
          <w:sz w:val="28"/>
          <w:szCs w:val="22"/>
        </w:rPr>
        <w:t xml:space="preserve">日           期：________年____月____日</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8 中</w:t>
      </w:r>
      <w:r>
        <w:rPr>
          <w:rFonts w:hint="eastAsia" w:ascii="仿宋" w:hAnsi="仿宋" w:eastAsia="仿宋" w:cs="仿宋"/>
          <w:b/>
          <w:color w:val="000000"/>
          <w:sz w:val="32"/>
          <w:szCs w:val="32"/>
        </w:rPr>
        <w:t xml:space="preserve">小微企业声明函（服务类项目）</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2020</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46号)的规定，本公司（联合体）参加南通市政府采购中心组织的</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default" w:ascii="Times New Roman" w:hAnsi="Times New Roman" w:eastAsia="仿宋" w:cs="Times New Roman"/>
          <w:bCs/>
          <w:color w:val="000000"/>
          <w:sz w:val="28"/>
          <w:szCs w:val="28"/>
          <w:u w:val="single"/>
          <w:lang w:val="en-US" w:eastAsia="zh-CN"/>
        </w:rPr>
        <w:t xml:space="preserve">JSZC-320600-JZCG-G2024-0177</w:t>
      </w:r>
      <w:r>
        <w:rPr>
          <w:rFonts w:hint="default" w:ascii="Times New Roman" w:hAnsi="Times New Roman" w:eastAsia="仿宋" w:cs="Times New Roman"/>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2011</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300号)的规定，相关企业（含联合体中的小微企业、签订分包意向协议的小微企业）的具体情况如下：</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b w:val="0"/>
          <w:bCs w:val="0"/>
          <w:color w:val="000000"/>
          <w:sz w:val="28"/>
          <w:szCs w:val="28"/>
          <w:u w:val="single"/>
        </w:rPr>
        <w:t xml:space="preserve">（□中型企业 □小型企业 □微型企业）；</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b w:val="0"/>
          <w:bCs w:val="0"/>
          <w:color w:val="000000"/>
          <w:sz w:val="28"/>
          <w:szCs w:val="28"/>
        </w:rPr>
        <w:t xml:space="preserve">2.</w:t>
      </w:r>
      <w:r>
        <w:rPr>
          <w:rFonts w:hint="eastAsia" w:ascii="仿宋" w:hAnsi="仿宋" w:eastAsia="仿宋" w:cs="仿宋"/>
          <w:b w:val="0"/>
          <w:bCs w:val="0"/>
          <w:color w:val="000000"/>
          <w:sz w:val="28"/>
          <w:szCs w:val="28"/>
          <w:u w:val="single"/>
        </w:rPr>
        <w:t xml:space="preserve">（标的名称）</w:t>
      </w:r>
      <w:r>
        <w:rPr>
          <w:rFonts w:hint="eastAsia" w:ascii="仿宋" w:hAnsi="仿宋" w:eastAsia="仿宋" w:cs="仿宋"/>
          <w:b w:val="0"/>
          <w:bCs w:val="0"/>
          <w:i/>
          <w:color w:val="000000"/>
          <w:sz w:val="28"/>
          <w:szCs w:val="28"/>
        </w:rPr>
        <w:t xml:space="preserve">，</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行业；承接企业为</w:t>
      </w:r>
      <w:r>
        <w:rPr>
          <w:rFonts w:hint="eastAsia" w:ascii="仿宋" w:hAnsi="仿宋" w:eastAsia="仿宋" w:cs="仿宋"/>
          <w:b w:val="0"/>
          <w:bCs w:val="0"/>
          <w:color w:val="000000"/>
          <w:sz w:val="28"/>
          <w:szCs w:val="28"/>
          <w:u w:val="single"/>
        </w:rPr>
        <w:t xml:space="preserve">（企业名称）</w:t>
      </w:r>
      <w:r>
        <w:rPr>
          <w:rFonts w:hint="eastAsia" w:ascii="仿宋" w:hAnsi="仿宋" w:eastAsia="仿宋" w:cs="仿宋"/>
          <w:b w:val="0"/>
          <w:bCs w:val="0"/>
          <w:color w:val="000000"/>
          <w:sz w:val="28"/>
          <w:szCs w:val="28"/>
        </w:rPr>
        <w:t xml:space="preserve">，从业人员</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人，营业收入为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万元，资产总额为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w:t>
      </w:r>
      <w:r>
        <w:rPr>
          <w:rFonts w:hint="eastAsia" w:ascii="仿宋" w:hAnsi="仿宋" w:eastAsia="仿宋" w:cs="仿宋"/>
          <w:b w:val="0"/>
          <w:bCs w:val="0"/>
          <w:color w:val="000000"/>
          <w:sz w:val="28"/>
          <w:szCs w:val="28"/>
          <w:vertAlign w:val="superscript"/>
        </w:rPr>
        <w:t xml:space="preserve">1</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中型企业 </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小型企业 □微型企业）；</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right="72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right="180" w:firstLine="360"/>
        <w:jc w:val="right"/>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企业名称（加盖CA电子公章）：</w:t>
      </w:r>
      <w:r/>
    </w:p>
    <w:p>
      <w:pPr>
        <w:ind w:right="480" w:firstLine="540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w:t>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备注</w:t>
      </w:r>
      <w:r>
        <w:rPr>
          <w:rFonts w:hint="eastAsia" w:ascii="仿宋" w:hAnsi="仿宋" w:eastAsia="仿宋" w:cs="仿宋"/>
          <w:sz w:val="28"/>
          <w:szCs w:val="28"/>
          <w:lang w:eastAsia="zh-CN"/>
        </w:rPr>
        <w:t xml:space="preserve">：</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从业人员、营业收入、资产总额填报上一年度数据，无上一年度数据的新成立企业可不填报。</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3.供应商自行勾选制造商的企业规模类型。</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br w:type="page" w:clear="all"/>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9 </w:t>
      </w:r>
      <w:r>
        <w:rPr>
          <w:rFonts w:hint="eastAsia" w:ascii="仿宋" w:hAnsi="仿宋" w:eastAsia="仿宋" w:cs="仿宋"/>
          <w:b/>
          <w:color w:val="000000"/>
          <w:sz w:val="32"/>
          <w:szCs w:val="32"/>
        </w:rPr>
        <w:t xml:space="preserve">残疾人福利性单位声明函</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default" w:ascii="Times New Roman" w:hAnsi="Times New Roman" w:eastAsia="仿宋" w:cs="Times New Roman"/>
          <w:bCs/>
          <w:color w:val="000000"/>
          <w:sz w:val="28"/>
          <w:szCs w:val="28"/>
          <w:u w:val="single"/>
          <w:lang w:val="en-US" w:eastAsia="zh-CN"/>
        </w:rPr>
        <w:t xml:space="preserve">JSZC-320600-JZCG-G2024-0177</w:t>
      </w:r>
      <w:r>
        <w:rPr>
          <w:rFonts w:hint="eastAsia" w:ascii="仿宋" w:hAnsi="仿宋" w:eastAsia="仿宋" w:cs="仿宋"/>
          <w:sz w:val="28"/>
          <w:szCs w:val="22"/>
        </w:rPr>
        <w:t xml:space="preserve">的</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项目采购活动由本单位提供服务。</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本单位对上述声明的真实性负责。如有虚假，将依法承担相应责任。</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备注：</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1.专门面向中小微型企业采购的项目，供应商为残疾人福利性单位，必须提供此声明函，否则将不能通过资格审查。</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2.非专门面向中小微型企业采购的项目，供应商如不提供此声明函，价格将不做相应扣除。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3.中标/成交供应商为残疾人福利性单位的，此声明函将随中标/成交结果同时公告，接受社会监督。</w:t>
      </w:r>
      <w:r/>
    </w:p>
    <w:p>
      <w:pPr>
        <w:ind w:firstLine="624"/>
        <w:pageBreakBefore w:val="0"/>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r>
      <w:r/>
    </w:p>
    <w:p>
      <w:pPr>
        <w:ind w:right="1560" w:firstLine="624"/>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pacing w:val="6"/>
          <w:sz w:val="32"/>
          <w:szCs w:val="32"/>
        </w:rPr>
        <w:t xml:space="preserve">             </w:t>
      </w:r>
      <w:r>
        <w:rPr>
          <w:rFonts w:hint="eastAsia" w:ascii="仿宋" w:hAnsi="仿宋" w:eastAsia="仿宋" w:cs="仿宋"/>
          <w:sz w:val="28"/>
          <w:szCs w:val="22"/>
        </w:rPr>
        <w:t xml:space="preserve">    供应商全称（加盖CA电子章）：</w:t>
      </w:r>
      <w:r/>
    </w:p>
    <w:p>
      <w:pPr>
        <w:ind w:right="1560" w:firstLine="480"/>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z w:val="28"/>
          <w:szCs w:val="22"/>
        </w:rPr>
        <w:t xml:space="preserve">        日  期：</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rPr>
          <w:rFonts w:hint="eastAsia" w:ascii="仿宋" w:hAnsi="仿宋" w:eastAsia="仿宋" w:cs="仿宋"/>
          <w:b/>
          <w:bCs/>
          <w:sz w:val="36"/>
          <w:szCs w:val="36"/>
        </w:rPr>
      </w:pPr>
      <w:r>
        <w:rPr>
          <w:rFonts w:hint="eastAsia" w:ascii="仿宋" w:hAnsi="仿宋" w:eastAsia="仿宋" w:cs="仿宋"/>
          <w:b/>
          <w:sz w:val="36"/>
          <w:szCs w:val="36"/>
        </w:rPr>
        <w:br w:type="page" w:clear="all"/>
      </w:r>
      <w:r/>
    </w:p>
    <w:p>
      <w:pPr>
        <w:jc w:val="center"/>
        <w:pageBreakBefore w:val="0"/>
        <w:spacing w:line="360" w:lineRule="auto"/>
        <w:rPr>
          <w:rFonts w:hint="eastAsia" w:ascii="仿宋" w:hAnsi="仿宋" w:eastAsia="仿宋" w:cs="仿宋"/>
          <w:b/>
          <w:bCs/>
          <w:sz w:val="36"/>
          <w:szCs w:val="36"/>
        </w:rPr>
        <w:outlineLvl w:val="0"/>
      </w:pPr>
      <w:r>
        <w:rPr>
          <w:rFonts w:hint="eastAsia" w:ascii="仿宋" w:hAnsi="仿宋" w:eastAsia="仿宋" w:cs="仿宋"/>
          <w:b/>
          <w:bCs/>
          <w:sz w:val="36"/>
          <w:szCs w:val="36"/>
        </w:rPr>
        <w:t xml:space="preserve">质疑函范本</w:t>
      </w:r>
      <w:r/>
    </w:p>
    <w:p>
      <w:pPr>
        <w:pageBreakBefore w:val="0"/>
        <w:spacing w:before="290"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w:t>
      </w:r>
      <w:r/>
    </w:p>
    <w:p>
      <w:pPr>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53"/>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3"/>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color w:val="000000"/>
          <w:sz w:val="24"/>
          <w:szCs w:val="24"/>
        </w:rPr>
      </w:pPr>
      <w:r>
        <w:rPr>
          <w:rFonts w:hint="eastAsia"/>
          <w:color w:val="000000"/>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Segoe UI">
    <w:panose1 w:val="020B0502040204020203"/>
  </w:font>
  <w:font w:name="方正仿宋_GBK">
    <w:panose1 w:val="020B0503020202020204"/>
  </w:font>
  <w:font w:name="方正黑体_GBK">
    <w:panose1 w:val="020B0503020202020204"/>
  </w:font>
  <w:font w:name="Tahoma">
    <w:panose1 w:val="020B06040305040402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2595" cy="30162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42771" cy="301624"/>
                      </a:xfrm>
                      <a:prstGeom prst="rect">
                        <a:avLst/>
                      </a:prstGeom>
                      <a:noFill/>
                      <a:ln>
                        <a:noFill/>
                      </a:ln>
                    </wps:spPr>
                    <wps:txbx>
                      <w:txbxContent>
                        <w:p>
                          <w:pPr>
                            <w:pStyle w:val="994"/>
                            <w:jc w:val="center"/>
                            <w:tabs>
                              <w:tab w:val="clear" w:pos="4153" w:leader="none"/>
                              <w:tab w:val="clear" w:pos="8306" w:leader="none"/>
                            </w:tabs>
                            <w:rPr>
                              <w:rStyle w:val="1017"/>
                              <w:rFonts w:ascii="宋体" w:hAnsi="宋体"/>
                            </w:rPr>
                          </w:pPr>
                          <w:r>
                            <w:rPr>
                              <w:rFonts w:ascii="宋体" w:hAnsi="宋体"/>
                            </w:rPr>
                            <w:fldChar w:fldCharType="begin"/>
                          </w:r>
                          <w:r>
                            <w:rPr>
                              <w:rStyle w:val="1017"/>
                              <w:rFonts w:ascii="宋体" w:hAnsi="宋体"/>
                            </w:rPr>
                            <w:instrText xml:space="preserve">PAGE  </w:instrText>
                          </w:r>
                          <w:r>
                            <w:rPr>
                              <w:rFonts w:ascii="宋体" w:hAnsi="宋体"/>
                            </w:rPr>
                            <w:fldChar w:fldCharType="separate"/>
                          </w:r>
                          <w:r>
                            <w:rPr>
                              <w:rStyle w:val="1017"/>
                              <w:rFonts w:ascii="宋体" w:hAnsi="宋体"/>
                            </w:rPr>
                            <w:t xml:space="preserve">４８</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4.9pt;height:23.8pt;mso-wrap-distance-left:9.0pt;mso-wrap-distance-top:0.0pt;mso-wrap-distance-right:9.0pt;mso-wrap-distance-bottom:0.0pt;visibility:visible;" filled="f" stroked="f">
              <v:textbox inset="0,0,0,0">
                <w:txbxContent>
                  <w:p>
                    <w:pPr>
                      <w:pStyle w:val="994"/>
                      <w:jc w:val="center"/>
                      <w:tabs>
                        <w:tab w:val="clear" w:pos="4153" w:leader="none"/>
                        <w:tab w:val="clear" w:pos="8306" w:leader="none"/>
                      </w:tabs>
                      <w:rPr>
                        <w:rStyle w:val="1017"/>
                        <w:rFonts w:ascii="宋体" w:hAnsi="宋体"/>
                      </w:rPr>
                    </w:pPr>
                    <w:r>
                      <w:rPr>
                        <w:rFonts w:ascii="宋体" w:hAnsi="宋体"/>
                      </w:rPr>
                      <w:fldChar w:fldCharType="begin"/>
                    </w:r>
                    <w:r>
                      <w:rPr>
                        <w:rStyle w:val="1017"/>
                        <w:rFonts w:ascii="宋体" w:hAnsi="宋体"/>
                      </w:rPr>
                      <w:instrText xml:space="preserve">PAGE  </w:instrText>
                    </w:r>
                    <w:r>
                      <w:rPr>
                        <w:rFonts w:ascii="宋体" w:hAnsi="宋体"/>
                      </w:rPr>
                      <w:fldChar w:fldCharType="separate"/>
                    </w:r>
                    <w:r>
                      <w:rPr>
                        <w:rStyle w:val="1017"/>
                        <w:rFonts w:ascii="宋体" w:hAnsi="宋体"/>
                      </w:rPr>
                      <w:t xml:space="preserve">４８</w:t>
                    </w:r>
                    <w:r>
                      <w:rPr>
                        <w:rFonts w:ascii="宋体" w:hAnsi="宋体"/>
                      </w:rP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宋体" w:hAnsi="宋体"/>
        <w:b/>
        <w:i w:val="0"/>
        <w:sz w:val="21"/>
      </w:rPr>
    </w:lvl>
    <w:lvl w:ilvl="1">
      <w:start w:val="1"/>
      <w:numFmt w:val="decimal"/>
      <w:pStyle w:val="1065"/>
      <w:isLgl w:val="false"/>
      <w:suff w:val="nothing"/>
      <w:lvlText w:val="%1%2　"/>
      <w:lvlJc w:val="left"/>
      <w:pPr>
        <w:ind w:left="0" w:firstLine="0"/>
      </w:pPr>
      <w:rPr>
        <w:rFonts w:hint="eastAsia" w:ascii="Tahoma" w:hAnsi="Tahoma" w:eastAsia="Tahoma"/>
        <w:b/>
        <w:i w:val="0"/>
        <w:sz w:val="21"/>
      </w:rPr>
    </w:lvl>
    <w:lvl w:ilvl="2">
      <w:start w:val="1"/>
      <w:numFmt w:val="decimal"/>
      <w:pStyle w:val="1064"/>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upperLetter"/>
      <w:pStyle w:val="1023"/>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6"/>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8"/>
  </w:num>
  <w:num w:numId="4">
    <w:abstractNumId w:val="1"/>
  </w:num>
  <w:num w:numId="5">
    <w:abstractNumId w:val="0"/>
  </w:num>
  <w:num w:numId="6">
    <w:abstractNumId w:val="4"/>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10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a heading"/>
    <w:basedOn w:val="729"/>
    <w:next w:val="729"/>
    <w:uiPriority w:val="99"/>
    <w:qFormat/>
    <w:pPr>
      <w:spacing w:before="120"/>
    </w:pPr>
    <w:rPr>
      <w:rFonts w:ascii="Arial" w:hAnsi="Arial"/>
      <w:sz w:val="24"/>
    </w:rPr>
  </w:style>
  <w:style w:type="paragraph" w:styleId="744">
    <w:name w:val="Body Text"/>
    <w:basedOn w:val="729"/>
    <w:next w:val="745"/>
    <w:uiPriority w:val="99"/>
    <w:unhideWhenUsed/>
    <w:qFormat/>
    <w:pPr>
      <w:spacing w:after="120"/>
    </w:pPr>
  </w:style>
  <w:style w:type="paragraph" w:styleId="745">
    <w:name w:val="Plain Text"/>
    <w:basedOn w:val="729"/>
    <w:uiPriority w:val="0"/>
    <w:qFormat/>
    <w:rPr>
      <w:rFonts w:ascii="宋体" w:hAnsi="Courier New"/>
      <w:szCs w:val="20"/>
    </w:rPr>
  </w:style>
  <w:style w:type="paragraph" w:styleId="746">
    <w:name w:val="toc 5"/>
    <w:basedOn w:val="729"/>
    <w:next w:val="729"/>
    <w:uiPriority w:val="39"/>
    <w:unhideWhenUsed/>
    <w:qFormat/>
    <w:pPr>
      <w:ind w:left="1134" w:right="0" w:firstLine="0"/>
      <w:spacing w:after="57"/>
    </w:pPr>
  </w:style>
  <w:style w:type="paragraph" w:styleId="747">
    <w:name w:val="toc 3"/>
    <w:basedOn w:val="729"/>
    <w:next w:val="729"/>
    <w:uiPriority w:val="39"/>
    <w:unhideWhenUsed/>
    <w:qFormat/>
    <w:pPr>
      <w:ind w:left="567" w:right="0" w:firstLine="0"/>
      <w:spacing w:after="57"/>
    </w:pPr>
  </w:style>
  <w:style w:type="paragraph" w:styleId="748">
    <w:name w:val="toc 8"/>
    <w:basedOn w:val="729"/>
    <w:next w:val="729"/>
    <w:uiPriority w:val="39"/>
    <w:unhideWhenUsed/>
    <w:qFormat/>
    <w:pPr>
      <w:ind w:left="1984" w:right="0" w:firstLine="0"/>
      <w:spacing w:after="57"/>
    </w:pPr>
  </w:style>
  <w:style w:type="paragraph" w:styleId="749">
    <w:name w:val="endnote text"/>
    <w:basedOn w:val="729"/>
    <w:uiPriority w:val="99"/>
    <w:semiHidden/>
    <w:unhideWhenUsed/>
    <w:qFormat/>
    <w:pPr>
      <w:spacing w:after="0" w:line="240" w:lineRule="auto"/>
    </w:pPr>
    <w:rPr>
      <w:sz w:val="20"/>
    </w:rPr>
  </w:style>
  <w:style w:type="paragraph" w:styleId="750">
    <w:name w:val="Footer"/>
    <w:basedOn w:val="729"/>
    <w:uiPriority w:val="99"/>
    <w:unhideWhenUsed/>
    <w:qFormat/>
    <w:pPr>
      <w:spacing w:after="0" w:line="240" w:lineRule="auto"/>
      <w:tabs>
        <w:tab w:val="center" w:pos="7143" w:leader="none"/>
        <w:tab w:val="right" w:pos="14287" w:leader="none"/>
      </w:tabs>
    </w:pPr>
  </w:style>
  <w:style w:type="paragraph" w:styleId="751">
    <w:name w:val="Header"/>
    <w:basedOn w:val="729"/>
    <w:uiPriority w:val="99"/>
    <w:unhideWhenUsed/>
    <w:qFormat/>
    <w:pPr>
      <w:spacing w:after="0" w:line="240" w:lineRule="auto"/>
      <w:tabs>
        <w:tab w:val="center" w:pos="7143" w:leader="none"/>
        <w:tab w:val="right" w:pos="14287" w:leader="none"/>
      </w:tabs>
    </w:pPr>
  </w:style>
  <w:style w:type="paragraph" w:styleId="752">
    <w:name w:val="toc 1"/>
    <w:basedOn w:val="729"/>
    <w:next w:val="729"/>
    <w:uiPriority w:val="39"/>
    <w:unhideWhenUsed/>
    <w:qFormat/>
    <w:pPr>
      <w:ind w:left="0" w:right="0" w:firstLine="0"/>
      <w:spacing w:after="57"/>
    </w:pPr>
  </w:style>
  <w:style w:type="paragraph" w:styleId="753">
    <w:name w:val="toc 4"/>
    <w:basedOn w:val="729"/>
    <w:next w:val="729"/>
    <w:uiPriority w:val="39"/>
    <w:unhideWhenUsed/>
    <w:qFormat/>
    <w:pPr>
      <w:ind w:left="850" w:right="0" w:firstLine="0"/>
      <w:spacing w:after="57"/>
    </w:pPr>
  </w:style>
  <w:style w:type="paragraph" w:styleId="754">
    <w:name w:val="Subtitle"/>
    <w:basedOn w:val="729"/>
    <w:next w:val="729"/>
    <w:uiPriority w:val="11"/>
    <w:qFormat/>
    <w:pPr>
      <w:spacing w:before="200" w:after="200"/>
    </w:pPr>
    <w:rPr>
      <w:sz w:val="24"/>
      <w:szCs w:val="24"/>
    </w:rPr>
  </w:style>
  <w:style w:type="paragraph" w:styleId="755">
    <w:name w:val="footnote text"/>
    <w:basedOn w:val="729"/>
    <w:uiPriority w:val="99"/>
    <w:semiHidden/>
    <w:unhideWhenUsed/>
    <w:qFormat/>
    <w:pPr>
      <w:spacing w:after="40" w:line="240" w:lineRule="auto"/>
    </w:pPr>
    <w:rPr>
      <w:sz w:val="18"/>
    </w:rPr>
  </w:style>
  <w:style w:type="paragraph" w:styleId="756">
    <w:name w:val="toc 6"/>
    <w:basedOn w:val="729"/>
    <w:next w:val="729"/>
    <w:uiPriority w:val="39"/>
    <w:unhideWhenUsed/>
    <w:qFormat/>
    <w:pPr>
      <w:ind w:left="1417" w:right="0" w:firstLine="0"/>
      <w:spacing w:after="57"/>
    </w:pPr>
  </w:style>
  <w:style w:type="paragraph" w:styleId="757">
    <w:name w:val="table of figures"/>
    <w:basedOn w:val="729"/>
    <w:next w:val="729"/>
    <w:uiPriority w:val="99"/>
    <w:unhideWhenUsed/>
    <w:qFormat/>
    <w:pPr>
      <w:spacing w:after="0" w:afterAutospacing="0"/>
    </w:pPr>
  </w:style>
  <w:style w:type="paragraph" w:styleId="758">
    <w:name w:val="toc 2"/>
    <w:basedOn w:val="729"/>
    <w:next w:val="729"/>
    <w:uiPriority w:val="39"/>
    <w:unhideWhenUsed/>
    <w:qFormat/>
    <w:pPr>
      <w:ind w:left="283" w:right="0" w:firstLine="0"/>
      <w:spacing w:after="57"/>
    </w:pPr>
  </w:style>
  <w:style w:type="paragraph" w:styleId="759">
    <w:name w:val="toc 9"/>
    <w:basedOn w:val="729"/>
    <w:next w:val="729"/>
    <w:uiPriority w:val="39"/>
    <w:unhideWhenUsed/>
    <w:qFormat/>
    <w:pPr>
      <w:ind w:left="2268" w:right="0" w:firstLine="0"/>
      <w:spacing w:after="57"/>
    </w:pPr>
  </w:style>
  <w:style w:type="paragraph" w:styleId="760">
    <w:name w:val="Title"/>
    <w:basedOn w:val="729"/>
    <w:next w:val="729"/>
    <w:uiPriority w:val="10"/>
    <w:qFormat/>
    <w:pPr>
      <w:contextualSpacing/>
      <w:spacing w:before="300" w:after="200"/>
    </w:pPr>
    <w:rPr>
      <w:sz w:val="48"/>
      <w:szCs w:val="48"/>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标题 111"/>
    <w:basedOn w:val="729"/>
    <w:next w:val="729"/>
    <w:link w:val="776"/>
    <w:uiPriority w:val="9"/>
    <w:qFormat/>
    <w:pPr>
      <w:keepLines/>
      <w:keepNext/>
      <w:spacing w:before="480" w:after="200"/>
      <w:outlineLvl w:val="0"/>
    </w:pPr>
    <w:rPr>
      <w:rFonts w:ascii="Arial" w:hAnsi="Arial" w:eastAsia="Arial" w:cs="Arial"/>
      <w:sz w:val="40"/>
      <w:szCs w:val="40"/>
    </w:rPr>
  </w:style>
  <w:style w:type="paragraph" w:styleId="766" w:customStyle="1">
    <w:name w:val="标题 211"/>
    <w:basedOn w:val="729"/>
    <w:next w:val="729"/>
    <w:link w:val="777"/>
    <w:uiPriority w:val="9"/>
    <w:unhideWhenUsed/>
    <w:qFormat/>
    <w:pPr>
      <w:keepLines/>
      <w:keepNext/>
      <w:spacing w:before="360" w:after="200"/>
      <w:outlineLvl w:val="1"/>
    </w:pPr>
    <w:rPr>
      <w:rFonts w:ascii="Arial" w:hAnsi="Arial" w:eastAsia="Arial" w:cs="Arial"/>
      <w:sz w:val="34"/>
    </w:rPr>
  </w:style>
  <w:style w:type="paragraph" w:styleId="767" w:customStyle="1">
    <w:name w:val="标题 311"/>
    <w:basedOn w:val="729"/>
    <w:next w:val="729"/>
    <w:link w:val="778"/>
    <w:uiPriority w:val="9"/>
    <w:unhideWhenUsed/>
    <w:qFormat/>
    <w:pPr>
      <w:keepLines/>
      <w:keepNext/>
      <w:spacing w:before="320" w:after="200"/>
      <w:outlineLvl w:val="2"/>
    </w:pPr>
    <w:rPr>
      <w:rFonts w:ascii="Arial" w:hAnsi="Arial" w:eastAsia="Arial" w:cs="Arial"/>
      <w:sz w:val="30"/>
      <w:szCs w:val="30"/>
    </w:rPr>
  </w:style>
  <w:style w:type="paragraph" w:styleId="768" w:customStyle="1">
    <w:name w:val="标题 411"/>
    <w:basedOn w:val="729"/>
    <w:next w:val="729"/>
    <w:link w:val="779"/>
    <w:uiPriority w:val="9"/>
    <w:unhideWhenUsed/>
    <w:qFormat/>
    <w:pPr>
      <w:keepLines/>
      <w:keepNext/>
      <w:spacing w:before="320" w:after="200"/>
      <w:outlineLvl w:val="3"/>
    </w:pPr>
    <w:rPr>
      <w:rFonts w:ascii="Arial" w:hAnsi="Arial" w:eastAsia="Arial" w:cs="Arial"/>
      <w:b/>
      <w:bCs/>
      <w:sz w:val="26"/>
      <w:szCs w:val="26"/>
    </w:rPr>
  </w:style>
  <w:style w:type="paragraph" w:styleId="769" w:customStyle="1">
    <w:name w:val="标题 511"/>
    <w:basedOn w:val="729"/>
    <w:next w:val="729"/>
    <w:link w:val="780"/>
    <w:uiPriority w:val="9"/>
    <w:unhideWhenUsed/>
    <w:qFormat/>
    <w:pPr>
      <w:keepLines/>
      <w:keepNext/>
      <w:spacing w:before="320" w:after="200"/>
      <w:outlineLvl w:val="4"/>
    </w:pPr>
    <w:rPr>
      <w:rFonts w:ascii="Arial" w:hAnsi="Arial" w:eastAsia="Arial" w:cs="Arial"/>
      <w:b/>
      <w:bCs/>
      <w:sz w:val="24"/>
      <w:szCs w:val="24"/>
    </w:rPr>
  </w:style>
  <w:style w:type="paragraph" w:styleId="770" w:customStyle="1">
    <w:name w:val="标题 611"/>
    <w:basedOn w:val="729"/>
    <w:next w:val="729"/>
    <w:link w:val="781"/>
    <w:uiPriority w:val="9"/>
    <w:unhideWhenUsed/>
    <w:qFormat/>
    <w:pPr>
      <w:keepLines/>
      <w:keepNext/>
      <w:spacing w:before="320" w:after="200"/>
      <w:outlineLvl w:val="5"/>
    </w:pPr>
    <w:rPr>
      <w:rFonts w:ascii="Arial" w:hAnsi="Arial" w:eastAsia="Arial" w:cs="Arial"/>
      <w:b/>
      <w:bCs/>
      <w:sz w:val="22"/>
      <w:szCs w:val="22"/>
    </w:rPr>
  </w:style>
  <w:style w:type="paragraph" w:styleId="771" w:customStyle="1">
    <w:name w:val="标题 711"/>
    <w:basedOn w:val="729"/>
    <w:next w:val="729"/>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72" w:customStyle="1">
    <w:name w:val="标题 811"/>
    <w:basedOn w:val="729"/>
    <w:next w:val="729"/>
    <w:link w:val="783"/>
    <w:uiPriority w:val="9"/>
    <w:unhideWhenUsed/>
    <w:qFormat/>
    <w:pPr>
      <w:keepLines/>
      <w:keepNext/>
      <w:spacing w:before="320" w:after="200"/>
      <w:outlineLvl w:val="7"/>
    </w:pPr>
    <w:rPr>
      <w:rFonts w:ascii="Arial" w:hAnsi="Arial" w:eastAsia="Arial" w:cs="Arial"/>
      <w:i/>
      <w:iCs/>
      <w:sz w:val="22"/>
      <w:szCs w:val="22"/>
    </w:rPr>
  </w:style>
  <w:style w:type="paragraph" w:styleId="773" w:customStyle="1">
    <w:name w:val="标题 911"/>
    <w:basedOn w:val="729"/>
    <w:next w:val="729"/>
    <w:link w:val="784"/>
    <w:uiPriority w:val="9"/>
    <w:unhideWhenUsed/>
    <w:qFormat/>
    <w:pPr>
      <w:keepLines/>
      <w:keepNext/>
      <w:spacing w:before="320" w:after="200"/>
      <w:outlineLvl w:val="8"/>
    </w:pPr>
    <w:rPr>
      <w:rFonts w:ascii="Arial" w:hAnsi="Arial" w:eastAsia="Arial" w:cs="Arial"/>
      <w:i/>
      <w:iCs/>
      <w:sz w:val="21"/>
      <w:szCs w:val="21"/>
    </w:rPr>
  </w:style>
  <w:style w:type="character" w:styleId="774" w:customStyle="1">
    <w:name w:val="默认段落字体11"/>
    <w:link w:val="729"/>
    <w:uiPriority w:val="1"/>
    <w:unhideWhenUsed/>
    <w:qFormat/>
  </w:style>
  <w:style w:type="table" w:styleId="775" w:customStyle="1">
    <w:name w:val="普通表格11"/>
    <w:uiPriority w:val="99"/>
    <w:unhideWhenUsed/>
    <w:qFormat/>
    <w:tblPr/>
  </w:style>
  <w:style w:type="character" w:styleId="776" w:customStyle="1">
    <w:name w:val="Heading 1 Char"/>
    <w:link w:val="765"/>
    <w:uiPriority w:val="9"/>
    <w:qFormat/>
    <w:rPr>
      <w:rFonts w:ascii="Arial" w:hAnsi="Arial" w:eastAsia="Arial" w:cs="Arial"/>
      <w:sz w:val="40"/>
      <w:szCs w:val="40"/>
    </w:rPr>
  </w:style>
  <w:style w:type="character" w:styleId="777" w:customStyle="1">
    <w:name w:val="Heading 2 Char"/>
    <w:link w:val="766"/>
    <w:uiPriority w:val="9"/>
    <w:qFormat/>
    <w:rPr>
      <w:rFonts w:ascii="Arial" w:hAnsi="Arial" w:eastAsia="Arial" w:cs="Arial"/>
      <w:sz w:val="34"/>
    </w:rPr>
  </w:style>
  <w:style w:type="character" w:styleId="778" w:customStyle="1">
    <w:name w:val="Heading 3 Char"/>
    <w:link w:val="767"/>
    <w:uiPriority w:val="9"/>
    <w:qFormat/>
    <w:rPr>
      <w:rFonts w:ascii="Arial" w:hAnsi="Arial" w:eastAsia="Arial" w:cs="Arial"/>
      <w:sz w:val="30"/>
      <w:szCs w:val="30"/>
    </w:rPr>
  </w:style>
  <w:style w:type="character" w:styleId="779" w:customStyle="1">
    <w:name w:val="Heading 4 Char"/>
    <w:link w:val="768"/>
    <w:uiPriority w:val="9"/>
    <w:qFormat/>
    <w:rPr>
      <w:rFonts w:ascii="Arial" w:hAnsi="Arial" w:eastAsia="Arial" w:cs="Arial"/>
      <w:b/>
      <w:bCs/>
      <w:sz w:val="26"/>
      <w:szCs w:val="26"/>
    </w:rPr>
  </w:style>
  <w:style w:type="character" w:styleId="780" w:customStyle="1">
    <w:name w:val="Heading 5 Char"/>
    <w:link w:val="769"/>
    <w:uiPriority w:val="9"/>
    <w:qFormat/>
    <w:rPr>
      <w:rFonts w:ascii="Arial" w:hAnsi="Arial" w:eastAsia="Arial" w:cs="Arial"/>
      <w:b/>
      <w:bCs/>
      <w:sz w:val="24"/>
      <w:szCs w:val="24"/>
    </w:rPr>
  </w:style>
  <w:style w:type="character" w:styleId="781" w:customStyle="1">
    <w:name w:val="Heading 6 Char"/>
    <w:link w:val="770"/>
    <w:uiPriority w:val="9"/>
    <w:qFormat/>
    <w:rPr>
      <w:rFonts w:ascii="Arial" w:hAnsi="Arial" w:eastAsia="Arial" w:cs="Arial"/>
      <w:b/>
      <w:bCs/>
      <w:sz w:val="22"/>
      <w:szCs w:val="22"/>
    </w:rPr>
  </w:style>
  <w:style w:type="character" w:styleId="782" w:customStyle="1">
    <w:name w:val="Heading 7 Char"/>
    <w:link w:val="771"/>
    <w:uiPriority w:val="9"/>
    <w:qFormat/>
    <w:rPr>
      <w:rFonts w:ascii="Arial" w:hAnsi="Arial" w:eastAsia="Arial" w:cs="Arial"/>
      <w:b/>
      <w:bCs/>
      <w:i/>
      <w:iCs/>
      <w:sz w:val="22"/>
      <w:szCs w:val="22"/>
    </w:rPr>
  </w:style>
  <w:style w:type="character" w:styleId="783" w:customStyle="1">
    <w:name w:val="Heading 8 Char"/>
    <w:link w:val="772"/>
    <w:uiPriority w:val="9"/>
    <w:qFormat/>
    <w:rPr>
      <w:rFonts w:ascii="Arial" w:hAnsi="Arial" w:eastAsia="Arial" w:cs="Arial"/>
      <w:i/>
      <w:iCs/>
      <w:sz w:val="22"/>
      <w:szCs w:val="22"/>
    </w:rPr>
  </w:style>
  <w:style w:type="character" w:styleId="784" w:customStyle="1">
    <w:name w:val="Heading 9 Char"/>
    <w:link w:val="773"/>
    <w:uiPriority w:val="9"/>
    <w:qFormat/>
    <w:rPr>
      <w:rFonts w:ascii="Arial" w:hAnsi="Arial" w:eastAsia="Arial" w:cs="Arial"/>
      <w:i/>
      <w:iCs/>
      <w:sz w:val="21"/>
      <w:szCs w:val="21"/>
    </w:rPr>
  </w:style>
  <w:style w:type="paragraph" w:styleId="785" w:customStyle="1">
    <w:name w:val="目录 711"/>
    <w:basedOn w:val="729"/>
    <w:next w:val="729"/>
    <w:uiPriority w:val="39"/>
    <w:unhideWhenUsed/>
    <w:qFormat/>
    <w:pPr>
      <w:ind w:left="1701" w:right="0" w:firstLine="0"/>
      <w:spacing w:after="57"/>
    </w:pPr>
  </w:style>
  <w:style w:type="paragraph" w:styleId="786" w:customStyle="1">
    <w:name w:val="题注1"/>
    <w:basedOn w:val="729"/>
    <w:next w:val="729"/>
    <w:uiPriority w:val="35"/>
    <w:unhideWhenUsed/>
    <w:qFormat/>
    <w:pPr>
      <w:spacing w:line="276" w:lineRule="auto"/>
    </w:pPr>
    <w:rPr>
      <w:b/>
      <w:bCs/>
      <w:color w:val="4f81bd"/>
      <w:sz w:val="18"/>
      <w:szCs w:val="18"/>
    </w:rPr>
  </w:style>
  <w:style w:type="paragraph" w:styleId="787" w:customStyle="1">
    <w:name w:val="目录 511"/>
    <w:basedOn w:val="729"/>
    <w:next w:val="729"/>
    <w:uiPriority w:val="39"/>
    <w:unhideWhenUsed/>
    <w:qFormat/>
    <w:pPr>
      <w:ind w:left="1134" w:right="0" w:firstLine="0"/>
      <w:spacing w:after="57"/>
    </w:pPr>
  </w:style>
  <w:style w:type="paragraph" w:styleId="788" w:customStyle="1">
    <w:name w:val="目录 311"/>
    <w:basedOn w:val="729"/>
    <w:next w:val="729"/>
    <w:uiPriority w:val="39"/>
    <w:unhideWhenUsed/>
    <w:qFormat/>
    <w:pPr>
      <w:ind w:left="567" w:right="0" w:firstLine="0"/>
      <w:spacing w:after="57"/>
    </w:pPr>
  </w:style>
  <w:style w:type="paragraph" w:styleId="789" w:customStyle="1">
    <w:name w:val="目录 811"/>
    <w:basedOn w:val="729"/>
    <w:next w:val="729"/>
    <w:uiPriority w:val="39"/>
    <w:unhideWhenUsed/>
    <w:qFormat/>
    <w:pPr>
      <w:ind w:left="1984" w:right="0" w:firstLine="0"/>
      <w:spacing w:after="57"/>
    </w:pPr>
  </w:style>
  <w:style w:type="paragraph" w:styleId="790" w:customStyle="1">
    <w:name w:val="尾注文本1"/>
    <w:basedOn w:val="729"/>
    <w:link w:val="791"/>
    <w:uiPriority w:val="99"/>
    <w:unhideWhenUsed/>
    <w:qFormat/>
    <w:pPr>
      <w:spacing w:after="0" w:line="240" w:lineRule="auto"/>
    </w:pPr>
    <w:rPr>
      <w:sz w:val="20"/>
    </w:rPr>
  </w:style>
  <w:style w:type="character" w:styleId="791" w:customStyle="1">
    <w:name w:val="Endnote Text Char"/>
    <w:link w:val="790"/>
    <w:uiPriority w:val="99"/>
    <w:qFormat/>
    <w:rPr>
      <w:sz w:val="20"/>
    </w:rPr>
  </w:style>
  <w:style w:type="paragraph" w:styleId="792" w:customStyle="1">
    <w:name w:val="页脚11"/>
    <w:basedOn w:val="729"/>
    <w:link w:val="812"/>
    <w:uiPriority w:val="99"/>
    <w:unhideWhenUsed/>
    <w:qFormat/>
    <w:pPr>
      <w:spacing w:after="0" w:line="240" w:lineRule="auto"/>
      <w:tabs>
        <w:tab w:val="center" w:pos="7143" w:leader="none"/>
        <w:tab w:val="right" w:pos="14287" w:leader="none"/>
      </w:tabs>
    </w:pPr>
  </w:style>
  <w:style w:type="character" w:styleId="793" w:customStyle="1">
    <w:name w:val="Caption Char"/>
    <w:link w:val="792"/>
    <w:uiPriority w:val="99"/>
    <w:qFormat/>
  </w:style>
  <w:style w:type="paragraph" w:styleId="794" w:customStyle="1">
    <w:name w:val="页眉11"/>
    <w:basedOn w:val="729"/>
    <w:link w:val="795"/>
    <w:uiPriority w:val="99"/>
    <w:unhideWhenUsed/>
    <w:qFormat/>
    <w:pPr>
      <w:spacing w:after="0" w:line="240" w:lineRule="auto"/>
      <w:tabs>
        <w:tab w:val="center" w:pos="7143" w:leader="none"/>
        <w:tab w:val="right" w:pos="14287" w:leader="none"/>
      </w:tabs>
    </w:pPr>
  </w:style>
  <w:style w:type="character" w:styleId="795" w:customStyle="1">
    <w:name w:val="Header Char"/>
    <w:link w:val="794"/>
    <w:uiPriority w:val="99"/>
    <w:qFormat/>
  </w:style>
  <w:style w:type="paragraph" w:styleId="796" w:customStyle="1">
    <w:name w:val="目录 111"/>
    <w:basedOn w:val="729"/>
    <w:next w:val="729"/>
    <w:uiPriority w:val="39"/>
    <w:unhideWhenUsed/>
    <w:qFormat/>
    <w:pPr>
      <w:ind w:left="0" w:right="0" w:firstLine="0"/>
      <w:spacing w:after="57"/>
    </w:pPr>
  </w:style>
  <w:style w:type="paragraph" w:styleId="797" w:customStyle="1">
    <w:name w:val="目录 411"/>
    <w:basedOn w:val="729"/>
    <w:next w:val="729"/>
    <w:uiPriority w:val="39"/>
    <w:unhideWhenUsed/>
    <w:qFormat/>
    <w:pPr>
      <w:ind w:left="850" w:right="0" w:firstLine="0"/>
      <w:spacing w:after="57"/>
    </w:pPr>
  </w:style>
  <w:style w:type="paragraph" w:styleId="798" w:customStyle="1">
    <w:name w:val="副标题1"/>
    <w:basedOn w:val="729"/>
    <w:next w:val="729"/>
    <w:link w:val="799"/>
    <w:uiPriority w:val="11"/>
    <w:qFormat/>
    <w:pPr>
      <w:spacing w:before="200" w:after="200"/>
    </w:pPr>
    <w:rPr>
      <w:sz w:val="24"/>
      <w:szCs w:val="24"/>
    </w:rPr>
  </w:style>
  <w:style w:type="character" w:styleId="799" w:customStyle="1">
    <w:name w:val="Subtitle Char"/>
    <w:link w:val="798"/>
    <w:uiPriority w:val="11"/>
    <w:qFormat/>
    <w:rPr>
      <w:sz w:val="24"/>
      <w:szCs w:val="24"/>
    </w:rPr>
  </w:style>
  <w:style w:type="paragraph" w:styleId="800" w:customStyle="1">
    <w:name w:val="脚注文本1"/>
    <w:basedOn w:val="729"/>
    <w:link w:val="801"/>
    <w:uiPriority w:val="99"/>
    <w:unhideWhenUsed/>
    <w:qFormat/>
    <w:pPr>
      <w:spacing w:after="40" w:line="240" w:lineRule="auto"/>
    </w:pPr>
    <w:rPr>
      <w:sz w:val="18"/>
    </w:rPr>
  </w:style>
  <w:style w:type="character" w:styleId="801" w:customStyle="1">
    <w:name w:val="Footnote Text Char"/>
    <w:link w:val="800"/>
    <w:uiPriority w:val="99"/>
    <w:qFormat/>
    <w:rPr>
      <w:sz w:val="18"/>
    </w:rPr>
  </w:style>
  <w:style w:type="paragraph" w:styleId="802" w:customStyle="1">
    <w:name w:val="目录 611"/>
    <w:basedOn w:val="729"/>
    <w:next w:val="729"/>
    <w:uiPriority w:val="39"/>
    <w:unhideWhenUsed/>
    <w:qFormat/>
    <w:pPr>
      <w:ind w:left="1417" w:right="0" w:firstLine="0"/>
      <w:spacing w:after="57"/>
    </w:pPr>
  </w:style>
  <w:style w:type="paragraph" w:styleId="803" w:customStyle="1">
    <w:name w:val="图表目录11"/>
    <w:basedOn w:val="729"/>
    <w:next w:val="729"/>
    <w:uiPriority w:val="99"/>
    <w:unhideWhenUsed/>
    <w:qFormat/>
    <w:pPr>
      <w:spacing w:after="0" w:afterAutospacing="0"/>
    </w:pPr>
  </w:style>
  <w:style w:type="paragraph" w:styleId="804" w:customStyle="1">
    <w:name w:val="目录 211"/>
    <w:basedOn w:val="729"/>
    <w:next w:val="729"/>
    <w:uiPriority w:val="39"/>
    <w:unhideWhenUsed/>
    <w:qFormat/>
    <w:pPr>
      <w:ind w:left="283" w:right="0" w:firstLine="0"/>
      <w:spacing w:after="57"/>
    </w:pPr>
  </w:style>
  <w:style w:type="paragraph" w:styleId="805" w:customStyle="1">
    <w:name w:val="目录 911"/>
    <w:basedOn w:val="729"/>
    <w:next w:val="729"/>
    <w:uiPriority w:val="39"/>
    <w:unhideWhenUsed/>
    <w:qFormat/>
    <w:pPr>
      <w:ind w:left="2268" w:right="0" w:firstLine="0"/>
      <w:spacing w:after="57"/>
    </w:pPr>
  </w:style>
  <w:style w:type="paragraph" w:styleId="806" w:customStyle="1">
    <w:name w:val="标题11"/>
    <w:basedOn w:val="729"/>
    <w:next w:val="729"/>
    <w:link w:val="807"/>
    <w:uiPriority w:val="10"/>
    <w:qFormat/>
    <w:pPr>
      <w:contextualSpacing/>
      <w:spacing w:before="300" w:after="200"/>
    </w:pPr>
    <w:rPr>
      <w:sz w:val="48"/>
      <w:szCs w:val="48"/>
    </w:rPr>
  </w:style>
  <w:style w:type="character" w:styleId="807" w:customStyle="1">
    <w:name w:val="Title Char"/>
    <w:link w:val="806"/>
    <w:uiPriority w:val="10"/>
    <w:qFormat/>
    <w:rPr>
      <w:sz w:val="48"/>
      <w:szCs w:val="48"/>
    </w:rPr>
  </w:style>
  <w:style w:type="table" w:styleId="808" w:customStyle="1">
    <w:name w:val="网格型11"/>
    <w:uiPriority w:val="59"/>
    <w:qFormat/>
    <w:pPr>
      <w:spacing w:after="0" w:line="240" w:lineRule="auto"/>
    </w:pPr>
    <w:tblPr/>
  </w:style>
  <w:style w:type="character" w:styleId="809" w:customStyle="1">
    <w:name w:val="尾注引用1"/>
    <w:link w:val="729"/>
    <w:uiPriority w:val="99"/>
    <w:unhideWhenUsed/>
    <w:qFormat/>
    <w:rPr>
      <w:vertAlign w:val="superscript"/>
    </w:rPr>
  </w:style>
  <w:style w:type="character" w:styleId="810" w:customStyle="1">
    <w:name w:val="超链接111"/>
    <w:link w:val="729"/>
    <w:uiPriority w:val="99"/>
    <w:unhideWhenUsed/>
    <w:qFormat/>
    <w:rPr>
      <w:color w:val="0000ff"/>
      <w:u w:val="single"/>
    </w:rPr>
  </w:style>
  <w:style w:type="character" w:styleId="811" w:customStyle="1">
    <w:name w:val="脚注引用1"/>
    <w:link w:val="729"/>
    <w:uiPriority w:val="99"/>
    <w:unhideWhenUsed/>
    <w:qFormat/>
    <w:rPr>
      <w:vertAlign w:val="superscript"/>
    </w:rPr>
  </w:style>
  <w:style w:type="character" w:styleId="812" w:customStyle="1">
    <w:name w:val="Footer Char"/>
    <w:link w:val="792"/>
    <w:uiPriority w:val="99"/>
    <w:qFormat/>
  </w:style>
  <w:style w:type="paragraph" w:styleId="813" w:customStyle="1">
    <w:name w:val="正文首行缩进11"/>
    <w:basedOn w:val="814"/>
    <w:link w:val="816"/>
    <w:uiPriority w:val="0"/>
    <w:qFormat/>
    <w:pPr>
      <w:ind w:firstLine="200"/>
      <w:spacing w:line="360" w:lineRule="auto"/>
    </w:pPr>
    <w:rPr>
      <w:rFonts w:ascii="仿宋_GB2312" w:hAnsi="Times New Roman" w:eastAsia="仿宋_GB2312"/>
      <w:sz w:val="30"/>
      <w:szCs w:val="30"/>
    </w:rPr>
  </w:style>
  <w:style w:type="paragraph" w:styleId="814" w:customStyle="1">
    <w:name w:val="正文文本11"/>
    <w:basedOn w:val="729"/>
    <w:next w:val="729"/>
    <w:link w:val="815"/>
    <w:uiPriority w:val="0"/>
    <w:qFormat/>
    <w:rPr>
      <w:rFonts w:ascii="楷体_GB2312" w:hAnsi="Arial" w:eastAsia="楷体_GB2312"/>
      <w:sz w:val="28"/>
      <w:szCs w:val="28"/>
      <w:lang w:val="en-US" w:eastAsia="en-US"/>
    </w:rPr>
  </w:style>
  <w:style w:type="character" w:styleId="815" w:customStyle="1">
    <w:name w:val="正文文本 Char"/>
    <w:link w:val="814"/>
    <w:uiPriority w:val="0"/>
    <w:qFormat/>
    <w:rPr>
      <w:rFonts w:ascii="楷体_GB2312" w:hAnsi="Arial" w:eastAsia="楷体_GB2312" w:cs="Times New Roman"/>
      <w:sz w:val="28"/>
      <w:szCs w:val="28"/>
    </w:rPr>
  </w:style>
  <w:style w:type="character" w:styleId="816" w:customStyle="1">
    <w:name w:val="正文首行缩进 Char"/>
    <w:link w:val="813"/>
    <w:uiPriority w:val="0"/>
    <w:qFormat/>
    <w:rPr>
      <w:rFonts w:ascii="仿宋_GB2312" w:hAnsi="Times New Roman" w:eastAsia="仿宋_GB2312" w:cs="Times New Roman"/>
      <w:sz w:val="30"/>
      <w:szCs w:val="30"/>
    </w:rPr>
  </w:style>
  <w:style w:type="character" w:styleId="817" w:customStyle="1">
    <w:name w:val="超链接1"/>
    <w:link w:val="729"/>
    <w:uiPriority w:val="0"/>
    <w:qFormat/>
    <w:rPr>
      <w:rFonts w:ascii="Times New Roman" w:hAnsi="Times New Roman" w:eastAsia="宋体" w:cs="Times New Roman"/>
      <w:sz w:val="21"/>
      <w:szCs w:val="24"/>
      <w:lang w:val="en-US" w:eastAsia="zh-CN" w:bidi="ar-SA"/>
    </w:rPr>
  </w:style>
  <w:style w:type="paragraph" w:styleId="818">
    <w:name w:val="List Paragraph"/>
    <w:basedOn w:val="729"/>
    <w:uiPriority w:val="34"/>
    <w:qFormat/>
    <w:pPr>
      <w:contextualSpacing/>
      <w:ind w:left="720"/>
    </w:p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paragraph" w:styleId="820">
    <w:name w:val="Quote"/>
    <w:basedOn w:val="729"/>
    <w:next w:val="729"/>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29"/>
    <w:next w:val="729"/>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table" w:styleId="824" w:customStyle="1">
    <w:name w:val="Table Grid Light"/>
    <w:uiPriority w:val="59"/>
    <w:qFormat/>
    <w:pPr>
      <w:spacing w:after="0" w:line="240" w:lineRule="auto"/>
    </w:pPr>
    <w:tblPr/>
  </w:style>
  <w:style w:type="table" w:styleId="825" w:customStyle="1">
    <w:name w:val="Plain Table 1"/>
    <w:uiPriority w:val="59"/>
    <w:qFormat/>
    <w:pPr>
      <w:spacing w:after="0" w:line="240" w:lineRule="auto"/>
    </w:pPr>
    <w:tblPr/>
  </w:style>
  <w:style w:type="table" w:styleId="826" w:customStyle="1">
    <w:name w:val="Plain Table 2"/>
    <w:uiPriority w:val="59"/>
    <w:qFormat/>
    <w:pPr>
      <w:spacing w:after="0" w:line="240" w:lineRule="auto"/>
    </w:pPr>
    <w:tblPr/>
  </w:style>
  <w:style w:type="table" w:styleId="827" w:customStyle="1">
    <w:name w:val="Plain Table 3"/>
    <w:uiPriority w:val="99"/>
    <w:qFormat/>
    <w:pPr>
      <w:spacing w:after="0" w:line="240" w:lineRule="auto"/>
    </w:pPr>
    <w:tblPr/>
  </w:style>
  <w:style w:type="table" w:styleId="828" w:customStyle="1">
    <w:name w:val="Plain Table 4"/>
    <w:uiPriority w:val="99"/>
    <w:qFormat/>
    <w:pPr>
      <w:spacing w:after="0" w:line="240" w:lineRule="auto"/>
    </w:pPr>
    <w:tblPr/>
  </w:style>
  <w:style w:type="table" w:styleId="829" w:customStyle="1">
    <w:name w:val="Plain Table 5"/>
    <w:uiPriority w:val="99"/>
    <w:qFormat/>
    <w:pPr>
      <w:spacing w:after="0" w:line="240" w:lineRule="auto"/>
    </w:pPr>
    <w:tblPr/>
  </w:style>
  <w:style w:type="table" w:styleId="830" w:customStyle="1">
    <w:name w:val="Grid Table 1 Light"/>
    <w:uiPriority w:val="99"/>
    <w:qFormat/>
    <w:pPr>
      <w:spacing w:after="0" w:line="240" w:lineRule="auto"/>
    </w:pPr>
    <w:tblPr/>
  </w:style>
  <w:style w:type="table" w:styleId="831" w:customStyle="1">
    <w:name w:val="Grid Table 1 Light - Accent 1"/>
    <w:uiPriority w:val="99"/>
    <w:qFormat/>
    <w:pPr>
      <w:spacing w:after="0" w:line="240" w:lineRule="auto"/>
    </w:pPr>
    <w:tblPr/>
  </w:style>
  <w:style w:type="table" w:styleId="832" w:customStyle="1">
    <w:name w:val="Grid Table 1 Light - Accent 2"/>
    <w:uiPriority w:val="99"/>
    <w:qFormat/>
    <w:pPr>
      <w:spacing w:after="0" w:line="240" w:lineRule="auto"/>
    </w:pPr>
    <w:tblPr/>
  </w:style>
  <w:style w:type="table" w:styleId="833" w:customStyle="1">
    <w:name w:val="Grid Table 1 Light - Accent 3"/>
    <w:uiPriority w:val="99"/>
    <w:qFormat/>
    <w:pPr>
      <w:spacing w:after="0" w:line="240" w:lineRule="auto"/>
    </w:pPr>
    <w:tblPr/>
  </w:style>
  <w:style w:type="table" w:styleId="834" w:customStyle="1">
    <w:name w:val="Grid Table 1 Light - Accent 4"/>
    <w:uiPriority w:val="99"/>
    <w:qFormat/>
    <w:pPr>
      <w:spacing w:after="0" w:line="240" w:lineRule="auto"/>
    </w:pPr>
    <w:tblPr/>
  </w:style>
  <w:style w:type="table" w:styleId="835" w:customStyle="1">
    <w:name w:val="Grid Table 1 Light - Accent 5"/>
    <w:uiPriority w:val="99"/>
    <w:qFormat/>
    <w:pPr>
      <w:spacing w:after="0" w:line="240" w:lineRule="auto"/>
    </w:pPr>
    <w:tblPr/>
  </w:style>
  <w:style w:type="table" w:styleId="836" w:customStyle="1">
    <w:name w:val="Grid Table 1 Light - Accent 6"/>
    <w:uiPriority w:val="99"/>
    <w:qFormat/>
    <w:pPr>
      <w:spacing w:after="0" w:line="240" w:lineRule="auto"/>
    </w:pPr>
    <w:tblPr/>
  </w:style>
  <w:style w:type="table" w:styleId="837" w:customStyle="1">
    <w:name w:val="Grid Table 2"/>
    <w:uiPriority w:val="99"/>
    <w:qFormat/>
    <w:pPr>
      <w:spacing w:after="0" w:line="240" w:lineRule="auto"/>
    </w:pPr>
    <w:tblPr/>
  </w:style>
  <w:style w:type="table" w:styleId="838" w:customStyle="1">
    <w:name w:val="Grid Table 2 - Accent 1"/>
    <w:uiPriority w:val="99"/>
    <w:qFormat/>
    <w:pPr>
      <w:spacing w:after="0" w:line="240" w:lineRule="auto"/>
    </w:pPr>
    <w:tblPr/>
  </w:style>
  <w:style w:type="table" w:styleId="839" w:customStyle="1">
    <w:name w:val="Grid Table 2 - Accent 2"/>
    <w:uiPriority w:val="99"/>
    <w:qFormat/>
    <w:pPr>
      <w:spacing w:after="0" w:line="240" w:lineRule="auto"/>
    </w:pPr>
    <w:tblPr/>
  </w:style>
  <w:style w:type="table" w:styleId="840" w:customStyle="1">
    <w:name w:val="Grid Table 2 - Accent 3"/>
    <w:uiPriority w:val="99"/>
    <w:qFormat/>
    <w:pPr>
      <w:spacing w:after="0" w:line="240" w:lineRule="auto"/>
    </w:pPr>
    <w:tblPr/>
  </w:style>
  <w:style w:type="table" w:styleId="841" w:customStyle="1">
    <w:name w:val="Grid Table 2 - Accent 4"/>
    <w:uiPriority w:val="99"/>
    <w:qFormat/>
    <w:pPr>
      <w:spacing w:after="0" w:line="240" w:lineRule="auto"/>
    </w:pPr>
    <w:tblPr/>
  </w:style>
  <w:style w:type="table" w:styleId="842" w:customStyle="1">
    <w:name w:val="Grid Table 2 - Accent 5"/>
    <w:uiPriority w:val="99"/>
    <w:qFormat/>
    <w:pPr>
      <w:spacing w:after="0" w:line="240" w:lineRule="auto"/>
    </w:pPr>
    <w:tblPr/>
  </w:style>
  <w:style w:type="table" w:styleId="843" w:customStyle="1">
    <w:name w:val="Grid Table 2 - Accent 6"/>
    <w:uiPriority w:val="99"/>
    <w:qFormat/>
    <w:pPr>
      <w:spacing w:after="0" w:line="240" w:lineRule="auto"/>
    </w:pPr>
    <w:tblPr/>
  </w:style>
  <w:style w:type="table" w:styleId="844" w:customStyle="1">
    <w:name w:val="Grid Table 3"/>
    <w:uiPriority w:val="99"/>
    <w:qFormat/>
    <w:pPr>
      <w:spacing w:after="0" w:line="240" w:lineRule="auto"/>
    </w:pPr>
    <w:tblPr/>
  </w:style>
  <w:style w:type="table" w:styleId="845" w:customStyle="1">
    <w:name w:val="Grid Table 3 - Accent 1"/>
    <w:uiPriority w:val="99"/>
    <w:qFormat/>
    <w:pPr>
      <w:spacing w:after="0" w:line="240" w:lineRule="auto"/>
    </w:pPr>
    <w:tblPr/>
  </w:style>
  <w:style w:type="table" w:styleId="846" w:customStyle="1">
    <w:name w:val="Grid Table 3 - Accent 2"/>
    <w:uiPriority w:val="99"/>
    <w:qFormat/>
    <w:pPr>
      <w:spacing w:after="0" w:line="240" w:lineRule="auto"/>
    </w:pPr>
    <w:tblPr/>
  </w:style>
  <w:style w:type="table" w:styleId="847" w:customStyle="1">
    <w:name w:val="Grid Table 3 - Accent 3"/>
    <w:uiPriority w:val="99"/>
    <w:qFormat/>
    <w:pPr>
      <w:spacing w:after="0" w:line="240" w:lineRule="auto"/>
    </w:pPr>
    <w:tblPr/>
  </w:style>
  <w:style w:type="table" w:styleId="848" w:customStyle="1">
    <w:name w:val="Grid Table 3 - Accent 4"/>
    <w:uiPriority w:val="99"/>
    <w:qFormat/>
    <w:pPr>
      <w:spacing w:after="0" w:line="240" w:lineRule="auto"/>
    </w:pPr>
    <w:tblPr/>
  </w:style>
  <w:style w:type="table" w:styleId="849" w:customStyle="1">
    <w:name w:val="Grid Table 3 - Accent 5"/>
    <w:uiPriority w:val="99"/>
    <w:qFormat/>
    <w:pPr>
      <w:spacing w:after="0" w:line="240" w:lineRule="auto"/>
    </w:pPr>
    <w:tblPr/>
  </w:style>
  <w:style w:type="table" w:styleId="850" w:customStyle="1">
    <w:name w:val="Grid Table 3 - Accent 6"/>
    <w:uiPriority w:val="99"/>
    <w:qFormat/>
    <w:pPr>
      <w:spacing w:after="0" w:line="240" w:lineRule="auto"/>
    </w:pPr>
    <w:tblPr/>
  </w:style>
  <w:style w:type="table" w:styleId="851" w:customStyle="1">
    <w:name w:val="Grid Table 4"/>
    <w:uiPriority w:val="59"/>
    <w:qFormat/>
    <w:pPr>
      <w:spacing w:after="0" w:line="240" w:lineRule="auto"/>
    </w:pPr>
    <w:tblPr/>
  </w:style>
  <w:style w:type="table" w:styleId="852" w:customStyle="1">
    <w:name w:val="Grid Table 4 - Accent 1"/>
    <w:uiPriority w:val="59"/>
    <w:qFormat/>
    <w:pPr>
      <w:spacing w:after="0" w:line="240" w:lineRule="auto"/>
    </w:pPr>
    <w:tblPr/>
  </w:style>
  <w:style w:type="table" w:styleId="853" w:customStyle="1">
    <w:name w:val="Grid Table 4 - Accent 2"/>
    <w:uiPriority w:val="59"/>
    <w:qFormat/>
    <w:pPr>
      <w:spacing w:after="0" w:line="240" w:lineRule="auto"/>
    </w:pPr>
    <w:tblPr/>
  </w:style>
  <w:style w:type="table" w:styleId="854" w:customStyle="1">
    <w:name w:val="Grid Table 4 - Accent 3"/>
    <w:uiPriority w:val="59"/>
    <w:qFormat/>
    <w:pPr>
      <w:spacing w:after="0" w:line="240" w:lineRule="auto"/>
    </w:pPr>
    <w:tblPr/>
  </w:style>
  <w:style w:type="table" w:styleId="855" w:customStyle="1">
    <w:name w:val="Grid Table 4 - Accent 4"/>
    <w:uiPriority w:val="59"/>
    <w:qFormat/>
    <w:pPr>
      <w:spacing w:after="0" w:line="240" w:lineRule="auto"/>
    </w:pPr>
    <w:tblPr/>
  </w:style>
  <w:style w:type="table" w:styleId="856" w:customStyle="1">
    <w:name w:val="Grid Table 4 - Accent 5"/>
    <w:uiPriority w:val="59"/>
    <w:qFormat/>
    <w:pPr>
      <w:spacing w:after="0" w:line="240" w:lineRule="auto"/>
    </w:pPr>
    <w:tblPr/>
  </w:style>
  <w:style w:type="table" w:styleId="857" w:customStyle="1">
    <w:name w:val="Grid Table 4 - Accent 6"/>
    <w:uiPriority w:val="59"/>
    <w:qFormat/>
    <w:pPr>
      <w:spacing w:after="0" w:line="240" w:lineRule="auto"/>
    </w:pPr>
    <w:tblPr/>
  </w:style>
  <w:style w:type="table" w:styleId="858" w:customStyle="1">
    <w:name w:val="Grid Table 5 Dark"/>
    <w:uiPriority w:val="99"/>
    <w:qFormat/>
    <w:pPr>
      <w:spacing w:after="0" w:line="240" w:lineRule="auto"/>
    </w:pPr>
    <w:tblPr/>
  </w:style>
  <w:style w:type="table" w:styleId="859" w:customStyle="1">
    <w:name w:val="Grid Table 5 Dark- Accent 1"/>
    <w:uiPriority w:val="99"/>
    <w:qFormat/>
    <w:pPr>
      <w:spacing w:after="0" w:line="240" w:lineRule="auto"/>
    </w:pPr>
    <w:tblPr/>
  </w:style>
  <w:style w:type="table" w:styleId="860" w:customStyle="1">
    <w:name w:val="Grid Table 5 Dark - Accent 2"/>
    <w:uiPriority w:val="99"/>
    <w:qFormat/>
    <w:pPr>
      <w:spacing w:after="0" w:line="240" w:lineRule="auto"/>
    </w:pPr>
    <w:tblPr/>
  </w:style>
  <w:style w:type="table" w:styleId="861" w:customStyle="1">
    <w:name w:val="Grid Table 5 Dark - Accent 3"/>
    <w:uiPriority w:val="99"/>
    <w:qFormat/>
    <w:pPr>
      <w:spacing w:after="0" w:line="240" w:lineRule="auto"/>
    </w:pPr>
    <w:tblPr/>
  </w:style>
  <w:style w:type="table" w:styleId="862" w:customStyle="1">
    <w:name w:val="Grid Table 5 Dark- Accent 4"/>
    <w:uiPriority w:val="99"/>
    <w:qFormat/>
    <w:pPr>
      <w:spacing w:after="0" w:line="240" w:lineRule="auto"/>
    </w:pPr>
    <w:tblPr/>
  </w:style>
  <w:style w:type="table" w:styleId="863" w:customStyle="1">
    <w:name w:val="Grid Table 5 Dark - Accent 5"/>
    <w:uiPriority w:val="99"/>
    <w:qFormat/>
    <w:pPr>
      <w:spacing w:after="0" w:line="240" w:lineRule="auto"/>
    </w:pPr>
    <w:tblPr/>
  </w:style>
  <w:style w:type="table" w:styleId="864" w:customStyle="1">
    <w:name w:val="Grid Table 5 Dark - Accent 6"/>
    <w:uiPriority w:val="99"/>
    <w:qFormat/>
    <w:pPr>
      <w:spacing w:after="0" w:line="240" w:lineRule="auto"/>
    </w:pPr>
    <w:tblPr/>
  </w:style>
  <w:style w:type="table" w:styleId="865" w:customStyle="1">
    <w:name w:val="Grid Table 6 Colorful"/>
    <w:uiPriority w:val="99"/>
    <w:qFormat/>
    <w:pPr>
      <w:spacing w:after="0" w:line="240" w:lineRule="auto"/>
    </w:pPr>
    <w:tblPr/>
  </w:style>
  <w:style w:type="table" w:styleId="866" w:customStyle="1">
    <w:name w:val="Grid Table 6 Colorful - Accent 1"/>
    <w:uiPriority w:val="99"/>
    <w:qFormat/>
    <w:pPr>
      <w:spacing w:after="0" w:line="240" w:lineRule="auto"/>
    </w:pPr>
    <w:tblPr/>
  </w:style>
  <w:style w:type="table" w:styleId="867" w:customStyle="1">
    <w:name w:val="Grid Table 6 Colorful - Accent 2"/>
    <w:uiPriority w:val="99"/>
    <w:qFormat/>
    <w:pPr>
      <w:spacing w:after="0" w:line="240" w:lineRule="auto"/>
    </w:pPr>
    <w:tblPr/>
  </w:style>
  <w:style w:type="table" w:styleId="868" w:customStyle="1">
    <w:name w:val="Grid Table 6 Colorful - Accent 3"/>
    <w:uiPriority w:val="99"/>
    <w:qFormat/>
    <w:pPr>
      <w:spacing w:after="0" w:line="240" w:lineRule="auto"/>
    </w:pPr>
    <w:tblPr/>
  </w:style>
  <w:style w:type="table" w:styleId="869" w:customStyle="1">
    <w:name w:val="Grid Table 6 Colorful - Accent 4"/>
    <w:uiPriority w:val="99"/>
    <w:qFormat/>
    <w:pPr>
      <w:spacing w:after="0" w:line="240" w:lineRule="auto"/>
    </w:pPr>
    <w:tblPr/>
  </w:style>
  <w:style w:type="table" w:styleId="870" w:customStyle="1">
    <w:name w:val="Grid Table 6 Colorful - Accent 5"/>
    <w:uiPriority w:val="99"/>
    <w:qFormat/>
    <w:pPr>
      <w:spacing w:after="0" w:line="240" w:lineRule="auto"/>
    </w:pPr>
    <w:tblPr/>
  </w:style>
  <w:style w:type="table" w:styleId="871" w:customStyle="1">
    <w:name w:val="Grid Table 6 Colorful - Accent 6"/>
    <w:uiPriority w:val="99"/>
    <w:qFormat/>
    <w:pPr>
      <w:spacing w:after="0" w:line="240" w:lineRule="auto"/>
    </w:pPr>
    <w:tblPr/>
  </w:style>
  <w:style w:type="table" w:styleId="872" w:customStyle="1">
    <w:name w:val="Grid Table 7 Colorful"/>
    <w:uiPriority w:val="99"/>
    <w:qFormat/>
    <w:pPr>
      <w:spacing w:after="0" w:line="240" w:lineRule="auto"/>
    </w:pPr>
    <w:tblPr/>
  </w:style>
  <w:style w:type="table" w:styleId="873" w:customStyle="1">
    <w:name w:val="Grid Table 7 Colorful - Accent 1"/>
    <w:uiPriority w:val="99"/>
    <w:qFormat/>
    <w:pPr>
      <w:spacing w:after="0" w:line="240" w:lineRule="auto"/>
    </w:pPr>
    <w:tblPr/>
  </w:style>
  <w:style w:type="table" w:styleId="874" w:customStyle="1">
    <w:name w:val="Grid Table 7 Colorful - Accent 2"/>
    <w:uiPriority w:val="99"/>
    <w:qFormat/>
    <w:pPr>
      <w:spacing w:after="0" w:line="240" w:lineRule="auto"/>
    </w:pPr>
    <w:tblPr/>
  </w:style>
  <w:style w:type="table" w:styleId="875" w:customStyle="1">
    <w:name w:val="Grid Table 7 Colorful - Accent 3"/>
    <w:uiPriority w:val="99"/>
    <w:qFormat/>
    <w:pPr>
      <w:spacing w:after="0" w:line="240" w:lineRule="auto"/>
    </w:pPr>
    <w:tblPr/>
  </w:style>
  <w:style w:type="table" w:styleId="876" w:customStyle="1">
    <w:name w:val="Grid Table 7 Colorful - Accent 4"/>
    <w:uiPriority w:val="99"/>
    <w:qFormat/>
    <w:pPr>
      <w:spacing w:after="0" w:line="240" w:lineRule="auto"/>
    </w:pPr>
    <w:tblPr/>
  </w:style>
  <w:style w:type="table" w:styleId="877" w:customStyle="1">
    <w:name w:val="Grid Table 7 Colorful - Accent 5"/>
    <w:uiPriority w:val="99"/>
    <w:qFormat/>
    <w:pPr>
      <w:spacing w:after="0" w:line="240" w:lineRule="auto"/>
    </w:pPr>
    <w:tblPr/>
  </w:style>
  <w:style w:type="table" w:styleId="878" w:customStyle="1">
    <w:name w:val="Grid Table 7 Colorful - Accent 6"/>
    <w:uiPriority w:val="99"/>
    <w:qFormat/>
    <w:pPr>
      <w:spacing w:after="0" w:line="240" w:lineRule="auto"/>
    </w:pPr>
    <w:tblPr/>
  </w:style>
  <w:style w:type="table" w:styleId="879" w:customStyle="1">
    <w:name w:val="List Table 1 Light"/>
    <w:uiPriority w:val="99"/>
    <w:qFormat/>
    <w:pPr>
      <w:spacing w:after="0" w:line="240" w:lineRule="auto"/>
    </w:pPr>
    <w:tblPr/>
  </w:style>
  <w:style w:type="table" w:styleId="880" w:customStyle="1">
    <w:name w:val="List Table 1 Light - Accent 1"/>
    <w:uiPriority w:val="99"/>
    <w:qFormat/>
    <w:pPr>
      <w:spacing w:after="0" w:line="240" w:lineRule="auto"/>
    </w:pPr>
    <w:tblPr/>
  </w:style>
  <w:style w:type="table" w:styleId="881" w:customStyle="1">
    <w:name w:val="List Table 1 Light - Accent 2"/>
    <w:uiPriority w:val="99"/>
    <w:qFormat/>
    <w:pPr>
      <w:spacing w:after="0" w:line="240" w:lineRule="auto"/>
    </w:pPr>
    <w:tblPr/>
  </w:style>
  <w:style w:type="table" w:styleId="882" w:customStyle="1">
    <w:name w:val="List Table 1 Light - Accent 3"/>
    <w:uiPriority w:val="99"/>
    <w:qFormat/>
    <w:pPr>
      <w:spacing w:after="0" w:line="240" w:lineRule="auto"/>
    </w:pPr>
    <w:tblPr/>
  </w:style>
  <w:style w:type="table" w:styleId="883" w:customStyle="1">
    <w:name w:val="List Table 1 Light - Accent 4"/>
    <w:uiPriority w:val="99"/>
    <w:qFormat/>
    <w:pPr>
      <w:spacing w:after="0" w:line="240" w:lineRule="auto"/>
    </w:pPr>
    <w:tblPr/>
  </w:style>
  <w:style w:type="table" w:styleId="884" w:customStyle="1">
    <w:name w:val="List Table 1 Light - Accent 5"/>
    <w:uiPriority w:val="99"/>
    <w:qFormat/>
    <w:pPr>
      <w:spacing w:after="0" w:line="240" w:lineRule="auto"/>
    </w:pPr>
    <w:tblPr/>
  </w:style>
  <w:style w:type="table" w:styleId="885" w:customStyle="1">
    <w:name w:val="List Table 1 Light - Accent 6"/>
    <w:uiPriority w:val="99"/>
    <w:qFormat/>
    <w:pPr>
      <w:spacing w:after="0" w:line="240" w:lineRule="auto"/>
    </w:pPr>
    <w:tblPr/>
  </w:style>
  <w:style w:type="table" w:styleId="886" w:customStyle="1">
    <w:name w:val="List Table 2"/>
    <w:uiPriority w:val="99"/>
    <w:qFormat/>
    <w:pPr>
      <w:spacing w:after="0" w:line="240" w:lineRule="auto"/>
    </w:pPr>
    <w:tblPr/>
  </w:style>
  <w:style w:type="table" w:styleId="887" w:customStyle="1">
    <w:name w:val="List Table 2 - Accent 1"/>
    <w:uiPriority w:val="99"/>
    <w:qFormat/>
    <w:pPr>
      <w:spacing w:after="0" w:line="240" w:lineRule="auto"/>
    </w:pPr>
    <w:tblPr/>
  </w:style>
  <w:style w:type="table" w:styleId="888" w:customStyle="1">
    <w:name w:val="List Table 2 - Accent 2"/>
    <w:uiPriority w:val="99"/>
    <w:qFormat/>
    <w:pPr>
      <w:spacing w:after="0" w:line="240" w:lineRule="auto"/>
    </w:pPr>
    <w:tblPr/>
  </w:style>
  <w:style w:type="table" w:styleId="889" w:customStyle="1">
    <w:name w:val="List Table 2 - Accent 3"/>
    <w:uiPriority w:val="99"/>
    <w:qFormat/>
    <w:pPr>
      <w:spacing w:after="0" w:line="240" w:lineRule="auto"/>
    </w:pPr>
    <w:tblPr/>
  </w:style>
  <w:style w:type="table" w:styleId="890" w:customStyle="1">
    <w:name w:val="List Table 2 - Accent 4"/>
    <w:uiPriority w:val="99"/>
    <w:qFormat/>
    <w:pPr>
      <w:spacing w:after="0" w:line="240" w:lineRule="auto"/>
    </w:pPr>
    <w:tblPr/>
  </w:style>
  <w:style w:type="table" w:styleId="891" w:customStyle="1">
    <w:name w:val="List Table 2 - Accent 5"/>
    <w:uiPriority w:val="99"/>
    <w:qFormat/>
    <w:pPr>
      <w:spacing w:after="0" w:line="240" w:lineRule="auto"/>
    </w:pPr>
    <w:tblPr/>
  </w:style>
  <w:style w:type="table" w:styleId="892" w:customStyle="1">
    <w:name w:val="List Table 2 - Accent 6"/>
    <w:uiPriority w:val="99"/>
    <w:qFormat/>
    <w:pPr>
      <w:spacing w:after="0" w:line="240" w:lineRule="auto"/>
    </w:pPr>
    <w:tblPr/>
  </w:style>
  <w:style w:type="table" w:styleId="893" w:customStyle="1">
    <w:name w:val="List Table 3"/>
    <w:uiPriority w:val="99"/>
    <w:qFormat/>
    <w:pPr>
      <w:spacing w:after="0" w:line="240" w:lineRule="auto"/>
    </w:pPr>
    <w:tblPr/>
  </w:style>
  <w:style w:type="table" w:styleId="894" w:customStyle="1">
    <w:name w:val="List Table 3 - Accent 1"/>
    <w:uiPriority w:val="99"/>
    <w:qFormat/>
    <w:pPr>
      <w:spacing w:after="0" w:line="240" w:lineRule="auto"/>
    </w:pPr>
    <w:tblPr/>
  </w:style>
  <w:style w:type="table" w:styleId="895" w:customStyle="1">
    <w:name w:val="List Table 3 - Accent 2"/>
    <w:uiPriority w:val="99"/>
    <w:qFormat/>
    <w:pPr>
      <w:spacing w:after="0" w:line="240" w:lineRule="auto"/>
    </w:pPr>
    <w:tblPr/>
  </w:style>
  <w:style w:type="table" w:styleId="896" w:customStyle="1">
    <w:name w:val="List Table 3 - Accent 3"/>
    <w:uiPriority w:val="99"/>
    <w:qFormat/>
    <w:pPr>
      <w:spacing w:after="0" w:line="240" w:lineRule="auto"/>
    </w:pPr>
    <w:tblPr/>
  </w:style>
  <w:style w:type="table" w:styleId="897" w:customStyle="1">
    <w:name w:val="List Table 3 - Accent 4"/>
    <w:uiPriority w:val="99"/>
    <w:qFormat/>
    <w:pPr>
      <w:spacing w:after="0" w:line="240" w:lineRule="auto"/>
    </w:pPr>
    <w:tblPr/>
  </w:style>
  <w:style w:type="table" w:styleId="898" w:customStyle="1">
    <w:name w:val="List Table 3 - Accent 5"/>
    <w:uiPriority w:val="99"/>
    <w:qFormat/>
    <w:pPr>
      <w:spacing w:after="0" w:line="240" w:lineRule="auto"/>
    </w:pPr>
    <w:tblPr/>
  </w:style>
  <w:style w:type="table" w:styleId="899" w:customStyle="1">
    <w:name w:val="List Table 3 - Accent 6"/>
    <w:uiPriority w:val="99"/>
    <w:qFormat/>
    <w:pPr>
      <w:spacing w:after="0" w:line="240" w:lineRule="auto"/>
    </w:pPr>
    <w:tblPr/>
  </w:style>
  <w:style w:type="table" w:styleId="900" w:customStyle="1">
    <w:name w:val="List Table 4"/>
    <w:uiPriority w:val="99"/>
    <w:qFormat/>
    <w:pPr>
      <w:spacing w:after="0" w:line="240" w:lineRule="auto"/>
    </w:pPr>
    <w:tblPr/>
  </w:style>
  <w:style w:type="table" w:styleId="901" w:customStyle="1">
    <w:name w:val="List Table 4 - Accent 1"/>
    <w:uiPriority w:val="99"/>
    <w:qFormat/>
    <w:pPr>
      <w:spacing w:after="0" w:line="240" w:lineRule="auto"/>
    </w:pPr>
    <w:tblPr/>
  </w:style>
  <w:style w:type="table" w:styleId="902" w:customStyle="1">
    <w:name w:val="List Table 4 - Accent 2"/>
    <w:uiPriority w:val="99"/>
    <w:qFormat/>
    <w:pPr>
      <w:spacing w:after="0" w:line="240" w:lineRule="auto"/>
    </w:pPr>
    <w:tblPr/>
  </w:style>
  <w:style w:type="table" w:styleId="903" w:customStyle="1">
    <w:name w:val="List Table 4 - Accent 3"/>
    <w:uiPriority w:val="99"/>
    <w:qFormat/>
    <w:pPr>
      <w:spacing w:after="0" w:line="240" w:lineRule="auto"/>
    </w:pPr>
    <w:tblPr/>
  </w:style>
  <w:style w:type="table" w:styleId="904" w:customStyle="1">
    <w:name w:val="List Table 4 - Accent 4"/>
    <w:uiPriority w:val="99"/>
    <w:qFormat/>
    <w:pPr>
      <w:spacing w:after="0" w:line="240" w:lineRule="auto"/>
    </w:pPr>
    <w:tblPr/>
  </w:style>
  <w:style w:type="table" w:styleId="905" w:customStyle="1">
    <w:name w:val="List Table 4 - Accent 5"/>
    <w:uiPriority w:val="99"/>
    <w:qFormat/>
    <w:pPr>
      <w:spacing w:after="0" w:line="240" w:lineRule="auto"/>
    </w:pPr>
    <w:tblPr/>
  </w:style>
  <w:style w:type="table" w:styleId="906" w:customStyle="1">
    <w:name w:val="List Table 4 - Accent 6"/>
    <w:uiPriority w:val="99"/>
    <w:qFormat/>
    <w:pPr>
      <w:spacing w:after="0" w:line="240" w:lineRule="auto"/>
    </w:pPr>
    <w:tblPr/>
  </w:style>
  <w:style w:type="table" w:styleId="907" w:customStyle="1">
    <w:name w:val="List Table 5 Dark"/>
    <w:uiPriority w:val="99"/>
    <w:qFormat/>
    <w:pPr>
      <w:spacing w:after="0" w:line="240" w:lineRule="auto"/>
    </w:pPr>
    <w:tblPr/>
  </w:style>
  <w:style w:type="table" w:styleId="908" w:customStyle="1">
    <w:name w:val="List Table 5 Dark - Accent 1"/>
    <w:uiPriority w:val="99"/>
    <w:qFormat/>
    <w:pPr>
      <w:spacing w:after="0" w:line="240" w:lineRule="auto"/>
    </w:pPr>
    <w:tblPr/>
  </w:style>
  <w:style w:type="table" w:styleId="909" w:customStyle="1">
    <w:name w:val="List Table 5 Dark - Accent 2"/>
    <w:uiPriority w:val="99"/>
    <w:qFormat/>
    <w:pPr>
      <w:spacing w:after="0" w:line="240" w:lineRule="auto"/>
    </w:pPr>
    <w:tblPr/>
  </w:style>
  <w:style w:type="table" w:styleId="910" w:customStyle="1">
    <w:name w:val="List Table 5 Dark - Accent 3"/>
    <w:uiPriority w:val="99"/>
    <w:qFormat/>
    <w:pPr>
      <w:spacing w:after="0" w:line="240" w:lineRule="auto"/>
    </w:pPr>
    <w:tblPr/>
  </w:style>
  <w:style w:type="table" w:styleId="911" w:customStyle="1">
    <w:name w:val="List Table 5 Dark - Accent 4"/>
    <w:uiPriority w:val="99"/>
    <w:qFormat/>
    <w:pPr>
      <w:spacing w:after="0" w:line="240" w:lineRule="auto"/>
    </w:pPr>
    <w:tblPr/>
  </w:style>
  <w:style w:type="table" w:styleId="912" w:customStyle="1">
    <w:name w:val="List Table 5 Dark - Accent 5"/>
    <w:uiPriority w:val="99"/>
    <w:qFormat/>
    <w:pPr>
      <w:spacing w:after="0" w:line="240" w:lineRule="auto"/>
    </w:pPr>
    <w:tblPr/>
  </w:style>
  <w:style w:type="table" w:styleId="913" w:customStyle="1">
    <w:name w:val="List Table 5 Dark - Accent 6"/>
    <w:uiPriority w:val="99"/>
    <w:qFormat/>
    <w:pPr>
      <w:spacing w:after="0" w:line="240" w:lineRule="auto"/>
    </w:pPr>
    <w:tblPr/>
  </w:style>
  <w:style w:type="table" w:styleId="914" w:customStyle="1">
    <w:name w:val="List Table 6 Colorful"/>
    <w:uiPriority w:val="99"/>
    <w:qFormat/>
    <w:pPr>
      <w:spacing w:after="0" w:line="240" w:lineRule="auto"/>
    </w:pPr>
    <w:tblPr/>
  </w:style>
  <w:style w:type="table" w:styleId="915" w:customStyle="1">
    <w:name w:val="List Table 6 Colorful - Accent 1"/>
    <w:uiPriority w:val="99"/>
    <w:qFormat/>
    <w:pPr>
      <w:spacing w:after="0" w:line="240" w:lineRule="auto"/>
    </w:pPr>
    <w:tblPr/>
  </w:style>
  <w:style w:type="table" w:styleId="916" w:customStyle="1">
    <w:name w:val="List Table 6 Colorful - Accent 2"/>
    <w:uiPriority w:val="99"/>
    <w:qFormat/>
    <w:pPr>
      <w:spacing w:after="0" w:line="240" w:lineRule="auto"/>
    </w:pPr>
    <w:tblPr/>
  </w:style>
  <w:style w:type="table" w:styleId="917" w:customStyle="1">
    <w:name w:val="List Table 6 Colorful - Accent 3"/>
    <w:uiPriority w:val="99"/>
    <w:qFormat/>
    <w:pPr>
      <w:spacing w:after="0" w:line="240" w:lineRule="auto"/>
    </w:pPr>
    <w:tblPr/>
  </w:style>
  <w:style w:type="table" w:styleId="918" w:customStyle="1">
    <w:name w:val="List Table 6 Colorful - Accent 4"/>
    <w:uiPriority w:val="99"/>
    <w:qFormat/>
    <w:pPr>
      <w:spacing w:after="0" w:line="240" w:lineRule="auto"/>
    </w:pPr>
    <w:tblPr/>
  </w:style>
  <w:style w:type="table" w:styleId="919" w:customStyle="1">
    <w:name w:val="List Table 6 Colorful - Accent 5"/>
    <w:uiPriority w:val="99"/>
    <w:qFormat/>
    <w:pPr>
      <w:spacing w:after="0" w:line="240" w:lineRule="auto"/>
    </w:pPr>
    <w:tblPr/>
  </w:style>
  <w:style w:type="table" w:styleId="920" w:customStyle="1">
    <w:name w:val="List Table 6 Colorful - Accent 6"/>
    <w:uiPriority w:val="99"/>
    <w:qFormat/>
    <w:pPr>
      <w:spacing w:after="0" w:line="240" w:lineRule="auto"/>
    </w:pPr>
    <w:tblPr/>
  </w:style>
  <w:style w:type="table" w:styleId="921" w:customStyle="1">
    <w:name w:val="List Table 7 Colorful"/>
    <w:uiPriority w:val="99"/>
    <w:qFormat/>
    <w:pPr>
      <w:spacing w:after="0" w:line="240" w:lineRule="auto"/>
    </w:pPr>
    <w:tblPr/>
  </w:style>
  <w:style w:type="table" w:styleId="922" w:customStyle="1">
    <w:name w:val="List Table 7 Colorful - Accent 1"/>
    <w:uiPriority w:val="99"/>
    <w:qFormat/>
    <w:pPr>
      <w:spacing w:after="0" w:line="240" w:lineRule="auto"/>
    </w:pPr>
    <w:tblPr/>
  </w:style>
  <w:style w:type="table" w:styleId="923" w:customStyle="1">
    <w:name w:val="List Table 7 Colorful - Accent 2"/>
    <w:uiPriority w:val="99"/>
    <w:qFormat/>
    <w:pPr>
      <w:spacing w:after="0" w:line="240" w:lineRule="auto"/>
    </w:pPr>
    <w:tblPr/>
  </w:style>
  <w:style w:type="table" w:styleId="924" w:customStyle="1">
    <w:name w:val="List Table 7 Colorful - Accent 3"/>
    <w:uiPriority w:val="99"/>
    <w:qFormat/>
    <w:pPr>
      <w:spacing w:after="0" w:line="240" w:lineRule="auto"/>
    </w:pPr>
    <w:tblPr/>
  </w:style>
  <w:style w:type="table" w:styleId="925" w:customStyle="1">
    <w:name w:val="List Table 7 Colorful - Accent 4"/>
    <w:uiPriority w:val="99"/>
    <w:qFormat/>
    <w:pPr>
      <w:spacing w:after="0" w:line="240" w:lineRule="auto"/>
    </w:pPr>
    <w:tblPr/>
  </w:style>
  <w:style w:type="table" w:styleId="926" w:customStyle="1">
    <w:name w:val="List Table 7 Colorful - Accent 5"/>
    <w:uiPriority w:val="99"/>
    <w:qFormat/>
    <w:pPr>
      <w:spacing w:after="0" w:line="240" w:lineRule="auto"/>
    </w:pPr>
    <w:tblPr/>
  </w:style>
  <w:style w:type="table" w:styleId="927" w:customStyle="1">
    <w:name w:val="List Table 7 Colorful - Accent 6"/>
    <w:uiPriority w:val="99"/>
    <w:qFormat/>
    <w:pPr>
      <w:spacing w:after="0" w:line="240" w:lineRule="auto"/>
    </w:pPr>
    <w:tblPr/>
  </w:style>
  <w:style w:type="table" w:styleId="928" w:customStyle="1">
    <w:name w:val="Lined - Accent"/>
    <w:uiPriority w:val="99"/>
    <w:qFormat/>
    <w:pPr>
      <w:spacing w:after="0" w:line="240" w:lineRule="auto"/>
    </w:pPr>
    <w:rPr>
      <w:color w:val="404040"/>
    </w:rPr>
    <w:tblPr/>
  </w:style>
  <w:style w:type="table" w:styleId="929" w:customStyle="1">
    <w:name w:val="Lined - Accent 1"/>
    <w:uiPriority w:val="99"/>
    <w:qFormat/>
    <w:pPr>
      <w:spacing w:after="0" w:line="240" w:lineRule="auto"/>
    </w:pPr>
    <w:rPr>
      <w:color w:val="404040"/>
    </w:rPr>
    <w:tblPr/>
  </w:style>
  <w:style w:type="table" w:styleId="930" w:customStyle="1">
    <w:name w:val="Lined - Accent 2"/>
    <w:uiPriority w:val="99"/>
    <w:qFormat/>
    <w:pPr>
      <w:spacing w:after="0" w:line="240" w:lineRule="auto"/>
    </w:pPr>
    <w:rPr>
      <w:color w:val="404040"/>
    </w:rPr>
    <w:tblPr/>
  </w:style>
  <w:style w:type="table" w:styleId="931" w:customStyle="1">
    <w:name w:val="Lined - Accent 3"/>
    <w:uiPriority w:val="99"/>
    <w:qFormat/>
    <w:pPr>
      <w:spacing w:after="0" w:line="240" w:lineRule="auto"/>
    </w:pPr>
    <w:rPr>
      <w:color w:val="404040"/>
    </w:rPr>
    <w:tblPr/>
  </w:style>
  <w:style w:type="table" w:styleId="932" w:customStyle="1">
    <w:name w:val="Lined - Accent 4"/>
    <w:uiPriority w:val="99"/>
    <w:qFormat/>
    <w:pPr>
      <w:spacing w:after="0" w:line="240" w:lineRule="auto"/>
    </w:pPr>
    <w:rPr>
      <w:color w:val="404040"/>
    </w:rPr>
    <w:tblPr/>
  </w:style>
  <w:style w:type="table" w:styleId="933" w:customStyle="1">
    <w:name w:val="Lined - Accent 5"/>
    <w:uiPriority w:val="99"/>
    <w:qFormat/>
    <w:pPr>
      <w:spacing w:after="0" w:line="240" w:lineRule="auto"/>
    </w:pPr>
    <w:rPr>
      <w:color w:val="404040"/>
    </w:rPr>
    <w:tblPr/>
  </w:style>
  <w:style w:type="table" w:styleId="934" w:customStyle="1">
    <w:name w:val="Lined - Accent 6"/>
    <w:uiPriority w:val="99"/>
    <w:qFormat/>
    <w:pPr>
      <w:spacing w:after="0" w:line="240" w:lineRule="auto"/>
    </w:pPr>
    <w:rPr>
      <w:color w:val="404040"/>
    </w:rPr>
    <w:tblPr/>
  </w:style>
  <w:style w:type="table" w:styleId="935" w:customStyle="1">
    <w:name w:val="Bordered &amp; Lined - Accent"/>
    <w:uiPriority w:val="99"/>
    <w:qFormat/>
    <w:pPr>
      <w:spacing w:after="0" w:line="240" w:lineRule="auto"/>
    </w:pPr>
    <w:rPr>
      <w:color w:val="404040"/>
    </w:rPr>
    <w:tblPr/>
  </w:style>
  <w:style w:type="table" w:styleId="936" w:customStyle="1">
    <w:name w:val="Bordered &amp; Lined - Accent 1"/>
    <w:uiPriority w:val="99"/>
    <w:qFormat/>
    <w:pPr>
      <w:spacing w:after="0" w:line="240" w:lineRule="auto"/>
    </w:pPr>
    <w:rPr>
      <w:color w:val="404040"/>
    </w:rPr>
    <w:tblPr/>
  </w:style>
  <w:style w:type="table" w:styleId="937" w:customStyle="1">
    <w:name w:val="Bordered &amp; Lined - Accent 2"/>
    <w:uiPriority w:val="99"/>
    <w:qFormat/>
    <w:pPr>
      <w:spacing w:after="0" w:line="240" w:lineRule="auto"/>
    </w:pPr>
    <w:rPr>
      <w:color w:val="404040"/>
    </w:rPr>
    <w:tblPr/>
  </w:style>
  <w:style w:type="table" w:styleId="938" w:customStyle="1">
    <w:name w:val="Bordered &amp; Lined - Accent 3"/>
    <w:uiPriority w:val="99"/>
    <w:qFormat/>
    <w:pPr>
      <w:spacing w:after="0" w:line="240" w:lineRule="auto"/>
    </w:pPr>
    <w:rPr>
      <w:color w:val="404040"/>
    </w:rPr>
    <w:tblPr/>
  </w:style>
  <w:style w:type="table" w:styleId="939" w:customStyle="1">
    <w:name w:val="Bordered &amp; Lined - Accent 4"/>
    <w:uiPriority w:val="99"/>
    <w:qFormat/>
    <w:pPr>
      <w:spacing w:after="0" w:line="240" w:lineRule="auto"/>
    </w:pPr>
    <w:rPr>
      <w:color w:val="404040"/>
    </w:rPr>
    <w:tblPr/>
  </w:style>
  <w:style w:type="table" w:styleId="940" w:customStyle="1">
    <w:name w:val="Bordered &amp; Lined - Accent 5"/>
    <w:uiPriority w:val="99"/>
    <w:qFormat/>
    <w:pPr>
      <w:spacing w:after="0" w:line="240" w:lineRule="auto"/>
    </w:pPr>
    <w:rPr>
      <w:color w:val="404040"/>
    </w:rPr>
    <w:tblPr/>
  </w:style>
  <w:style w:type="table" w:styleId="941" w:customStyle="1">
    <w:name w:val="Bordered &amp; Lined - Accent 6"/>
    <w:uiPriority w:val="99"/>
    <w:qFormat/>
    <w:pPr>
      <w:spacing w:after="0" w:line="240" w:lineRule="auto"/>
    </w:pPr>
    <w:rPr>
      <w:color w:val="404040"/>
    </w:rPr>
    <w:tblPr/>
  </w:style>
  <w:style w:type="table" w:styleId="942" w:customStyle="1">
    <w:name w:val="Bordered"/>
    <w:uiPriority w:val="99"/>
    <w:qFormat/>
    <w:pPr>
      <w:spacing w:after="0" w:line="240" w:lineRule="auto"/>
    </w:pPr>
    <w:tblPr/>
  </w:style>
  <w:style w:type="table" w:styleId="943" w:customStyle="1">
    <w:name w:val="Bordered - Accent 1"/>
    <w:uiPriority w:val="99"/>
    <w:qFormat/>
    <w:pPr>
      <w:spacing w:after="0" w:line="240" w:lineRule="auto"/>
    </w:pPr>
    <w:tblPr/>
  </w:style>
  <w:style w:type="table" w:styleId="944" w:customStyle="1">
    <w:name w:val="Bordered - Accent 2"/>
    <w:uiPriority w:val="99"/>
    <w:qFormat/>
    <w:pPr>
      <w:spacing w:after="0" w:line="240" w:lineRule="auto"/>
    </w:pPr>
    <w:tblPr/>
  </w:style>
  <w:style w:type="table" w:styleId="945" w:customStyle="1">
    <w:name w:val="Bordered - Accent 3"/>
    <w:uiPriority w:val="99"/>
    <w:qFormat/>
    <w:pPr>
      <w:spacing w:after="0" w:line="240" w:lineRule="auto"/>
    </w:pPr>
    <w:tblPr/>
  </w:style>
  <w:style w:type="table" w:styleId="946" w:customStyle="1">
    <w:name w:val="Bordered - Accent 4"/>
    <w:uiPriority w:val="99"/>
    <w:qFormat/>
    <w:pPr>
      <w:spacing w:after="0" w:line="240" w:lineRule="auto"/>
    </w:pPr>
    <w:tblPr/>
  </w:style>
  <w:style w:type="table" w:styleId="947" w:customStyle="1">
    <w:name w:val="Bordered - Accent 5"/>
    <w:uiPriority w:val="99"/>
    <w:qFormat/>
    <w:pPr>
      <w:spacing w:after="0" w:line="240" w:lineRule="auto"/>
    </w:pPr>
    <w:tblPr/>
  </w:style>
  <w:style w:type="table" w:styleId="948" w:customStyle="1">
    <w:name w:val="Bordered - Accent 6"/>
    <w:uiPriority w:val="99"/>
    <w:qFormat/>
    <w:pPr>
      <w:spacing w:after="0" w:line="240" w:lineRule="auto"/>
    </w:pPr>
    <w:tbl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29"/>
    <w:next w:val="729"/>
    <w:link w:val="951"/>
    <w:uiPriority w:val="0"/>
    <w:qFormat/>
    <w:pPr>
      <w:jc w:val="center"/>
      <w:keepNext/>
      <w:outlineLvl w:val="0"/>
    </w:pPr>
    <w:rPr>
      <w:rFonts w:ascii="楷体_GB2312" w:eastAsia="楷体_GB2312"/>
      <w:sz w:val="28"/>
      <w:szCs w:val="28"/>
      <w:lang w:val="en-US" w:eastAsia="en-US"/>
    </w:rPr>
  </w:style>
  <w:style w:type="character" w:styleId="951" w:customStyle="1">
    <w:name w:val="标题 1 Char"/>
    <w:link w:val="950"/>
    <w:uiPriority w:val="0"/>
    <w:qFormat/>
    <w:rPr>
      <w:rFonts w:ascii="楷体_GB2312" w:hAnsi="Times New Roman" w:eastAsia="楷体_GB2312" w:cs="Times New Roman"/>
      <w:sz w:val="28"/>
      <w:szCs w:val="28"/>
    </w:rPr>
  </w:style>
  <w:style w:type="paragraph" w:styleId="952" w:customStyle="1">
    <w:name w:val="标题 21"/>
    <w:basedOn w:val="729"/>
    <w:next w:val="953"/>
    <w:link w:val="954"/>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53" w:customStyle="1">
    <w:name w:val="正文缩进1"/>
    <w:basedOn w:val="729"/>
    <w:link w:val="955"/>
    <w:uiPriority w:val="0"/>
    <w:qFormat/>
    <w:pPr>
      <w:ind w:firstLine="420"/>
    </w:pPr>
    <w:rPr>
      <w:sz w:val="20"/>
      <w:szCs w:val="21"/>
      <w:lang w:val="en-US" w:eastAsia="en-US"/>
    </w:rPr>
  </w:style>
  <w:style w:type="character" w:styleId="954" w:customStyle="1">
    <w:name w:val="标题 2 Char"/>
    <w:link w:val="952"/>
    <w:uiPriority w:val="0"/>
    <w:qFormat/>
    <w:rPr>
      <w:rFonts w:ascii="Arial" w:hAnsi="Arial" w:eastAsia="幼圆" w:cs="Arial"/>
      <w:b/>
      <w:bCs/>
      <w:sz w:val="44"/>
      <w:szCs w:val="44"/>
    </w:rPr>
  </w:style>
  <w:style w:type="character" w:styleId="955" w:customStyle="1">
    <w:name w:val="正文缩进 Char"/>
    <w:link w:val="953"/>
    <w:uiPriority w:val="0"/>
    <w:qFormat/>
    <w:rPr>
      <w:szCs w:val="21"/>
    </w:rPr>
  </w:style>
  <w:style w:type="paragraph" w:styleId="956" w:customStyle="1">
    <w:name w:val="标题 31"/>
    <w:basedOn w:val="729"/>
    <w:next w:val="953"/>
    <w:link w:val="957"/>
    <w:uiPriority w:val="0"/>
    <w:qFormat/>
    <w:pPr>
      <w:keepLines/>
      <w:keepNext/>
      <w:spacing w:before="260" w:after="260" w:line="416" w:lineRule="auto"/>
      <w:outlineLvl w:val="2"/>
    </w:pPr>
    <w:rPr>
      <w:b/>
      <w:bCs/>
      <w:sz w:val="32"/>
      <w:szCs w:val="32"/>
      <w:lang w:val="en-US" w:eastAsia="en-US"/>
    </w:rPr>
  </w:style>
  <w:style w:type="character" w:styleId="957" w:customStyle="1">
    <w:name w:val="标题 3 Char"/>
    <w:link w:val="956"/>
    <w:uiPriority w:val="0"/>
    <w:qFormat/>
    <w:rPr>
      <w:rFonts w:ascii="Times New Roman" w:hAnsi="Times New Roman" w:eastAsia="宋体" w:cs="Times New Roman"/>
      <w:b/>
      <w:bCs/>
      <w:sz w:val="32"/>
      <w:szCs w:val="32"/>
    </w:rPr>
  </w:style>
  <w:style w:type="paragraph" w:styleId="958" w:customStyle="1">
    <w:name w:val="标题 41"/>
    <w:basedOn w:val="729"/>
    <w:next w:val="953"/>
    <w:link w:val="959"/>
    <w:uiPriority w:val="0"/>
    <w:qFormat/>
    <w:pPr>
      <w:keepLines/>
      <w:keepNext/>
      <w:spacing w:before="280" w:after="290" w:line="376" w:lineRule="auto"/>
      <w:outlineLvl w:val="3"/>
    </w:pPr>
    <w:rPr>
      <w:rFonts w:ascii="Arial" w:hAnsi="Arial" w:eastAsia="黑体"/>
      <w:b/>
      <w:bCs/>
      <w:sz w:val="28"/>
      <w:szCs w:val="28"/>
      <w:lang w:val="en-US" w:eastAsia="en-US"/>
    </w:rPr>
  </w:style>
  <w:style w:type="character" w:styleId="959" w:customStyle="1">
    <w:name w:val="标题 4 Char"/>
    <w:link w:val="958"/>
    <w:uiPriority w:val="0"/>
    <w:qFormat/>
    <w:rPr>
      <w:rFonts w:ascii="Arial" w:hAnsi="Arial" w:eastAsia="黑体" w:cs="Arial"/>
      <w:b/>
      <w:bCs/>
      <w:sz w:val="28"/>
      <w:szCs w:val="28"/>
    </w:rPr>
  </w:style>
  <w:style w:type="paragraph" w:styleId="960" w:customStyle="1">
    <w:name w:val="标题 51"/>
    <w:basedOn w:val="729"/>
    <w:next w:val="953"/>
    <w:link w:val="961"/>
    <w:uiPriority w:val="0"/>
    <w:qFormat/>
    <w:pPr>
      <w:keepNext/>
      <w:outlineLvl w:val="4"/>
    </w:pPr>
    <w:rPr>
      <w:rFonts w:ascii="宋体"/>
      <w:color w:val="000000"/>
      <w:sz w:val="28"/>
      <w:szCs w:val="28"/>
      <w:lang w:val="en-US" w:eastAsia="en-US"/>
    </w:rPr>
  </w:style>
  <w:style w:type="character" w:styleId="961" w:customStyle="1">
    <w:name w:val="标题 5 Char"/>
    <w:link w:val="960"/>
    <w:uiPriority w:val="0"/>
    <w:qFormat/>
    <w:rPr>
      <w:rFonts w:ascii="宋体" w:hAnsi="Times New Roman" w:eastAsia="宋体" w:cs="Times New Roman"/>
      <w:color w:val="000000"/>
      <w:sz w:val="28"/>
      <w:szCs w:val="28"/>
    </w:rPr>
  </w:style>
  <w:style w:type="paragraph" w:styleId="962" w:customStyle="1">
    <w:name w:val="标题 61"/>
    <w:basedOn w:val="729"/>
    <w:next w:val="729"/>
    <w:link w:val="963"/>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963" w:customStyle="1">
    <w:name w:val="标题 6 Char"/>
    <w:link w:val="962"/>
    <w:uiPriority w:val="0"/>
    <w:qFormat/>
    <w:rPr>
      <w:rFonts w:ascii="Arial" w:hAnsi="Arial" w:eastAsia="黑体" w:cs="Times New Roman"/>
      <w:b/>
      <w:bCs/>
      <w:sz w:val="24"/>
      <w:szCs w:val="24"/>
    </w:rPr>
  </w:style>
  <w:style w:type="paragraph" w:styleId="964" w:customStyle="1">
    <w:name w:val="标题 71"/>
    <w:basedOn w:val="729"/>
    <w:next w:val="729"/>
    <w:link w:val="965"/>
    <w:uiPriority w:val="0"/>
    <w:qFormat/>
    <w:pPr>
      <w:numPr>
        <w:ilvl w:val="6"/>
        <w:numId w:val="1"/>
      </w:numPr>
      <w:keepLines/>
      <w:keepNext/>
      <w:spacing w:before="240" w:after="64" w:line="320" w:lineRule="auto"/>
      <w:outlineLvl w:val="6"/>
    </w:pPr>
    <w:rPr>
      <w:b/>
      <w:bCs/>
      <w:sz w:val="24"/>
      <w:szCs w:val="24"/>
      <w:lang w:val="en-US" w:eastAsia="en-US"/>
    </w:rPr>
  </w:style>
  <w:style w:type="character" w:styleId="965" w:customStyle="1">
    <w:name w:val="标题 7 Char"/>
    <w:link w:val="964"/>
    <w:uiPriority w:val="0"/>
    <w:qFormat/>
    <w:rPr>
      <w:rFonts w:ascii="Times New Roman" w:hAnsi="Times New Roman" w:eastAsia="宋体" w:cs="Times New Roman"/>
      <w:b/>
      <w:bCs/>
      <w:sz w:val="24"/>
      <w:szCs w:val="24"/>
    </w:rPr>
  </w:style>
  <w:style w:type="paragraph" w:styleId="966" w:customStyle="1">
    <w:name w:val="标题 81"/>
    <w:basedOn w:val="729"/>
    <w:next w:val="729"/>
    <w:link w:val="967"/>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967" w:customStyle="1">
    <w:name w:val="标题 8 Char"/>
    <w:link w:val="966"/>
    <w:uiPriority w:val="0"/>
    <w:qFormat/>
    <w:rPr>
      <w:rFonts w:ascii="Arial" w:hAnsi="Arial" w:eastAsia="黑体" w:cs="Times New Roman"/>
      <w:sz w:val="24"/>
      <w:szCs w:val="24"/>
    </w:rPr>
  </w:style>
  <w:style w:type="paragraph" w:styleId="968" w:customStyle="1">
    <w:name w:val="标题 91"/>
    <w:basedOn w:val="729"/>
    <w:next w:val="729"/>
    <w:link w:val="969"/>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69" w:customStyle="1">
    <w:name w:val="标题 9 Char"/>
    <w:link w:val="968"/>
    <w:uiPriority w:val="0"/>
    <w:qFormat/>
    <w:rPr>
      <w:rFonts w:ascii="Arial" w:hAnsi="Arial" w:eastAsia="黑体" w:cs="Times New Roman"/>
      <w:szCs w:val="21"/>
    </w:rPr>
  </w:style>
  <w:style w:type="character" w:styleId="970" w:customStyle="1">
    <w:name w:val="默认段落字体1"/>
    <w:link w:val="729"/>
    <w:uiPriority w:val="1"/>
    <w:unhideWhenUsed/>
    <w:qFormat/>
  </w:style>
  <w:style w:type="table" w:styleId="971" w:customStyle="1">
    <w:name w:val="普通表格1"/>
    <w:uiPriority w:val="99"/>
    <w:unhideWhenUsed/>
    <w:qFormat/>
    <w:tblPr/>
  </w:style>
  <w:style w:type="paragraph" w:styleId="972" w:customStyle="1">
    <w:name w:val="列表 31"/>
    <w:basedOn w:val="729"/>
    <w:uiPriority w:val="0"/>
    <w:qFormat/>
    <w:pPr>
      <w:ind w:left="100" w:hanging="200"/>
    </w:pPr>
    <w:rPr>
      <w:rFonts w:ascii="Times New Roman" w:hAnsi="Times New Roman" w:eastAsia="宋体" w:cs="Times New Roman"/>
      <w:szCs w:val="21"/>
    </w:rPr>
  </w:style>
  <w:style w:type="paragraph" w:styleId="973" w:customStyle="1">
    <w:name w:val="目录 71"/>
    <w:basedOn w:val="729"/>
    <w:next w:val="729"/>
    <w:uiPriority w:val="0"/>
    <w:semiHidden/>
    <w:qFormat/>
    <w:pPr>
      <w:ind w:left="1260"/>
      <w:jc w:val="left"/>
    </w:pPr>
    <w:rPr>
      <w:rFonts w:ascii="Times New Roman" w:hAnsi="Times New Roman" w:eastAsia="宋体" w:cs="Times New Roman"/>
      <w:szCs w:val="21"/>
    </w:rPr>
  </w:style>
  <w:style w:type="paragraph" w:styleId="974" w:customStyle="1">
    <w:name w:val="文档结构图1"/>
    <w:basedOn w:val="729"/>
    <w:link w:val="975"/>
    <w:uiPriority w:val="0"/>
    <w:semiHidden/>
    <w:qFormat/>
    <w:pPr>
      <w:shd w:val="clear" w:color="auto" w:fill="000080"/>
    </w:pPr>
    <w:rPr>
      <w:sz w:val="20"/>
      <w:szCs w:val="21"/>
      <w:lang w:val="en-US"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9"/>
    <w:link w:val="977"/>
    <w:uiPriority w:val="99"/>
    <w:unhideWhenUsed/>
    <w:qFormat/>
    <w:pPr>
      <w:jc w:val="left"/>
    </w:pPr>
  </w:style>
  <w:style w:type="character" w:styleId="977" w:customStyle="1">
    <w:name w:val="批注文字 Char"/>
    <w:link w:val="976"/>
    <w:uiPriority w:val="99"/>
    <w:semiHidden/>
    <w:qFormat/>
  </w:style>
  <w:style w:type="paragraph" w:styleId="978" w:customStyle="1">
    <w:name w:val="正文文本 31"/>
    <w:basedOn w:val="729"/>
    <w:link w:val="979"/>
    <w:uiPriority w:val="0"/>
    <w:qFormat/>
    <w:rPr>
      <w:rFonts w:ascii="仿宋_GB2312" w:hAnsi="Arial" w:eastAsia="仿宋_GB2312"/>
      <w:sz w:val="32"/>
      <w:szCs w:val="32"/>
      <w:lang w:val="en-US"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缩进1"/>
    <w:basedOn w:val="729"/>
    <w:link w:val="981"/>
    <w:uiPriority w:val="99"/>
    <w:unhideWhenUsed/>
    <w:qFormat/>
    <w:pPr>
      <w:ind w:left="420"/>
      <w:spacing w:after="120"/>
    </w:pPr>
  </w:style>
  <w:style w:type="character" w:styleId="981" w:customStyle="1">
    <w:name w:val="正文文本缩进 Char"/>
    <w:link w:val="980"/>
    <w:uiPriority w:val="99"/>
    <w:semiHidden/>
    <w:qFormat/>
  </w:style>
  <w:style w:type="paragraph" w:styleId="982" w:customStyle="1">
    <w:name w:val="列表 21"/>
    <w:basedOn w:val="729"/>
    <w:uiPriority w:val="0"/>
    <w:qFormat/>
    <w:pPr>
      <w:ind w:left="100" w:hanging="200"/>
    </w:pPr>
    <w:rPr>
      <w:rFonts w:ascii="Times New Roman" w:hAnsi="Times New Roman" w:eastAsia="宋体" w:cs="Times New Roman"/>
      <w:szCs w:val="21"/>
    </w:rPr>
  </w:style>
  <w:style w:type="paragraph" w:styleId="983" w:customStyle="1">
    <w:name w:val="目录 51"/>
    <w:basedOn w:val="729"/>
    <w:next w:val="729"/>
    <w:uiPriority w:val="0"/>
    <w:semiHidden/>
    <w:qFormat/>
    <w:pPr>
      <w:ind w:left="840"/>
      <w:jc w:val="left"/>
    </w:pPr>
    <w:rPr>
      <w:rFonts w:ascii="Times New Roman" w:hAnsi="Times New Roman" w:eastAsia="宋体" w:cs="Times New Roman"/>
      <w:szCs w:val="21"/>
    </w:rPr>
  </w:style>
  <w:style w:type="paragraph" w:styleId="984" w:customStyle="1">
    <w:name w:val="目录 31"/>
    <w:basedOn w:val="729"/>
    <w:next w:val="729"/>
    <w:uiPriority w:val="0"/>
    <w:semiHidden/>
    <w:qFormat/>
    <w:pPr>
      <w:ind w:left="420"/>
      <w:jc w:val="left"/>
    </w:pPr>
    <w:rPr>
      <w:rFonts w:ascii="Times New Roman" w:hAnsi="Times New Roman" w:eastAsia="宋体" w:cs="Times New Roman"/>
      <w:i/>
      <w:iCs/>
      <w:szCs w:val="24"/>
    </w:rPr>
  </w:style>
  <w:style w:type="paragraph" w:styleId="985" w:customStyle="1">
    <w:name w:val="纯文本1"/>
    <w:basedOn w:val="729"/>
    <w:link w:val="986"/>
    <w:uiPriority w:val="0"/>
    <w:qFormat/>
    <w:rPr>
      <w:rFonts w:ascii="宋体" w:hAnsi="Courier New"/>
      <w:sz w:val="20"/>
      <w:szCs w:val="21"/>
      <w:lang w:val="en-US" w:eastAsia="en-US"/>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目录 81"/>
    <w:basedOn w:val="729"/>
    <w:next w:val="729"/>
    <w:uiPriority w:val="0"/>
    <w:semiHidden/>
    <w:qFormat/>
    <w:pPr>
      <w:ind w:left="1470"/>
      <w:jc w:val="left"/>
    </w:pPr>
    <w:rPr>
      <w:rFonts w:ascii="Times New Roman" w:hAnsi="Times New Roman" w:eastAsia="宋体" w:cs="Times New Roman"/>
      <w:szCs w:val="21"/>
    </w:rPr>
  </w:style>
  <w:style w:type="paragraph" w:styleId="988" w:customStyle="1">
    <w:name w:val="日期1"/>
    <w:basedOn w:val="729"/>
    <w:next w:val="729"/>
    <w:link w:val="989"/>
    <w:uiPriority w:val="0"/>
    <w:qFormat/>
    <w:rPr>
      <w:sz w:val="24"/>
      <w:szCs w:val="24"/>
      <w:lang w:val="en-US" w:eastAsia="en-US"/>
    </w:rPr>
  </w:style>
  <w:style w:type="character" w:styleId="989" w:customStyle="1">
    <w:name w:val="日期 Char"/>
    <w:link w:val="988"/>
    <w:uiPriority w:val="0"/>
    <w:qFormat/>
    <w:rPr>
      <w:rFonts w:ascii="Times New Roman" w:hAnsi="Times New Roman" w:eastAsia="宋体" w:cs="Times New Roman"/>
      <w:sz w:val="24"/>
      <w:szCs w:val="24"/>
    </w:rPr>
  </w:style>
  <w:style w:type="paragraph" w:styleId="990" w:customStyle="1">
    <w:name w:val="正文文本缩进 21"/>
    <w:basedOn w:val="729"/>
    <w:link w:val="991"/>
    <w:uiPriority w:val="0"/>
    <w:qFormat/>
    <w:pPr>
      <w:ind w:left="630" w:firstLine="645"/>
    </w:pPr>
    <w:rPr>
      <w:rFonts w:ascii="Arial" w:hAnsi="Arial" w:eastAsia="仿宋_GB2312"/>
      <w:sz w:val="32"/>
      <w:szCs w:val="32"/>
      <w:lang w:val="en-US" w:eastAsia="en-US"/>
    </w:rPr>
  </w:style>
  <w:style w:type="character" w:styleId="991" w:customStyle="1">
    <w:name w:val="正文文本缩进 2 Char"/>
    <w:link w:val="990"/>
    <w:uiPriority w:val="0"/>
    <w:qFormat/>
    <w:rPr>
      <w:rFonts w:ascii="Arial" w:hAnsi="Arial" w:eastAsia="仿宋_GB2312" w:cs="Arial"/>
      <w:sz w:val="32"/>
      <w:szCs w:val="32"/>
    </w:rPr>
  </w:style>
  <w:style w:type="paragraph" w:styleId="992" w:customStyle="1">
    <w:name w:val="批注框文本1"/>
    <w:basedOn w:val="729"/>
    <w:link w:val="993"/>
    <w:uiPriority w:val="0"/>
    <w:semiHidden/>
    <w:qFormat/>
    <w:rPr>
      <w:sz w:val="18"/>
      <w:szCs w:val="18"/>
      <w:lang w:val="en-US" w:eastAsia="en-US"/>
    </w:rPr>
  </w:style>
  <w:style w:type="character" w:styleId="993" w:customStyle="1">
    <w:name w:val="批注框文本 Char"/>
    <w:link w:val="992"/>
    <w:uiPriority w:val="0"/>
    <w:semiHidden/>
    <w:qFormat/>
    <w:rPr>
      <w:rFonts w:ascii="Times New Roman" w:hAnsi="Times New Roman" w:eastAsia="宋体" w:cs="Times New Roman"/>
      <w:sz w:val="18"/>
      <w:szCs w:val="18"/>
    </w:rPr>
  </w:style>
  <w:style w:type="paragraph" w:styleId="994" w:customStyle="1">
    <w:name w:val="页脚1"/>
    <w:basedOn w:val="729"/>
    <w:link w:val="995"/>
    <w:uiPriority w:val="0"/>
    <w:qFormat/>
    <w:pPr>
      <w:jc w:val="left"/>
      <w:tabs>
        <w:tab w:val="center" w:pos="4153" w:leader="none"/>
        <w:tab w:val="right" w:pos="8306" w:leader="none"/>
      </w:tabs>
    </w:pPr>
    <w:rPr>
      <w:sz w:val="18"/>
      <w:szCs w:val="18"/>
      <w:lang w:val="en-US" w:eastAsia="en-US"/>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页眉1"/>
    <w:basedOn w:val="729"/>
    <w:link w:val="997"/>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97" w:customStyle="1">
    <w:name w:val="页眉 Char"/>
    <w:link w:val="996"/>
    <w:uiPriority w:val="0"/>
    <w:qFormat/>
    <w:rPr>
      <w:rFonts w:ascii="Times New Roman" w:hAnsi="Times New Roman" w:eastAsia="宋体" w:cs="Times New Roman"/>
      <w:sz w:val="18"/>
      <w:szCs w:val="18"/>
    </w:rPr>
  </w:style>
  <w:style w:type="paragraph" w:styleId="998" w:customStyle="1">
    <w:name w:val="目录 11"/>
    <w:basedOn w:val="729"/>
    <w:next w:val="72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9" w:customStyle="1">
    <w:name w:val="目录 41"/>
    <w:basedOn w:val="729"/>
    <w:next w:val="729"/>
    <w:uiPriority w:val="0"/>
    <w:semiHidden/>
    <w:qFormat/>
    <w:pPr>
      <w:ind w:left="630"/>
      <w:jc w:val="left"/>
    </w:pPr>
    <w:rPr>
      <w:rFonts w:ascii="Times New Roman" w:hAnsi="Times New Roman" w:eastAsia="宋体" w:cs="Times New Roman"/>
      <w:szCs w:val="21"/>
    </w:rPr>
  </w:style>
  <w:style w:type="paragraph" w:styleId="1000" w:customStyle="1">
    <w:name w:val="列表1"/>
    <w:basedOn w:val="729"/>
    <w:uiPriority w:val="0"/>
    <w:qFormat/>
    <w:pPr>
      <w:ind w:left="200" w:hanging="200"/>
    </w:pPr>
    <w:rPr>
      <w:rFonts w:ascii="Times New Roman" w:hAnsi="Times New Roman" w:eastAsia="宋体" w:cs="Times New Roman"/>
      <w:szCs w:val="21"/>
    </w:rPr>
  </w:style>
  <w:style w:type="paragraph" w:styleId="1001" w:customStyle="1">
    <w:name w:val="目录 61"/>
    <w:basedOn w:val="729"/>
    <w:next w:val="729"/>
    <w:uiPriority w:val="0"/>
    <w:semiHidden/>
    <w:qFormat/>
    <w:pPr>
      <w:ind w:left="1050"/>
      <w:jc w:val="left"/>
    </w:pPr>
    <w:rPr>
      <w:rFonts w:ascii="Times New Roman" w:hAnsi="Times New Roman" w:eastAsia="宋体" w:cs="Times New Roman"/>
      <w:szCs w:val="21"/>
    </w:rPr>
  </w:style>
  <w:style w:type="paragraph" w:styleId="1002" w:customStyle="1">
    <w:name w:val="正文文本缩进 31"/>
    <w:basedOn w:val="729"/>
    <w:link w:val="1003"/>
    <w:uiPriority w:val="0"/>
    <w:qFormat/>
    <w:pPr>
      <w:ind w:left="645" w:firstLine="645"/>
    </w:pPr>
    <w:rPr>
      <w:rFonts w:ascii="Arial" w:hAnsi="Arial" w:eastAsia="仿宋_GB2312"/>
      <w:color w:val="ffff00"/>
      <w:sz w:val="32"/>
      <w:szCs w:val="32"/>
      <w:lang w:val="en-US" w:eastAsia="en-US"/>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图表目录1"/>
    <w:basedOn w:val="729"/>
    <w:next w:val="729"/>
    <w:uiPriority w:val="0"/>
    <w:semiHidden/>
    <w:qFormat/>
    <w:pPr>
      <w:ind w:left="840" w:hanging="420"/>
    </w:pPr>
    <w:rPr>
      <w:rFonts w:ascii="Times New Roman" w:hAnsi="Times New Roman" w:eastAsia="宋体" w:cs="Times New Roman"/>
      <w:szCs w:val="21"/>
    </w:rPr>
  </w:style>
  <w:style w:type="paragraph" w:styleId="1005" w:customStyle="1">
    <w:name w:val="目录 21"/>
    <w:basedOn w:val="729"/>
    <w:next w:val="729"/>
    <w:uiPriority w:val="0"/>
    <w:semiHidden/>
    <w:qFormat/>
    <w:pPr>
      <w:ind w:left="210"/>
      <w:jc w:val="left"/>
    </w:pPr>
    <w:rPr>
      <w:rFonts w:ascii="Times New Roman" w:hAnsi="Times New Roman" w:eastAsia="宋体" w:cs="Times New Roman"/>
      <w:smallCaps/>
      <w:szCs w:val="24"/>
    </w:rPr>
  </w:style>
  <w:style w:type="paragraph" w:styleId="1006" w:customStyle="1">
    <w:name w:val="目录 91"/>
    <w:basedOn w:val="729"/>
    <w:next w:val="729"/>
    <w:uiPriority w:val="0"/>
    <w:semiHidden/>
    <w:qFormat/>
    <w:pPr>
      <w:ind w:left="1680"/>
      <w:jc w:val="left"/>
    </w:pPr>
    <w:rPr>
      <w:rFonts w:ascii="Times New Roman" w:hAnsi="Times New Roman" w:eastAsia="宋体" w:cs="Times New Roman"/>
      <w:szCs w:val="21"/>
    </w:rPr>
  </w:style>
  <w:style w:type="paragraph" w:styleId="1007" w:customStyle="1">
    <w:name w:val="正文文本 21"/>
    <w:basedOn w:val="729"/>
    <w:link w:val="1008"/>
    <w:uiPriority w:val="0"/>
    <w:qFormat/>
    <w:pPr>
      <w:jc w:val="center"/>
      <w:widowControl/>
    </w:pPr>
    <w:rPr>
      <w:rFonts w:ascii="楷体_GB2312" w:eastAsia="楷体_GB2312"/>
      <w:sz w:val="28"/>
      <w:szCs w:val="28"/>
      <w:lang w:val="en-US" w:eastAsia="en-US"/>
    </w:rPr>
  </w:style>
  <w:style w:type="character" w:styleId="1008" w:customStyle="1">
    <w:name w:val="正文文本 2 Char"/>
    <w:link w:val="1007"/>
    <w:uiPriority w:val="0"/>
    <w:qFormat/>
    <w:rPr>
      <w:rFonts w:ascii="楷体_GB2312" w:hAnsi="Times New Roman" w:eastAsia="楷体_GB2312" w:cs="Times New Roman"/>
      <w:sz w:val="28"/>
      <w:szCs w:val="28"/>
    </w:rPr>
  </w:style>
  <w:style w:type="paragraph" w:styleId="1009" w:customStyle="1">
    <w:name w:val="普通(网站)1"/>
    <w:basedOn w:val="729"/>
    <w:uiPriority w:val="99"/>
    <w:qFormat/>
    <w:pPr>
      <w:jc w:val="left"/>
      <w:spacing w:before="100" w:beforeAutospacing="1" w:after="100" w:afterAutospacing="1"/>
      <w:widowControl/>
    </w:pPr>
    <w:rPr>
      <w:rFonts w:ascii="宋体" w:hAnsi="宋体" w:eastAsia="宋体" w:cs="宋体"/>
      <w:sz w:val="24"/>
      <w:szCs w:val="24"/>
    </w:rPr>
  </w:style>
  <w:style w:type="paragraph" w:styleId="1010" w:customStyle="1">
    <w:name w:val="索引 11"/>
    <w:basedOn w:val="729"/>
    <w:next w:val="729"/>
    <w:uiPriority w:val="0"/>
    <w:semiHidden/>
    <w:qFormat/>
    <w:pPr>
      <w:spacing w:line="240" w:lineRule="atLeast"/>
    </w:pPr>
    <w:rPr>
      <w:rFonts w:ascii="Times New Roman" w:hAnsi="Times New Roman" w:eastAsia="宋体" w:cs="Times New Roman"/>
      <w:b/>
      <w:bCs/>
      <w:szCs w:val="21"/>
    </w:rPr>
  </w:style>
  <w:style w:type="paragraph" w:styleId="1011" w:customStyle="1">
    <w:name w:val="批注主题1"/>
    <w:basedOn w:val="976"/>
    <w:next w:val="976"/>
    <w:link w:val="1012"/>
    <w:uiPriority w:val="0"/>
    <w:semiHidden/>
    <w:qFormat/>
    <w:rPr>
      <w:b/>
      <w:bCs/>
      <w:sz w:val="20"/>
      <w:szCs w:val="21"/>
      <w:lang w:val="en-US" w:eastAsia="en-US"/>
    </w:rPr>
  </w:style>
  <w:style w:type="character" w:styleId="1012" w:customStyle="1">
    <w:name w:val="批注主题 Char"/>
    <w:link w:val="1011"/>
    <w:uiPriority w:val="0"/>
    <w:semiHidden/>
    <w:qFormat/>
    <w:rPr>
      <w:rFonts w:ascii="Times New Roman" w:hAnsi="Times New Roman" w:eastAsia="宋体" w:cs="Times New Roman"/>
      <w:b/>
      <w:bCs/>
      <w:szCs w:val="21"/>
    </w:rPr>
  </w:style>
  <w:style w:type="paragraph" w:styleId="1013" w:customStyle="1">
    <w:name w:val="正文首行缩进 21"/>
    <w:basedOn w:val="980"/>
    <w:link w:val="1014"/>
    <w:uiPriority w:val="0"/>
    <w:qFormat/>
    <w:pPr>
      <w:ind w:left="0" w:firstLine="420"/>
      <w:spacing w:after="0" w:line="360" w:lineRule="auto"/>
    </w:pPr>
    <w:rPr>
      <w:rFonts w:ascii="宋体" w:hAnsi="宋体"/>
      <w:sz w:val="20"/>
      <w:szCs w:val="20"/>
      <w:lang w:val="en-US" w:eastAsia="en-US"/>
    </w:rPr>
  </w:style>
  <w:style w:type="character" w:styleId="1014" w:customStyle="1">
    <w:name w:val="正文首行缩进 2 Char"/>
    <w:link w:val="1013"/>
    <w:uiPriority w:val="0"/>
    <w:qFormat/>
    <w:rPr>
      <w:rFonts w:ascii="宋体" w:hAnsi="宋体" w:eastAsia="宋体" w:cs="Times New Roman"/>
      <w:szCs w:val="20"/>
    </w:rPr>
  </w:style>
  <w:style w:type="table" w:styleId="1015"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16" w:customStyle="1">
    <w:name w:val="要点1"/>
    <w:link w:val="729"/>
    <w:uiPriority w:val="0"/>
    <w:qFormat/>
    <w:rPr>
      <w:b/>
      <w:bCs/>
    </w:rPr>
  </w:style>
  <w:style w:type="character" w:styleId="1017" w:customStyle="1">
    <w:name w:val="页码1"/>
    <w:link w:val="729"/>
    <w:uiPriority w:val="0"/>
    <w:qFormat/>
  </w:style>
  <w:style w:type="character" w:styleId="1018" w:customStyle="1">
    <w:name w:val="已访问的超链接1"/>
    <w:link w:val="729"/>
    <w:uiPriority w:val="0"/>
    <w:qFormat/>
    <w:rPr>
      <w:color w:val="800080"/>
      <w:u w:val="single"/>
    </w:rPr>
  </w:style>
  <w:style w:type="character" w:styleId="1019" w:customStyle="1">
    <w:name w:val="超链接11"/>
    <w:link w:val="729"/>
    <w:uiPriority w:val="0"/>
    <w:qFormat/>
    <w:rPr>
      <w:color w:val="0000ff"/>
      <w:u w:val="single"/>
    </w:rPr>
  </w:style>
  <w:style w:type="character" w:styleId="1020" w:customStyle="1">
    <w:name w:val="批注引用1"/>
    <w:link w:val="729"/>
    <w:uiPriority w:val="0"/>
    <w:semiHidden/>
    <w:qFormat/>
    <w:rPr>
      <w:sz w:val="21"/>
      <w:szCs w:val="21"/>
    </w:rPr>
  </w:style>
  <w:style w:type="character" w:styleId="1021" w:customStyle="1">
    <w:name w:val="font5 Char"/>
    <w:link w:val="729"/>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b/>
      <w:sz w:val="30"/>
      <w:szCs w:val="28"/>
      <w:lang w:val="en-US" w:eastAsia="zh-CN" w:bidi="ar-SA"/>
    </w:rPr>
  </w:style>
  <w:style w:type="paragraph" w:styleId="1023" w:customStyle="1">
    <w:name w:val="二级目录"/>
    <w:next w:val="729"/>
    <w:link w:val="102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29"/>
    <w:link w:val="1024"/>
    <w:uiPriority w:val="0"/>
    <w:qFormat/>
    <w:pPr>
      <w:contextualSpacing/>
      <w:ind w:left="720"/>
      <w:jc w:val="left"/>
      <w:widowControl/>
    </w:pPr>
    <w:rPr>
      <w:rFonts w:ascii="Calibri" w:hAnsi="Calibri"/>
      <w:sz w:val="24"/>
      <w:szCs w:val="24"/>
      <w:lang w:val="en-US" w:eastAsia="en-US" w:bidi="en-US"/>
    </w:rPr>
  </w:style>
  <w:style w:type="paragraph" w:styleId="1026" w:customStyle="1">
    <w:name w:val="Body Text(ch)"/>
    <w:basedOn w:val="729"/>
    <w:next w:val="814"/>
    <w:uiPriority w:val="0"/>
    <w:qFormat/>
    <w:pPr>
      <w:spacing w:after="120"/>
    </w:pPr>
    <w:rPr>
      <w:rFonts w:ascii="宋体" w:hAnsi="Arial" w:eastAsia="宋体" w:cs="Times New Roman"/>
      <w:bCs/>
      <w:iCs/>
      <w:szCs w:val="24"/>
    </w:rPr>
  </w:style>
  <w:style w:type="paragraph" w:styleId="1027"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customStyle="1">
    <w:name w:val="Char"/>
    <w:basedOn w:val="729"/>
    <w:uiPriority w:val="0"/>
    <w:qFormat/>
    <w:pPr>
      <w:ind w:firstLine="200"/>
      <w:tabs>
        <w:tab w:val="left" w:pos="360" w:leader="none"/>
      </w:tabs>
    </w:pPr>
    <w:rPr>
      <w:rFonts w:ascii="Times New Roman" w:hAnsi="Times New Roman" w:eastAsia="宋体" w:cs="Times New Roman"/>
      <w:sz w:val="28"/>
      <w:szCs w:val="30"/>
    </w:rPr>
  </w:style>
  <w:style w:type="paragraph" w:styleId="1030" w:customStyle="1">
    <w:name w:val=" Char"/>
    <w:basedOn w:val="974"/>
    <w:uiPriority w:val="0"/>
    <w:qFormat/>
    <w:rPr>
      <w:rFonts w:ascii="Tahoma" w:hAnsi="Tahoma"/>
      <w:sz w:val="24"/>
      <w:szCs w:val="24"/>
    </w:rPr>
  </w:style>
  <w:style w:type="paragraph" w:styleId="1031" w:customStyle="1">
    <w:name w:val="普通正文"/>
    <w:basedOn w:val="729"/>
    <w:uiPriority w:val="0"/>
    <w:qFormat/>
    <w:pPr>
      <w:ind w:firstLine="480"/>
      <w:jc w:val="left"/>
      <w:spacing w:before="120" w:after="120" w:line="360" w:lineRule="auto"/>
    </w:pPr>
    <w:rPr>
      <w:rFonts w:ascii="Arial" w:hAnsi="Arial" w:eastAsia="宋体" w:cs="Times New Roman"/>
      <w:sz w:val="24"/>
      <w:szCs w:val="24"/>
    </w:rPr>
  </w:style>
  <w:style w:type="paragraph" w:styleId="1032" w:customStyle="1">
    <w:name w:val="table_lines"/>
    <w:basedOn w:val="729"/>
    <w:uiPriority w:val="0"/>
    <w:qFormat/>
    <w:pPr>
      <w:jc w:val="left"/>
      <w:widowControl/>
    </w:pPr>
    <w:rPr>
      <w:rFonts w:ascii="Times New Roman" w:hAnsi="Times New Roman" w:eastAsia="宋体" w:cs="Times New Roman"/>
      <w:sz w:val="20"/>
      <w:szCs w:val="20"/>
      <w:lang w:val="de-DE" w:eastAsia="de-DE"/>
    </w:rPr>
  </w:style>
  <w:style w:type="paragraph" w:styleId="103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4" w:customStyle="1">
    <w:name w:val="font7"/>
    <w:basedOn w:val="72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5" w:customStyle="1">
    <w:name w:val=" Char Char Char Char"/>
    <w:basedOn w:val="974"/>
    <w:uiPriority w:val="0"/>
    <w:qFormat/>
    <w:pPr>
      <w:spacing w:line="360" w:lineRule="auto"/>
    </w:pPr>
    <w:rPr>
      <w:rFonts w:ascii="Tahoma" w:hAnsi="Tahoma"/>
      <w:sz w:val="24"/>
      <w:szCs w:val="24"/>
    </w:rPr>
  </w:style>
  <w:style w:type="paragraph" w:styleId="1036" w:customStyle="1">
    <w:name w:val="列出段落"/>
    <w:basedOn w:val="729"/>
    <w:uiPriority w:val="34"/>
    <w:qFormat/>
    <w:pPr>
      <w:contextualSpacing/>
      <w:ind w:left="720"/>
      <w:jc w:val="left"/>
      <w:widowControl/>
    </w:pPr>
    <w:rPr>
      <w:rFonts w:ascii="Calibri" w:hAnsi="Calibri" w:eastAsia="宋体" w:cs="Times New Roman"/>
      <w:sz w:val="24"/>
      <w:szCs w:val="24"/>
      <w:lang w:eastAsia="en-US" w:bidi="en-US"/>
    </w:rPr>
  </w:style>
  <w:style w:type="paragraph" w:styleId="1037" w:customStyle="1">
    <w:name w:val="4"/>
    <w:basedOn w:val="729"/>
    <w:next w:val="1002"/>
    <w:uiPriority w:val="0"/>
    <w:qFormat/>
    <w:pPr>
      <w:ind w:firstLine="420"/>
      <w:spacing w:line="360" w:lineRule="auto"/>
    </w:pPr>
    <w:rPr>
      <w:rFonts w:ascii="Times New Roman" w:hAnsi="Times New Roman" w:eastAsia="宋体" w:cs="Times New Roman"/>
      <w:color w:val="ff0000"/>
      <w:sz w:val="24"/>
      <w:szCs w:val="24"/>
    </w:rPr>
  </w:style>
  <w:style w:type="paragraph" w:styleId="1038" w:customStyle="1">
    <w:name w:val="普通 (Web)"/>
    <w:basedOn w:val="729"/>
    <w:uiPriority w:val="0"/>
    <w:qFormat/>
    <w:pPr>
      <w:jc w:val="left"/>
      <w:spacing w:before="100" w:beforeAutospacing="1" w:after="100" w:afterAutospacing="1"/>
      <w:widowControl/>
    </w:pPr>
    <w:rPr>
      <w:rFonts w:ascii="宋体" w:hAnsi="宋体" w:eastAsia="宋体" w:cs="Times New Roman"/>
      <w:sz w:val="24"/>
      <w:szCs w:val="24"/>
    </w:rPr>
  </w:style>
  <w:style w:type="paragraph" w:styleId="1039" w:customStyle="1">
    <w:name w:val=" Char Char Char Char Char Char Char Char Char Char"/>
    <w:basedOn w:val="729"/>
    <w:uiPriority w:val="0"/>
    <w:qFormat/>
    <w:pPr>
      <w:spacing w:line="360" w:lineRule="auto"/>
    </w:pPr>
    <w:rPr>
      <w:rFonts w:ascii="Times New Roman" w:hAnsi="Times New Roman" w:eastAsia="宋体" w:cs="Times New Roman"/>
      <w:sz w:val="24"/>
      <w:szCs w:val="20"/>
    </w:rPr>
  </w:style>
  <w:style w:type="paragraph" w:styleId="1040" w:customStyle="1">
    <w:name w:val="样式1"/>
    <w:basedOn w:val="729"/>
    <w:uiPriority w:val="0"/>
    <w:qFormat/>
    <w:pPr>
      <w:numPr>
        <w:ilvl w:val="0"/>
        <w:numId w:val="3"/>
      </w:numPr>
    </w:pPr>
    <w:rPr>
      <w:rFonts w:ascii="宋体" w:hAnsi="宋体" w:eastAsia="宋体" w:cs="Times New Roman"/>
      <w:szCs w:val="21"/>
    </w:rPr>
  </w:style>
  <w:style w:type="paragraph" w:styleId="1041" w:customStyle="1">
    <w:name w:val="font6"/>
    <w:basedOn w:val="72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2"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4" w:customStyle="1">
    <w:name w:val="标题3"/>
    <w:basedOn w:val="729"/>
    <w:next w:val="729"/>
    <w:uiPriority w:val="0"/>
    <w:qFormat/>
    <w:pPr>
      <w:ind w:firstLine="624"/>
      <w:spacing w:line="590" w:lineRule="atLeast"/>
    </w:pPr>
    <w:rPr>
      <w:rFonts w:ascii="方正黑体_GBK" w:hAnsi="Times New Roman" w:eastAsia="方正黑体_GBK" w:cs="Times New Roman"/>
      <w:sz w:val="32"/>
      <w:szCs w:val="32"/>
    </w:rPr>
  </w:style>
  <w:style w:type="paragraph" w:styleId="1045"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6"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7" w:customStyle="1">
    <w:name w:val="Char Char Char Char Char Char Char Char"/>
    <w:basedOn w:val="729"/>
    <w:uiPriority w:val="0"/>
    <w:qFormat/>
    <w:pPr>
      <w:jc w:val="left"/>
      <w:spacing w:after="160" w:line="240" w:lineRule="exact"/>
      <w:widowControl/>
    </w:pPr>
    <w:rPr>
      <w:rFonts w:ascii="Verdana" w:hAnsi="Verdana" w:eastAsia="宋体" w:cs="Times New Roman"/>
      <w:sz w:val="20"/>
      <w:szCs w:val="20"/>
      <w:lang w:eastAsia="en-US"/>
    </w:rPr>
  </w:style>
  <w:style w:type="paragraph" w:styleId="1048"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9" w:customStyle="1">
    <w:name w:val=" Char Char Char Char Char Char Char Char"/>
    <w:basedOn w:val="729"/>
    <w:uiPriority w:val="0"/>
    <w:qFormat/>
    <w:pPr>
      <w:jc w:val="left"/>
      <w:spacing w:after="160" w:line="240" w:lineRule="exact"/>
      <w:widowControl/>
    </w:pPr>
    <w:rPr>
      <w:rFonts w:ascii="Verdana" w:hAnsi="Verdana" w:eastAsia="宋体" w:cs="Times New Roman"/>
      <w:sz w:val="20"/>
      <w:szCs w:val="20"/>
      <w:lang w:eastAsia="en-US"/>
    </w:rPr>
  </w:style>
  <w:style w:type="paragraph" w:styleId="1050" w:customStyle="1">
    <w:name w:val="xl30"/>
    <w:basedOn w:val="72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1" w:customStyle="1">
    <w:name w:val="Char Char Char Char"/>
    <w:basedOn w:val="974"/>
    <w:uiPriority w:val="0"/>
    <w:qFormat/>
    <w:pPr>
      <w:spacing w:line="360" w:lineRule="auto"/>
    </w:pPr>
    <w:rPr>
      <w:rFonts w:ascii="Tahoma" w:hAnsi="Tahoma"/>
      <w:sz w:val="24"/>
      <w:szCs w:val="24"/>
    </w:rPr>
  </w:style>
  <w:style w:type="paragraph" w:styleId="1052" w:customStyle="1">
    <w:name w:val="table_1stline"/>
    <w:basedOn w:val="72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3" w:customStyle="1">
    <w:name w:val="font5"/>
    <w:basedOn w:val="72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4" w:customStyle="1">
    <w:name w:val="标题1"/>
    <w:basedOn w:val="729"/>
    <w:next w:val="72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7" w:customStyle="1">
    <w:name w:val="引文目录标题1"/>
    <w:basedOn w:val="729"/>
    <w:next w:val="729"/>
    <w:uiPriority w:val="0"/>
    <w:qFormat/>
    <w:pPr>
      <w:spacing w:before="120"/>
    </w:pPr>
    <w:rPr>
      <w:rFonts w:ascii="Arial" w:hAnsi="Arial"/>
      <w:sz w:val="24"/>
    </w:rPr>
  </w:style>
  <w:style w:type="paragraph" w:styleId="1058" w:customStyle="1">
    <w:name w:val="段"/>
    <w:next w:val="1059"/>
    <w:uiPriority w:val="0"/>
    <w:qFormat/>
    <w:pPr>
      <w:ind w:firstLine="200"/>
      <w:jc w:val="both"/>
    </w:pPr>
    <w:rPr>
      <w:rFonts w:hint="default" w:ascii="宋体" w:hAnsi="Times New Roman" w:eastAsia="Times New Roman" w:cs="Times New Roman"/>
      <w:sz w:val="21"/>
      <w:lang w:val="en-US" w:eastAsia="zh-CN" w:bidi="ar-SA"/>
    </w:rPr>
  </w:style>
  <w:style w:type="paragraph" w:styleId="1059" w:customStyle="1">
    <w:name w:val="正文 A"/>
    <w:next w:val="1058"/>
    <w:uiPriority w:val="0"/>
    <w:qFormat/>
    <w:pPr>
      <w:jc w:val="both"/>
      <w:widowControl w:val="off"/>
    </w:pPr>
    <w:rPr>
      <w:rFonts w:hint="default" w:ascii="Times New Roman" w:hAnsi="Times New Roman" w:eastAsia="Segoe UI" w:cs="Segoe UI"/>
      <w:color w:val="000000"/>
      <w:sz w:val="21"/>
      <w:szCs w:val="21"/>
      <w:lang w:val="en-US" w:eastAsia="zh-CN" w:bidi="ar-SA"/>
    </w:rPr>
  </w:style>
  <w:style w:type="paragraph" w:styleId="1060" w:customStyle="1">
    <w:name w:val="正文首行缩进1"/>
    <w:basedOn w:val="1061"/>
    <w:uiPriority w:val="0"/>
    <w:qFormat/>
    <w:pPr>
      <w:ind w:firstLine="200"/>
      <w:spacing w:line="360" w:lineRule="auto"/>
    </w:pPr>
    <w:rPr>
      <w:rFonts w:ascii="仿宋_GB2312" w:hAnsi="Times New Roman" w:eastAsia="仿宋_GB2312"/>
      <w:sz w:val="30"/>
      <w:szCs w:val="30"/>
    </w:rPr>
  </w:style>
  <w:style w:type="paragraph" w:styleId="1061" w:customStyle="1">
    <w:name w:val="正文文本1"/>
    <w:basedOn w:val="729"/>
    <w:next w:val="729"/>
    <w:uiPriority w:val="0"/>
    <w:qFormat/>
    <w:rPr>
      <w:rFonts w:ascii="楷体_GB2312" w:hAnsi="Arial" w:eastAsia="楷体_GB2312"/>
      <w:sz w:val="28"/>
      <w:szCs w:val="28"/>
      <w:lang w:eastAsia="en-US"/>
    </w:rPr>
  </w:style>
  <w:style w:type="paragraph" w:styleId="1062" w:customStyle="1">
    <w:name w:val="正文缩进2格"/>
    <w:basedOn w:val="729"/>
    <w:uiPriority w:val="0"/>
    <w:qFormat/>
    <w:pPr>
      <w:ind w:firstLine="639"/>
      <w:spacing w:line="600" w:lineRule="exact"/>
    </w:pPr>
    <w:rPr>
      <w:rFonts w:ascii="仿宋_GB2312" w:hAnsi="宋体" w:eastAsia="仿宋_GB2312"/>
      <w:sz w:val="31"/>
      <w:szCs w:val="28"/>
      <w:lang w:eastAsia="en-US"/>
    </w:rPr>
  </w:style>
  <w:style w:type="paragraph" w:styleId="10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64" w:customStyle="1">
    <w:name w:val="一级条标题"/>
    <w:basedOn w:val="1065"/>
    <w:next w:val="1058"/>
    <w:uiPriority w:val="0"/>
    <w:qFormat/>
    <w:pPr>
      <w:numPr>
        <w:ilvl w:val="2"/>
      </w:numPr>
    </w:pPr>
  </w:style>
  <w:style w:type="paragraph" w:styleId="1065" w:customStyle="1">
    <w:name w:val="章标题"/>
    <w:next w:val="729"/>
    <w:uiPriority w:val="0"/>
    <w:qFormat/>
    <w:pPr>
      <w:numPr>
        <w:ilvl w:val="1"/>
        <w:numId w:val="4"/>
      </w:numPr>
      <w:jc w:val="both"/>
      <w:widowControl w:val="off"/>
    </w:pPr>
    <w:rPr>
      <w:rFonts w:hint="default" w:ascii="宋体" w:hAnsi="宋体" w:eastAsia="宋体" w:cs="Times New Roman"/>
      <w:sz w:val="21"/>
      <w:szCs w:val="24"/>
      <w:lang w:val="en-US" w:eastAsia="zh-CN" w:bidi="ar-SA"/>
    </w:rPr>
  </w:style>
  <w:style w:type="paragraph" w:styleId="1066" w:customStyle="1">
    <w:name w:val="纯文本11"/>
    <w:basedOn w:val="729"/>
    <w:uiPriority w:val="0"/>
    <w:qFormat/>
    <w:rPr>
      <w:rFonts w:ascii="宋体" w:hAnsi="Courier New" w:cs="Courier New"/>
    </w:rPr>
  </w:style>
  <w:style w:type="paragraph" w:styleId="1067" w:customStyle="1">
    <w:name w:val="正文首行缩进 211"/>
    <w:basedOn w:val="1068"/>
    <w:uiPriority w:val="0"/>
    <w:qFormat/>
    <w:pPr>
      <w:ind w:firstLine="420"/>
      <w:spacing w:line="360" w:lineRule="auto"/>
    </w:pPr>
    <w:rPr>
      <w:rFonts w:ascii="宋体" w:hAnsi="宋体" w:eastAsia="宋体"/>
      <w:sz w:val="21"/>
      <w:szCs w:val="20"/>
    </w:rPr>
  </w:style>
  <w:style w:type="paragraph" w:styleId="1068" w:customStyle="1">
    <w:name w:val="正文文本缩进11"/>
    <w:basedOn w:val="729"/>
    <w:uiPriority w:val="0"/>
    <w:qFormat/>
    <w:pPr>
      <w:ind w:firstLine="645"/>
    </w:pPr>
    <w:rPr>
      <w:rFonts w:ascii="楷体_GB2312" w:eastAsia="楷体_GB2312"/>
      <w:sz w:val="32"/>
      <w:szCs w:val="32"/>
    </w:rPr>
  </w:style>
  <w:style w:type="paragraph" w:styleId="1069" w:customStyle="1">
    <w:name w:val="列表段落"/>
    <w:basedOn w:val="729"/>
    <w:uiPriority w:val="0"/>
    <w:qFormat/>
    <w:pPr>
      <w:contextualSpacing/>
      <w:ind w:left="720"/>
      <w:jc w:val="left"/>
      <w:widowControl/>
    </w:pPr>
    <w:rPr>
      <w:rFonts w:ascii="Calibri" w:hAnsi="Calibri"/>
      <w:sz w:val="24"/>
      <w:szCs w:val="24"/>
      <w:lang w:eastAsia="en-US" w:bidi="en-US"/>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陈君妍</cp:lastModifiedBy>
  <cp:revision>68</cp:revision>
  <dcterms:created xsi:type="dcterms:W3CDTF">2023-12-25T07:48:00Z</dcterms:created>
  <dcterms:modified xsi:type="dcterms:W3CDTF">2024-12-05T06:39:12Z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DDEDE7E39A984A1494695BF216641E86_13</vt:lpwstr>
  </property>
</Properties>
</file>