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574"/>
        <w:gridCol w:w="1896"/>
        <w:gridCol w:w="1266"/>
        <w:gridCol w:w="4372"/>
        <w:gridCol w:w="2836"/>
      </w:tblGrid>
      <w:tr w14:paraId="14DF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vAlign w:val="center"/>
          </w:tcPr>
          <w:p w14:paraId="35C98994">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3574" w:type="dxa"/>
            <w:vAlign w:val="center"/>
          </w:tcPr>
          <w:p w14:paraId="6C3BA897">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标准名称</w:t>
            </w:r>
          </w:p>
        </w:tc>
        <w:tc>
          <w:tcPr>
            <w:tcW w:w="1896" w:type="dxa"/>
            <w:vAlign w:val="center"/>
          </w:tcPr>
          <w:p w14:paraId="548D15BD">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标准编号</w:t>
            </w:r>
          </w:p>
        </w:tc>
        <w:tc>
          <w:tcPr>
            <w:tcW w:w="1266" w:type="dxa"/>
            <w:vAlign w:val="center"/>
          </w:tcPr>
          <w:p w14:paraId="2E96F082">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标准状态</w:t>
            </w:r>
          </w:p>
        </w:tc>
        <w:tc>
          <w:tcPr>
            <w:tcW w:w="4372" w:type="dxa"/>
            <w:vAlign w:val="center"/>
          </w:tcPr>
          <w:p w14:paraId="30C8D777">
            <w:pPr>
              <w:spacing w:line="240" w:lineRule="auto"/>
              <w:jc w:val="center"/>
              <w:rPr>
                <w:rFonts w:hint="default"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对应产品或适用情况</w:t>
            </w:r>
          </w:p>
        </w:tc>
        <w:tc>
          <w:tcPr>
            <w:tcW w:w="2836" w:type="dxa"/>
            <w:vAlign w:val="center"/>
          </w:tcPr>
          <w:p w14:paraId="2A9F0EC9">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相关标准</w:t>
            </w:r>
          </w:p>
        </w:tc>
      </w:tr>
      <w:tr w14:paraId="412C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vAlign w:val="center"/>
          </w:tcPr>
          <w:p w14:paraId="4DE70A7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3574" w:type="dxa"/>
            <w:vAlign w:val="center"/>
          </w:tcPr>
          <w:p w14:paraId="605C58E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声系统设备 第5部分：扬声器主要性能测试方法 </w:t>
            </w:r>
          </w:p>
        </w:tc>
        <w:tc>
          <w:tcPr>
            <w:tcW w:w="1896" w:type="dxa"/>
            <w:vAlign w:val="center"/>
          </w:tcPr>
          <w:p w14:paraId="0F133C2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GB/T12060.5-2011</w:t>
            </w:r>
          </w:p>
        </w:tc>
        <w:tc>
          <w:tcPr>
            <w:tcW w:w="1266" w:type="dxa"/>
            <w:vAlign w:val="center"/>
          </w:tcPr>
          <w:p w14:paraId="528AEE7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41B5C0B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本部分适用于声系统中的扬声器,完全作为无源元件来处理,不包括带内置放大器的扬声器系统。 </w:t>
            </w:r>
          </w:p>
          <w:p w14:paraId="4ACB7B9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本部分的目的是给出特性解释及使用正弦、指定噪声或脉冲信号时扬声器的相关测量方法。</w:t>
            </w:r>
          </w:p>
        </w:tc>
        <w:tc>
          <w:tcPr>
            <w:tcW w:w="2836" w:type="dxa"/>
            <w:vAlign w:val="center"/>
          </w:tcPr>
          <w:p w14:paraId="0B951F13">
            <w:pPr>
              <w:spacing w:line="240" w:lineRule="auto"/>
              <w:jc w:val="center"/>
              <w:rPr>
                <w:rFonts w:hint="eastAsia" w:ascii="仿宋" w:hAnsi="仿宋" w:eastAsia="仿宋" w:cs="仿宋"/>
                <w:color w:val="auto"/>
                <w:sz w:val="21"/>
                <w:szCs w:val="21"/>
                <w:highlight w:val="none"/>
                <w:vertAlign w:val="baseline"/>
              </w:rPr>
            </w:pPr>
          </w:p>
        </w:tc>
      </w:tr>
      <w:tr w14:paraId="287A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6A3FDE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w:t>
            </w:r>
          </w:p>
        </w:tc>
        <w:tc>
          <w:tcPr>
            <w:tcW w:w="3574" w:type="dxa"/>
            <w:vAlign w:val="center"/>
          </w:tcPr>
          <w:p w14:paraId="2B3F56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信息技术设备的无线电骚扰限值和测量方法 </w:t>
            </w:r>
          </w:p>
        </w:tc>
        <w:tc>
          <w:tcPr>
            <w:tcW w:w="1896" w:type="dxa"/>
            <w:vAlign w:val="center"/>
          </w:tcPr>
          <w:p w14:paraId="283DEEEA">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lang w:val="en-US" w:eastAsia="zh-CN"/>
              </w:rPr>
              <w:t>GBT 9254-2008</w:t>
            </w:r>
          </w:p>
        </w:tc>
        <w:tc>
          <w:tcPr>
            <w:tcW w:w="1266" w:type="dxa"/>
            <w:vAlign w:val="center"/>
          </w:tcPr>
          <w:p w14:paraId="322071FF">
            <w:pPr>
              <w:spacing w:line="240" w:lineRule="auto"/>
              <w:jc w:val="center"/>
              <w:rPr>
                <w:rFonts w:hint="eastAsia" w:ascii="仿宋" w:hAnsi="仿宋" w:eastAsia="仿宋" w:cs="仿宋"/>
                <w:color w:val="FF0000"/>
                <w:sz w:val="21"/>
                <w:szCs w:val="21"/>
                <w:highlight w:val="none"/>
                <w:vertAlign w:val="baseline"/>
                <w:lang w:val="en-US" w:eastAsia="zh-CN"/>
              </w:rPr>
            </w:pPr>
            <w:r>
              <w:rPr>
                <w:rFonts w:hint="eastAsia" w:ascii="仿宋" w:hAnsi="仿宋" w:eastAsia="仿宋" w:cs="仿宋"/>
                <w:color w:val="FF0000"/>
                <w:sz w:val="21"/>
                <w:szCs w:val="21"/>
                <w:highlight w:val="none"/>
                <w:vertAlign w:val="baseline"/>
                <w:lang w:val="en-US" w:eastAsia="zh-CN"/>
              </w:rPr>
              <w:t>作废</w:t>
            </w:r>
          </w:p>
        </w:tc>
        <w:tc>
          <w:tcPr>
            <w:tcW w:w="4372" w:type="dxa"/>
            <w:vAlign w:val="center"/>
          </w:tcPr>
          <w:p w14:paraId="1779C447">
            <w:pPr>
              <w:spacing w:line="240" w:lineRule="auto"/>
              <w:jc w:val="center"/>
              <w:rPr>
                <w:rFonts w:hint="eastAsia" w:ascii="仿宋" w:hAnsi="仿宋" w:eastAsia="仿宋" w:cs="仿宋"/>
                <w:color w:val="auto"/>
                <w:sz w:val="21"/>
                <w:szCs w:val="21"/>
                <w:highlight w:val="none"/>
                <w:vertAlign w:val="baseline"/>
                <w:lang w:val="en-US" w:eastAsia="zh-CN"/>
              </w:rPr>
            </w:pPr>
          </w:p>
        </w:tc>
        <w:tc>
          <w:tcPr>
            <w:tcW w:w="2836" w:type="dxa"/>
            <w:vAlign w:val="center"/>
          </w:tcPr>
          <w:p w14:paraId="703815F2">
            <w:pPr>
              <w:spacing w:line="240" w:lineRule="auto"/>
              <w:jc w:val="center"/>
              <w:rPr>
                <w:rFonts w:hint="eastAsia" w:ascii="仿宋" w:hAnsi="仿宋" w:eastAsia="仿宋" w:cs="仿宋"/>
                <w:color w:val="auto"/>
                <w:sz w:val="21"/>
                <w:szCs w:val="21"/>
                <w:highlight w:val="none"/>
                <w:vertAlign w:val="baseline"/>
              </w:rPr>
            </w:pPr>
          </w:p>
        </w:tc>
      </w:tr>
      <w:tr w14:paraId="238D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06D5B28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3574" w:type="dxa"/>
            <w:vAlign w:val="center"/>
          </w:tcPr>
          <w:p w14:paraId="52B4885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信息技术设备、多媒体设备和接收机 电磁兼容 第1部分：发射要求 </w:t>
            </w:r>
          </w:p>
        </w:tc>
        <w:tc>
          <w:tcPr>
            <w:tcW w:w="1896" w:type="dxa"/>
            <w:vAlign w:val="center"/>
          </w:tcPr>
          <w:p w14:paraId="3C5A8DF3">
            <w:pPr>
              <w:spacing w:line="240" w:lineRule="auto"/>
              <w:jc w:val="center"/>
              <w:rPr>
                <w:rFonts w:hint="eastAsia" w:ascii="仿宋" w:hAnsi="仿宋" w:eastAsia="仿宋" w:cs="仿宋"/>
                <w:color w:val="FF0000"/>
                <w:sz w:val="21"/>
                <w:szCs w:val="21"/>
                <w:highlight w:val="none"/>
                <w:vertAlign w:val="baseline"/>
                <w:lang w:val="en-US" w:eastAsia="zh-CN"/>
              </w:rPr>
            </w:pPr>
            <w:r>
              <w:rPr>
                <w:rFonts w:hint="eastAsia" w:ascii="仿宋" w:hAnsi="仿宋" w:eastAsia="仿宋" w:cs="仿宋"/>
                <w:color w:val="FF0000"/>
                <w:sz w:val="21"/>
                <w:szCs w:val="21"/>
                <w:highlight w:val="none"/>
                <w:vertAlign w:val="baseline"/>
                <w:lang w:val="en-US" w:eastAsia="zh-CN"/>
              </w:rPr>
              <w:t>GB/T 9254.1-2021</w:t>
            </w:r>
          </w:p>
        </w:tc>
        <w:tc>
          <w:tcPr>
            <w:tcW w:w="1266" w:type="dxa"/>
            <w:vAlign w:val="center"/>
          </w:tcPr>
          <w:p w14:paraId="008D7D8E">
            <w:pPr>
              <w:spacing w:line="240" w:lineRule="auto"/>
              <w:jc w:val="center"/>
              <w:rPr>
                <w:rFonts w:hint="eastAsia" w:ascii="仿宋" w:hAnsi="仿宋" w:eastAsia="仿宋" w:cs="仿宋"/>
                <w:color w:val="FF0000"/>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57090E90">
            <w:pPr>
              <w:spacing w:line="240" w:lineRule="auto"/>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本文件适用于其额定交流电压有效值或直流电压不超过600 V的信息技术设备（3.1.19)、音频设备（3.1.6)，视频设备（3.1.31)，广播接收设备（3.1.7)，娱乐灯光控制设备（3.1.14)及其组合。 </w:t>
            </w:r>
          </w:p>
          <w:p w14:paraId="23918E37">
            <w:pPr>
              <w:spacing w:line="240" w:lineRule="auto"/>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本文件也适用于专业用途的上述设备。 </w:t>
            </w:r>
          </w:p>
          <w:p w14:paraId="20D66275">
            <w:pPr>
              <w:spacing w:line="240" w:lineRule="auto"/>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FF0000"/>
                <w:sz w:val="21"/>
                <w:szCs w:val="21"/>
                <w:highlight w:val="none"/>
                <w:vertAlign w:val="baseline"/>
                <w:lang w:val="en-US" w:eastAsia="zh-CN"/>
              </w:rPr>
              <w:t>本文件规定的发射要求不适用于ITU定义的无线电发射机产生的有意发射，也不适用于与这些有意发射相关的杂散发射。</w:t>
            </w:r>
            <w:r>
              <w:rPr>
                <w:rFonts w:hint="eastAsia" w:ascii="仿宋" w:hAnsi="仿宋" w:eastAsia="仿宋" w:cs="仿宋"/>
                <w:color w:val="auto"/>
                <w:sz w:val="21"/>
                <w:szCs w:val="21"/>
                <w:highlight w:val="none"/>
                <w:vertAlign w:val="baseline"/>
                <w:lang w:val="en-US" w:eastAsia="zh-CN"/>
              </w:rPr>
              <w:t xml:space="preserve"> </w:t>
            </w:r>
          </w:p>
          <w:p w14:paraId="46C0113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在其他IEC/CISPR对应的国家标准（除了GB/T 9254和GB/T 13837)中对本文件适用频段规定了发射要求的设备，不包括在本文件的范围内。 </w:t>
            </w:r>
          </w:p>
          <w:p w14:paraId="2060357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本文件不适用于现场试验。 </w:t>
            </w:r>
          </w:p>
          <w:p w14:paraId="39A5183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本文件包含A级和B级设备。设备的分级见第4章的规定。 </w:t>
            </w:r>
          </w:p>
          <w:p w14:paraId="12359EF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本文件的目的： </w:t>
            </w:r>
          </w:p>
          <w:p w14:paraId="29B4E5BE">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a)　建立要求，为无线电频谱提供足够的保护，以保证9 kHz～400 GHz频段内的无线电业务按预期工作。 </w:t>
            </w:r>
          </w:p>
          <w:p w14:paraId="50579CC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b)　规定程序，确保测量的复现性和结果的重复性。</w:t>
            </w:r>
          </w:p>
        </w:tc>
        <w:tc>
          <w:tcPr>
            <w:tcW w:w="2836" w:type="dxa"/>
            <w:vAlign w:val="center"/>
          </w:tcPr>
          <w:p w14:paraId="6571489F">
            <w:pPr>
              <w:spacing w:line="240" w:lineRule="auto"/>
              <w:jc w:val="center"/>
              <w:rPr>
                <w:rFonts w:hint="eastAsia" w:ascii="仿宋" w:hAnsi="仿宋" w:eastAsia="仿宋" w:cs="仿宋"/>
                <w:color w:val="auto"/>
                <w:sz w:val="21"/>
                <w:szCs w:val="21"/>
                <w:highlight w:val="none"/>
                <w:vertAlign w:val="baseline"/>
              </w:rPr>
            </w:pPr>
          </w:p>
        </w:tc>
      </w:tr>
      <w:tr w14:paraId="28A7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730D553F">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3574" w:type="dxa"/>
            <w:vAlign w:val="center"/>
          </w:tcPr>
          <w:p w14:paraId="56C0010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信息技术设备、多媒体设备和接收机 电磁兼容 第2部分：抗扰度要求 </w:t>
            </w:r>
          </w:p>
        </w:tc>
        <w:tc>
          <w:tcPr>
            <w:tcW w:w="1896" w:type="dxa"/>
            <w:vAlign w:val="center"/>
          </w:tcPr>
          <w:p w14:paraId="45F783E4">
            <w:pPr>
              <w:spacing w:line="240" w:lineRule="auto"/>
              <w:jc w:val="center"/>
              <w:rPr>
                <w:rFonts w:hint="eastAsia" w:ascii="仿宋" w:hAnsi="仿宋" w:eastAsia="仿宋" w:cs="仿宋"/>
                <w:color w:val="FF0000"/>
                <w:sz w:val="21"/>
                <w:szCs w:val="21"/>
                <w:highlight w:val="none"/>
                <w:vertAlign w:val="baseline"/>
                <w:lang w:val="en-US" w:eastAsia="zh-CN"/>
              </w:rPr>
            </w:pPr>
            <w:r>
              <w:rPr>
                <w:rFonts w:hint="eastAsia" w:ascii="仿宋" w:hAnsi="仿宋" w:eastAsia="仿宋" w:cs="仿宋"/>
                <w:color w:val="FF0000"/>
                <w:sz w:val="21"/>
                <w:szCs w:val="21"/>
                <w:highlight w:val="none"/>
                <w:vertAlign w:val="baseline"/>
                <w:lang w:val="en-US" w:eastAsia="zh-CN"/>
              </w:rPr>
              <w:t>GB/T 9254.2-2021</w:t>
            </w:r>
          </w:p>
        </w:tc>
        <w:tc>
          <w:tcPr>
            <w:tcW w:w="1266" w:type="dxa"/>
            <w:vAlign w:val="center"/>
          </w:tcPr>
          <w:p w14:paraId="2F3C76D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64D2C5C2">
            <w:pPr>
              <w:spacing w:line="240" w:lineRule="auto"/>
              <w:jc w:val="left"/>
              <w:rPr>
                <w:rFonts w:hint="eastAsia" w:ascii="仿宋" w:hAnsi="仿宋" w:eastAsia="仿宋" w:cs="仿宋"/>
                <w:color w:val="auto"/>
                <w:sz w:val="21"/>
                <w:szCs w:val="21"/>
                <w:highlight w:val="none"/>
                <w:vertAlign w:val="baseline"/>
                <w:lang w:val="en-US" w:eastAsia="zh-CN"/>
              </w:rPr>
            </w:pPr>
            <w:r>
              <w:rPr>
                <w:rFonts w:ascii="Arial" w:hAnsi="Arial" w:eastAsia="宋体" w:cs="Arial"/>
                <w:color w:val="000000"/>
                <w:sz w:val="21"/>
                <w:szCs w:val="21"/>
              </w:rPr>
              <w:t xml:space="preserve">本文件适用于额定交流电压有效值或直流电压不超过600 V的信息技术设备(3.1.18)、音频设备(3.1.6)、视频设备(3.1.32)、广播接收设备(3.1.7)、娱乐灯光控制设备(3.1.14)及其组合。 </w:t>
            </w:r>
            <w:r>
              <w:rPr>
                <w:rFonts w:hint="default" w:ascii="Arial" w:hAnsi="Arial" w:eastAsia="宋体" w:cs="Arial"/>
                <w:color w:val="000000"/>
                <w:sz w:val="21"/>
                <w:szCs w:val="21"/>
              </w:rPr>
              <w:br w:type="textWrapping"/>
            </w:r>
            <w:r>
              <w:rPr>
                <w:rFonts w:hint="default" w:ascii="Arial" w:hAnsi="Arial" w:eastAsia="宋体" w:cs="Arial"/>
                <w:color w:val="000000"/>
                <w:sz w:val="21"/>
                <w:szCs w:val="21"/>
              </w:rPr>
              <w:t xml:space="preserve">本文件也适用于专业用途的上述设备。 </w:t>
            </w:r>
            <w:r>
              <w:rPr>
                <w:rFonts w:hint="default" w:ascii="Arial" w:hAnsi="Arial" w:eastAsia="宋体" w:cs="Arial"/>
                <w:color w:val="000000"/>
                <w:sz w:val="21"/>
                <w:szCs w:val="21"/>
              </w:rPr>
              <w:br w:type="textWrapping"/>
            </w:r>
            <w:r>
              <w:rPr>
                <w:rFonts w:hint="default" w:ascii="Arial" w:hAnsi="Arial" w:eastAsia="宋体" w:cs="Arial"/>
                <w:color w:val="000000"/>
                <w:sz w:val="21"/>
                <w:szCs w:val="21"/>
              </w:rPr>
              <w:t xml:space="preserve">具有广播接收功能的设备在本文件的范围内，见附录A。具有非广播无线接口的设备也在本文件的范围内，然而，无需依据本文件对这些接口性能进行评价。 </w:t>
            </w:r>
            <w:r>
              <w:rPr>
                <w:rFonts w:hint="default" w:ascii="Arial" w:hAnsi="Arial" w:eastAsia="宋体" w:cs="Arial"/>
                <w:color w:val="000000"/>
                <w:sz w:val="21"/>
                <w:szCs w:val="21"/>
              </w:rPr>
              <w:br w:type="textWrapping"/>
            </w:r>
            <w:r>
              <w:rPr>
                <w:rFonts w:hint="default" w:ascii="Arial" w:hAnsi="Arial" w:eastAsia="宋体" w:cs="Arial"/>
                <w:color w:val="000000"/>
                <w:sz w:val="21"/>
                <w:szCs w:val="21"/>
              </w:rPr>
              <w:t xml:space="preserve">在其他IEC/CISPR标准对应的国家标准(除了GB/T 9383和GB/T 17618)中对本文件适用频段规定了抗扰度要求的设备，不包括在本文件的范围内。 </w:t>
            </w:r>
            <w:r>
              <w:rPr>
                <w:rFonts w:hint="default" w:ascii="Arial" w:hAnsi="Arial" w:eastAsia="宋体" w:cs="Arial"/>
                <w:color w:val="000000"/>
                <w:sz w:val="21"/>
                <w:szCs w:val="21"/>
              </w:rPr>
              <w:br w:type="textWrapping"/>
            </w:r>
            <w:r>
              <w:rPr>
                <w:rFonts w:hint="default" w:ascii="Arial" w:hAnsi="Arial" w:eastAsia="宋体" w:cs="Arial"/>
                <w:color w:val="000000"/>
                <w:sz w:val="21"/>
                <w:szCs w:val="21"/>
              </w:rPr>
              <w:t xml:space="preserve">本文件的目的是： </w:t>
            </w:r>
            <w:r>
              <w:rPr>
                <w:rFonts w:hint="default" w:ascii="Arial" w:hAnsi="Arial" w:eastAsia="宋体" w:cs="Arial"/>
                <w:color w:val="000000"/>
                <w:sz w:val="21"/>
                <w:szCs w:val="21"/>
              </w:rPr>
              <w:br w:type="textWrapping"/>
            </w:r>
            <w:r>
              <w:rPr>
                <w:rFonts w:hint="default" w:ascii="Arial" w:hAnsi="Arial" w:eastAsia="宋体" w:cs="Arial"/>
                <w:color w:val="000000"/>
                <w:sz w:val="21"/>
                <w:szCs w:val="21"/>
              </w:rPr>
              <w:t xml:space="preserve">——在0 Hz~400 GHz频率范围内提出要求，使EUT具有足够的抗扰度水平，能够在其使用的环境中按预期运行。 </w:t>
            </w:r>
            <w:r>
              <w:rPr>
                <w:rFonts w:hint="default" w:ascii="Arial" w:hAnsi="Arial" w:eastAsia="宋体" w:cs="Arial"/>
                <w:color w:val="000000"/>
                <w:sz w:val="21"/>
                <w:szCs w:val="21"/>
              </w:rPr>
              <w:br w:type="textWrapping"/>
            </w:r>
            <w:r>
              <w:rPr>
                <w:rFonts w:hint="default" w:ascii="Arial" w:hAnsi="Arial" w:eastAsia="宋体" w:cs="Arial"/>
                <w:color w:val="000000"/>
                <w:sz w:val="21"/>
                <w:szCs w:val="21"/>
              </w:rPr>
              <w:t xml:space="preserve">——规定程序，确保试验的复现性和结果的重复性。 </w:t>
            </w:r>
            <w:r>
              <w:rPr>
                <w:rFonts w:hint="default" w:ascii="Arial" w:hAnsi="Arial" w:eastAsia="宋体" w:cs="Arial"/>
                <w:color w:val="000000"/>
                <w:sz w:val="21"/>
                <w:szCs w:val="21"/>
              </w:rPr>
              <w:br w:type="textWrapping"/>
            </w:r>
            <w:r>
              <w:rPr>
                <w:rFonts w:hint="default" w:ascii="Arial" w:hAnsi="Arial" w:eastAsia="宋体" w:cs="Arial"/>
                <w:color w:val="000000"/>
                <w:sz w:val="21"/>
                <w:szCs w:val="21"/>
              </w:rPr>
              <w:t>由于设备功能的技术融合，性能判据基于功能而不是基于设备来确定。</w:t>
            </w:r>
          </w:p>
        </w:tc>
        <w:tc>
          <w:tcPr>
            <w:tcW w:w="2836" w:type="dxa"/>
            <w:vAlign w:val="center"/>
          </w:tcPr>
          <w:p w14:paraId="1A2ECE5F">
            <w:pPr>
              <w:spacing w:line="240" w:lineRule="auto"/>
              <w:jc w:val="center"/>
              <w:rPr>
                <w:rFonts w:hint="eastAsia" w:ascii="仿宋" w:hAnsi="仿宋" w:eastAsia="仿宋" w:cs="仿宋"/>
                <w:color w:val="auto"/>
                <w:sz w:val="21"/>
                <w:szCs w:val="21"/>
                <w:highlight w:val="none"/>
                <w:vertAlign w:val="baseline"/>
              </w:rPr>
            </w:pPr>
          </w:p>
        </w:tc>
      </w:tr>
      <w:tr w14:paraId="4331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09112E9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5</w:t>
            </w:r>
          </w:p>
        </w:tc>
        <w:tc>
          <w:tcPr>
            <w:tcW w:w="3574" w:type="dxa"/>
            <w:vAlign w:val="center"/>
          </w:tcPr>
          <w:p w14:paraId="5FB7A10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音视频、信息技术和通信技术设备 第1部分：安全要求 </w:t>
            </w:r>
          </w:p>
        </w:tc>
        <w:tc>
          <w:tcPr>
            <w:tcW w:w="1896" w:type="dxa"/>
            <w:vAlign w:val="center"/>
          </w:tcPr>
          <w:p w14:paraId="1683015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 GB 4943.1-2022</w:t>
            </w:r>
          </w:p>
        </w:tc>
        <w:tc>
          <w:tcPr>
            <w:tcW w:w="1266" w:type="dxa"/>
            <w:vAlign w:val="center"/>
          </w:tcPr>
          <w:p w14:paraId="1F0A139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706C89DF">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本文件规定了对音频、视频、信息技术和通信技术、商务和办公机器领域内的电气和电子设备的安全要求。不包括设备的性能或功能特性的要求。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本文件适用于额定电压不超过600V的上述电气和电子设备。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本文件也适用于：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——预定要安装在本设备中的元器件和组件。如果装有这种元器件和组件的完整设备符合本文件的要求，则这种元器件和组件就不需要符合本文件中每一条的要求；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——预定给本文件范围内的其他设备供电的外部电源单元；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——预定与本文件范围内的设备共同使用的附件；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——安装在受限制接触区内的大型设备。对具有大型机械部件的设备，可能需要附加要求；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——在热带地区使用的设备。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本文件还适用于预定安装在室外场所的音视频、信息技术和通信技术设备。对室外设备的要求在相关时，也适用于直接安装在户外用来为要安装在户外场所的音视频、信息技术和通信技术设备提供壳体的室外外壳。具体结构要求见附录Y。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 xml:space="preserve">每种安装形式可能有特殊要求。另外，本文件不包含对室外设备防直击雷影响的保护要求。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除制造商另有规定外，本文件假定最高海拔为5000m。</w:t>
            </w:r>
          </w:p>
        </w:tc>
        <w:tc>
          <w:tcPr>
            <w:tcW w:w="2836" w:type="dxa"/>
            <w:vAlign w:val="center"/>
          </w:tcPr>
          <w:p w14:paraId="71ABC5A4">
            <w:pPr>
              <w:spacing w:line="240" w:lineRule="auto"/>
              <w:jc w:val="center"/>
              <w:rPr>
                <w:rFonts w:hint="eastAsia" w:ascii="仿宋" w:hAnsi="仿宋" w:eastAsia="仿宋" w:cs="仿宋"/>
                <w:color w:val="auto"/>
                <w:sz w:val="21"/>
                <w:szCs w:val="21"/>
                <w:highlight w:val="none"/>
                <w:vertAlign w:val="baseline"/>
              </w:rPr>
            </w:pPr>
          </w:p>
        </w:tc>
      </w:tr>
      <w:tr w14:paraId="1545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6D936EB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6</w:t>
            </w:r>
          </w:p>
        </w:tc>
        <w:tc>
          <w:tcPr>
            <w:tcW w:w="3574" w:type="dxa"/>
            <w:shd w:val="clear" w:color="auto" w:fill="auto"/>
            <w:vAlign w:val="center"/>
          </w:tcPr>
          <w:p w14:paraId="640429D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塑料 燃烧性能的测定 水平法和垂直法</w:t>
            </w:r>
          </w:p>
        </w:tc>
        <w:tc>
          <w:tcPr>
            <w:tcW w:w="1896" w:type="dxa"/>
            <w:shd w:val="clear" w:color="auto" w:fill="auto"/>
            <w:vAlign w:val="center"/>
          </w:tcPr>
          <w:p w14:paraId="28254FE0">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GB/T 2408-2021</w:t>
            </w:r>
          </w:p>
        </w:tc>
        <w:tc>
          <w:tcPr>
            <w:tcW w:w="1266" w:type="dxa"/>
            <w:shd w:val="clear" w:color="auto" w:fill="auto"/>
            <w:vAlign w:val="center"/>
          </w:tcPr>
          <w:p w14:paraId="5A9CCF9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372" w:type="dxa"/>
            <w:shd w:val="clear" w:color="auto" w:fill="auto"/>
            <w:vAlign w:val="center"/>
          </w:tcPr>
          <w:p w14:paraId="3717B7E4">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本文件描述了塑料和非金属材料的条形试样处于50W火焰条件下，水平或垂直方向燃烧性能的实验室测定方法。本试验方法适用于确定材料的线性燃烧速率和自熄性。</w:t>
            </w:r>
          </w:p>
          <w:p w14:paraId="5DA6332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本文件适用于按GB/T 6343-2009测定的表观密度不低于250 kg/m3的固体和泡沫材料燃烧性能的测定。</w:t>
            </w:r>
          </w:p>
          <w:p w14:paraId="6AF89B1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本文件包含两种试验方法。方法A是水平燃烧，用于测定规定条件下材料的线性燃烧速率。方法B是垂直燃烧，用于测定规定条件下材料的自熄性。</w:t>
            </w:r>
          </w:p>
        </w:tc>
        <w:tc>
          <w:tcPr>
            <w:tcW w:w="2836" w:type="dxa"/>
            <w:shd w:val="clear" w:color="auto" w:fill="auto"/>
            <w:vAlign w:val="center"/>
          </w:tcPr>
          <w:p w14:paraId="1F7C1C38">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施行时间2022-03-01</w:t>
            </w:r>
          </w:p>
        </w:tc>
      </w:tr>
      <w:tr w14:paraId="4711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756ECD5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7</w:t>
            </w:r>
          </w:p>
        </w:tc>
        <w:tc>
          <w:tcPr>
            <w:tcW w:w="3574" w:type="dxa"/>
            <w:vAlign w:val="center"/>
          </w:tcPr>
          <w:p w14:paraId="1AB587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电工电子产品着火危险试验 第16部分：试验火焰 50W水平与垂直火焰试验方法 </w:t>
            </w:r>
          </w:p>
        </w:tc>
        <w:tc>
          <w:tcPr>
            <w:tcW w:w="1896" w:type="dxa"/>
            <w:vAlign w:val="center"/>
          </w:tcPr>
          <w:p w14:paraId="31B16EE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GB/T 5169.16-2017</w:t>
            </w:r>
          </w:p>
        </w:tc>
        <w:tc>
          <w:tcPr>
            <w:tcW w:w="1266" w:type="dxa"/>
            <w:vAlign w:val="center"/>
          </w:tcPr>
          <w:p w14:paraId="553D3AB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6034D898">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 xml:space="preserve">本部分规定了用于比较电工电子产品用不同材料的燃烧性能的小规模实验室试验程序，试验中条形试样呈水平或垂直放置，并暴露于引燃源为标称功率50W的小火焰中。该类试验方法用于确定材料的线性燃烧速率或者自熄性。 </w:t>
            </w:r>
            <w:r>
              <w:rPr>
                <w:rFonts w:hint="default" w:ascii="仿宋" w:hAnsi="仿宋" w:eastAsia="仿宋" w:cs="仿宋"/>
                <w:color w:val="auto"/>
                <w:sz w:val="21"/>
                <w:szCs w:val="21"/>
                <w:highlight w:val="none"/>
                <w:vertAlign w:val="baseline"/>
              </w:rPr>
              <w:br w:type="textWrapping"/>
            </w:r>
            <w:r>
              <w:rPr>
                <w:rFonts w:hint="default" w:ascii="仿宋" w:hAnsi="仿宋" w:eastAsia="仿宋" w:cs="仿宋"/>
                <w:color w:val="auto"/>
                <w:sz w:val="21"/>
                <w:szCs w:val="21"/>
                <w:highlight w:val="none"/>
                <w:vertAlign w:val="baseline"/>
              </w:rPr>
              <w:t>本部分的试验方法适用于固体材料和按ISO 845的方法测定时表观密度不小于250kg/m3的泡沫塑料。</w:t>
            </w:r>
          </w:p>
        </w:tc>
        <w:tc>
          <w:tcPr>
            <w:tcW w:w="2836" w:type="dxa"/>
            <w:vAlign w:val="center"/>
          </w:tcPr>
          <w:p w14:paraId="65239D7F">
            <w:pPr>
              <w:spacing w:line="240" w:lineRule="auto"/>
              <w:jc w:val="center"/>
              <w:rPr>
                <w:rFonts w:hint="eastAsia" w:ascii="仿宋" w:hAnsi="仿宋" w:eastAsia="仿宋" w:cs="仿宋"/>
                <w:color w:val="auto"/>
                <w:sz w:val="21"/>
                <w:szCs w:val="21"/>
                <w:highlight w:val="none"/>
                <w:vertAlign w:val="baseline"/>
              </w:rPr>
            </w:pPr>
          </w:p>
        </w:tc>
      </w:tr>
      <w:tr w14:paraId="7864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06103CF1">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8</w:t>
            </w:r>
          </w:p>
        </w:tc>
        <w:tc>
          <w:tcPr>
            <w:tcW w:w="3574" w:type="dxa"/>
            <w:vAlign w:val="center"/>
          </w:tcPr>
          <w:p w14:paraId="68E72AE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电磁兼容 限值 第1部分：谐波电流发射限值（设备每相输入电流≤16A）</w:t>
            </w:r>
          </w:p>
        </w:tc>
        <w:tc>
          <w:tcPr>
            <w:tcW w:w="1896" w:type="dxa"/>
            <w:vAlign w:val="center"/>
          </w:tcPr>
          <w:p w14:paraId="151FFD3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17625.1-2022</w:t>
            </w:r>
          </w:p>
        </w:tc>
        <w:tc>
          <w:tcPr>
            <w:tcW w:w="1266" w:type="dxa"/>
            <w:vAlign w:val="center"/>
          </w:tcPr>
          <w:p w14:paraId="5DB784A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4191F9B3">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本文件涉及注入到公用供电系统的谐波电流的限值。</w:t>
            </w:r>
          </w:p>
          <w:p w14:paraId="1F33AE8E">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本文件规定了在指定的试验条件下设备可能产生的输入电流谐波分量的限值。</w:t>
            </w:r>
          </w:p>
          <w:p w14:paraId="60D6A8EF">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本文件适用于准备接入到公用低压配电系统的每相额定输入电流不大于16 A的电气和电子设备。</w:t>
            </w:r>
          </w:p>
          <w:p w14:paraId="6B4B433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每相额定输入电流不大于16 A的非专用电弧焊设备属于本文件范畴。所有其他电弧焊设备不适用于本文件；然而，可使用IEC 61000-3-12以及相关安装限制对其谐波电流发射进行评估。</w:t>
            </w:r>
          </w:p>
          <w:p w14:paraId="30EA438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按照本文件进行的试验为型式试验。</w:t>
            </w:r>
          </w:p>
        </w:tc>
        <w:tc>
          <w:tcPr>
            <w:tcW w:w="2836" w:type="dxa"/>
            <w:vAlign w:val="center"/>
          </w:tcPr>
          <w:p w14:paraId="2E5DFF43">
            <w:pPr>
              <w:spacing w:line="240" w:lineRule="auto"/>
              <w:jc w:val="center"/>
              <w:rPr>
                <w:rFonts w:hint="eastAsia" w:ascii="仿宋" w:hAnsi="仿宋" w:eastAsia="仿宋" w:cs="仿宋"/>
                <w:color w:val="auto"/>
                <w:sz w:val="21"/>
                <w:szCs w:val="21"/>
                <w:highlight w:val="none"/>
                <w:vertAlign w:val="baseline"/>
                <w:lang w:eastAsia="zh-CN"/>
              </w:rPr>
            </w:pPr>
          </w:p>
        </w:tc>
      </w:tr>
      <w:tr w14:paraId="4C17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58801C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9</w:t>
            </w:r>
          </w:p>
        </w:tc>
        <w:tc>
          <w:tcPr>
            <w:tcW w:w="3574" w:type="dxa"/>
            <w:vAlign w:val="center"/>
          </w:tcPr>
          <w:p w14:paraId="437C7DA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信息技术设备、多媒体设备和接收机 电磁兼容 第1部分：发射要求 </w:t>
            </w:r>
          </w:p>
        </w:tc>
        <w:tc>
          <w:tcPr>
            <w:tcW w:w="1896" w:type="dxa"/>
            <w:vAlign w:val="center"/>
          </w:tcPr>
          <w:p w14:paraId="7E729F9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9254.1-2021</w:t>
            </w:r>
          </w:p>
        </w:tc>
        <w:tc>
          <w:tcPr>
            <w:tcW w:w="1266" w:type="dxa"/>
            <w:vAlign w:val="center"/>
          </w:tcPr>
          <w:p w14:paraId="7BB873D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15A8913C">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本文件适用于其额定交流电压有效值或直流电压不超过600 V的信息技术设备（3.1.19)、音频设备（3.1.6)，视频设备（3.1.31)，广播接收设备（3.1.7)，娱乐灯光控制设备（3.1.14)及其组合。 </w:t>
            </w:r>
          </w:p>
          <w:p w14:paraId="481FC5C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本文件也适用于专业用途的上述设备。 </w:t>
            </w:r>
          </w:p>
          <w:p w14:paraId="0FF7CB62">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本文件规定的发射要求不适用于ITU定义的无线电发射机产生的有意发射，也不适用于与这些有意发射相关的杂散发射。 </w:t>
            </w:r>
          </w:p>
          <w:p w14:paraId="06559039">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在其他IEC/CISPR对应的国家标准（除了GB/T 9254和GB/T 13837)中对本文件适用频段规定了发射要求的设备，不包括在本文件的范围内。 </w:t>
            </w:r>
          </w:p>
          <w:p w14:paraId="422358F1">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本文件不适用于现场试验。 </w:t>
            </w:r>
          </w:p>
          <w:p w14:paraId="602887B7">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本文件包含A级和B级设备。设备的分级见第4章的规定。 </w:t>
            </w:r>
          </w:p>
          <w:p w14:paraId="623108C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本文件的目的： </w:t>
            </w:r>
          </w:p>
          <w:p w14:paraId="584762D5">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a)　建立要求，为无线电频谱提供足够的保护，以保证9 kHz～400 GHz频段内的无线电业务按预期工作。 </w:t>
            </w:r>
          </w:p>
          <w:p w14:paraId="399CDD92">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b)　规定程序，确保测量的复现性和结果的重复性。</w:t>
            </w:r>
          </w:p>
        </w:tc>
        <w:tc>
          <w:tcPr>
            <w:tcW w:w="2836" w:type="dxa"/>
            <w:vAlign w:val="center"/>
          </w:tcPr>
          <w:p w14:paraId="02150A8C">
            <w:pPr>
              <w:spacing w:line="240" w:lineRule="auto"/>
              <w:jc w:val="center"/>
              <w:rPr>
                <w:rFonts w:hint="eastAsia" w:ascii="仿宋" w:hAnsi="仿宋" w:eastAsia="仿宋" w:cs="仿宋"/>
                <w:color w:val="auto"/>
                <w:sz w:val="21"/>
                <w:szCs w:val="21"/>
                <w:highlight w:val="none"/>
                <w:vertAlign w:val="baseline"/>
                <w:lang w:eastAsia="zh-CN"/>
              </w:rPr>
            </w:pPr>
          </w:p>
        </w:tc>
      </w:tr>
      <w:tr w14:paraId="48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6AC06BA7">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10</w:t>
            </w:r>
          </w:p>
        </w:tc>
        <w:tc>
          <w:tcPr>
            <w:tcW w:w="3574" w:type="dxa"/>
            <w:shd w:val="clear" w:color="auto" w:fill="auto"/>
            <w:vAlign w:val="center"/>
          </w:tcPr>
          <w:p w14:paraId="6AA3140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信息技术设备、多媒体设备和接收机 电磁兼容 第2部分：抗扰度要求 </w:t>
            </w:r>
          </w:p>
        </w:tc>
        <w:tc>
          <w:tcPr>
            <w:tcW w:w="1896" w:type="dxa"/>
            <w:shd w:val="clear" w:color="auto" w:fill="auto"/>
            <w:vAlign w:val="center"/>
          </w:tcPr>
          <w:p w14:paraId="561B05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GB/T 9254.2-2021</w:t>
            </w:r>
          </w:p>
        </w:tc>
        <w:tc>
          <w:tcPr>
            <w:tcW w:w="1266" w:type="dxa"/>
            <w:shd w:val="clear" w:color="auto" w:fill="auto"/>
            <w:vAlign w:val="center"/>
          </w:tcPr>
          <w:p w14:paraId="70B3737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B665C5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本文件适用于额定交流电压有效值或直流电压不超过600 V的信息技术设备(3.1.18)、音频设备(3.1.6)、视频设备(3.1.32)、广播接收设备(3.1.7)、娱乐灯光控制设备(3.1.14)及其组合。 </w:t>
            </w:r>
          </w:p>
          <w:p w14:paraId="4497CD6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本文件也适用于专业用途的上述设备。 </w:t>
            </w:r>
          </w:p>
          <w:p w14:paraId="01D7270F">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具有广播接收功能的设备在本文件的范围内，见附录A。具有非广播无线接口的设备也在本文件的范围内，然而，无需依据本文件对这些接口性能进行评价。 </w:t>
            </w:r>
          </w:p>
          <w:p w14:paraId="7448B402">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在其他IEC/CISPR标准对应的国家标准(除了GB/T 9383和GB/T 17618)中对本文件适用频段规定了抗扰度要求的设备，不包括在本文件的范围内。 </w:t>
            </w:r>
          </w:p>
          <w:p w14:paraId="5A17445C">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本文件的目的是： </w:t>
            </w:r>
          </w:p>
          <w:p w14:paraId="43D74E1C">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——在0 Hz~400 GHz频率范围内提出要求，使EUT具有足够的抗扰度水平，能够在其使用的环境中按预期运行。 </w:t>
            </w:r>
          </w:p>
          <w:p w14:paraId="1DE6F08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——规定程序，确保试验的复现性和结果的重复性。 </w:t>
            </w:r>
          </w:p>
          <w:p w14:paraId="61B0F99A">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由于设备功能的技术融合，性能判据基于功能而不是基于设备来确定。</w:t>
            </w:r>
          </w:p>
        </w:tc>
        <w:tc>
          <w:tcPr>
            <w:tcW w:w="2836" w:type="dxa"/>
            <w:vAlign w:val="center"/>
          </w:tcPr>
          <w:p w14:paraId="52E0C908">
            <w:pPr>
              <w:spacing w:line="240" w:lineRule="auto"/>
              <w:jc w:val="center"/>
              <w:rPr>
                <w:rFonts w:hint="eastAsia" w:ascii="仿宋" w:hAnsi="仿宋" w:eastAsia="仿宋" w:cs="仿宋"/>
                <w:color w:val="auto"/>
                <w:sz w:val="21"/>
                <w:szCs w:val="21"/>
                <w:highlight w:val="none"/>
                <w:vertAlign w:val="baseline"/>
              </w:rPr>
            </w:pPr>
          </w:p>
        </w:tc>
      </w:tr>
      <w:tr w14:paraId="2776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19AD4EE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11</w:t>
            </w:r>
          </w:p>
        </w:tc>
        <w:tc>
          <w:tcPr>
            <w:tcW w:w="3574" w:type="dxa"/>
            <w:vAlign w:val="center"/>
          </w:tcPr>
          <w:p w14:paraId="7CCC1A5A">
            <w:pPr>
              <w:spacing w:line="240" w:lineRule="auto"/>
              <w:jc w:val="center"/>
              <w:rPr>
                <w:rFonts w:hint="eastAsia" w:ascii="仿宋" w:hAnsi="仿宋" w:eastAsia="仿宋" w:cs="仿宋"/>
                <w:color w:val="auto"/>
                <w:sz w:val="21"/>
                <w:szCs w:val="21"/>
                <w:highlight w:val="none"/>
                <w:vertAlign w:val="baseline"/>
              </w:rPr>
            </w:pPr>
            <w:r>
              <w:rPr>
                <w:rFonts w:hint="default" w:ascii="仿宋" w:hAnsi="仿宋" w:eastAsia="仿宋" w:cs="仿宋"/>
                <w:color w:val="auto"/>
                <w:sz w:val="21"/>
                <w:szCs w:val="21"/>
                <w:highlight w:val="none"/>
                <w:vertAlign w:val="baseline"/>
              </w:rPr>
              <w:t>《厅堂、体育场馆扩声系统设计规范》</w:t>
            </w:r>
          </w:p>
        </w:tc>
        <w:tc>
          <w:tcPr>
            <w:tcW w:w="1896" w:type="dxa"/>
            <w:vAlign w:val="center"/>
          </w:tcPr>
          <w:p w14:paraId="4A0B538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GB/T 28047.1-2011</w:t>
            </w:r>
          </w:p>
        </w:tc>
        <w:tc>
          <w:tcPr>
            <w:tcW w:w="1266" w:type="dxa"/>
            <w:vAlign w:val="center"/>
          </w:tcPr>
          <w:p w14:paraId="0D4E714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18EC5682">
            <w:pPr>
              <w:spacing w:line="240" w:lineRule="auto"/>
              <w:jc w:val="center"/>
              <w:rPr>
                <w:rFonts w:hint="eastAsia" w:ascii="仿宋" w:hAnsi="仿宋" w:eastAsia="仿宋" w:cs="仿宋"/>
                <w:color w:val="auto"/>
                <w:sz w:val="21"/>
                <w:szCs w:val="21"/>
                <w:highlight w:val="none"/>
                <w:vertAlign w:val="baseline"/>
              </w:rPr>
            </w:pPr>
          </w:p>
        </w:tc>
        <w:tc>
          <w:tcPr>
            <w:tcW w:w="2836" w:type="dxa"/>
            <w:vAlign w:val="center"/>
          </w:tcPr>
          <w:p w14:paraId="635C8F26">
            <w:pPr>
              <w:spacing w:line="240" w:lineRule="auto"/>
              <w:jc w:val="center"/>
              <w:rPr>
                <w:rFonts w:hint="eastAsia" w:ascii="仿宋" w:hAnsi="仿宋" w:eastAsia="仿宋" w:cs="仿宋"/>
                <w:color w:val="auto"/>
                <w:sz w:val="21"/>
                <w:szCs w:val="21"/>
                <w:highlight w:val="none"/>
                <w:vertAlign w:val="baseline"/>
                <w:lang w:eastAsia="zh-CN"/>
              </w:rPr>
            </w:pPr>
          </w:p>
        </w:tc>
      </w:tr>
      <w:tr w14:paraId="7A40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516F25F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12</w:t>
            </w:r>
          </w:p>
        </w:tc>
        <w:tc>
          <w:tcPr>
            <w:tcW w:w="3574" w:type="dxa"/>
            <w:vAlign w:val="center"/>
          </w:tcPr>
          <w:p w14:paraId="5673725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显示器能效限定值及能效等级</w:t>
            </w:r>
          </w:p>
        </w:tc>
        <w:tc>
          <w:tcPr>
            <w:tcW w:w="1896" w:type="dxa"/>
            <w:vAlign w:val="center"/>
          </w:tcPr>
          <w:p w14:paraId="75AB6E5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GB 21520-2023</w:t>
            </w:r>
          </w:p>
        </w:tc>
        <w:tc>
          <w:tcPr>
            <w:tcW w:w="1266" w:type="dxa"/>
            <w:vAlign w:val="center"/>
          </w:tcPr>
          <w:p w14:paraId="03F8AE8F">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2312F6FE">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本文件规定了显示器的能效限定值、能效等级、能效计算及测试方法。本文件适用于屏幕对角线尺寸不小于40 cm，以交流或直流方式供电，以液晶(LCD)和有机发光二极管（OLED)为显示方式的平面和曲面的普通用途和商用显示器。本文件适用于以交流或直流方式供电，以发光二极管（LED)为显示方式，像素间距大于0.30 mm且不大于2.60 mm、最大亮度不大于3000 cd/m2的LED一体化显示终端。</w:t>
            </w:r>
            <w:r>
              <w:rPr>
                <w:rFonts w:hint="eastAsia" w:ascii="仿宋" w:hAnsi="仿宋" w:eastAsia="仿宋" w:cs="仿宋"/>
                <w:color w:val="FF0000"/>
                <w:sz w:val="21"/>
                <w:szCs w:val="21"/>
                <w:highlight w:val="none"/>
                <w:vertAlign w:val="baseline"/>
              </w:rPr>
              <w:t>本文件不适用于：a)在电视节目拍摄、制作和播出等环节进行图像评价的专业用途监视器;b)双屏显示器;c)工业设备用、医疗设备用、电影放映用、虚拟现实（VR)、增强现实（AR)、融合现实（MR)、扩展现实（XR)和液晶控制台（KVM/KMM)等专业用途显示器和仅作为配件使用的显示产品;d)仅支持以电池方式供电的显示器。</w:t>
            </w:r>
          </w:p>
        </w:tc>
        <w:tc>
          <w:tcPr>
            <w:tcW w:w="2836" w:type="dxa"/>
            <w:vAlign w:val="center"/>
          </w:tcPr>
          <w:p w14:paraId="4563D9A9">
            <w:pPr>
              <w:spacing w:line="240" w:lineRule="auto"/>
              <w:jc w:val="center"/>
              <w:rPr>
                <w:rFonts w:hint="eastAsia" w:ascii="仿宋" w:hAnsi="仿宋" w:eastAsia="仿宋" w:cs="仿宋"/>
                <w:color w:val="FF0000"/>
                <w:sz w:val="21"/>
                <w:szCs w:val="21"/>
                <w:highlight w:val="none"/>
                <w:vertAlign w:val="baseline"/>
                <w:lang w:val="en-US" w:eastAsia="zh-CN"/>
              </w:rPr>
            </w:pPr>
            <w:r>
              <w:rPr>
                <w:rFonts w:hint="eastAsia" w:ascii="仿宋" w:hAnsi="仿宋" w:eastAsia="仿宋" w:cs="仿宋"/>
                <w:color w:val="FF0000"/>
                <w:sz w:val="21"/>
                <w:szCs w:val="21"/>
                <w:highlight w:val="none"/>
                <w:vertAlign w:val="baseline"/>
              </w:rPr>
              <w:t>2024-06-01</w:t>
            </w:r>
            <w:r>
              <w:rPr>
                <w:rFonts w:hint="eastAsia" w:ascii="仿宋" w:hAnsi="仿宋" w:eastAsia="仿宋" w:cs="仿宋"/>
                <w:color w:val="FF0000"/>
                <w:sz w:val="21"/>
                <w:szCs w:val="21"/>
                <w:highlight w:val="none"/>
                <w:vertAlign w:val="baseline"/>
                <w:lang w:val="en-US" w:eastAsia="zh-CN"/>
              </w:rPr>
              <w:t>实施</w:t>
            </w:r>
          </w:p>
        </w:tc>
      </w:tr>
      <w:tr w14:paraId="444D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5F9D9AD6">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13</w:t>
            </w:r>
          </w:p>
        </w:tc>
        <w:tc>
          <w:tcPr>
            <w:tcW w:w="3574" w:type="dxa"/>
            <w:vAlign w:val="center"/>
          </w:tcPr>
          <w:p w14:paraId="1EC2586E">
            <w:pPr>
              <w:spacing w:line="240" w:lineRule="auto"/>
              <w:jc w:val="center"/>
              <w:rPr>
                <w:rFonts w:hint="eastAsia" w:ascii="仿宋" w:hAnsi="仿宋" w:eastAsia="仿宋" w:cs="仿宋"/>
                <w:color w:val="0000FF"/>
                <w:sz w:val="21"/>
                <w:szCs w:val="21"/>
                <w:highlight w:val="none"/>
                <w:vertAlign w:val="baseline"/>
              </w:rPr>
            </w:pPr>
            <w:r>
              <w:rPr>
                <w:rFonts w:hint="eastAsia" w:ascii="仿宋" w:hAnsi="仿宋" w:eastAsia="仿宋" w:cs="仿宋"/>
                <w:color w:val="0000FF"/>
                <w:sz w:val="21"/>
                <w:szCs w:val="21"/>
                <w:highlight w:val="none"/>
                <w:vertAlign w:val="baseline"/>
              </w:rPr>
              <w:t>中华人民共和国工业和信息化部《发光二极管(LED)显示屏通用规范 》</w:t>
            </w:r>
          </w:p>
        </w:tc>
        <w:tc>
          <w:tcPr>
            <w:tcW w:w="1896" w:type="dxa"/>
            <w:vAlign w:val="center"/>
          </w:tcPr>
          <w:p w14:paraId="2F56C22A">
            <w:pPr>
              <w:spacing w:line="240" w:lineRule="auto"/>
              <w:jc w:val="center"/>
              <w:rPr>
                <w:rFonts w:hint="default" w:ascii="仿宋" w:hAnsi="仿宋" w:eastAsia="仿宋" w:cs="仿宋"/>
                <w:color w:val="0000FF"/>
                <w:sz w:val="21"/>
                <w:szCs w:val="21"/>
                <w:highlight w:val="none"/>
                <w:vertAlign w:val="baseline"/>
                <w:lang w:val="en-US" w:eastAsia="zh-CN"/>
              </w:rPr>
            </w:pPr>
            <w:r>
              <w:rPr>
                <w:rFonts w:hint="eastAsia" w:ascii="仿宋" w:hAnsi="仿宋" w:eastAsia="仿宋" w:cs="仿宋"/>
                <w:color w:val="0000FF"/>
                <w:sz w:val="21"/>
                <w:szCs w:val="21"/>
                <w:highlight w:val="none"/>
                <w:vertAlign w:val="baseline"/>
              </w:rPr>
              <w:t xml:space="preserve"> SJ/T 11141-20</w:t>
            </w:r>
            <w:r>
              <w:rPr>
                <w:rFonts w:hint="eastAsia" w:ascii="仿宋" w:hAnsi="仿宋" w:eastAsia="仿宋" w:cs="仿宋"/>
                <w:color w:val="0000FF"/>
                <w:sz w:val="21"/>
                <w:szCs w:val="21"/>
                <w:highlight w:val="none"/>
                <w:vertAlign w:val="baseline"/>
                <w:lang w:val="en-US" w:eastAsia="zh-CN"/>
              </w:rPr>
              <w:t>25</w:t>
            </w:r>
          </w:p>
        </w:tc>
        <w:tc>
          <w:tcPr>
            <w:tcW w:w="1266" w:type="dxa"/>
            <w:vAlign w:val="center"/>
          </w:tcPr>
          <w:p w14:paraId="1594B3D6">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0ECA1FC1">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本文件规定了LED显示屏的术语和定义、分类、技术要求、检验方法、检验规则，以及标志、包装、运输和储存要求。 </w:t>
            </w:r>
          </w:p>
          <w:p w14:paraId="1B974290">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本文件适用于LED显示屏产品的设计、研发、使用、检验等。</w:t>
            </w:r>
          </w:p>
        </w:tc>
        <w:tc>
          <w:tcPr>
            <w:tcW w:w="2836" w:type="dxa"/>
            <w:vAlign w:val="center"/>
          </w:tcPr>
          <w:p w14:paraId="570E180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FF0000"/>
                <w:sz w:val="21"/>
                <w:szCs w:val="21"/>
                <w:highlight w:val="none"/>
                <w:vertAlign w:val="baseline"/>
              </w:rPr>
              <w:t>SJ/T 11141-2017</w:t>
            </w:r>
            <w:r>
              <w:rPr>
                <w:rFonts w:hint="eastAsia" w:ascii="仿宋" w:hAnsi="仿宋" w:eastAsia="仿宋" w:cs="仿宋"/>
                <w:color w:val="FF0000"/>
                <w:sz w:val="21"/>
                <w:szCs w:val="21"/>
                <w:highlight w:val="none"/>
                <w:vertAlign w:val="baseline"/>
                <w:lang w:eastAsia="zh-CN"/>
              </w:rPr>
              <w:t>（</w:t>
            </w:r>
            <w:r>
              <w:rPr>
                <w:rFonts w:hint="eastAsia" w:ascii="仿宋" w:hAnsi="仿宋" w:eastAsia="仿宋" w:cs="仿宋"/>
                <w:color w:val="FF0000"/>
                <w:sz w:val="21"/>
                <w:szCs w:val="21"/>
                <w:highlight w:val="none"/>
                <w:vertAlign w:val="baseline"/>
                <w:lang w:val="en-US" w:eastAsia="zh-CN"/>
              </w:rPr>
              <w:t>2025年8月1日废止</w:t>
            </w:r>
            <w:r>
              <w:rPr>
                <w:rFonts w:hint="eastAsia" w:ascii="仿宋" w:hAnsi="仿宋" w:eastAsia="仿宋" w:cs="仿宋"/>
                <w:color w:val="FF0000"/>
                <w:sz w:val="21"/>
                <w:szCs w:val="21"/>
                <w:highlight w:val="none"/>
                <w:vertAlign w:val="baseline"/>
                <w:lang w:eastAsia="zh-CN"/>
              </w:rPr>
              <w:t>）</w:t>
            </w:r>
            <w:r>
              <w:rPr>
                <w:rFonts w:hint="eastAsia" w:ascii="仿宋" w:hAnsi="仿宋" w:eastAsia="仿宋" w:cs="仿宋"/>
                <w:color w:val="auto"/>
                <w:sz w:val="21"/>
                <w:szCs w:val="21"/>
                <w:highlight w:val="none"/>
                <w:vertAlign w:val="baseline"/>
              </w:rPr>
              <w:t xml:space="preserve"> 的 5.10.6 条款是对 LED 显示屏可视角度的技术要求和测量方法的规定</w:t>
            </w:r>
          </w:p>
        </w:tc>
      </w:tr>
      <w:tr w14:paraId="6D06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6A91E540">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14</w:t>
            </w:r>
          </w:p>
        </w:tc>
        <w:tc>
          <w:tcPr>
            <w:tcW w:w="3574" w:type="dxa"/>
            <w:vAlign w:val="center"/>
          </w:tcPr>
          <w:p w14:paraId="5794BF7A">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中华人民共和国电子行业标准</w:t>
            </w:r>
            <w:r>
              <w:rPr>
                <w:rFonts w:hint="eastAsia" w:ascii="仿宋" w:hAnsi="仿宋" w:eastAsia="仿宋" w:cs="仿宋"/>
                <w:color w:val="auto"/>
                <w:sz w:val="21"/>
                <w:szCs w:val="21"/>
                <w:highlight w:val="none"/>
                <w:vertAlign w:val="baseline"/>
                <w:lang w:eastAsia="zh-CN"/>
              </w:rPr>
              <w:t>《LED显示屏图像质量主观评价方法 》</w:t>
            </w:r>
          </w:p>
        </w:tc>
        <w:tc>
          <w:tcPr>
            <w:tcW w:w="1896" w:type="dxa"/>
            <w:vAlign w:val="center"/>
          </w:tcPr>
          <w:p w14:paraId="6CBB38E5">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SJ/T 11590-20</w:t>
            </w:r>
            <w:r>
              <w:rPr>
                <w:rFonts w:hint="eastAsia" w:ascii="仿宋" w:hAnsi="仿宋" w:eastAsia="仿宋" w:cs="仿宋"/>
                <w:color w:val="auto"/>
                <w:sz w:val="21"/>
                <w:szCs w:val="21"/>
                <w:highlight w:val="none"/>
                <w:vertAlign w:val="baseline"/>
                <w:lang w:val="en-US" w:eastAsia="zh-CN"/>
              </w:rPr>
              <w:t>25</w:t>
            </w:r>
          </w:p>
        </w:tc>
        <w:tc>
          <w:tcPr>
            <w:tcW w:w="1266" w:type="dxa"/>
            <w:vAlign w:val="center"/>
          </w:tcPr>
          <w:p w14:paraId="4B7C9A5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7CBAD970">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本文件规定了LED显示屏图像质量主观评价方法。 </w:t>
            </w:r>
          </w:p>
          <w:p w14:paraId="180E093B">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本文件适用于以显示视频图像、动画、图片内容为主的室内外全彩色LED显示屏的图像质量主观评价。其他以显示视频图像、动画、图片内容为主的显示类显示屏，进行主观评价时也可参照使用。 </w:t>
            </w:r>
          </w:p>
          <w:p w14:paraId="024516C1">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本文件不适用于可变信息标志、城市交通诱导标志、银行及证券行情等以文字信息显示为主的LED显示屏。</w:t>
            </w:r>
          </w:p>
        </w:tc>
        <w:tc>
          <w:tcPr>
            <w:tcW w:w="2836" w:type="dxa"/>
            <w:vAlign w:val="center"/>
          </w:tcPr>
          <w:p w14:paraId="516ABED3">
            <w:pPr>
              <w:spacing w:line="240" w:lineRule="auto"/>
              <w:jc w:val="center"/>
              <w:rPr>
                <w:rFonts w:hint="default" w:ascii="仿宋" w:hAnsi="仿宋" w:eastAsia="仿宋" w:cs="仿宋"/>
                <w:color w:val="auto"/>
                <w:sz w:val="21"/>
                <w:szCs w:val="21"/>
                <w:highlight w:val="none"/>
                <w:vertAlign w:val="baseline"/>
                <w:lang w:val="en-US"/>
              </w:rPr>
            </w:pPr>
            <w:r>
              <w:rPr>
                <w:rFonts w:hint="default" w:ascii="仿宋" w:hAnsi="仿宋" w:eastAsia="仿宋" w:cs="仿宋"/>
                <w:color w:val="FF0000"/>
                <w:sz w:val="21"/>
                <w:szCs w:val="21"/>
                <w:highlight w:val="none"/>
                <w:vertAlign w:val="baseline"/>
                <w:lang w:val="en-US" w:eastAsia="zh-CN"/>
              </w:rPr>
              <w:t>SJ/T 11590-2016</w:t>
            </w:r>
            <w:r>
              <w:rPr>
                <w:rFonts w:hint="eastAsia" w:ascii="仿宋" w:hAnsi="仿宋" w:eastAsia="仿宋" w:cs="仿宋"/>
                <w:color w:val="FF0000"/>
                <w:sz w:val="21"/>
                <w:szCs w:val="21"/>
                <w:highlight w:val="none"/>
                <w:vertAlign w:val="baseline"/>
                <w:lang w:val="en-US" w:eastAsia="zh-CN"/>
              </w:rPr>
              <w:t>于2016年6月1日废止</w:t>
            </w:r>
          </w:p>
        </w:tc>
      </w:tr>
      <w:tr w14:paraId="2AB5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217AAF6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15</w:t>
            </w:r>
          </w:p>
        </w:tc>
        <w:tc>
          <w:tcPr>
            <w:tcW w:w="3574" w:type="dxa"/>
            <w:vAlign w:val="center"/>
          </w:tcPr>
          <w:p w14:paraId="355DE54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室内用LED显示屏多媒体系统验收规范</w:t>
            </w:r>
          </w:p>
        </w:tc>
        <w:tc>
          <w:tcPr>
            <w:tcW w:w="1896" w:type="dxa"/>
            <w:vAlign w:val="center"/>
          </w:tcPr>
          <w:p w14:paraId="58C425F6">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SJ/T 11711-2018</w:t>
            </w:r>
          </w:p>
        </w:tc>
        <w:tc>
          <w:tcPr>
            <w:tcW w:w="1266" w:type="dxa"/>
            <w:vAlign w:val="center"/>
          </w:tcPr>
          <w:p w14:paraId="188F0F35">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66DFF13">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本标准规定了室内用发光二极管（LED）显示屏和LED显示屏多媒体系统的术语和定义、要求、验收流程、验收检验条件、验收检验方法和验收规则。</w:t>
            </w:r>
          </w:p>
        </w:tc>
        <w:tc>
          <w:tcPr>
            <w:tcW w:w="2836" w:type="dxa"/>
            <w:vAlign w:val="center"/>
          </w:tcPr>
          <w:p w14:paraId="721F2A5B">
            <w:pPr>
              <w:spacing w:line="240" w:lineRule="auto"/>
              <w:jc w:val="center"/>
              <w:rPr>
                <w:rFonts w:hint="default" w:ascii="仿宋" w:hAnsi="仿宋" w:eastAsia="仿宋" w:cs="仿宋"/>
                <w:color w:val="FF0000"/>
                <w:sz w:val="21"/>
                <w:szCs w:val="21"/>
                <w:highlight w:val="none"/>
                <w:vertAlign w:val="baseline"/>
                <w:lang w:val="en-US" w:eastAsia="zh-CN"/>
              </w:rPr>
            </w:pPr>
          </w:p>
        </w:tc>
      </w:tr>
      <w:tr w14:paraId="5650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31640EA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16</w:t>
            </w:r>
          </w:p>
        </w:tc>
        <w:tc>
          <w:tcPr>
            <w:tcW w:w="3574" w:type="dxa"/>
            <w:vAlign w:val="center"/>
          </w:tcPr>
          <w:p w14:paraId="312F27D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室内LED显示屏光舒适度评价方法</w:t>
            </w:r>
          </w:p>
        </w:tc>
        <w:tc>
          <w:tcPr>
            <w:tcW w:w="1896" w:type="dxa"/>
            <w:vAlign w:val="center"/>
          </w:tcPr>
          <w:p w14:paraId="4769546F">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GB/T 43979-2024</w:t>
            </w:r>
          </w:p>
        </w:tc>
        <w:tc>
          <w:tcPr>
            <w:tcW w:w="1266" w:type="dxa"/>
            <w:vAlign w:val="center"/>
          </w:tcPr>
          <w:p w14:paraId="6AACBA65">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1A8FF5FA">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本文件描述了室内LED显示屏（以下简称“LED显示屏”）的光舒适度评价方法。</w:t>
            </w:r>
          </w:p>
        </w:tc>
        <w:tc>
          <w:tcPr>
            <w:tcW w:w="2836" w:type="dxa"/>
            <w:vAlign w:val="center"/>
          </w:tcPr>
          <w:p w14:paraId="3828CFF0">
            <w:pPr>
              <w:spacing w:line="240" w:lineRule="auto"/>
              <w:jc w:val="center"/>
              <w:rPr>
                <w:rFonts w:hint="default" w:ascii="仿宋" w:hAnsi="仿宋" w:eastAsia="仿宋" w:cs="仿宋"/>
                <w:color w:val="FF0000"/>
                <w:sz w:val="21"/>
                <w:szCs w:val="21"/>
                <w:highlight w:val="none"/>
                <w:vertAlign w:val="baseline"/>
                <w:lang w:val="en-US" w:eastAsia="zh-CN"/>
              </w:rPr>
            </w:pPr>
          </w:p>
        </w:tc>
      </w:tr>
      <w:tr w14:paraId="4DF1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1047BF0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17</w:t>
            </w:r>
          </w:p>
        </w:tc>
        <w:tc>
          <w:tcPr>
            <w:tcW w:w="3574" w:type="dxa"/>
            <w:vAlign w:val="center"/>
          </w:tcPr>
          <w:p w14:paraId="7DBA6D7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室内LED显示屏光舒适度评价要求</w:t>
            </w:r>
          </w:p>
        </w:tc>
        <w:tc>
          <w:tcPr>
            <w:tcW w:w="1896" w:type="dxa"/>
            <w:vAlign w:val="center"/>
          </w:tcPr>
          <w:p w14:paraId="2501FE7C">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GB/T 43978-2024</w:t>
            </w:r>
          </w:p>
        </w:tc>
        <w:tc>
          <w:tcPr>
            <w:tcW w:w="1266" w:type="dxa"/>
            <w:vAlign w:val="center"/>
          </w:tcPr>
          <w:p w14:paraId="5303C3A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52C4F5A3">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本文件规定了室内发光二极管（LED）显示屏（以下简称“LED显示屏”）光舒适度的评价要求。</w:t>
            </w:r>
          </w:p>
        </w:tc>
        <w:tc>
          <w:tcPr>
            <w:tcW w:w="2836" w:type="dxa"/>
            <w:vAlign w:val="center"/>
          </w:tcPr>
          <w:p w14:paraId="5B752A6D">
            <w:pPr>
              <w:spacing w:line="240" w:lineRule="auto"/>
              <w:jc w:val="center"/>
              <w:rPr>
                <w:rFonts w:hint="default" w:ascii="仿宋" w:hAnsi="仿宋" w:eastAsia="仿宋" w:cs="仿宋"/>
                <w:color w:val="FF0000"/>
                <w:sz w:val="21"/>
                <w:szCs w:val="21"/>
                <w:highlight w:val="none"/>
                <w:vertAlign w:val="baseline"/>
                <w:lang w:val="en-US" w:eastAsia="zh-CN"/>
              </w:rPr>
            </w:pPr>
          </w:p>
        </w:tc>
      </w:tr>
      <w:tr w14:paraId="2759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15BBAF5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18</w:t>
            </w:r>
          </w:p>
        </w:tc>
        <w:tc>
          <w:tcPr>
            <w:tcW w:w="3574" w:type="dxa"/>
            <w:vAlign w:val="center"/>
          </w:tcPr>
          <w:p w14:paraId="0E591D0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室内LED显示屏规范</w:t>
            </w:r>
          </w:p>
        </w:tc>
        <w:tc>
          <w:tcPr>
            <w:tcW w:w="1896" w:type="dxa"/>
            <w:vAlign w:val="center"/>
          </w:tcPr>
          <w:p w14:paraId="63A7618C">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GB/T 43770-2024</w:t>
            </w:r>
          </w:p>
        </w:tc>
        <w:tc>
          <w:tcPr>
            <w:tcW w:w="1266" w:type="dxa"/>
            <w:vAlign w:val="center"/>
          </w:tcPr>
          <w:p w14:paraId="0D66E9F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742F9D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室内LED显示屏（以下简称“显示屏”）的分类、要求、测试方法、检验规则及标志、包装、运输和贮存。本文件适用于显示图文及视频等信息的全彩大间距、中间距、小间距、微小间距、超小间距显示屏产品。</w:t>
            </w:r>
          </w:p>
        </w:tc>
        <w:tc>
          <w:tcPr>
            <w:tcW w:w="2836" w:type="dxa"/>
            <w:vAlign w:val="center"/>
          </w:tcPr>
          <w:p w14:paraId="3307634B">
            <w:pPr>
              <w:spacing w:line="240" w:lineRule="auto"/>
              <w:jc w:val="center"/>
              <w:rPr>
                <w:rFonts w:hint="default" w:ascii="仿宋" w:hAnsi="仿宋" w:eastAsia="仿宋" w:cs="仿宋"/>
                <w:color w:val="FF0000"/>
                <w:sz w:val="21"/>
                <w:szCs w:val="21"/>
                <w:highlight w:val="none"/>
                <w:vertAlign w:val="baseline"/>
                <w:lang w:val="en-US" w:eastAsia="zh-CN"/>
              </w:rPr>
            </w:pPr>
          </w:p>
        </w:tc>
      </w:tr>
      <w:tr w14:paraId="3355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7DE5AD6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19</w:t>
            </w:r>
          </w:p>
        </w:tc>
        <w:tc>
          <w:tcPr>
            <w:tcW w:w="3574" w:type="dxa"/>
            <w:vAlign w:val="center"/>
          </w:tcPr>
          <w:p w14:paraId="3AC9709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体育场馆LED显示屏使用要求及检验方法</w:t>
            </w:r>
          </w:p>
        </w:tc>
        <w:tc>
          <w:tcPr>
            <w:tcW w:w="1896" w:type="dxa"/>
            <w:vAlign w:val="center"/>
          </w:tcPr>
          <w:p w14:paraId="12055DCF">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GB/T 29458-2024</w:t>
            </w:r>
          </w:p>
        </w:tc>
        <w:tc>
          <w:tcPr>
            <w:tcW w:w="1266" w:type="dxa"/>
            <w:vAlign w:val="center"/>
          </w:tcPr>
          <w:p w14:paraId="23E472E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50DAD58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本文件规定了体育场馆LED显示屏的技术要求、合格判定规则，描述了相应的检测方法，给出了LED显示屏的分类。</w:t>
            </w:r>
          </w:p>
        </w:tc>
        <w:tc>
          <w:tcPr>
            <w:tcW w:w="2836" w:type="dxa"/>
            <w:vAlign w:val="center"/>
          </w:tcPr>
          <w:p w14:paraId="37FA342C">
            <w:pPr>
              <w:spacing w:line="240" w:lineRule="auto"/>
              <w:jc w:val="center"/>
              <w:rPr>
                <w:rFonts w:hint="default" w:ascii="仿宋" w:hAnsi="仿宋" w:eastAsia="仿宋" w:cs="仿宋"/>
                <w:color w:val="FF0000"/>
                <w:sz w:val="21"/>
                <w:szCs w:val="21"/>
                <w:highlight w:val="none"/>
                <w:vertAlign w:val="baseline"/>
                <w:lang w:val="en-US" w:eastAsia="zh-CN"/>
              </w:rPr>
            </w:pPr>
          </w:p>
        </w:tc>
      </w:tr>
      <w:tr w14:paraId="76BC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5EBAC51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20</w:t>
            </w:r>
          </w:p>
        </w:tc>
        <w:tc>
          <w:tcPr>
            <w:tcW w:w="3574" w:type="dxa"/>
            <w:vAlign w:val="center"/>
          </w:tcPr>
          <w:p w14:paraId="1FA6FD87">
            <w:pPr>
              <w:spacing w:line="240" w:lineRule="auto"/>
              <w:jc w:val="center"/>
              <w:rPr>
                <w:rFonts w:hint="eastAsia" w:ascii="仿宋" w:hAnsi="仿宋" w:eastAsia="仿宋" w:cs="仿宋"/>
                <w:color w:val="auto"/>
                <w:sz w:val="21"/>
                <w:szCs w:val="21"/>
                <w:highlight w:val="none"/>
                <w:vertAlign w:val="baseline"/>
              </w:rPr>
            </w:pPr>
            <w:r>
              <w:rPr>
                <w:rFonts w:hint="default" w:ascii="仿宋" w:hAnsi="仿宋" w:eastAsia="仿宋" w:cs="仿宋"/>
                <w:color w:val="auto"/>
                <w:sz w:val="21"/>
                <w:szCs w:val="21"/>
                <w:highlight w:val="none"/>
                <w:vertAlign w:val="baseline"/>
                <w:lang w:val="en-US" w:eastAsia="zh-CN"/>
              </w:rPr>
              <w:t>LED显示屏干扰光现场测量方法</w:t>
            </w:r>
          </w:p>
        </w:tc>
        <w:tc>
          <w:tcPr>
            <w:tcW w:w="1896" w:type="dxa"/>
            <w:vAlign w:val="center"/>
          </w:tcPr>
          <w:p w14:paraId="6AD26B7E">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GB/T 34973-2017</w:t>
            </w:r>
          </w:p>
        </w:tc>
        <w:tc>
          <w:tcPr>
            <w:tcW w:w="1266" w:type="dxa"/>
            <w:vAlign w:val="center"/>
          </w:tcPr>
          <w:p w14:paraId="7FDBEE1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436264A7">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本标准规定了LED显示屏（以下简称显示屏）干扰光的现场测量方法。</w:t>
            </w:r>
          </w:p>
        </w:tc>
        <w:tc>
          <w:tcPr>
            <w:tcW w:w="2836" w:type="dxa"/>
            <w:vAlign w:val="center"/>
          </w:tcPr>
          <w:p w14:paraId="4696A162">
            <w:pPr>
              <w:spacing w:line="240" w:lineRule="auto"/>
              <w:jc w:val="center"/>
              <w:rPr>
                <w:rFonts w:hint="default" w:ascii="仿宋" w:hAnsi="仿宋" w:eastAsia="仿宋" w:cs="仿宋"/>
                <w:color w:val="FF0000"/>
                <w:sz w:val="21"/>
                <w:szCs w:val="21"/>
                <w:highlight w:val="none"/>
                <w:vertAlign w:val="baseline"/>
                <w:lang w:val="en-US" w:eastAsia="zh-CN"/>
              </w:rPr>
            </w:pPr>
          </w:p>
        </w:tc>
      </w:tr>
      <w:tr w14:paraId="7C8B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7A55415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21</w:t>
            </w:r>
          </w:p>
        </w:tc>
        <w:tc>
          <w:tcPr>
            <w:tcW w:w="3574" w:type="dxa"/>
            <w:vAlign w:val="center"/>
          </w:tcPr>
          <w:p w14:paraId="4E5AA8F2">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LED显示屏节能设计要求</w:t>
            </w:r>
          </w:p>
        </w:tc>
        <w:tc>
          <w:tcPr>
            <w:tcW w:w="1896" w:type="dxa"/>
            <w:vAlign w:val="center"/>
          </w:tcPr>
          <w:p w14:paraId="4B6D82E3">
            <w:pPr>
              <w:spacing w:line="240" w:lineRule="auto"/>
              <w:jc w:val="center"/>
              <w:rPr>
                <w:rFonts w:hint="default" w:ascii="仿宋" w:hAnsi="仿宋" w:eastAsia="仿宋" w:cs="仿宋"/>
                <w:color w:val="auto"/>
                <w:sz w:val="21"/>
                <w:szCs w:val="21"/>
                <w:highlight w:val="none"/>
                <w:vertAlign w:val="baseline"/>
                <w:lang w:val="en-US" w:eastAsia="zh-CN"/>
              </w:rPr>
            </w:pPr>
            <w:r>
              <w:rPr>
                <w:rFonts w:hint="default" w:ascii="仿宋" w:hAnsi="仿宋" w:eastAsia="仿宋" w:cs="仿宋"/>
                <w:color w:val="auto"/>
                <w:sz w:val="21"/>
                <w:szCs w:val="21"/>
                <w:highlight w:val="none"/>
                <w:vertAlign w:val="baseline"/>
                <w:lang w:val="en-US" w:eastAsia="zh-CN"/>
              </w:rPr>
              <w:t>SJ/T 11890-2023</w:t>
            </w:r>
          </w:p>
        </w:tc>
        <w:tc>
          <w:tcPr>
            <w:tcW w:w="1266" w:type="dxa"/>
            <w:vAlign w:val="center"/>
          </w:tcPr>
          <w:p w14:paraId="0E1CEAA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9352ECE">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本文件规定了LED显示屏典型组成和节能设计的一般要求。</w:t>
            </w:r>
          </w:p>
        </w:tc>
        <w:tc>
          <w:tcPr>
            <w:tcW w:w="2836" w:type="dxa"/>
            <w:vAlign w:val="center"/>
          </w:tcPr>
          <w:p w14:paraId="4B88D7FE">
            <w:pPr>
              <w:spacing w:line="240" w:lineRule="auto"/>
              <w:jc w:val="center"/>
              <w:rPr>
                <w:rFonts w:hint="default" w:ascii="仿宋" w:hAnsi="仿宋" w:eastAsia="仿宋" w:cs="仿宋"/>
                <w:color w:val="FF0000"/>
                <w:sz w:val="21"/>
                <w:szCs w:val="21"/>
                <w:highlight w:val="none"/>
                <w:vertAlign w:val="baseline"/>
                <w:lang w:val="en-US" w:eastAsia="zh-CN"/>
              </w:rPr>
            </w:pPr>
            <w:r>
              <w:rPr>
                <w:rFonts w:hint="default" w:ascii="仿宋" w:hAnsi="仿宋" w:eastAsia="仿宋" w:cs="仿宋"/>
                <w:color w:val="FF0000"/>
                <w:sz w:val="21"/>
                <w:szCs w:val="21"/>
                <w:highlight w:val="none"/>
                <w:vertAlign w:val="baseline"/>
                <w:lang w:val="en-US" w:eastAsia="zh-CN"/>
              </w:rPr>
              <w:t>中华人民共和国工业和信息化部</w:t>
            </w:r>
          </w:p>
        </w:tc>
      </w:tr>
      <w:tr w14:paraId="4F5D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2DB0A5DA">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22</w:t>
            </w:r>
          </w:p>
        </w:tc>
        <w:tc>
          <w:tcPr>
            <w:tcW w:w="3574" w:type="dxa"/>
            <w:vAlign w:val="center"/>
          </w:tcPr>
          <w:p w14:paraId="553B03F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灯具 第1部分：一般要求与试验</w:t>
            </w:r>
          </w:p>
        </w:tc>
        <w:tc>
          <w:tcPr>
            <w:tcW w:w="1896" w:type="dxa"/>
            <w:vAlign w:val="center"/>
          </w:tcPr>
          <w:p w14:paraId="05C2FB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GB7000.1-2015</w:t>
            </w:r>
          </w:p>
        </w:tc>
        <w:tc>
          <w:tcPr>
            <w:tcW w:w="1266" w:type="dxa"/>
            <w:vAlign w:val="center"/>
          </w:tcPr>
          <w:p w14:paraId="52424A3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199160C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GB7000的本部分规定了使用电光源、电源电压不超过1000V 的灯具的一般要求。本部分提出的要求和有关试验包括:分类、标记、机械结构、电气结构和光生物安全。</w:t>
            </w:r>
          </w:p>
        </w:tc>
        <w:tc>
          <w:tcPr>
            <w:tcW w:w="2836" w:type="dxa"/>
            <w:vAlign w:val="center"/>
          </w:tcPr>
          <w:p w14:paraId="532B7331">
            <w:pPr>
              <w:spacing w:line="240" w:lineRule="auto"/>
              <w:jc w:val="center"/>
              <w:rPr>
                <w:rFonts w:hint="eastAsia" w:ascii="仿宋" w:hAnsi="仿宋" w:eastAsia="仿宋" w:cs="仿宋"/>
                <w:color w:val="auto"/>
                <w:sz w:val="21"/>
                <w:szCs w:val="21"/>
                <w:highlight w:val="none"/>
                <w:vertAlign w:val="baseline"/>
              </w:rPr>
            </w:pPr>
          </w:p>
        </w:tc>
      </w:tr>
      <w:tr w14:paraId="30FC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780E4D3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23</w:t>
            </w:r>
          </w:p>
        </w:tc>
        <w:tc>
          <w:tcPr>
            <w:tcW w:w="3574" w:type="dxa"/>
            <w:vAlign w:val="center"/>
          </w:tcPr>
          <w:p w14:paraId="4874E63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灯具 第2-17部分：特殊要求 舞台灯光、电视、电影及摄影场所（室内外）用灯具</w:t>
            </w:r>
          </w:p>
        </w:tc>
        <w:tc>
          <w:tcPr>
            <w:tcW w:w="1896" w:type="dxa"/>
            <w:vAlign w:val="center"/>
          </w:tcPr>
          <w:p w14:paraId="4887FD1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GB7000.217-2008</w:t>
            </w:r>
          </w:p>
        </w:tc>
        <w:tc>
          <w:tcPr>
            <w:tcW w:w="1266" w:type="dxa"/>
            <w:vAlign w:val="center"/>
          </w:tcPr>
          <w:p w14:paraId="69DCA4C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BF4BB2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7000的本部分规定了使用电源电压不超过1000V，以电光源为光源的室内外舞台灯光、电视、电影及摄影场所用灯具（包括聚光和泛光投射）的要求。本部分应与GB 7000.1的有关章条一起使用。</w:t>
            </w:r>
          </w:p>
        </w:tc>
        <w:tc>
          <w:tcPr>
            <w:tcW w:w="2836" w:type="dxa"/>
            <w:vAlign w:val="center"/>
          </w:tcPr>
          <w:p w14:paraId="1E7CAC9E">
            <w:pPr>
              <w:spacing w:line="240" w:lineRule="auto"/>
              <w:jc w:val="center"/>
              <w:rPr>
                <w:rFonts w:hint="eastAsia" w:ascii="仿宋" w:hAnsi="仿宋" w:eastAsia="仿宋" w:cs="仿宋"/>
                <w:color w:val="auto"/>
                <w:sz w:val="21"/>
                <w:szCs w:val="21"/>
                <w:highlight w:val="none"/>
                <w:vertAlign w:val="baseline"/>
              </w:rPr>
            </w:pPr>
          </w:p>
        </w:tc>
      </w:tr>
      <w:tr w14:paraId="1B55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70EFD8EE">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24</w:t>
            </w:r>
          </w:p>
        </w:tc>
        <w:tc>
          <w:tcPr>
            <w:tcW w:w="3574" w:type="dxa"/>
            <w:vAlign w:val="center"/>
          </w:tcPr>
          <w:p w14:paraId="05A9C8A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蓝光防护膜的光健康与光安全应用技术要求</w:t>
            </w:r>
          </w:p>
        </w:tc>
        <w:tc>
          <w:tcPr>
            <w:tcW w:w="1896" w:type="dxa"/>
            <w:vAlign w:val="center"/>
          </w:tcPr>
          <w:p w14:paraId="4F3BCA8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 38120-2019</w:t>
            </w:r>
          </w:p>
        </w:tc>
        <w:tc>
          <w:tcPr>
            <w:tcW w:w="1266" w:type="dxa"/>
            <w:vAlign w:val="center"/>
          </w:tcPr>
          <w:p w14:paraId="62C1E8E4">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01473840">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本标准规定了应用于光学镜片产品、显示产品、照明产品及皮肤防护产品的蓝光防护膜的分类、要求、测试方法。</w:t>
            </w:r>
          </w:p>
        </w:tc>
        <w:tc>
          <w:tcPr>
            <w:tcW w:w="2836" w:type="dxa"/>
            <w:vAlign w:val="center"/>
          </w:tcPr>
          <w:p w14:paraId="2B40CAB8">
            <w:pPr>
              <w:spacing w:line="240" w:lineRule="auto"/>
              <w:jc w:val="center"/>
              <w:rPr>
                <w:rFonts w:hint="eastAsia" w:ascii="仿宋" w:hAnsi="仿宋" w:eastAsia="仿宋" w:cs="仿宋"/>
                <w:color w:val="auto"/>
                <w:sz w:val="21"/>
                <w:szCs w:val="21"/>
                <w:highlight w:val="none"/>
                <w:vertAlign w:val="baseline"/>
              </w:rPr>
            </w:pPr>
          </w:p>
        </w:tc>
      </w:tr>
      <w:tr w14:paraId="4B66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600730F6">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25</w:t>
            </w:r>
          </w:p>
        </w:tc>
        <w:tc>
          <w:tcPr>
            <w:tcW w:w="3574" w:type="dxa"/>
            <w:vAlign w:val="center"/>
          </w:tcPr>
          <w:p w14:paraId="7F2EEA6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电气照明和类似设备的无线电骚扰特性的限值和测量方法</w:t>
            </w:r>
          </w:p>
        </w:tc>
        <w:tc>
          <w:tcPr>
            <w:tcW w:w="1896" w:type="dxa"/>
            <w:vAlign w:val="center"/>
          </w:tcPr>
          <w:p w14:paraId="60F48FBE">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GB17743-2021</w:t>
            </w:r>
          </w:p>
        </w:tc>
        <w:tc>
          <w:tcPr>
            <w:tcW w:w="1266" w:type="dxa"/>
            <w:vAlign w:val="center"/>
          </w:tcPr>
          <w:p w14:paraId="55C0394F">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2F952F9E">
            <w:pPr>
              <w:spacing w:line="240" w:lineRule="auto"/>
              <w:jc w:val="center"/>
              <w:rPr>
                <w:rFonts w:hint="eastAsia" w:ascii="仿宋" w:hAnsi="仿宋" w:eastAsia="仿宋" w:cs="仿宋"/>
                <w:color w:val="auto"/>
                <w:sz w:val="21"/>
                <w:szCs w:val="21"/>
                <w:highlight w:val="none"/>
                <w:vertAlign w:val="baseline"/>
              </w:rPr>
            </w:pPr>
          </w:p>
        </w:tc>
        <w:tc>
          <w:tcPr>
            <w:tcW w:w="2836" w:type="dxa"/>
            <w:vAlign w:val="center"/>
          </w:tcPr>
          <w:p w14:paraId="5B1A0EDF">
            <w:pPr>
              <w:spacing w:line="240" w:lineRule="auto"/>
              <w:jc w:val="center"/>
              <w:rPr>
                <w:rFonts w:hint="eastAsia" w:ascii="仿宋" w:hAnsi="仿宋" w:eastAsia="仿宋" w:cs="仿宋"/>
                <w:color w:val="auto"/>
                <w:sz w:val="21"/>
                <w:szCs w:val="21"/>
                <w:highlight w:val="none"/>
                <w:vertAlign w:val="baseline"/>
              </w:rPr>
            </w:pPr>
          </w:p>
        </w:tc>
      </w:tr>
      <w:tr w14:paraId="52B0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2C18D8E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26</w:t>
            </w:r>
          </w:p>
        </w:tc>
        <w:tc>
          <w:tcPr>
            <w:tcW w:w="3574" w:type="dxa"/>
            <w:vAlign w:val="center"/>
          </w:tcPr>
          <w:p w14:paraId="78BA4F4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《LED 室内照明应用技术要求》</w:t>
            </w:r>
          </w:p>
        </w:tc>
        <w:tc>
          <w:tcPr>
            <w:tcW w:w="1896" w:type="dxa"/>
            <w:vAlign w:val="center"/>
          </w:tcPr>
          <w:p w14:paraId="7B39880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GB/T 31831-2015 </w:t>
            </w:r>
          </w:p>
        </w:tc>
        <w:tc>
          <w:tcPr>
            <w:tcW w:w="1266" w:type="dxa"/>
            <w:vAlign w:val="center"/>
          </w:tcPr>
          <w:p w14:paraId="0EBF7B2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00B8F1CF">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本标准规定了建筑室内照明用 LED光源和 LED灯具的术语和定义、一般要求、规格分类要求、性能要求及控制要求。</w:t>
            </w:r>
          </w:p>
        </w:tc>
        <w:tc>
          <w:tcPr>
            <w:tcW w:w="2836" w:type="dxa"/>
            <w:vAlign w:val="center"/>
          </w:tcPr>
          <w:p w14:paraId="4234CCA5">
            <w:pPr>
              <w:spacing w:line="240" w:lineRule="auto"/>
              <w:jc w:val="center"/>
              <w:rPr>
                <w:rFonts w:hint="eastAsia" w:ascii="仿宋" w:hAnsi="仿宋" w:eastAsia="仿宋" w:cs="仿宋"/>
                <w:color w:val="auto"/>
                <w:sz w:val="21"/>
                <w:szCs w:val="21"/>
                <w:highlight w:val="none"/>
                <w:vertAlign w:val="baseline"/>
              </w:rPr>
            </w:pPr>
          </w:p>
        </w:tc>
      </w:tr>
      <w:tr w14:paraId="04C7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5148C750">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27</w:t>
            </w:r>
          </w:p>
        </w:tc>
        <w:tc>
          <w:tcPr>
            <w:tcW w:w="3574" w:type="dxa"/>
            <w:vAlign w:val="center"/>
          </w:tcPr>
          <w:p w14:paraId="5102D0C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照明测量方法</w:t>
            </w:r>
          </w:p>
        </w:tc>
        <w:tc>
          <w:tcPr>
            <w:tcW w:w="1896" w:type="dxa"/>
            <w:vAlign w:val="center"/>
          </w:tcPr>
          <w:p w14:paraId="317B9F24">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GB/T-5700-2023</w:t>
            </w:r>
          </w:p>
        </w:tc>
        <w:tc>
          <w:tcPr>
            <w:tcW w:w="1266" w:type="dxa"/>
            <w:vAlign w:val="center"/>
          </w:tcPr>
          <w:p w14:paraId="65E5BFE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99FE59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照明测量的一般要求、测量仪器和测量方法，以及建筑照明测量、道路照明测量、夜景照明测量和室外作业场地照明测量的实施方法。本文件适用于建筑、道路、夜景和室外作业场地的照明测量，其他场所照明测量可参照执行。</w:t>
            </w:r>
          </w:p>
        </w:tc>
        <w:tc>
          <w:tcPr>
            <w:tcW w:w="2836" w:type="dxa"/>
            <w:vAlign w:val="center"/>
          </w:tcPr>
          <w:p w14:paraId="72ED175E">
            <w:pPr>
              <w:spacing w:line="240" w:lineRule="auto"/>
              <w:jc w:val="center"/>
              <w:rPr>
                <w:rFonts w:hint="eastAsia" w:ascii="仿宋" w:hAnsi="仿宋" w:eastAsia="仿宋" w:cs="仿宋"/>
                <w:color w:val="auto"/>
                <w:sz w:val="21"/>
                <w:szCs w:val="21"/>
                <w:highlight w:val="none"/>
                <w:vertAlign w:val="baseline"/>
              </w:rPr>
            </w:pPr>
          </w:p>
        </w:tc>
      </w:tr>
      <w:tr w14:paraId="10B5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54971024">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28</w:t>
            </w:r>
          </w:p>
        </w:tc>
        <w:tc>
          <w:tcPr>
            <w:tcW w:w="3574" w:type="dxa"/>
            <w:vAlign w:val="center"/>
          </w:tcPr>
          <w:p w14:paraId="3508BBB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 灯和灯系统的光生物安全性</w:t>
            </w:r>
          </w:p>
        </w:tc>
        <w:tc>
          <w:tcPr>
            <w:tcW w:w="1896" w:type="dxa"/>
            <w:vAlign w:val="center"/>
          </w:tcPr>
          <w:p w14:paraId="6FCEC038">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 20145-2006</w:t>
            </w:r>
          </w:p>
        </w:tc>
        <w:tc>
          <w:tcPr>
            <w:tcW w:w="1266" w:type="dxa"/>
            <w:vAlign w:val="center"/>
          </w:tcPr>
          <w:p w14:paraId="081C35AE">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480B7934">
            <w:pPr>
              <w:spacing w:line="240" w:lineRule="auto"/>
              <w:jc w:val="center"/>
              <w:rPr>
                <w:rFonts w:hint="eastAsia" w:ascii="仿宋" w:hAnsi="仿宋" w:eastAsia="仿宋" w:cs="仿宋"/>
                <w:color w:val="auto"/>
                <w:sz w:val="21"/>
                <w:szCs w:val="21"/>
                <w:highlight w:val="none"/>
                <w:vertAlign w:val="baseline"/>
              </w:rPr>
            </w:pPr>
          </w:p>
          <w:p w14:paraId="6128CDAF">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本标准对评估灯和灯系统，包括各种灯具的光生物安全性给予指导。对于所有非相干宽带电光源，也包括发光二级管（LED）但不包括激光，在200 nm至3000 nm波长范围的光学辐射的光生物危害的评估和控制，本标准对曝辐射限值参考测量技术和分级计划进行了明确规定。</w:t>
            </w:r>
          </w:p>
        </w:tc>
        <w:tc>
          <w:tcPr>
            <w:tcW w:w="2836" w:type="dxa"/>
            <w:vAlign w:val="center"/>
          </w:tcPr>
          <w:p w14:paraId="64F52F46">
            <w:pPr>
              <w:spacing w:line="240" w:lineRule="auto"/>
              <w:jc w:val="center"/>
              <w:rPr>
                <w:rFonts w:hint="eastAsia" w:ascii="仿宋" w:hAnsi="仿宋" w:eastAsia="仿宋" w:cs="仿宋"/>
                <w:color w:val="auto"/>
                <w:sz w:val="21"/>
                <w:szCs w:val="21"/>
                <w:highlight w:val="none"/>
                <w:vertAlign w:val="baseline"/>
              </w:rPr>
            </w:pPr>
          </w:p>
        </w:tc>
      </w:tr>
      <w:tr w14:paraId="5500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1BA4B36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29</w:t>
            </w:r>
          </w:p>
        </w:tc>
        <w:tc>
          <w:tcPr>
            <w:tcW w:w="3574" w:type="dxa"/>
            <w:vAlign w:val="center"/>
          </w:tcPr>
          <w:p w14:paraId="523B778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数字可寻址照明接口 第102部分：一般要求 控制装置</w:t>
            </w:r>
          </w:p>
        </w:tc>
        <w:tc>
          <w:tcPr>
            <w:tcW w:w="1896" w:type="dxa"/>
            <w:vAlign w:val="center"/>
          </w:tcPr>
          <w:p w14:paraId="6BBDB7A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 30104.102-2025</w:t>
            </w:r>
          </w:p>
        </w:tc>
        <w:tc>
          <w:tcPr>
            <w:tcW w:w="1266" w:type="dxa"/>
            <w:vAlign w:val="center"/>
          </w:tcPr>
          <w:p w14:paraId="4EA166D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2026-02-01  即将实施</w:t>
            </w:r>
          </w:p>
        </w:tc>
        <w:tc>
          <w:tcPr>
            <w:tcW w:w="4372" w:type="dxa"/>
            <w:vAlign w:val="center"/>
          </w:tcPr>
          <w:p w14:paraId="67D7E0B1">
            <w:pPr>
              <w:spacing w:line="240" w:lineRule="auto"/>
              <w:jc w:val="left"/>
              <w:rPr>
                <w:rFonts w:hint="eastAsia" w:ascii="仿宋" w:hAnsi="仿宋" w:eastAsia="仿宋" w:cs="仿宋"/>
                <w:color w:val="auto"/>
                <w:sz w:val="21"/>
                <w:szCs w:val="21"/>
                <w:highlight w:val="none"/>
                <w:vertAlign w:val="baseline"/>
              </w:rPr>
            </w:pPr>
          </w:p>
        </w:tc>
        <w:tc>
          <w:tcPr>
            <w:tcW w:w="2836" w:type="dxa"/>
            <w:vAlign w:val="center"/>
          </w:tcPr>
          <w:p w14:paraId="717C7E3F">
            <w:pPr>
              <w:spacing w:line="240" w:lineRule="auto"/>
              <w:jc w:val="center"/>
              <w:rPr>
                <w:rFonts w:hint="eastAsia" w:ascii="仿宋" w:hAnsi="仿宋" w:eastAsia="仿宋" w:cs="仿宋"/>
                <w:color w:val="auto"/>
                <w:sz w:val="21"/>
                <w:szCs w:val="21"/>
                <w:highlight w:val="none"/>
                <w:vertAlign w:val="baseline"/>
              </w:rPr>
            </w:pPr>
          </w:p>
        </w:tc>
      </w:tr>
      <w:tr w14:paraId="518E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4030808B">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30</w:t>
            </w:r>
          </w:p>
        </w:tc>
        <w:tc>
          <w:tcPr>
            <w:tcW w:w="3574" w:type="dxa"/>
            <w:vAlign w:val="center"/>
          </w:tcPr>
          <w:p w14:paraId="56E4A43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数字可寻址照明接口 第207部分：控制装置的特殊要求 LED模块（设备类型6）</w:t>
            </w:r>
          </w:p>
        </w:tc>
        <w:tc>
          <w:tcPr>
            <w:tcW w:w="1896" w:type="dxa"/>
            <w:vAlign w:val="center"/>
          </w:tcPr>
          <w:p w14:paraId="5A01090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 30104.207-2025</w:t>
            </w:r>
          </w:p>
        </w:tc>
        <w:tc>
          <w:tcPr>
            <w:tcW w:w="1266" w:type="dxa"/>
            <w:vAlign w:val="center"/>
          </w:tcPr>
          <w:p w14:paraId="25978CA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2026-02-01  即将实施</w:t>
            </w:r>
          </w:p>
        </w:tc>
        <w:tc>
          <w:tcPr>
            <w:tcW w:w="4372" w:type="dxa"/>
            <w:vAlign w:val="center"/>
          </w:tcPr>
          <w:p w14:paraId="20D2E6FE">
            <w:pPr>
              <w:spacing w:line="240" w:lineRule="auto"/>
              <w:jc w:val="left"/>
              <w:rPr>
                <w:rFonts w:hint="eastAsia" w:ascii="仿宋" w:hAnsi="仿宋" w:eastAsia="仿宋" w:cs="仿宋"/>
                <w:color w:val="auto"/>
                <w:sz w:val="21"/>
                <w:szCs w:val="21"/>
                <w:highlight w:val="none"/>
                <w:vertAlign w:val="baseline"/>
              </w:rPr>
            </w:pPr>
          </w:p>
        </w:tc>
        <w:tc>
          <w:tcPr>
            <w:tcW w:w="2836" w:type="dxa"/>
            <w:vAlign w:val="center"/>
          </w:tcPr>
          <w:p w14:paraId="0D1CEAEA">
            <w:pPr>
              <w:spacing w:line="240" w:lineRule="auto"/>
              <w:jc w:val="center"/>
              <w:rPr>
                <w:rFonts w:hint="eastAsia" w:ascii="仿宋" w:hAnsi="仿宋" w:eastAsia="仿宋" w:cs="仿宋"/>
                <w:color w:val="auto"/>
                <w:sz w:val="21"/>
                <w:szCs w:val="21"/>
                <w:highlight w:val="none"/>
                <w:vertAlign w:val="baseline"/>
              </w:rPr>
            </w:pPr>
          </w:p>
        </w:tc>
      </w:tr>
      <w:tr w14:paraId="1476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1368479A">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31</w:t>
            </w:r>
          </w:p>
        </w:tc>
        <w:tc>
          <w:tcPr>
            <w:tcW w:w="3574" w:type="dxa"/>
            <w:vAlign w:val="center"/>
          </w:tcPr>
          <w:p w14:paraId="56484B4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舞台灯光系统验收检测规范</w:t>
            </w:r>
          </w:p>
        </w:tc>
        <w:tc>
          <w:tcPr>
            <w:tcW w:w="1896" w:type="dxa"/>
            <w:vAlign w:val="center"/>
          </w:tcPr>
          <w:p w14:paraId="5631D87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WH/T 97-2022</w:t>
            </w:r>
          </w:p>
        </w:tc>
        <w:tc>
          <w:tcPr>
            <w:tcW w:w="1266" w:type="dxa"/>
            <w:vAlign w:val="center"/>
          </w:tcPr>
          <w:p w14:paraId="4FBC6F8A">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268B310">
            <w:pPr>
              <w:spacing w:line="240" w:lineRule="auto"/>
              <w:jc w:val="left"/>
              <w:rPr>
                <w:rFonts w:hint="eastAsia" w:ascii="仿宋" w:hAnsi="仿宋" w:eastAsia="仿宋" w:cs="仿宋"/>
                <w:color w:val="auto"/>
                <w:sz w:val="21"/>
                <w:szCs w:val="21"/>
                <w:highlight w:val="none"/>
                <w:vertAlign w:val="baseline"/>
              </w:rPr>
            </w:pPr>
          </w:p>
          <w:p w14:paraId="464F6EE6">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本文件规定了舞台灯光设备及工程验收检测的基本要求和方法。</w:t>
            </w:r>
          </w:p>
          <w:p w14:paraId="27FD6060">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本文件适用于固定安装舞台灯光设备及工程的验收检测，舞台灯光设备及工程的定期检测和改造检测可参照本文件相关内容执行。</w:t>
            </w:r>
          </w:p>
        </w:tc>
        <w:tc>
          <w:tcPr>
            <w:tcW w:w="2836" w:type="dxa"/>
            <w:vAlign w:val="center"/>
          </w:tcPr>
          <w:p w14:paraId="6E762D8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中华人民共和国文化和旅游部</w:t>
            </w:r>
          </w:p>
        </w:tc>
      </w:tr>
      <w:tr w14:paraId="3E4A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1273FDD2">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32</w:t>
            </w:r>
          </w:p>
        </w:tc>
        <w:tc>
          <w:tcPr>
            <w:tcW w:w="3574" w:type="dxa"/>
            <w:vAlign w:val="center"/>
          </w:tcPr>
          <w:p w14:paraId="71574CF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中小型剧场舞台灯光设计</w:t>
            </w:r>
          </w:p>
        </w:tc>
        <w:tc>
          <w:tcPr>
            <w:tcW w:w="1896" w:type="dxa"/>
            <w:vAlign w:val="center"/>
          </w:tcPr>
          <w:p w14:paraId="6B8F8FA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06D704-2</w:t>
            </w:r>
          </w:p>
        </w:tc>
        <w:tc>
          <w:tcPr>
            <w:tcW w:w="1266" w:type="dxa"/>
            <w:vAlign w:val="center"/>
          </w:tcPr>
          <w:p w14:paraId="3781E12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654B58CA">
            <w:pPr>
              <w:spacing w:line="240" w:lineRule="auto"/>
              <w:jc w:val="left"/>
              <w:rPr>
                <w:rFonts w:hint="eastAsia" w:ascii="仿宋" w:hAnsi="仿宋" w:eastAsia="仿宋" w:cs="仿宋"/>
                <w:color w:val="auto"/>
                <w:sz w:val="21"/>
                <w:szCs w:val="21"/>
                <w:highlight w:val="none"/>
                <w:vertAlign w:val="baseline"/>
              </w:rPr>
            </w:pPr>
          </w:p>
        </w:tc>
        <w:tc>
          <w:tcPr>
            <w:tcW w:w="2836" w:type="dxa"/>
            <w:vAlign w:val="center"/>
          </w:tcPr>
          <w:p w14:paraId="78BDAED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中华人民共和国建设部</w:t>
            </w:r>
          </w:p>
        </w:tc>
      </w:tr>
      <w:tr w14:paraId="29E2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393F91DD">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33</w:t>
            </w:r>
          </w:p>
        </w:tc>
        <w:tc>
          <w:tcPr>
            <w:tcW w:w="3574" w:type="dxa"/>
            <w:vAlign w:val="center"/>
          </w:tcPr>
          <w:p w14:paraId="19AA423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舞台机械 刚性防火隔离幕</w:t>
            </w:r>
          </w:p>
        </w:tc>
        <w:tc>
          <w:tcPr>
            <w:tcW w:w="1896" w:type="dxa"/>
            <w:vAlign w:val="center"/>
          </w:tcPr>
          <w:p w14:paraId="18E1566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 36726-2018</w:t>
            </w:r>
          </w:p>
        </w:tc>
        <w:tc>
          <w:tcPr>
            <w:tcW w:w="1266" w:type="dxa"/>
            <w:vAlign w:val="center"/>
          </w:tcPr>
          <w:p w14:paraId="73C48CE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61D3C83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确立了刚性防火隔离幕设计的一般原则；规定了刚性防火隔离幕的主要组成部分、材料燃烧性能、操作方式、主要性能参数；给出了刚性防火隔离幕主要组成部分的要求；并对验收测试、操作与维修等进行了原则性的规定。本标准适用于在新建、改扩建的剧场及进行刚性防火隔离幕改造时，在舞台台口设置的、垂直卷扬升降的、一体结构的刚性防火隔离幕。其他场所设置的刚性防火隔离幕或其他形式的刚性防火隔离幕可参照本标准执行。</w:t>
            </w:r>
          </w:p>
        </w:tc>
        <w:tc>
          <w:tcPr>
            <w:tcW w:w="2836" w:type="dxa"/>
            <w:vAlign w:val="center"/>
          </w:tcPr>
          <w:p w14:paraId="4804AE7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中华人民共和国文化和旅游部</w:t>
            </w:r>
          </w:p>
        </w:tc>
      </w:tr>
      <w:tr w14:paraId="7BB0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3A8CA1B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34</w:t>
            </w:r>
          </w:p>
        </w:tc>
        <w:tc>
          <w:tcPr>
            <w:tcW w:w="3574" w:type="dxa"/>
            <w:vAlign w:val="center"/>
          </w:tcPr>
          <w:p w14:paraId="0EBBA0F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舞台机械 验收检测规范</w:t>
            </w:r>
          </w:p>
        </w:tc>
        <w:tc>
          <w:tcPr>
            <w:tcW w:w="1896" w:type="dxa"/>
            <w:vAlign w:val="center"/>
          </w:tcPr>
          <w:p w14:paraId="1AAC58D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 36727-2018</w:t>
            </w:r>
          </w:p>
        </w:tc>
        <w:tc>
          <w:tcPr>
            <w:tcW w:w="1266" w:type="dxa"/>
            <w:vAlign w:val="center"/>
          </w:tcPr>
          <w:p w14:paraId="22FC77CC">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6E65D5E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本标准规定了舞台机械验收检测内容及方法、结果判定及验收检测的实施。本标准确立了定期检测和改造检测的一般原则。</w:t>
            </w:r>
          </w:p>
          <w:p w14:paraId="0F4E59E2">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本标准适用于舞台机械设备及工程的验收检测。</w:t>
            </w:r>
          </w:p>
          <w:p w14:paraId="70A0FE1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舞台机械设备及工程的定期检测和改造检测可参照本标准相关内容执行。</w:t>
            </w:r>
          </w:p>
        </w:tc>
        <w:tc>
          <w:tcPr>
            <w:tcW w:w="2836" w:type="dxa"/>
            <w:vAlign w:val="center"/>
          </w:tcPr>
          <w:p w14:paraId="77994E3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中华人民共和国文化和旅游部</w:t>
            </w:r>
          </w:p>
        </w:tc>
      </w:tr>
      <w:tr w14:paraId="172D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34C67CAE">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35</w:t>
            </w:r>
          </w:p>
        </w:tc>
        <w:tc>
          <w:tcPr>
            <w:tcW w:w="3574" w:type="dxa"/>
            <w:vAlign w:val="center"/>
          </w:tcPr>
          <w:p w14:paraId="6BC1D1A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电工电子产品环境试验 第2部分：试验方法 试验A： 低温</w:t>
            </w:r>
          </w:p>
        </w:tc>
        <w:tc>
          <w:tcPr>
            <w:tcW w:w="1896" w:type="dxa"/>
            <w:vAlign w:val="center"/>
          </w:tcPr>
          <w:p w14:paraId="6B81CE65">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 GB/T 2423.1-2008 </w:t>
            </w:r>
          </w:p>
        </w:tc>
        <w:tc>
          <w:tcPr>
            <w:tcW w:w="1266" w:type="dxa"/>
            <w:vAlign w:val="center"/>
          </w:tcPr>
          <w:p w14:paraId="4AB5135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BFFE499">
            <w:pPr>
              <w:spacing w:line="240" w:lineRule="auto"/>
              <w:jc w:val="left"/>
              <w:rPr>
                <w:rFonts w:hint="eastAsia" w:ascii="仿宋" w:hAnsi="仿宋" w:eastAsia="仿宋" w:cs="仿宋"/>
                <w:color w:val="auto"/>
                <w:sz w:val="21"/>
                <w:szCs w:val="21"/>
                <w:highlight w:val="none"/>
                <w:vertAlign w:val="baseline"/>
              </w:rPr>
            </w:pPr>
          </w:p>
        </w:tc>
        <w:tc>
          <w:tcPr>
            <w:tcW w:w="2836" w:type="dxa"/>
            <w:vAlign w:val="center"/>
          </w:tcPr>
          <w:p w14:paraId="1F652543">
            <w:pPr>
              <w:spacing w:line="240" w:lineRule="auto"/>
              <w:jc w:val="center"/>
              <w:rPr>
                <w:rFonts w:hint="eastAsia" w:ascii="仿宋" w:hAnsi="仿宋" w:eastAsia="仿宋" w:cs="仿宋"/>
                <w:color w:val="auto"/>
                <w:sz w:val="21"/>
                <w:szCs w:val="21"/>
                <w:highlight w:val="none"/>
                <w:vertAlign w:val="baseline"/>
              </w:rPr>
            </w:pPr>
          </w:p>
        </w:tc>
      </w:tr>
      <w:tr w14:paraId="73A8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6293D1BC">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36</w:t>
            </w:r>
          </w:p>
        </w:tc>
        <w:tc>
          <w:tcPr>
            <w:tcW w:w="3574" w:type="dxa"/>
            <w:vAlign w:val="center"/>
          </w:tcPr>
          <w:p w14:paraId="0C7C3CE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电工电子产品环境试验 第2部分：试验方法 试验B：高温</w:t>
            </w:r>
          </w:p>
        </w:tc>
        <w:tc>
          <w:tcPr>
            <w:tcW w:w="1896" w:type="dxa"/>
            <w:vAlign w:val="center"/>
          </w:tcPr>
          <w:p w14:paraId="574C0DB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 GB/T 2423. 2-2008</w:t>
            </w:r>
          </w:p>
        </w:tc>
        <w:tc>
          <w:tcPr>
            <w:tcW w:w="1266" w:type="dxa"/>
            <w:vAlign w:val="center"/>
          </w:tcPr>
          <w:p w14:paraId="56D912E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186DEB4">
            <w:pPr>
              <w:spacing w:line="240" w:lineRule="auto"/>
              <w:jc w:val="left"/>
              <w:rPr>
                <w:rFonts w:hint="eastAsia" w:ascii="仿宋" w:hAnsi="仿宋" w:eastAsia="仿宋" w:cs="仿宋"/>
                <w:color w:val="auto"/>
                <w:sz w:val="21"/>
                <w:szCs w:val="21"/>
                <w:highlight w:val="none"/>
                <w:vertAlign w:val="baseline"/>
              </w:rPr>
            </w:pPr>
          </w:p>
        </w:tc>
        <w:tc>
          <w:tcPr>
            <w:tcW w:w="2836" w:type="dxa"/>
            <w:vAlign w:val="center"/>
          </w:tcPr>
          <w:p w14:paraId="13D9FFFF">
            <w:pPr>
              <w:spacing w:line="240" w:lineRule="auto"/>
              <w:jc w:val="center"/>
              <w:rPr>
                <w:rFonts w:hint="eastAsia" w:ascii="仿宋" w:hAnsi="仿宋" w:eastAsia="仿宋" w:cs="仿宋"/>
                <w:color w:val="auto"/>
                <w:sz w:val="21"/>
                <w:szCs w:val="21"/>
                <w:highlight w:val="none"/>
                <w:vertAlign w:val="baseline"/>
              </w:rPr>
            </w:pPr>
          </w:p>
        </w:tc>
      </w:tr>
      <w:tr w14:paraId="2BB9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54CD8A4D">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37</w:t>
            </w:r>
          </w:p>
        </w:tc>
        <w:tc>
          <w:tcPr>
            <w:tcW w:w="3574" w:type="dxa"/>
            <w:vAlign w:val="center"/>
          </w:tcPr>
          <w:p w14:paraId="6BB2805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声系统设备 第3部分:声频放大器测量方法</w:t>
            </w:r>
          </w:p>
        </w:tc>
        <w:tc>
          <w:tcPr>
            <w:tcW w:w="1896" w:type="dxa"/>
            <w:vAlign w:val="center"/>
          </w:tcPr>
          <w:p w14:paraId="5570AABE">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 12060.3-2011</w:t>
            </w:r>
          </w:p>
        </w:tc>
        <w:tc>
          <w:tcPr>
            <w:tcW w:w="1266" w:type="dxa"/>
            <w:vAlign w:val="center"/>
          </w:tcPr>
          <w:p w14:paraId="4DE3BAD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2958C507">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本部分规定了放大器规范中应给出的特性,以及其相应的测量方法。</w:t>
            </w:r>
          </w:p>
          <w:p w14:paraId="0851CA3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本部分适用于组成专业或家用声系统的模拟放大器以及模拟/数字放大器中的模拟部分。</w:t>
            </w:r>
          </w:p>
        </w:tc>
        <w:tc>
          <w:tcPr>
            <w:tcW w:w="2836" w:type="dxa"/>
            <w:vAlign w:val="center"/>
          </w:tcPr>
          <w:p w14:paraId="04DDE20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等同  IEC 60268-3:2000</w:t>
            </w:r>
          </w:p>
        </w:tc>
      </w:tr>
      <w:tr w14:paraId="7CDA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6B2BCA4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38</w:t>
            </w:r>
          </w:p>
        </w:tc>
        <w:tc>
          <w:tcPr>
            <w:tcW w:w="3574" w:type="dxa"/>
            <w:vAlign w:val="center"/>
          </w:tcPr>
          <w:p w14:paraId="29820B34">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直接辐射式电动扬声器通用规范</w:t>
            </w:r>
          </w:p>
        </w:tc>
        <w:tc>
          <w:tcPr>
            <w:tcW w:w="1896" w:type="dxa"/>
            <w:vAlign w:val="center"/>
          </w:tcPr>
          <w:p w14:paraId="07745BF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 9397-2013</w:t>
            </w:r>
          </w:p>
        </w:tc>
        <w:tc>
          <w:tcPr>
            <w:tcW w:w="1266" w:type="dxa"/>
            <w:vAlign w:val="center"/>
          </w:tcPr>
          <w:p w14:paraId="77F8761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25317B4C">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本标准规定了直接辐射式电动扬声器的产品分类、要求、试验方法、检验规则、标志、包装、贮存和</w:t>
            </w:r>
            <w:bookmarkStart w:id="0" w:name="_GoBack"/>
            <w:bookmarkEnd w:id="0"/>
            <w:r>
              <w:rPr>
                <w:rFonts w:hint="eastAsia" w:ascii="仿宋" w:hAnsi="仿宋" w:eastAsia="仿宋" w:cs="仿宋"/>
                <w:color w:val="auto"/>
                <w:sz w:val="21"/>
                <w:szCs w:val="21"/>
                <w:highlight w:val="none"/>
                <w:vertAlign w:val="baseline"/>
              </w:rPr>
              <w:t>运输。</w:t>
            </w:r>
          </w:p>
        </w:tc>
        <w:tc>
          <w:tcPr>
            <w:tcW w:w="2836" w:type="dxa"/>
            <w:vAlign w:val="center"/>
          </w:tcPr>
          <w:p w14:paraId="7CBFAF55">
            <w:pPr>
              <w:spacing w:line="240" w:lineRule="auto"/>
              <w:jc w:val="center"/>
              <w:rPr>
                <w:rFonts w:hint="eastAsia" w:ascii="仿宋" w:hAnsi="仿宋" w:eastAsia="仿宋" w:cs="仿宋"/>
                <w:color w:val="auto"/>
                <w:sz w:val="21"/>
                <w:szCs w:val="21"/>
                <w:highlight w:val="none"/>
                <w:vertAlign w:val="baseline"/>
              </w:rPr>
            </w:pPr>
          </w:p>
        </w:tc>
      </w:tr>
      <w:tr w14:paraId="052D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43EE50AE">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39</w:t>
            </w:r>
          </w:p>
        </w:tc>
        <w:tc>
          <w:tcPr>
            <w:tcW w:w="3574" w:type="dxa"/>
            <w:vAlign w:val="center"/>
          </w:tcPr>
          <w:p w14:paraId="55DACCC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广播收音机、广播电视接收机、磁带录音机、声频功率放大器(扩音机)的环境试验要求和试验方法</w:t>
            </w:r>
          </w:p>
        </w:tc>
        <w:tc>
          <w:tcPr>
            <w:tcW w:w="1896" w:type="dxa"/>
            <w:vAlign w:val="center"/>
          </w:tcPr>
          <w:p w14:paraId="0412DE9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GB/T 9384-2011</w:t>
            </w:r>
          </w:p>
        </w:tc>
        <w:tc>
          <w:tcPr>
            <w:tcW w:w="1266" w:type="dxa"/>
            <w:vAlign w:val="center"/>
          </w:tcPr>
          <w:p w14:paraId="2D0B17FE">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75BD0EF6">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本标准规定了广播收音机、广播电视接收机(包括CRT接收机、LCD接收机、PDP接收机等)、磁带录音机等音视频录放产品、声频功率放大器(扩音机)的环境试验要求及试验方法。</w:t>
            </w:r>
          </w:p>
        </w:tc>
        <w:tc>
          <w:tcPr>
            <w:tcW w:w="2836" w:type="dxa"/>
            <w:vAlign w:val="center"/>
          </w:tcPr>
          <w:p w14:paraId="1A8F3D62">
            <w:pPr>
              <w:spacing w:line="240" w:lineRule="auto"/>
              <w:jc w:val="center"/>
              <w:rPr>
                <w:rFonts w:hint="eastAsia" w:ascii="仿宋" w:hAnsi="仿宋" w:eastAsia="仿宋" w:cs="仿宋"/>
                <w:color w:val="auto"/>
                <w:sz w:val="21"/>
                <w:szCs w:val="21"/>
                <w:highlight w:val="none"/>
                <w:vertAlign w:val="baseline"/>
              </w:rPr>
            </w:pPr>
          </w:p>
        </w:tc>
      </w:tr>
      <w:tr w14:paraId="4639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4567088D">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40</w:t>
            </w:r>
          </w:p>
        </w:tc>
        <w:tc>
          <w:tcPr>
            <w:tcW w:w="3574" w:type="dxa"/>
            <w:vAlign w:val="center"/>
          </w:tcPr>
          <w:p w14:paraId="02A9D12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数字音频设备音频特性测量方法</w:t>
            </w:r>
          </w:p>
        </w:tc>
        <w:tc>
          <w:tcPr>
            <w:tcW w:w="1896" w:type="dxa"/>
            <w:vAlign w:val="center"/>
          </w:tcPr>
          <w:p w14:paraId="1E5AED6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GY/T 285-2014</w:t>
            </w:r>
          </w:p>
        </w:tc>
        <w:tc>
          <w:tcPr>
            <w:tcW w:w="1266" w:type="dxa"/>
            <w:vAlign w:val="center"/>
          </w:tcPr>
          <w:p w14:paraId="78BC2CD5">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26A2DA3A">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现行</w:t>
            </w:r>
          </w:p>
        </w:tc>
        <w:tc>
          <w:tcPr>
            <w:tcW w:w="2836" w:type="dxa"/>
            <w:vAlign w:val="center"/>
          </w:tcPr>
          <w:p w14:paraId="111402CF">
            <w:pPr>
              <w:spacing w:line="240" w:lineRule="auto"/>
              <w:jc w:val="center"/>
              <w:rPr>
                <w:rFonts w:hint="eastAsia" w:ascii="仿宋" w:hAnsi="仿宋" w:eastAsia="仿宋" w:cs="仿宋"/>
                <w:color w:val="auto"/>
                <w:sz w:val="21"/>
                <w:szCs w:val="21"/>
                <w:highlight w:val="none"/>
                <w:vertAlign w:val="baseline"/>
              </w:rPr>
            </w:pPr>
          </w:p>
        </w:tc>
      </w:tr>
      <w:tr w14:paraId="619F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5BE1C9EA">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41</w:t>
            </w:r>
          </w:p>
        </w:tc>
        <w:tc>
          <w:tcPr>
            <w:tcW w:w="3574" w:type="dxa"/>
            <w:vAlign w:val="center"/>
          </w:tcPr>
          <w:p w14:paraId="732D78B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舞台机械 台上设备安全</w:t>
            </w:r>
          </w:p>
        </w:tc>
        <w:tc>
          <w:tcPr>
            <w:tcW w:w="1896" w:type="dxa"/>
            <w:vAlign w:val="center"/>
          </w:tcPr>
          <w:p w14:paraId="19BE433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WH/T 28-2007</w:t>
            </w:r>
          </w:p>
        </w:tc>
        <w:tc>
          <w:tcPr>
            <w:tcW w:w="1266" w:type="dxa"/>
            <w:vAlign w:val="center"/>
          </w:tcPr>
          <w:p w14:paraId="1760212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213A6412">
            <w:pPr>
              <w:spacing w:line="240" w:lineRule="auto"/>
              <w:jc w:val="left"/>
              <w:rPr>
                <w:rFonts w:hint="eastAsia" w:ascii="仿宋" w:hAnsi="仿宋" w:eastAsia="仿宋" w:cs="仿宋"/>
                <w:color w:val="auto"/>
                <w:sz w:val="21"/>
                <w:szCs w:val="21"/>
                <w:highlight w:val="none"/>
                <w:vertAlign w:val="baseline"/>
              </w:rPr>
            </w:pPr>
          </w:p>
        </w:tc>
        <w:tc>
          <w:tcPr>
            <w:tcW w:w="2836" w:type="dxa"/>
            <w:vAlign w:val="center"/>
          </w:tcPr>
          <w:p w14:paraId="4BBF53A1">
            <w:pPr>
              <w:spacing w:line="240" w:lineRule="auto"/>
              <w:jc w:val="center"/>
              <w:rPr>
                <w:rFonts w:hint="eastAsia" w:ascii="仿宋" w:hAnsi="仿宋" w:eastAsia="仿宋" w:cs="仿宋"/>
                <w:color w:val="auto"/>
                <w:sz w:val="21"/>
                <w:szCs w:val="21"/>
                <w:highlight w:val="none"/>
                <w:vertAlign w:val="baseline"/>
              </w:rPr>
            </w:pPr>
          </w:p>
        </w:tc>
      </w:tr>
      <w:tr w14:paraId="1282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1" w:type="dxa"/>
            <w:shd w:val="clear" w:color="auto" w:fill="auto"/>
            <w:vAlign w:val="center"/>
          </w:tcPr>
          <w:p w14:paraId="141CDB8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42</w:t>
            </w:r>
          </w:p>
        </w:tc>
        <w:tc>
          <w:tcPr>
            <w:tcW w:w="3574" w:type="dxa"/>
            <w:vAlign w:val="center"/>
          </w:tcPr>
          <w:p w14:paraId="7C445DE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舞台机械 安装施工规程</w:t>
            </w:r>
          </w:p>
        </w:tc>
        <w:tc>
          <w:tcPr>
            <w:tcW w:w="1896" w:type="dxa"/>
            <w:vAlign w:val="center"/>
          </w:tcPr>
          <w:p w14:paraId="0811794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T/CETA 6-2024</w:t>
            </w:r>
          </w:p>
        </w:tc>
        <w:tc>
          <w:tcPr>
            <w:tcW w:w="1266" w:type="dxa"/>
            <w:vAlign w:val="center"/>
          </w:tcPr>
          <w:p w14:paraId="7FDE67A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372" w:type="dxa"/>
            <w:vAlign w:val="center"/>
          </w:tcPr>
          <w:p w14:paraId="3FCAC5D3">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为规范舞台机械设备安装工程的具体实施，确保工程质量和安全，促进技术进步，提高经济效益，制定本规程。</w:t>
            </w:r>
          </w:p>
        </w:tc>
        <w:tc>
          <w:tcPr>
            <w:tcW w:w="2836" w:type="dxa"/>
            <w:vAlign w:val="center"/>
          </w:tcPr>
          <w:p w14:paraId="31342588">
            <w:pPr>
              <w:spacing w:line="240" w:lineRule="auto"/>
              <w:jc w:val="center"/>
              <w:rPr>
                <w:rFonts w:hint="eastAsia" w:ascii="仿宋" w:hAnsi="仿宋" w:eastAsia="仿宋" w:cs="仿宋"/>
                <w:color w:val="auto"/>
                <w:sz w:val="21"/>
                <w:szCs w:val="21"/>
                <w:highlight w:val="none"/>
                <w:vertAlign w:val="baseline"/>
              </w:rPr>
            </w:pPr>
          </w:p>
        </w:tc>
      </w:tr>
    </w:tbl>
    <w:p w14:paraId="00AE5CBF"/>
    <w:p w14:paraId="022BEDD6">
      <w:pPr>
        <w:rPr>
          <w:rFonts w:hint="eastAsia"/>
        </w:rPr>
      </w:pPr>
      <w:r>
        <w:rPr>
          <w:rFonts w:hint="eastAsia"/>
          <w:lang w:val="en-US" w:eastAsia="zh-CN"/>
        </w:rPr>
        <w:t>工标网</w:t>
      </w:r>
      <w:r>
        <w:rPr>
          <w:rFonts w:hint="eastAsia"/>
        </w:rPr>
        <w:fldChar w:fldCharType="begin"/>
      </w:r>
      <w:r>
        <w:rPr>
          <w:rFonts w:hint="eastAsia"/>
        </w:rPr>
        <w:instrText xml:space="preserve"> HYPERLINK "http://www.csres.com/sort/index.jsp" </w:instrText>
      </w:r>
      <w:r>
        <w:rPr>
          <w:rFonts w:hint="eastAsia"/>
        </w:rPr>
        <w:fldChar w:fldCharType="separate"/>
      </w:r>
      <w:r>
        <w:rPr>
          <w:rStyle w:val="7"/>
          <w:rFonts w:hint="eastAsia"/>
        </w:rPr>
        <w:t>http://www.csres.com/sort/index.jsp</w:t>
      </w:r>
      <w:r>
        <w:rPr>
          <w:rFonts w:hint="eastAsia"/>
        </w:rPr>
        <w:fldChar w:fldCharType="end"/>
      </w:r>
    </w:p>
    <w:p w14:paraId="60A44CFE">
      <w:pPr>
        <w:rPr>
          <w:rFonts w:hint="eastAsia"/>
        </w:rPr>
      </w:pPr>
      <w:r>
        <w:rPr>
          <w:rFonts w:hint="eastAsia"/>
        </w:rPr>
        <w:t>国家标准 - 全国标准信息公共服务平台</w:t>
      </w:r>
      <w:r>
        <w:rPr>
          <w:rFonts w:hint="eastAsia"/>
        </w:rPr>
        <w:fldChar w:fldCharType="begin"/>
      </w:r>
      <w:r>
        <w:rPr>
          <w:rFonts w:hint="eastAsia"/>
        </w:rPr>
        <w:instrText xml:space="preserve"> HYPERLINK "https://std.samr.gov.cn/" </w:instrText>
      </w:r>
      <w:r>
        <w:rPr>
          <w:rFonts w:hint="eastAsia"/>
        </w:rPr>
        <w:fldChar w:fldCharType="separate"/>
      </w:r>
      <w:r>
        <w:rPr>
          <w:rStyle w:val="7"/>
          <w:rFonts w:hint="eastAsia"/>
        </w:rPr>
        <w:t>https://std.samr.gov.cn/</w:t>
      </w:r>
      <w:r>
        <w:rPr>
          <w:rFonts w:hint="eastAsia"/>
        </w:rPr>
        <w:fldChar w:fldCharType="end"/>
      </w:r>
    </w:p>
    <w:p w14:paraId="6F100491">
      <w:pPr>
        <w:rPr>
          <w:rFonts w:hint="eastAsia"/>
        </w:rPr>
      </w:pPr>
      <w:r>
        <w:rPr>
          <w:rFonts w:hint="eastAsia"/>
          <w:lang w:val="en-US" w:eastAsia="zh-CN"/>
        </w:rPr>
        <w:t xml:space="preserve">学兔兔 </w:t>
      </w:r>
      <w:r>
        <w:rPr>
          <w:rFonts w:hint="eastAsia"/>
        </w:rPr>
        <w:t>http://www.bzfxw.com/</w:t>
      </w:r>
    </w:p>
    <w:sectPr>
      <w:pgSz w:w="16838" w:h="11906" w:orient="landscape"/>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755B0"/>
    <w:rsid w:val="005F59FE"/>
    <w:rsid w:val="02A63E9D"/>
    <w:rsid w:val="03661F65"/>
    <w:rsid w:val="054D74B4"/>
    <w:rsid w:val="07716832"/>
    <w:rsid w:val="07E637CC"/>
    <w:rsid w:val="087A0C14"/>
    <w:rsid w:val="09A21B83"/>
    <w:rsid w:val="09B14DE6"/>
    <w:rsid w:val="0B333F1D"/>
    <w:rsid w:val="0CF313ED"/>
    <w:rsid w:val="0DCF4ECF"/>
    <w:rsid w:val="0E1B687E"/>
    <w:rsid w:val="0E484B44"/>
    <w:rsid w:val="0E98231D"/>
    <w:rsid w:val="10FE598E"/>
    <w:rsid w:val="119A2D92"/>
    <w:rsid w:val="12587E41"/>
    <w:rsid w:val="12715F04"/>
    <w:rsid w:val="15001CD4"/>
    <w:rsid w:val="15C8287C"/>
    <w:rsid w:val="16A64E2E"/>
    <w:rsid w:val="172123D6"/>
    <w:rsid w:val="176A54D7"/>
    <w:rsid w:val="19306900"/>
    <w:rsid w:val="1D355362"/>
    <w:rsid w:val="1FBC1B14"/>
    <w:rsid w:val="202B4549"/>
    <w:rsid w:val="236236D1"/>
    <w:rsid w:val="23985936"/>
    <w:rsid w:val="23AF3D0B"/>
    <w:rsid w:val="23B56380"/>
    <w:rsid w:val="24AE744C"/>
    <w:rsid w:val="26532C71"/>
    <w:rsid w:val="289C3522"/>
    <w:rsid w:val="29473381"/>
    <w:rsid w:val="2A064B44"/>
    <w:rsid w:val="2DCD42C6"/>
    <w:rsid w:val="33E44A04"/>
    <w:rsid w:val="36CE3FBF"/>
    <w:rsid w:val="373B6C40"/>
    <w:rsid w:val="378A5964"/>
    <w:rsid w:val="38963173"/>
    <w:rsid w:val="39921BEF"/>
    <w:rsid w:val="3A1D53F1"/>
    <w:rsid w:val="3A944D26"/>
    <w:rsid w:val="3CA04974"/>
    <w:rsid w:val="3F0D09C6"/>
    <w:rsid w:val="3FB511B8"/>
    <w:rsid w:val="3FE94F8F"/>
    <w:rsid w:val="40453876"/>
    <w:rsid w:val="41DC133F"/>
    <w:rsid w:val="434C059B"/>
    <w:rsid w:val="436D4FFA"/>
    <w:rsid w:val="45C755B0"/>
    <w:rsid w:val="47415C9D"/>
    <w:rsid w:val="47C22C96"/>
    <w:rsid w:val="49F62138"/>
    <w:rsid w:val="4A870580"/>
    <w:rsid w:val="4DE43A02"/>
    <w:rsid w:val="52B85859"/>
    <w:rsid w:val="54F013E6"/>
    <w:rsid w:val="57216E5B"/>
    <w:rsid w:val="5840319A"/>
    <w:rsid w:val="5A4A5EB9"/>
    <w:rsid w:val="5A680CC9"/>
    <w:rsid w:val="5AC40722"/>
    <w:rsid w:val="5D3C06AD"/>
    <w:rsid w:val="5E5D2FE7"/>
    <w:rsid w:val="600B4656"/>
    <w:rsid w:val="60107EBF"/>
    <w:rsid w:val="61F46F3D"/>
    <w:rsid w:val="63E43029"/>
    <w:rsid w:val="64D150F6"/>
    <w:rsid w:val="68573102"/>
    <w:rsid w:val="6A82366A"/>
    <w:rsid w:val="6A8A14AB"/>
    <w:rsid w:val="6AD14E1A"/>
    <w:rsid w:val="6AFE3735"/>
    <w:rsid w:val="6C273007"/>
    <w:rsid w:val="6C8644FE"/>
    <w:rsid w:val="6DA7731C"/>
    <w:rsid w:val="6E5E49D1"/>
    <w:rsid w:val="6F1928EC"/>
    <w:rsid w:val="705E6224"/>
    <w:rsid w:val="70805519"/>
    <w:rsid w:val="70B5276F"/>
    <w:rsid w:val="716B2509"/>
    <w:rsid w:val="71CF7614"/>
    <w:rsid w:val="75190694"/>
    <w:rsid w:val="7B2270F9"/>
    <w:rsid w:val="7B86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FollowedHyperlink"/>
    <w:basedOn w:val="4"/>
    <w:qFormat/>
    <w:uiPriority w:val="0"/>
    <w:rPr>
      <w:color w:val="014CCC"/>
      <w:u w:val="none"/>
    </w:rPr>
  </w:style>
  <w:style w:type="character" w:styleId="7">
    <w:name w:val="Hyperlink"/>
    <w:basedOn w:val="4"/>
    <w:qFormat/>
    <w:uiPriority w:val="0"/>
    <w:rPr>
      <w:color w:val="014CCC"/>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5380</Words>
  <Characters>6538</Characters>
  <Lines>0</Lines>
  <Paragraphs>0</Paragraphs>
  <TotalTime>1</TotalTime>
  <ScaleCrop>false</ScaleCrop>
  <LinksUpToDate>false</LinksUpToDate>
  <CharactersWithSpaces>6745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2025-05-01T02:34:00Z</dcterms:created>
  <dc:creator>钱资湖畔一苇草</dc:creator>
  <cp:lastModifiedBy>彭文华</cp:lastModifiedBy>
  <dcterms:modified xsi:type="dcterms:W3CDTF">2025-09-28T09:00:08Z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364312DDBCBF4DE58D8191EEE0F16E84_11</vt:lpwstr>
  </property>
  <property fmtid="{D5CDD505-2E9C-101B-9397-08002B2CF9AE}" pid="4" name="KSOTemplateDocerSaveRecord">
    <vt:lpwstr>eyJoZGlkIjoiZGJmNGVmOTkyYmRlYWVmNjNhMWY0NGViOTkzY2NlZDYiLCJ1c2VySWQiOiIxNjcxOTk3NTUzIn0=</vt:lpwstr>
  </property>
</Properties>
</file>