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AC314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6588E0F">
      <w:pPr>
        <w:spacing w:line="500" w:lineRule="exac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如皋市2025年农路、农桥建设项目业主检测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（采购包1）</w:t>
      </w:r>
    </w:p>
    <w:p w14:paraId="53B89507">
      <w:pPr>
        <w:spacing w:line="500" w:lineRule="exact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JSZC-320682-NTJW-C2025-0078</w:t>
      </w:r>
      <w:r>
        <w:rPr>
          <w:rFonts w:hint="eastAsia" w:ascii="仿宋" w:hAnsi="仿宋" w:eastAsia="仿宋"/>
          <w:sz w:val="28"/>
          <w:szCs w:val="28"/>
        </w:rPr>
        <w:t xml:space="preserve">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215168B9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507C2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F6DFA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14:paraId="497306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0DF8FFA0"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最后报价</w:t>
            </w:r>
          </w:p>
          <w:p w14:paraId="24F532F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优惠率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33B939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总得分</w:t>
            </w:r>
          </w:p>
        </w:tc>
        <w:tc>
          <w:tcPr>
            <w:tcW w:w="1042" w:type="dxa"/>
            <w:vAlign w:val="center"/>
          </w:tcPr>
          <w:p w14:paraId="072023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</w:tr>
      <w:tr w14:paraId="2DAA9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2E23F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01F3FE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兴化金桥检测有限公司</w:t>
            </w:r>
          </w:p>
        </w:tc>
        <w:tc>
          <w:tcPr>
            <w:tcW w:w="1417" w:type="dxa"/>
            <w:vAlign w:val="center"/>
          </w:tcPr>
          <w:p w14:paraId="65CD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191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42" w:type="dxa"/>
            <w:vAlign w:val="center"/>
          </w:tcPr>
          <w:p w14:paraId="538F64C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39D9A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0BF3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A83EF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江苏中基工程技术研究有限公司</w:t>
            </w:r>
          </w:p>
        </w:tc>
        <w:tc>
          <w:tcPr>
            <w:tcW w:w="1417" w:type="dxa"/>
            <w:vAlign w:val="center"/>
          </w:tcPr>
          <w:p w14:paraId="18B3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15CA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</w:t>
            </w:r>
          </w:p>
        </w:tc>
        <w:tc>
          <w:tcPr>
            <w:tcW w:w="1042" w:type="dxa"/>
            <w:vAlign w:val="center"/>
          </w:tcPr>
          <w:p w14:paraId="2CCF9D3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790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0E364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C056E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淮安中远工程检测有限公司</w:t>
            </w:r>
          </w:p>
        </w:tc>
        <w:tc>
          <w:tcPr>
            <w:tcW w:w="1417" w:type="dxa"/>
            <w:vAlign w:val="center"/>
          </w:tcPr>
          <w:p w14:paraId="7698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0413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42" w:type="dxa"/>
            <w:vAlign w:val="center"/>
          </w:tcPr>
          <w:p w14:paraId="680D646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690C3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932A3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32AF6F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江苏众和工程检测有限公司</w:t>
            </w:r>
          </w:p>
        </w:tc>
        <w:tc>
          <w:tcPr>
            <w:tcW w:w="1417" w:type="dxa"/>
            <w:vAlign w:val="center"/>
          </w:tcPr>
          <w:p w14:paraId="4F1F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45.00%</w:t>
            </w:r>
          </w:p>
        </w:tc>
        <w:tc>
          <w:tcPr>
            <w:tcW w:w="1276" w:type="dxa"/>
            <w:vAlign w:val="center"/>
          </w:tcPr>
          <w:p w14:paraId="7C12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91.15</w:t>
            </w:r>
          </w:p>
        </w:tc>
        <w:tc>
          <w:tcPr>
            <w:tcW w:w="1042" w:type="dxa"/>
            <w:vAlign w:val="center"/>
          </w:tcPr>
          <w:p w14:paraId="403C2D1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C24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C67B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46322B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江苏科正检测咨询有限公司</w:t>
            </w:r>
          </w:p>
        </w:tc>
        <w:tc>
          <w:tcPr>
            <w:tcW w:w="1417" w:type="dxa"/>
            <w:vAlign w:val="center"/>
          </w:tcPr>
          <w:p w14:paraId="0F3D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276" w:type="dxa"/>
            <w:vAlign w:val="center"/>
          </w:tcPr>
          <w:p w14:paraId="7F3B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92.53</w:t>
            </w:r>
          </w:p>
        </w:tc>
        <w:tc>
          <w:tcPr>
            <w:tcW w:w="1042" w:type="dxa"/>
            <w:vAlign w:val="center"/>
          </w:tcPr>
          <w:p w14:paraId="56FBD9A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EAE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68AAC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vAlign w:val="center"/>
          </w:tcPr>
          <w:p w14:paraId="4121AA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江苏乾正建设工程质量检测有限公司</w:t>
            </w:r>
          </w:p>
        </w:tc>
        <w:tc>
          <w:tcPr>
            <w:tcW w:w="1417" w:type="dxa"/>
            <w:vAlign w:val="center"/>
          </w:tcPr>
          <w:p w14:paraId="054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294E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</w:p>
        </w:tc>
        <w:tc>
          <w:tcPr>
            <w:tcW w:w="1042" w:type="dxa"/>
            <w:vAlign w:val="center"/>
          </w:tcPr>
          <w:p w14:paraId="39815AC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E5F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C1E59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vAlign w:val="center"/>
          </w:tcPr>
          <w:p w14:paraId="3ECA9E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江苏润盛科技有限公司</w:t>
            </w:r>
          </w:p>
        </w:tc>
        <w:tc>
          <w:tcPr>
            <w:tcW w:w="1417" w:type="dxa"/>
            <w:vAlign w:val="center"/>
          </w:tcPr>
          <w:p w14:paraId="3A98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28F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</w:t>
            </w:r>
          </w:p>
        </w:tc>
        <w:tc>
          <w:tcPr>
            <w:tcW w:w="1042" w:type="dxa"/>
            <w:vAlign w:val="center"/>
          </w:tcPr>
          <w:p w14:paraId="406D795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BB6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16024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vAlign w:val="center"/>
          </w:tcPr>
          <w:p w14:paraId="3EBD59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江苏东交智控科技集团股份有限公司</w:t>
            </w:r>
          </w:p>
        </w:tc>
        <w:tc>
          <w:tcPr>
            <w:tcW w:w="1417" w:type="dxa"/>
            <w:vAlign w:val="center"/>
          </w:tcPr>
          <w:p w14:paraId="0CC5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6BA6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</w:t>
            </w:r>
          </w:p>
        </w:tc>
        <w:tc>
          <w:tcPr>
            <w:tcW w:w="1042" w:type="dxa"/>
            <w:vAlign w:val="center"/>
          </w:tcPr>
          <w:p w14:paraId="7FCDC77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A54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B75998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vAlign w:val="center"/>
          </w:tcPr>
          <w:p w14:paraId="7A67C2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江苏省交通工程集团百润工程检测有限公司</w:t>
            </w:r>
          </w:p>
        </w:tc>
        <w:tc>
          <w:tcPr>
            <w:tcW w:w="1417" w:type="dxa"/>
            <w:vAlign w:val="center"/>
          </w:tcPr>
          <w:p w14:paraId="3BA4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49AD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42" w:type="dxa"/>
            <w:vAlign w:val="center"/>
          </w:tcPr>
          <w:p w14:paraId="1964CA6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</w:tbl>
    <w:p w14:paraId="2A6AEAB2">
      <w:pPr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4"/>
        </w:rPr>
        <w:t>兴化金桥检测有限公司</w:t>
      </w:r>
      <w:r>
        <w:rPr>
          <w:rFonts w:hint="eastAsia" w:ascii="仿宋" w:hAnsi="仿宋" w:eastAsia="仿宋" w:cs="Times New Roman"/>
          <w:sz w:val="24"/>
          <w:lang w:eastAsia="zh-CN"/>
        </w:rPr>
        <w:t>、</w:t>
      </w:r>
      <w:r>
        <w:rPr>
          <w:rFonts w:hint="eastAsia" w:ascii="仿宋" w:hAnsi="仿宋" w:eastAsia="仿宋" w:cs="Times New Roman"/>
          <w:sz w:val="24"/>
        </w:rPr>
        <w:t>淮安中远工程检测有限公司</w:t>
      </w:r>
      <w:r>
        <w:rPr>
          <w:rFonts w:hint="eastAsia" w:ascii="仿宋" w:hAnsi="仿宋" w:eastAsia="仿宋" w:cs="Times New Roman"/>
          <w:sz w:val="24"/>
          <w:lang w:eastAsia="zh-CN"/>
        </w:rPr>
        <w:t>、</w:t>
      </w:r>
      <w:r>
        <w:rPr>
          <w:rFonts w:hint="eastAsia" w:ascii="仿宋" w:hAnsi="仿宋" w:eastAsia="仿宋" w:cs="Times New Roman"/>
          <w:sz w:val="22"/>
          <w:szCs w:val="21"/>
        </w:rPr>
        <w:t>江苏省交通工程集团百润工程检测有限公司</w:t>
      </w:r>
      <w:r>
        <w:rPr>
          <w:rFonts w:hint="eastAsia" w:ascii="仿宋" w:hAnsi="仿宋" w:eastAsia="仿宋" w:cs="Times New Roman"/>
          <w:sz w:val="22"/>
          <w:szCs w:val="21"/>
          <w:lang w:eastAsia="zh-CN"/>
        </w:rPr>
        <w:t>三家供应商商务技术得分、报价得分、综合得分相同，由评审小组抽签决定三家供应商最终排名。</w:t>
      </w:r>
    </w:p>
    <w:p w14:paraId="034CF89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32002A76">
      <w:pPr>
        <w:rPr>
          <w:rFonts w:ascii="仿宋" w:hAnsi="仿宋" w:eastAsia="仿宋"/>
          <w:sz w:val="28"/>
          <w:szCs w:val="28"/>
        </w:rPr>
      </w:pPr>
    </w:p>
    <w:p w14:paraId="0CB885D2">
      <w:pPr>
        <w:rPr>
          <w:rFonts w:ascii="仿宋" w:hAnsi="仿宋" w:eastAsia="仿宋"/>
          <w:sz w:val="28"/>
          <w:szCs w:val="28"/>
        </w:rPr>
      </w:pPr>
    </w:p>
    <w:p w14:paraId="7DF7127F">
      <w:pPr>
        <w:rPr>
          <w:rFonts w:ascii="仿宋" w:hAnsi="仿宋" w:eastAsia="仿宋"/>
          <w:sz w:val="28"/>
          <w:szCs w:val="28"/>
        </w:rPr>
      </w:pPr>
      <w:bookmarkStart w:id="0" w:name="_GoBack"/>
    </w:p>
    <w:bookmarkEnd w:id="0"/>
    <w:p w14:paraId="517D9736">
      <w:pPr>
        <w:rPr>
          <w:rFonts w:ascii="仿宋" w:hAnsi="仿宋" w:eastAsia="仿宋"/>
          <w:sz w:val="28"/>
          <w:szCs w:val="28"/>
        </w:rPr>
      </w:pPr>
    </w:p>
    <w:p w14:paraId="7A6B953D">
      <w:pPr>
        <w:rPr>
          <w:rFonts w:ascii="仿宋" w:hAnsi="仿宋" w:eastAsia="仿宋"/>
          <w:sz w:val="28"/>
          <w:szCs w:val="28"/>
        </w:rPr>
      </w:pPr>
    </w:p>
    <w:p w14:paraId="5676BCCA">
      <w:pPr>
        <w:rPr>
          <w:rFonts w:ascii="仿宋" w:hAnsi="仿宋" w:eastAsia="仿宋"/>
          <w:sz w:val="28"/>
          <w:szCs w:val="28"/>
        </w:rPr>
      </w:pPr>
    </w:p>
    <w:p w14:paraId="3F385025">
      <w:pPr>
        <w:rPr>
          <w:rFonts w:ascii="仿宋" w:hAnsi="仿宋" w:eastAsia="仿宋"/>
          <w:sz w:val="28"/>
          <w:szCs w:val="28"/>
        </w:rPr>
      </w:pPr>
    </w:p>
    <w:p w14:paraId="7AABF60C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5276D1B0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4E57515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1647DB6F">
      <w:pPr>
        <w:spacing w:line="500" w:lineRule="exac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如皋市2025年农路、农桥建设项目业主检测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（采购包2）</w:t>
      </w:r>
    </w:p>
    <w:p w14:paraId="741E9816">
      <w:pPr>
        <w:spacing w:line="500" w:lineRule="exact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JSZC-320682-NTJW-C2025-0078</w:t>
      </w:r>
      <w:r>
        <w:rPr>
          <w:rFonts w:hint="eastAsia" w:ascii="仿宋" w:hAnsi="仿宋" w:eastAsia="仿宋"/>
          <w:sz w:val="28"/>
          <w:szCs w:val="28"/>
        </w:rPr>
        <w:t xml:space="preserve">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E47A106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50674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B3F5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14:paraId="0A8B96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95685E6"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最后报价</w:t>
            </w:r>
          </w:p>
          <w:p w14:paraId="51898F53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优惠率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065C95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总得分</w:t>
            </w:r>
          </w:p>
        </w:tc>
        <w:tc>
          <w:tcPr>
            <w:tcW w:w="1042" w:type="dxa"/>
            <w:vAlign w:val="center"/>
          </w:tcPr>
          <w:p w14:paraId="7D77C6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</w:tr>
      <w:tr w14:paraId="5F6B5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4D707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5C13D1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兴化金桥检测有限公司</w:t>
            </w:r>
          </w:p>
        </w:tc>
        <w:tc>
          <w:tcPr>
            <w:tcW w:w="1417" w:type="dxa"/>
            <w:vAlign w:val="center"/>
          </w:tcPr>
          <w:p w14:paraId="589A8CC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5285D12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42" w:type="dxa"/>
            <w:vAlign w:val="center"/>
          </w:tcPr>
          <w:p w14:paraId="27AD959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/</w:t>
            </w:r>
          </w:p>
        </w:tc>
      </w:tr>
      <w:tr w14:paraId="1BC9D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6BB73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411D07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江苏中基工程技术研究有限公司</w:t>
            </w:r>
          </w:p>
        </w:tc>
        <w:tc>
          <w:tcPr>
            <w:tcW w:w="1417" w:type="dxa"/>
            <w:vAlign w:val="center"/>
          </w:tcPr>
          <w:p w14:paraId="6BF55DA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69D00E2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</w:t>
            </w:r>
          </w:p>
        </w:tc>
        <w:tc>
          <w:tcPr>
            <w:tcW w:w="1042" w:type="dxa"/>
            <w:vAlign w:val="center"/>
          </w:tcPr>
          <w:p w14:paraId="1B0D998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F08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1C221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F33F25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淮安中远工程检测有限公司</w:t>
            </w:r>
          </w:p>
        </w:tc>
        <w:tc>
          <w:tcPr>
            <w:tcW w:w="1417" w:type="dxa"/>
            <w:vAlign w:val="center"/>
          </w:tcPr>
          <w:p w14:paraId="758EE5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258840F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42" w:type="dxa"/>
            <w:vAlign w:val="center"/>
          </w:tcPr>
          <w:p w14:paraId="1A611C4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36765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1C4B8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30AF79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江苏众和工程检测有限公司</w:t>
            </w:r>
          </w:p>
        </w:tc>
        <w:tc>
          <w:tcPr>
            <w:tcW w:w="1417" w:type="dxa"/>
            <w:vAlign w:val="center"/>
          </w:tcPr>
          <w:p w14:paraId="4E73B82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186D1D1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96.33</w:t>
            </w:r>
          </w:p>
        </w:tc>
        <w:tc>
          <w:tcPr>
            <w:tcW w:w="1042" w:type="dxa"/>
            <w:vAlign w:val="center"/>
          </w:tcPr>
          <w:p w14:paraId="4A7C787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D83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2AB4BC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75009D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江苏科正检测咨询有限公司</w:t>
            </w:r>
          </w:p>
        </w:tc>
        <w:tc>
          <w:tcPr>
            <w:tcW w:w="1417" w:type="dxa"/>
            <w:vAlign w:val="center"/>
          </w:tcPr>
          <w:p w14:paraId="75BB9DF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4794409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96.33</w:t>
            </w:r>
          </w:p>
        </w:tc>
        <w:tc>
          <w:tcPr>
            <w:tcW w:w="1042" w:type="dxa"/>
            <w:vAlign w:val="center"/>
          </w:tcPr>
          <w:p w14:paraId="310E4D7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19E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708FA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vAlign w:val="center"/>
          </w:tcPr>
          <w:p w14:paraId="14A300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江苏乾正建设工程质量检测有限公司</w:t>
            </w:r>
          </w:p>
        </w:tc>
        <w:tc>
          <w:tcPr>
            <w:tcW w:w="1417" w:type="dxa"/>
            <w:vAlign w:val="center"/>
          </w:tcPr>
          <w:p w14:paraId="54FC6C3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527D171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</w:p>
        </w:tc>
        <w:tc>
          <w:tcPr>
            <w:tcW w:w="1042" w:type="dxa"/>
            <w:vAlign w:val="center"/>
          </w:tcPr>
          <w:p w14:paraId="4207100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2746D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AAA51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vAlign w:val="center"/>
          </w:tcPr>
          <w:p w14:paraId="4787EC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江苏润盛科技有限公司</w:t>
            </w:r>
          </w:p>
        </w:tc>
        <w:tc>
          <w:tcPr>
            <w:tcW w:w="1417" w:type="dxa"/>
            <w:vAlign w:val="center"/>
          </w:tcPr>
          <w:p w14:paraId="66C03D4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292342B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</w:t>
            </w:r>
          </w:p>
        </w:tc>
        <w:tc>
          <w:tcPr>
            <w:tcW w:w="1042" w:type="dxa"/>
            <w:vAlign w:val="center"/>
          </w:tcPr>
          <w:p w14:paraId="2DEBDEC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D27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54E0C8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vAlign w:val="center"/>
          </w:tcPr>
          <w:p w14:paraId="4AA7E9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江苏东交智控科技集团股份有限公司</w:t>
            </w:r>
          </w:p>
        </w:tc>
        <w:tc>
          <w:tcPr>
            <w:tcW w:w="1417" w:type="dxa"/>
            <w:vAlign w:val="center"/>
          </w:tcPr>
          <w:p w14:paraId="3C34AE9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2101606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</w:t>
            </w:r>
          </w:p>
        </w:tc>
        <w:tc>
          <w:tcPr>
            <w:tcW w:w="1042" w:type="dxa"/>
            <w:vAlign w:val="center"/>
          </w:tcPr>
          <w:p w14:paraId="15D8E0B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86F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ADB92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vAlign w:val="center"/>
          </w:tcPr>
          <w:p w14:paraId="314D40A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>江苏省交通工程集团百润工程检测有限公司</w:t>
            </w:r>
          </w:p>
        </w:tc>
        <w:tc>
          <w:tcPr>
            <w:tcW w:w="1417" w:type="dxa"/>
            <w:vAlign w:val="center"/>
          </w:tcPr>
          <w:p w14:paraId="1DED367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1276" w:type="dxa"/>
            <w:vAlign w:val="center"/>
          </w:tcPr>
          <w:p w14:paraId="663F7AD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42" w:type="dxa"/>
            <w:vAlign w:val="center"/>
          </w:tcPr>
          <w:p w14:paraId="7C7F7A1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</w:tbl>
    <w:p w14:paraId="624C54E0">
      <w:pPr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4"/>
        </w:rPr>
        <w:t>兴化金桥检测有限公司</w:t>
      </w:r>
      <w:r>
        <w:rPr>
          <w:rFonts w:hint="eastAsia" w:ascii="仿宋" w:hAnsi="仿宋" w:eastAsia="仿宋" w:cs="Times New Roman"/>
          <w:sz w:val="24"/>
          <w:lang w:eastAsia="zh-CN"/>
        </w:rPr>
        <w:t>已成为采购包</w:t>
      </w:r>
      <w:r>
        <w:rPr>
          <w:rFonts w:hint="eastAsia" w:ascii="仿宋" w:hAnsi="仿宋" w:eastAsia="仿宋" w:cs="Times New Roman"/>
          <w:sz w:val="24"/>
          <w:lang w:val="en-US" w:eastAsia="zh-CN"/>
        </w:rPr>
        <w:t>1的第一中标候选人，不参与采购包2的排名；</w:t>
      </w:r>
      <w:r>
        <w:rPr>
          <w:rFonts w:hint="eastAsia" w:ascii="仿宋" w:hAnsi="仿宋" w:eastAsia="仿宋" w:cs="Times New Roman"/>
          <w:sz w:val="24"/>
        </w:rPr>
        <w:t>淮安中远工程检测有限公司</w:t>
      </w:r>
      <w:r>
        <w:rPr>
          <w:rFonts w:hint="eastAsia" w:ascii="仿宋" w:hAnsi="仿宋" w:eastAsia="仿宋" w:cs="Times New Roman"/>
          <w:sz w:val="24"/>
          <w:lang w:eastAsia="zh-CN"/>
        </w:rPr>
        <w:t>、</w:t>
      </w:r>
      <w:r>
        <w:rPr>
          <w:rFonts w:hint="eastAsia" w:ascii="仿宋" w:hAnsi="仿宋" w:eastAsia="仿宋" w:cs="Times New Roman"/>
          <w:sz w:val="22"/>
          <w:szCs w:val="21"/>
        </w:rPr>
        <w:t>江苏省交通工程集团百润工程检测有限公司</w:t>
      </w:r>
      <w:r>
        <w:rPr>
          <w:rFonts w:hint="eastAsia" w:ascii="仿宋" w:hAnsi="仿宋" w:eastAsia="仿宋" w:cs="Times New Roman"/>
          <w:sz w:val="24"/>
          <w:lang w:eastAsia="zh-CN"/>
        </w:rPr>
        <w:t>两家</w:t>
      </w:r>
      <w:r>
        <w:rPr>
          <w:rFonts w:hint="eastAsia" w:ascii="仿宋" w:hAnsi="仿宋" w:eastAsia="仿宋" w:cs="Times New Roman"/>
          <w:sz w:val="22"/>
          <w:szCs w:val="21"/>
          <w:lang w:eastAsia="zh-CN"/>
        </w:rPr>
        <w:t>供应商商务技术得分、报价得分、综合得分相同，由评审小组抽签决定两家供应商最终排名。</w:t>
      </w:r>
    </w:p>
    <w:p w14:paraId="1ACEC834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28D3AB3C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5C4BB1"/>
    <w:rsid w:val="0AB24F58"/>
    <w:rsid w:val="111C1258"/>
    <w:rsid w:val="1505633A"/>
    <w:rsid w:val="2B9E067F"/>
    <w:rsid w:val="3FFC03EF"/>
    <w:rsid w:val="477275A5"/>
    <w:rsid w:val="687A4A6F"/>
    <w:rsid w:val="758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940</Characters>
  <Lines>1</Lines>
  <Paragraphs>1</Paragraphs>
  <TotalTime>2</TotalTime>
  <ScaleCrop>false</ScaleCrop>
  <LinksUpToDate>false</LinksUpToDate>
  <CharactersWithSpaces>942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2025-07-15T03:21:45Z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2E01B47334A1459ABF59A3722EBC1931_12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