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1"/>
        <w:ind w:firstLine="0"/>
        <w:rPr>
          <w:rFonts w:hint="eastAsia" w:eastAsia="黑体"/>
          <w:b/>
          <w:bCs/>
          <w:color w:val="000000" w:themeColor="text1"/>
          <w:sz w:val="84"/>
          <w:highlight w:val="none"/>
          <w:shd w:val="clear" w:color="ffffff" w:fill="d9d9d9"/>
        </w:rPr>
      </w:pPr>
      <w:r>
        <w:rPr>
          <w:rFonts w:hint="eastAsia" w:eastAsia="黑体"/>
          <w:b/>
          <w:bCs/>
          <w:color w:val="000000" w:themeColor="text1"/>
          <w:sz w:val="84"/>
          <w:highlight w:val="none"/>
          <w:shd w:val="clear" w:color="ffffff" w:fill="d9d9d9"/>
        </w:rPr>
      </w:r>
      <w:r>
        <w:rPr>
          <w:color w:val="000000" w:themeColor="text1"/>
          <w:highlight w:val="none"/>
        </w:rPr>
      </w:r>
    </w:p>
    <w:p>
      <w:pPr>
        <w:pStyle w:val="971"/>
        <w:ind w:firstLine="0"/>
        <w:jc w:val="both"/>
        <w:rPr>
          <w:rFonts w:hint="eastAsia" w:ascii="黑体" w:hAnsi="华文中宋" w:eastAsia="黑体"/>
          <w:bCs/>
          <w:color w:val="000000" w:themeColor="text1"/>
          <w:spacing w:val="20"/>
          <w:sz w:val="84"/>
          <w:szCs w:val="84"/>
          <w:highlight w:val="none"/>
        </w:rPr>
      </w:pPr>
      <w:r>
        <w:rPr>
          <w:rFonts w:hint="eastAsia" w:ascii="黑体" w:hAnsi="华文中宋" w:eastAsia="黑体"/>
          <w:bCs/>
          <w:color w:val="000000" w:themeColor="text1"/>
          <w:spacing w:val="20"/>
          <w:sz w:val="84"/>
          <w:szCs w:val="84"/>
          <w:highlight w:val="none"/>
        </w:rPr>
        <w:t xml:space="preserve">公开招标文件</w:t>
      </w:r>
      <w:r>
        <w:rPr>
          <w:color w:val="000000" w:themeColor="text1"/>
          <w:highlight w:val="none"/>
        </w:rPr>
      </w:r>
    </w:p>
    <w:p>
      <w:pPr>
        <w:pStyle w:val="971"/>
        <w:ind w:firstLine="0"/>
        <w:jc w:val="center"/>
        <w:rPr>
          <w:rFonts w:ascii="黑体" w:hAnsi="华文中宋" w:eastAsia="黑体"/>
          <w:bCs/>
          <w:color w:val="000000" w:themeColor="text1"/>
          <w:spacing w:val="20"/>
          <w:sz w:val="52"/>
          <w:szCs w:val="52"/>
          <w:highlight w:val="none"/>
        </w:rPr>
      </w:pPr>
      <w:r>
        <w:rPr>
          <w:rFonts w:ascii="黑体" w:hAnsi="华文中宋" w:eastAsia="黑体"/>
          <w:bCs/>
          <w:color w:val="000000" w:themeColor="text1"/>
          <w:spacing w:val="20"/>
          <w:sz w:val="52"/>
          <w:szCs w:val="52"/>
          <w:highlight w:val="none"/>
        </w:rPr>
      </w:r>
      <w:r>
        <w:rPr>
          <w:color w:val="000000" w:themeColor="text1"/>
          <w:highlight w:val="none"/>
        </w:rPr>
      </w:r>
    </w:p>
    <w:p>
      <w:pPr>
        <w:pStyle w:val="971"/>
        <w:ind w:firstLine="0"/>
        <w:jc w:val="center"/>
        <w:rPr>
          <w:rFonts w:hint="eastAsia" w:ascii="黑体" w:hAnsi="华文中宋" w:eastAsia="黑体"/>
          <w:bCs/>
          <w:color w:val="000000" w:themeColor="text1"/>
          <w:spacing w:val="20"/>
          <w:sz w:val="52"/>
          <w:szCs w:val="52"/>
          <w:highlight w:val="none"/>
          <w:shd w:val="clear" w:color="ffffff" w:fill="d9d9d9"/>
        </w:rPr>
      </w:pPr>
      <w:r>
        <w:rPr>
          <w:rFonts w:hint="eastAsia" w:ascii="黑体" w:hAnsi="华文中宋" w:eastAsia="黑体"/>
          <w:bCs/>
          <w:color w:val="000000" w:themeColor="text1"/>
          <w:spacing w:val="20"/>
          <w:sz w:val="52"/>
          <w:szCs w:val="52"/>
          <w:highlight w:val="none"/>
          <w:shd w:val="clear" w:color="ffffff" w:fill="d9d9d9"/>
        </w:rPr>
      </w:r>
      <w:r>
        <w:rPr>
          <w:color w:val="000000" w:themeColor="text1"/>
          <w:highlight w:val="none"/>
        </w:rPr>
      </w:r>
    </w:p>
    <w:p>
      <w:pPr>
        <w:pStyle w:val="971"/>
        <w:ind w:firstLine="0"/>
        <w:jc w:val="center"/>
        <w:rPr>
          <w:rFonts w:hint="eastAsia" w:ascii="黑体" w:hAnsi="华文中宋" w:eastAsia="黑体"/>
          <w:bCs/>
          <w:color w:val="000000" w:themeColor="text1"/>
          <w:spacing w:val="20"/>
          <w:sz w:val="52"/>
          <w:szCs w:val="52"/>
          <w:highlight w:val="none"/>
          <w:shd w:val="clear" w:color="ffffff" w:fill="d9d9d9"/>
        </w:rPr>
      </w:pPr>
      <w:r>
        <w:rPr>
          <w:rFonts w:hint="eastAsia" w:ascii="黑体" w:hAnsi="华文中宋" w:eastAsia="黑体"/>
          <w:bCs/>
          <w:color w:val="000000" w:themeColor="text1"/>
          <w:spacing w:val="20"/>
          <w:sz w:val="52"/>
          <w:szCs w:val="52"/>
          <w:highlight w:val="none"/>
          <w:shd w:val="clear" w:color="ffffff" w:fill="d9d9d9"/>
        </w:rPr>
      </w:r>
      <w:r>
        <w:rPr>
          <w:color w:val="000000" w:themeColor="text1"/>
          <w:highlight w:val="none"/>
        </w:rPr>
      </w:r>
    </w:p>
    <w:p>
      <w:pPr>
        <w:pStyle w:val="971"/>
        <w:ind w:firstLine="0"/>
        <w:jc w:val="center"/>
        <w:rPr>
          <w:rFonts w:hint="eastAsia" w:ascii="黑体" w:hAnsi="华文中宋" w:eastAsia="黑体"/>
          <w:bCs/>
          <w:color w:val="000000" w:themeColor="text1"/>
          <w:spacing w:val="20"/>
          <w:sz w:val="52"/>
          <w:szCs w:val="52"/>
          <w:highlight w:val="none"/>
          <w:shd w:val="clear" w:color="ffffff" w:fill="d9d9d9"/>
        </w:rPr>
      </w:pPr>
      <w:r>
        <w:rPr>
          <w:rFonts w:hint="eastAsia" w:ascii="黑体" w:hAnsi="华文中宋" w:eastAsia="黑体"/>
          <w:bCs/>
          <w:color w:val="000000" w:themeColor="text1"/>
          <w:spacing w:val="20"/>
          <w:sz w:val="52"/>
          <w:szCs w:val="52"/>
          <w:highlight w:val="none"/>
          <w:shd w:val="clear" w:color="ffffff" w:fill="d9d9d9"/>
        </w:rPr>
      </w:r>
      <w:r>
        <w:rPr>
          <w:color w:val="000000" w:themeColor="text1"/>
          <w:highlight w:val="none"/>
        </w:rPr>
      </w:r>
    </w:p>
    <w:p>
      <w:pPr>
        <w:pStyle w:val="883"/>
        <w:ind w:firstLine="1920"/>
        <w:jc w:val="left"/>
        <w:rPr>
          <w:rFonts w:ascii="黑体" w:hAnsi="华文中宋" w:eastAsia="黑体"/>
          <w:bCs/>
          <w:color w:val="000000" w:themeColor="text1"/>
          <w:sz w:val="32"/>
          <w:szCs w:val="32"/>
          <w:highlight w:val="none"/>
        </w:rPr>
      </w:pPr>
      <w:r>
        <w:rPr>
          <w:rFonts w:hint="eastAsia" w:ascii="黑体" w:hAnsi="华文中宋" w:eastAsia="黑体"/>
          <w:bCs/>
          <w:color w:val="000000" w:themeColor="text1"/>
          <w:sz w:val="32"/>
          <w:szCs w:val="32"/>
          <w:highlight w:val="none"/>
        </w:rPr>
        <w:t xml:space="preserve">项目编号：JSZC-320200-JZCG-G2025-0021</w:t>
      </w:r>
      <w:r>
        <w:rPr>
          <w:rFonts w:ascii="黑体" w:hAnsi="华文中宋" w:eastAsia="黑体"/>
          <w:bCs/>
          <w:color w:val="000000" w:themeColor="text1"/>
          <w:sz w:val="32"/>
          <w:szCs w:val="32"/>
          <w:highlight w:val="none"/>
        </w:rPr>
      </w:r>
      <w:r>
        <w:rPr>
          <w:color w:val="000000" w:themeColor="text1"/>
          <w:highlight w:val="none"/>
        </w:rPr>
      </w:r>
    </w:p>
    <w:p>
      <w:pPr>
        <w:pStyle w:val="883"/>
        <w:ind w:firstLine="1920"/>
        <w:jc w:val="left"/>
        <w:rPr>
          <w:rFonts w:hint="eastAsia" w:ascii="黑体" w:hAnsi="华文中宋" w:eastAsia="黑体"/>
          <w:bCs/>
          <w:color w:val="000000" w:themeColor="text1"/>
          <w:sz w:val="32"/>
          <w:szCs w:val="32"/>
          <w:highlight w:val="none"/>
        </w:rPr>
      </w:pPr>
      <w:r>
        <w:rPr>
          <w:rFonts w:hint="eastAsia" w:ascii="黑体" w:hAnsi="华文中宋" w:eastAsia="黑体"/>
          <w:bCs/>
          <w:color w:val="000000" w:themeColor="text1"/>
          <w:sz w:val="32"/>
          <w:szCs w:val="32"/>
          <w:highlight w:val="none"/>
        </w:rPr>
        <w:t xml:space="preserve">项目名称：无锡市反诈中心业务技术用房信息化建设项目</w:t>
      </w:r>
      <w:r>
        <w:rPr>
          <w:color w:val="000000" w:themeColor="text1"/>
          <w:highlight w:val="none"/>
        </w:rPr>
      </w:r>
    </w:p>
    <w:p>
      <w:pPr>
        <w:pStyle w:val="883"/>
        <w:ind w:firstLine="1920"/>
        <w:jc w:val="left"/>
        <w:rPr>
          <w:rFonts w:hint="eastAsia" w:ascii="黑体" w:hAnsi="华文中宋" w:eastAsia="黑体"/>
          <w:bCs/>
          <w:color w:val="000000" w:themeColor="text1"/>
          <w:sz w:val="32"/>
          <w:szCs w:val="32"/>
          <w:highlight w:val="none"/>
        </w:rPr>
      </w:pPr>
      <w:r>
        <w:rPr>
          <w:rFonts w:hint="eastAsia" w:ascii="黑体" w:hAnsi="华文中宋" w:eastAsia="黑体"/>
          <w:bCs/>
          <w:color w:val="000000" w:themeColor="text1"/>
          <w:sz w:val="32"/>
          <w:szCs w:val="32"/>
          <w:highlight w:val="none"/>
        </w:rPr>
        <w:t xml:space="preserve">采 购 人：无锡市公安局（本级）</w:t>
      </w:r>
      <w:r>
        <w:rPr>
          <w:color w:val="000000" w:themeColor="text1"/>
          <w:highlight w:val="none"/>
        </w:rPr>
      </w:r>
    </w:p>
    <w:p>
      <w:pPr>
        <w:pStyle w:val="883"/>
        <w:jc w:val="center"/>
        <w:rPr>
          <w:rFonts w:ascii="黑体" w:hAnsi="华文中宋" w:eastAsia="黑体"/>
          <w:bCs/>
          <w:color w:val="000000" w:themeColor="text1"/>
          <w:sz w:val="30"/>
          <w:szCs w:val="30"/>
          <w:highlight w:val="none"/>
        </w:rPr>
      </w:pPr>
      <w:r>
        <w:rPr>
          <w:rFonts w:ascii="黑体" w:hAnsi="华文中宋" w:eastAsia="黑体"/>
          <w:bCs/>
          <w:color w:val="000000" w:themeColor="text1"/>
          <w:sz w:val="30"/>
          <w:szCs w:val="30"/>
          <w:highlight w:val="none"/>
        </w:rPr>
      </w:r>
      <w:r>
        <w:rPr>
          <w:color w:val="000000" w:themeColor="text1"/>
          <w:highlight w:val="none"/>
        </w:rPr>
      </w:r>
    </w:p>
    <w:p>
      <w:pPr>
        <w:pStyle w:val="971"/>
        <w:ind w:firstLine="0"/>
        <w:jc w:val="center"/>
        <w:spacing w:before="0" w:after="0"/>
        <w:rPr>
          <w:rFonts w:hint="eastAsia" w:ascii="宋体" w:hAnsi="宋体"/>
          <w:color w:val="000000" w:themeColor="text1"/>
          <w:highlight w:val="none"/>
          <w:shd w:val="clear" w:color="ffffff" w:fill="d9d9d9"/>
        </w:rPr>
      </w:pPr>
      <w:r>
        <w:rPr>
          <w:rFonts w:hint="eastAsia" w:ascii="宋体" w:hAnsi="宋体"/>
          <w:color w:val="000000" w:themeColor="text1"/>
          <w:highlight w:val="none"/>
          <w:shd w:val="clear" w:color="ffffff" w:fill="d9d9d9"/>
        </w:rPr>
      </w:r>
      <w:r>
        <w:rPr>
          <w:color w:val="000000" w:themeColor="text1"/>
          <w:highlight w:val="none"/>
        </w:rPr>
      </w:r>
    </w:p>
    <w:p>
      <w:pPr>
        <w:pStyle w:val="971"/>
        <w:ind w:firstLine="0"/>
        <w:jc w:val="center"/>
        <w:spacing w:before="0" w:after="0"/>
        <w:rPr>
          <w:rFonts w:hint="eastAsia" w:ascii="宋体" w:hAnsi="宋体"/>
          <w:color w:val="000000" w:themeColor="text1"/>
          <w:highlight w:val="none"/>
          <w:shd w:val="clear" w:color="ffffff" w:fill="d9d9d9"/>
        </w:rPr>
      </w:pPr>
      <w:r>
        <w:rPr>
          <w:rFonts w:hint="eastAsia" w:ascii="宋体" w:hAnsi="宋体"/>
          <w:color w:val="000000" w:themeColor="text1"/>
          <w:highlight w:val="none"/>
          <w:shd w:val="clear" w:color="ffffff" w:fill="d9d9d9"/>
        </w:rPr>
      </w:r>
      <w:r>
        <w:rPr>
          <w:color w:val="000000" w:themeColor="text1"/>
          <w:highlight w:val="none"/>
        </w:rPr>
      </w:r>
    </w:p>
    <w:p>
      <w:pPr>
        <w:pStyle w:val="971"/>
        <w:ind w:firstLine="0"/>
        <w:jc w:val="center"/>
        <w:spacing w:before="0" w:after="0"/>
        <w:rPr>
          <w:rFonts w:hint="eastAsia" w:ascii="宋体" w:hAnsi="宋体"/>
          <w:color w:val="000000" w:themeColor="text1"/>
          <w:highlight w:val="none"/>
          <w:shd w:val="clear" w:color="ffffff" w:fill="d9d9d9"/>
        </w:rPr>
      </w:pPr>
      <w:r>
        <w:rPr>
          <w:rFonts w:hint="eastAsia" w:ascii="宋体" w:hAnsi="宋体"/>
          <w:color w:val="000000" w:themeColor="text1"/>
          <w:highlight w:val="none"/>
          <w:shd w:val="clear" w:color="ffffff" w:fill="d9d9d9"/>
        </w:rPr>
      </w:r>
      <w:r>
        <w:rPr>
          <w:color w:val="000000" w:themeColor="text1"/>
          <w:highlight w:val="none"/>
        </w:rPr>
      </w:r>
    </w:p>
    <w:p>
      <w:pPr>
        <w:pStyle w:val="971"/>
        <w:ind w:firstLine="0"/>
        <w:jc w:val="center"/>
        <w:spacing w:before="0" w:after="0"/>
        <w:rPr>
          <w:rFonts w:hint="eastAsia" w:ascii="宋体" w:hAnsi="宋体"/>
          <w:color w:val="000000" w:themeColor="text1"/>
          <w:sz w:val="32"/>
          <w:szCs w:val="32"/>
          <w:highlight w:val="none"/>
          <w:shd w:val="clear" w:color="ffffff" w:fill="d9d9d9"/>
        </w:rPr>
      </w:pPr>
      <w:r>
        <w:rPr>
          <w:rFonts w:hint="eastAsia" w:ascii="黑体" w:hAnsi="华文中宋" w:eastAsia="黑体"/>
          <w:bCs/>
          <w:color w:val="000000" w:themeColor="text1"/>
          <w:sz w:val="32"/>
          <w:szCs w:val="32"/>
          <w:highlight w:val="none"/>
        </w:rPr>
        <w:t xml:space="preserve">采购代理机构：无锡市公共资源交易中心</w:t>
      </w:r>
      <w:r>
        <w:rPr>
          <w:rFonts w:hint="eastAsia" w:ascii="宋体" w:hAnsi="宋体"/>
          <w:color w:val="000000" w:themeColor="text1"/>
          <w:sz w:val="32"/>
          <w:szCs w:val="32"/>
          <w:highlight w:val="none"/>
          <w:shd w:val="clear" w:color="ffffff" w:fill="d9d9d9"/>
        </w:rPr>
      </w:r>
      <w:r>
        <w:rPr>
          <w:color w:val="000000" w:themeColor="text1"/>
          <w:highlight w:val="none"/>
        </w:rPr>
      </w:r>
    </w:p>
    <w:p>
      <w:pPr>
        <w:pStyle w:val="971"/>
        <w:ind w:firstLine="0"/>
        <w:jc w:val="center"/>
        <w:rPr>
          <w:rFonts w:ascii="黑体" w:hAnsi="华文中宋" w:eastAsia="黑体"/>
          <w:bCs/>
          <w:color w:val="000000" w:themeColor="text1"/>
          <w:sz w:val="32"/>
          <w:szCs w:val="32"/>
          <w:highlight w:val="none"/>
        </w:rPr>
      </w:pPr>
      <w:r>
        <w:rPr>
          <w:rFonts w:hint="eastAsia" w:ascii="黑体" w:hAnsi="华文中宋" w:eastAsia="黑体"/>
          <w:bCs/>
          <w:color w:val="000000" w:themeColor="text1"/>
          <w:sz w:val="32"/>
          <w:szCs w:val="32"/>
          <w:highlight w:val="none"/>
        </w:rPr>
        <w:t xml:space="preserve">二○二五年二月</w:t>
      </w:r>
      <w:r>
        <w:rPr>
          <w:rFonts w:ascii="黑体" w:hAnsi="华文中宋" w:eastAsia="黑体"/>
          <w:bCs/>
          <w:color w:val="000000" w:themeColor="text1"/>
          <w:sz w:val="32"/>
          <w:szCs w:val="32"/>
          <w:highlight w:val="none"/>
        </w:rPr>
      </w:r>
      <w:r>
        <w:rPr>
          <w:color w:val="000000" w:themeColor="text1"/>
          <w:highlight w:val="none"/>
        </w:rPr>
      </w:r>
    </w:p>
    <w:p>
      <w:pPr>
        <w:pStyle w:val="971"/>
        <w:ind w:firstLine="0"/>
        <w:jc w:val="center"/>
        <w:rPr>
          <w:rFonts w:hint="eastAsia" w:ascii="黑体" w:hAnsi="黑体" w:eastAsia="黑体"/>
          <w:color w:val="000000" w:themeColor="text1"/>
          <w:sz w:val="36"/>
          <w:szCs w:val="36"/>
          <w:highlight w:val="none"/>
        </w:rPr>
      </w:pPr>
      <w:r>
        <w:rPr>
          <w:rFonts w:ascii="黑体" w:hAnsi="华文中宋" w:eastAsia="黑体"/>
          <w:bCs/>
          <w:color w:val="000000" w:themeColor="text1"/>
          <w:sz w:val="44"/>
          <w:szCs w:val="44"/>
          <w:highlight w:val="none"/>
        </w:rPr>
        <w:br w:type="page" w:clear="all"/>
      </w:r>
      <w:bookmarkStart w:id="0" w:name="_Toc120614210"/>
      <w:r>
        <w:rPr>
          <w:color w:val="000000" w:themeColor="text1"/>
          <w:highlight w:val="none"/>
        </w:rPr>
      </w:r>
      <w:bookmarkStart w:id="1" w:name="_Toc16938516"/>
      <w:r>
        <w:rPr>
          <w:color w:val="000000" w:themeColor="text1"/>
          <w:highlight w:val="none"/>
        </w:rPr>
      </w:r>
      <w:bookmarkStart w:id="2" w:name="_Toc479757206"/>
      <w:r>
        <w:rPr>
          <w:color w:val="000000" w:themeColor="text1"/>
          <w:highlight w:val="none"/>
        </w:rPr>
      </w:r>
      <w:bookmarkStart w:id="3" w:name="_Toc523127445"/>
      <w:r>
        <w:rPr>
          <w:color w:val="000000" w:themeColor="text1"/>
          <w:highlight w:val="none"/>
        </w:rPr>
      </w:r>
      <w:bookmarkStart w:id="4" w:name="_Toc513029200"/>
      <w:r>
        <w:rPr>
          <w:color w:val="000000" w:themeColor="text1"/>
          <w:highlight w:val="none"/>
        </w:rPr>
      </w:r>
      <w:bookmarkStart w:id="5" w:name="_Toc20823272"/>
      <w:r>
        <w:rPr>
          <w:rFonts w:hint="eastAsia" w:ascii="黑体" w:hAnsi="黑体" w:eastAsia="黑体"/>
          <w:color w:val="000000" w:themeColor="text1"/>
          <w:sz w:val="36"/>
          <w:szCs w:val="36"/>
          <w:highlight w:val="none"/>
        </w:rPr>
        <w:t xml:space="preserve">总  目  录</w:t>
      </w:r>
      <w:r>
        <w:rPr>
          <w:color w:val="000000" w:themeColor="text1"/>
          <w:highlight w:val="none"/>
        </w:rPr>
      </w:r>
    </w:p>
    <w:p>
      <w:pPr>
        <w:pStyle w:val="883"/>
        <w:jc w:val="center"/>
        <w:spacing w:line="480" w:lineRule="auto"/>
        <w:rPr>
          <w:rFonts w:hint="eastAsia" w:ascii="黑体" w:hAnsi="Arial" w:eastAsia="黑体"/>
          <w:color w:val="000000" w:themeColor="text1"/>
          <w:sz w:val="44"/>
          <w:highlight w:val="none"/>
        </w:rPr>
        <w:outlineLvl w:val="0"/>
      </w:pPr>
      <w:r>
        <w:rPr>
          <w:rFonts w:hint="eastAsia" w:ascii="黑体" w:hAnsi="Arial" w:eastAsia="黑体"/>
          <w:color w:val="000000" w:themeColor="text1"/>
          <w:sz w:val="44"/>
          <w:highlight w:val="none"/>
        </w:rPr>
      </w:r>
      <w:r>
        <w:rPr>
          <w:color w:val="000000" w:themeColor="text1"/>
          <w:highlight w:val="none"/>
        </w:rPr>
      </w:r>
    </w:p>
    <w:p>
      <w:pPr>
        <w:pStyle w:val="883"/>
        <w:numPr>
          <w:ilvl w:val="0"/>
          <w:numId w:val="4"/>
        </w:numPr>
        <w:spacing w:line="720" w:lineRule="auto"/>
        <w:tabs>
          <w:tab w:val="left" w:pos="1440" w:leader="none"/>
        </w:tabs>
        <w:rPr>
          <w:rFonts w:hint="eastAsia" w:ascii="宋体" w:hAnsi="宋体"/>
          <w:color w:val="000000" w:themeColor="text1"/>
          <w:sz w:val="30"/>
          <w:szCs w:val="30"/>
          <w:highlight w:val="none"/>
        </w:rPr>
        <w:outlineLvl w:val="0"/>
      </w:pPr>
      <w:r>
        <w:rPr>
          <w:rFonts w:hint="eastAsia" w:ascii="宋体" w:hAnsi="宋体"/>
          <w:color w:val="000000" w:themeColor="text1"/>
          <w:sz w:val="30"/>
          <w:szCs w:val="30"/>
          <w:highlight w:val="none"/>
        </w:rPr>
        <w:t xml:space="preserve">投标邀请------------------------------------</w:t>
      </w:r>
      <w:r>
        <w:rPr>
          <w:color w:val="000000" w:themeColor="text1"/>
          <w:highlight w:val="none"/>
        </w:rPr>
      </w:r>
    </w:p>
    <w:p>
      <w:pPr>
        <w:pStyle w:val="883"/>
        <w:numPr>
          <w:ilvl w:val="0"/>
          <w:numId w:val="4"/>
        </w:numPr>
        <w:spacing w:line="720" w:lineRule="auto"/>
        <w:tabs>
          <w:tab w:val="left" w:pos="1440" w:leader="none"/>
        </w:tabs>
        <w:rPr>
          <w:rFonts w:hint="eastAsia" w:ascii="宋体" w:hAnsi="宋体"/>
          <w:color w:val="000000" w:themeColor="text1"/>
          <w:sz w:val="30"/>
          <w:szCs w:val="30"/>
          <w:highlight w:val="none"/>
        </w:rPr>
        <w:outlineLvl w:val="0"/>
      </w:pPr>
      <w:r>
        <w:rPr>
          <w:rFonts w:hint="eastAsia" w:ascii="宋体" w:hAnsi="宋体"/>
          <w:color w:val="000000" w:themeColor="text1"/>
          <w:sz w:val="30"/>
          <w:szCs w:val="30"/>
          <w:highlight w:val="none"/>
        </w:rPr>
        <w:t xml:space="preserve">投标人须知----------------------------------</w:t>
      </w:r>
      <w:r>
        <w:rPr>
          <w:color w:val="000000" w:themeColor="text1"/>
          <w:highlight w:val="none"/>
        </w:rPr>
      </w:r>
    </w:p>
    <w:p>
      <w:pPr>
        <w:pStyle w:val="883"/>
        <w:numPr>
          <w:ilvl w:val="0"/>
          <w:numId w:val="4"/>
        </w:numPr>
        <w:spacing w:line="720" w:lineRule="auto"/>
        <w:tabs>
          <w:tab w:val="left" w:pos="1440" w:leader="none"/>
        </w:tabs>
        <w:rPr>
          <w:rFonts w:hint="eastAsia" w:ascii="宋体" w:hAnsi="宋体"/>
          <w:color w:val="000000" w:themeColor="text1"/>
          <w:sz w:val="30"/>
          <w:szCs w:val="30"/>
          <w:highlight w:val="none"/>
        </w:rPr>
        <w:outlineLvl w:val="0"/>
      </w:pPr>
      <w:r>
        <w:rPr>
          <w:rFonts w:hint="eastAsia" w:ascii="宋体" w:hAnsi="宋体"/>
          <w:color w:val="000000" w:themeColor="text1"/>
          <w:sz w:val="30"/>
          <w:szCs w:val="30"/>
          <w:highlight w:val="none"/>
        </w:rPr>
        <w:t xml:space="preserve">合同文本------------------------------------</w:t>
      </w:r>
      <w:r>
        <w:rPr>
          <w:color w:val="000000" w:themeColor="text1"/>
          <w:highlight w:val="none"/>
        </w:rPr>
      </w:r>
    </w:p>
    <w:p>
      <w:pPr>
        <w:pStyle w:val="883"/>
        <w:numPr>
          <w:ilvl w:val="0"/>
          <w:numId w:val="4"/>
        </w:numPr>
        <w:spacing w:line="720" w:lineRule="auto"/>
        <w:tabs>
          <w:tab w:val="left" w:pos="1440" w:leader="none"/>
        </w:tabs>
        <w:rPr>
          <w:rFonts w:hint="eastAsia" w:ascii="宋体" w:hAnsi="宋体"/>
          <w:color w:val="000000" w:themeColor="text1"/>
          <w:sz w:val="30"/>
          <w:szCs w:val="30"/>
          <w:highlight w:val="none"/>
        </w:rPr>
        <w:outlineLvl w:val="0"/>
      </w:pPr>
      <w:r>
        <w:rPr>
          <w:rFonts w:hint="eastAsia" w:ascii="宋体" w:hAnsi="宋体"/>
          <w:color w:val="000000" w:themeColor="text1"/>
          <w:sz w:val="30"/>
          <w:szCs w:val="30"/>
          <w:highlight w:val="none"/>
        </w:rPr>
        <w:t xml:space="preserve">采购需求------------------------------------</w:t>
      </w:r>
      <w:r>
        <w:rPr>
          <w:color w:val="000000" w:themeColor="text1"/>
          <w:highlight w:val="none"/>
        </w:rPr>
      </w:r>
    </w:p>
    <w:p>
      <w:pPr>
        <w:pStyle w:val="883"/>
        <w:numPr>
          <w:ilvl w:val="0"/>
          <w:numId w:val="4"/>
        </w:numPr>
        <w:spacing w:line="720" w:lineRule="auto"/>
        <w:tabs>
          <w:tab w:val="left" w:pos="1440" w:leader="none"/>
        </w:tabs>
        <w:rPr>
          <w:rFonts w:hint="eastAsia" w:ascii="宋体" w:hAnsi="宋体"/>
          <w:color w:val="000000" w:themeColor="text1"/>
          <w:sz w:val="30"/>
          <w:szCs w:val="30"/>
          <w:highlight w:val="none"/>
        </w:rPr>
        <w:outlineLvl w:val="0"/>
      </w:pPr>
      <w:r>
        <w:rPr>
          <w:rFonts w:hint="eastAsia" w:ascii="宋体" w:hAnsi="宋体"/>
          <w:color w:val="000000" w:themeColor="text1"/>
          <w:sz w:val="30"/>
          <w:szCs w:val="30"/>
          <w:highlight w:val="none"/>
        </w:rPr>
        <w:t xml:space="preserve">评标方法与评标标准--------------------------</w:t>
      </w:r>
      <w:r>
        <w:rPr>
          <w:color w:val="000000" w:themeColor="text1"/>
          <w:highlight w:val="none"/>
        </w:rPr>
      </w:r>
    </w:p>
    <w:p>
      <w:pPr>
        <w:pStyle w:val="883"/>
        <w:numPr>
          <w:ilvl w:val="0"/>
          <w:numId w:val="4"/>
        </w:numPr>
        <w:spacing w:line="720" w:lineRule="auto"/>
        <w:tabs>
          <w:tab w:val="left" w:pos="1440" w:leader="none"/>
        </w:tabs>
        <w:rPr>
          <w:rFonts w:hint="eastAsia" w:ascii="宋体" w:hAnsi="宋体"/>
          <w:color w:val="000000" w:themeColor="text1"/>
          <w:sz w:val="30"/>
          <w:szCs w:val="30"/>
          <w:highlight w:val="none"/>
        </w:rPr>
        <w:outlineLvl w:val="0"/>
      </w:pPr>
      <w:r>
        <w:rPr>
          <w:rFonts w:hint="eastAsia" w:ascii="宋体" w:hAnsi="宋体"/>
          <w:color w:val="000000" w:themeColor="text1"/>
          <w:sz w:val="30"/>
          <w:szCs w:val="30"/>
          <w:highlight w:val="none"/>
        </w:rPr>
        <w:t xml:space="preserve">投标文件内容与格式--------------------------</w:t>
      </w:r>
      <w:r>
        <w:rPr>
          <w:color w:val="000000" w:themeColor="text1"/>
          <w:highlight w:val="none"/>
        </w:rPr>
      </w:r>
    </w:p>
    <w:p>
      <w:pPr>
        <w:pStyle w:val="883"/>
        <w:jc w:val="center"/>
        <w:spacing w:line="500" w:lineRule="exact"/>
        <w:tabs>
          <w:tab w:val="left" w:pos="1440" w:leader="none"/>
        </w:tabs>
        <w:rPr>
          <w:rFonts w:hint="eastAsia" w:ascii="黑体" w:hAnsi="黑体" w:eastAsia="黑体"/>
          <w:color w:val="000000" w:themeColor="text1"/>
          <w:sz w:val="36"/>
          <w:szCs w:val="36"/>
          <w:highlight w:val="none"/>
        </w:rPr>
        <w:outlineLvl w:val="0"/>
      </w:pPr>
      <w:r>
        <w:rPr>
          <w:rFonts w:ascii="黑体" w:hAnsi="Showcard Gothic" w:eastAsia="黑体"/>
          <w:color w:val="000000" w:themeColor="text1"/>
          <w:sz w:val="30"/>
          <w:szCs w:val="30"/>
          <w:highlight w:val="none"/>
        </w:rPr>
        <w:br w:type="page" w:clear="all"/>
      </w:r>
      <w:r>
        <w:rPr>
          <w:rFonts w:hint="eastAsia" w:ascii="黑体" w:hAnsi="黑体" w:eastAsia="黑体"/>
          <w:color w:val="000000" w:themeColor="text1"/>
          <w:sz w:val="36"/>
          <w:szCs w:val="36"/>
          <w:highlight w:val="none"/>
        </w:rPr>
        <w:t xml:space="preserve">第一章  投标邀请</w:t>
      </w:r>
      <w:r>
        <w:rPr>
          <w:color w:val="000000" w:themeColor="text1"/>
          <w:highlight w:val="none"/>
        </w:rPr>
      </w:r>
    </w:p>
    <w:p>
      <w:pPr>
        <w:pStyle w:val="883"/>
        <w:ind w:firstLine="480"/>
        <w:spacing w:line="500" w:lineRule="exact"/>
        <w:rPr>
          <w:rFonts w:ascii="宋体" w:hAnsi="宋体"/>
          <w:color w:val="000000" w:themeColor="text1"/>
          <w:sz w:val="24"/>
          <w:szCs w:val="24"/>
          <w:highlight w:val="none"/>
          <w:shd w:val="clear" w:color="ffffff" w:fill="d9d9d9"/>
        </w:rPr>
      </w:pPr>
      <w:r>
        <w:rPr>
          <w:color w:val="000000" w:themeColor="text1"/>
          <w:highlight w:val="none"/>
        </w:rPr>
      </w:r>
      <w:bookmarkEnd w:id="0"/>
      <w:r>
        <w:rPr>
          <w:rFonts w:hint="eastAsia" w:ascii="宋体" w:hAnsi="宋体"/>
          <w:color w:val="000000" w:themeColor="text1"/>
          <w:sz w:val="24"/>
          <w:szCs w:val="24"/>
          <w:highlight w:val="none"/>
        </w:rPr>
        <w:t xml:space="preserve">受</w:t>
      </w:r>
      <w:r>
        <w:rPr>
          <w:rFonts w:hint="eastAsia" w:ascii="宋体" w:hAnsi="宋体"/>
          <w:color w:val="000000" w:themeColor="text1"/>
          <w:sz w:val="24"/>
          <w:szCs w:val="24"/>
          <w:highlight w:val="none"/>
        </w:rPr>
        <w:t xml:space="preserve">无锡市公安局（本级）</w:t>
      </w:r>
      <w:r>
        <w:rPr>
          <w:rFonts w:hint="eastAsia" w:ascii="宋体" w:hAnsi="宋体"/>
          <w:color w:val="000000" w:themeColor="text1"/>
          <w:sz w:val="24"/>
          <w:szCs w:val="24"/>
          <w:highlight w:val="none"/>
        </w:rPr>
        <w:t xml:space="preserve">的委托，无锡市公共资源交易中心就</w:t>
      </w:r>
      <w:r>
        <w:rPr>
          <w:rFonts w:hint="eastAsia" w:ascii="宋体" w:hAnsi="宋体"/>
          <w:color w:val="000000" w:themeColor="text1"/>
          <w:sz w:val="24"/>
          <w:szCs w:val="24"/>
          <w:highlight w:val="none"/>
        </w:rPr>
        <w:t xml:space="preserve">无锡市反诈中心业务技术用房信息化建设项目</w:t>
      </w:r>
      <w:r>
        <w:rPr>
          <w:rFonts w:hint="eastAsia"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JSZC-320200-JZCG-G2025-0021</w:t>
      </w:r>
      <w:r>
        <w:rPr>
          <w:rFonts w:hint="eastAsia" w:ascii="宋体" w:hAnsi="宋体"/>
          <w:color w:val="000000" w:themeColor="text1"/>
          <w:sz w:val="24"/>
          <w:szCs w:val="24"/>
          <w:highlight w:val="none"/>
        </w:rPr>
        <w:t xml:space="preserve">）进行公开招标采购，欢迎符合条件的供应商投标。</w:t>
      </w:r>
      <w:r>
        <w:rPr>
          <w:rFonts w:ascii="宋体" w:hAnsi="宋体"/>
          <w:color w:val="000000" w:themeColor="text1"/>
          <w:sz w:val="24"/>
          <w:szCs w:val="24"/>
          <w:highlight w:val="none"/>
          <w:shd w:val="clear" w:color="ffffff" w:fill="d9d9d9"/>
        </w:rPr>
      </w:r>
      <w:r>
        <w:rPr>
          <w:color w:val="000000" w:themeColor="text1"/>
          <w:highlight w:val="none"/>
        </w:rPr>
      </w:r>
    </w:p>
    <w:p>
      <w:pPr>
        <w:pStyle w:val="883"/>
        <w:ind w:firstLine="480"/>
        <w:spacing w:line="500" w:lineRule="exact"/>
        <w:rPr>
          <w:rFonts w:ascii="宋体" w:hAnsi="宋体"/>
          <w:color w:val="000000" w:themeColor="text1"/>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none"/>
        </w:rPr>
        <w:t xml:space="preserve">项目概况</w:t>
      </w:r>
      <w:r>
        <w:rPr>
          <w:rFonts w:ascii="宋体" w:hAnsi="宋体"/>
          <w:color w:val="000000" w:themeColor="text1"/>
          <w:sz w:val="24"/>
          <w:szCs w:val="24"/>
          <w:highlight w:val="none"/>
          <w:shd w:val="clear" w:color="ffffff" w:fill="d9d9d9"/>
        </w:rPr>
      </w:r>
      <w:r>
        <w:rPr>
          <w:color w:val="000000" w:themeColor="text1"/>
          <w:highlight w:val="none"/>
        </w:rPr>
      </w:r>
    </w:p>
    <w:p>
      <w:pPr>
        <w:pStyle w:val="883"/>
        <w:ind w:firstLine="480"/>
        <w:spacing w:line="500" w:lineRule="exact"/>
        <w:rPr>
          <w:rFonts w:ascii="宋体" w:hAnsi="宋体"/>
          <w:color w:val="000000" w:themeColor="text1"/>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none"/>
        </w:rPr>
        <w:t xml:space="preserve">无锡市反诈中心业务技术用房信息化建设项目</w:t>
      </w:r>
      <w:r>
        <w:rPr>
          <w:rFonts w:hint="eastAsia" w:ascii="宋体" w:hAnsi="宋体"/>
          <w:color w:val="000000" w:themeColor="text1"/>
          <w:sz w:val="24"/>
          <w:szCs w:val="24"/>
          <w:highlight w:val="none"/>
        </w:rPr>
        <w:t xml:space="preserve">采购项目的潜在投标人应在“无锡政府采购网”“江苏政府采购网”自行浏览招标文件，如有投标意向须在本招标文件有效获取期内通过登录</w:t>
      </w:r>
      <w:r>
        <w:rPr>
          <w:rFonts w:ascii="宋体" w:hAnsi="宋体"/>
          <w:color w:val="000000" w:themeColor="text1"/>
          <w:sz w:val="24"/>
          <w:szCs w:val="24"/>
          <w:highlight w:val="none"/>
        </w:rPr>
        <w:t xml:space="preserve">“江苏省政府采购（苏采云）平台”</w:t>
      </w:r>
      <w:r>
        <w:rPr>
          <w:rFonts w:hint="eastAsia" w:ascii="宋体" w:hAnsi="宋体"/>
          <w:color w:val="000000" w:themeColor="text1"/>
          <w:sz w:val="24"/>
          <w:szCs w:val="24"/>
          <w:highlight w:val="none"/>
        </w:rPr>
        <w:t xml:space="preserve">下载的方式依法获取招标文件，并于</w:t>
      </w:r>
      <w:r>
        <w:rPr>
          <w:rFonts w:hint="eastAsia" w:ascii="宋体" w:hAnsi="宋体"/>
          <w:color w:val="000000" w:themeColor="text1"/>
          <w:sz w:val="24"/>
          <w:szCs w:val="24"/>
          <w:highlight w:val="none"/>
        </w:rPr>
        <w:t xml:space="preserve">2025年3月14日09点30分</w:t>
      </w:r>
      <w:r>
        <w:rPr>
          <w:rFonts w:hint="eastAsia" w:ascii="宋体" w:hAnsi="宋体"/>
          <w:bCs/>
          <w:color w:val="000000" w:themeColor="text1"/>
          <w:sz w:val="24"/>
          <w:szCs w:val="24"/>
          <w:highlight w:val="none"/>
        </w:rPr>
        <w:t xml:space="preserve">（北京时间）前递交投标</w:t>
      </w:r>
      <w:r>
        <w:rPr>
          <w:rFonts w:ascii="宋体" w:hAnsi="宋体"/>
          <w:bCs/>
          <w:color w:val="000000" w:themeColor="text1"/>
          <w:sz w:val="24"/>
          <w:szCs w:val="24"/>
          <w:highlight w:val="none"/>
        </w:rPr>
        <w:t xml:space="preserve">文件</w:t>
      </w:r>
      <w:r>
        <w:rPr>
          <w:rFonts w:hint="eastAsia" w:ascii="宋体" w:hAnsi="宋体"/>
          <w:color w:val="000000" w:themeColor="text1"/>
          <w:sz w:val="24"/>
          <w:szCs w:val="24"/>
          <w:highlight w:val="none"/>
        </w:rPr>
        <w:t xml:space="preserve">。</w:t>
      </w:r>
      <w:r>
        <w:rPr>
          <w:rFonts w:ascii="宋体" w:hAnsi="宋体"/>
          <w:color w:val="000000" w:themeColor="text1"/>
          <w:sz w:val="24"/>
          <w:szCs w:val="24"/>
          <w:highlight w:val="none"/>
          <w:shd w:val="clear" w:color="ffffff" w:fill="d9d9d9"/>
        </w:rPr>
      </w:r>
      <w:r>
        <w:rPr>
          <w:color w:val="000000" w:themeColor="text1"/>
          <w:highlight w:val="none"/>
        </w:rPr>
      </w:r>
    </w:p>
    <w:p>
      <w:pPr>
        <w:pStyle w:val="886"/>
        <w:ind w:firstLine="452"/>
        <w:keepLines w:val="0"/>
        <w:keepNext w:val="0"/>
        <w:spacing w:before="0" w:after="0" w:line="500" w:lineRule="exact"/>
        <w:rPr>
          <w:color w:val="000000" w:themeColor="text1"/>
          <w:sz w:val="30"/>
          <w:szCs w:val="30"/>
          <w:highlight w:val="none"/>
        </w:rPr>
      </w:pPr>
      <w:r>
        <w:rPr>
          <w:color w:val="000000" w:themeColor="text1"/>
          <w:highlight w:val="none"/>
        </w:rPr>
      </w:r>
      <w:bookmarkStart w:id="6" w:name="_Toc35393621"/>
      <w:r>
        <w:rPr>
          <w:color w:val="000000" w:themeColor="text1"/>
          <w:highlight w:val="none"/>
        </w:rPr>
      </w:r>
      <w:bookmarkStart w:id="7" w:name="_Toc28359002"/>
      <w:r>
        <w:rPr>
          <w:color w:val="000000" w:themeColor="text1"/>
          <w:highlight w:val="none"/>
        </w:rPr>
      </w:r>
      <w:bookmarkStart w:id="8" w:name="_Toc28359079"/>
      <w:r>
        <w:rPr>
          <w:color w:val="000000" w:themeColor="text1"/>
          <w:highlight w:val="none"/>
        </w:rPr>
      </w:r>
      <w:bookmarkStart w:id="9" w:name="_Toc35393790"/>
      <w:r>
        <w:rPr>
          <w:color w:val="000000" w:themeColor="text1"/>
          <w:highlight w:val="none"/>
        </w:rPr>
      </w:r>
      <w:bookmarkStart w:id="10" w:name="_Toc38985263"/>
      <w:r>
        <w:rPr>
          <w:color w:val="000000" w:themeColor="text1"/>
          <w:highlight w:val="none"/>
        </w:rPr>
      </w:r>
      <w:bookmarkStart w:id="11" w:name="_Hlk24379207"/>
      <w:r>
        <w:rPr>
          <w:rFonts w:hint="eastAsia"/>
          <w:color w:val="000000" w:themeColor="text1"/>
          <w:sz w:val="30"/>
          <w:szCs w:val="30"/>
          <w:highlight w:val="none"/>
        </w:rPr>
        <w:t xml:space="preserve">一、项目基本情况</w:t>
      </w:r>
      <w:bookmarkEnd w:id="6"/>
      <w:r>
        <w:rPr>
          <w:color w:val="000000" w:themeColor="text1"/>
          <w:highlight w:val="none"/>
        </w:rPr>
      </w:r>
      <w:bookmarkEnd w:id="7"/>
      <w:r>
        <w:rPr>
          <w:color w:val="000000" w:themeColor="text1"/>
          <w:highlight w:val="none"/>
        </w:rPr>
      </w:r>
      <w:bookmarkEnd w:id="8"/>
      <w:r>
        <w:rPr>
          <w:color w:val="000000" w:themeColor="text1"/>
          <w:highlight w:val="none"/>
        </w:rPr>
      </w:r>
      <w:bookmarkEnd w:id="9"/>
      <w:r>
        <w:rPr>
          <w:color w:val="000000" w:themeColor="text1"/>
          <w:highlight w:val="none"/>
        </w:rPr>
      </w:r>
      <w:bookmarkEnd w:id="10"/>
      <w:r>
        <w:rPr>
          <w:color w:val="000000" w:themeColor="text1"/>
          <w:sz w:val="30"/>
          <w:szCs w:val="30"/>
          <w:highlight w:val="none"/>
        </w:rPr>
      </w:r>
      <w:r>
        <w:rPr>
          <w:color w:val="000000" w:themeColor="text1"/>
          <w:highlight w:val="none"/>
        </w:rPr>
      </w:r>
    </w:p>
    <w:p>
      <w:pPr>
        <w:pStyle w:val="883"/>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1.项目编号：</w:t>
      </w:r>
      <w:r>
        <w:rPr>
          <w:rFonts w:hint="eastAsia" w:ascii="宋体" w:hAnsi="宋体"/>
          <w:color w:val="000000" w:themeColor="text1"/>
          <w:sz w:val="24"/>
          <w:szCs w:val="24"/>
          <w:highlight w:val="none"/>
        </w:rPr>
        <w:t xml:space="preserve">JSZC-320200-JZCG-G2025-0021</w:t>
      </w:r>
      <w:r>
        <w:rPr>
          <w:rFonts w:ascii="宋体" w:hAnsi="宋体"/>
          <w:color w:val="000000" w:themeColor="text1"/>
          <w:sz w:val="24"/>
          <w:szCs w:val="24"/>
          <w:highlight w:val="none"/>
        </w:rPr>
      </w:r>
      <w:r>
        <w:rPr>
          <w:color w:val="000000" w:themeColor="text1"/>
          <w:highlight w:val="none"/>
        </w:rPr>
      </w:r>
    </w:p>
    <w:p>
      <w:pPr>
        <w:pStyle w:val="883"/>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2.项目名称：</w:t>
      </w:r>
      <w:r>
        <w:rPr>
          <w:rFonts w:hint="eastAsia" w:ascii="宋体" w:hAnsi="宋体"/>
          <w:color w:val="000000" w:themeColor="text1"/>
          <w:sz w:val="24"/>
          <w:szCs w:val="24"/>
          <w:highlight w:val="none"/>
        </w:rPr>
        <w:t xml:space="preserve">无锡市反诈中心业务技术用房信息化建设项目</w:t>
      </w:r>
      <w:r>
        <w:rPr>
          <w:rFonts w:ascii="宋体" w:hAnsi="宋体"/>
          <w:color w:val="000000" w:themeColor="text1"/>
          <w:sz w:val="24"/>
          <w:szCs w:val="24"/>
          <w:highlight w:val="none"/>
        </w:rPr>
      </w:r>
      <w:r>
        <w:rPr>
          <w:color w:val="000000" w:themeColor="text1"/>
          <w:highlight w:val="none"/>
        </w:rPr>
      </w:r>
    </w:p>
    <w:p>
      <w:pPr>
        <w:pStyle w:val="883"/>
        <w:ind w:firstLine="480"/>
        <w:spacing w:line="500" w:lineRule="exact"/>
        <w:rPr>
          <w:rFonts w:ascii="宋体" w:hAnsi="宋体"/>
          <w:color w:val="000000" w:themeColor="text1"/>
          <w:sz w:val="24"/>
          <w:szCs w:val="24"/>
          <w:highlight w:val="none"/>
        </w:rPr>
      </w:pPr>
      <w:r>
        <w:rPr>
          <w:color w:val="000000" w:themeColor="text1"/>
          <w:highlight w:val="none"/>
        </w:rPr>
      </w:r>
      <w:bookmarkEnd w:id="11"/>
      <w:r>
        <w:rPr>
          <w:rFonts w:hint="eastAsia" w:ascii="宋体" w:hAnsi="宋体"/>
          <w:color w:val="000000" w:themeColor="text1"/>
          <w:sz w:val="24"/>
          <w:szCs w:val="24"/>
          <w:highlight w:val="none"/>
        </w:rPr>
        <w:t xml:space="preserve">3.项目预算金额：</w:t>
      </w:r>
      <w:r>
        <w:rPr>
          <w:rFonts w:ascii="宋体" w:hAnsi="宋体"/>
          <w:color w:val="000000" w:themeColor="text1"/>
          <w:sz w:val="24"/>
          <w:szCs w:val="24"/>
          <w:highlight w:val="none"/>
        </w:rPr>
        <w:t xml:space="preserve">332.9643</w:t>
      </w:r>
      <w:r>
        <w:rPr>
          <w:rFonts w:hint="eastAsia" w:ascii="宋体" w:hAnsi="宋体"/>
          <w:color w:val="000000" w:themeColor="text1"/>
          <w:sz w:val="24"/>
          <w:szCs w:val="24"/>
          <w:highlight w:val="none"/>
        </w:rPr>
        <w:t xml:space="preserve">万元</w:t>
      </w:r>
      <w:r>
        <w:rPr>
          <w:rFonts w:ascii="宋体" w:hAnsi="宋体"/>
          <w:color w:val="000000" w:themeColor="text1"/>
          <w:sz w:val="24"/>
          <w:szCs w:val="24"/>
          <w:highlight w:val="none"/>
        </w:rPr>
      </w:r>
      <w:r>
        <w:rPr>
          <w:color w:val="000000" w:themeColor="text1"/>
          <w:highlight w:val="none"/>
        </w:rPr>
      </w:r>
    </w:p>
    <w:p>
      <w:pPr>
        <w:pStyle w:val="883"/>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4.项目最高限价：</w:t>
      </w:r>
      <w:r>
        <w:rPr>
          <w:rFonts w:ascii="宋体" w:hAnsi="宋体"/>
          <w:color w:val="000000" w:themeColor="text1"/>
          <w:sz w:val="24"/>
          <w:szCs w:val="24"/>
          <w:highlight w:val="none"/>
        </w:rPr>
        <w:t xml:space="preserve">332.9643</w:t>
      </w:r>
      <w:r>
        <w:rPr>
          <w:rFonts w:hint="eastAsia" w:ascii="宋体" w:hAnsi="宋体"/>
          <w:color w:val="000000" w:themeColor="text1"/>
          <w:sz w:val="24"/>
          <w:szCs w:val="24"/>
          <w:highlight w:val="none"/>
        </w:rPr>
        <w:t xml:space="preserve">万元</w:t>
      </w:r>
      <w:r>
        <w:rPr>
          <w:rFonts w:ascii="宋体" w:hAnsi="宋体"/>
          <w:color w:val="000000" w:themeColor="text1"/>
          <w:sz w:val="24"/>
          <w:szCs w:val="24"/>
          <w:highlight w:val="none"/>
        </w:rPr>
      </w:r>
      <w:r>
        <w:rPr>
          <w:color w:val="000000" w:themeColor="text1"/>
          <w:highlight w:val="none"/>
        </w:rP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5.采购方式：公开招标</w:t>
      </w:r>
      <w:r>
        <w:rPr>
          <w:color w:val="000000" w:themeColor="text1"/>
          <w:highlight w:val="none"/>
        </w:rP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6.采购需求：</w:t>
      </w:r>
      <w:r>
        <w:rPr>
          <w:rFonts w:hint="eastAsia" w:ascii="宋体" w:hAnsi="宋体" w:cs="宋体"/>
          <w:color w:val="000000" w:themeColor="text1"/>
          <w:sz w:val="24"/>
          <w:szCs w:val="24"/>
          <w:highlight w:val="none"/>
        </w:rPr>
        <w:t xml:space="preserve">详见招标文件第四章《采购需求》</w:t>
      </w:r>
      <w:r>
        <w:rPr>
          <w:rFonts w:hint="eastAsia" w:ascii="宋体" w:hAnsi="宋体"/>
          <w:color w:val="000000" w:themeColor="text1"/>
          <w:sz w:val="24"/>
          <w:szCs w:val="24"/>
          <w:highlight w:val="none"/>
        </w:rPr>
      </w:r>
      <w:r>
        <w:rPr>
          <w:color w:val="000000" w:themeColor="text1"/>
          <w:highlight w:val="none"/>
        </w:rPr>
      </w:r>
    </w:p>
    <w:p>
      <w:pPr>
        <w:pStyle w:val="883"/>
        <w:ind w:firstLine="480"/>
        <w:spacing w:line="500" w:lineRule="exact"/>
        <w:rPr>
          <w:rFonts w:hint="eastAsia" w:ascii="宋体" w:hAnsi="宋体" w:cs="宋体"/>
          <w:color w:val="000000" w:themeColor="text1"/>
          <w:sz w:val="24"/>
          <w:szCs w:val="24"/>
          <w:highlight w:val="none"/>
        </w:rPr>
      </w:pPr>
      <w:r>
        <w:rPr>
          <w:rFonts w:hint="eastAsia" w:ascii="宋体" w:hAnsi="宋体"/>
          <w:color w:val="000000" w:themeColor="text1"/>
          <w:sz w:val="24"/>
          <w:szCs w:val="24"/>
          <w:highlight w:val="none"/>
        </w:rPr>
        <w:t xml:space="preserve">7.合同履行期限：</w:t>
      </w:r>
      <w:r>
        <w:rPr>
          <w:rFonts w:hint="eastAsia" w:ascii="宋体" w:hAnsi="宋体" w:cs="宋体"/>
          <w:color w:val="000000" w:themeColor="text1"/>
          <w:sz w:val="24"/>
          <w:szCs w:val="24"/>
          <w:highlight w:val="none"/>
        </w:rPr>
        <w:t xml:space="preserve">详见招标文件第四章《采购需求》</w:t>
      </w:r>
      <w:r>
        <w:rPr>
          <w:color w:val="000000" w:themeColor="text1"/>
          <w:highlight w:val="none"/>
        </w:rPr>
      </w:r>
    </w:p>
    <w:p>
      <w:pPr>
        <w:pStyle w:val="883"/>
        <w:ind w:firstLine="48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8.本项目</w:t>
      </w:r>
      <w:r>
        <w:rPr>
          <w:rFonts w:hint="eastAsia" w:ascii="宋体" w:hAnsi="宋体" w:cs="宋体"/>
          <w:color w:val="000000" w:themeColor="text1"/>
          <w:sz w:val="24"/>
          <w:szCs w:val="24"/>
          <w:highlight w:val="none"/>
        </w:rPr>
        <w:t xml:space="preserve">不接受</w:t>
      </w:r>
      <w:r>
        <w:rPr>
          <w:rFonts w:hint="eastAsia" w:ascii="宋体" w:hAnsi="宋体" w:cs="宋体"/>
          <w:color w:val="000000" w:themeColor="text1"/>
          <w:sz w:val="24"/>
          <w:szCs w:val="24"/>
          <w:highlight w:val="none"/>
        </w:rPr>
        <w:t xml:space="preserve">联合体投标。</w:t>
      </w:r>
      <w:r>
        <w:rPr>
          <w:rFonts w:ascii="宋体" w:hAnsi="宋体" w:cs="宋体"/>
          <w:color w:val="000000" w:themeColor="text1"/>
          <w:sz w:val="24"/>
          <w:szCs w:val="24"/>
          <w:highlight w:val="none"/>
        </w:rPr>
      </w:r>
      <w:r>
        <w:rPr>
          <w:color w:val="000000" w:themeColor="text1"/>
          <w:highlight w:val="none"/>
        </w:rPr>
      </w:r>
    </w:p>
    <w:p>
      <w:pPr>
        <w:pStyle w:val="886"/>
        <w:ind w:firstLine="452"/>
        <w:keepLines w:val="0"/>
        <w:keepNext w:val="0"/>
        <w:spacing w:before="0" w:after="0" w:line="500" w:lineRule="exact"/>
        <w:rPr>
          <w:color w:val="000000" w:themeColor="text1"/>
          <w:sz w:val="30"/>
          <w:szCs w:val="30"/>
          <w:highlight w:val="none"/>
        </w:rPr>
      </w:pPr>
      <w:r>
        <w:rPr>
          <w:color w:val="000000" w:themeColor="text1"/>
          <w:highlight w:val="none"/>
        </w:rPr>
      </w:r>
      <w:bookmarkStart w:id="12" w:name="_Toc28359080"/>
      <w:r>
        <w:rPr>
          <w:color w:val="000000" w:themeColor="text1"/>
          <w:highlight w:val="none"/>
        </w:rPr>
      </w:r>
      <w:bookmarkStart w:id="13" w:name="_Toc38985264"/>
      <w:r>
        <w:rPr>
          <w:color w:val="000000" w:themeColor="text1"/>
          <w:highlight w:val="none"/>
        </w:rPr>
      </w:r>
      <w:bookmarkStart w:id="14" w:name="_Toc28359003"/>
      <w:r>
        <w:rPr>
          <w:color w:val="000000" w:themeColor="text1"/>
          <w:highlight w:val="none"/>
        </w:rPr>
      </w:r>
      <w:bookmarkStart w:id="15" w:name="_Toc35393791"/>
      <w:r>
        <w:rPr>
          <w:color w:val="000000" w:themeColor="text1"/>
          <w:highlight w:val="none"/>
        </w:rPr>
      </w:r>
      <w:bookmarkStart w:id="16" w:name="_Toc35393622"/>
      <w:r>
        <w:rPr>
          <w:rFonts w:hint="eastAsia"/>
          <w:color w:val="000000" w:themeColor="text1"/>
          <w:sz w:val="30"/>
          <w:szCs w:val="30"/>
          <w:highlight w:val="none"/>
        </w:rPr>
        <w:t xml:space="preserve">二、申请人的资格要求</w:t>
      </w:r>
      <w:bookmarkEnd w:id="12"/>
      <w:r>
        <w:rPr>
          <w:color w:val="000000" w:themeColor="text1"/>
          <w:highlight w:val="none"/>
        </w:rPr>
      </w:r>
      <w:bookmarkEnd w:id="13"/>
      <w:r>
        <w:rPr>
          <w:color w:val="000000" w:themeColor="text1"/>
          <w:highlight w:val="none"/>
        </w:rPr>
      </w:r>
      <w:bookmarkEnd w:id="14"/>
      <w:r>
        <w:rPr>
          <w:color w:val="000000" w:themeColor="text1"/>
          <w:highlight w:val="none"/>
        </w:rPr>
      </w:r>
      <w:bookmarkEnd w:id="15"/>
      <w:r>
        <w:rPr>
          <w:color w:val="000000" w:themeColor="text1"/>
          <w:highlight w:val="none"/>
        </w:rPr>
      </w:r>
      <w:bookmarkEnd w:id="16"/>
      <w:r>
        <w:rPr>
          <w:color w:val="000000" w:themeColor="text1"/>
          <w:sz w:val="30"/>
          <w:szCs w:val="30"/>
          <w:highlight w:val="none"/>
        </w:rPr>
      </w:r>
      <w:r>
        <w:rPr>
          <w:color w:val="000000" w:themeColor="text1"/>
          <w:highlight w:val="none"/>
        </w:rPr>
      </w:r>
    </w:p>
    <w:p>
      <w:pPr>
        <w:pStyle w:val="883"/>
        <w:ind w:firstLine="480"/>
        <w:spacing w:line="500" w:lineRule="exact"/>
        <w:rPr>
          <w:rFonts w:ascii="宋体" w:hAnsi="宋体"/>
          <w:color w:val="000000" w:themeColor="text1"/>
          <w:sz w:val="24"/>
          <w:szCs w:val="24"/>
          <w:highlight w:val="none"/>
        </w:rPr>
      </w:pPr>
      <w:r>
        <w:rPr>
          <w:color w:val="000000" w:themeColor="text1"/>
          <w:highlight w:val="none"/>
        </w:rPr>
      </w:r>
      <w:bookmarkStart w:id="17" w:name="_Toc38985265"/>
      <w:r>
        <w:rPr>
          <w:color w:val="000000" w:themeColor="text1"/>
          <w:highlight w:val="none"/>
        </w:rPr>
      </w:r>
      <w:bookmarkStart w:id="18" w:name="_Toc35393623"/>
      <w:r>
        <w:rPr>
          <w:color w:val="000000" w:themeColor="text1"/>
          <w:highlight w:val="none"/>
        </w:rPr>
      </w:r>
      <w:bookmarkStart w:id="19" w:name="_Toc35393792"/>
      <w:r>
        <w:rPr>
          <w:color w:val="000000" w:themeColor="text1"/>
          <w:highlight w:val="none"/>
        </w:rPr>
      </w:r>
      <w:bookmarkStart w:id="20" w:name="_Toc28359004"/>
      <w:r>
        <w:rPr>
          <w:color w:val="000000" w:themeColor="text1"/>
          <w:highlight w:val="none"/>
        </w:rPr>
      </w:r>
      <w:bookmarkStart w:id="21" w:name="_Toc28359081"/>
      <w:r>
        <w:rPr>
          <w:rFonts w:hint="eastAsia" w:ascii="宋体" w:hAnsi="宋体"/>
          <w:color w:val="000000" w:themeColor="text1"/>
          <w:sz w:val="24"/>
          <w:szCs w:val="24"/>
          <w:highlight w:val="none"/>
        </w:rPr>
        <w:t xml:space="preserve">1.满足《中华人民共和国政府采购法》第二十二条规定；</w:t>
      </w:r>
      <w:r>
        <w:rPr>
          <w:rFonts w:ascii="宋体" w:hAnsi="宋体"/>
          <w:color w:val="000000" w:themeColor="text1"/>
          <w:sz w:val="24"/>
          <w:szCs w:val="24"/>
          <w:highlight w:val="none"/>
        </w:rPr>
      </w:r>
      <w:r>
        <w:rPr>
          <w:color w:val="000000" w:themeColor="text1"/>
          <w:highlight w:val="none"/>
        </w:rP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2.落实政府采购政策需满足的资格要求：</w:t>
      </w:r>
      <w:r>
        <w:rPr>
          <w:color w:val="000000" w:themeColor="text1"/>
          <w:highlight w:val="none"/>
        </w:rP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2.1中小企业政策：</w:t>
      </w:r>
      <w:r>
        <w:rPr>
          <w:rFonts w:hint="eastAsia" w:ascii="宋体" w:hAnsi="宋体"/>
          <w:color w:val="000000" w:themeColor="text1"/>
          <w:sz w:val="24"/>
          <w:szCs w:val="24"/>
          <w:highlight w:val="none"/>
        </w:rPr>
        <w:t xml:space="preserve">无</w:t>
      </w:r>
      <w:r>
        <w:rPr>
          <w:rFonts w:hint="eastAsia" w:ascii="宋体" w:hAnsi="宋体"/>
          <w:color w:val="000000" w:themeColor="text1"/>
          <w:sz w:val="24"/>
          <w:szCs w:val="24"/>
          <w:highlight w:val="none"/>
        </w:rPr>
      </w:r>
      <w:r>
        <w:rPr>
          <w:color w:val="000000" w:themeColor="text1"/>
          <w:highlight w:val="none"/>
        </w:rP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rPr>
          <w:color w:val="000000" w:themeColor="text1"/>
          <w:highlight w:val="none"/>
        </w:rPr>
      </w:r>
    </w:p>
    <w:p>
      <w:pPr>
        <w:pStyle w:val="883"/>
        <w:ind w:firstLine="480"/>
        <w:spacing w:line="500" w:lineRule="exact"/>
        <w:rPr>
          <w:rFonts w:ascii="宋体" w:hAnsi="宋体" w:cs="宋体"/>
          <w:color w:val="000000" w:themeColor="text1"/>
          <w:sz w:val="24"/>
          <w:szCs w:val="24"/>
          <w:highlight w:val="none"/>
        </w:rPr>
      </w:pPr>
      <w:r>
        <w:rPr>
          <w:rFonts w:hint="eastAsia" w:ascii="宋体" w:hAnsi="宋体"/>
          <w:color w:val="000000" w:themeColor="text1"/>
          <w:sz w:val="24"/>
          <w:szCs w:val="24"/>
          <w:highlight w:val="none"/>
        </w:rPr>
        <w:t xml:space="preserve">3.本项目的特定资格要求：</w:t>
      </w:r>
      <w:r>
        <w:rPr>
          <w:rFonts w:hint="eastAsia" w:ascii="宋体" w:hAnsi="宋体"/>
          <w:color w:val="000000" w:themeColor="text1"/>
          <w:sz w:val="24"/>
          <w:szCs w:val="24"/>
          <w:highlight w:val="none"/>
        </w:rPr>
        <w:t xml:space="preserve">无。</w:t>
      </w:r>
      <w:r>
        <w:rPr>
          <w:rFonts w:ascii="宋体" w:hAnsi="宋体" w:cs="宋体"/>
          <w:color w:val="000000" w:themeColor="text1"/>
          <w:sz w:val="24"/>
          <w:szCs w:val="24"/>
          <w:highlight w:val="none"/>
        </w:rPr>
      </w:r>
      <w:r>
        <w:rPr>
          <w:color w:val="000000" w:themeColor="text1"/>
          <w:highlight w:val="none"/>
        </w:rPr>
      </w:r>
    </w:p>
    <w:p>
      <w:pPr>
        <w:pStyle w:val="886"/>
        <w:ind w:firstLine="452"/>
        <w:keepLines w:val="0"/>
        <w:keepNext w:val="0"/>
        <w:spacing w:before="0" w:after="0" w:line="500" w:lineRule="exact"/>
        <w:rPr>
          <w:color w:val="000000" w:themeColor="text1"/>
          <w:sz w:val="30"/>
          <w:szCs w:val="30"/>
          <w:highlight w:val="none"/>
        </w:rPr>
      </w:pPr>
      <w:r>
        <w:rPr>
          <w:rFonts w:hint="eastAsia"/>
          <w:color w:val="000000" w:themeColor="text1"/>
          <w:sz w:val="30"/>
          <w:szCs w:val="30"/>
          <w:highlight w:val="none"/>
        </w:rPr>
        <w:t xml:space="preserve">三、获取招标文件</w:t>
      </w:r>
      <w:bookmarkEnd w:id="17"/>
      <w:r>
        <w:rPr>
          <w:color w:val="000000" w:themeColor="text1"/>
          <w:highlight w:val="none"/>
        </w:rPr>
      </w:r>
      <w:bookmarkEnd w:id="18"/>
      <w:r>
        <w:rPr>
          <w:color w:val="000000" w:themeColor="text1"/>
          <w:highlight w:val="none"/>
        </w:rPr>
      </w:r>
      <w:bookmarkEnd w:id="19"/>
      <w:r>
        <w:rPr>
          <w:color w:val="000000" w:themeColor="text1"/>
          <w:highlight w:val="none"/>
        </w:rPr>
      </w:r>
      <w:bookmarkEnd w:id="20"/>
      <w:r>
        <w:rPr>
          <w:color w:val="000000" w:themeColor="text1"/>
          <w:highlight w:val="none"/>
        </w:rPr>
      </w:r>
      <w:bookmarkEnd w:id="21"/>
      <w:r>
        <w:rPr>
          <w:color w:val="000000" w:themeColor="text1"/>
          <w:sz w:val="30"/>
          <w:szCs w:val="30"/>
          <w:highlight w:val="none"/>
        </w:rPr>
      </w:r>
      <w:r>
        <w:rPr>
          <w:color w:val="000000" w:themeColor="text1"/>
          <w:highlight w:val="none"/>
        </w:rPr>
      </w:r>
    </w:p>
    <w:p>
      <w:pPr>
        <w:pStyle w:val="883"/>
        <w:ind w:firstLine="540"/>
        <w:spacing w:line="500" w:lineRule="exact"/>
        <w:rPr>
          <w:rFonts w:hint="eastAsia" w:ascii="宋体" w:hAnsi="宋体"/>
          <w:color w:val="000000" w:themeColor="text1"/>
          <w:sz w:val="24"/>
          <w:szCs w:val="24"/>
          <w:highlight w:val="none"/>
        </w:rPr>
      </w:pPr>
      <w:r>
        <w:rPr>
          <w:color w:val="000000" w:themeColor="text1"/>
          <w:highlight w:val="none"/>
        </w:rPr>
      </w:r>
      <w:bookmarkStart w:id="22" w:name="_Toc28359005"/>
      <w:r>
        <w:rPr>
          <w:color w:val="000000" w:themeColor="text1"/>
          <w:highlight w:val="none"/>
        </w:rPr>
      </w:r>
      <w:bookmarkStart w:id="23" w:name="_Toc28359082"/>
      <w:r>
        <w:rPr>
          <w:color w:val="000000" w:themeColor="text1"/>
          <w:highlight w:val="none"/>
        </w:rPr>
      </w:r>
      <w:bookmarkStart w:id="24" w:name="_Toc35393624"/>
      <w:r>
        <w:rPr>
          <w:color w:val="000000" w:themeColor="text1"/>
          <w:highlight w:val="none"/>
        </w:rPr>
      </w:r>
      <w:bookmarkStart w:id="25" w:name="_Toc38985266"/>
      <w:r>
        <w:rPr>
          <w:color w:val="000000" w:themeColor="text1"/>
          <w:highlight w:val="none"/>
        </w:rPr>
      </w:r>
      <w:bookmarkStart w:id="26" w:name="_Toc35393793"/>
      <w:r>
        <w:rPr>
          <w:rFonts w:hint="eastAsia" w:ascii="宋体" w:hAnsi="宋体" w:cs="宋体"/>
          <w:color w:val="000000" w:themeColor="text1"/>
          <w:sz w:val="24"/>
          <w:szCs w:val="24"/>
          <w:highlight w:val="none"/>
        </w:rPr>
        <w:t xml:space="preserve">1.时间：</w:t>
      </w:r>
      <w:r>
        <w:rPr>
          <w:rFonts w:hint="eastAsia" w:ascii="宋体" w:hAnsi="宋体"/>
          <w:color w:val="000000" w:themeColor="text1"/>
          <w:sz w:val="24"/>
          <w:szCs w:val="24"/>
          <w:highlight w:val="none"/>
        </w:rPr>
        <w:t xml:space="preserve">本招标文件有效获取期限以本项目招标公告中规定的获取招标文件时间为准。</w:t>
      </w:r>
      <w:r>
        <w:rPr>
          <w:color w:val="000000" w:themeColor="text1"/>
          <w:highlight w:val="none"/>
        </w:rPr>
      </w:r>
    </w:p>
    <w:p>
      <w:pPr>
        <w:pStyle w:val="883"/>
        <w:ind w:firstLine="54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2.地点：</w:t>
      </w:r>
      <w:r>
        <w:rPr>
          <w:rFonts w:ascii="宋体" w:hAnsi="宋体"/>
          <w:color w:val="000000" w:themeColor="text1"/>
          <w:sz w:val="24"/>
          <w:szCs w:val="24"/>
          <w:highlight w:val="none"/>
        </w:rPr>
        <w:t xml:space="preserve">“江苏省政府采购（苏采云）平台”</w:t>
      </w:r>
      <w:r>
        <w:rPr>
          <w:rFonts w:hint="eastAsia" w:ascii="宋体" w:hAnsi="宋体"/>
          <w:bCs/>
          <w:color w:val="000000" w:themeColor="text1"/>
          <w:sz w:val="24"/>
          <w:szCs w:val="24"/>
          <w:highlight w:val="none"/>
        </w:rPr>
      </w:r>
      <w:r>
        <w:rPr>
          <w:color w:val="000000" w:themeColor="text1"/>
          <w:highlight w:val="none"/>
        </w:rPr>
      </w:r>
    </w:p>
    <w:p>
      <w:pPr>
        <w:pStyle w:val="883"/>
        <w:ind w:firstLine="540"/>
        <w:spacing w:line="500" w:lineRule="exact"/>
        <w:rPr>
          <w:rStyle w:val="960"/>
          <w:color w:val="000000" w:themeColor="text1"/>
          <w:highlight w:val="none"/>
        </w:rPr>
      </w:pPr>
      <w:r>
        <w:rPr>
          <w:rFonts w:hint="eastAsia" w:ascii="宋体" w:hAnsi="宋体"/>
          <w:bCs/>
          <w:color w:val="000000" w:themeColor="text1"/>
          <w:sz w:val="24"/>
          <w:szCs w:val="24"/>
          <w:highlight w:val="none"/>
        </w:rPr>
        <w:t xml:space="preserve">3.方式：请有投标意向的供应商在招标文件有效获取期内及时至</w:t>
      </w:r>
      <w:r>
        <w:rPr>
          <w:rFonts w:ascii="宋体" w:hAnsi="宋体"/>
          <w:color w:val="000000" w:themeColor="text1"/>
          <w:sz w:val="24"/>
          <w:szCs w:val="24"/>
          <w:highlight w:val="none"/>
        </w:rPr>
        <w:t xml:space="preserve">“江苏省政府采购（苏采云）平台”（http://jszfcg.jscz.gov.cn/jszc/login）</w:t>
      </w:r>
      <w:r>
        <w:rPr>
          <w:rFonts w:ascii="宋体" w:hAnsi="宋体"/>
          <w:color w:val="000000" w:themeColor="text1"/>
          <w:sz w:val="24"/>
          <w:szCs w:val="24"/>
          <w:highlight w:val="none"/>
        </w:rPr>
        <w:t xml:space="preserve">获取</w:t>
      </w:r>
      <w:r>
        <w:rPr>
          <w:rFonts w:hint="eastAsia" w:ascii="宋体" w:hAnsi="宋体"/>
          <w:color w:val="000000" w:themeColor="text1"/>
          <w:sz w:val="24"/>
          <w:szCs w:val="24"/>
          <w:highlight w:val="none"/>
        </w:rPr>
        <w:t xml:space="preserve">。</w:t>
      </w:r>
      <w:r>
        <w:rPr>
          <w:rFonts w:hint="eastAsia" w:ascii="宋体" w:hAnsi="宋体"/>
          <w:bCs/>
          <w:color w:val="000000" w:themeColor="text1"/>
          <w:sz w:val="24"/>
          <w:szCs w:val="24"/>
          <w:highlight w:val="none"/>
        </w:rPr>
        <w:t xml:space="preserve">在招标文件有效获取期限内，从</w:t>
      </w:r>
      <w:r>
        <w:rPr>
          <w:rFonts w:ascii="宋体" w:hAnsi="宋体"/>
          <w:color w:val="000000" w:themeColor="text1"/>
          <w:sz w:val="24"/>
          <w:szCs w:val="24"/>
          <w:highlight w:val="none"/>
        </w:rPr>
        <w:t xml:space="preserve">“江苏省政府采购（苏采云）平台”</w:t>
      </w:r>
      <w:r>
        <w:rPr>
          <w:rFonts w:ascii="宋体" w:hAnsi="宋体"/>
          <w:color w:val="000000" w:themeColor="text1"/>
          <w:sz w:val="24"/>
          <w:szCs w:val="24"/>
          <w:highlight w:val="none"/>
        </w:rPr>
        <w:t xml:space="preserve">获取的</w:t>
      </w:r>
      <w:r>
        <w:rPr>
          <w:rFonts w:hint="eastAsia" w:ascii="宋体" w:hAnsi="宋体"/>
          <w:bCs/>
          <w:color w:val="000000" w:themeColor="text1"/>
          <w:sz w:val="24"/>
          <w:szCs w:val="24"/>
          <w:highlight w:val="none"/>
        </w:rPr>
        <w:t xml:space="preserve">招标文件，视为依法获取的招标文件。</w:t>
      </w:r>
      <w:r>
        <w:rPr>
          <w:rStyle w:val="960"/>
          <w:color w:val="000000" w:themeColor="text1"/>
          <w:highlight w:val="none"/>
        </w:rPr>
      </w:r>
      <w:r>
        <w:rPr>
          <w:color w:val="000000" w:themeColor="text1"/>
          <w:highlight w:val="none"/>
        </w:rPr>
      </w:r>
    </w:p>
    <w:p>
      <w:pPr>
        <w:pStyle w:val="883"/>
        <w:ind w:firstLine="540"/>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4.售价：本项目招标文件免费。</w:t>
      </w:r>
      <w:r>
        <w:rPr>
          <w:rFonts w:ascii="宋体" w:hAnsi="宋体"/>
          <w:bCs/>
          <w:color w:val="000000" w:themeColor="text1"/>
          <w:sz w:val="24"/>
          <w:szCs w:val="24"/>
          <w:highlight w:val="none"/>
        </w:rPr>
      </w:r>
      <w:r>
        <w:rPr>
          <w:color w:val="000000" w:themeColor="text1"/>
          <w:highlight w:val="none"/>
        </w:rPr>
      </w:r>
    </w:p>
    <w:p>
      <w:pPr>
        <w:pStyle w:val="886"/>
        <w:ind w:firstLine="452"/>
        <w:keepLines w:val="0"/>
        <w:keepNext w:val="0"/>
        <w:spacing w:before="0" w:after="0" w:line="500" w:lineRule="exact"/>
        <w:rPr>
          <w:color w:val="000000" w:themeColor="text1"/>
          <w:sz w:val="30"/>
          <w:szCs w:val="30"/>
          <w:highlight w:val="none"/>
        </w:rPr>
      </w:pPr>
      <w:r>
        <w:rPr>
          <w:rFonts w:hint="eastAsia"/>
          <w:color w:val="000000" w:themeColor="text1"/>
          <w:sz w:val="30"/>
          <w:szCs w:val="30"/>
          <w:highlight w:val="none"/>
        </w:rPr>
        <w:t xml:space="preserve">四、提交投标文件</w:t>
      </w:r>
      <w:bookmarkEnd w:id="22"/>
      <w:r>
        <w:rPr>
          <w:color w:val="000000" w:themeColor="text1"/>
          <w:highlight w:val="none"/>
        </w:rPr>
      </w:r>
      <w:bookmarkEnd w:id="23"/>
      <w:r>
        <w:rPr>
          <w:rFonts w:hint="eastAsia"/>
          <w:color w:val="000000" w:themeColor="text1"/>
          <w:sz w:val="30"/>
          <w:szCs w:val="30"/>
          <w:highlight w:val="none"/>
        </w:rPr>
        <w:t xml:space="preserve">截止时间、开标时间和地点</w:t>
      </w:r>
      <w:bookmarkEnd w:id="24"/>
      <w:r>
        <w:rPr>
          <w:color w:val="000000" w:themeColor="text1"/>
          <w:highlight w:val="none"/>
        </w:rPr>
      </w:r>
      <w:bookmarkEnd w:id="25"/>
      <w:r>
        <w:rPr>
          <w:color w:val="000000" w:themeColor="text1"/>
          <w:highlight w:val="none"/>
        </w:rPr>
      </w:r>
      <w:bookmarkEnd w:id="26"/>
      <w:r>
        <w:rPr>
          <w:color w:val="000000" w:themeColor="text1"/>
          <w:sz w:val="30"/>
          <w:szCs w:val="30"/>
          <w:highlight w:val="none"/>
        </w:rPr>
      </w:r>
      <w:r>
        <w:rPr>
          <w:color w:val="000000" w:themeColor="text1"/>
          <w:highlight w:val="none"/>
        </w:rPr>
      </w:r>
    </w:p>
    <w:p>
      <w:pPr>
        <w:pStyle w:val="883"/>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1.时间：</w:t>
      </w:r>
      <w:r>
        <w:rPr>
          <w:rFonts w:hint="eastAsia" w:ascii="宋体" w:hAnsi="宋体"/>
          <w:bCs/>
          <w:color w:val="000000" w:themeColor="text1"/>
          <w:sz w:val="24"/>
          <w:szCs w:val="24"/>
          <w:highlight w:val="none"/>
        </w:rPr>
        <w:t xml:space="preserve">2025年3月14日09点30分</w:t>
      </w:r>
      <w:r>
        <w:rPr>
          <w:rFonts w:hint="eastAsia" w:ascii="宋体" w:hAnsi="宋体"/>
          <w:bCs/>
          <w:color w:val="000000" w:themeColor="text1"/>
          <w:sz w:val="24"/>
          <w:szCs w:val="24"/>
          <w:highlight w:val="none"/>
        </w:rPr>
        <w:t xml:space="preserve">（北京时间）</w:t>
      </w:r>
      <w:r>
        <w:rPr>
          <w:color w:val="000000" w:themeColor="text1"/>
          <w:highlight w:val="none"/>
        </w:rPr>
      </w:r>
    </w:p>
    <w:p>
      <w:pPr>
        <w:pStyle w:val="883"/>
        <w:ind w:firstLine="480"/>
        <w:spacing w:line="500" w:lineRule="exact"/>
        <w:rPr>
          <w:rFonts w:hint="eastAsia" w:ascii="宋体" w:hAnsi="宋体"/>
          <w:bCs/>
          <w:color w:val="000000" w:themeColor="text1"/>
          <w:sz w:val="24"/>
          <w:szCs w:val="24"/>
          <w:highlight w:val="none"/>
          <w:u w:val="single"/>
        </w:rPr>
      </w:pPr>
      <w:r>
        <w:rPr>
          <w:rFonts w:hint="eastAsia" w:ascii="宋体" w:hAnsi="宋体"/>
          <w:color w:val="000000" w:themeColor="text1"/>
          <w:sz w:val="24"/>
          <w:szCs w:val="24"/>
          <w:highlight w:val="none"/>
        </w:rPr>
        <w:t xml:space="preserve">2.地点：</w:t>
      </w:r>
      <w:r>
        <w:rPr>
          <w:rFonts w:ascii="宋体" w:hAnsi="宋体"/>
          <w:color w:val="000000" w:themeColor="text1"/>
          <w:sz w:val="24"/>
          <w:szCs w:val="24"/>
          <w:highlight w:val="none"/>
        </w:rPr>
        <w:t xml:space="preserve">“江苏省政府采购（苏采云）平台”</w:t>
      </w:r>
      <w:r>
        <w:rPr>
          <w:rFonts w:hint="eastAsia" w:ascii="宋体" w:hAnsi="宋体"/>
          <w:color w:val="000000" w:themeColor="text1"/>
          <w:sz w:val="24"/>
          <w:szCs w:val="24"/>
          <w:highlight w:val="none"/>
        </w:rPr>
        <w:t xml:space="preserve">网上开标大厅。</w:t>
      </w:r>
      <w:r>
        <w:rPr>
          <w:rFonts w:hint="eastAsia" w:ascii="宋体" w:hAnsi="宋体"/>
          <w:bCs/>
          <w:color w:val="000000" w:themeColor="text1"/>
          <w:sz w:val="24"/>
          <w:szCs w:val="24"/>
          <w:highlight w:val="none"/>
          <w:u w:val="single"/>
        </w:rPr>
      </w:r>
      <w:r>
        <w:rPr>
          <w:color w:val="000000" w:themeColor="text1"/>
          <w:highlight w:val="none"/>
        </w:rPr>
      </w:r>
    </w:p>
    <w:p>
      <w:pPr>
        <w:pStyle w:val="886"/>
        <w:ind w:firstLine="452"/>
        <w:keepLines w:val="0"/>
        <w:keepNext w:val="0"/>
        <w:spacing w:before="0" w:after="0" w:line="500" w:lineRule="exact"/>
        <w:rPr>
          <w:color w:val="000000" w:themeColor="text1"/>
          <w:sz w:val="30"/>
          <w:szCs w:val="30"/>
          <w:highlight w:val="none"/>
        </w:rPr>
      </w:pPr>
      <w:r>
        <w:rPr>
          <w:color w:val="000000" w:themeColor="text1"/>
          <w:highlight w:val="none"/>
        </w:rPr>
      </w:r>
      <w:bookmarkStart w:id="27" w:name="_Toc35393794"/>
      <w:r>
        <w:rPr>
          <w:color w:val="000000" w:themeColor="text1"/>
          <w:highlight w:val="none"/>
        </w:rPr>
      </w:r>
      <w:bookmarkStart w:id="28" w:name="_Toc35393625"/>
      <w:r>
        <w:rPr>
          <w:color w:val="000000" w:themeColor="text1"/>
          <w:highlight w:val="none"/>
        </w:rPr>
      </w:r>
      <w:bookmarkStart w:id="29" w:name="_Toc28359007"/>
      <w:r>
        <w:rPr>
          <w:color w:val="000000" w:themeColor="text1"/>
          <w:highlight w:val="none"/>
        </w:rPr>
      </w:r>
      <w:bookmarkStart w:id="30" w:name="_Toc28359084"/>
      <w:r>
        <w:rPr>
          <w:color w:val="000000" w:themeColor="text1"/>
          <w:highlight w:val="none"/>
        </w:rPr>
      </w:r>
      <w:bookmarkStart w:id="31" w:name="_Toc38985267"/>
      <w:r>
        <w:rPr>
          <w:rFonts w:hint="eastAsia"/>
          <w:color w:val="000000" w:themeColor="text1"/>
          <w:sz w:val="30"/>
          <w:szCs w:val="30"/>
          <w:highlight w:val="none"/>
        </w:rPr>
        <w:t xml:space="preserve">五、公告期限</w:t>
      </w:r>
      <w:bookmarkEnd w:id="27"/>
      <w:r>
        <w:rPr>
          <w:color w:val="000000" w:themeColor="text1"/>
          <w:highlight w:val="none"/>
        </w:rPr>
      </w:r>
      <w:bookmarkEnd w:id="28"/>
      <w:r>
        <w:rPr>
          <w:color w:val="000000" w:themeColor="text1"/>
          <w:highlight w:val="none"/>
        </w:rPr>
      </w:r>
      <w:bookmarkEnd w:id="29"/>
      <w:r>
        <w:rPr>
          <w:color w:val="000000" w:themeColor="text1"/>
          <w:highlight w:val="none"/>
        </w:rPr>
      </w:r>
      <w:bookmarkEnd w:id="30"/>
      <w:r>
        <w:rPr>
          <w:color w:val="000000" w:themeColor="text1"/>
          <w:highlight w:val="none"/>
        </w:rPr>
      </w:r>
      <w:bookmarkEnd w:id="31"/>
      <w:r>
        <w:rPr>
          <w:color w:val="000000" w:themeColor="text1"/>
          <w:sz w:val="30"/>
          <w:szCs w:val="30"/>
          <w:highlight w:val="none"/>
        </w:rPr>
      </w:r>
      <w:r>
        <w:rPr>
          <w:color w:val="000000" w:themeColor="text1"/>
          <w:highlight w:val="none"/>
        </w:rPr>
      </w:r>
    </w:p>
    <w:p>
      <w:pPr>
        <w:pStyle w:val="883"/>
        <w:ind w:firstLine="480"/>
        <w:spacing w:line="500" w:lineRule="exact"/>
        <w:rPr>
          <w:rFonts w:ascii="宋体" w:hAnsi="宋体" w:cs="宋体"/>
          <w:color w:val="000000" w:themeColor="text1"/>
          <w:sz w:val="24"/>
          <w:szCs w:val="24"/>
          <w:highlight w:val="none"/>
        </w:rPr>
      </w:pPr>
      <w:r>
        <w:rPr>
          <w:color w:val="000000" w:themeColor="text1"/>
          <w:highlight w:val="none"/>
        </w:rPr>
      </w:r>
      <w:bookmarkStart w:id="32" w:name="_Toc38985268"/>
      <w:r>
        <w:rPr>
          <w:color w:val="000000" w:themeColor="text1"/>
          <w:highlight w:val="none"/>
        </w:rPr>
      </w:r>
      <w:bookmarkStart w:id="33" w:name="_Toc35393795"/>
      <w:r>
        <w:rPr>
          <w:color w:val="000000" w:themeColor="text1"/>
          <w:highlight w:val="none"/>
        </w:rPr>
      </w:r>
      <w:bookmarkStart w:id="34" w:name="_Toc35393626"/>
      <w:r>
        <w:rPr>
          <w:rFonts w:hint="eastAsia" w:ascii="宋体" w:hAnsi="宋体" w:cs="宋体"/>
          <w:color w:val="000000" w:themeColor="text1"/>
          <w:sz w:val="24"/>
          <w:szCs w:val="24"/>
          <w:highlight w:val="none"/>
        </w:rPr>
        <w:t xml:space="preserve">（招标公告及招标文件公告期限）自本公告发布之日起5个工作日。</w:t>
      </w:r>
      <w:r>
        <w:rPr>
          <w:rFonts w:ascii="宋体" w:hAnsi="宋体" w:cs="宋体"/>
          <w:color w:val="000000" w:themeColor="text1"/>
          <w:sz w:val="24"/>
          <w:szCs w:val="24"/>
          <w:highlight w:val="none"/>
        </w:rPr>
      </w:r>
      <w:r>
        <w:rPr>
          <w:color w:val="000000" w:themeColor="text1"/>
          <w:highlight w:val="none"/>
        </w:rPr>
      </w:r>
    </w:p>
    <w:p>
      <w:pPr>
        <w:pStyle w:val="886"/>
        <w:ind w:firstLine="452"/>
        <w:keepLines w:val="0"/>
        <w:keepNext w:val="0"/>
        <w:spacing w:before="0" w:after="0" w:line="500" w:lineRule="exact"/>
        <w:rPr>
          <w:color w:val="000000" w:themeColor="text1"/>
          <w:sz w:val="30"/>
          <w:szCs w:val="30"/>
          <w:highlight w:val="none"/>
        </w:rPr>
      </w:pPr>
      <w:r>
        <w:rPr>
          <w:rFonts w:hint="eastAsia"/>
          <w:color w:val="000000" w:themeColor="text1"/>
          <w:sz w:val="30"/>
          <w:szCs w:val="30"/>
          <w:highlight w:val="none"/>
        </w:rPr>
        <w:t xml:space="preserve">六、其他补充事宜</w:t>
      </w:r>
      <w:bookmarkEnd w:id="32"/>
      <w:r>
        <w:rPr>
          <w:color w:val="000000" w:themeColor="text1"/>
          <w:highlight w:val="none"/>
        </w:rPr>
      </w:r>
      <w:bookmarkEnd w:id="33"/>
      <w:r>
        <w:rPr>
          <w:color w:val="000000" w:themeColor="text1"/>
          <w:highlight w:val="none"/>
        </w:rPr>
      </w:r>
      <w:bookmarkEnd w:id="34"/>
      <w:r>
        <w:rPr>
          <w:color w:val="000000" w:themeColor="text1"/>
          <w:sz w:val="30"/>
          <w:szCs w:val="30"/>
          <w:highlight w:val="none"/>
        </w:rPr>
      </w:r>
      <w:r>
        <w:rPr>
          <w:color w:val="000000" w:themeColor="text1"/>
          <w:highlight w:val="none"/>
        </w:rPr>
      </w:r>
    </w:p>
    <w:p>
      <w:pPr>
        <w:pStyle w:val="883"/>
        <w:ind w:firstLine="48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无</w:t>
      </w:r>
      <w:r>
        <w:rPr>
          <w:rFonts w:ascii="宋体" w:hAnsi="宋体" w:cs="宋体"/>
          <w:color w:val="000000" w:themeColor="text1"/>
          <w:sz w:val="24"/>
          <w:szCs w:val="24"/>
          <w:highlight w:val="none"/>
        </w:rPr>
      </w:r>
      <w:r>
        <w:rPr>
          <w:color w:val="000000" w:themeColor="text1"/>
          <w:highlight w:val="none"/>
        </w:rPr>
      </w:r>
    </w:p>
    <w:p>
      <w:pPr>
        <w:pStyle w:val="886"/>
        <w:ind w:firstLine="452"/>
        <w:keepLines w:val="0"/>
        <w:keepNext w:val="0"/>
        <w:spacing w:before="0" w:after="0" w:line="500" w:lineRule="exact"/>
        <w:rPr>
          <w:color w:val="000000" w:themeColor="text1"/>
          <w:sz w:val="30"/>
          <w:szCs w:val="30"/>
          <w:highlight w:val="none"/>
        </w:rPr>
      </w:pPr>
      <w:r>
        <w:rPr>
          <w:color w:val="000000" w:themeColor="text1"/>
          <w:highlight w:val="none"/>
        </w:rPr>
      </w:r>
      <w:bookmarkStart w:id="35" w:name="_Toc35393627"/>
      <w:r>
        <w:rPr>
          <w:color w:val="000000" w:themeColor="text1"/>
          <w:highlight w:val="none"/>
        </w:rPr>
      </w:r>
      <w:bookmarkStart w:id="36" w:name="_Toc38985269"/>
      <w:r>
        <w:rPr>
          <w:color w:val="000000" w:themeColor="text1"/>
          <w:highlight w:val="none"/>
        </w:rPr>
      </w:r>
      <w:bookmarkStart w:id="37" w:name="_Toc28359085"/>
      <w:r>
        <w:rPr>
          <w:color w:val="000000" w:themeColor="text1"/>
          <w:highlight w:val="none"/>
        </w:rPr>
      </w:r>
      <w:bookmarkStart w:id="38" w:name="_Toc35393796"/>
      <w:r>
        <w:rPr>
          <w:color w:val="000000" w:themeColor="text1"/>
          <w:highlight w:val="none"/>
        </w:rPr>
      </w:r>
      <w:bookmarkStart w:id="39" w:name="_Toc28359008"/>
      <w:r>
        <w:rPr>
          <w:rFonts w:hint="eastAsia"/>
          <w:color w:val="000000" w:themeColor="text1"/>
          <w:sz w:val="30"/>
          <w:szCs w:val="30"/>
          <w:highlight w:val="none"/>
        </w:rPr>
        <w:t xml:space="preserve">七、本项目联系方式</w:t>
      </w:r>
      <w:bookmarkEnd w:id="35"/>
      <w:r>
        <w:rPr>
          <w:color w:val="000000" w:themeColor="text1"/>
          <w:highlight w:val="none"/>
        </w:rPr>
      </w:r>
      <w:bookmarkEnd w:id="36"/>
      <w:r>
        <w:rPr>
          <w:color w:val="000000" w:themeColor="text1"/>
          <w:highlight w:val="none"/>
        </w:rPr>
      </w:r>
      <w:bookmarkEnd w:id="37"/>
      <w:r>
        <w:rPr>
          <w:color w:val="000000" w:themeColor="text1"/>
          <w:highlight w:val="none"/>
        </w:rPr>
      </w:r>
      <w:bookmarkEnd w:id="38"/>
      <w:r>
        <w:rPr>
          <w:color w:val="000000" w:themeColor="text1"/>
          <w:highlight w:val="none"/>
        </w:rPr>
      </w:r>
      <w:bookmarkEnd w:id="39"/>
      <w:r>
        <w:rPr>
          <w:color w:val="000000" w:themeColor="text1"/>
          <w:sz w:val="30"/>
          <w:szCs w:val="30"/>
          <w:highlight w:val="none"/>
        </w:rPr>
      </w:r>
      <w:r>
        <w:rPr>
          <w:color w:val="000000" w:themeColor="text1"/>
          <w:highlight w:val="none"/>
        </w:rPr>
      </w:r>
    </w:p>
    <w:p>
      <w:pPr>
        <w:pStyle w:val="883"/>
        <w:ind w:firstLine="48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1.采购人信息</w:t>
      </w:r>
      <w:r>
        <w:rPr>
          <w:rFonts w:ascii="宋体" w:hAnsi="宋体" w:cs="宋体"/>
          <w:color w:val="000000" w:themeColor="text1"/>
          <w:sz w:val="24"/>
          <w:szCs w:val="24"/>
          <w:highlight w:val="none"/>
        </w:rPr>
      </w:r>
      <w:r>
        <w:rPr>
          <w:color w:val="000000" w:themeColor="text1"/>
          <w:highlight w:val="none"/>
        </w:rPr>
      </w:r>
    </w:p>
    <w:p>
      <w:pPr>
        <w:pStyle w:val="883"/>
        <w:ind w:firstLine="48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名    称：无锡市公安局（本级）</w:t>
      </w:r>
      <w:r>
        <w:rPr>
          <w:rFonts w:ascii="宋体" w:hAnsi="宋体" w:cs="宋体"/>
          <w:color w:val="000000" w:themeColor="text1"/>
          <w:sz w:val="24"/>
          <w:szCs w:val="24"/>
          <w:highlight w:val="none"/>
        </w:rPr>
      </w:r>
      <w:r>
        <w:rPr>
          <w:color w:val="000000" w:themeColor="text1"/>
          <w:highlight w:val="none"/>
        </w:rPr>
      </w:r>
    </w:p>
    <w:p>
      <w:pPr>
        <w:pStyle w:val="883"/>
        <w:ind w:firstLine="48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地    址：无锡市经开区高浪西路5</w:t>
      </w:r>
      <w:r>
        <w:rPr>
          <w:rFonts w:ascii="宋体" w:hAnsi="宋体" w:cs="宋体"/>
          <w:color w:val="000000" w:themeColor="text1"/>
          <w:sz w:val="24"/>
          <w:szCs w:val="24"/>
          <w:highlight w:val="none"/>
        </w:rPr>
        <w:t xml:space="preserve">8</w:t>
      </w:r>
      <w:r>
        <w:rPr>
          <w:rFonts w:hint="eastAsia" w:ascii="宋体" w:hAnsi="宋体" w:cs="宋体"/>
          <w:color w:val="000000" w:themeColor="text1"/>
          <w:sz w:val="24"/>
          <w:szCs w:val="24"/>
          <w:highlight w:val="none"/>
        </w:rPr>
        <w:t xml:space="preserve">号</w:t>
      </w:r>
      <w:r>
        <w:rPr>
          <w:rFonts w:ascii="宋体" w:hAnsi="宋体" w:cs="宋体"/>
          <w:color w:val="000000" w:themeColor="text1"/>
          <w:sz w:val="24"/>
          <w:szCs w:val="24"/>
          <w:highlight w:val="none"/>
        </w:rPr>
      </w:r>
      <w:r>
        <w:rPr>
          <w:color w:val="000000" w:themeColor="text1"/>
          <w:highlight w:val="none"/>
        </w:rPr>
      </w:r>
    </w:p>
    <w:p>
      <w:pPr>
        <w:pStyle w:val="883"/>
        <w:ind w:firstLine="48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联系方式：</w:t>
      </w:r>
      <w:bookmarkStart w:id="40" w:name="_Toc28359009"/>
      <w:r>
        <w:rPr>
          <w:color w:val="000000" w:themeColor="text1"/>
          <w:highlight w:val="none"/>
        </w:rPr>
      </w:r>
      <w:bookmarkStart w:id="41" w:name="_Toc28359086"/>
      <w:r>
        <w:rPr>
          <w:rFonts w:hint="eastAsia" w:ascii="宋体" w:hAnsi="宋体" w:cs="宋体"/>
          <w:color w:val="000000" w:themeColor="text1"/>
          <w:sz w:val="24"/>
          <w:szCs w:val="24"/>
          <w:highlight w:val="none"/>
        </w:rPr>
        <w:t xml:space="preserve">见“项目联系方式”</w:t>
      </w:r>
      <w:r>
        <w:rPr>
          <w:rFonts w:ascii="宋体" w:hAnsi="宋体" w:cs="宋体"/>
          <w:color w:val="000000" w:themeColor="text1"/>
          <w:sz w:val="24"/>
          <w:szCs w:val="24"/>
          <w:highlight w:val="none"/>
        </w:rPr>
      </w:r>
      <w:r>
        <w:rPr>
          <w:color w:val="000000" w:themeColor="text1"/>
          <w:highlight w:val="none"/>
        </w:rPr>
      </w:r>
    </w:p>
    <w:p>
      <w:pPr>
        <w:pStyle w:val="883"/>
        <w:ind w:firstLine="48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w:t>
      </w:r>
      <w:bookmarkEnd w:id="40"/>
      <w:r>
        <w:rPr>
          <w:color w:val="000000" w:themeColor="text1"/>
          <w:highlight w:val="none"/>
        </w:rPr>
      </w:r>
      <w:bookmarkEnd w:id="41"/>
      <w:r>
        <w:rPr>
          <w:rFonts w:hint="eastAsia" w:ascii="宋体" w:hAnsi="宋体" w:cs="宋体"/>
          <w:color w:val="000000" w:themeColor="text1"/>
          <w:sz w:val="24"/>
          <w:szCs w:val="24"/>
          <w:highlight w:val="none"/>
        </w:rPr>
        <w:t xml:space="preserve">采购代理机构信息</w:t>
      </w:r>
      <w:r>
        <w:rPr>
          <w:rFonts w:ascii="宋体" w:hAnsi="宋体" w:cs="宋体"/>
          <w:color w:val="000000" w:themeColor="text1"/>
          <w:sz w:val="24"/>
          <w:szCs w:val="24"/>
          <w:highlight w:val="none"/>
        </w:rPr>
      </w:r>
      <w:r>
        <w:rPr>
          <w:color w:val="000000" w:themeColor="text1"/>
          <w:highlight w:val="none"/>
        </w:rPr>
      </w:r>
    </w:p>
    <w:p>
      <w:pPr>
        <w:pStyle w:val="883"/>
        <w:ind w:firstLine="480"/>
        <w:spacing w:line="50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名    称：无锡市公共资源交易中心</w:t>
      </w:r>
      <w:r>
        <w:rPr>
          <w:color w:val="000000" w:themeColor="text1"/>
          <w:highlight w:val="none"/>
        </w:rPr>
      </w:r>
    </w:p>
    <w:p>
      <w:pPr>
        <w:pStyle w:val="883"/>
        <w:ind w:firstLine="48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地    址：无锡市滨湖区观山路199号10号3楼</w:t>
      </w:r>
      <w:r>
        <w:rPr>
          <w:rFonts w:ascii="宋体" w:hAnsi="宋体" w:cs="宋体"/>
          <w:color w:val="000000" w:themeColor="text1"/>
          <w:sz w:val="24"/>
          <w:szCs w:val="24"/>
          <w:highlight w:val="none"/>
        </w:rPr>
      </w:r>
      <w:r>
        <w:rPr>
          <w:color w:val="000000" w:themeColor="text1"/>
          <w:highlight w:val="none"/>
        </w:rPr>
      </w:r>
    </w:p>
    <w:p>
      <w:pPr>
        <w:pStyle w:val="883"/>
        <w:ind w:firstLine="480"/>
        <w:spacing w:line="50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联系方式：见“项目联系方式”</w:t>
      </w:r>
      <w:r>
        <w:rPr>
          <w:color w:val="000000" w:themeColor="text1"/>
          <w:highlight w:val="none"/>
        </w:rPr>
      </w:r>
    </w:p>
    <w:p>
      <w:pPr>
        <w:pStyle w:val="883"/>
        <w:ind w:firstLine="480"/>
        <w:spacing w:line="50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3.项目联系方式</w:t>
      </w:r>
      <w:r>
        <w:rPr>
          <w:color w:val="000000" w:themeColor="text1"/>
          <w:highlight w:val="none"/>
        </w:rPr>
      </w:r>
    </w:p>
    <w:p>
      <w:pPr>
        <w:pStyle w:val="883"/>
        <w:ind w:firstLine="480"/>
        <w:spacing w:line="50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采购人项目咨询联系人：殷俊；电话：0510-</w:t>
      </w:r>
      <w:r>
        <w:rPr>
          <w:rFonts w:ascii="宋体" w:hAnsi="宋体" w:cs="宋体"/>
          <w:color w:val="000000" w:themeColor="text1"/>
          <w:sz w:val="24"/>
          <w:szCs w:val="24"/>
          <w:highlight w:val="none"/>
        </w:rPr>
        <w:t xml:space="preserve">82222502</w:t>
      </w:r>
      <w:r>
        <w:rPr>
          <w:rFonts w:hint="eastAsia" w:ascii="宋体" w:hAnsi="宋体" w:cs="宋体"/>
          <w:color w:val="000000" w:themeColor="text1"/>
          <w:sz w:val="24"/>
          <w:szCs w:val="24"/>
          <w:highlight w:val="none"/>
        </w:rPr>
      </w:r>
      <w:r>
        <w:rPr>
          <w:color w:val="000000" w:themeColor="text1"/>
          <w:highlight w:val="none"/>
        </w:rPr>
      </w:r>
    </w:p>
    <w:p>
      <w:pPr>
        <w:pStyle w:val="883"/>
        <w:ind w:firstLine="480"/>
        <w:spacing w:line="50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采购人质疑受理联系人：殷俊；电话：0510-</w:t>
      </w:r>
      <w:r>
        <w:rPr>
          <w:rFonts w:ascii="宋体" w:hAnsi="宋体" w:cs="宋体"/>
          <w:color w:val="000000" w:themeColor="text1"/>
          <w:sz w:val="24"/>
          <w:szCs w:val="24"/>
          <w:highlight w:val="none"/>
        </w:rPr>
        <w:t xml:space="preserve">82222502</w:t>
      </w:r>
      <w:r>
        <w:rPr>
          <w:rFonts w:hint="eastAsia" w:ascii="宋体" w:hAnsi="宋体" w:cs="宋体"/>
          <w:color w:val="000000" w:themeColor="text1"/>
          <w:sz w:val="24"/>
          <w:szCs w:val="24"/>
          <w:highlight w:val="none"/>
        </w:rPr>
      </w:r>
      <w:r>
        <w:rPr>
          <w:color w:val="000000" w:themeColor="text1"/>
          <w:highlight w:val="none"/>
        </w:rPr>
      </w:r>
    </w:p>
    <w:p>
      <w:pPr>
        <w:pStyle w:val="883"/>
        <w:ind w:firstLine="480"/>
        <w:spacing w:line="50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交易中心项目联系人：邰云祥；电话：0510-81827764</w:t>
      </w:r>
      <w:r>
        <w:rPr>
          <w:color w:val="000000" w:themeColor="text1"/>
          <w:highlight w:val="none"/>
        </w:rPr>
      </w:r>
    </w:p>
    <w:p>
      <w:pPr>
        <w:pStyle w:val="886"/>
        <w:ind w:firstLine="452"/>
        <w:keepLines w:val="0"/>
        <w:keepNext w:val="0"/>
        <w:spacing w:before="0" w:after="0" w:line="500" w:lineRule="exact"/>
        <w:rPr>
          <w:color w:val="000000" w:themeColor="text1"/>
          <w:sz w:val="30"/>
          <w:szCs w:val="30"/>
          <w:highlight w:val="none"/>
        </w:rPr>
      </w:pPr>
      <w:r>
        <w:rPr>
          <w:rFonts w:hint="eastAsia"/>
          <w:color w:val="000000" w:themeColor="text1"/>
          <w:sz w:val="30"/>
          <w:szCs w:val="30"/>
          <w:highlight w:val="none"/>
        </w:rPr>
        <w:t xml:space="preserve">八、其他</w:t>
      </w:r>
      <w:r>
        <w:rPr>
          <w:color w:val="000000" w:themeColor="text1"/>
          <w:sz w:val="30"/>
          <w:szCs w:val="30"/>
          <w:highlight w:val="none"/>
        </w:rPr>
      </w:r>
      <w:r>
        <w:rPr>
          <w:color w:val="000000" w:themeColor="text1"/>
          <w:highlight w:val="none"/>
        </w:rPr>
      </w:r>
    </w:p>
    <w:p>
      <w:pPr>
        <w:pStyle w:val="883"/>
        <w:ind w:firstLine="480"/>
        <w:jc w:val="left"/>
        <w:spacing w:line="500" w:lineRule="exact"/>
        <w:shd w:val="clear" w:color="auto" w:fill="ffffff"/>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（一）供应商“账号注册”及CA办理</w:t>
      </w:r>
      <w:r>
        <w:rPr>
          <w:rFonts w:ascii="宋体" w:hAnsi="宋体" w:cs="宋体"/>
          <w:color w:val="000000" w:themeColor="text1"/>
          <w:sz w:val="24"/>
          <w:szCs w:val="24"/>
          <w:highlight w:val="none"/>
        </w:rPr>
      </w:r>
      <w:r>
        <w:rPr>
          <w:color w:val="000000" w:themeColor="text1"/>
          <w:highlight w:val="none"/>
        </w:rPr>
      </w:r>
    </w:p>
    <w:p>
      <w:pPr>
        <w:pStyle w:val="883"/>
        <w:ind w:firstLine="480"/>
        <w:spacing w:line="500" w:lineRule="exact"/>
        <w:shd w:val="clear" w:color="auto" w:fill="ffffff"/>
        <w:widowControl/>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1.</w:t>
      </w:r>
      <w:r>
        <w:rPr>
          <w:rFonts w:ascii="宋体" w:hAnsi="宋体"/>
          <w:color w:val="000000" w:themeColor="text1"/>
          <w:sz w:val="24"/>
          <w:szCs w:val="24"/>
          <w:highlight w:val="none"/>
        </w:rPr>
        <w:t xml:space="preserve">请有意参加本项目采购活动的供应商按以下流程进行操作：</w:t>
      </w:r>
      <w:r>
        <w:rPr>
          <w:color w:val="000000" w:themeColor="text1"/>
          <w:highlight w:val="none"/>
        </w:rPr>
      </w:r>
    </w:p>
    <w:p>
      <w:pPr>
        <w:pStyle w:val="883"/>
        <w:ind w:firstLine="480"/>
        <w:spacing w:line="500" w:lineRule="exact"/>
        <w:shd w:val="clear" w:color="auto" w:fill="ffffff"/>
        <w:widowControl/>
        <w:rPr>
          <w:rFonts w:ascii="宋体" w:hAnsi="宋体"/>
          <w:color w:val="000000" w:themeColor="text1"/>
          <w:sz w:val="24"/>
          <w:szCs w:val="24"/>
          <w:highlight w:val="none"/>
        </w:rPr>
      </w:pP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1</w:t>
      </w:r>
      <w:r>
        <w:rPr>
          <w:rFonts w:ascii="宋体" w:hAnsi="宋体"/>
          <w:color w:val="000000" w:themeColor="text1"/>
          <w:sz w:val="24"/>
          <w:szCs w:val="24"/>
          <w:highlight w:val="none"/>
        </w:rPr>
        <w:t xml:space="preserve">）访问“无锡政府采购网”点击“江苏省政府采购（苏采云）平台”</w:t>
      </w:r>
      <w:r>
        <w:rPr>
          <w:rFonts w:ascii="宋体" w:hAnsi="宋体"/>
          <w:bCs/>
          <w:color w:val="000000" w:themeColor="text1"/>
          <w:sz w:val="24"/>
          <w:szCs w:val="24"/>
          <w:highlight w:val="none"/>
        </w:rPr>
        <w:t xml:space="preserve">（以下简称</w:t>
      </w:r>
      <w:r>
        <w:rPr>
          <w:rFonts w:hint="eastAsia" w:ascii="宋体" w:hAnsi="宋体"/>
          <w:bCs/>
          <w:color w:val="000000" w:themeColor="text1"/>
          <w:sz w:val="24"/>
          <w:szCs w:val="24"/>
          <w:highlight w:val="none"/>
        </w:rPr>
        <w:t xml:space="preserve">“苏采云”系统</w:t>
      </w:r>
      <w:r>
        <w:rPr>
          <w:rFonts w:ascii="宋体" w:hAnsi="宋体"/>
          <w:bCs/>
          <w:color w:val="000000" w:themeColor="text1"/>
          <w:sz w:val="24"/>
          <w:szCs w:val="24"/>
          <w:highlight w:val="none"/>
        </w:rPr>
        <w:t xml:space="preserve">）</w:t>
      </w:r>
      <w:r>
        <w:rPr>
          <w:rFonts w:hint="eastAsia" w:ascii="宋体" w:hAnsi="宋体"/>
          <w:color w:val="000000" w:themeColor="text1"/>
          <w:sz w:val="24"/>
          <w:szCs w:val="24"/>
          <w:highlight w:val="none"/>
        </w:rPr>
        <w:t xml:space="preserve">选择供应商版块，点击“用户注册”按钮，进行账号注册，注册完成后需在</w:t>
      </w:r>
      <w:r>
        <w:rPr>
          <w:rFonts w:hint="eastAsia" w:ascii="宋体" w:hAnsi="宋体"/>
          <w:bCs/>
          <w:color w:val="000000" w:themeColor="text1"/>
          <w:sz w:val="24"/>
          <w:szCs w:val="24"/>
          <w:highlight w:val="none"/>
        </w:rPr>
        <w:t xml:space="preserve">系统</w:t>
      </w:r>
      <w:r>
        <w:rPr>
          <w:rFonts w:hint="eastAsia" w:ascii="宋体" w:hAnsi="宋体"/>
          <w:color w:val="000000" w:themeColor="text1"/>
          <w:sz w:val="24"/>
          <w:szCs w:val="24"/>
          <w:highlight w:val="none"/>
        </w:rPr>
        <w:t xml:space="preserve">中填写资质信息并提交。也可以直接通过http://jszfcg.jsczt.cn/进入界面。</w:t>
      </w:r>
      <w:r>
        <w:rPr>
          <w:rFonts w:ascii="宋体" w:hAnsi="宋体"/>
          <w:color w:val="000000" w:themeColor="text1"/>
          <w:sz w:val="24"/>
          <w:szCs w:val="24"/>
          <w:highlight w:val="none"/>
        </w:rPr>
      </w:r>
      <w:r>
        <w:rPr>
          <w:color w:val="000000" w:themeColor="text1"/>
          <w:highlight w:val="none"/>
        </w:rPr>
      </w:r>
    </w:p>
    <w:p>
      <w:pPr>
        <w:pStyle w:val="883"/>
        <w:ind w:firstLine="480"/>
        <w:spacing w:line="500" w:lineRule="exact"/>
        <w:shd w:val="clear" w:color="auto" w:fill="ffffff"/>
        <w:widowControl/>
        <w:rPr>
          <w:rFonts w:ascii="宋体" w:hAnsi="宋体"/>
          <w:color w:val="000000" w:themeColor="text1"/>
          <w:sz w:val="24"/>
          <w:szCs w:val="24"/>
          <w:highlight w:val="none"/>
        </w:rPr>
      </w:pP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2</w:t>
      </w:r>
      <w:r>
        <w:rPr>
          <w:rFonts w:ascii="宋体" w:hAnsi="宋体"/>
          <w:color w:val="000000" w:themeColor="text1"/>
          <w:sz w:val="24"/>
          <w:szCs w:val="24"/>
          <w:highlight w:val="none"/>
        </w:rPr>
        <w:t xml:space="preserve">）办理</w:t>
      </w:r>
      <w:r>
        <w:rPr>
          <w:rFonts w:hint="eastAsia" w:ascii="宋体" w:hAnsi="宋体"/>
          <w:color w:val="000000" w:themeColor="text1"/>
          <w:sz w:val="24"/>
          <w:szCs w:val="24"/>
          <w:highlight w:val="none"/>
        </w:rPr>
        <w:t xml:space="preserve">“意源”CA数字证书和“方正”电子签章</w:t>
      </w:r>
      <w:r>
        <w:rPr>
          <w:rFonts w:ascii="宋体" w:hAnsi="宋体"/>
          <w:color w:val="000000" w:themeColor="text1"/>
          <w:sz w:val="24"/>
          <w:szCs w:val="24"/>
          <w:highlight w:val="none"/>
        </w:rPr>
        <w:t xml:space="preserve">（办理地址：</w:t>
      </w:r>
      <w:r>
        <w:rPr>
          <w:rFonts w:hint="eastAsia" w:ascii="宋体" w:hAnsi="宋体"/>
          <w:color w:val="000000" w:themeColor="text1"/>
          <w:sz w:val="24"/>
          <w:szCs w:val="24"/>
          <w:highlight w:val="none"/>
        </w:rPr>
        <w:t xml:space="preserve">无锡市滨湖区观山路</w:t>
      </w:r>
      <w:r>
        <w:rPr>
          <w:rFonts w:ascii="宋体" w:hAnsi="宋体"/>
          <w:color w:val="000000" w:themeColor="text1"/>
          <w:sz w:val="24"/>
          <w:szCs w:val="24"/>
          <w:highlight w:val="none"/>
        </w:rPr>
        <w:t xml:space="preserve">199</w:t>
      </w:r>
      <w:r>
        <w:rPr>
          <w:rFonts w:hint="eastAsia" w:ascii="宋体" w:hAnsi="宋体"/>
          <w:color w:val="000000" w:themeColor="text1"/>
          <w:sz w:val="24"/>
          <w:szCs w:val="24"/>
          <w:highlight w:val="none"/>
        </w:rPr>
        <w:t xml:space="preserve">号</w:t>
      </w:r>
      <w:r>
        <w:rPr>
          <w:rFonts w:ascii="宋体" w:hAnsi="宋体"/>
          <w:color w:val="000000" w:themeColor="text1"/>
          <w:sz w:val="24"/>
          <w:szCs w:val="24"/>
          <w:highlight w:val="none"/>
        </w:rPr>
        <w:t xml:space="preserve">12</w:t>
      </w:r>
      <w:r>
        <w:rPr>
          <w:rFonts w:hint="eastAsia" w:ascii="宋体" w:hAnsi="宋体"/>
          <w:color w:val="000000" w:themeColor="text1"/>
          <w:sz w:val="24"/>
          <w:szCs w:val="24"/>
          <w:highlight w:val="none"/>
        </w:rPr>
        <w:t xml:space="preserve">号楼二楼</w:t>
      </w:r>
      <w:r>
        <w:rPr>
          <w:rFonts w:ascii="宋体" w:hAnsi="宋体"/>
          <w:color w:val="000000" w:themeColor="text1"/>
          <w:sz w:val="24"/>
          <w:szCs w:val="24"/>
          <w:highlight w:val="none"/>
        </w:rPr>
        <w:t xml:space="preserve">9</w:t>
      </w:r>
      <w:r>
        <w:rPr>
          <w:rFonts w:hint="eastAsia" w:ascii="宋体" w:hAnsi="宋体"/>
          <w:color w:val="000000" w:themeColor="text1"/>
          <w:sz w:val="24"/>
          <w:szCs w:val="24"/>
          <w:highlight w:val="none"/>
        </w:rPr>
        <w:t xml:space="preserve">号、</w:t>
      </w:r>
      <w:r>
        <w:rPr>
          <w:rFonts w:ascii="宋体" w:hAnsi="宋体"/>
          <w:color w:val="000000" w:themeColor="text1"/>
          <w:sz w:val="24"/>
          <w:szCs w:val="24"/>
          <w:highlight w:val="none"/>
        </w:rPr>
        <w:t xml:space="preserve">10</w:t>
      </w:r>
      <w:r>
        <w:rPr>
          <w:rFonts w:hint="eastAsia" w:ascii="宋体" w:hAnsi="宋体"/>
          <w:color w:val="000000" w:themeColor="text1"/>
          <w:sz w:val="24"/>
          <w:szCs w:val="24"/>
          <w:highlight w:val="none"/>
        </w:rPr>
        <w:t xml:space="preserve">号窗口</w:t>
      </w:r>
      <w:r>
        <w:rPr>
          <w:rFonts w:ascii="宋体" w:hAnsi="宋体"/>
          <w:color w:val="000000" w:themeColor="text1"/>
          <w:sz w:val="24"/>
          <w:szCs w:val="24"/>
          <w:highlight w:val="none"/>
        </w:rPr>
        <w:t xml:space="preserve">），办理指南链接：http://jsxcmm.com/help/help.html。</w:t>
      </w:r>
      <w:r>
        <w:rPr>
          <w:color w:val="000000" w:themeColor="text1"/>
          <w:highlight w:val="none"/>
        </w:rPr>
      </w:r>
    </w:p>
    <w:p>
      <w:pPr>
        <w:pStyle w:val="883"/>
        <w:ind w:firstLine="480"/>
        <w:spacing w:line="500" w:lineRule="exact"/>
        <w:shd w:val="clear" w:color="auto" w:fill="ffffff"/>
        <w:widowControl/>
        <w:rPr>
          <w:rFonts w:ascii="宋体" w:hAnsi="宋体"/>
          <w:color w:val="000000" w:themeColor="text1"/>
          <w:sz w:val="24"/>
          <w:szCs w:val="24"/>
          <w:highlight w:val="none"/>
        </w:rPr>
      </w:pP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3</w:t>
      </w:r>
      <w:r>
        <w:rPr>
          <w:rFonts w:ascii="宋体" w:hAnsi="宋体"/>
          <w:color w:val="000000" w:themeColor="text1"/>
          <w:sz w:val="24"/>
          <w:szCs w:val="24"/>
          <w:highlight w:val="none"/>
        </w:rPr>
        <w:t xml:space="preserve">）CA驱动下载：</w:t>
      </w:r>
      <w:r>
        <w:rPr>
          <w:color w:val="000000" w:themeColor="text1"/>
          <w:highlight w:val="none"/>
        </w:rPr>
      </w:r>
    </w:p>
    <w:p>
      <w:pPr>
        <w:pStyle w:val="883"/>
        <w:ind w:firstLine="480"/>
        <w:spacing w:line="500" w:lineRule="exact"/>
        <w:shd w:val="clear" w:color="auto" w:fill="ffffff"/>
        <w:widowControl/>
        <w:rPr>
          <w:rFonts w:ascii="宋体" w:hAnsi="宋体"/>
          <w:color w:val="000000" w:themeColor="text1"/>
          <w:sz w:val="24"/>
          <w:szCs w:val="24"/>
          <w:highlight w:val="none"/>
        </w:rPr>
      </w:pPr>
      <w:r>
        <w:rPr>
          <w:rFonts w:ascii="宋体" w:hAnsi="宋体"/>
          <w:color w:val="000000" w:themeColor="text1"/>
          <w:sz w:val="24"/>
          <w:szCs w:val="24"/>
          <w:highlight w:val="none"/>
        </w:rPr>
        <w:t xml:space="preserve">在</w:t>
      </w:r>
      <w:r>
        <w:rPr>
          <w:rFonts w:hint="eastAsia" w:ascii="宋体" w:hAnsi="宋体"/>
          <w:bCs/>
          <w:color w:val="000000" w:themeColor="text1"/>
          <w:sz w:val="24"/>
          <w:szCs w:val="24"/>
          <w:highlight w:val="none"/>
        </w:rPr>
        <w:t xml:space="preserve">“苏采云”系统</w:t>
      </w:r>
      <w:r>
        <w:rPr>
          <w:rFonts w:ascii="宋体" w:hAnsi="宋体"/>
          <w:color w:val="000000" w:themeColor="text1"/>
          <w:sz w:val="24"/>
          <w:szCs w:val="24"/>
          <w:highlight w:val="none"/>
        </w:rPr>
        <w:t xml:space="preserve">账号登录页面，点击“驱动下载”链接中的“政务CA、方正签章控件驱动安装包及安装说明”可以直接下载驱动安装包，安装包中附有驱动安装手册。</w:t>
      </w:r>
      <w:r>
        <w:rPr>
          <w:color w:val="000000" w:themeColor="text1"/>
          <w:highlight w:val="none"/>
        </w:rPr>
      </w:r>
    </w:p>
    <w:p>
      <w:pPr>
        <w:pStyle w:val="883"/>
        <w:ind w:firstLine="480"/>
        <w:spacing w:line="500" w:lineRule="exact"/>
        <w:shd w:val="clear" w:color="auto" w:fill="ffffff"/>
        <w:widowControl/>
        <w:rPr>
          <w:rFonts w:ascii="宋体" w:hAnsi="宋体"/>
          <w:color w:val="000000" w:themeColor="text1"/>
          <w:sz w:val="24"/>
          <w:szCs w:val="24"/>
          <w:highlight w:val="none"/>
        </w:rPr>
      </w:pPr>
      <w:r>
        <w:rPr>
          <w:rFonts w:ascii="宋体" w:hAnsi="宋体"/>
          <w:color w:val="000000" w:themeColor="text1"/>
          <w:sz w:val="24"/>
          <w:szCs w:val="24"/>
          <w:highlight w:val="none"/>
        </w:rPr>
        <w:t xml:space="preserve">技术服务电话：</w:t>
      </w:r>
      <w:r>
        <w:rPr>
          <w:rFonts w:hint="eastAsia" w:ascii="宋体" w:hAnsi="宋体"/>
          <w:color w:val="000000" w:themeColor="text1"/>
          <w:sz w:val="24"/>
          <w:szCs w:val="24"/>
          <w:highlight w:val="none"/>
        </w:rPr>
        <w:t xml:space="preserve">0510-81827781</w:t>
      </w:r>
      <w:r>
        <w:rPr>
          <w:rFonts w:ascii="宋体" w:hAnsi="宋体"/>
          <w:color w:val="000000" w:themeColor="text1"/>
          <w:sz w:val="24"/>
          <w:szCs w:val="24"/>
          <w:highlight w:val="none"/>
        </w:rPr>
        <w:t xml:space="preserve">（服务时间：工作日</w:t>
      </w:r>
      <w:r>
        <w:rPr>
          <w:rFonts w:hint="eastAsia" w:ascii="宋体" w:hAnsi="宋体"/>
          <w:color w:val="000000" w:themeColor="text1"/>
          <w:sz w:val="24"/>
          <w:szCs w:val="24"/>
          <w:highlight w:val="none"/>
        </w:rPr>
        <w:t xml:space="preserve"> 9:00-11:30,13:00-17:00</w:t>
      </w:r>
      <w:r>
        <w:rPr>
          <w:rFonts w:ascii="宋体" w:hAnsi="宋体"/>
          <w:color w:val="000000" w:themeColor="text1"/>
          <w:sz w:val="24"/>
          <w:szCs w:val="24"/>
          <w:highlight w:val="none"/>
        </w:rPr>
        <w:t xml:space="preserve">）</w:t>
      </w:r>
      <w:r>
        <w:rPr>
          <w:color w:val="000000" w:themeColor="text1"/>
          <w:highlight w:val="none"/>
        </w:rPr>
      </w:r>
    </w:p>
    <w:p>
      <w:pPr>
        <w:pStyle w:val="883"/>
        <w:ind w:firstLine="480"/>
        <w:spacing w:line="500" w:lineRule="exact"/>
        <w:shd w:val="clear" w:color="auto" w:fill="ffffff"/>
        <w:widowControl/>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w:t>
      </w:r>
      <w:r>
        <w:rPr>
          <w:rFonts w:ascii="宋体" w:hAnsi="宋体"/>
          <w:color w:val="000000" w:themeColor="text1"/>
          <w:sz w:val="24"/>
          <w:szCs w:val="24"/>
          <w:highlight w:val="none"/>
        </w:rPr>
        <w:t xml:space="preserve">完成</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账号注册</w:t>
      </w:r>
      <w:r>
        <w:rPr>
          <w:rFonts w:ascii="宋体" w:hAnsi="宋体"/>
          <w:color w:val="000000" w:themeColor="text1"/>
          <w:sz w:val="24"/>
          <w:szCs w:val="24"/>
          <w:highlight w:val="none"/>
        </w:rPr>
        <w:t xml:space="preserve">的供应商方可</w:t>
      </w:r>
      <w:r>
        <w:rPr>
          <w:rFonts w:hint="eastAsia" w:ascii="宋体" w:hAnsi="宋体"/>
          <w:color w:val="000000" w:themeColor="text1"/>
          <w:sz w:val="24"/>
          <w:szCs w:val="24"/>
          <w:highlight w:val="none"/>
        </w:rPr>
        <w:t xml:space="preserve">在</w:t>
      </w:r>
      <w:r>
        <w:rPr>
          <w:rFonts w:hint="eastAsia" w:ascii="宋体" w:hAnsi="宋体"/>
          <w:bCs/>
          <w:color w:val="000000" w:themeColor="text1"/>
          <w:sz w:val="24"/>
          <w:szCs w:val="24"/>
          <w:highlight w:val="none"/>
        </w:rPr>
        <w:t xml:space="preserve">“苏采云”系统</w:t>
      </w:r>
      <w:r>
        <w:rPr>
          <w:rFonts w:ascii="宋体" w:hAnsi="宋体"/>
          <w:color w:val="000000" w:themeColor="text1"/>
          <w:sz w:val="24"/>
          <w:szCs w:val="24"/>
          <w:highlight w:val="none"/>
        </w:rPr>
        <w:t xml:space="preserve">中进行CA绑定。登录</w:t>
      </w:r>
      <w:r>
        <w:rPr>
          <w:rFonts w:hint="eastAsia" w:ascii="宋体" w:hAnsi="宋体"/>
          <w:bCs/>
          <w:color w:val="000000" w:themeColor="text1"/>
          <w:sz w:val="24"/>
          <w:szCs w:val="24"/>
          <w:highlight w:val="none"/>
        </w:rPr>
        <w:t xml:space="preserve">“苏采云”系统</w:t>
      </w:r>
      <w:r>
        <w:rPr>
          <w:rFonts w:ascii="宋体" w:hAnsi="宋体"/>
          <w:color w:val="000000" w:themeColor="text1"/>
          <w:sz w:val="24"/>
          <w:szCs w:val="24"/>
          <w:highlight w:val="none"/>
        </w:rPr>
        <w:t xml:space="preserve">，插入CA后，点击【账号设置】——【绑定CA】。</w:t>
      </w:r>
      <w:r>
        <w:rPr>
          <w:color w:val="000000" w:themeColor="text1"/>
          <w:highlight w:val="none"/>
        </w:rPr>
      </w:r>
    </w:p>
    <w:p>
      <w:pPr>
        <w:pStyle w:val="883"/>
        <w:ind w:firstLine="480"/>
        <w:spacing w:line="500" w:lineRule="exact"/>
        <w:shd w:val="clear" w:color="auto" w:fill="ffffff"/>
        <w:widowControl/>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3.</w:t>
      </w:r>
      <w:r>
        <w:rPr>
          <w:rFonts w:ascii="宋体" w:hAnsi="宋体"/>
          <w:color w:val="000000" w:themeColor="text1"/>
          <w:sz w:val="24"/>
          <w:szCs w:val="24"/>
          <w:highlight w:val="none"/>
        </w:rPr>
        <w:t xml:space="preserve">供应商应按上述要求提供相关材料信息，所提供的材料应均是真实的、准确的，若有违背，供应商自行承担由此而产生的一切后果。</w:t>
      </w:r>
      <w:r>
        <w:rPr>
          <w:color w:val="000000" w:themeColor="text1"/>
          <w:highlight w:val="none"/>
        </w:rPr>
      </w:r>
    </w:p>
    <w:p>
      <w:pPr>
        <w:pStyle w:val="883"/>
        <w:ind w:firstLine="480"/>
        <w:spacing w:line="500" w:lineRule="exact"/>
        <w:shd w:val="clear" w:color="auto" w:fill="ffffff"/>
        <w:widowControl/>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4.</w:t>
      </w:r>
      <w:r>
        <w:rPr>
          <w:rFonts w:ascii="宋体" w:hAnsi="宋体"/>
          <w:color w:val="000000" w:themeColor="text1"/>
          <w:sz w:val="24"/>
          <w:szCs w:val="24"/>
          <w:highlight w:val="none"/>
        </w:rPr>
        <w:t xml:space="preserve">如供应商未按上述要求操作，由此所产生的损失及风险由供应商自行承担。具</w:t>
      </w:r>
      <w:r>
        <w:rPr>
          <w:rFonts w:ascii="宋体" w:hAnsi="宋体"/>
          <w:color w:val="000000" w:themeColor="text1"/>
          <w:sz w:val="24"/>
          <w:szCs w:val="24"/>
          <w:highlight w:val="none"/>
        </w:rPr>
        <w:t xml:space="preserve">体操作步骤详见</w:t>
      </w:r>
      <w:r>
        <w:rPr>
          <w:rFonts w:hint="eastAsia" w:ascii="宋体" w:hAnsi="宋体"/>
          <w:color w:val="000000" w:themeColor="text1"/>
          <w:sz w:val="24"/>
          <w:szCs w:val="24"/>
          <w:highlight w:val="none"/>
        </w:rPr>
        <w:t xml:space="preserve">《“苏采云”系统供应商操作手册》</w:t>
      </w:r>
      <w:r>
        <w:rPr>
          <w:rFonts w:ascii="宋体" w:hAnsi="宋体"/>
          <w:color w:val="000000" w:themeColor="text1"/>
          <w:sz w:val="24"/>
          <w:szCs w:val="24"/>
          <w:highlight w:val="none"/>
        </w:rPr>
        <w:t xml:space="preserve">（以下简称</w:t>
      </w:r>
      <w:r>
        <w:rPr>
          <w:rFonts w:hint="eastAsia" w:ascii="宋体" w:hAnsi="宋体"/>
          <w:color w:val="000000" w:themeColor="text1"/>
          <w:sz w:val="24"/>
          <w:szCs w:val="24"/>
          <w:highlight w:val="none"/>
        </w:rPr>
        <w:t xml:space="preserve">《操作手册》</w:t>
      </w: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w:t>
      </w:r>
      <w:r>
        <w:rPr>
          <w:rFonts w:ascii="宋体" w:hAnsi="宋体"/>
          <w:color w:val="000000" w:themeColor="text1"/>
          <w:sz w:val="24"/>
          <w:szCs w:val="24"/>
          <w:highlight w:val="none"/>
        </w:rPr>
        <w:t xml:space="preserve">下载地</w:t>
      </w:r>
      <w:r>
        <w:rPr>
          <w:rFonts w:ascii="宋体" w:hAnsi="宋体"/>
          <w:color w:val="000000" w:themeColor="text1"/>
          <w:sz w:val="24"/>
          <w:szCs w:val="24"/>
          <w:highlight w:val="none"/>
        </w:rPr>
        <w:t xml:space="preserve">址：无锡市政府采购网——资料下载——</w:t>
      </w:r>
      <w:r>
        <w:rPr>
          <w:rFonts w:hint="eastAsia" w:ascii="宋体" w:hAnsi="宋体"/>
          <w:color w:val="000000" w:themeColor="text1"/>
          <w:sz w:val="24"/>
          <w:szCs w:val="24"/>
          <w:highlight w:val="none"/>
        </w:rPr>
        <w:t xml:space="preserve">苏采云——</w:t>
      </w:r>
      <w:r>
        <w:rPr>
          <w:rFonts w:ascii="宋体" w:hAnsi="宋体"/>
          <w:color w:val="000000" w:themeColor="text1"/>
          <w:sz w:val="24"/>
          <w:szCs w:val="24"/>
          <w:highlight w:val="none"/>
        </w:rPr>
        <w:fldChar w:fldCharType="begin"/>
      </w:r>
      <w:r>
        <w:rPr>
          <w:rFonts w:ascii="宋体" w:hAnsi="宋体"/>
          <w:color w:val="000000" w:themeColor="text1"/>
          <w:sz w:val="24"/>
          <w:szCs w:val="24"/>
          <w:highlight w:val="none"/>
        </w:rPr>
        <w:instrText xml:space="preserve">HYPERLINK "http://cz.wuxi.gov.cn/doc/2023/10/11/4080287.shtml" \t "_blank" \o "\“苏采云\”系统供应商操作手册"</w:instrText>
      </w:r>
      <w:r>
        <w:rPr>
          <w:rFonts w:ascii="宋体" w:hAnsi="宋体"/>
          <w:color w:val="000000" w:themeColor="text1"/>
          <w:sz w:val="24"/>
          <w:szCs w:val="24"/>
          <w:highlight w:val="none"/>
        </w:rPr>
        <w:fldChar w:fldCharType="separate"/>
      </w:r>
      <w:r>
        <w:rPr>
          <w:rFonts w:hint="eastAsia" w:ascii="宋体" w:hAnsi="宋体"/>
          <w:color w:val="000000" w:themeColor="text1"/>
          <w:sz w:val="24"/>
          <w:szCs w:val="24"/>
          <w:highlight w:val="none"/>
        </w:rPr>
        <w:t xml:space="preserve">“苏采云”系统供应商操作手册</w:t>
      </w:r>
      <w:r>
        <w:rPr>
          <w:rFonts w:ascii="宋体" w:hAnsi="宋体"/>
          <w:color w:val="000000" w:themeColor="text1"/>
          <w:sz w:val="24"/>
          <w:szCs w:val="24"/>
          <w:highlight w:val="none"/>
        </w:rPr>
        <w:fldChar w:fldCharType="end"/>
      </w:r>
      <w:r>
        <w:rPr>
          <w:rFonts w:hint="eastAsia" w:ascii="宋体" w:hAnsi="宋体"/>
          <w:color w:val="000000" w:themeColor="text1"/>
          <w:sz w:val="24"/>
          <w:szCs w:val="24"/>
          <w:highlight w:val="none"/>
        </w:rPr>
        <w:t xml:space="preserve">。</w:t>
      </w:r>
      <w:r>
        <w:rPr>
          <w:rFonts w:ascii="宋体" w:hAnsi="宋体"/>
          <w:color w:val="000000" w:themeColor="text1"/>
          <w:sz w:val="24"/>
          <w:szCs w:val="24"/>
          <w:highlight w:val="none"/>
        </w:rPr>
      </w:r>
      <w:r>
        <w:rPr>
          <w:color w:val="000000" w:themeColor="text1"/>
          <w:highlight w:val="none"/>
        </w:rPr>
      </w:r>
    </w:p>
    <w:p>
      <w:pPr>
        <w:pStyle w:val="883"/>
        <w:ind w:firstLine="480"/>
        <w:spacing w:line="500" w:lineRule="exact"/>
        <w:shd w:val="clear" w:color="auto" w:fill="ffffff"/>
        <w:widowControl/>
        <w:rPr>
          <w:rFonts w:ascii="宋体" w:hAnsi="宋体"/>
          <w:color w:val="000000" w:themeColor="text1"/>
          <w:sz w:val="24"/>
          <w:szCs w:val="24"/>
          <w:highlight w:val="none"/>
        </w:rPr>
      </w:pPr>
      <w:r>
        <w:rPr>
          <w:rFonts w:ascii="宋体" w:hAnsi="宋体"/>
          <w:bCs/>
          <w:color w:val="000000" w:themeColor="text1"/>
          <w:sz w:val="24"/>
          <w:szCs w:val="24"/>
          <w:highlight w:val="none"/>
        </w:rPr>
        <w:t xml:space="preserve">技术支持QQ：孙先生：442456465；王先生：1476328133</w:t>
      </w:r>
      <w:r>
        <w:rPr>
          <w:rFonts w:hint="eastAsia" w:ascii="宋体" w:hAnsi="宋体"/>
          <w:bCs/>
          <w:color w:val="000000" w:themeColor="text1"/>
          <w:sz w:val="24"/>
          <w:szCs w:val="24"/>
          <w:highlight w:val="none"/>
        </w:rPr>
        <w:t xml:space="preserve">。</w:t>
      </w:r>
      <w:r>
        <w:rPr>
          <w:rFonts w:ascii="宋体" w:hAnsi="宋体"/>
          <w:color w:val="000000" w:themeColor="text1"/>
          <w:sz w:val="24"/>
          <w:szCs w:val="24"/>
          <w:highlight w:val="none"/>
        </w:rPr>
      </w:r>
      <w:r>
        <w:rPr>
          <w:color w:val="000000" w:themeColor="text1"/>
          <w:highlight w:val="none"/>
        </w:rPr>
      </w:r>
    </w:p>
    <w:p>
      <w:pPr>
        <w:pStyle w:val="883"/>
        <w:ind w:firstLine="480"/>
        <w:jc w:val="left"/>
        <w:spacing w:line="500" w:lineRule="exact"/>
        <w:shd w:val="clear" w:color="auto" w:fill="ffffff"/>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（二）完成项目参与，获取招标文件</w:t>
      </w:r>
      <w:r>
        <w:rPr>
          <w:rFonts w:ascii="宋体" w:hAnsi="宋体" w:cs="宋体"/>
          <w:color w:val="000000" w:themeColor="text1"/>
          <w:sz w:val="24"/>
          <w:szCs w:val="24"/>
          <w:highlight w:val="none"/>
        </w:rPr>
      </w:r>
      <w:r>
        <w:rPr>
          <w:color w:val="000000" w:themeColor="text1"/>
          <w:highlight w:val="none"/>
        </w:rPr>
      </w:r>
    </w:p>
    <w:p>
      <w:pPr>
        <w:pStyle w:val="883"/>
        <w:ind w:firstLine="480"/>
        <w:spacing w:line="500" w:lineRule="exact"/>
        <w:shd w:val="clear" w:color="auto" w:fill="ffffff"/>
        <w:widowControl/>
        <w:rPr>
          <w:rFonts w:ascii="宋体" w:hAnsi="宋体"/>
          <w:color w:val="000000" w:themeColor="text1"/>
          <w:sz w:val="24"/>
          <w:szCs w:val="24"/>
          <w:highlight w:val="none"/>
        </w:rPr>
      </w:pPr>
      <w:r>
        <w:rPr>
          <w:rFonts w:ascii="宋体" w:hAnsi="宋体"/>
          <w:color w:val="000000" w:themeColor="text1"/>
          <w:sz w:val="24"/>
          <w:szCs w:val="24"/>
          <w:highlight w:val="none"/>
        </w:rPr>
        <w:t xml:space="preserve">供应商可在项目</w:t>
      </w:r>
      <w:r>
        <w:rPr>
          <w:rFonts w:hint="eastAsia" w:ascii="宋体" w:hAnsi="宋体"/>
          <w:color w:val="000000" w:themeColor="text1"/>
          <w:sz w:val="24"/>
          <w:szCs w:val="24"/>
          <w:highlight w:val="none"/>
        </w:rPr>
        <w:t xml:space="preserve">招标</w:t>
      </w:r>
      <w:r>
        <w:rPr>
          <w:rFonts w:ascii="宋体" w:hAnsi="宋体"/>
          <w:color w:val="000000" w:themeColor="text1"/>
          <w:sz w:val="24"/>
          <w:szCs w:val="24"/>
          <w:highlight w:val="none"/>
        </w:rPr>
        <w:t xml:space="preserve">公告附件中查看</w:t>
      </w:r>
      <w:r>
        <w:rPr>
          <w:rFonts w:hint="eastAsia" w:ascii="宋体" w:hAnsi="宋体"/>
          <w:color w:val="000000" w:themeColor="text1"/>
          <w:sz w:val="24"/>
          <w:szCs w:val="24"/>
          <w:highlight w:val="none"/>
        </w:rPr>
        <w:t xml:space="preserve">公开招标</w:t>
      </w:r>
      <w:r>
        <w:rPr>
          <w:rFonts w:ascii="宋体" w:hAnsi="宋体"/>
          <w:color w:val="000000" w:themeColor="text1"/>
          <w:sz w:val="24"/>
          <w:szCs w:val="24"/>
          <w:highlight w:val="none"/>
        </w:rPr>
        <w:t xml:space="preserve">文件，</w:t>
      </w:r>
      <w:r>
        <w:rPr>
          <w:rFonts w:ascii="宋体" w:hAnsi="宋体"/>
          <w:color w:val="000000" w:themeColor="text1"/>
          <w:sz w:val="24"/>
          <w:szCs w:val="24"/>
          <w:highlight w:val="none"/>
        </w:rPr>
        <w:t xml:space="preserve">如确</w:t>
      </w:r>
      <w:r>
        <w:rPr>
          <w:rFonts w:ascii="宋体" w:hAnsi="宋体"/>
          <w:color w:val="000000" w:themeColor="text1"/>
          <w:sz w:val="24"/>
          <w:szCs w:val="24"/>
          <w:highlight w:val="none"/>
        </w:rPr>
        <w:t xml:space="preserve">定参加本次</w:t>
      </w:r>
      <w:r>
        <w:rPr>
          <w:rFonts w:hint="eastAsia" w:ascii="宋体" w:hAnsi="宋体"/>
          <w:color w:val="000000" w:themeColor="text1"/>
          <w:sz w:val="24"/>
          <w:szCs w:val="24"/>
          <w:highlight w:val="none"/>
        </w:rPr>
        <w:t xml:space="preserve">采购</w:t>
      </w:r>
      <w:r>
        <w:rPr>
          <w:rFonts w:ascii="宋体" w:hAnsi="宋体"/>
          <w:color w:val="000000" w:themeColor="text1"/>
          <w:sz w:val="24"/>
          <w:szCs w:val="24"/>
          <w:highlight w:val="none"/>
        </w:rPr>
        <w:t xml:space="preserve">活动，必须在</w:t>
      </w:r>
      <w:r>
        <w:rPr>
          <w:rFonts w:hint="eastAsia" w:ascii="宋体" w:hAnsi="宋体"/>
          <w:bCs/>
          <w:color w:val="000000" w:themeColor="text1"/>
          <w:sz w:val="24"/>
          <w:szCs w:val="24"/>
          <w:highlight w:val="none"/>
        </w:rPr>
        <w:t xml:space="preserve">招标文件提供期限</w:t>
      </w:r>
      <w:r>
        <w:rPr>
          <w:rFonts w:ascii="宋体" w:hAnsi="宋体"/>
          <w:color w:val="000000" w:themeColor="text1"/>
          <w:sz w:val="24"/>
          <w:szCs w:val="24"/>
          <w:highlight w:val="none"/>
        </w:rPr>
        <w:t xml:space="preserve">内</w:t>
      </w:r>
      <w:r>
        <w:rPr>
          <w:rFonts w:hint="eastAsia" w:ascii="宋体" w:hAnsi="宋体"/>
          <w:color w:val="000000" w:themeColor="text1"/>
          <w:sz w:val="24"/>
          <w:szCs w:val="24"/>
          <w:highlight w:val="none"/>
        </w:rPr>
        <w:t xml:space="preserve">从</w:t>
      </w:r>
      <w:r>
        <w:rPr>
          <w:rFonts w:hint="eastAsia" w:ascii="宋体" w:hAnsi="宋体"/>
          <w:bCs/>
          <w:color w:val="000000" w:themeColor="text1"/>
          <w:sz w:val="24"/>
          <w:szCs w:val="24"/>
          <w:highlight w:val="none"/>
        </w:rPr>
        <w:t xml:space="preserve">“苏采云”系统</w:t>
      </w:r>
      <w:r>
        <w:rPr>
          <w:rFonts w:ascii="宋体" w:hAnsi="宋体"/>
          <w:color w:val="000000" w:themeColor="text1"/>
          <w:sz w:val="24"/>
          <w:szCs w:val="24"/>
          <w:highlight w:val="none"/>
        </w:rPr>
        <w:t xml:space="preserve">中下载文件（“项目参与”——“</w:t>
      </w:r>
      <w:r>
        <w:rPr>
          <w:rFonts w:hint="eastAsia" w:ascii="宋体" w:hAnsi="宋体"/>
          <w:color w:val="000000" w:themeColor="text1"/>
          <w:sz w:val="24"/>
          <w:szCs w:val="24"/>
          <w:highlight w:val="none"/>
        </w:rPr>
        <w:t xml:space="preserve">采购项目参与</w:t>
      </w:r>
      <w:r>
        <w:rPr>
          <w:rFonts w:ascii="宋体" w:hAnsi="宋体"/>
          <w:color w:val="000000" w:themeColor="text1"/>
          <w:sz w:val="24"/>
          <w:szCs w:val="24"/>
          <w:highlight w:val="none"/>
        </w:rPr>
        <w:t xml:space="preserve">”找到需要获取</w:t>
      </w:r>
      <w:r>
        <w:rPr>
          <w:rFonts w:hint="eastAsia" w:ascii="宋体" w:hAnsi="宋体"/>
          <w:color w:val="000000" w:themeColor="text1"/>
          <w:sz w:val="24"/>
          <w:szCs w:val="24"/>
          <w:highlight w:val="none"/>
        </w:rPr>
        <w:t xml:space="preserve">招标</w:t>
      </w:r>
      <w:r>
        <w:rPr>
          <w:rFonts w:ascii="宋体" w:hAnsi="宋体"/>
          <w:color w:val="000000" w:themeColor="text1"/>
          <w:sz w:val="24"/>
          <w:szCs w:val="24"/>
          <w:highlight w:val="none"/>
        </w:rPr>
        <w:t xml:space="preserve">文件的项目，点击“我要参与”——“参与投标”</w:t>
      </w:r>
      <w:r>
        <w:rPr>
          <w:rFonts w:hint="eastAsia" w:ascii="宋体" w:hAnsi="宋体"/>
          <w:color w:val="000000" w:themeColor="text1"/>
          <w:sz w:val="24"/>
          <w:szCs w:val="24"/>
          <w:highlight w:val="none"/>
        </w:rPr>
        <w:t xml:space="preserve">——“</w:t>
      </w:r>
      <w:r>
        <w:rPr>
          <w:rFonts w:ascii="宋体" w:hAnsi="宋体"/>
          <w:color w:val="000000" w:themeColor="text1"/>
          <w:sz w:val="24"/>
          <w:szCs w:val="24"/>
          <w:highlight w:val="none"/>
        </w:rPr>
        <w:t xml:space="preserve">下载文件</w:t>
      </w:r>
      <w:r>
        <w:rPr>
          <w:rFonts w:hint="eastAsia" w:ascii="宋体" w:hAnsi="宋体"/>
          <w:color w:val="000000" w:themeColor="text1"/>
          <w:sz w:val="24"/>
          <w:szCs w:val="24"/>
          <w:highlight w:val="none"/>
        </w:rPr>
        <w:t xml:space="preserve">”</w:t>
      </w:r>
      <w:r>
        <w:rPr>
          <w:rFonts w:ascii="宋体" w:hAnsi="宋体"/>
          <w:color w:val="000000" w:themeColor="text1"/>
          <w:sz w:val="24"/>
          <w:szCs w:val="24"/>
          <w:highlight w:val="none"/>
        </w:rPr>
        <w:t xml:space="preserve">），完成项目</w:t>
      </w:r>
      <w:r>
        <w:rPr>
          <w:rFonts w:hint="eastAsia" w:ascii="宋体" w:hAnsi="宋体"/>
          <w:color w:val="000000" w:themeColor="text1"/>
          <w:sz w:val="24"/>
          <w:szCs w:val="24"/>
          <w:highlight w:val="none"/>
        </w:rPr>
        <w:t xml:space="preserve">参</w:t>
      </w:r>
      <w:r>
        <w:rPr>
          <w:rFonts w:hint="eastAsia" w:ascii="宋体" w:hAnsi="宋体"/>
          <w:color w:val="000000" w:themeColor="text1"/>
          <w:sz w:val="24"/>
          <w:szCs w:val="24"/>
          <w:highlight w:val="none"/>
        </w:rPr>
        <w:t xml:space="preserve">与</w:t>
      </w: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将</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中</w:t>
      </w:r>
      <w:r>
        <w:rPr>
          <w:rFonts w:ascii="宋体" w:hAnsi="宋体"/>
          <w:color w:val="000000" w:themeColor="text1"/>
          <w:sz w:val="24"/>
          <w:szCs w:val="24"/>
          <w:highlight w:val="none"/>
        </w:rPr>
        <w:t xml:space="preserve">下载的</w:t>
      </w:r>
      <w:r>
        <w:rPr>
          <w:rFonts w:hint="eastAsia" w:ascii="宋体" w:hAnsi="宋体"/>
          <w:color w:val="000000" w:themeColor="text1"/>
          <w:sz w:val="24"/>
          <w:szCs w:val="24"/>
          <w:highlight w:val="none"/>
        </w:rPr>
        <w:t xml:space="preserve">招标</w:t>
      </w:r>
      <w:r>
        <w:rPr>
          <w:rFonts w:ascii="宋体" w:hAnsi="宋体"/>
          <w:color w:val="000000" w:themeColor="text1"/>
          <w:sz w:val="24"/>
          <w:szCs w:val="24"/>
          <w:highlight w:val="none"/>
        </w:rPr>
        <w:t xml:space="preserve">文件</w:t>
      </w:r>
      <w:r>
        <w:rPr>
          <w:rFonts w:hint="eastAsia" w:ascii="宋体" w:hAnsi="宋体"/>
          <w:color w:val="000000" w:themeColor="text1"/>
          <w:sz w:val="24"/>
          <w:szCs w:val="24"/>
          <w:highlight w:val="none"/>
        </w:rPr>
        <w:t xml:space="preserve">（后缀名为“.kedt”）</w:t>
      </w:r>
      <w:r>
        <w:rPr>
          <w:rFonts w:ascii="宋体" w:hAnsi="宋体"/>
          <w:color w:val="000000" w:themeColor="text1"/>
          <w:sz w:val="24"/>
          <w:szCs w:val="24"/>
          <w:highlight w:val="none"/>
        </w:rPr>
        <w:t xml:space="preserve">导入到“政府采购客户端”，离线按要求</w:t>
      </w:r>
      <w:r>
        <w:rPr>
          <w:rFonts w:hint="eastAsia" w:ascii="宋体" w:hAnsi="宋体"/>
          <w:color w:val="000000" w:themeColor="text1"/>
          <w:sz w:val="24"/>
          <w:szCs w:val="24"/>
          <w:highlight w:val="none"/>
        </w:rPr>
        <w:t xml:space="preserve">编制</w:t>
      </w:r>
      <w:r>
        <w:rPr>
          <w:rFonts w:ascii="宋体" w:hAnsi="宋体"/>
          <w:color w:val="000000" w:themeColor="text1"/>
          <w:sz w:val="24"/>
          <w:szCs w:val="24"/>
          <w:highlight w:val="none"/>
        </w:rPr>
        <w:t xml:space="preserve">并加密</w:t>
      </w:r>
      <w:r>
        <w:rPr>
          <w:rFonts w:hint="eastAsia" w:ascii="宋体" w:hAnsi="宋体"/>
          <w:color w:val="000000" w:themeColor="text1"/>
          <w:sz w:val="24"/>
          <w:szCs w:val="24"/>
          <w:highlight w:val="none"/>
        </w:rPr>
        <w:t xml:space="preserve">投标</w:t>
      </w:r>
      <w:r>
        <w:rPr>
          <w:rFonts w:ascii="宋体" w:hAnsi="宋体"/>
          <w:color w:val="000000" w:themeColor="text1"/>
          <w:sz w:val="24"/>
          <w:szCs w:val="24"/>
          <w:highlight w:val="none"/>
        </w:rPr>
        <w:t xml:space="preserve">文件</w:t>
      </w:r>
      <w:r>
        <w:rPr>
          <w:rFonts w:hint="eastAsia" w:ascii="宋体" w:hAnsi="宋体"/>
          <w:color w:val="000000" w:themeColor="text1"/>
          <w:sz w:val="24"/>
          <w:szCs w:val="24"/>
          <w:highlight w:val="none"/>
        </w:rPr>
        <w:t xml:space="preserve">（使用“CA数字证书”），</w:t>
      </w:r>
      <w:r>
        <w:rPr>
          <w:rFonts w:ascii="宋体" w:hAnsi="宋体"/>
          <w:color w:val="000000" w:themeColor="text1"/>
          <w:sz w:val="24"/>
          <w:szCs w:val="24"/>
          <w:highlight w:val="none"/>
        </w:rPr>
        <w:t xml:space="preserve">导出加密的</w:t>
      </w:r>
      <w:r>
        <w:rPr>
          <w:rFonts w:hint="eastAsia" w:ascii="宋体" w:hAnsi="宋体"/>
          <w:color w:val="000000" w:themeColor="text1"/>
          <w:sz w:val="24"/>
          <w:szCs w:val="24"/>
          <w:highlight w:val="none"/>
        </w:rPr>
        <w:t xml:space="preserve">投标</w:t>
      </w:r>
      <w:r>
        <w:rPr>
          <w:rFonts w:ascii="宋体" w:hAnsi="宋体"/>
          <w:color w:val="000000" w:themeColor="text1"/>
          <w:sz w:val="24"/>
          <w:szCs w:val="24"/>
          <w:highlight w:val="none"/>
        </w:rPr>
        <w:t xml:space="preserve">文件</w:t>
      </w:r>
      <w:r>
        <w:rPr>
          <w:rFonts w:hint="eastAsia" w:ascii="宋体" w:hAnsi="宋体"/>
          <w:color w:val="000000" w:themeColor="text1"/>
          <w:sz w:val="24"/>
          <w:szCs w:val="24"/>
          <w:highlight w:val="none"/>
        </w:rPr>
        <w:t xml:space="preserve">（后缀名为zip，不得超过150M）并在</w:t>
      </w:r>
      <w:r>
        <w:rPr>
          <w:rFonts w:hint="eastAsia" w:ascii="宋体" w:hAnsi="宋体"/>
          <w:bCs/>
          <w:color w:val="000000" w:themeColor="text1"/>
          <w:sz w:val="24"/>
          <w:szCs w:val="24"/>
          <w:highlight w:val="none"/>
        </w:rPr>
        <w:t xml:space="preserve">“苏采云”系统</w:t>
      </w:r>
      <w:r>
        <w:rPr>
          <w:rFonts w:ascii="宋体" w:hAnsi="宋体"/>
          <w:color w:val="000000" w:themeColor="text1"/>
          <w:sz w:val="24"/>
          <w:szCs w:val="24"/>
          <w:highlight w:val="none"/>
        </w:rPr>
        <w:t xml:space="preserve">上传该加密的</w:t>
      </w:r>
      <w:r>
        <w:rPr>
          <w:rFonts w:hint="eastAsia" w:ascii="宋体" w:hAnsi="宋体"/>
          <w:color w:val="000000" w:themeColor="text1"/>
          <w:sz w:val="24"/>
          <w:szCs w:val="24"/>
          <w:highlight w:val="none"/>
        </w:rPr>
        <w:t xml:space="preserve">投标</w:t>
      </w:r>
      <w:r>
        <w:rPr>
          <w:rFonts w:ascii="宋体" w:hAnsi="宋体"/>
          <w:color w:val="000000" w:themeColor="text1"/>
          <w:sz w:val="24"/>
          <w:szCs w:val="24"/>
          <w:highlight w:val="none"/>
        </w:rPr>
        <w:t xml:space="preserve">文件，对</w:t>
      </w:r>
      <w:r>
        <w:rPr>
          <w:rFonts w:hint="eastAsia" w:ascii="宋体" w:hAnsi="宋体"/>
          <w:color w:val="000000" w:themeColor="text1"/>
          <w:sz w:val="24"/>
          <w:szCs w:val="24"/>
          <w:highlight w:val="none"/>
        </w:rPr>
        <w:t xml:space="preserve">招标</w:t>
      </w:r>
      <w:r>
        <w:rPr>
          <w:rFonts w:ascii="宋体" w:hAnsi="宋体"/>
          <w:color w:val="000000" w:themeColor="text1"/>
          <w:sz w:val="24"/>
          <w:szCs w:val="24"/>
          <w:highlight w:val="none"/>
        </w:rPr>
        <w:t xml:space="preserve">文件各项内容做出实质性响应，否则其</w:t>
      </w:r>
      <w:r>
        <w:rPr>
          <w:rFonts w:hint="eastAsia" w:ascii="宋体" w:hAnsi="宋体"/>
          <w:color w:val="000000" w:themeColor="text1"/>
          <w:sz w:val="24"/>
          <w:szCs w:val="24"/>
          <w:highlight w:val="none"/>
        </w:rPr>
        <w:t xml:space="preserve">投标</w:t>
      </w:r>
      <w:r>
        <w:rPr>
          <w:rFonts w:ascii="宋体" w:hAnsi="宋体"/>
          <w:color w:val="000000" w:themeColor="text1"/>
          <w:sz w:val="24"/>
          <w:szCs w:val="24"/>
          <w:highlight w:val="none"/>
        </w:rPr>
        <w:t xml:space="preserve">文件无效。</w:t>
      </w:r>
      <w:r>
        <w:rPr>
          <w:color w:val="000000" w:themeColor="text1"/>
          <w:highlight w:val="none"/>
        </w:rPr>
      </w:r>
    </w:p>
    <w:p>
      <w:pPr>
        <w:pStyle w:val="883"/>
        <w:ind w:firstLine="480"/>
        <w:spacing w:line="500" w:lineRule="exact"/>
        <w:tabs>
          <w:tab w:val="left" w:pos="90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（三）有关本次采购的事项若存在变动或修改，敬请及时关注无锡市公共资源交易中心在“无锡政府采购网”“江苏政府采购网”发布的更正公告。</w:t>
      </w:r>
      <w:r>
        <w:rPr>
          <w:color w:val="000000" w:themeColor="text1"/>
          <w:highlight w:val="none"/>
        </w:rPr>
      </w:r>
    </w:p>
    <w:p>
      <w:pPr>
        <w:pStyle w:val="883"/>
        <w:ind w:firstLine="480"/>
        <w:spacing w:line="500" w:lineRule="exact"/>
        <w:tabs>
          <w:tab w:val="left" w:pos="900" w:leader="none"/>
        </w:tabs>
        <w:rPr>
          <w:rFonts w:hint="eastAsia" w:ascii="宋体" w:hAnsi="宋体"/>
          <w:bCs/>
          <w:color w:val="000000" w:themeColor="text1"/>
          <w:sz w:val="24"/>
          <w:szCs w:val="24"/>
          <w:highlight w:val="none"/>
          <w:shd w:val="clear" w:color="ffffff" w:fill="d9d9d9"/>
        </w:rPr>
      </w:pPr>
      <w:r>
        <w:rPr>
          <w:rFonts w:hint="eastAsia" w:ascii="宋体" w:hAnsi="宋体"/>
          <w:bCs/>
          <w:color w:val="000000" w:themeColor="text1"/>
          <w:sz w:val="24"/>
          <w:szCs w:val="24"/>
          <w:highlight w:val="none"/>
        </w:rPr>
        <w:t xml:space="preserve">（四）本次采购不收取投标保证金。</w:t>
      </w:r>
      <w:r>
        <w:rPr>
          <w:rFonts w:hint="eastAsia" w:ascii="宋体" w:hAnsi="宋体"/>
          <w:bCs/>
          <w:color w:val="000000" w:themeColor="text1"/>
          <w:sz w:val="24"/>
          <w:szCs w:val="24"/>
          <w:highlight w:val="none"/>
          <w:shd w:val="clear" w:color="ffffff" w:fill="d9d9d9"/>
        </w:rPr>
      </w:r>
      <w:r>
        <w:rPr>
          <w:color w:val="000000" w:themeColor="text1"/>
          <w:highlight w:val="none"/>
        </w:rPr>
      </w:r>
    </w:p>
    <w:p>
      <w:pPr>
        <w:pStyle w:val="883"/>
        <w:jc w:val="center"/>
        <w:spacing w:line="500" w:lineRule="exact"/>
        <w:tabs>
          <w:tab w:val="left" w:pos="1440" w:leader="none"/>
        </w:tabs>
        <w:rPr>
          <w:rFonts w:hint="eastAsia" w:ascii="黑体" w:hAnsi="黑体" w:eastAsia="黑体"/>
          <w:color w:val="000000" w:themeColor="text1"/>
          <w:sz w:val="36"/>
          <w:szCs w:val="36"/>
          <w:highlight w:val="none"/>
        </w:rPr>
        <w:outlineLvl w:val="0"/>
      </w:pPr>
      <w:r>
        <w:rPr>
          <w:rFonts w:ascii="宋体" w:hAnsi="宋体"/>
          <w:bCs/>
          <w:color w:val="000000" w:themeColor="text1"/>
          <w:sz w:val="24"/>
          <w:szCs w:val="24"/>
          <w:highlight w:val="none"/>
          <w:shd w:val="clear" w:color="ffffff" w:fill="d9d9d9"/>
        </w:rPr>
        <w:br w:type="page" w:clear="all"/>
      </w:r>
      <w:bookmarkStart w:id="42" w:name="_Toc120614211"/>
      <w:r>
        <w:rPr>
          <w:rFonts w:hint="eastAsia" w:ascii="黑体" w:hAnsi="黑体" w:eastAsia="黑体"/>
          <w:color w:val="000000" w:themeColor="text1"/>
          <w:sz w:val="36"/>
          <w:szCs w:val="36"/>
          <w:highlight w:val="none"/>
        </w:rPr>
        <w:t xml:space="preserve">第二章  </w:t>
      </w:r>
      <w:bookmarkEnd w:id="1"/>
      <w:r>
        <w:rPr>
          <w:color w:val="000000" w:themeColor="text1"/>
          <w:highlight w:val="none"/>
        </w:rPr>
      </w:r>
      <w:bookmarkEnd w:id="2"/>
      <w:r>
        <w:rPr>
          <w:color w:val="000000" w:themeColor="text1"/>
          <w:highlight w:val="none"/>
        </w:rPr>
      </w:r>
      <w:bookmarkEnd w:id="3"/>
      <w:r>
        <w:rPr>
          <w:color w:val="000000" w:themeColor="text1"/>
          <w:highlight w:val="none"/>
        </w:rPr>
      </w:r>
      <w:bookmarkEnd w:id="4"/>
      <w:r>
        <w:rPr>
          <w:color w:val="000000" w:themeColor="text1"/>
          <w:highlight w:val="none"/>
        </w:rPr>
      </w:r>
      <w:bookmarkEnd w:id="5"/>
      <w:r>
        <w:rPr>
          <w:color w:val="000000" w:themeColor="text1"/>
          <w:highlight w:val="none"/>
        </w:rPr>
      </w:r>
      <w:bookmarkEnd w:id="42"/>
      <w:r>
        <w:rPr>
          <w:color w:val="000000" w:themeColor="text1"/>
          <w:highlight w:val="none"/>
        </w:rPr>
      </w:r>
      <w:bookmarkStart w:id="43" w:name="_Toc16938518"/>
      <w:r>
        <w:rPr>
          <w:color w:val="000000" w:themeColor="text1"/>
          <w:highlight w:val="none"/>
        </w:rPr>
      </w:r>
      <w:bookmarkStart w:id="44" w:name="_Toc513029202"/>
      <w:r>
        <w:rPr>
          <w:color w:val="000000" w:themeColor="text1"/>
          <w:highlight w:val="none"/>
        </w:rPr>
      </w:r>
      <w:bookmarkStart w:id="45" w:name="_Toc20823274"/>
      <w:r>
        <w:rPr>
          <w:color w:val="000000" w:themeColor="text1"/>
          <w:highlight w:val="none"/>
        </w:rPr>
      </w:r>
      <w:bookmarkStart w:id="46" w:name="_Toc120614213"/>
      <w:r>
        <w:rPr>
          <w:rFonts w:hint="eastAsia" w:ascii="黑体" w:hAnsi="黑体" w:eastAsia="黑体"/>
          <w:color w:val="000000" w:themeColor="text1"/>
          <w:sz w:val="36"/>
          <w:szCs w:val="36"/>
          <w:highlight w:val="none"/>
        </w:rPr>
        <w:t xml:space="preserve">投标人须知</w:t>
      </w:r>
      <w:bookmarkEnd w:id="43"/>
      <w:r>
        <w:rPr>
          <w:color w:val="000000" w:themeColor="text1"/>
          <w:highlight w:val="none"/>
        </w:rPr>
      </w:r>
      <w:bookmarkEnd w:id="44"/>
      <w:r>
        <w:rPr>
          <w:color w:val="000000" w:themeColor="text1"/>
          <w:highlight w:val="none"/>
        </w:rPr>
      </w:r>
      <w:bookmarkEnd w:id="45"/>
      <w:r>
        <w:rPr>
          <w:color w:val="000000" w:themeColor="text1"/>
          <w:highlight w:val="none"/>
        </w:rPr>
      </w:r>
      <w:bookmarkEnd w:id="46"/>
      <w:r>
        <w:rPr>
          <w:rFonts w:hint="eastAsia" w:ascii="黑体" w:hAnsi="黑体" w:eastAsia="黑体"/>
          <w:color w:val="000000" w:themeColor="text1"/>
          <w:sz w:val="36"/>
          <w:szCs w:val="36"/>
          <w:highlight w:val="none"/>
        </w:rPr>
      </w:r>
      <w:r>
        <w:rPr>
          <w:color w:val="000000" w:themeColor="text1"/>
          <w:highlight w:val="none"/>
        </w:rPr>
      </w:r>
    </w:p>
    <w:p>
      <w:pPr>
        <w:pStyle w:val="886"/>
        <w:ind w:firstLine="452"/>
        <w:keepLines w:val="0"/>
        <w:keepNext w:val="0"/>
        <w:spacing w:before="0" w:after="0" w:line="500" w:lineRule="exact"/>
        <w:rPr>
          <w:rFonts w:hint="eastAsia"/>
          <w:color w:val="000000" w:themeColor="text1"/>
          <w:sz w:val="30"/>
          <w:szCs w:val="30"/>
          <w:highlight w:val="none"/>
        </w:rPr>
      </w:pPr>
      <w:r>
        <w:rPr>
          <w:color w:val="000000" w:themeColor="text1"/>
          <w:highlight w:val="none"/>
        </w:rPr>
      </w:r>
      <w:bookmarkStart w:id="47" w:name="_Toc120614214"/>
      <w:r>
        <w:rPr>
          <w:color w:val="000000" w:themeColor="text1"/>
          <w:highlight w:val="none"/>
        </w:rPr>
      </w:r>
      <w:bookmarkStart w:id="48" w:name="_Toc16938519"/>
      <w:r>
        <w:rPr>
          <w:color w:val="000000" w:themeColor="text1"/>
          <w:highlight w:val="none"/>
        </w:rPr>
      </w:r>
      <w:bookmarkStart w:id="49" w:name="_Toc513029203"/>
      <w:r>
        <w:rPr>
          <w:color w:val="000000" w:themeColor="text1"/>
          <w:highlight w:val="none"/>
        </w:rPr>
      </w:r>
      <w:bookmarkStart w:id="50" w:name="_Toc20823275"/>
      <w:r>
        <w:rPr>
          <w:rFonts w:hint="eastAsia"/>
          <w:color w:val="000000" w:themeColor="text1"/>
          <w:sz w:val="30"/>
          <w:szCs w:val="30"/>
          <w:highlight w:val="none"/>
        </w:rPr>
        <w:t xml:space="preserve">一、总则</w:t>
      </w:r>
      <w:bookmarkEnd w:id="47"/>
      <w:r>
        <w:rPr>
          <w:color w:val="000000" w:themeColor="text1"/>
          <w:highlight w:val="none"/>
        </w:rPr>
      </w:r>
      <w:bookmarkEnd w:id="48"/>
      <w:r>
        <w:rPr>
          <w:color w:val="000000" w:themeColor="text1"/>
          <w:highlight w:val="none"/>
        </w:rPr>
      </w:r>
      <w:bookmarkEnd w:id="49"/>
      <w:r>
        <w:rPr>
          <w:color w:val="000000" w:themeColor="text1"/>
          <w:highlight w:val="none"/>
        </w:rPr>
      </w:r>
      <w:bookmarkEnd w:id="50"/>
      <w:r>
        <w:rPr>
          <w:rFonts w:hint="eastAsia"/>
          <w:color w:val="000000" w:themeColor="text1"/>
          <w:sz w:val="30"/>
          <w:szCs w:val="30"/>
          <w:highlight w:val="none"/>
        </w:rPr>
      </w:r>
      <w:r>
        <w:rPr>
          <w:color w:val="000000" w:themeColor="text1"/>
          <w:highlight w:val="none"/>
        </w:rPr>
      </w:r>
    </w:p>
    <w:p>
      <w:pPr>
        <w:pStyle w:val="887"/>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51" w:name="_Hlt16619475"/>
      <w:r>
        <w:rPr>
          <w:color w:val="000000" w:themeColor="text1"/>
          <w:highlight w:val="none"/>
        </w:rPr>
      </w:r>
      <w:bookmarkEnd w:id="51"/>
      <w:r>
        <w:rPr>
          <w:color w:val="000000" w:themeColor="text1"/>
          <w:highlight w:val="none"/>
        </w:rPr>
      </w:r>
      <w:bookmarkStart w:id="52" w:name="_Toc16938520"/>
      <w:r>
        <w:rPr>
          <w:color w:val="000000" w:themeColor="text1"/>
          <w:highlight w:val="none"/>
        </w:rPr>
      </w:r>
      <w:bookmarkStart w:id="53" w:name="_Toc20823276"/>
      <w:r>
        <w:rPr>
          <w:color w:val="000000" w:themeColor="text1"/>
          <w:highlight w:val="none"/>
        </w:rPr>
      </w:r>
      <w:bookmarkStart w:id="54" w:name="_Toc513029204"/>
      <w:r>
        <w:rPr>
          <w:rFonts w:hint="eastAsia" w:ascii="宋体" w:hAnsi="宋体" w:eastAsia="宋体"/>
          <w:bCs w:val="0"/>
          <w:color w:val="000000" w:themeColor="text1"/>
          <w:highlight w:val="none"/>
        </w:rPr>
        <w:t xml:space="preserve">1.招标方式</w:t>
      </w:r>
      <w:bookmarkEnd w:id="52"/>
      <w:r>
        <w:rPr>
          <w:color w:val="000000" w:themeColor="text1"/>
          <w:highlight w:val="none"/>
        </w:rPr>
      </w:r>
      <w:bookmarkEnd w:id="53"/>
      <w:r>
        <w:rPr>
          <w:color w:val="000000" w:themeColor="text1"/>
          <w:highlight w:val="none"/>
        </w:rPr>
      </w:r>
      <w:bookmarkEnd w:id="54"/>
      <w:r>
        <w:rPr>
          <w:rFonts w:hint="eastAsia" w:ascii="宋体" w:hAnsi="宋体" w:eastAsia="宋体"/>
          <w:bCs w:val="0"/>
          <w:color w:val="000000" w:themeColor="text1"/>
          <w:highlight w:val="none"/>
        </w:rPr>
      </w:r>
      <w:r>
        <w:rPr>
          <w:color w:val="000000" w:themeColor="text1"/>
          <w:highlight w:val="none"/>
        </w:rPr>
      </w:r>
    </w:p>
    <w:p>
      <w:pPr>
        <w:pStyle w:val="883"/>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1.1本次招标采取公开招标方式，本招标文件仅适用于招标公告中所述项目。</w:t>
      </w:r>
      <w:r>
        <w:rPr>
          <w:color w:val="000000" w:themeColor="text1"/>
          <w:highlight w:val="none"/>
        </w:rPr>
      </w:r>
    </w:p>
    <w:p>
      <w:pPr>
        <w:pStyle w:val="887"/>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55" w:name="_Toc20823277"/>
      <w:r>
        <w:rPr>
          <w:color w:val="000000" w:themeColor="text1"/>
          <w:highlight w:val="none"/>
        </w:rPr>
      </w:r>
      <w:bookmarkStart w:id="56" w:name="_Toc513029205"/>
      <w:r>
        <w:rPr>
          <w:color w:val="000000" w:themeColor="text1"/>
          <w:highlight w:val="none"/>
        </w:rPr>
      </w:r>
      <w:bookmarkStart w:id="57" w:name="_Toc16938521"/>
      <w:r>
        <w:rPr>
          <w:rFonts w:hint="eastAsia" w:ascii="宋体" w:hAnsi="宋体" w:eastAsia="宋体"/>
          <w:bCs w:val="0"/>
          <w:color w:val="000000" w:themeColor="text1"/>
          <w:highlight w:val="none"/>
        </w:rPr>
        <w:t xml:space="preserve">2.</w:t>
      </w:r>
      <w:bookmarkEnd w:id="55"/>
      <w:r>
        <w:rPr>
          <w:color w:val="000000" w:themeColor="text1"/>
          <w:highlight w:val="none"/>
        </w:rPr>
      </w:r>
      <w:bookmarkEnd w:id="56"/>
      <w:r>
        <w:rPr>
          <w:color w:val="000000" w:themeColor="text1"/>
          <w:highlight w:val="none"/>
        </w:rPr>
      </w:r>
      <w:bookmarkEnd w:id="57"/>
      <w:r>
        <w:rPr>
          <w:rFonts w:hint="eastAsia" w:ascii="宋体" w:hAnsi="宋体" w:eastAsia="宋体"/>
          <w:bCs w:val="0"/>
          <w:color w:val="000000" w:themeColor="text1"/>
          <w:highlight w:val="none"/>
        </w:rPr>
        <w:t xml:space="preserve">采购人、采购代理机构、投标人、联合体</w:t>
      </w:r>
      <w:r>
        <w:rPr>
          <w:color w:val="000000" w:themeColor="text1"/>
          <w:highlight w:val="none"/>
        </w:rP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2.1采购人、采购代理机构：指依法进行政府采购的国家机关、事业单位、团体组织，及其委托的采购代理机构。本项目采购人、采购代理机构见第一章《投标邀请》。</w:t>
      </w:r>
      <w:r>
        <w:rPr>
          <w:color w:val="000000" w:themeColor="text1"/>
          <w:highlight w:val="none"/>
        </w:rPr>
      </w:r>
    </w:p>
    <w:p>
      <w:pPr>
        <w:pStyle w:val="883"/>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2.2投标人（也称“供应商”、“申请人”）：是指响应招标、参加投标竞争的法人、其他组织或者自然人。合格的投标人应满足招标公告中供应商的资格要求以及本文件实质性要求和条件的规定。</w:t>
      </w:r>
      <w:r>
        <w:rPr>
          <w:rFonts w:ascii="宋体" w:hAnsi="宋体"/>
          <w:color w:val="000000" w:themeColor="text1"/>
          <w:sz w:val="24"/>
          <w:szCs w:val="24"/>
          <w:highlight w:val="none"/>
        </w:rPr>
      </w:r>
      <w:r>
        <w:rPr>
          <w:color w:val="000000" w:themeColor="text1"/>
          <w:highlight w:val="none"/>
        </w:rP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rPr>
          <w:color w:val="000000" w:themeColor="text1"/>
          <w:highlight w:val="none"/>
        </w:rPr>
      </w:r>
    </w:p>
    <w:p>
      <w:pPr>
        <w:pStyle w:val="887"/>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58" w:name="_Toc16938522"/>
      <w:r>
        <w:rPr>
          <w:color w:val="000000" w:themeColor="text1"/>
          <w:highlight w:val="none"/>
        </w:rPr>
      </w:r>
      <w:bookmarkStart w:id="59" w:name="_Toc20823278"/>
      <w:r>
        <w:rPr>
          <w:color w:val="000000" w:themeColor="text1"/>
          <w:highlight w:val="none"/>
        </w:rPr>
      </w:r>
      <w:bookmarkStart w:id="60" w:name="_Toc513029206"/>
      <w:r>
        <w:rPr>
          <w:rFonts w:hint="eastAsia" w:ascii="宋体" w:hAnsi="宋体" w:eastAsia="宋体"/>
          <w:bCs w:val="0"/>
          <w:color w:val="000000" w:themeColor="text1"/>
          <w:highlight w:val="none"/>
        </w:rPr>
        <w:t xml:space="preserve">3.适用法律</w:t>
      </w:r>
      <w:bookmarkEnd w:id="58"/>
      <w:r>
        <w:rPr>
          <w:color w:val="000000" w:themeColor="text1"/>
          <w:highlight w:val="none"/>
        </w:rPr>
      </w:r>
      <w:bookmarkEnd w:id="59"/>
      <w:r>
        <w:rPr>
          <w:color w:val="000000" w:themeColor="text1"/>
          <w:highlight w:val="none"/>
        </w:rPr>
      </w:r>
      <w:bookmarkEnd w:id="60"/>
      <w:r>
        <w:rPr>
          <w:rFonts w:hint="eastAsia" w:ascii="宋体" w:hAnsi="宋体" w:eastAsia="宋体"/>
          <w:bCs w:val="0"/>
          <w:color w:val="000000" w:themeColor="text1"/>
          <w:highlight w:val="none"/>
        </w:rPr>
      </w:r>
      <w:r>
        <w:rPr>
          <w:color w:val="000000" w:themeColor="text1"/>
          <w:highlight w:val="none"/>
        </w:rPr>
      </w:r>
    </w:p>
    <w:p>
      <w:pPr>
        <w:pStyle w:val="883"/>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3.1本次招标及由此产生的合同受中华人民共和国法律的制约和保护。</w:t>
      </w:r>
      <w:r>
        <w:rPr>
          <w:color w:val="000000" w:themeColor="text1"/>
          <w:highlight w:val="none"/>
        </w:rPr>
      </w:r>
    </w:p>
    <w:p>
      <w:pPr>
        <w:pStyle w:val="887"/>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61" w:name="_Toc16938523"/>
      <w:r>
        <w:rPr>
          <w:color w:val="000000" w:themeColor="text1"/>
          <w:highlight w:val="none"/>
        </w:rPr>
      </w:r>
      <w:bookmarkStart w:id="62" w:name="_Toc462564067"/>
      <w:r>
        <w:rPr>
          <w:color w:val="000000" w:themeColor="text1"/>
          <w:highlight w:val="none"/>
        </w:rPr>
      </w:r>
      <w:bookmarkStart w:id="63" w:name="_Toc20823279"/>
      <w:r>
        <w:rPr>
          <w:color w:val="000000" w:themeColor="text1"/>
          <w:highlight w:val="none"/>
        </w:rPr>
      </w:r>
      <w:bookmarkStart w:id="64" w:name="_Toc513029207"/>
      <w:r>
        <w:rPr>
          <w:rFonts w:hint="eastAsia" w:ascii="宋体" w:hAnsi="宋体" w:eastAsia="宋体"/>
          <w:bCs w:val="0"/>
          <w:color w:val="000000" w:themeColor="text1"/>
          <w:highlight w:val="none"/>
        </w:rPr>
        <w:t xml:space="preserve">4.投标费用</w:t>
      </w:r>
      <w:bookmarkEnd w:id="61"/>
      <w:r>
        <w:rPr>
          <w:color w:val="000000" w:themeColor="text1"/>
          <w:highlight w:val="none"/>
        </w:rPr>
      </w:r>
      <w:bookmarkEnd w:id="62"/>
      <w:r>
        <w:rPr>
          <w:color w:val="000000" w:themeColor="text1"/>
          <w:highlight w:val="none"/>
        </w:rPr>
      </w:r>
      <w:bookmarkEnd w:id="63"/>
      <w:r>
        <w:rPr>
          <w:color w:val="000000" w:themeColor="text1"/>
          <w:highlight w:val="none"/>
        </w:rPr>
      </w:r>
      <w:bookmarkEnd w:id="64"/>
      <w:r>
        <w:rPr>
          <w:rFonts w:hint="eastAsia" w:ascii="宋体" w:hAnsi="宋体" w:eastAsia="宋体"/>
          <w:bCs w:val="0"/>
          <w:color w:val="000000" w:themeColor="text1"/>
          <w:highlight w:val="none"/>
        </w:rPr>
      </w:r>
      <w:r>
        <w:rPr>
          <w:color w:val="000000" w:themeColor="text1"/>
          <w:highlight w:val="none"/>
        </w:rPr>
      </w:r>
    </w:p>
    <w:p>
      <w:pPr>
        <w:pStyle w:val="883"/>
        <w:ind w:firstLine="480"/>
        <w:spacing w:line="500" w:lineRule="exact"/>
        <w:rPr>
          <w:rFonts w:hint="eastAsia" w:ascii="宋体" w:hAnsi="宋体"/>
          <w:color w:val="000000" w:themeColor="text1"/>
          <w:sz w:val="24"/>
          <w:highlight w:val="none"/>
        </w:rPr>
      </w:pPr>
      <w:r>
        <w:rPr>
          <w:rFonts w:hint="eastAsia" w:ascii="宋体" w:hAnsi="宋体"/>
          <w:bCs/>
          <w:color w:val="000000" w:themeColor="text1"/>
          <w:sz w:val="24"/>
          <w:highlight w:val="none"/>
        </w:rPr>
        <w:t xml:space="preserve">4.1</w:t>
      </w:r>
      <w:r>
        <w:rPr>
          <w:rFonts w:hint="eastAsia" w:ascii="宋体" w:hAnsi="宋体"/>
          <w:color w:val="000000" w:themeColor="text1"/>
          <w:sz w:val="24"/>
          <w:highlight w:val="none"/>
        </w:rPr>
        <w:t xml:space="preserve">投标人应自行承担所有与参加投标有关的费用，无论投标过程中的做法和结果如何，无锡市公共资源交易中心（以下简称交易中心）在任何情况下均无义务和责任承担这些费用。</w:t>
      </w:r>
      <w:r>
        <w:rPr>
          <w:color w:val="000000" w:themeColor="text1"/>
          <w:highlight w:val="none"/>
        </w:rPr>
      </w:r>
    </w:p>
    <w:p>
      <w:pPr>
        <w:pStyle w:val="883"/>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4.2本次招标标书工本费、中标服务费、招标文件均免费。</w:t>
      </w:r>
      <w:r>
        <w:rPr>
          <w:color w:val="000000" w:themeColor="text1"/>
          <w:highlight w:val="none"/>
        </w:rPr>
      </w:r>
    </w:p>
    <w:p>
      <w:pPr>
        <w:pStyle w:val="887"/>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5.招标文件的约束力</w:t>
      </w:r>
      <w:r>
        <w:rPr>
          <w:color w:val="000000" w:themeColor="text1"/>
          <w:highlight w:val="none"/>
        </w:rP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bCs/>
          <w:color w:val="000000" w:themeColor="text1"/>
          <w:sz w:val="24"/>
          <w:szCs w:val="24"/>
          <w:highlight w:val="none"/>
        </w:rPr>
        <w:t xml:space="preserve">5.1</w:t>
      </w:r>
      <w:r>
        <w:rPr>
          <w:rFonts w:hint="eastAsia" w:ascii="宋体" w:hAnsi="宋体"/>
          <w:color w:val="000000" w:themeColor="text1"/>
          <w:sz w:val="24"/>
          <w:szCs w:val="24"/>
          <w:highlight w:val="none"/>
        </w:rPr>
        <w:t xml:space="preserve">投标人一旦参加本项目采购活动，即被认为接受了本招标文件的规定和约束。</w:t>
      </w:r>
      <w:r>
        <w:rPr>
          <w:color w:val="000000" w:themeColor="text1"/>
          <w:highlight w:val="none"/>
        </w:rPr>
      </w:r>
    </w:p>
    <w:p>
      <w:pPr>
        <w:pStyle w:val="886"/>
        <w:ind w:firstLine="452"/>
        <w:keepLines w:val="0"/>
        <w:keepNext w:val="0"/>
        <w:spacing w:before="0" w:after="0" w:line="500" w:lineRule="exact"/>
        <w:rPr>
          <w:rFonts w:hint="eastAsia"/>
          <w:color w:val="000000" w:themeColor="text1"/>
          <w:sz w:val="30"/>
          <w:szCs w:val="30"/>
          <w:highlight w:val="none"/>
        </w:rPr>
      </w:pPr>
      <w:r>
        <w:rPr>
          <w:color w:val="000000" w:themeColor="text1"/>
          <w:highlight w:val="none"/>
        </w:rPr>
      </w:r>
      <w:bookmarkStart w:id="65" w:name="_Toc20823281"/>
      <w:r>
        <w:rPr>
          <w:color w:val="000000" w:themeColor="text1"/>
          <w:highlight w:val="none"/>
        </w:rPr>
      </w:r>
      <w:bookmarkStart w:id="66" w:name="_Toc513029209"/>
      <w:r>
        <w:rPr>
          <w:color w:val="000000" w:themeColor="text1"/>
          <w:highlight w:val="none"/>
        </w:rPr>
      </w:r>
      <w:bookmarkStart w:id="67" w:name="_Toc16938525"/>
      <w:r>
        <w:rPr>
          <w:color w:val="000000" w:themeColor="text1"/>
          <w:highlight w:val="none"/>
        </w:rPr>
      </w:r>
      <w:bookmarkStart w:id="68" w:name="_Toc120614215"/>
      <w:r>
        <w:rPr>
          <w:rFonts w:hint="eastAsia"/>
          <w:color w:val="000000" w:themeColor="text1"/>
          <w:sz w:val="30"/>
          <w:szCs w:val="30"/>
          <w:highlight w:val="none"/>
        </w:rPr>
        <w:t xml:space="preserve">二、招标文件</w:t>
      </w:r>
      <w:bookmarkEnd w:id="65"/>
      <w:r>
        <w:rPr>
          <w:color w:val="000000" w:themeColor="text1"/>
          <w:highlight w:val="none"/>
        </w:rPr>
      </w:r>
      <w:bookmarkEnd w:id="66"/>
      <w:r>
        <w:rPr>
          <w:color w:val="000000" w:themeColor="text1"/>
          <w:highlight w:val="none"/>
        </w:rPr>
      </w:r>
      <w:bookmarkEnd w:id="67"/>
      <w:r>
        <w:rPr>
          <w:color w:val="000000" w:themeColor="text1"/>
          <w:highlight w:val="none"/>
        </w:rPr>
      </w:r>
      <w:bookmarkEnd w:id="68"/>
      <w:r>
        <w:rPr>
          <w:rFonts w:hint="eastAsia"/>
          <w:color w:val="000000" w:themeColor="text1"/>
          <w:sz w:val="30"/>
          <w:szCs w:val="30"/>
          <w:highlight w:val="none"/>
        </w:rPr>
      </w:r>
      <w:r>
        <w:rPr>
          <w:color w:val="000000" w:themeColor="text1"/>
          <w:highlight w:val="none"/>
        </w:rPr>
      </w:r>
    </w:p>
    <w:p>
      <w:pPr>
        <w:pStyle w:val="887"/>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69" w:name="_Toc16938526"/>
      <w:r>
        <w:rPr>
          <w:color w:val="000000" w:themeColor="text1"/>
          <w:highlight w:val="none"/>
        </w:rPr>
      </w:r>
      <w:bookmarkStart w:id="70" w:name="_Toc513029210"/>
      <w:r>
        <w:rPr>
          <w:color w:val="000000" w:themeColor="text1"/>
          <w:highlight w:val="none"/>
        </w:rPr>
      </w:r>
      <w:bookmarkStart w:id="71" w:name="_Toc20823282"/>
      <w:r>
        <w:rPr>
          <w:rFonts w:hint="eastAsia" w:ascii="宋体" w:hAnsi="宋体" w:eastAsia="宋体"/>
          <w:bCs w:val="0"/>
          <w:color w:val="000000" w:themeColor="text1"/>
          <w:highlight w:val="none"/>
        </w:rPr>
        <w:t xml:space="preserve">6.招标文件构成</w:t>
      </w:r>
      <w:bookmarkEnd w:id="69"/>
      <w:r>
        <w:rPr>
          <w:color w:val="000000" w:themeColor="text1"/>
          <w:highlight w:val="none"/>
        </w:rPr>
      </w:r>
      <w:bookmarkEnd w:id="70"/>
      <w:r>
        <w:rPr>
          <w:color w:val="000000" w:themeColor="text1"/>
          <w:highlight w:val="none"/>
        </w:rPr>
      </w:r>
      <w:bookmarkEnd w:id="71"/>
      <w:r>
        <w:rPr>
          <w:rFonts w:hint="eastAsia" w:ascii="宋体" w:hAnsi="宋体" w:eastAsia="宋体"/>
          <w:bCs w:val="0"/>
          <w:color w:val="000000" w:themeColor="text1"/>
          <w:highlight w:val="none"/>
        </w:rPr>
      </w:r>
      <w:r>
        <w:rPr>
          <w:color w:val="000000" w:themeColor="text1"/>
          <w:highlight w:val="none"/>
        </w:rPr>
      </w:r>
    </w:p>
    <w:p>
      <w:pPr>
        <w:pStyle w:val="883"/>
        <w:ind w:firstLine="480"/>
        <w:spacing w:line="500" w:lineRule="exact"/>
        <w:rPr>
          <w:rFonts w:hint="eastAsia" w:ascii="宋体" w:hAnsi="宋体"/>
          <w:color w:val="000000" w:themeColor="text1"/>
          <w:sz w:val="24"/>
          <w:highlight w:val="none"/>
        </w:rPr>
      </w:pPr>
      <w:r>
        <w:rPr>
          <w:rFonts w:hint="eastAsia" w:ascii="宋体" w:hAnsi="宋体"/>
          <w:bCs/>
          <w:color w:val="000000" w:themeColor="text1"/>
          <w:sz w:val="24"/>
          <w:highlight w:val="none"/>
        </w:rPr>
        <w:t xml:space="preserve">6.1</w:t>
      </w:r>
      <w:r>
        <w:rPr>
          <w:rFonts w:hint="eastAsia" w:ascii="宋体" w:hAnsi="宋体"/>
          <w:color w:val="000000" w:themeColor="text1"/>
          <w:sz w:val="24"/>
          <w:highlight w:val="none"/>
        </w:rPr>
        <w:t xml:space="preserve">招标文件由以下部分组成：</w:t>
      </w:r>
      <w:r>
        <w:rPr>
          <w:color w:val="000000" w:themeColor="text1"/>
          <w:highlight w:val="none"/>
        </w:rP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（1）投标</w:t>
      </w:r>
      <w:r>
        <w:rPr>
          <w:rFonts w:ascii="宋体" w:hAnsi="宋体"/>
          <w:color w:val="000000" w:themeColor="text1"/>
          <w:sz w:val="24"/>
          <w:szCs w:val="24"/>
          <w:highlight w:val="none"/>
        </w:rPr>
        <w:t xml:space="preserve">邀请</w:t>
      </w:r>
      <w:r>
        <w:rPr>
          <w:rFonts w:hint="eastAsia" w:ascii="宋体" w:hAnsi="宋体"/>
          <w:color w:val="000000" w:themeColor="text1"/>
          <w:sz w:val="24"/>
          <w:szCs w:val="24"/>
          <w:highlight w:val="none"/>
        </w:rPr>
      </w:r>
      <w:r>
        <w:rPr>
          <w:color w:val="000000" w:themeColor="text1"/>
          <w:highlight w:val="none"/>
        </w:rP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（2）投标人须知</w:t>
      </w:r>
      <w:r>
        <w:rPr>
          <w:color w:val="000000" w:themeColor="text1"/>
          <w:highlight w:val="none"/>
        </w:rP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（3）合同文本</w:t>
      </w:r>
      <w:r>
        <w:rPr>
          <w:color w:val="000000" w:themeColor="text1"/>
          <w:highlight w:val="none"/>
        </w:rP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（4）采购需求</w:t>
      </w:r>
      <w:r>
        <w:rPr>
          <w:color w:val="000000" w:themeColor="text1"/>
          <w:highlight w:val="none"/>
        </w:rPr>
      </w:r>
    </w:p>
    <w:p>
      <w:pPr>
        <w:pStyle w:val="883"/>
        <w:ind w:firstLine="480"/>
        <w:spacing w:line="500" w:lineRule="exact"/>
        <w:rPr>
          <w:rFonts w:hint="eastAsia"/>
          <w:color w:val="000000" w:themeColor="text1"/>
          <w:sz w:val="24"/>
          <w:szCs w:val="24"/>
          <w:highlight w:val="none"/>
        </w:rPr>
      </w:pPr>
      <w:r>
        <w:rPr>
          <w:rFonts w:hint="eastAsia" w:ascii="宋体" w:hAnsi="宋体"/>
          <w:color w:val="000000" w:themeColor="text1"/>
          <w:sz w:val="24"/>
          <w:szCs w:val="24"/>
          <w:highlight w:val="none"/>
        </w:rPr>
        <w:t xml:space="preserve">（5）</w:t>
      </w:r>
      <w:r>
        <w:rPr>
          <w:rFonts w:hint="eastAsia" w:hAnsi="宋体"/>
          <w:color w:val="000000" w:themeColor="text1"/>
          <w:sz w:val="24"/>
          <w:szCs w:val="24"/>
          <w:highlight w:val="none"/>
        </w:rPr>
        <w:t xml:space="preserve">评标方法与评标标准</w:t>
      </w:r>
      <w:r>
        <w:rPr>
          <w:rFonts w:hint="eastAsia"/>
          <w:color w:val="000000" w:themeColor="text1"/>
          <w:sz w:val="24"/>
          <w:szCs w:val="24"/>
          <w:highlight w:val="none"/>
        </w:rPr>
      </w:r>
      <w:r>
        <w:rPr>
          <w:color w:val="000000" w:themeColor="text1"/>
          <w:highlight w:val="none"/>
        </w:rP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（6）投标文件内容与格式</w:t>
      </w:r>
      <w:r>
        <w:rPr>
          <w:color w:val="000000" w:themeColor="text1"/>
          <w:highlight w:val="none"/>
        </w:rPr>
      </w:r>
    </w:p>
    <w:p>
      <w:pPr>
        <w:pStyle w:val="883"/>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请仔细检查招标文件是否齐全，如有缺漏请立即与交易中心联系解决。</w:t>
      </w:r>
      <w:r>
        <w:rPr>
          <w:color w:val="000000" w:themeColor="text1"/>
          <w:highlight w:val="none"/>
        </w:rPr>
      </w:r>
    </w:p>
    <w:p>
      <w:pPr>
        <w:pStyle w:val="883"/>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color w:val="000000" w:themeColor="text1"/>
          <w:highlight w:val="none"/>
        </w:rPr>
      </w:r>
    </w:p>
    <w:p>
      <w:pPr>
        <w:pStyle w:val="887"/>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72" w:name="_Toc16938527"/>
      <w:r>
        <w:rPr>
          <w:color w:val="000000" w:themeColor="text1"/>
          <w:highlight w:val="none"/>
        </w:rPr>
      </w:r>
      <w:bookmarkStart w:id="73" w:name="_Toc462564070"/>
      <w:r>
        <w:rPr>
          <w:color w:val="000000" w:themeColor="text1"/>
          <w:highlight w:val="none"/>
        </w:rPr>
      </w:r>
      <w:bookmarkStart w:id="74" w:name="_Toc20823283"/>
      <w:r>
        <w:rPr>
          <w:color w:val="000000" w:themeColor="text1"/>
          <w:highlight w:val="none"/>
        </w:rPr>
      </w:r>
      <w:bookmarkStart w:id="75" w:name="_Toc513029211"/>
      <w:r>
        <w:rPr>
          <w:rFonts w:hint="eastAsia" w:ascii="宋体" w:hAnsi="宋体" w:eastAsia="宋体"/>
          <w:bCs w:val="0"/>
          <w:color w:val="000000" w:themeColor="text1"/>
          <w:highlight w:val="none"/>
        </w:rPr>
        <w:t xml:space="preserve">7.招标文件的澄清</w:t>
      </w:r>
      <w:bookmarkEnd w:id="72"/>
      <w:r>
        <w:rPr>
          <w:color w:val="000000" w:themeColor="text1"/>
          <w:highlight w:val="none"/>
        </w:rPr>
      </w:r>
      <w:bookmarkEnd w:id="73"/>
      <w:r>
        <w:rPr>
          <w:color w:val="000000" w:themeColor="text1"/>
          <w:highlight w:val="none"/>
        </w:rPr>
      </w:r>
      <w:bookmarkEnd w:id="74"/>
      <w:r>
        <w:rPr>
          <w:color w:val="000000" w:themeColor="text1"/>
          <w:highlight w:val="none"/>
        </w:rPr>
      </w:r>
      <w:bookmarkEnd w:id="75"/>
      <w:r>
        <w:rPr>
          <w:rFonts w:hint="eastAsia" w:ascii="宋体" w:hAnsi="宋体" w:eastAsia="宋体"/>
          <w:bCs w:val="0"/>
          <w:color w:val="000000" w:themeColor="text1"/>
          <w:highlight w:val="none"/>
        </w:rPr>
      </w:r>
      <w:r>
        <w:rPr>
          <w:color w:val="000000" w:themeColor="text1"/>
          <w:highlight w:val="none"/>
        </w:rPr>
      </w:r>
    </w:p>
    <w:p>
      <w:pPr>
        <w:pStyle w:val="883"/>
        <w:ind w:firstLine="480"/>
        <w:spacing w:line="500" w:lineRule="exact"/>
        <w:rPr>
          <w:rFonts w:ascii="宋体" w:hAnsi="宋体"/>
          <w:bCs/>
          <w:color w:val="000000" w:themeColor="text1"/>
          <w:sz w:val="24"/>
          <w:highlight w:val="none"/>
        </w:rPr>
      </w:pPr>
      <w:r>
        <w:rPr>
          <w:rFonts w:hint="eastAsia" w:ascii="宋体" w:hAnsi="宋体"/>
          <w:bCs/>
          <w:color w:val="000000" w:themeColor="text1"/>
          <w:sz w:val="24"/>
          <w:highlight w:val="none"/>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rPr>
          <w:rFonts w:ascii="宋体" w:hAnsi="宋体"/>
          <w:bCs/>
          <w:color w:val="000000" w:themeColor="text1"/>
          <w:sz w:val="24"/>
          <w:highlight w:val="none"/>
        </w:rPr>
      </w:r>
      <w:r>
        <w:rPr>
          <w:color w:val="000000" w:themeColor="text1"/>
          <w:highlight w:val="none"/>
        </w:rPr>
      </w:r>
    </w:p>
    <w:p>
      <w:pPr>
        <w:pStyle w:val="887"/>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76" w:name="_Toc462564071"/>
      <w:r>
        <w:rPr>
          <w:color w:val="000000" w:themeColor="text1"/>
          <w:highlight w:val="none"/>
        </w:rPr>
      </w:r>
      <w:bookmarkStart w:id="77" w:name="_Toc16938528"/>
      <w:r>
        <w:rPr>
          <w:color w:val="000000" w:themeColor="text1"/>
          <w:highlight w:val="none"/>
        </w:rPr>
      </w:r>
      <w:bookmarkStart w:id="78" w:name="_Toc20823284"/>
      <w:r>
        <w:rPr>
          <w:color w:val="000000" w:themeColor="text1"/>
          <w:highlight w:val="none"/>
        </w:rPr>
      </w:r>
      <w:bookmarkStart w:id="79" w:name="_Toc513029212"/>
      <w:r>
        <w:rPr>
          <w:rFonts w:hint="eastAsia" w:ascii="宋体" w:hAnsi="宋体" w:eastAsia="宋体"/>
          <w:bCs w:val="0"/>
          <w:color w:val="000000" w:themeColor="text1"/>
          <w:highlight w:val="none"/>
        </w:rPr>
        <w:t xml:space="preserve">8.招标文件的修改</w:t>
      </w:r>
      <w:bookmarkEnd w:id="76"/>
      <w:r>
        <w:rPr>
          <w:color w:val="000000" w:themeColor="text1"/>
          <w:highlight w:val="none"/>
        </w:rPr>
      </w:r>
      <w:bookmarkEnd w:id="77"/>
      <w:r>
        <w:rPr>
          <w:color w:val="000000" w:themeColor="text1"/>
          <w:highlight w:val="none"/>
        </w:rPr>
      </w:r>
      <w:bookmarkEnd w:id="78"/>
      <w:r>
        <w:rPr>
          <w:color w:val="000000" w:themeColor="text1"/>
          <w:highlight w:val="none"/>
        </w:rPr>
      </w:r>
      <w:bookmarkEnd w:id="79"/>
      <w:r>
        <w:rPr>
          <w:rFonts w:hint="eastAsia" w:ascii="宋体" w:hAnsi="宋体" w:eastAsia="宋体"/>
          <w:bCs w:val="0"/>
          <w:color w:val="000000" w:themeColor="text1"/>
          <w:highlight w:val="none"/>
        </w:rPr>
      </w:r>
      <w:r>
        <w:rPr>
          <w:color w:val="000000" w:themeColor="text1"/>
          <w:highlight w:val="none"/>
        </w:rPr>
      </w:r>
    </w:p>
    <w:p>
      <w:pPr>
        <w:pStyle w:val="883"/>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8.1交易中心可在投标截止时间十五日前对招标文件进行必要的澄清或者修改，不足十五日的，将顺延提交投标文件的截止时间和开标日期。</w:t>
      </w:r>
      <w:r>
        <w:rPr>
          <w:color w:val="000000" w:themeColor="text1"/>
          <w:highlight w:val="none"/>
        </w:rPr>
      </w:r>
    </w:p>
    <w:p>
      <w:pPr>
        <w:pStyle w:val="883"/>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8.2</w:t>
      </w:r>
      <w:r>
        <w:rPr>
          <w:rFonts w:hint="eastAsia" w:ascii="宋体" w:hAnsi="宋体"/>
          <w:bCs/>
          <w:color w:val="000000" w:themeColor="text1"/>
          <w:sz w:val="24"/>
          <w:szCs w:val="24"/>
          <w:highlight w:val="none"/>
        </w:rPr>
        <w:t xml:space="preserve">如需对招标文件进行澄清或修改，交易中心将在无锡政府采购网、江苏政府采购网发布更正公告，澄清或修改的内容为招标文件的组成部分，并对投标人具有约束力。投标人应在投标截止时间前</w:t>
      </w:r>
      <w:r>
        <w:rPr>
          <w:rFonts w:hint="eastAsia" w:ascii="宋体" w:hAnsi="宋体"/>
          <w:color w:val="000000" w:themeColor="text1"/>
          <w:sz w:val="24"/>
          <w:szCs w:val="24"/>
          <w:highlight w:val="none"/>
        </w:rPr>
        <w:t xml:space="preserve">登录</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或</w:t>
      </w:r>
      <w:r>
        <w:rPr>
          <w:rFonts w:hint="eastAsia" w:ascii="宋体" w:hAnsi="宋体"/>
          <w:bCs/>
          <w:color w:val="000000" w:themeColor="text1"/>
          <w:sz w:val="24"/>
          <w:szCs w:val="24"/>
          <w:highlight w:val="none"/>
        </w:rPr>
        <w:t xml:space="preserve">关注原招标公告媒体上发布的更正公告</w:t>
      </w:r>
      <w:r>
        <w:rPr>
          <w:rFonts w:hint="eastAsia" w:ascii="宋体" w:hAnsi="宋体"/>
          <w:color w:val="000000" w:themeColor="text1"/>
          <w:sz w:val="24"/>
          <w:szCs w:val="24"/>
          <w:highlight w:val="none"/>
        </w:rPr>
        <w:t xml:space="preserve">。</w:t>
      </w:r>
      <w:r>
        <w:rPr>
          <w:rFonts w:hint="eastAsia" w:ascii="宋体" w:hAnsi="宋体"/>
          <w:bCs/>
          <w:color w:val="000000" w:themeColor="text1"/>
          <w:sz w:val="24"/>
          <w:szCs w:val="24"/>
          <w:highlight w:val="none"/>
        </w:rPr>
        <w:t xml:space="preserve">因投标人未尽注意义务，未及时更新上传投标文件</w:t>
      </w:r>
      <w:r>
        <w:rPr>
          <w:rFonts w:hint="eastAsia" w:ascii="宋体" w:hAnsi="宋体"/>
          <w:color w:val="000000" w:themeColor="text1"/>
          <w:sz w:val="24"/>
          <w:szCs w:val="24"/>
          <w:highlight w:val="none"/>
        </w:rPr>
        <w:t xml:space="preserve">或未</w:t>
      </w:r>
      <w:r>
        <w:rPr>
          <w:rFonts w:hint="eastAsia" w:ascii="宋体" w:hAnsi="宋体"/>
          <w:bCs/>
          <w:color w:val="000000" w:themeColor="text1"/>
          <w:sz w:val="24"/>
          <w:szCs w:val="24"/>
          <w:highlight w:val="none"/>
        </w:rPr>
        <w:t xml:space="preserve">全面地关注更正公告导致其提交的投标材料不符合本项目相关招标要求，而造成的损失及风险（包括但不限于未中标）由投标人自行承担。</w:t>
      </w:r>
      <w:r>
        <w:rPr>
          <w:rFonts w:hint="eastAsia" w:ascii="宋体" w:hAnsi="宋体"/>
          <w:color w:val="000000" w:themeColor="text1"/>
          <w:sz w:val="24"/>
          <w:highlight w:val="none"/>
        </w:rPr>
      </w:r>
      <w:r>
        <w:rPr>
          <w:color w:val="000000" w:themeColor="text1"/>
          <w:highlight w:val="none"/>
        </w:rPr>
      </w:r>
    </w:p>
    <w:p>
      <w:pPr>
        <w:pStyle w:val="886"/>
        <w:ind w:firstLine="452"/>
        <w:keepLines w:val="0"/>
        <w:keepNext w:val="0"/>
        <w:spacing w:before="0" w:after="0" w:line="500" w:lineRule="exact"/>
        <w:rPr>
          <w:rFonts w:hint="eastAsia"/>
          <w:color w:val="000000" w:themeColor="text1"/>
          <w:sz w:val="30"/>
          <w:szCs w:val="30"/>
          <w:highlight w:val="none"/>
        </w:rPr>
      </w:pPr>
      <w:r>
        <w:rPr>
          <w:color w:val="000000" w:themeColor="text1"/>
          <w:highlight w:val="none"/>
        </w:rPr>
      </w:r>
      <w:bookmarkStart w:id="80" w:name="_Toc20823285"/>
      <w:r>
        <w:rPr>
          <w:color w:val="000000" w:themeColor="text1"/>
          <w:highlight w:val="none"/>
        </w:rPr>
      </w:r>
      <w:bookmarkStart w:id="81" w:name="_Toc16938529"/>
      <w:r>
        <w:rPr>
          <w:color w:val="000000" w:themeColor="text1"/>
          <w:highlight w:val="none"/>
        </w:rPr>
      </w:r>
      <w:bookmarkStart w:id="82" w:name="_Toc120614216"/>
      <w:r>
        <w:rPr>
          <w:color w:val="000000" w:themeColor="text1"/>
          <w:highlight w:val="none"/>
        </w:rPr>
      </w:r>
      <w:bookmarkStart w:id="83" w:name="_Toc513029213"/>
      <w:r>
        <w:rPr>
          <w:color w:val="000000" w:themeColor="text1"/>
          <w:highlight w:val="none"/>
        </w:rPr>
      </w:r>
      <w:bookmarkStart w:id="84" w:name="_Toc462564072"/>
      <w:r>
        <w:rPr>
          <w:rFonts w:hint="eastAsia"/>
          <w:color w:val="000000" w:themeColor="text1"/>
          <w:sz w:val="30"/>
          <w:szCs w:val="30"/>
          <w:highlight w:val="none"/>
        </w:rPr>
        <w:t xml:space="preserve">三、投标文件的编制</w:t>
      </w:r>
      <w:bookmarkEnd w:id="80"/>
      <w:r>
        <w:rPr>
          <w:color w:val="000000" w:themeColor="text1"/>
          <w:highlight w:val="none"/>
        </w:rPr>
      </w:r>
      <w:bookmarkEnd w:id="81"/>
      <w:r>
        <w:rPr>
          <w:color w:val="000000" w:themeColor="text1"/>
          <w:highlight w:val="none"/>
        </w:rPr>
      </w:r>
      <w:bookmarkEnd w:id="82"/>
      <w:r>
        <w:rPr>
          <w:color w:val="000000" w:themeColor="text1"/>
          <w:highlight w:val="none"/>
        </w:rPr>
      </w:r>
      <w:bookmarkEnd w:id="83"/>
      <w:r>
        <w:rPr>
          <w:color w:val="000000" w:themeColor="text1"/>
          <w:highlight w:val="none"/>
        </w:rPr>
      </w:r>
      <w:bookmarkEnd w:id="84"/>
      <w:r>
        <w:rPr>
          <w:rFonts w:hint="eastAsia"/>
          <w:color w:val="000000" w:themeColor="text1"/>
          <w:sz w:val="30"/>
          <w:szCs w:val="30"/>
          <w:highlight w:val="none"/>
        </w:rPr>
      </w:r>
      <w:r>
        <w:rPr>
          <w:color w:val="000000" w:themeColor="text1"/>
          <w:highlight w:val="none"/>
        </w:rPr>
      </w:r>
    </w:p>
    <w:p>
      <w:pPr>
        <w:pStyle w:val="887"/>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85" w:name="_Toc462564073"/>
      <w:r>
        <w:rPr>
          <w:color w:val="000000" w:themeColor="text1"/>
          <w:highlight w:val="none"/>
        </w:rPr>
      </w:r>
      <w:bookmarkStart w:id="86" w:name="_Toc20823286"/>
      <w:r>
        <w:rPr>
          <w:color w:val="000000" w:themeColor="text1"/>
          <w:highlight w:val="none"/>
        </w:rPr>
      </w:r>
      <w:bookmarkStart w:id="87" w:name="_Toc16938530"/>
      <w:r>
        <w:rPr>
          <w:color w:val="000000" w:themeColor="text1"/>
          <w:highlight w:val="none"/>
        </w:rPr>
      </w:r>
      <w:bookmarkStart w:id="88" w:name="_Toc513029214"/>
      <w:r>
        <w:rPr>
          <w:rFonts w:hint="eastAsia" w:ascii="宋体" w:hAnsi="宋体" w:eastAsia="宋体"/>
          <w:bCs w:val="0"/>
          <w:color w:val="000000" w:themeColor="text1"/>
          <w:highlight w:val="none"/>
        </w:rPr>
        <w:t xml:space="preserve">9.投标文件的语言及度量衡单位</w:t>
      </w:r>
      <w:bookmarkEnd w:id="85"/>
      <w:r>
        <w:rPr>
          <w:color w:val="000000" w:themeColor="text1"/>
          <w:highlight w:val="none"/>
        </w:rPr>
      </w:r>
      <w:bookmarkEnd w:id="86"/>
      <w:r>
        <w:rPr>
          <w:color w:val="000000" w:themeColor="text1"/>
          <w:highlight w:val="none"/>
        </w:rPr>
      </w:r>
      <w:bookmarkEnd w:id="87"/>
      <w:r>
        <w:rPr>
          <w:color w:val="000000" w:themeColor="text1"/>
          <w:highlight w:val="none"/>
        </w:rPr>
      </w:r>
      <w:bookmarkEnd w:id="88"/>
      <w:r>
        <w:rPr>
          <w:rFonts w:hint="eastAsia" w:ascii="宋体" w:hAnsi="宋体" w:eastAsia="宋体"/>
          <w:bCs w:val="0"/>
          <w:color w:val="000000" w:themeColor="text1"/>
          <w:highlight w:val="none"/>
        </w:rPr>
      </w:r>
      <w:r>
        <w:rPr>
          <w:color w:val="000000" w:themeColor="text1"/>
          <w:highlight w:val="none"/>
        </w:rPr>
      </w:r>
    </w:p>
    <w:p>
      <w:pPr>
        <w:pStyle w:val="883"/>
        <w:ind w:firstLine="480"/>
        <w:spacing w:line="500" w:lineRule="exact"/>
        <w:rPr>
          <w:rFonts w:hint="eastAsia" w:ascii="宋体" w:hAnsi="宋体"/>
          <w:color w:val="000000" w:themeColor="text1"/>
          <w:sz w:val="24"/>
          <w:highlight w:val="none"/>
        </w:rPr>
      </w:pPr>
      <w:r>
        <w:rPr>
          <w:rFonts w:hint="eastAsia" w:ascii="宋体" w:hAnsi="宋体"/>
          <w:bCs/>
          <w:color w:val="000000" w:themeColor="text1"/>
          <w:sz w:val="24"/>
          <w:highlight w:val="none"/>
        </w:rPr>
        <w:t xml:space="preserve">9.1</w:t>
      </w:r>
      <w:r>
        <w:rPr>
          <w:rFonts w:hint="eastAsia" w:ascii="宋体" w:hAnsi="宋体"/>
          <w:color w:val="000000" w:themeColor="text1"/>
          <w:sz w:val="24"/>
          <w:highlight w:val="none"/>
        </w:rPr>
        <w:t xml:space="preserve">投标人提交的投标文件以及投标人与交易中心就有关投标的所有来往通知、函件和文件均应使用</w:t>
      </w:r>
      <w:r>
        <w:rPr>
          <w:rFonts w:hint="eastAsia" w:ascii="宋体" w:hAnsi="宋体"/>
          <w:bCs/>
          <w:color w:val="000000" w:themeColor="text1"/>
          <w:sz w:val="24"/>
          <w:highlight w:val="none"/>
        </w:rPr>
        <w:t xml:space="preserve">简体中文</w:t>
      </w:r>
      <w:r>
        <w:rPr>
          <w:rFonts w:hint="eastAsia" w:ascii="宋体" w:hAnsi="宋体"/>
          <w:bCs/>
          <w:color w:val="000000" w:themeColor="text1"/>
          <w:sz w:val="24"/>
          <w:szCs w:val="24"/>
          <w:highlight w:val="none"/>
        </w:rPr>
        <w:t xml:space="preserve">（规格、型号辅助符号例外）</w:t>
      </w:r>
      <w:r>
        <w:rPr>
          <w:rFonts w:hint="eastAsia" w:ascii="宋体" w:hAnsi="宋体"/>
          <w:color w:val="000000" w:themeColor="text1"/>
          <w:sz w:val="24"/>
          <w:highlight w:val="none"/>
        </w:rPr>
        <w:t xml:space="preserve">。</w:t>
      </w:r>
      <w:r>
        <w:rPr>
          <w:color w:val="000000" w:themeColor="text1"/>
          <w:highlight w:val="none"/>
        </w:rPr>
      </w:r>
    </w:p>
    <w:p>
      <w:pPr>
        <w:pStyle w:val="883"/>
        <w:ind w:firstLine="480"/>
        <w:spacing w:line="500" w:lineRule="exact"/>
        <w:rPr>
          <w:rFonts w:hint="eastAsia" w:ascii="宋体" w:hAnsi="宋体"/>
          <w:color w:val="000000" w:themeColor="text1"/>
          <w:sz w:val="24"/>
          <w:highlight w:val="none"/>
        </w:rPr>
      </w:pPr>
      <w:r>
        <w:rPr>
          <w:rFonts w:hint="eastAsia" w:ascii="宋体" w:hAnsi="宋体"/>
          <w:bCs/>
          <w:color w:val="000000" w:themeColor="text1"/>
          <w:sz w:val="24"/>
          <w:highlight w:val="none"/>
        </w:rPr>
        <w:t xml:space="preserve">9.2</w:t>
      </w:r>
      <w:r>
        <w:rPr>
          <w:rFonts w:hint="eastAsia" w:ascii="宋体" w:hAnsi="宋体"/>
          <w:color w:val="000000" w:themeColor="text1"/>
          <w:sz w:val="24"/>
          <w:highlight w:val="none"/>
        </w:rPr>
        <w:t xml:space="preserve">除技术性能另有规定外，投标文件所使用的度量衡单位，均须采用国家法定计量单位。</w:t>
      </w:r>
      <w:r>
        <w:rPr>
          <w:color w:val="000000" w:themeColor="text1"/>
          <w:highlight w:val="none"/>
        </w:rPr>
      </w:r>
    </w:p>
    <w:p>
      <w:pPr>
        <w:pStyle w:val="887"/>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89" w:name="_Toc462564074"/>
      <w:r>
        <w:rPr>
          <w:color w:val="000000" w:themeColor="text1"/>
          <w:highlight w:val="none"/>
        </w:rPr>
      </w:r>
      <w:bookmarkStart w:id="90" w:name="_Toc513029215"/>
      <w:r>
        <w:rPr>
          <w:color w:val="000000" w:themeColor="text1"/>
          <w:highlight w:val="none"/>
        </w:rPr>
      </w:r>
      <w:bookmarkStart w:id="91" w:name="_Toc16938531"/>
      <w:r>
        <w:rPr>
          <w:color w:val="000000" w:themeColor="text1"/>
          <w:highlight w:val="none"/>
        </w:rPr>
      </w:r>
      <w:bookmarkStart w:id="92" w:name="_Toc20823287"/>
      <w:r>
        <w:rPr>
          <w:rFonts w:hint="eastAsia" w:ascii="宋体" w:hAnsi="宋体" w:eastAsia="宋体"/>
          <w:bCs w:val="0"/>
          <w:color w:val="000000" w:themeColor="text1"/>
          <w:highlight w:val="none"/>
        </w:rPr>
        <w:t xml:space="preserve">10.投标文件构成</w:t>
      </w:r>
      <w:bookmarkEnd w:id="89"/>
      <w:r>
        <w:rPr>
          <w:color w:val="000000" w:themeColor="text1"/>
          <w:highlight w:val="none"/>
        </w:rPr>
      </w:r>
      <w:bookmarkEnd w:id="90"/>
      <w:r>
        <w:rPr>
          <w:color w:val="000000" w:themeColor="text1"/>
          <w:highlight w:val="none"/>
        </w:rPr>
      </w:r>
      <w:bookmarkEnd w:id="91"/>
      <w:r>
        <w:rPr>
          <w:color w:val="000000" w:themeColor="text1"/>
          <w:highlight w:val="none"/>
        </w:rPr>
      </w:r>
      <w:bookmarkEnd w:id="92"/>
      <w:r>
        <w:rPr>
          <w:rFonts w:hint="eastAsia" w:ascii="宋体" w:hAnsi="宋体" w:eastAsia="宋体"/>
          <w:bCs w:val="0"/>
          <w:color w:val="000000" w:themeColor="text1"/>
          <w:highlight w:val="none"/>
        </w:rPr>
      </w:r>
      <w:r>
        <w:rPr>
          <w:color w:val="000000" w:themeColor="text1"/>
          <w:highlight w:val="none"/>
        </w:rPr>
      </w:r>
    </w:p>
    <w:p>
      <w:pPr>
        <w:pStyle w:val="883"/>
        <w:ind w:firstLine="480"/>
        <w:spacing w:line="500" w:lineRule="exact"/>
        <w:rPr>
          <w:rFonts w:ascii="宋体" w:hAnsi="宋体"/>
          <w:color w:val="000000" w:themeColor="text1"/>
          <w:sz w:val="24"/>
          <w:highlight w:val="none"/>
        </w:rPr>
      </w:pPr>
      <w:r>
        <w:rPr>
          <w:rFonts w:hint="eastAsia" w:ascii="宋体" w:hAnsi="宋体"/>
          <w:color w:val="000000" w:themeColor="text1"/>
          <w:sz w:val="24"/>
          <w:highlight w:val="none"/>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rPr>
          <w:rFonts w:ascii="宋体" w:hAnsi="宋体"/>
          <w:color w:val="000000" w:themeColor="text1"/>
          <w:sz w:val="24"/>
          <w:highlight w:val="none"/>
        </w:rPr>
      </w:r>
      <w:r>
        <w:rPr>
          <w:color w:val="000000" w:themeColor="text1"/>
          <w:highlight w:val="none"/>
        </w:rPr>
      </w:r>
    </w:p>
    <w:p>
      <w:pPr>
        <w:pStyle w:val="883"/>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10.2投标人所须提供的相关证明文件和要求以及投标文件的部分格式要求，详见第六章《投标文件内容与格式》。</w:t>
      </w:r>
      <w:r>
        <w:rPr>
          <w:color w:val="000000" w:themeColor="text1"/>
          <w:highlight w:val="none"/>
        </w:rPr>
      </w:r>
    </w:p>
    <w:p>
      <w:pPr>
        <w:pStyle w:val="883"/>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10.3如标书制作工具中格式和内容与招标文件不一致的，请以招标文件为准。</w:t>
      </w:r>
      <w:r>
        <w:rPr>
          <w:color w:val="000000" w:themeColor="text1"/>
          <w:highlight w:val="none"/>
        </w:rPr>
      </w:r>
    </w:p>
    <w:p>
      <w:pPr>
        <w:pStyle w:val="887"/>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93" w:name="_Hlt26954838"/>
      <w:r>
        <w:rPr>
          <w:color w:val="000000" w:themeColor="text1"/>
          <w:highlight w:val="none"/>
        </w:rPr>
      </w:r>
      <w:bookmarkEnd w:id="93"/>
      <w:r>
        <w:rPr>
          <w:color w:val="000000" w:themeColor="text1"/>
          <w:highlight w:val="none"/>
        </w:rPr>
      </w:r>
      <w:bookmarkStart w:id="94" w:name="_Hlt26670360"/>
      <w:r>
        <w:rPr>
          <w:color w:val="000000" w:themeColor="text1"/>
          <w:highlight w:val="none"/>
        </w:rPr>
      </w:r>
      <w:bookmarkEnd w:id="94"/>
      <w:r>
        <w:rPr>
          <w:color w:val="000000" w:themeColor="text1"/>
          <w:highlight w:val="none"/>
        </w:rPr>
      </w:r>
      <w:bookmarkStart w:id="95" w:name="_Hlt26668975"/>
      <w:r>
        <w:rPr>
          <w:color w:val="000000" w:themeColor="text1"/>
          <w:highlight w:val="none"/>
        </w:rPr>
      </w:r>
      <w:bookmarkEnd w:id="95"/>
      <w:r>
        <w:rPr>
          <w:color w:val="000000" w:themeColor="text1"/>
          <w:highlight w:val="none"/>
        </w:rPr>
      </w:r>
      <w:bookmarkStart w:id="96" w:name="_Toc513029219"/>
      <w:r>
        <w:rPr>
          <w:color w:val="000000" w:themeColor="text1"/>
          <w:highlight w:val="none"/>
        </w:rPr>
      </w:r>
      <w:bookmarkStart w:id="97" w:name="_Toc14577357"/>
      <w:r>
        <w:rPr>
          <w:color w:val="000000" w:themeColor="text1"/>
          <w:highlight w:val="none"/>
        </w:rPr>
      </w:r>
      <w:bookmarkStart w:id="98" w:name="_Toc49090509"/>
      <w:r>
        <w:rPr>
          <w:color w:val="000000" w:themeColor="text1"/>
          <w:highlight w:val="none"/>
        </w:rPr>
      </w:r>
      <w:bookmarkStart w:id="99" w:name="_Toc14577354"/>
      <w:r>
        <w:rPr>
          <w:color w:val="000000" w:themeColor="text1"/>
          <w:highlight w:val="none"/>
        </w:rPr>
      </w:r>
      <w:bookmarkStart w:id="100" w:name="_Toc49090507"/>
      <w:r>
        <w:rPr>
          <w:color w:val="000000" w:themeColor="text1"/>
          <w:highlight w:val="none"/>
        </w:rPr>
      </w:r>
      <w:bookmarkStart w:id="101" w:name="_Toc513029216"/>
      <w:r>
        <w:rPr>
          <w:rFonts w:hint="eastAsia" w:ascii="宋体" w:hAnsi="宋体" w:eastAsia="宋体"/>
          <w:bCs w:val="0"/>
          <w:color w:val="000000" w:themeColor="text1"/>
          <w:highlight w:val="none"/>
        </w:rPr>
        <w:t xml:space="preserve">11.证明投标人及投标标的符合招标文件规定的文件</w:t>
      </w:r>
      <w:bookmarkEnd w:id="96"/>
      <w:r>
        <w:rPr>
          <w:color w:val="000000" w:themeColor="text1"/>
          <w:highlight w:val="none"/>
        </w:rPr>
      </w:r>
      <w:bookmarkEnd w:id="97"/>
      <w:r>
        <w:rPr>
          <w:color w:val="000000" w:themeColor="text1"/>
          <w:highlight w:val="none"/>
        </w:rPr>
      </w:r>
      <w:bookmarkEnd w:id="98"/>
      <w:r>
        <w:rPr>
          <w:rFonts w:hint="eastAsia" w:ascii="宋体" w:hAnsi="宋体" w:eastAsia="宋体"/>
          <w:bCs w:val="0"/>
          <w:color w:val="000000" w:themeColor="text1"/>
          <w:highlight w:val="none"/>
        </w:rPr>
      </w:r>
      <w:r>
        <w:rPr>
          <w:color w:val="000000" w:themeColor="text1"/>
          <w:highlight w:val="none"/>
        </w:rPr>
      </w:r>
    </w:p>
    <w:p>
      <w:pPr>
        <w:pStyle w:val="883"/>
        <w:ind w:firstLine="480"/>
        <w:spacing w:line="500" w:lineRule="exact"/>
        <w:rPr>
          <w:rFonts w:hint="eastAsia" w:ascii="宋体" w:hAnsi="宋体"/>
          <w:bCs/>
          <w:color w:val="000000" w:themeColor="text1"/>
          <w:sz w:val="24"/>
          <w:highlight w:val="none"/>
        </w:rPr>
      </w:pPr>
      <w:r>
        <w:rPr>
          <w:color w:val="000000" w:themeColor="text1"/>
          <w:highlight w:val="none"/>
        </w:rPr>
      </w:r>
      <w:bookmarkEnd w:id="99"/>
      <w:r>
        <w:rPr>
          <w:color w:val="000000" w:themeColor="text1"/>
          <w:highlight w:val="none"/>
        </w:rPr>
      </w:r>
      <w:bookmarkEnd w:id="100"/>
      <w:r>
        <w:rPr>
          <w:color w:val="000000" w:themeColor="text1"/>
          <w:highlight w:val="none"/>
        </w:rPr>
      </w:r>
      <w:bookmarkEnd w:id="101"/>
      <w:r>
        <w:rPr>
          <w:color w:val="000000" w:themeColor="text1"/>
          <w:highlight w:val="none"/>
        </w:rPr>
      </w:r>
      <w:bookmarkStart w:id="102" w:name="_Toc49090508"/>
      <w:r>
        <w:rPr>
          <w:color w:val="000000" w:themeColor="text1"/>
          <w:highlight w:val="none"/>
        </w:rPr>
      </w:r>
      <w:bookmarkStart w:id="103" w:name="_Toc14577355"/>
      <w:r>
        <w:rPr>
          <w:rFonts w:hint="eastAsia" w:ascii="宋体" w:hAnsi="宋体"/>
          <w:bCs/>
          <w:color w:val="000000" w:themeColor="text1"/>
          <w:sz w:val="24"/>
          <w:highlight w:val="none"/>
        </w:rPr>
        <w:t xml:space="preserve">11.1投标人应按照法律、法规、规章和规范性文件以及招标文件要求提交证明文件，证明其及投标标的符合招标文件规定。</w:t>
      </w:r>
      <w:r>
        <w:rPr>
          <w:color w:val="000000" w:themeColor="text1"/>
          <w:highlight w:val="none"/>
        </w:rP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11.2招标文件对证明文件无明确形式要求的，证明文件可以以文字资料、图纸和数据等形式提交。</w:t>
      </w:r>
      <w:r>
        <w:rPr>
          <w:color w:val="000000" w:themeColor="text1"/>
          <w:highlight w:val="none"/>
        </w:rPr>
      </w:r>
    </w:p>
    <w:p>
      <w:pPr>
        <w:pStyle w:val="887"/>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104" w:name="_Toc14577359"/>
      <w:r>
        <w:rPr>
          <w:color w:val="000000" w:themeColor="text1"/>
          <w:highlight w:val="none"/>
        </w:rPr>
      </w:r>
      <w:bookmarkStart w:id="105" w:name="_Toc49090510"/>
      <w:r>
        <w:rPr>
          <w:rFonts w:hint="eastAsia" w:ascii="宋体" w:hAnsi="宋体" w:eastAsia="宋体"/>
          <w:bCs w:val="0"/>
          <w:color w:val="000000" w:themeColor="text1"/>
          <w:highlight w:val="none"/>
        </w:rPr>
        <w:t xml:space="preserve">12.投标函、承诺书和开标一览表</w:t>
      </w:r>
      <w:r>
        <w:rPr>
          <w:color w:val="000000" w:themeColor="text1"/>
          <w:highlight w:val="none"/>
        </w:rPr>
      </w:r>
    </w:p>
    <w:p>
      <w:pPr>
        <w:pStyle w:val="883"/>
        <w:ind w:firstLine="480"/>
        <w:spacing w:line="500" w:lineRule="exact"/>
        <w:rPr>
          <w:rFonts w:hint="eastAsia" w:ascii="宋体" w:hAnsi="宋体"/>
          <w:color w:val="000000" w:themeColor="text1"/>
          <w:sz w:val="24"/>
          <w:highlight w:val="none"/>
        </w:rPr>
      </w:pPr>
      <w:r>
        <w:rPr>
          <w:rFonts w:hint="eastAsia" w:ascii="宋体" w:hAnsi="宋体"/>
          <w:bCs/>
          <w:color w:val="000000" w:themeColor="text1"/>
          <w:sz w:val="24"/>
          <w:highlight w:val="none"/>
        </w:rPr>
        <w:t xml:space="preserve">12.1</w:t>
      </w:r>
      <w:r>
        <w:rPr>
          <w:rFonts w:hint="eastAsia" w:ascii="宋体" w:hAnsi="宋体"/>
          <w:color w:val="000000" w:themeColor="text1"/>
          <w:sz w:val="24"/>
          <w:highlight w:val="none"/>
        </w:rPr>
        <w:t xml:space="preserve">投标人应按照招标文件中提供的格式，完整、正确填写投标函、承诺书；投标人应按照“苏采云”系统中的给定格式模块为准，完整、正确填写开标一览表。</w:t>
      </w:r>
      <w:r>
        <w:rPr>
          <w:color w:val="000000" w:themeColor="text1"/>
          <w:highlight w:val="none"/>
        </w:rPr>
      </w:r>
    </w:p>
    <w:p>
      <w:pPr>
        <w:pStyle w:val="883"/>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12.2对于采用货币报价的项目，开标一览表中的投标总报价应与分项报价表的总额一致，如不一致，不作为无效投标处理，但评标时按开标一览表中价格为准。</w:t>
      </w:r>
      <w:r>
        <w:rPr>
          <w:rFonts w:hint="eastAsia" w:ascii="宋体" w:hAnsi="宋体"/>
          <w:bCs/>
          <w:color w:val="000000" w:themeColor="text1"/>
          <w:sz w:val="24"/>
          <w:highlight w:val="none"/>
        </w:rPr>
      </w:r>
      <w:r>
        <w:rPr>
          <w:color w:val="000000" w:themeColor="text1"/>
          <w:highlight w:val="none"/>
        </w:rPr>
      </w:r>
    </w:p>
    <w:p>
      <w:pPr>
        <w:pStyle w:val="887"/>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End w:id="104"/>
      <w:r>
        <w:rPr>
          <w:color w:val="000000" w:themeColor="text1"/>
          <w:highlight w:val="none"/>
        </w:rPr>
      </w:r>
      <w:bookmarkEnd w:id="105"/>
      <w:r>
        <w:rPr>
          <w:rFonts w:hint="eastAsia" w:ascii="宋体" w:hAnsi="宋体" w:eastAsia="宋体"/>
          <w:bCs w:val="0"/>
          <w:color w:val="000000" w:themeColor="text1"/>
          <w:highlight w:val="none"/>
        </w:rPr>
        <w:t xml:space="preserve">13.</w:t>
      </w:r>
      <w:bookmarkEnd w:id="102"/>
      <w:r>
        <w:rPr>
          <w:color w:val="000000" w:themeColor="text1"/>
          <w:highlight w:val="none"/>
        </w:rPr>
      </w:r>
      <w:bookmarkEnd w:id="103"/>
      <w:r>
        <w:rPr>
          <w:rFonts w:hint="eastAsia" w:ascii="宋体" w:hAnsi="宋体" w:eastAsia="宋体"/>
          <w:bCs w:val="0"/>
          <w:color w:val="000000" w:themeColor="text1"/>
          <w:highlight w:val="none"/>
        </w:rPr>
        <w:t xml:space="preserve">分项报价表</w:t>
      </w:r>
      <w:r>
        <w:rPr>
          <w:color w:val="000000" w:themeColor="text1"/>
          <w:highlight w:val="none"/>
        </w:rPr>
      </w:r>
    </w:p>
    <w:p>
      <w:pPr>
        <w:pStyle w:val="883"/>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13.1</w:t>
      </w:r>
      <w:r>
        <w:rPr>
          <w:rFonts w:hint="eastAsia" w:ascii="宋体" w:hAnsi="宋体"/>
          <w:color w:val="000000" w:themeColor="text1"/>
          <w:sz w:val="24"/>
          <w:highlight w:val="none"/>
        </w:rPr>
        <w:t xml:space="preserve">投</w:t>
      </w:r>
      <w:bookmarkStart w:id="106" w:name="_Hlt26954840"/>
      <w:r>
        <w:rPr>
          <w:color w:val="000000" w:themeColor="text1"/>
          <w:highlight w:val="none"/>
        </w:rPr>
      </w:r>
      <w:bookmarkEnd w:id="106"/>
      <w:r>
        <w:rPr>
          <w:rFonts w:hint="eastAsia" w:ascii="宋体" w:hAnsi="宋体"/>
          <w:color w:val="000000" w:themeColor="text1"/>
          <w:sz w:val="24"/>
          <w:highlight w:val="none"/>
        </w:rPr>
        <w:t xml:space="preserve">标人应按照招标文件规定格式填报</w:t>
      </w:r>
      <w:bookmarkStart w:id="107" w:name="_Hlt26670399"/>
      <w:r>
        <w:rPr>
          <w:color w:val="000000" w:themeColor="text1"/>
          <w:highlight w:val="none"/>
        </w:rPr>
      </w:r>
      <w:bookmarkEnd w:id="107"/>
      <w:r>
        <w:rPr>
          <w:rFonts w:hint="eastAsia" w:ascii="宋体" w:hAnsi="宋体"/>
          <w:color w:val="000000" w:themeColor="text1"/>
          <w:sz w:val="24"/>
          <w:highlight w:val="none"/>
        </w:rPr>
        <w:t xml:space="preserve">分项报价表。</w:t>
      </w:r>
      <w:r>
        <w:rPr>
          <w:rFonts w:hint="eastAsia" w:ascii="宋体" w:hAnsi="宋体"/>
          <w:bCs/>
          <w:color w:val="000000" w:themeColor="text1"/>
          <w:sz w:val="24"/>
          <w:highlight w:val="none"/>
        </w:rPr>
      </w:r>
      <w:r>
        <w:rPr>
          <w:color w:val="000000" w:themeColor="text1"/>
          <w:highlight w:val="none"/>
        </w:rPr>
      </w:r>
    </w:p>
    <w:p>
      <w:pPr>
        <w:pStyle w:val="883"/>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13.2</w:t>
      </w:r>
      <w:r>
        <w:rPr>
          <w:rFonts w:hint="eastAsia" w:ascii="宋体" w:hAnsi="宋体"/>
          <w:bCs/>
          <w:color w:val="000000" w:themeColor="text1"/>
          <w:sz w:val="24"/>
          <w:highlight w:val="none"/>
        </w:rPr>
        <w:t xml:space="preserve">投标货币。投标文件中的单价和总价无特殊规定的采用人民币报价，以“元”为单位标注。</w:t>
      </w:r>
      <w:r>
        <w:rPr>
          <w:rFonts w:hint="eastAsia" w:ascii="宋体" w:hAnsi="宋体"/>
          <w:color w:val="000000" w:themeColor="text1"/>
          <w:sz w:val="24"/>
          <w:highlight w:val="none"/>
        </w:rPr>
        <w:t xml:space="preserve">招标文件中另有规定的按规定执行。</w:t>
      </w:r>
      <w:r>
        <w:rPr>
          <w:rFonts w:hint="eastAsia" w:ascii="宋体" w:hAnsi="宋体"/>
          <w:bCs/>
          <w:color w:val="000000" w:themeColor="text1"/>
          <w:sz w:val="24"/>
          <w:highlight w:val="none"/>
        </w:rPr>
      </w:r>
      <w:r>
        <w:rPr>
          <w:color w:val="000000" w:themeColor="text1"/>
          <w:highlight w:val="none"/>
        </w:rPr>
      </w:r>
    </w:p>
    <w:p>
      <w:pPr>
        <w:pStyle w:val="887"/>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108" w:name="_Hlt26670482"/>
      <w:r>
        <w:rPr>
          <w:color w:val="000000" w:themeColor="text1"/>
          <w:highlight w:val="none"/>
        </w:rPr>
      </w:r>
      <w:bookmarkEnd w:id="108"/>
      <w:r>
        <w:rPr>
          <w:color w:val="000000" w:themeColor="text1"/>
          <w:highlight w:val="none"/>
        </w:rPr>
      </w:r>
      <w:bookmarkStart w:id="109" w:name="_Hlt26670425"/>
      <w:r>
        <w:rPr>
          <w:color w:val="000000" w:themeColor="text1"/>
          <w:highlight w:val="none"/>
        </w:rPr>
      </w:r>
      <w:bookmarkEnd w:id="109"/>
      <w:r>
        <w:rPr>
          <w:color w:val="000000" w:themeColor="text1"/>
          <w:highlight w:val="none"/>
        </w:rPr>
      </w:r>
      <w:bookmarkStart w:id="110" w:name="_Hlt26954846"/>
      <w:r>
        <w:rPr>
          <w:color w:val="000000" w:themeColor="text1"/>
          <w:highlight w:val="none"/>
        </w:rPr>
      </w:r>
      <w:bookmarkEnd w:id="110"/>
      <w:r>
        <w:rPr>
          <w:color w:val="000000" w:themeColor="text1"/>
          <w:highlight w:val="none"/>
        </w:rPr>
      </w:r>
      <w:bookmarkStart w:id="111" w:name="_Hlt26954731"/>
      <w:r>
        <w:rPr>
          <w:color w:val="000000" w:themeColor="text1"/>
          <w:highlight w:val="none"/>
        </w:rPr>
      </w:r>
      <w:bookmarkEnd w:id="111"/>
      <w:r>
        <w:rPr>
          <w:color w:val="000000" w:themeColor="text1"/>
          <w:highlight w:val="none"/>
        </w:rPr>
      </w:r>
      <w:bookmarkStart w:id="112" w:name="_Hlt26954848"/>
      <w:r>
        <w:rPr>
          <w:color w:val="000000" w:themeColor="text1"/>
          <w:highlight w:val="none"/>
        </w:rPr>
      </w:r>
      <w:bookmarkEnd w:id="112"/>
      <w:r>
        <w:rPr>
          <w:color w:val="000000" w:themeColor="text1"/>
          <w:highlight w:val="none"/>
        </w:rPr>
      </w:r>
      <w:bookmarkStart w:id="113" w:name="_Hlt26670486"/>
      <w:r>
        <w:rPr>
          <w:color w:val="000000" w:themeColor="text1"/>
          <w:highlight w:val="none"/>
        </w:rPr>
      </w:r>
      <w:bookmarkEnd w:id="113"/>
      <w:r>
        <w:rPr>
          <w:color w:val="000000" w:themeColor="text1"/>
          <w:highlight w:val="none"/>
        </w:rPr>
      </w:r>
      <w:bookmarkStart w:id="114" w:name="_Hlt26954842"/>
      <w:r>
        <w:rPr>
          <w:color w:val="000000" w:themeColor="text1"/>
          <w:highlight w:val="none"/>
        </w:rPr>
      </w:r>
      <w:bookmarkEnd w:id="114"/>
      <w:r>
        <w:rPr>
          <w:color w:val="000000" w:themeColor="text1"/>
          <w:highlight w:val="none"/>
        </w:rPr>
      </w:r>
      <w:bookmarkStart w:id="115" w:name="_Hlt26954844"/>
      <w:r>
        <w:rPr>
          <w:color w:val="000000" w:themeColor="text1"/>
          <w:highlight w:val="none"/>
        </w:rPr>
      </w:r>
      <w:bookmarkEnd w:id="115"/>
      <w:r>
        <w:rPr>
          <w:color w:val="000000" w:themeColor="text1"/>
          <w:highlight w:val="none"/>
        </w:rPr>
      </w:r>
      <w:bookmarkStart w:id="116" w:name="_Hlt26670403"/>
      <w:r>
        <w:rPr>
          <w:color w:val="000000" w:themeColor="text1"/>
          <w:highlight w:val="none"/>
        </w:rPr>
      </w:r>
      <w:bookmarkEnd w:id="116"/>
      <w:r>
        <w:rPr>
          <w:color w:val="000000" w:themeColor="text1"/>
          <w:highlight w:val="none"/>
        </w:rPr>
      </w:r>
      <w:bookmarkStart w:id="117" w:name="_Hlt26668983"/>
      <w:r>
        <w:rPr>
          <w:color w:val="000000" w:themeColor="text1"/>
          <w:highlight w:val="none"/>
        </w:rPr>
      </w:r>
      <w:bookmarkEnd w:id="117"/>
      <w:r>
        <w:rPr>
          <w:rFonts w:hint="eastAsia" w:ascii="宋体" w:hAnsi="宋体" w:eastAsia="宋体"/>
          <w:bCs w:val="0"/>
          <w:color w:val="000000" w:themeColor="text1"/>
          <w:highlight w:val="none"/>
        </w:rPr>
        <w:t xml:space="preserve">14.投标偏离表</w:t>
      </w:r>
      <w:r>
        <w:rPr>
          <w:color w:val="000000" w:themeColor="text1"/>
          <w:highlight w:val="none"/>
        </w:rPr>
      </w:r>
    </w:p>
    <w:p>
      <w:pPr>
        <w:pStyle w:val="883"/>
        <w:ind w:firstLine="480"/>
        <w:spacing w:line="500" w:lineRule="exact"/>
        <w:tabs>
          <w:tab w:val="left" w:pos="1035" w:leader="none"/>
        </w:tabs>
        <w:rPr>
          <w:rFonts w:ascii="宋体" w:hAnsi="Arial" w:cs="宋体"/>
          <w:color w:val="000000" w:themeColor="text1"/>
          <w:sz w:val="24"/>
          <w:highlight w:val="none"/>
        </w:rPr>
      </w:pPr>
      <w:r>
        <w:rPr>
          <w:rFonts w:hint="eastAsia" w:ascii="宋体" w:hAnsi="Arial" w:cs="宋体"/>
          <w:color w:val="000000" w:themeColor="text1"/>
          <w:sz w:val="24"/>
          <w:highlight w:val="none"/>
        </w:rPr>
        <w:t xml:space="preserve">14</w:t>
      </w:r>
      <w:r>
        <w:rPr>
          <w:rFonts w:hint="eastAsia" w:ascii="宋体" w:hAnsi="Arial" w:cs="宋体"/>
          <w:color w:val="000000" w:themeColor="text1"/>
          <w:sz w:val="24"/>
          <w:highlight w:val="none"/>
          <w:lang w:val="zh-CN"/>
        </w:rPr>
        <w:t xml:space="preserve">.</w:t>
      </w:r>
      <w:r>
        <w:rPr>
          <w:rFonts w:hint="eastAsia" w:ascii="宋体" w:hAnsi="Arial" w:cs="宋体"/>
          <w:color w:val="000000" w:themeColor="text1"/>
          <w:sz w:val="24"/>
          <w:highlight w:val="none"/>
        </w:rPr>
        <w:t xml:space="preserve">1</w:t>
      </w:r>
      <w:r>
        <w:rPr>
          <w:rFonts w:hint="eastAsia" w:ascii="宋体" w:hAnsi="Arial" w:cs="宋体"/>
          <w:color w:val="000000" w:themeColor="text1"/>
          <w:sz w:val="24"/>
          <w:highlight w:val="none"/>
          <w:lang w:val="zh-CN"/>
        </w:rPr>
        <w:t xml:space="preserve">投标人可在投标文件中提供认为需要的其他技术文件或说明。</w:t>
      </w:r>
      <w:r>
        <w:rPr>
          <w:rFonts w:ascii="宋体" w:hAnsi="Arial" w:cs="宋体"/>
          <w:color w:val="000000" w:themeColor="text1"/>
          <w:sz w:val="24"/>
          <w:highlight w:val="none"/>
          <w:lang w:val="zh-CN"/>
        </w:rPr>
      </w:r>
      <w:r>
        <w:rPr>
          <w:color w:val="000000" w:themeColor="text1"/>
          <w:highlight w:val="none"/>
        </w:rPr>
      </w:r>
    </w:p>
    <w:p>
      <w:pPr>
        <w:pStyle w:val="887"/>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118" w:name="_Hlt26670489"/>
      <w:r>
        <w:rPr>
          <w:color w:val="000000" w:themeColor="text1"/>
          <w:highlight w:val="none"/>
        </w:rPr>
      </w:r>
      <w:bookmarkEnd w:id="118"/>
      <w:r>
        <w:rPr>
          <w:color w:val="000000" w:themeColor="text1"/>
          <w:highlight w:val="none"/>
        </w:rPr>
      </w:r>
      <w:bookmarkStart w:id="119" w:name="_Hlt26954734"/>
      <w:r>
        <w:rPr>
          <w:color w:val="000000" w:themeColor="text1"/>
          <w:highlight w:val="none"/>
        </w:rPr>
      </w:r>
      <w:bookmarkEnd w:id="119"/>
      <w:r>
        <w:rPr>
          <w:color w:val="000000" w:themeColor="text1"/>
          <w:highlight w:val="none"/>
        </w:rPr>
      </w:r>
      <w:bookmarkStart w:id="120" w:name="_Hlt26954850"/>
      <w:r>
        <w:rPr>
          <w:color w:val="000000" w:themeColor="text1"/>
          <w:highlight w:val="none"/>
        </w:rPr>
      </w:r>
      <w:bookmarkEnd w:id="120"/>
      <w:r>
        <w:rPr>
          <w:color w:val="000000" w:themeColor="text1"/>
          <w:highlight w:val="none"/>
        </w:rPr>
      </w:r>
      <w:bookmarkStart w:id="121" w:name="_Toc14577360"/>
      <w:r>
        <w:rPr>
          <w:color w:val="000000" w:themeColor="text1"/>
          <w:highlight w:val="none"/>
        </w:rPr>
      </w:r>
      <w:bookmarkStart w:id="122" w:name="_Toc49090511"/>
      <w:r>
        <w:rPr>
          <w:rFonts w:hint="eastAsia" w:ascii="宋体" w:hAnsi="宋体" w:eastAsia="宋体"/>
          <w:bCs w:val="0"/>
          <w:color w:val="000000" w:themeColor="text1"/>
          <w:highlight w:val="none"/>
        </w:rPr>
        <w:t xml:space="preserve">15.投标有效期</w:t>
      </w:r>
      <w:bookmarkEnd w:id="121"/>
      <w:r>
        <w:rPr>
          <w:color w:val="000000" w:themeColor="text1"/>
          <w:highlight w:val="none"/>
        </w:rPr>
      </w:r>
      <w:bookmarkEnd w:id="122"/>
      <w:r>
        <w:rPr>
          <w:rFonts w:hint="eastAsia" w:ascii="宋体" w:hAnsi="宋体" w:eastAsia="宋体"/>
          <w:bCs w:val="0"/>
          <w:color w:val="000000" w:themeColor="text1"/>
          <w:highlight w:val="none"/>
        </w:rPr>
      </w:r>
      <w:r>
        <w:rPr>
          <w:color w:val="000000" w:themeColor="text1"/>
          <w:highlight w:val="none"/>
        </w:rPr>
      </w:r>
    </w:p>
    <w:p>
      <w:pPr>
        <w:pStyle w:val="883"/>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15.1</w:t>
      </w:r>
      <w:r>
        <w:rPr>
          <w:rFonts w:hint="eastAsia" w:ascii="宋体" w:hAnsi="宋体"/>
          <w:bCs/>
          <w:color w:val="000000" w:themeColor="text1"/>
          <w:sz w:val="24"/>
          <w:highlight w:val="none"/>
        </w:rPr>
        <w:t xml:space="preserve">投标有效期为招标文件规定的开标之日后</w:t>
      </w:r>
      <w:r>
        <w:rPr>
          <w:rFonts w:hint="eastAsia" w:ascii="宋体" w:hAnsi="宋体"/>
          <w:color w:val="000000" w:themeColor="text1"/>
          <w:sz w:val="24"/>
          <w:highlight w:val="none"/>
        </w:rPr>
        <w:t xml:space="preserve">九十（90）天</w:t>
      </w:r>
      <w:r>
        <w:rPr>
          <w:rFonts w:hint="eastAsia" w:ascii="宋体" w:hAnsi="宋体"/>
          <w:bCs/>
          <w:color w:val="000000" w:themeColor="text1"/>
          <w:sz w:val="24"/>
          <w:highlight w:val="none"/>
        </w:rPr>
        <w:t xml:space="preserve">。投标有效期比规定短的将被视为未实质性响应招标</w:t>
      </w:r>
      <w:r>
        <w:rPr>
          <w:rFonts w:ascii="宋体" w:hAnsi="宋体"/>
          <w:bCs/>
          <w:color w:val="000000" w:themeColor="text1"/>
          <w:sz w:val="24"/>
          <w:highlight w:val="none"/>
        </w:rPr>
        <w:t xml:space="preserve">文件</w:t>
      </w:r>
      <w:r>
        <w:rPr>
          <w:rFonts w:hint="eastAsia" w:ascii="宋体" w:hAnsi="宋体"/>
          <w:bCs/>
          <w:color w:val="000000" w:themeColor="text1"/>
          <w:sz w:val="24"/>
          <w:highlight w:val="none"/>
        </w:rPr>
        <w:t xml:space="preserve">而予以拒绝。</w:t>
      </w:r>
      <w:r>
        <w:rPr>
          <w:color w:val="000000" w:themeColor="text1"/>
          <w:highlight w:val="none"/>
        </w:rPr>
      </w:r>
    </w:p>
    <w:p>
      <w:pPr>
        <w:pStyle w:val="887"/>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16.投标有效期的延长</w:t>
      </w:r>
      <w:r>
        <w:rPr>
          <w:color w:val="000000" w:themeColor="text1"/>
          <w:highlight w:val="none"/>
        </w:rPr>
      </w:r>
    </w:p>
    <w:p>
      <w:pPr>
        <w:pStyle w:val="883"/>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16.1</w:t>
      </w:r>
      <w:r>
        <w:rPr>
          <w:rFonts w:hint="eastAsia" w:ascii="宋体" w:hAnsi="宋体"/>
          <w:bCs/>
          <w:color w:val="000000" w:themeColor="text1"/>
          <w:sz w:val="24"/>
          <w:highlight w:val="none"/>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color w:val="000000" w:themeColor="text1"/>
          <w:sz w:val="24"/>
          <w:szCs w:val="24"/>
          <w:highlight w:val="none"/>
        </w:rPr>
        <w:t xml:space="preserve">。</w:t>
      </w:r>
      <w:r>
        <w:rPr>
          <w:rFonts w:hint="eastAsia" w:ascii="宋体" w:hAnsi="宋体"/>
          <w:bCs/>
          <w:color w:val="000000" w:themeColor="text1"/>
          <w:sz w:val="24"/>
          <w:highlight w:val="none"/>
        </w:rPr>
        <w:t xml:space="preserve">同意延长投标有效期的投标人既不能要求也不允许修改其投标文件</w:t>
      </w:r>
      <w:r>
        <w:rPr>
          <w:rFonts w:hint="eastAsia" w:ascii="宋体" w:hAnsi="宋体"/>
          <w:color w:val="000000" w:themeColor="text1"/>
          <w:sz w:val="24"/>
          <w:szCs w:val="24"/>
          <w:highlight w:val="none"/>
        </w:rPr>
        <w:t xml:space="preserve">，同时受投标有效期约束的所有权利与义务均延长至新的有效期</w:t>
      </w:r>
      <w:r>
        <w:rPr>
          <w:rFonts w:hint="eastAsia" w:ascii="宋体" w:hAnsi="宋体"/>
          <w:bCs/>
          <w:color w:val="000000" w:themeColor="text1"/>
          <w:sz w:val="24"/>
          <w:highlight w:val="none"/>
        </w:rPr>
        <w:t xml:space="preserve">。</w:t>
      </w:r>
      <w:r>
        <w:rPr>
          <w:color w:val="000000" w:themeColor="text1"/>
          <w:highlight w:val="none"/>
        </w:rPr>
      </w:r>
    </w:p>
    <w:p>
      <w:pPr>
        <w:pStyle w:val="886"/>
        <w:ind w:firstLine="452"/>
        <w:keepLines w:val="0"/>
        <w:keepNext w:val="0"/>
        <w:spacing w:before="0" w:after="0" w:line="500" w:lineRule="exact"/>
        <w:rPr>
          <w:rFonts w:hint="eastAsia"/>
          <w:color w:val="000000" w:themeColor="text1"/>
          <w:sz w:val="30"/>
          <w:szCs w:val="30"/>
          <w:highlight w:val="none"/>
        </w:rPr>
      </w:pPr>
      <w:r>
        <w:rPr>
          <w:color w:val="000000" w:themeColor="text1"/>
          <w:highlight w:val="none"/>
        </w:rPr>
      </w:r>
      <w:bookmarkStart w:id="123" w:name="_Hlt26954739"/>
      <w:r>
        <w:rPr>
          <w:color w:val="000000" w:themeColor="text1"/>
          <w:highlight w:val="none"/>
        </w:rPr>
      </w:r>
      <w:bookmarkEnd w:id="123"/>
      <w:r>
        <w:rPr>
          <w:color w:val="000000" w:themeColor="text1"/>
          <w:highlight w:val="none"/>
        </w:rPr>
      </w:r>
      <w:bookmarkStart w:id="124" w:name="_Hlt26954852"/>
      <w:r>
        <w:rPr>
          <w:color w:val="000000" w:themeColor="text1"/>
          <w:highlight w:val="none"/>
        </w:rPr>
      </w:r>
      <w:bookmarkEnd w:id="124"/>
      <w:r>
        <w:rPr>
          <w:color w:val="000000" w:themeColor="text1"/>
          <w:highlight w:val="none"/>
        </w:rPr>
      </w:r>
      <w:bookmarkStart w:id="125" w:name="_Toc120614217"/>
      <w:r>
        <w:rPr>
          <w:color w:val="000000" w:themeColor="text1"/>
          <w:highlight w:val="none"/>
        </w:rPr>
      </w:r>
      <w:bookmarkStart w:id="126" w:name="_Toc513029224"/>
      <w:r>
        <w:rPr>
          <w:color w:val="000000" w:themeColor="text1"/>
          <w:highlight w:val="none"/>
        </w:rPr>
      </w:r>
      <w:bookmarkStart w:id="127" w:name="_Toc20823296"/>
      <w:r>
        <w:rPr>
          <w:color w:val="000000" w:themeColor="text1"/>
          <w:highlight w:val="none"/>
        </w:rPr>
      </w:r>
      <w:bookmarkStart w:id="128" w:name="_Toc16938540"/>
      <w:r>
        <w:rPr>
          <w:rFonts w:hint="eastAsia"/>
          <w:color w:val="000000" w:themeColor="text1"/>
          <w:sz w:val="30"/>
          <w:szCs w:val="30"/>
          <w:highlight w:val="none"/>
        </w:rPr>
        <w:t xml:space="preserve">四、投标文件的递交</w:t>
      </w:r>
      <w:bookmarkEnd w:id="125"/>
      <w:r>
        <w:rPr>
          <w:color w:val="000000" w:themeColor="text1"/>
          <w:highlight w:val="none"/>
        </w:rPr>
      </w:r>
      <w:bookmarkEnd w:id="126"/>
      <w:r>
        <w:rPr>
          <w:color w:val="000000" w:themeColor="text1"/>
          <w:highlight w:val="none"/>
        </w:rPr>
      </w:r>
      <w:bookmarkEnd w:id="127"/>
      <w:r>
        <w:rPr>
          <w:color w:val="000000" w:themeColor="text1"/>
          <w:highlight w:val="none"/>
        </w:rPr>
      </w:r>
      <w:bookmarkEnd w:id="128"/>
      <w:r>
        <w:rPr>
          <w:rFonts w:hint="eastAsia"/>
          <w:color w:val="000000" w:themeColor="text1"/>
          <w:sz w:val="30"/>
          <w:szCs w:val="30"/>
          <w:highlight w:val="none"/>
        </w:rPr>
      </w:r>
      <w:r>
        <w:rPr>
          <w:color w:val="000000" w:themeColor="text1"/>
          <w:highlight w:val="none"/>
        </w:rPr>
      </w:r>
    </w:p>
    <w:p>
      <w:pPr>
        <w:pStyle w:val="887"/>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129" w:name="_Toc513029225"/>
      <w:r>
        <w:rPr>
          <w:color w:val="000000" w:themeColor="text1"/>
          <w:highlight w:val="none"/>
        </w:rPr>
      </w:r>
      <w:bookmarkStart w:id="130" w:name="_Toc20823297"/>
      <w:r>
        <w:rPr>
          <w:color w:val="000000" w:themeColor="text1"/>
          <w:highlight w:val="none"/>
        </w:rPr>
      </w:r>
      <w:bookmarkStart w:id="131" w:name="_Toc462564084"/>
      <w:r>
        <w:rPr>
          <w:color w:val="000000" w:themeColor="text1"/>
          <w:highlight w:val="none"/>
        </w:rPr>
      </w:r>
      <w:bookmarkStart w:id="132" w:name="_Toc16938541"/>
      <w:r>
        <w:rPr>
          <w:rFonts w:hint="eastAsia" w:ascii="宋体" w:hAnsi="宋体" w:eastAsia="宋体"/>
          <w:bCs w:val="0"/>
          <w:color w:val="000000" w:themeColor="text1"/>
          <w:highlight w:val="none"/>
        </w:rPr>
        <w:t xml:space="preserve">17.投标文件</w:t>
      </w:r>
      <w:bookmarkEnd w:id="129"/>
      <w:r>
        <w:rPr>
          <w:color w:val="000000" w:themeColor="text1"/>
          <w:highlight w:val="none"/>
        </w:rPr>
      </w:r>
      <w:bookmarkEnd w:id="130"/>
      <w:r>
        <w:rPr>
          <w:color w:val="000000" w:themeColor="text1"/>
          <w:highlight w:val="none"/>
        </w:rPr>
      </w:r>
      <w:bookmarkEnd w:id="131"/>
      <w:r>
        <w:rPr>
          <w:color w:val="000000" w:themeColor="text1"/>
          <w:highlight w:val="none"/>
        </w:rPr>
      </w:r>
      <w:bookmarkEnd w:id="132"/>
      <w:r>
        <w:rPr>
          <w:rFonts w:hint="eastAsia" w:ascii="宋体" w:hAnsi="宋体" w:eastAsia="宋体"/>
          <w:bCs w:val="0"/>
          <w:color w:val="000000" w:themeColor="text1"/>
          <w:highlight w:val="none"/>
        </w:rPr>
        <w:t xml:space="preserve">的递交</w:t>
      </w:r>
      <w:r>
        <w:rPr>
          <w:color w:val="000000" w:themeColor="text1"/>
          <w:highlight w:val="none"/>
        </w:rPr>
      </w:r>
    </w:p>
    <w:p>
      <w:pPr>
        <w:pStyle w:val="883"/>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17.1</w:t>
      </w:r>
      <w:r>
        <w:rPr>
          <w:rFonts w:hint="eastAsia" w:ascii="宋体" w:hAnsi="宋体"/>
          <w:bCs/>
          <w:color w:val="000000" w:themeColor="text1"/>
          <w:sz w:val="24"/>
          <w:highlight w:val="none"/>
        </w:rPr>
        <w:t xml:space="preserve">电子投标文件的递交</w:t>
      </w:r>
      <w:r>
        <w:rPr>
          <w:color w:val="000000" w:themeColor="text1"/>
          <w:highlight w:val="none"/>
        </w:rPr>
      </w:r>
    </w:p>
    <w:p>
      <w:pPr>
        <w:pStyle w:val="996"/>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投标人应当按照《操作手册》规定，在投标截止时间前</w:t>
      </w:r>
      <w:r>
        <w:rPr>
          <w:rFonts w:ascii="宋体" w:hAnsi="宋体"/>
          <w:bCs/>
          <w:color w:val="000000" w:themeColor="text1"/>
          <w:sz w:val="24"/>
          <w:highlight w:val="none"/>
        </w:rPr>
        <w:t xml:space="preserve">制作</w:t>
      </w:r>
      <w:r>
        <w:rPr>
          <w:rFonts w:hint="eastAsia" w:ascii="宋体" w:hAnsi="宋体"/>
          <w:bCs/>
          <w:color w:val="000000" w:themeColor="text1"/>
          <w:sz w:val="24"/>
          <w:highlight w:val="none"/>
        </w:rPr>
        <w:t xml:space="preserve">并上传电子投标文件。</w:t>
      </w:r>
      <w:bookmarkStart w:id="133" w:name="_Toc513029226"/>
      <w:r>
        <w:rPr>
          <w:color w:val="000000" w:themeColor="text1"/>
          <w:highlight w:val="none"/>
        </w:rPr>
      </w:r>
      <w:bookmarkStart w:id="134" w:name="_Toc16938542"/>
      <w:r>
        <w:rPr>
          <w:color w:val="000000" w:themeColor="text1"/>
          <w:highlight w:val="none"/>
        </w:rPr>
      </w:r>
      <w:bookmarkStart w:id="135" w:name="_Toc20823298"/>
      <w:r>
        <w:rPr>
          <w:rFonts w:hint="eastAsia" w:ascii="宋体" w:hAnsi="宋体"/>
          <w:bCs/>
          <w:color w:val="000000" w:themeColor="text1"/>
          <w:sz w:val="24"/>
          <w:highlight w:val="none"/>
        </w:rPr>
      </w:r>
      <w:r>
        <w:rPr>
          <w:color w:val="000000" w:themeColor="text1"/>
          <w:highlight w:val="none"/>
        </w:rPr>
      </w:r>
    </w:p>
    <w:p>
      <w:pPr>
        <w:pStyle w:val="887"/>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18.投标截止</w:t>
      </w:r>
      <w:bookmarkEnd w:id="133"/>
      <w:r>
        <w:rPr>
          <w:color w:val="000000" w:themeColor="text1"/>
          <w:highlight w:val="none"/>
        </w:rPr>
      </w:r>
      <w:bookmarkEnd w:id="134"/>
      <w:r>
        <w:rPr>
          <w:color w:val="000000" w:themeColor="text1"/>
          <w:highlight w:val="none"/>
        </w:rPr>
      </w:r>
      <w:bookmarkEnd w:id="135"/>
      <w:r>
        <w:rPr>
          <w:rFonts w:hint="eastAsia" w:ascii="宋体" w:hAnsi="宋体" w:eastAsia="宋体"/>
          <w:bCs w:val="0"/>
          <w:color w:val="000000" w:themeColor="text1"/>
          <w:highlight w:val="none"/>
        </w:rPr>
        <w:t xml:space="preserve">时间</w:t>
      </w:r>
      <w:r>
        <w:rPr>
          <w:color w:val="000000" w:themeColor="text1"/>
          <w:highlight w:val="none"/>
        </w:rPr>
      </w:r>
    </w:p>
    <w:p>
      <w:pPr>
        <w:pStyle w:val="883"/>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18.1</w:t>
      </w:r>
      <w:r>
        <w:rPr>
          <w:rFonts w:hint="eastAsia" w:ascii="宋体" w:hAnsi="宋体"/>
          <w:bCs/>
          <w:color w:val="000000" w:themeColor="text1"/>
          <w:sz w:val="24"/>
          <w:highlight w:val="none"/>
        </w:rPr>
        <w:t xml:space="preserve">投标人上传电子投标文件的时间不得迟于招标公告中规定的投标截止时间。</w:t>
      </w:r>
      <w:r>
        <w:rPr>
          <w:color w:val="000000" w:themeColor="text1"/>
          <w:highlight w:val="none"/>
        </w:rPr>
      </w:r>
    </w:p>
    <w:p>
      <w:pPr>
        <w:pStyle w:val="883"/>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投标人应充分考虑到网络环境、网络带宽等风险因素，如因投标人自身原因造成的电子投标文件上传不成功的视作投标人未按照招标文件要求上传电子投标文件，做无效投标处理。</w:t>
      </w:r>
      <w:r>
        <w:rPr>
          <w:color w:val="000000" w:themeColor="text1"/>
          <w:highlight w:val="none"/>
        </w:rPr>
      </w:r>
    </w:p>
    <w:p>
      <w:pPr>
        <w:pStyle w:val="883"/>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18.2</w:t>
      </w:r>
      <w:r>
        <w:rPr>
          <w:rFonts w:hint="eastAsia" w:ascii="宋体" w:hAnsi="宋体"/>
          <w:bCs/>
          <w:color w:val="000000" w:themeColor="text1"/>
          <w:sz w:val="24"/>
          <w:highlight w:val="none"/>
        </w:rPr>
        <w:t xml:space="preserve">交易中心可以按照规定，通过更正公告修改投标截止时间，投标人的所有权利和义务以及投标人受制的截止时间均应以延长后新的截止时间为准。</w:t>
      </w:r>
      <w:r>
        <w:rPr>
          <w:color w:val="000000" w:themeColor="text1"/>
          <w:highlight w:val="none"/>
        </w:rPr>
      </w:r>
    </w:p>
    <w:p>
      <w:pPr>
        <w:pStyle w:val="887"/>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136" w:name="_Toc16938543"/>
      <w:r>
        <w:rPr>
          <w:color w:val="000000" w:themeColor="text1"/>
          <w:highlight w:val="none"/>
        </w:rPr>
      </w:r>
      <w:bookmarkStart w:id="137" w:name="_Toc513029227"/>
      <w:r>
        <w:rPr>
          <w:color w:val="000000" w:themeColor="text1"/>
          <w:highlight w:val="none"/>
        </w:rPr>
      </w:r>
      <w:bookmarkStart w:id="138" w:name="_Toc20823299"/>
      <w:r>
        <w:rPr>
          <w:rFonts w:hint="eastAsia" w:ascii="宋体" w:hAnsi="宋体" w:eastAsia="宋体"/>
          <w:bCs w:val="0"/>
          <w:color w:val="000000" w:themeColor="text1"/>
          <w:highlight w:val="none"/>
        </w:rPr>
        <w:t xml:space="preserve">19.投标文件</w:t>
      </w:r>
      <w:bookmarkEnd w:id="136"/>
      <w:r>
        <w:rPr>
          <w:color w:val="000000" w:themeColor="text1"/>
          <w:highlight w:val="none"/>
        </w:rPr>
      </w:r>
      <w:bookmarkEnd w:id="137"/>
      <w:r>
        <w:rPr>
          <w:color w:val="000000" w:themeColor="text1"/>
          <w:highlight w:val="none"/>
        </w:rPr>
      </w:r>
      <w:bookmarkEnd w:id="138"/>
      <w:r>
        <w:rPr>
          <w:rFonts w:hint="eastAsia" w:ascii="宋体" w:hAnsi="宋体" w:eastAsia="宋体"/>
          <w:bCs w:val="0"/>
          <w:color w:val="000000" w:themeColor="text1"/>
          <w:highlight w:val="none"/>
        </w:rPr>
        <w:t xml:space="preserve">的拒收</w:t>
      </w:r>
      <w:r>
        <w:rPr>
          <w:color w:val="000000" w:themeColor="text1"/>
          <w:highlight w:val="none"/>
        </w:rPr>
      </w:r>
    </w:p>
    <w:p>
      <w:pPr>
        <w:pStyle w:val="883"/>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19.1</w:t>
      </w:r>
      <w:r>
        <w:rPr>
          <w:rFonts w:hint="eastAsia" w:ascii="宋体" w:hAnsi="宋体"/>
          <w:bCs/>
          <w:color w:val="000000" w:themeColor="text1"/>
          <w:sz w:val="24"/>
          <w:highlight w:val="none"/>
        </w:rPr>
        <w:t xml:space="preserve">交易中心拒绝接收在其规定的投标截止时间后上传的任何投标文件。</w:t>
      </w:r>
      <w:r>
        <w:rPr>
          <w:color w:val="000000" w:themeColor="text1"/>
          <w:highlight w:val="none"/>
        </w:rPr>
      </w:r>
    </w:p>
    <w:p>
      <w:pPr>
        <w:pStyle w:val="887"/>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139" w:name="_Toc20823300"/>
      <w:r>
        <w:rPr>
          <w:color w:val="000000" w:themeColor="text1"/>
          <w:highlight w:val="none"/>
        </w:rPr>
      </w:r>
      <w:bookmarkStart w:id="140" w:name="_Toc513029228"/>
      <w:r>
        <w:rPr>
          <w:color w:val="000000" w:themeColor="text1"/>
          <w:highlight w:val="none"/>
        </w:rPr>
      </w:r>
      <w:bookmarkStart w:id="141" w:name="_Toc16938544"/>
      <w:r>
        <w:rPr>
          <w:rFonts w:hint="eastAsia" w:ascii="宋体" w:hAnsi="宋体" w:eastAsia="宋体"/>
          <w:bCs w:val="0"/>
          <w:color w:val="000000" w:themeColor="text1"/>
          <w:highlight w:val="none"/>
        </w:rPr>
        <w:t xml:space="preserve">20.投标文件的撤回和修改</w:t>
      </w:r>
      <w:bookmarkEnd w:id="139"/>
      <w:r>
        <w:rPr>
          <w:color w:val="000000" w:themeColor="text1"/>
          <w:highlight w:val="none"/>
        </w:rPr>
      </w:r>
      <w:bookmarkEnd w:id="140"/>
      <w:r>
        <w:rPr>
          <w:color w:val="000000" w:themeColor="text1"/>
          <w:highlight w:val="none"/>
        </w:rPr>
      </w:r>
      <w:bookmarkEnd w:id="141"/>
      <w:r>
        <w:rPr>
          <w:rFonts w:hint="eastAsia" w:ascii="宋体" w:hAnsi="宋体" w:eastAsia="宋体"/>
          <w:bCs w:val="0"/>
          <w:color w:val="000000" w:themeColor="text1"/>
          <w:highlight w:val="none"/>
        </w:rPr>
      </w:r>
      <w:r>
        <w:rPr>
          <w:color w:val="000000" w:themeColor="text1"/>
          <w:highlight w:val="none"/>
        </w:rPr>
      </w:r>
    </w:p>
    <w:p>
      <w:pPr>
        <w:pStyle w:val="883"/>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20.1投标文件的撤回</w:t>
      </w:r>
      <w:r>
        <w:rPr>
          <w:color w:val="000000" w:themeColor="text1"/>
          <w:highlight w:val="none"/>
        </w:rPr>
      </w:r>
    </w:p>
    <w:p>
      <w:pPr>
        <w:pStyle w:val="883"/>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21.1.1电子投标文件的撤回</w:t>
      </w:r>
      <w:r>
        <w:rPr>
          <w:color w:val="000000" w:themeColor="text1"/>
          <w:highlight w:val="none"/>
        </w:rPr>
      </w:r>
    </w:p>
    <w:p>
      <w:pPr>
        <w:pStyle w:val="883"/>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投标人可在投标截止时间前，撤回其电子投标文件，具体操作方法见《操作手册》。</w:t>
      </w:r>
      <w:r>
        <w:rPr>
          <w:color w:val="000000" w:themeColor="text1"/>
          <w:highlight w:val="none"/>
        </w:rP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21.1.</w:t>
      </w:r>
      <w:r>
        <w:rPr>
          <w:rFonts w:ascii="宋体" w:hAnsi="宋体"/>
          <w:color w:val="000000" w:themeColor="text1"/>
          <w:sz w:val="24"/>
          <w:szCs w:val="24"/>
          <w:highlight w:val="none"/>
        </w:rPr>
        <w:t xml:space="preserve">2</w:t>
      </w:r>
      <w:r>
        <w:rPr>
          <w:rFonts w:hint="eastAsia" w:ascii="宋体" w:hAnsi="宋体"/>
          <w:color w:val="000000" w:themeColor="text1"/>
          <w:sz w:val="24"/>
          <w:szCs w:val="24"/>
          <w:highlight w:val="none"/>
        </w:rPr>
        <w:t xml:space="preserve">投标人撤回电子投标文件，则认为其不再参与本项目投标活动。</w:t>
      </w:r>
      <w:r>
        <w:rPr>
          <w:color w:val="000000" w:themeColor="text1"/>
          <w:highlight w:val="none"/>
        </w:rP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20.2投标文件的修改</w:t>
      </w:r>
      <w:r>
        <w:rPr>
          <w:color w:val="000000" w:themeColor="text1"/>
          <w:highlight w:val="none"/>
        </w:rPr>
      </w:r>
    </w:p>
    <w:p>
      <w:pPr>
        <w:pStyle w:val="883"/>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20.2.1投标人可在投标截止时间前，对其电子投标文件进行修改，具体操作方法见《操作手册》。</w:t>
      </w:r>
      <w:r>
        <w:rPr>
          <w:color w:val="000000" w:themeColor="text1"/>
          <w:highlight w:val="none"/>
        </w:rPr>
      </w:r>
    </w:p>
    <w:p>
      <w:pPr>
        <w:pStyle w:val="883"/>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20.2.2</w:t>
      </w:r>
      <w:r>
        <w:rPr>
          <w:rFonts w:hint="eastAsia" w:ascii="宋体" w:hAnsi="宋体"/>
          <w:bCs/>
          <w:color w:val="000000" w:themeColor="text1"/>
          <w:sz w:val="24"/>
          <w:highlight w:val="none"/>
        </w:rPr>
        <w:t xml:space="preserve">在投标截止时间之后，投标人不得对其电子投标文件作任何修改。</w:t>
      </w:r>
      <w:r>
        <w:rPr>
          <w:color w:val="000000" w:themeColor="text1"/>
          <w:highlight w:val="none"/>
        </w:rPr>
      </w:r>
    </w:p>
    <w:p>
      <w:pPr>
        <w:pStyle w:val="883"/>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20.3</w:t>
      </w:r>
      <w:r>
        <w:rPr>
          <w:rFonts w:hint="eastAsia" w:ascii="宋体" w:hAnsi="宋体"/>
          <w:bCs/>
          <w:color w:val="000000" w:themeColor="text1"/>
          <w:sz w:val="24"/>
          <w:highlight w:val="none"/>
        </w:rPr>
        <w:t xml:space="preserve">在投标截止时间至招标文件中规定的投标有效期满之间的这段时间内，投标人不得撤回其投标。</w:t>
      </w:r>
      <w:r>
        <w:rPr>
          <w:color w:val="000000" w:themeColor="text1"/>
          <w:highlight w:val="none"/>
        </w:rPr>
      </w:r>
    </w:p>
    <w:p>
      <w:pPr>
        <w:pStyle w:val="886"/>
        <w:ind w:firstLine="452"/>
        <w:keepLines w:val="0"/>
        <w:keepNext w:val="0"/>
        <w:spacing w:before="0" w:after="0" w:line="500" w:lineRule="exact"/>
        <w:rPr>
          <w:rFonts w:hint="eastAsia"/>
          <w:color w:val="000000" w:themeColor="text1"/>
          <w:sz w:val="30"/>
          <w:szCs w:val="30"/>
          <w:highlight w:val="none"/>
        </w:rPr>
      </w:pPr>
      <w:r>
        <w:rPr>
          <w:color w:val="000000" w:themeColor="text1"/>
          <w:highlight w:val="none"/>
        </w:rPr>
      </w:r>
      <w:bookmarkStart w:id="142" w:name="_Toc20823301"/>
      <w:r>
        <w:rPr>
          <w:color w:val="000000" w:themeColor="text1"/>
          <w:highlight w:val="none"/>
        </w:rPr>
      </w:r>
      <w:bookmarkStart w:id="143" w:name="_Toc16938545"/>
      <w:r>
        <w:rPr>
          <w:color w:val="000000" w:themeColor="text1"/>
          <w:highlight w:val="none"/>
        </w:rPr>
      </w:r>
      <w:bookmarkStart w:id="144" w:name="_Toc513029229"/>
      <w:r>
        <w:rPr>
          <w:color w:val="000000" w:themeColor="text1"/>
          <w:highlight w:val="none"/>
        </w:rPr>
      </w:r>
      <w:bookmarkStart w:id="145" w:name="_Toc120614218"/>
      <w:r>
        <w:rPr>
          <w:rFonts w:hint="eastAsia"/>
          <w:color w:val="000000" w:themeColor="text1"/>
          <w:sz w:val="30"/>
          <w:szCs w:val="30"/>
          <w:highlight w:val="none"/>
        </w:rPr>
        <w:t xml:space="preserve">五、开标与评标</w:t>
      </w:r>
      <w:bookmarkEnd w:id="142"/>
      <w:r>
        <w:rPr>
          <w:color w:val="000000" w:themeColor="text1"/>
          <w:highlight w:val="none"/>
        </w:rPr>
      </w:r>
      <w:bookmarkEnd w:id="143"/>
      <w:r>
        <w:rPr>
          <w:color w:val="000000" w:themeColor="text1"/>
          <w:highlight w:val="none"/>
        </w:rPr>
      </w:r>
      <w:bookmarkEnd w:id="144"/>
      <w:r>
        <w:rPr>
          <w:color w:val="000000" w:themeColor="text1"/>
          <w:highlight w:val="none"/>
        </w:rPr>
      </w:r>
      <w:bookmarkEnd w:id="145"/>
      <w:r>
        <w:rPr>
          <w:rFonts w:hint="eastAsia"/>
          <w:color w:val="000000" w:themeColor="text1"/>
          <w:sz w:val="30"/>
          <w:szCs w:val="30"/>
          <w:highlight w:val="none"/>
        </w:rPr>
      </w:r>
      <w:r>
        <w:rPr>
          <w:color w:val="000000" w:themeColor="text1"/>
          <w:highlight w:val="none"/>
        </w:rPr>
      </w:r>
    </w:p>
    <w:p>
      <w:pPr>
        <w:pStyle w:val="887"/>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146" w:name="_Toc20823302"/>
      <w:r>
        <w:rPr>
          <w:color w:val="000000" w:themeColor="text1"/>
          <w:highlight w:val="none"/>
        </w:rPr>
      </w:r>
      <w:bookmarkStart w:id="147" w:name="_Toc513029230"/>
      <w:r>
        <w:rPr>
          <w:color w:val="000000" w:themeColor="text1"/>
          <w:highlight w:val="none"/>
        </w:rPr>
      </w:r>
      <w:bookmarkStart w:id="148" w:name="_Toc16938546"/>
      <w:r>
        <w:rPr>
          <w:rFonts w:hint="eastAsia" w:ascii="宋体" w:hAnsi="宋体" w:eastAsia="宋体"/>
          <w:bCs w:val="0"/>
          <w:color w:val="000000" w:themeColor="text1"/>
          <w:highlight w:val="none"/>
        </w:rPr>
        <w:t xml:space="preserve">21.开标</w:t>
      </w:r>
      <w:bookmarkEnd w:id="146"/>
      <w:r>
        <w:rPr>
          <w:color w:val="000000" w:themeColor="text1"/>
          <w:highlight w:val="none"/>
        </w:rPr>
      </w:r>
      <w:bookmarkEnd w:id="147"/>
      <w:r>
        <w:rPr>
          <w:color w:val="000000" w:themeColor="text1"/>
          <w:highlight w:val="none"/>
        </w:rPr>
      </w:r>
      <w:bookmarkEnd w:id="148"/>
      <w:r>
        <w:rPr>
          <w:rFonts w:hint="eastAsia" w:ascii="宋体" w:hAnsi="宋体" w:eastAsia="宋体"/>
          <w:bCs w:val="0"/>
          <w:color w:val="000000" w:themeColor="text1"/>
          <w:highlight w:val="none"/>
        </w:rPr>
      </w:r>
      <w:r>
        <w:rPr>
          <w:color w:val="000000" w:themeColor="text1"/>
          <w:highlight w:val="none"/>
        </w:rPr>
      </w:r>
    </w:p>
    <w:p>
      <w:pPr>
        <w:pStyle w:val="883"/>
        <w:ind w:firstLine="480"/>
        <w:spacing w:line="500" w:lineRule="exact"/>
        <w:rPr>
          <w:rFonts w:hint="eastAsia"/>
          <w:color w:val="000000" w:themeColor="text1"/>
          <w:highlight w:val="none"/>
        </w:rPr>
      </w:pPr>
      <w:r>
        <w:rPr>
          <w:rFonts w:hint="eastAsia" w:ascii="宋体" w:hAnsi="宋体"/>
          <w:color w:val="000000" w:themeColor="text1"/>
          <w:sz w:val="24"/>
          <w:highlight w:val="none"/>
        </w:rPr>
        <w:t xml:space="preserve">21.1</w:t>
      </w:r>
      <w:r>
        <w:rPr>
          <w:rFonts w:hint="eastAsia" w:ascii="宋体" w:hAnsi="宋体"/>
          <w:bCs/>
          <w:color w:val="000000" w:themeColor="text1"/>
          <w:sz w:val="24"/>
          <w:highlight w:val="none"/>
        </w:rPr>
        <w:t xml:space="preserve">交易中心将在招标公告中规定的时间和地点组织公开开标</w:t>
      </w:r>
      <w:r>
        <w:rPr>
          <w:rFonts w:hint="eastAsia" w:ascii="宋体" w:hAnsi="宋体"/>
          <w:color w:val="000000" w:themeColor="text1"/>
          <w:sz w:val="24"/>
          <w:szCs w:val="24"/>
          <w:highlight w:val="none"/>
        </w:rPr>
        <w:t xml:space="preserve">。投标人应当按照《操作手册》规定，</w:t>
      </w:r>
      <w:r>
        <w:rPr>
          <w:rFonts w:ascii="宋体" w:hAnsi="宋体"/>
          <w:color w:val="000000" w:themeColor="text1"/>
          <w:sz w:val="24"/>
          <w:szCs w:val="24"/>
          <w:highlight w:val="none"/>
        </w:rPr>
        <w:t xml:space="preserve">参加开标活动</w:t>
      </w:r>
      <w:r>
        <w:rPr>
          <w:rFonts w:hint="eastAsia" w:ascii="宋体" w:hAnsi="宋体"/>
          <w:color w:val="000000" w:themeColor="text1"/>
          <w:sz w:val="24"/>
          <w:szCs w:val="24"/>
          <w:highlight w:val="none"/>
        </w:rPr>
        <w:t xml:space="preserve">和在</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规定的时间内对投标文件进行解密。</w:t>
      </w:r>
      <w:r>
        <w:rPr>
          <w:rFonts w:hint="eastAsia"/>
          <w:color w:val="000000" w:themeColor="text1"/>
          <w:highlight w:val="none"/>
        </w:rPr>
      </w:r>
      <w:r>
        <w:rPr>
          <w:color w:val="000000" w:themeColor="text1"/>
          <w:highlight w:val="none"/>
        </w:rPr>
      </w:r>
    </w:p>
    <w:p>
      <w:pPr>
        <w:pStyle w:val="883"/>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21.2开标仪式由交易中心组织。</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highlight w:val="none"/>
        </w:rPr>
        <w:t xml:space="preserve">将自动对</w:t>
      </w:r>
      <w:r>
        <w:rPr>
          <w:rFonts w:ascii="宋体" w:hAnsi="宋体"/>
          <w:color w:val="000000" w:themeColor="text1"/>
          <w:sz w:val="24"/>
          <w:highlight w:val="none"/>
        </w:rPr>
        <w:t xml:space="preserve">项目进行开标，并</w:t>
      </w:r>
      <w:r>
        <w:rPr>
          <w:rFonts w:hint="eastAsia" w:ascii="宋体" w:hAnsi="宋体"/>
          <w:color w:val="000000" w:themeColor="text1"/>
          <w:sz w:val="24"/>
          <w:highlight w:val="none"/>
        </w:rPr>
        <w:t xml:space="preserve">宣布各</w:t>
      </w:r>
      <w:r>
        <w:rPr>
          <w:rFonts w:ascii="宋体" w:hAnsi="宋体"/>
          <w:color w:val="000000" w:themeColor="text1"/>
          <w:sz w:val="24"/>
          <w:highlight w:val="none"/>
        </w:rPr>
        <w:t xml:space="preserve">投标人</w:t>
      </w:r>
      <w:r>
        <w:rPr>
          <w:rFonts w:hint="eastAsia" w:ascii="宋体" w:hAnsi="宋体"/>
          <w:color w:val="000000" w:themeColor="text1"/>
          <w:sz w:val="24"/>
          <w:highlight w:val="none"/>
        </w:rPr>
        <w:t xml:space="preserve">名称和投标价格。</w:t>
      </w:r>
      <w:r>
        <w:rPr>
          <w:color w:val="000000" w:themeColor="text1"/>
          <w:highlight w:val="none"/>
        </w:rPr>
      </w:r>
    </w:p>
    <w:p>
      <w:pPr>
        <w:pStyle w:val="883"/>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21.3投标人在开标过程中涉及的投标文件解密、开标结果确认等工作，应按照《操作手册》规定执行。</w:t>
      </w:r>
      <w:r>
        <w:rPr>
          <w:color w:val="000000" w:themeColor="text1"/>
          <w:highlight w:val="none"/>
        </w:rPr>
      </w:r>
    </w:p>
    <w:p>
      <w:pPr>
        <w:pStyle w:val="883"/>
        <w:ind w:firstLine="480"/>
        <w:spacing w:line="500" w:lineRule="exact"/>
        <w:rPr>
          <w:rFonts w:ascii="宋体" w:hAnsi="宋体"/>
          <w:color w:val="000000" w:themeColor="text1"/>
          <w:sz w:val="24"/>
          <w:highlight w:val="none"/>
        </w:rPr>
      </w:pPr>
      <w:r>
        <w:rPr>
          <w:rFonts w:hint="eastAsia" w:ascii="宋体" w:hAnsi="宋体"/>
          <w:color w:val="000000" w:themeColor="text1"/>
          <w:sz w:val="24"/>
          <w:highlight w:val="none"/>
        </w:rPr>
        <w:t xml:space="preserve">21.4投标人如果对开标过程和开标记录有疑义，应当根据《操作手册》规定提出，如</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highlight w:val="none"/>
        </w:rPr>
        <w:t xml:space="preserve">中《开标记录表》宣布后5分钟内未提出的，视同认可开标结果。</w:t>
      </w:r>
      <w:r>
        <w:rPr>
          <w:rFonts w:ascii="宋体" w:hAnsi="宋体"/>
          <w:color w:val="000000" w:themeColor="text1"/>
          <w:sz w:val="24"/>
          <w:highlight w:val="none"/>
        </w:rPr>
      </w:r>
      <w:r>
        <w:rPr>
          <w:color w:val="000000" w:themeColor="text1"/>
          <w:highlight w:val="none"/>
        </w:rPr>
      </w:r>
    </w:p>
    <w:p>
      <w:pPr>
        <w:pStyle w:val="887"/>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149" w:name="_Toc513029231"/>
      <w:r>
        <w:rPr>
          <w:color w:val="000000" w:themeColor="text1"/>
          <w:highlight w:val="none"/>
        </w:rPr>
      </w:r>
      <w:bookmarkStart w:id="150" w:name="_Toc20823303"/>
      <w:r>
        <w:rPr>
          <w:color w:val="000000" w:themeColor="text1"/>
          <w:highlight w:val="none"/>
        </w:rPr>
      </w:r>
      <w:bookmarkStart w:id="151" w:name="_Toc16938547"/>
      <w:r>
        <w:rPr>
          <w:rFonts w:hint="eastAsia" w:ascii="宋体" w:hAnsi="宋体" w:eastAsia="宋体"/>
          <w:bCs w:val="0"/>
          <w:color w:val="000000" w:themeColor="text1"/>
          <w:highlight w:val="none"/>
        </w:rPr>
        <w:t xml:space="preserve">22.评标委员会</w:t>
      </w:r>
      <w:r>
        <w:rPr>
          <w:color w:val="000000" w:themeColor="text1"/>
          <w:highlight w:val="none"/>
        </w:rPr>
      </w:r>
    </w:p>
    <w:p>
      <w:pPr>
        <w:pStyle w:val="883"/>
        <w:ind w:firstLine="480"/>
        <w:spacing w:line="500" w:lineRule="exact"/>
        <w:rPr>
          <w:rFonts w:hint="eastAsia" w:ascii="宋体" w:hAnsi="宋体"/>
          <w:b/>
          <w:color w:val="000000" w:themeColor="text1"/>
          <w:sz w:val="24"/>
          <w:szCs w:val="24"/>
          <w:highlight w:val="none"/>
        </w:rPr>
      </w:pPr>
      <w:r>
        <w:rPr>
          <w:rFonts w:hint="eastAsia" w:ascii="宋体" w:hAnsi="宋体"/>
          <w:color w:val="000000" w:themeColor="text1"/>
          <w:sz w:val="24"/>
          <w:szCs w:val="24"/>
          <w:highlight w:val="none"/>
        </w:rPr>
        <w:t xml:space="preserve">22.1开标后，交易中心将立即组织评标委员会（以下简称评委会）进行评标。</w:t>
      </w:r>
      <w:r>
        <w:rPr>
          <w:rFonts w:hint="eastAsia" w:ascii="宋体" w:hAnsi="宋体"/>
          <w:b/>
          <w:color w:val="000000" w:themeColor="text1"/>
          <w:sz w:val="24"/>
          <w:szCs w:val="24"/>
          <w:highlight w:val="none"/>
        </w:rPr>
      </w:r>
      <w:r>
        <w:rPr>
          <w:color w:val="000000" w:themeColor="text1"/>
          <w:highlight w:val="none"/>
        </w:rP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22.2评委会依法组建，且人员构成符合政府采购有关规定。</w:t>
      </w:r>
      <w:r>
        <w:rPr>
          <w:color w:val="000000" w:themeColor="text1"/>
          <w:highlight w:val="none"/>
        </w:rP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22.3评委会独立工作，负责评审所有投标文件并确定中标候选人。</w:t>
      </w:r>
      <w:r>
        <w:rPr>
          <w:color w:val="000000" w:themeColor="text1"/>
          <w:highlight w:val="none"/>
        </w:rPr>
      </w:r>
    </w:p>
    <w:p>
      <w:pPr>
        <w:pStyle w:val="887"/>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23.评标过程的保密与公正</w:t>
      </w:r>
      <w:r>
        <w:rPr>
          <w:color w:val="000000" w:themeColor="text1"/>
          <w:highlight w:val="none"/>
        </w:rPr>
      </w:r>
    </w:p>
    <w:p>
      <w:pPr>
        <w:pStyle w:val="883"/>
        <w:ind w:firstLine="480"/>
        <w:spacing w:line="500" w:lineRule="exact"/>
        <w:rPr>
          <w:rFonts w:hint="eastAsia" w:ascii="宋体" w:hAnsi="宋体"/>
          <w:bCs/>
          <w:color w:val="000000" w:themeColor="text1"/>
          <w:sz w:val="24"/>
          <w:highlight w:val="none"/>
        </w:rPr>
      </w:pPr>
      <w:r>
        <w:rPr>
          <w:color w:val="000000" w:themeColor="text1"/>
          <w:highlight w:val="none"/>
        </w:rPr>
      </w:r>
      <w:bookmarkEnd w:id="149"/>
      <w:r>
        <w:rPr>
          <w:color w:val="000000" w:themeColor="text1"/>
          <w:highlight w:val="none"/>
        </w:rPr>
      </w:r>
      <w:bookmarkEnd w:id="150"/>
      <w:r>
        <w:rPr>
          <w:color w:val="000000" w:themeColor="text1"/>
          <w:highlight w:val="none"/>
        </w:rPr>
      </w:r>
      <w:bookmarkEnd w:id="151"/>
      <w:r>
        <w:rPr>
          <w:rFonts w:hint="eastAsia" w:ascii="宋体" w:hAnsi="宋体"/>
          <w:color w:val="000000" w:themeColor="text1"/>
          <w:sz w:val="24"/>
          <w:highlight w:val="none"/>
        </w:rPr>
        <w:t xml:space="preserve">23.1</w:t>
      </w:r>
      <w:r>
        <w:rPr>
          <w:rFonts w:hint="eastAsia" w:ascii="宋体" w:hAnsi="宋体"/>
          <w:bCs/>
          <w:color w:val="000000" w:themeColor="text1"/>
          <w:sz w:val="24"/>
          <w:highlight w:val="none"/>
        </w:rPr>
        <w:t xml:space="preserve">凡是与审查、澄清、评价和比较投标的有关资料以及授标建议等，采购人、评委、交易中心均不得向投标人或与评标无关的其他人员透露。</w:t>
      </w:r>
      <w:r>
        <w:rPr>
          <w:color w:val="000000" w:themeColor="text1"/>
          <w:highlight w:val="none"/>
        </w:rP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highlight w:val="none"/>
        </w:rPr>
        <w:t xml:space="preserve">23.2</w:t>
      </w:r>
      <w:r>
        <w:rPr>
          <w:rFonts w:hint="eastAsia" w:ascii="宋体" w:hAnsi="宋体"/>
          <w:color w:val="000000" w:themeColor="text1"/>
          <w:sz w:val="24"/>
          <w:szCs w:val="24"/>
          <w:highlight w:val="none"/>
        </w:rPr>
        <w:t xml:space="preserve">在评标过程中，投标人不得以任何行为影响评标过程，否则其投标文件将被作为无效投标文件。</w:t>
      </w:r>
      <w:r>
        <w:rPr>
          <w:color w:val="000000" w:themeColor="text1"/>
          <w:highlight w:val="none"/>
        </w:rP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23.</w:t>
      </w:r>
      <w:r>
        <w:rPr>
          <w:rFonts w:ascii="宋体" w:hAnsi="宋体"/>
          <w:color w:val="000000" w:themeColor="text1"/>
          <w:sz w:val="24"/>
          <w:szCs w:val="24"/>
          <w:highlight w:val="none"/>
        </w:rPr>
        <w:t xml:space="preserve">3</w:t>
      </w:r>
      <w:r>
        <w:rPr>
          <w:rFonts w:hint="eastAsia" w:ascii="宋体" w:hAnsi="宋体"/>
          <w:color w:val="000000" w:themeColor="text1"/>
          <w:sz w:val="24"/>
          <w:szCs w:val="24"/>
          <w:highlight w:val="none"/>
        </w:rPr>
        <w:t xml:space="preserve">交易中心和评标委员会不向未中标的投标人解释未中标原因，也不公布评标过程中的相关细节。</w:t>
      </w:r>
      <w:r>
        <w:rPr>
          <w:color w:val="000000" w:themeColor="text1"/>
          <w:highlight w:val="none"/>
        </w:rP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23.4采用综合评分法的项目，未中标的投标人可于中标结果公告发布后通过</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查看自己的评审得分及排序情况。</w:t>
      </w:r>
      <w:r>
        <w:rPr>
          <w:color w:val="000000" w:themeColor="text1"/>
          <w:highlight w:val="none"/>
        </w:rPr>
      </w:r>
    </w:p>
    <w:p>
      <w:pPr>
        <w:pStyle w:val="887"/>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152" w:name="_Toc20823304"/>
      <w:r>
        <w:rPr>
          <w:color w:val="000000" w:themeColor="text1"/>
          <w:highlight w:val="none"/>
        </w:rPr>
      </w:r>
      <w:bookmarkStart w:id="153" w:name="_Toc513029232"/>
      <w:r>
        <w:rPr>
          <w:color w:val="000000" w:themeColor="text1"/>
          <w:highlight w:val="none"/>
        </w:rPr>
      </w:r>
      <w:bookmarkStart w:id="154" w:name="_Toc16938548"/>
      <w:r>
        <w:rPr>
          <w:rFonts w:hint="eastAsia" w:ascii="宋体" w:hAnsi="宋体" w:eastAsia="宋体"/>
          <w:bCs w:val="0"/>
          <w:color w:val="000000" w:themeColor="text1"/>
          <w:highlight w:val="none"/>
        </w:rPr>
        <w:t xml:space="preserve">24.投标文件的澄清</w:t>
      </w:r>
      <w:bookmarkEnd w:id="152"/>
      <w:r>
        <w:rPr>
          <w:color w:val="000000" w:themeColor="text1"/>
          <w:highlight w:val="none"/>
        </w:rPr>
      </w:r>
      <w:bookmarkEnd w:id="153"/>
      <w:r>
        <w:rPr>
          <w:color w:val="000000" w:themeColor="text1"/>
          <w:highlight w:val="none"/>
        </w:rPr>
      </w:r>
      <w:bookmarkEnd w:id="154"/>
      <w:r>
        <w:rPr>
          <w:rFonts w:hint="eastAsia" w:ascii="宋体" w:hAnsi="宋体" w:eastAsia="宋体"/>
          <w:bCs w:val="0"/>
          <w:color w:val="000000" w:themeColor="text1"/>
          <w:highlight w:val="none"/>
        </w:rPr>
      </w:r>
      <w:r>
        <w:rPr>
          <w:color w:val="000000" w:themeColor="text1"/>
          <w:highlight w:val="none"/>
        </w:rPr>
      </w:r>
    </w:p>
    <w:p>
      <w:pPr>
        <w:pStyle w:val="883"/>
        <w:ind w:firstLine="480"/>
        <w:spacing w:line="500" w:lineRule="exact"/>
        <w:rPr>
          <w:rFonts w:ascii="宋体" w:hAnsi="宋体"/>
          <w:color w:val="000000" w:themeColor="text1"/>
          <w:sz w:val="24"/>
          <w:szCs w:val="24"/>
          <w:highlight w:val="none"/>
        </w:rPr>
      </w:pPr>
      <w:r>
        <w:rPr>
          <w:rFonts w:ascii="宋体" w:hAnsi="宋体"/>
          <w:color w:val="000000" w:themeColor="text1"/>
          <w:sz w:val="24"/>
          <w:szCs w:val="24"/>
          <w:highlight w:val="none"/>
        </w:rPr>
        <w:t xml:space="preserve">2</w:t>
      </w:r>
      <w:r>
        <w:rPr>
          <w:rFonts w:hint="eastAsia" w:ascii="宋体" w:hAnsi="宋体"/>
          <w:color w:val="000000" w:themeColor="text1"/>
          <w:sz w:val="24"/>
          <w:szCs w:val="24"/>
          <w:highlight w:val="none"/>
        </w:rPr>
        <w:t xml:space="preserve">4.</w:t>
      </w:r>
      <w:r>
        <w:rPr>
          <w:rFonts w:ascii="宋体" w:hAnsi="宋体"/>
          <w:color w:val="000000" w:themeColor="text1"/>
          <w:sz w:val="24"/>
          <w:szCs w:val="24"/>
          <w:highlight w:val="none"/>
        </w:rPr>
        <w:t xml:space="preserve">1</w:t>
      </w:r>
      <w:r>
        <w:rPr>
          <w:rFonts w:hint="eastAsia" w:ascii="宋体" w:hAnsi="宋体"/>
          <w:color w:val="000000" w:themeColor="text1"/>
          <w:sz w:val="24"/>
          <w:szCs w:val="24"/>
          <w:highlight w:val="none"/>
        </w:rPr>
        <w:t xml:space="preserve">评标期间，评委会对投标文件中含义不明确、同类问题表述不一致或者有明显文字和计算错误的内容，有权要求投标人作出必要的澄清、说明或者补正。</w:t>
      </w:r>
      <w:r>
        <w:rPr>
          <w:rFonts w:ascii="宋体" w:hAnsi="宋体"/>
          <w:color w:val="000000" w:themeColor="text1"/>
          <w:sz w:val="24"/>
          <w:szCs w:val="24"/>
          <w:highlight w:val="none"/>
        </w:rPr>
      </w:r>
      <w:r>
        <w:rPr>
          <w:color w:val="000000" w:themeColor="text1"/>
          <w:highlight w:val="none"/>
        </w:rPr>
      </w:r>
    </w:p>
    <w:p>
      <w:pPr>
        <w:pStyle w:val="883"/>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投标人的澄清、说明或者补正不得超出投标文件的范围或者改变投标文件的实质性内容。</w:t>
      </w:r>
      <w:r>
        <w:rPr>
          <w:rFonts w:ascii="宋体" w:hAnsi="宋体"/>
          <w:color w:val="000000" w:themeColor="text1"/>
          <w:sz w:val="24"/>
          <w:szCs w:val="24"/>
          <w:highlight w:val="none"/>
        </w:rPr>
      </w:r>
      <w:r>
        <w:rPr>
          <w:color w:val="000000" w:themeColor="text1"/>
          <w:highlight w:val="none"/>
        </w:rP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24.2需要供应商进行澄清、说明和补正的，评委会将通过</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向供应商发出“澄清要求函”，接到“澄清要求函”的投标人应当按照要求在</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中提交“澄清响应函”并加盖CA电子公章。澄清、说明和补正的内容作为投标文件的补充部分，具体操作方式见《操作手册》。</w:t>
      </w:r>
      <w:r>
        <w:rPr>
          <w:color w:val="000000" w:themeColor="text1"/>
          <w:highlight w:val="none"/>
        </w:rP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24.3接到评委会澄清、说明和补正要求的投标人如未按规定及时做出澄清、说明和补正，其风险由投标人自行承担。</w:t>
      </w:r>
      <w:r>
        <w:rPr>
          <w:color w:val="000000" w:themeColor="text1"/>
          <w:highlight w:val="none"/>
        </w:rPr>
      </w:r>
    </w:p>
    <w:p>
      <w:pPr>
        <w:pStyle w:val="887"/>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155" w:name="_Toc513029233"/>
      <w:r>
        <w:rPr>
          <w:color w:val="000000" w:themeColor="text1"/>
          <w:highlight w:val="none"/>
        </w:rPr>
      </w:r>
      <w:bookmarkStart w:id="156" w:name="_Toc20823305"/>
      <w:r>
        <w:rPr>
          <w:color w:val="000000" w:themeColor="text1"/>
          <w:highlight w:val="none"/>
        </w:rPr>
      </w:r>
      <w:bookmarkStart w:id="157" w:name="_Toc16938549"/>
      <w:r>
        <w:rPr>
          <w:rFonts w:hint="eastAsia" w:ascii="宋体" w:hAnsi="宋体" w:eastAsia="宋体"/>
          <w:bCs w:val="0"/>
          <w:color w:val="000000" w:themeColor="text1"/>
          <w:highlight w:val="none"/>
        </w:rPr>
        <w:t xml:space="preserve">25.对投标文件的初审</w:t>
      </w:r>
      <w:bookmarkEnd w:id="155"/>
      <w:r>
        <w:rPr>
          <w:color w:val="000000" w:themeColor="text1"/>
          <w:highlight w:val="none"/>
        </w:rPr>
      </w:r>
      <w:bookmarkEnd w:id="156"/>
      <w:r>
        <w:rPr>
          <w:color w:val="000000" w:themeColor="text1"/>
          <w:highlight w:val="none"/>
        </w:rPr>
      </w:r>
      <w:bookmarkEnd w:id="157"/>
      <w:r>
        <w:rPr>
          <w:rFonts w:hint="eastAsia" w:ascii="宋体" w:hAnsi="宋体" w:eastAsia="宋体"/>
          <w:bCs w:val="0"/>
          <w:color w:val="000000" w:themeColor="text1"/>
          <w:highlight w:val="none"/>
        </w:rPr>
      </w:r>
      <w:r>
        <w:rPr>
          <w:color w:val="000000" w:themeColor="text1"/>
          <w:highlight w:val="none"/>
        </w:rPr>
      </w:r>
    </w:p>
    <w:p>
      <w:pPr>
        <w:pStyle w:val="883"/>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25.1</w:t>
      </w:r>
      <w:r>
        <w:rPr>
          <w:rFonts w:hint="eastAsia" w:ascii="宋体" w:hAnsi="宋体"/>
          <w:bCs/>
          <w:color w:val="000000" w:themeColor="text1"/>
          <w:sz w:val="24"/>
          <w:highlight w:val="none"/>
        </w:rPr>
        <w:t xml:space="preserve">投标文件初审分为资格审查和符合性审查。</w:t>
      </w:r>
      <w:r>
        <w:rPr>
          <w:color w:val="000000" w:themeColor="text1"/>
          <w:highlight w:val="none"/>
        </w:rPr>
      </w:r>
    </w:p>
    <w:p>
      <w:pPr>
        <w:pStyle w:val="883"/>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25.1.1资格审查：依据法律法规和招标文件的规定，由采购人对投标文件中的资格证明文件进行审查。</w:t>
      </w:r>
      <w:r>
        <w:rPr>
          <w:color w:val="000000" w:themeColor="text1"/>
          <w:highlight w:val="none"/>
        </w:rPr>
      </w:r>
    </w:p>
    <w:p>
      <w:pPr>
        <w:pStyle w:val="883"/>
        <w:ind w:firstLine="480"/>
        <w:spacing w:line="500" w:lineRule="exact"/>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采购人在进行资格审查的同时，将</w:t>
      </w:r>
      <w:r>
        <w:rPr>
          <w:rFonts w:hint="eastAsia" w:ascii="宋体" w:hAnsi="宋体" w:cs="宋体"/>
          <w:bCs/>
          <w:color w:val="000000" w:themeColor="text1"/>
          <w:sz w:val="24"/>
          <w:szCs w:val="24"/>
          <w:highlight w:val="none"/>
        </w:rPr>
        <w:t xml:space="preserve">通过“信用中国”网站（</w:t>
      </w:r>
      <w:r>
        <w:rPr>
          <w:rFonts w:hint="eastAsia" w:ascii="宋体" w:hAnsi="宋体" w:cs="宋体"/>
          <w:color w:val="000000" w:themeColor="text1"/>
          <w:highlight w:val="none"/>
        </w:rPr>
        <w:fldChar w:fldCharType="begin"/>
      </w:r>
      <w:r>
        <w:rPr>
          <w:rFonts w:hint="eastAsia" w:ascii="宋体" w:hAnsi="宋体" w:cs="宋体"/>
          <w:color w:val="000000" w:themeColor="text1"/>
          <w:highlight w:val="none"/>
        </w:rPr>
        <w:instrText xml:space="preserve">HYPERLINK "http://www.creditchina.gov.cn"</w:instrText>
      </w:r>
      <w:r>
        <w:rPr>
          <w:rFonts w:hint="eastAsia" w:ascii="宋体" w:hAnsi="宋体" w:cs="宋体"/>
          <w:color w:val="000000" w:themeColor="text1"/>
          <w:highlight w:val="none"/>
        </w:rPr>
        <w:fldChar w:fldCharType="separate"/>
      </w:r>
      <w:r>
        <w:rPr>
          <w:rFonts w:hint="eastAsia" w:ascii="宋体" w:hAnsi="宋体" w:cs="宋体"/>
          <w:bCs/>
          <w:color w:val="000000" w:themeColor="text1"/>
          <w:sz w:val="24"/>
          <w:szCs w:val="24"/>
          <w:highlight w:val="none"/>
        </w:rPr>
        <w:t xml:space="preserve">www.creditchina.gov.cn</w:t>
      </w:r>
      <w:r>
        <w:rPr>
          <w:rFonts w:hint="eastAsia" w:ascii="宋体" w:hAnsi="宋体" w:cs="宋体"/>
          <w:color w:val="000000" w:themeColor="text1"/>
          <w:highlight w:val="none"/>
        </w:rPr>
        <w:fldChar w:fldCharType="end"/>
      </w:r>
      <w:r>
        <w:rPr>
          <w:rFonts w:hint="eastAsia" w:ascii="宋体" w:hAnsi="宋体" w:cs="宋体"/>
          <w:bCs/>
          <w:color w:val="000000" w:themeColor="text1"/>
          <w:sz w:val="24"/>
          <w:szCs w:val="24"/>
          <w:highlight w:val="none"/>
        </w:rPr>
        <w:t xml:space="preserve">）、</w:t>
      </w:r>
      <w:r>
        <w:rPr>
          <w:rFonts w:hint="eastAsia" w:ascii="宋体" w:hAnsi="宋体" w:cs="宋体"/>
          <w:color w:val="000000" w:themeColor="text1"/>
          <w:sz w:val="24"/>
          <w:szCs w:val="24"/>
          <w:highlight w:val="none"/>
        </w:rPr>
        <w:t xml:space="preserve">中国政府采购网(www.ccgp.gov.cn)</w:t>
      </w:r>
      <w:r>
        <w:rPr>
          <w:rFonts w:hint="eastAsia" w:ascii="宋体" w:hAnsi="宋体" w:cs="宋体"/>
          <w:bCs/>
          <w:color w:val="000000" w:themeColor="text1"/>
          <w:sz w:val="24"/>
          <w:szCs w:val="24"/>
          <w:highlight w:val="none"/>
        </w:rPr>
        <w:t xml:space="preserve">查询投标供应商在投标截止时间之前，是否被列入</w:t>
      </w:r>
      <w:r>
        <w:rPr>
          <w:rFonts w:hint="eastAsia" w:ascii="宋体" w:hAnsi="宋体" w:cs="宋体"/>
          <w:color w:val="000000" w:themeColor="text1"/>
          <w:sz w:val="24"/>
          <w:szCs w:val="24"/>
          <w:highlight w:val="none"/>
        </w:rPr>
        <w:t xml:space="preserve">失信被执行人、重大税收违法案件当事人名单、政府采购严重违法失信行为记录名单，</w:t>
      </w:r>
      <w:r>
        <w:rPr>
          <w:rFonts w:hint="eastAsia" w:ascii="宋体" w:hAnsi="宋体" w:cs="宋体"/>
          <w:bCs/>
          <w:color w:val="000000" w:themeColor="text1"/>
          <w:sz w:val="24"/>
          <w:highlight w:val="none"/>
        </w:rPr>
        <w:t xml:space="preserve">以确定投标供应商是否具备投标资格。</w:t>
      </w:r>
      <w:r>
        <w:rPr>
          <w:rFonts w:hint="eastAsia" w:ascii="宋体" w:hAnsi="宋体" w:cs="宋体"/>
          <w:color w:val="000000" w:themeColor="text1"/>
          <w:sz w:val="24"/>
          <w:szCs w:val="24"/>
          <w:highlight w:val="none"/>
        </w:rPr>
        <w:t xml:space="preserve">查询结果留存并归档。</w:t>
      </w:r>
      <w:r>
        <w:rPr>
          <w:rFonts w:hint="eastAsia" w:ascii="宋体" w:hAnsi="宋体" w:cs="宋体"/>
          <w:bCs/>
          <w:color w:val="000000" w:themeColor="text1"/>
          <w:sz w:val="24"/>
          <w:highlight w:val="none"/>
        </w:rPr>
      </w:r>
      <w:r>
        <w:rPr>
          <w:color w:val="000000" w:themeColor="text1"/>
          <w:highlight w:val="none"/>
        </w:rPr>
      </w:r>
    </w:p>
    <w:p>
      <w:pPr>
        <w:pStyle w:val="883"/>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接受联合体的项目，两个以上的自然人、法人或者其他组织组成一个联合体，以一个供应商的身份共同参加政府采购活动的,联合体成员存在不良信用记录的，视同联合体存在不良信用记录。</w:t>
      </w:r>
      <w:r>
        <w:rPr>
          <w:color w:val="000000" w:themeColor="text1"/>
          <w:highlight w:val="none"/>
        </w:rPr>
      </w:r>
    </w:p>
    <w:p>
      <w:pPr>
        <w:pStyle w:val="883"/>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25.1.2符合性审查：依据招标文件的规定，由评委会从投标文件的有效性、完整性和对招标文件的响应程度进行审查，以确定是否对招标文件的实质性要求作出响应。</w:t>
      </w:r>
      <w:r>
        <w:rPr>
          <w:color w:val="000000" w:themeColor="text1"/>
          <w:highlight w:val="none"/>
        </w:rPr>
      </w:r>
    </w:p>
    <w:p>
      <w:pPr>
        <w:pStyle w:val="883"/>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25.</w:t>
      </w:r>
      <w:r>
        <w:rPr>
          <w:rFonts w:ascii="宋体" w:hAnsi="宋体"/>
          <w:bCs/>
          <w:color w:val="000000" w:themeColor="text1"/>
          <w:sz w:val="24"/>
          <w:highlight w:val="none"/>
        </w:rPr>
        <w:t xml:space="preserve">1.</w:t>
      </w:r>
      <w:r>
        <w:rPr>
          <w:rFonts w:hint="eastAsia" w:ascii="宋体" w:hAnsi="宋体"/>
          <w:bCs/>
          <w:color w:val="000000" w:themeColor="text1"/>
          <w:sz w:val="24"/>
          <w:highlight w:val="none"/>
        </w:rPr>
        <w:t xml:space="preserve">3未通过资格审查或符合性审查的投标人，将在</w:t>
      </w:r>
      <w:r>
        <w:rPr>
          <w:rFonts w:hint="eastAsia" w:ascii="宋体" w:hAnsi="宋体"/>
          <w:bCs/>
          <w:color w:val="000000" w:themeColor="text1"/>
          <w:sz w:val="24"/>
          <w:szCs w:val="24"/>
          <w:highlight w:val="none"/>
        </w:rPr>
        <w:t xml:space="preserve">“苏采云”系统</w:t>
      </w:r>
      <w:r>
        <w:rPr>
          <w:rFonts w:hint="eastAsia" w:ascii="宋体" w:hAnsi="宋体"/>
          <w:bCs/>
          <w:color w:val="000000" w:themeColor="text1"/>
          <w:sz w:val="24"/>
          <w:highlight w:val="none"/>
        </w:rPr>
        <w:t xml:space="preserve">中告知未通过资格审查或符合性审查的原因，</w:t>
      </w:r>
      <w:r>
        <w:rPr>
          <w:rFonts w:ascii="宋体" w:hAnsi="宋体"/>
          <w:bCs/>
          <w:color w:val="000000" w:themeColor="text1"/>
          <w:sz w:val="24"/>
          <w:highlight w:val="none"/>
        </w:rPr>
        <w:t xml:space="preserve">评标结束后，将不再告知未通过资格审查和</w:t>
      </w:r>
      <w:r>
        <w:rPr>
          <w:rFonts w:hint="eastAsia" w:ascii="宋体" w:hAnsi="宋体"/>
          <w:bCs/>
          <w:color w:val="000000" w:themeColor="text1"/>
          <w:sz w:val="24"/>
          <w:highlight w:val="none"/>
        </w:rPr>
        <w:t xml:space="preserve">符合性</w:t>
      </w:r>
      <w:r>
        <w:rPr>
          <w:rFonts w:ascii="宋体" w:hAnsi="宋体"/>
          <w:bCs/>
          <w:color w:val="000000" w:themeColor="text1"/>
          <w:sz w:val="24"/>
          <w:highlight w:val="none"/>
        </w:rPr>
        <w:t xml:space="preserve">审查的原因。</w:t>
      </w:r>
      <w:r>
        <w:rPr>
          <w:rFonts w:hint="eastAsia" w:ascii="宋体" w:hAnsi="宋体"/>
          <w:bCs/>
          <w:color w:val="000000" w:themeColor="text1"/>
          <w:sz w:val="24"/>
          <w:highlight w:val="none"/>
        </w:rPr>
      </w:r>
      <w:r>
        <w:rPr>
          <w:color w:val="000000" w:themeColor="text1"/>
          <w:highlight w:val="none"/>
        </w:rPr>
      </w:r>
    </w:p>
    <w:p>
      <w:pPr>
        <w:pStyle w:val="883"/>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w:t>
      </w:r>
      <w:r>
        <w:rPr>
          <w:rFonts w:ascii="宋体" w:hAnsi="宋体"/>
          <w:color w:val="000000" w:themeColor="text1"/>
          <w:sz w:val="24"/>
          <w:highlight w:val="none"/>
        </w:rPr>
        <w:t xml:space="preserve">5</w:t>
      </w:r>
      <w:r>
        <w:rPr>
          <w:rFonts w:hint="eastAsia" w:ascii="宋体" w:hAnsi="宋体"/>
          <w:color w:val="000000" w:themeColor="text1"/>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rPr>
          <w:color w:val="000000" w:themeColor="text1"/>
          <w:highlight w:val="none"/>
        </w:rPr>
      </w:r>
    </w:p>
    <w:p>
      <w:pPr>
        <w:pStyle w:val="883"/>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color w:val="000000" w:themeColor="text1"/>
          <w:highlight w:val="none"/>
        </w:rPr>
      </w:r>
    </w:p>
    <w:p>
      <w:pPr>
        <w:pStyle w:val="883"/>
        <w:ind w:firstLine="480"/>
        <w:spacing w:line="500" w:lineRule="exact"/>
        <w:rPr>
          <w:rFonts w:ascii="宋体" w:hAnsi="宋体"/>
          <w:color w:val="000000" w:themeColor="text1"/>
          <w:sz w:val="24"/>
          <w:highlight w:val="none"/>
        </w:rPr>
      </w:pPr>
      <w:r>
        <w:rPr>
          <w:rFonts w:hint="eastAsia" w:ascii="宋体" w:hAnsi="宋体"/>
          <w:color w:val="000000" w:themeColor="text1"/>
          <w:sz w:val="24"/>
          <w:highlight w:val="none"/>
        </w:rPr>
        <w:t xml:space="preserve">2</w:t>
      </w:r>
      <w:r>
        <w:rPr>
          <w:rFonts w:ascii="宋体" w:hAnsi="宋体"/>
          <w:color w:val="000000" w:themeColor="text1"/>
          <w:sz w:val="24"/>
          <w:highlight w:val="none"/>
        </w:rPr>
        <w:t xml:space="preserve">5</w:t>
      </w:r>
      <w:r>
        <w:rPr>
          <w:rFonts w:hint="eastAsia" w:ascii="宋体" w:hAnsi="宋体"/>
          <w:color w:val="000000" w:themeColor="text1"/>
          <w:sz w:val="24"/>
          <w:highlight w:val="none"/>
        </w:rPr>
        <w:t xml:space="preserve">.3如果投标文件实质上没有响应招标文件的要求，评委会将予以拒绝，其投标文件无效，投标人不得通过修改或撤销不合要求的偏离或保留而使其投标成为实质性响应的投标。</w:t>
      </w:r>
      <w:r>
        <w:rPr>
          <w:rFonts w:ascii="宋体" w:hAnsi="宋体"/>
          <w:color w:val="000000" w:themeColor="text1"/>
          <w:sz w:val="24"/>
          <w:highlight w:val="none"/>
        </w:rPr>
      </w:r>
      <w:r>
        <w:rPr>
          <w:color w:val="000000" w:themeColor="text1"/>
          <w:highlight w:val="none"/>
        </w:rPr>
      </w:r>
    </w:p>
    <w:p>
      <w:pPr>
        <w:pStyle w:val="883"/>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25.</w:t>
      </w:r>
      <w:r>
        <w:rPr>
          <w:rFonts w:ascii="宋体" w:hAnsi="宋体"/>
          <w:color w:val="000000" w:themeColor="text1"/>
          <w:sz w:val="24"/>
          <w:highlight w:val="none"/>
        </w:rPr>
        <w:t xml:space="preserve">4</w:t>
      </w:r>
      <w:r>
        <w:rPr>
          <w:rFonts w:hint="eastAsia" w:ascii="宋体" w:hAnsi="宋体"/>
          <w:bCs/>
          <w:color w:val="000000" w:themeColor="text1"/>
          <w:sz w:val="24"/>
          <w:highlight w:val="none"/>
        </w:rPr>
        <w:t xml:space="preserve">评委会将对确定为实质性响应的投标进行进一步审核，确定其是否有计算上或累加上的算术错误，修正错误的原则如下：</w:t>
      </w:r>
      <w:r>
        <w:rPr>
          <w:color w:val="000000" w:themeColor="text1"/>
          <w:highlight w:val="none"/>
        </w:rPr>
      </w:r>
    </w:p>
    <w:p>
      <w:pPr>
        <w:pStyle w:val="883"/>
        <w:ind w:firstLine="480"/>
        <w:spacing w:line="500" w:lineRule="exact"/>
        <w:rPr>
          <w:rFonts w:ascii="宋体" w:hAnsi="宋体"/>
          <w:bCs/>
          <w:color w:val="000000" w:themeColor="text1"/>
          <w:sz w:val="24"/>
          <w:highlight w:val="none"/>
        </w:rPr>
      </w:pPr>
      <w:r>
        <w:rPr>
          <w:rFonts w:hint="eastAsia" w:ascii="宋体" w:hAnsi="宋体"/>
          <w:bCs/>
          <w:color w:val="000000" w:themeColor="text1"/>
          <w:sz w:val="24"/>
          <w:highlight w:val="none"/>
        </w:rPr>
        <w:t xml:space="preserve">（1）投标文件中开标一览表内容与投标文件中相应内容不一致的，以开标一览表为准。</w:t>
      </w:r>
      <w:r>
        <w:rPr>
          <w:rFonts w:ascii="宋体" w:hAnsi="宋体"/>
          <w:bCs/>
          <w:color w:val="000000" w:themeColor="text1"/>
          <w:sz w:val="24"/>
          <w:highlight w:val="none"/>
        </w:rPr>
      </w:r>
      <w:r>
        <w:rPr>
          <w:color w:val="000000" w:themeColor="text1"/>
          <w:highlight w:val="none"/>
        </w:rPr>
      </w:r>
    </w:p>
    <w:p>
      <w:pPr>
        <w:pStyle w:val="883"/>
        <w:ind w:firstLine="480"/>
        <w:spacing w:line="500" w:lineRule="exact"/>
        <w:rPr>
          <w:rFonts w:ascii="宋体" w:hAnsi="宋体"/>
          <w:bCs/>
          <w:color w:val="000000" w:themeColor="text1"/>
          <w:sz w:val="24"/>
          <w:highlight w:val="none"/>
        </w:rPr>
      </w:pPr>
      <w:r>
        <w:rPr>
          <w:rFonts w:hint="eastAsia" w:ascii="宋体" w:hAnsi="宋体"/>
          <w:bCs/>
          <w:color w:val="000000" w:themeColor="text1"/>
          <w:sz w:val="24"/>
          <w:highlight w:val="none"/>
        </w:rPr>
        <w:t xml:space="preserve">（2）大写金额和小写金额不一致的，以大写金额为准。</w:t>
      </w:r>
      <w:r>
        <w:rPr>
          <w:rFonts w:ascii="宋体" w:hAnsi="宋体"/>
          <w:bCs/>
          <w:color w:val="000000" w:themeColor="text1"/>
          <w:sz w:val="24"/>
          <w:highlight w:val="none"/>
        </w:rPr>
      </w:r>
      <w:r>
        <w:rPr>
          <w:color w:val="000000" w:themeColor="text1"/>
          <w:highlight w:val="none"/>
        </w:rPr>
      </w:r>
    </w:p>
    <w:p>
      <w:pPr>
        <w:pStyle w:val="883"/>
        <w:ind w:firstLine="480"/>
        <w:spacing w:line="500" w:lineRule="exact"/>
        <w:rPr>
          <w:rFonts w:ascii="宋体" w:hAnsi="宋体"/>
          <w:bCs/>
          <w:color w:val="000000" w:themeColor="text1"/>
          <w:sz w:val="24"/>
          <w:highlight w:val="none"/>
        </w:rPr>
      </w:pPr>
      <w:r>
        <w:rPr>
          <w:rFonts w:hint="eastAsia" w:ascii="宋体" w:hAnsi="宋体"/>
          <w:bCs/>
          <w:color w:val="000000" w:themeColor="text1"/>
          <w:sz w:val="24"/>
          <w:highlight w:val="none"/>
        </w:rPr>
        <w:t xml:space="preserve">（3）单价金额小数点或者百分比有明显错位的，以开标一览表的总价为准，并修改单价。</w:t>
      </w:r>
      <w:r>
        <w:rPr>
          <w:rFonts w:ascii="宋体" w:hAnsi="宋体"/>
          <w:bCs/>
          <w:color w:val="000000" w:themeColor="text1"/>
          <w:sz w:val="24"/>
          <w:highlight w:val="none"/>
        </w:rPr>
      </w:r>
      <w:r>
        <w:rPr>
          <w:color w:val="000000" w:themeColor="text1"/>
          <w:highlight w:val="none"/>
        </w:rPr>
      </w:r>
    </w:p>
    <w:p>
      <w:pPr>
        <w:pStyle w:val="883"/>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（4）总价金额与按单价汇总金额不一致的，以单价金额计算结果为准。</w:t>
      </w:r>
      <w:r>
        <w:rPr>
          <w:color w:val="000000" w:themeColor="text1"/>
          <w:highlight w:val="none"/>
        </w:rPr>
      </w:r>
    </w:p>
    <w:p>
      <w:pPr>
        <w:pStyle w:val="883"/>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同时出现两种以上错误的，按照前款规定的顺序修正。</w:t>
      </w:r>
      <w:r>
        <w:rPr>
          <w:color w:val="000000" w:themeColor="text1"/>
          <w:highlight w:val="none"/>
        </w:rPr>
      </w:r>
    </w:p>
    <w:p>
      <w:pPr>
        <w:pStyle w:val="883"/>
        <w:ind w:firstLine="480"/>
        <w:spacing w:line="500" w:lineRule="exact"/>
        <w:rPr>
          <w:rFonts w:ascii="宋体" w:hAnsi="宋体"/>
          <w:bCs/>
          <w:color w:val="000000" w:themeColor="text1"/>
          <w:sz w:val="24"/>
          <w:highlight w:val="none"/>
        </w:rPr>
      </w:pPr>
      <w:r>
        <w:rPr>
          <w:rFonts w:hint="eastAsia" w:ascii="宋体" w:hAnsi="宋体"/>
          <w:color w:val="000000" w:themeColor="text1"/>
          <w:sz w:val="24"/>
          <w:highlight w:val="none"/>
        </w:rPr>
        <w:t xml:space="preserve">25.</w:t>
      </w:r>
      <w:r>
        <w:rPr>
          <w:rFonts w:ascii="宋体" w:hAnsi="宋体"/>
          <w:color w:val="000000" w:themeColor="text1"/>
          <w:sz w:val="24"/>
          <w:highlight w:val="none"/>
        </w:rPr>
        <w:t xml:space="preserve">5</w:t>
      </w:r>
      <w:r>
        <w:rPr>
          <w:rFonts w:hint="eastAsia" w:ascii="宋体" w:hAnsi="宋体"/>
          <w:bCs/>
          <w:color w:val="000000" w:themeColor="text1"/>
          <w:sz w:val="24"/>
          <w:highlight w:val="none"/>
        </w:rPr>
        <w:t xml:space="preserve">评委会将按上述修正错误的方法调整投标文件中的投标报价，并</w:t>
      </w:r>
      <w:r>
        <w:rPr>
          <w:rFonts w:ascii="宋体" w:hAnsi="宋体"/>
          <w:bCs/>
          <w:color w:val="000000" w:themeColor="text1"/>
          <w:sz w:val="24"/>
          <w:highlight w:val="none"/>
        </w:rPr>
        <w:t xml:space="preserve">通过</w:t>
      </w:r>
      <w:r>
        <w:rPr>
          <w:rFonts w:hint="eastAsia" w:ascii="宋体" w:hAnsi="宋体"/>
          <w:bCs/>
          <w:color w:val="000000" w:themeColor="text1"/>
          <w:sz w:val="24"/>
          <w:szCs w:val="24"/>
          <w:highlight w:val="none"/>
        </w:rPr>
        <w:t xml:space="preserve">“苏采云”系统</w:t>
      </w:r>
      <w:r>
        <w:rPr>
          <w:rFonts w:hint="eastAsia" w:ascii="宋体" w:hAnsi="宋体"/>
          <w:bCs/>
          <w:color w:val="000000" w:themeColor="text1"/>
          <w:sz w:val="24"/>
          <w:highlight w:val="none"/>
        </w:rPr>
        <w:t xml:space="preserve">告知</w:t>
      </w:r>
      <w:r>
        <w:rPr>
          <w:rFonts w:ascii="宋体" w:hAnsi="宋体"/>
          <w:bCs/>
          <w:color w:val="000000" w:themeColor="text1"/>
          <w:sz w:val="24"/>
          <w:highlight w:val="none"/>
        </w:rPr>
        <w:t xml:space="preserve">投标人，</w:t>
      </w:r>
      <w:r>
        <w:rPr>
          <w:rFonts w:hint="eastAsia" w:ascii="宋体" w:hAnsi="宋体"/>
          <w:bCs/>
          <w:color w:val="000000" w:themeColor="text1"/>
          <w:sz w:val="24"/>
          <w:highlight w:val="none"/>
        </w:rPr>
        <w:t xml:space="preserve">调整后的价格应对投标人具有约束力。如果投标人不确认或不接受修正后的价格，则其投标将被拒绝，其投标无效。</w:t>
      </w:r>
      <w:r>
        <w:rPr>
          <w:rFonts w:ascii="宋体" w:hAnsi="宋体"/>
          <w:bCs/>
          <w:color w:val="000000" w:themeColor="text1"/>
          <w:sz w:val="24"/>
          <w:highlight w:val="none"/>
        </w:rPr>
      </w:r>
      <w:r>
        <w:rPr>
          <w:color w:val="000000" w:themeColor="text1"/>
          <w:highlight w:val="none"/>
        </w:rPr>
      </w:r>
    </w:p>
    <w:p>
      <w:pPr>
        <w:pStyle w:val="883"/>
        <w:ind w:firstLine="420"/>
        <w:spacing w:line="500" w:lineRule="exact"/>
        <w:rPr>
          <w:rFonts w:hint="eastAsia" w:ascii="宋体" w:hAnsi="宋体"/>
          <w:color w:val="000000" w:themeColor="text1"/>
          <w:sz w:val="24"/>
          <w:highlight w:val="none"/>
        </w:rPr>
      </w:pPr>
      <w:r>
        <w:rPr>
          <w:color w:val="000000" w:themeColor="text1"/>
          <w:highlight w:val="none"/>
        </w:rPr>
      </w:r>
      <w:bookmarkStart w:id="158" w:name="_Toc16938550"/>
      <w:r>
        <w:rPr>
          <w:color w:val="000000" w:themeColor="text1"/>
          <w:highlight w:val="none"/>
        </w:rPr>
      </w:r>
      <w:bookmarkStart w:id="159" w:name="_Toc20823306"/>
      <w:r>
        <w:rPr>
          <w:color w:val="000000" w:themeColor="text1"/>
          <w:highlight w:val="none"/>
        </w:rPr>
      </w:r>
      <w:bookmarkStart w:id="160" w:name="_Toc513029234"/>
      <w:r>
        <w:rPr>
          <w:rFonts w:hint="eastAsia" w:ascii="宋体" w:hAnsi="宋体"/>
          <w:color w:val="000000" w:themeColor="text1"/>
          <w:sz w:val="24"/>
          <w:highlight w:val="none"/>
        </w:rPr>
        <w:t xml:space="preserve">25.6投标人在开、评标全过程中应保持通讯畅通，及时登录</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highlight w:val="none"/>
        </w:rPr>
        <w:t xml:space="preserve">查阅</w:t>
      </w:r>
      <w:r>
        <w:rPr>
          <w:rFonts w:ascii="宋体" w:hAnsi="宋体"/>
          <w:color w:val="000000" w:themeColor="text1"/>
          <w:sz w:val="24"/>
          <w:highlight w:val="none"/>
        </w:rPr>
        <w:t xml:space="preserve">、答复相关</w:t>
      </w:r>
      <w:r>
        <w:rPr>
          <w:rFonts w:hint="eastAsia" w:ascii="宋体" w:hAnsi="宋体"/>
          <w:color w:val="000000" w:themeColor="text1"/>
          <w:sz w:val="24"/>
          <w:highlight w:val="none"/>
        </w:rPr>
        <w:t xml:space="preserve">信息</w:t>
      </w:r>
      <w:r>
        <w:rPr>
          <w:rFonts w:ascii="宋体" w:hAnsi="宋体"/>
          <w:color w:val="000000" w:themeColor="text1"/>
          <w:sz w:val="24"/>
          <w:highlight w:val="none"/>
        </w:rPr>
        <w:t xml:space="preserve">，</w:t>
      </w:r>
      <w:r>
        <w:rPr>
          <w:rFonts w:hint="eastAsia" w:ascii="宋体" w:hAnsi="宋体"/>
          <w:color w:val="000000" w:themeColor="text1"/>
          <w:sz w:val="24"/>
          <w:highlight w:val="none"/>
        </w:rPr>
        <w:t xml:space="preserve">并安排专人随时接受与代理机构及评标委员会的相关询问。</w:t>
      </w:r>
      <w:r>
        <w:rPr>
          <w:color w:val="000000" w:themeColor="text1"/>
          <w:highlight w:val="none"/>
        </w:rPr>
      </w:r>
    </w:p>
    <w:p>
      <w:pPr>
        <w:pStyle w:val="887"/>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26</w:t>
      </w:r>
      <w:bookmarkEnd w:id="158"/>
      <w:r>
        <w:rPr>
          <w:color w:val="000000" w:themeColor="text1"/>
          <w:highlight w:val="none"/>
        </w:rPr>
      </w:r>
      <w:bookmarkEnd w:id="159"/>
      <w:r>
        <w:rPr>
          <w:color w:val="000000" w:themeColor="text1"/>
          <w:highlight w:val="none"/>
        </w:rPr>
      </w:r>
      <w:bookmarkEnd w:id="160"/>
      <w:r>
        <w:rPr>
          <w:rFonts w:hint="eastAsia" w:ascii="宋体" w:hAnsi="宋体" w:eastAsia="宋体"/>
          <w:bCs w:val="0"/>
          <w:color w:val="000000" w:themeColor="text1"/>
          <w:highlight w:val="none"/>
        </w:rPr>
        <w:t xml:space="preserve">.无效投标条款和废标条款</w:t>
      </w:r>
      <w:r>
        <w:rPr>
          <w:color w:val="000000" w:themeColor="text1"/>
          <w:highlight w:val="none"/>
        </w:rPr>
      </w:r>
    </w:p>
    <w:p>
      <w:pPr>
        <w:pStyle w:val="883"/>
        <w:ind w:left="479"/>
        <w:spacing w:line="500" w:lineRule="exact"/>
        <w:rPr>
          <w:rFonts w:hint="eastAsia" w:ascii="宋体" w:hAnsi="宋体"/>
          <w:bCs/>
          <w:color w:val="000000" w:themeColor="text1"/>
          <w:sz w:val="24"/>
          <w:highlight w:val="none"/>
        </w:rPr>
      </w:pPr>
      <w:r>
        <w:rPr>
          <w:color w:val="000000" w:themeColor="text1"/>
          <w:highlight w:val="none"/>
        </w:rPr>
      </w:r>
      <w:bookmarkStart w:id="161" w:name="_Toc20823307"/>
      <w:r>
        <w:rPr>
          <w:color w:val="000000" w:themeColor="text1"/>
          <w:highlight w:val="none"/>
        </w:rPr>
      </w:r>
      <w:bookmarkStart w:id="162" w:name="_Toc513029235"/>
      <w:r>
        <w:rPr>
          <w:color w:val="000000" w:themeColor="text1"/>
          <w:highlight w:val="none"/>
        </w:rPr>
      </w:r>
      <w:bookmarkStart w:id="163" w:name="_Toc16938551"/>
      <w:r>
        <w:rPr>
          <w:rFonts w:hint="eastAsia" w:ascii="宋体" w:hAnsi="宋体"/>
          <w:bCs/>
          <w:color w:val="000000" w:themeColor="text1"/>
          <w:sz w:val="24"/>
          <w:highlight w:val="none"/>
        </w:rPr>
        <w:t xml:space="preserve">26.1无效投标条款</w:t>
      </w:r>
      <w:r>
        <w:rPr>
          <w:color w:val="000000" w:themeColor="text1"/>
          <w:highlight w:val="none"/>
        </w:rPr>
      </w:r>
    </w:p>
    <w:p>
      <w:pPr>
        <w:pStyle w:val="883"/>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highlight w:val="none"/>
        </w:rPr>
        <w:t xml:space="preserve">26</w:t>
      </w:r>
      <w:r>
        <w:rPr>
          <w:rFonts w:hint="eastAsia" w:ascii="宋体" w:hAnsi="宋体"/>
          <w:bCs/>
          <w:color w:val="000000" w:themeColor="text1"/>
          <w:sz w:val="24"/>
          <w:szCs w:val="24"/>
          <w:highlight w:val="none"/>
        </w:rPr>
        <w:t xml:space="preserve">.1.1</w:t>
      </w:r>
      <w:r>
        <w:rPr>
          <w:rFonts w:hint="eastAsia" w:ascii="宋体" w:hAnsi="宋体"/>
          <w:color w:val="000000" w:themeColor="text1"/>
          <w:sz w:val="24"/>
          <w:szCs w:val="24"/>
          <w:highlight w:val="none"/>
        </w:rPr>
        <w:t xml:space="preserve">未按《“苏采云”系统供应商操作手册》进行正确操作的。</w:t>
      </w:r>
      <w:r>
        <w:rPr>
          <w:rFonts w:hint="eastAsia" w:ascii="宋体" w:hAnsi="宋体"/>
          <w:bCs/>
          <w:color w:val="000000" w:themeColor="text1"/>
          <w:sz w:val="24"/>
          <w:szCs w:val="24"/>
          <w:highlight w:val="none"/>
        </w:rPr>
      </w:r>
      <w:r>
        <w:rPr>
          <w:color w:val="000000" w:themeColor="text1"/>
          <w:highlight w:val="none"/>
        </w:rPr>
      </w:r>
    </w:p>
    <w:p>
      <w:pPr>
        <w:pStyle w:val="883"/>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26.1.2投标人在“苏采云”系统规定的时间内未成功解密电子投标文件的。</w:t>
      </w:r>
      <w:r>
        <w:rPr>
          <w:color w:val="000000" w:themeColor="text1"/>
          <w:highlight w:val="none"/>
        </w:rPr>
      </w:r>
    </w:p>
    <w:p>
      <w:pPr>
        <w:pStyle w:val="883"/>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26.1.3</w:t>
      </w:r>
      <w:r>
        <w:rPr>
          <w:rFonts w:hint="eastAsia" w:ascii="宋体" w:hAnsi="宋体"/>
          <w:bCs/>
          <w:color w:val="000000" w:themeColor="text1"/>
          <w:sz w:val="24"/>
          <w:highlight w:val="none"/>
        </w:rPr>
        <w:t xml:space="preserve">投标人未按照招标文件要求上传电子投标文件、</w:t>
      </w:r>
      <w:r>
        <w:rPr>
          <w:rFonts w:hint="eastAsia" w:ascii="宋体" w:hAnsi="宋体"/>
          <w:bCs/>
          <w:color w:val="000000" w:themeColor="text1"/>
          <w:sz w:val="24"/>
          <w:szCs w:val="24"/>
          <w:highlight w:val="none"/>
        </w:rPr>
        <w:t xml:space="preserve">电子投标文件未按规定期限投标的，纸质投标文件（如有）未按规定的期限、地点送达的。</w:t>
      </w:r>
      <w:r>
        <w:rPr>
          <w:color w:val="000000" w:themeColor="text1"/>
          <w:highlight w:val="none"/>
        </w:rPr>
      </w:r>
    </w:p>
    <w:p>
      <w:pPr>
        <w:pStyle w:val="883"/>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26.1.4</w:t>
      </w:r>
      <w:r>
        <w:rPr>
          <w:rFonts w:hint="eastAsia" w:ascii="宋体" w:hAnsi="宋体"/>
          <w:bCs/>
          <w:color w:val="000000" w:themeColor="text1"/>
          <w:sz w:val="24"/>
          <w:highlight w:val="none"/>
        </w:rPr>
        <w:t xml:space="preserve">投标人的</w:t>
      </w:r>
      <w:r>
        <w:rPr>
          <w:rFonts w:hint="eastAsia" w:ascii="宋体" w:hAnsi="宋体"/>
          <w:bCs/>
          <w:color w:val="000000" w:themeColor="text1"/>
          <w:sz w:val="24"/>
          <w:szCs w:val="24"/>
          <w:highlight w:val="none"/>
        </w:rPr>
        <w:t xml:space="preserve">电子投标文件未按招标文件要求签章的。</w:t>
      </w:r>
      <w:r>
        <w:rPr>
          <w:color w:val="000000" w:themeColor="text1"/>
          <w:highlight w:val="none"/>
        </w:rPr>
      </w:r>
    </w:p>
    <w:p>
      <w:pPr>
        <w:pStyle w:val="883"/>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26.1.5投标人的被授权代表无授权委托书或授权委托日期晚于投标截止日期的。</w:t>
      </w:r>
      <w:r>
        <w:rPr>
          <w:color w:val="000000" w:themeColor="text1"/>
          <w:highlight w:val="none"/>
        </w:rPr>
      </w:r>
    </w:p>
    <w:p>
      <w:pPr>
        <w:pStyle w:val="883"/>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26.1.6投标人不具备招标文件中规定的资格要求或未按招标文件规定的要求提供资格证明文件的。</w:t>
      </w:r>
      <w:r>
        <w:rPr>
          <w:color w:val="000000" w:themeColor="text1"/>
          <w:highlight w:val="none"/>
        </w:rPr>
      </w:r>
    </w:p>
    <w:p>
      <w:pPr>
        <w:pStyle w:val="883"/>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26.1.7</w:t>
      </w:r>
      <w:r>
        <w:rPr>
          <w:rFonts w:hint="eastAsia" w:ascii="宋体" w:hAnsi="宋体"/>
          <w:bCs/>
          <w:color w:val="000000" w:themeColor="text1"/>
          <w:sz w:val="24"/>
          <w:highlight w:val="none"/>
        </w:rPr>
        <w:t xml:space="preserve">同一投标人提交两种（含两种）以上不同的投标报价的。</w:t>
      </w:r>
      <w:r>
        <w:rPr>
          <w:rFonts w:hint="eastAsia" w:ascii="宋体" w:hAnsi="宋体"/>
          <w:bCs/>
          <w:color w:val="000000" w:themeColor="text1"/>
          <w:sz w:val="24"/>
          <w:szCs w:val="24"/>
          <w:highlight w:val="none"/>
        </w:rPr>
      </w:r>
      <w:r>
        <w:rPr>
          <w:color w:val="000000" w:themeColor="text1"/>
          <w:highlight w:val="none"/>
        </w:rPr>
      </w:r>
    </w:p>
    <w:p>
      <w:pPr>
        <w:pStyle w:val="883"/>
        <w:ind w:firstLine="480"/>
        <w:spacing w:line="500" w:lineRule="exact"/>
        <w:rPr>
          <w:rFonts w:hint="eastAsia" w:ascii="宋体" w:hAnsi="宋体"/>
          <w:bCs/>
          <w:color w:val="000000" w:themeColor="text1"/>
          <w:sz w:val="24"/>
          <w:szCs w:val="24"/>
          <w:highlight w:val="none"/>
        </w:rPr>
      </w:pPr>
      <w:r>
        <w:rPr>
          <w:rFonts w:hint="eastAsia" w:ascii="宋体" w:hAnsi="宋体"/>
          <w:color w:val="000000" w:themeColor="text1"/>
          <w:sz w:val="24"/>
          <w:szCs w:val="24"/>
          <w:highlight w:val="none"/>
        </w:rPr>
        <w:t xml:space="preserve">26.1.8投标人被“信用中国”网站（</w:t>
      </w:r>
      <w:r>
        <w:rPr>
          <w:rFonts w:ascii="宋体" w:hAnsi="宋体"/>
          <w:color w:val="000000" w:themeColor="text1"/>
          <w:sz w:val="24"/>
          <w:szCs w:val="24"/>
          <w:highlight w:val="none"/>
        </w:rPr>
        <w:fldChar w:fldCharType="begin"/>
      </w:r>
      <w:r>
        <w:rPr>
          <w:rFonts w:ascii="宋体" w:hAnsi="宋体"/>
          <w:color w:val="000000" w:themeColor="text1"/>
          <w:sz w:val="24"/>
          <w:szCs w:val="24"/>
          <w:highlight w:val="none"/>
        </w:rPr>
        <w:instrText xml:space="preserve"> HYPERLINK "http://www.creditchina.gov.cn" </w:instrText>
      </w:r>
      <w:r>
        <w:rPr>
          <w:rFonts w:ascii="宋体" w:hAnsi="宋体"/>
          <w:color w:val="000000" w:themeColor="text1"/>
          <w:sz w:val="24"/>
          <w:szCs w:val="24"/>
          <w:highlight w:val="none"/>
        </w:rPr>
        <w:fldChar w:fldCharType="separate"/>
      </w:r>
      <w:r>
        <w:rPr>
          <w:rFonts w:hint="eastAsia" w:ascii="宋体" w:hAnsi="宋体"/>
          <w:color w:val="000000" w:themeColor="text1"/>
          <w:sz w:val="24"/>
          <w:szCs w:val="24"/>
          <w:highlight w:val="none"/>
        </w:rPr>
        <w:t xml:space="preserve">www.creditchina.gov.cn</w:t>
      </w:r>
      <w:r>
        <w:rPr>
          <w:rFonts w:ascii="宋体" w:hAnsi="宋体"/>
          <w:color w:val="000000" w:themeColor="text1"/>
          <w:sz w:val="24"/>
          <w:szCs w:val="24"/>
          <w:highlight w:val="none"/>
        </w:rPr>
        <w:fldChar w:fldCharType="end"/>
      </w:r>
      <w:r>
        <w:rPr>
          <w:rFonts w:hint="eastAsia" w:ascii="宋体" w:hAnsi="宋体"/>
          <w:color w:val="000000" w:themeColor="text1"/>
          <w:sz w:val="24"/>
          <w:szCs w:val="24"/>
          <w:highlight w:val="none"/>
        </w:rPr>
        <w:t xml:space="preserve">）、中国政府采购网(www.ccgp.gov.cn)</w:t>
      </w:r>
      <w:r>
        <w:rPr>
          <w:rFonts w:hint="eastAsia" w:ascii="宋体" w:hAnsi="宋体"/>
          <w:color w:val="000000" w:themeColor="text1"/>
          <w:sz w:val="24"/>
          <w:szCs w:val="24"/>
          <w:highlight w:val="none"/>
        </w:rPr>
        <w:t xml:space="preserve">列入失信被执行人或重大税收违法案件当事人名单或政府采购严重违法失信行为记录名单的。</w:t>
      </w:r>
      <w:r>
        <w:rPr>
          <w:rFonts w:hint="eastAsia" w:ascii="宋体" w:hAnsi="宋体"/>
          <w:bCs/>
          <w:color w:val="000000" w:themeColor="text1"/>
          <w:sz w:val="24"/>
          <w:highlight w:val="none"/>
        </w:rPr>
        <w:t xml:space="preserve">或查询“信用中国”网站、</w:t>
      </w:r>
      <w:r>
        <w:rPr>
          <w:rFonts w:hint="eastAsia" w:ascii="宋体" w:hAnsi="宋体"/>
          <w:color w:val="000000" w:themeColor="text1"/>
          <w:sz w:val="24"/>
          <w:szCs w:val="24"/>
          <w:highlight w:val="none"/>
        </w:rPr>
        <w:t xml:space="preserve">中国政府采购网</w:t>
      </w:r>
      <w:r>
        <w:rPr>
          <w:rFonts w:hint="eastAsia" w:ascii="宋体" w:hAnsi="宋体"/>
          <w:bCs/>
          <w:color w:val="000000" w:themeColor="text1"/>
          <w:sz w:val="24"/>
          <w:highlight w:val="none"/>
        </w:rPr>
        <w:t xml:space="preserve">后发现投标人存在其他不符合《中华人民共和国政府采购法》第二十二条规定条件的信用记录。</w:t>
      </w:r>
      <w:r>
        <w:rPr>
          <w:rFonts w:hint="eastAsia" w:ascii="宋体" w:hAnsi="宋体"/>
          <w:bCs/>
          <w:color w:val="000000" w:themeColor="text1"/>
          <w:sz w:val="24"/>
          <w:szCs w:val="24"/>
          <w:highlight w:val="none"/>
        </w:rPr>
      </w:r>
      <w:r>
        <w:rPr>
          <w:color w:val="000000" w:themeColor="text1"/>
          <w:highlight w:val="none"/>
        </w:rPr>
      </w:r>
    </w:p>
    <w:p>
      <w:pPr>
        <w:pStyle w:val="883"/>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26.1.9投标文件未按招标文件规定的内容和要求填写的。</w:t>
      </w:r>
      <w:r>
        <w:rPr>
          <w:color w:val="000000" w:themeColor="text1"/>
          <w:highlight w:val="none"/>
        </w:rPr>
      </w:r>
    </w:p>
    <w:p>
      <w:pPr>
        <w:pStyle w:val="883"/>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26.1.10</w:t>
      </w:r>
      <w:r>
        <w:rPr>
          <w:rFonts w:hint="eastAsia" w:ascii="宋体" w:hAnsi="宋体"/>
          <w:bCs/>
          <w:color w:val="000000" w:themeColor="text1"/>
          <w:sz w:val="24"/>
          <w:highlight w:val="none"/>
        </w:rPr>
        <w:t xml:space="preserve">投标人的</w:t>
      </w:r>
      <w:r>
        <w:rPr>
          <w:rFonts w:hint="eastAsia" w:ascii="宋体" w:hAnsi="宋体"/>
          <w:bCs/>
          <w:color w:val="000000" w:themeColor="text1"/>
          <w:sz w:val="24"/>
          <w:szCs w:val="24"/>
          <w:highlight w:val="none"/>
        </w:rPr>
        <w:t xml:space="preserve">项目（采购包、标项、标段）投标总价超过本项目（本采购包、本标项、本标段）预算或最高限价的。</w:t>
      </w:r>
      <w:r>
        <w:rPr>
          <w:color w:val="000000" w:themeColor="text1"/>
          <w:highlight w:val="none"/>
        </w:rPr>
      </w:r>
    </w:p>
    <w:p>
      <w:pPr>
        <w:pStyle w:val="883"/>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26.1.11未通过符合性审查的。</w:t>
      </w:r>
      <w:r>
        <w:rPr>
          <w:color w:val="000000" w:themeColor="text1"/>
          <w:highlight w:val="none"/>
        </w:rPr>
      </w:r>
    </w:p>
    <w:p>
      <w:pPr>
        <w:pStyle w:val="883"/>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26.1.12投标文件含有采购人不能接受的附加条件的。</w:t>
      </w:r>
      <w:r>
        <w:rPr>
          <w:color w:val="000000" w:themeColor="text1"/>
          <w:highlight w:val="none"/>
        </w:rPr>
      </w:r>
    </w:p>
    <w:p>
      <w:pPr>
        <w:pStyle w:val="883"/>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26.1.13电子投标文件图片、字迹模糊不清、无法辨认导致无法评审的。</w:t>
      </w:r>
      <w:r>
        <w:rPr>
          <w:color w:val="000000" w:themeColor="text1"/>
          <w:highlight w:val="none"/>
        </w:rPr>
      </w:r>
    </w:p>
    <w:p>
      <w:pPr>
        <w:pStyle w:val="883"/>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26.1.14投标文件中有招标文件未允许提供的选择性内容。</w:t>
      </w:r>
      <w:r>
        <w:rPr>
          <w:color w:val="000000" w:themeColor="text1"/>
          <w:highlight w:val="none"/>
        </w:rPr>
      </w:r>
    </w:p>
    <w:p>
      <w:pPr>
        <w:pStyle w:val="883"/>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highlight w:val="none"/>
        </w:rPr>
        <w:t xml:space="preserve">26.1.15</w:t>
      </w:r>
      <w:r>
        <w:rPr>
          <w:rFonts w:hint="eastAsia" w:ascii="宋体" w:hAnsi="宋体"/>
          <w:bCs/>
          <w:color w:val="000000" w:themeColor="text1"/>
          <w:sz w:val="24"/>
          <w:szCs w:val="24"/>
          <w:highlight w:val="none"/>
        </w:rPr>
        <w:t xml:space="preserve">不同投标人委托同一单位或者个人办理投标事宜的。</w:t>
      </w:r>
      <w:r>
        <w:rPr>
          <w:color w:val="000000" w:themeColor="text1"/>
          <w:highlight w:val="none"/>
        </w:rPr>
      </w:r>
    </w:p>
    <w:p>
      <w:pPr>
        <w:pStyle w:val="883"/>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26.1.16</w:t>
      </w:r>
      <w:r>
        <w:rPr>
          <w:rFonts w:hint="eastAsia" w:ascii="宋体" w:hAnsi="宋体"/>
          <w:bCs/>
          <w:color w:val="000000" w:themeColor="text1"/>
          <w:sz w:val="24"/>
          <w:szCs w:val="24"/>
          <w:highlight w:val="none"/>
        </w:rPr>
        <w:t xml:space="preserve">不同投标人的单位负责人为同一人或者存在直接控股、管理关系的。</w:t>
      </w:r>
      <w:r>
        <w:rPr>
          <w:rFonts w:hint="eastAsia" w:ascii="宋体" w:hAnsi="宋体"/>
          <w:bCs/>
          <w:color w:val="000000" w:themeColor="text1"/>
          <w:sz w:val="24"/>
          <w:highlight w:val="none"/>
        </w:rPr>
      </w:r>
      <w:r>
        <w:rPr>
          <w:color w:val="000000" w:themeColor="text1"/>
          <w:highlight w:val="none"/>
        </w:rPr>
      </w:r>
    </w:p>
    <w:p>
      <w:pPr>
        <w:pStyle w:val="883"/>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26.1.17不同投标人的投标文件的装订形式、纸张情况、目录序号、排版格式、文字风格等存在明显的相似性或一致性，特征显示由同一单位或者同一个人编制的。</w:t>
      </w:r>
      <w:r>
        <w:rPr>
          <w:color w:val="000000" w:themeColor="text1"/>
          <w:highlight w:val="none"/>
        </w:rPr>
      </w:r>
    </w:p>
    <w:p>
      <w:pPr>
        <w:pStyle w:val="883"/>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rPr>
          <w:color w:val="000000" w:themeColor="text1"/>
          <w:highlight w:val="none"/>
        </w:rPr>
      </w:r>
    </w:p>
    <w:p>
      <w:pPr>
        <w:pStyle w:val="883"/>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rPr>
          <w:color w:val="000000" w:themeColor="text1"/>
          <w:highlight w:val="none"/>
        </w:rPr>
      </w:r>
    </w:p>
    <w:p>
      <w:pPr>
        <w:pStyle w:val="883"/>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26.1.20</w:t>
      </w:r>
      <w:r>
        <w:rPr>
          <w:rFonts w:hint="eastAsia" w:ascii="宋体" w:hAnsi="宋体"/>
          <w:bCs/>
          <w:color w:val="000000" w:themeColor="text1"/>
          <w:sz w:val="24"/>
          <w:szCs w:val="24"/>
          <w:highlight w:val="none"/>
        </w:rPr>
        <w:t xml:space="preserve">提供虚假材料的（包括工商营业执照、财务报表、资格证明文件等）。</w:t>
      </w:r>
      <w:r>
        <w:rPr>
          <w:rFonts w:hint="eastAsia" w:ascii="宋体" w:hAnsi="宋体"/>
          <w:bCs/>
          <w:color w:val="000000" w:themeColor="text1"/>
          <w:sz w:val="24"/>
          <w:highlight w:val="none"/>
        </w:rPr>
      </w:r>
      <w:r>
        <w:rPr>
          <w:color w:val="000000" w:themeColor="text1"/>
          <w:highlight w:val="none"/>
        </w:rPr>
      </w:r>
    </w:p>
    <w:p>
      <w:pPr>
        <w:pStyle w:val="883"/>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26.1.21</w:t>
      </w:r>
      <w:r>
        <w:rPr>
          <w:rFonts w:hint="eastAsia" w:ascii="宋体" w:hAnsi="宋体"/>
          <w:bCs/>
          <w:color w:val="000000" w:themeColor="text1"/>
          <w:sz w:val="24"/>
          <w:szCs w:val="24"/>
          <w:highlight w:val="none"/>
        </w:rPr>
        <w:t xml:space="preserve">除单一来源采购项目外，为采购项目提供整体设计、规范编制或者项目管理、监理、检测等服务的。</w:t>
      </w:r>
      <w:r>
        <w:rPr>
          <w:rFonts w:hint="eastAsia" w:ascii="宋体" w:hAnsi="宋体"/>
          <w:bCs/>
          <w:color w:val="000000" w:themeColor="text1"/>
          <w:sz w:val="24"/>
          <w:highlight w:val="none"/>
        </w:rPr>
      </w:r>
      <w:r>
        <w:rPr>
          <w:color w:val="000000" w:themeColor="text1"/>
          <w:highlight w:val="none"/>
        </w:rPr>
      </w:r>
    </w:p>
    <w:p>
      <w:pPr>
        <w:pStyle w:val="883"/>
        <w:ind w:firstLine="480"/>
        <w:spacing w:line="500" w:lineRule="exact"/>
        <w:rPr>
          <w:rFonts w:hint="eastAsia" w:ascii="宋体" w:hAnsi="宋体"/>
          <w:bCs/>
          <w:color w:val="000000" w:themeColor="text1"/>
          <w:sz w:val="24"/>
          <w:highlight w:val="none"/>
          <w:shd w:val="clear" w:color="ffffff" w:fill="d9d9d9"/>
        </w:rPr>
      </w:pPr>
      <w:r>
        <w:rPr>
          <w:rFonts w:hint="eastAsia" w:ascii="宋体" w:hAnsi="宋体"/>
          <w:bCs/>
          <w:color w:val="000000" w:themeColor="text1"/>
          <w:sz w:val="24"/>
          <w:szCs w:val="24"/>
          <w:highlight w:val="none"/>
        </w:rPr>
        <w:t xml:space="preserve">26.1.22评标委员会认定投标人的报价明显低于其他通过符合性审查投标人的报价，有可能影响产品质量或者不能诚信履约，且投标人不能应评标委员会要求</w:t>
      </w:r>
      <w:r>
        <w:rPr>
          <w:rFonts w:hint="eastAsia" w:ascii="宋体" w:hAnsi="宋体"/>
          <w:bCs/>
          <w:color w:val="000000" w:themeColor="text1"/>
          <w:sz w:val="24"/>
          <w:highlight w:val="none"/>
        </w:rPr>
        <w:t xml:space="preserve">通过</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（或</w:t>
      </w:r>
      <w:r>
        <w:rPr>
          <w:rFonts w:hint="eastAsia" w:ascii="宋体" w:hAnsi="宋体"/>
          <w:bCs/>
          <w:color w:val="000000" w:themeColor="text1"/>
          <w:sz w:val="24"/>
          <w:szCs w:val="24"/>
          <w:highlight w:val="none"/>
        </w:rPr>
        <w:t xml:space="preserve">在评标现场</w:t>
      </w:r>
      <w:r>
        <w:rPr>
          <w:rFonts w:hint="eastAsia" w:ascii="宋体" w:hAnsi="宋体"/>
          <w:color w:val="000000" w:themeColor="text1"/>
          <w:sz w:val="24"/>
          <w:szCs w:val="24"/>
          <w:highlight w:val="none"/>
        </w:rPr>
        <w:t xml:space="preserve">）在给定的</w:t>
      </w:r>
      <w:r>
        <w:rPr>
          <w:rFonts w:hint="eastAsia" w:ascii="宋体" w:hAnsi="宋体"/>
          <w:bCs/>
          <w:color w:val="000000" w:themeColor="text1"/>
          <w:sz w:val="24"/>
          <w:szCs w:val="24"/>
          <w:highlight w:val="none"/>
        </w:rPr>
        <w:t xml:space="preserve">合理时间内提供说明（必要时评标委员会可要求投标人提交相关证明材料）证明其报价合理性的</w:t>
      </w:r>
      <w:r>
        <w:rPr>
          <w:rFonts w:hint="eastAsia" w:ascii="宋体" w:hAnsi="宋体"/>
          <w:bCs/>
          <w:color w:val="000000" w:themeColor="text1"/>
          <w:sz w:val="24"/>
          <w:highlight w:val="none"/>
        </w:rPr>
        <w:t xml:space="preserve">，评标委员会应当将其作为无效投标处理。</w:t>
      </w:r>
      <w:r>
        <w:rPr>
          <w:rFonts w:hint="eastAsia" w:ascii="宋体" w:hAnsi="宋体"/>
          <w:bCs/>
          <w:color w:val="000000" w:themeColor="text1"/>
          <w:sz w:val="24"/>
          <w:highlight w:val="none"/>
          <w:shd w:val="clear" w:color="ffffff" w:fill="d9d9d9"/>
        </w:rPr>
      </w:r>
      <w:r>
        <w:rPr>
          <w:color w:val="000000" w:themeColor="text1"/>
          <w:highlight w:val="none"/>
        </w:rPr>
      </w:r>
    </w:p>
    <w:p>
      <w:pPr>
        <w:pStyle w:val="883"/>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szCs w:val="24"/>
          <w:highlight w:val="none"/>
        </w:rPr>
        <w:t xml:space="preserve">26.1.23投标文件内容不全或不符合招标文件中规定的其他实质性要求和条件的</w:t>
      </w:r>
      <w:r>
        <w:rPr>
          <w:rFonts w:hint="eastAsia" w:ascii="宋体" w:hAnsi="宋体"/>
          <w:bCs/>
          <w:color w:val="000000" w:themeColor="text1"/>
          <w:sz w:val="24"/>
          <w:highlight w:val="none"/>
        </w:rPr>
      </w:r>
      <w:r>
        <w:rPr>
          <w:color w:val="000000" w:themeColor="text1"/>
          <w:highlight w:val="none"/>
        </w:rPr>
      </w:r>
    </w:p>
    <w:p>
      <w:pPr>
        <w:pStyle w:val="883"/>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26.1.24其他法律、法规及本招标文件规定的属无效投标的情形。</w:t>
      </w:r>
      <w:r>
        <w:rPr>
          <w:color w:val="000000" w:themeColor="text1"/>
          <w:highlight w:val="none"/>
        </w:rPr>
      </w:r>
    </w:p>
    <w:p>
      <w:pPr>
        <w:pStyle w:val="883"/>
        <w:ind w:left="479"/>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26.2废标条款</w:t>
      </w:r>
      <w:r>
        <w:rPr>
          <w:color w:val="000000" w:themeColor="text1"/>
          <w:highlight w:val="none"/>
        </w:rPr>
      </w:r>
    </w:p>
    <w:p>
      <w:pPr>
        <w:pStyle w:val="883"/>
        <w:ind w:left="479"/>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26.2.1符合专业条件的供应商或者对招标文件作实质响应的供应商不足三家的。26.2.2出现影响采购公正的违法、违规行为的。</w:t>
      </w:r>
      <w:r>
        <w:rPr>
          <w:color w:val="000000" w:themeColor="text1"/>
          <w:highlight w:val="none"/>
        </w:rPr>
      </w:r>
    </w:p>
    <w:p>
      <w:pPr>
        <w:pStyle w:val="883"/>
        <w:ind w:left="479"/>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26.2.3因重大变故，采购任务取消的。</w:t>
      </w:r>
      <w:r>
        <w:rPr>
          <w:color w:val="000000" w:themeColor="text1"/>
          <w:highlight w:val="none"/>
        </w:rPr>
      </w:r>
    </w:p>
    <w:p>
      <w:pPr>
        <w:pStyle w:val="883"/>
        <w:ind w:left="479"/>
        <w:spacing w:line="500" w:lineRule="exact"/>
        <w:rPr>
          <w:rFonts w:ascii="宋体" w:hAnsi="宋体"/>
          <w:bCs/>
          <w:color w:val="000000" w:themeColor="text1"/>
          <w:sz w:val="24"/>
          <w:highlight w:val="none"/>
        </w:rPr>
      </w:pPr>
      <w:r>
        <w:rPr>
          <w:rFonts w:hint="eastAsia" w:ascii="宋体" w:hAnsi="宋体"/>
          <w:bCs/>
          <w:color w:val="000000" w:themeColor="text1"/>
          <w:sz w:val="24"/>
          <w:highlight w:val="none"/>
        </w:rPr>
        <w:t xml:space="preserve">26.2.4评标委员会认定招标文件存在歧义、重大缺陷导致评审工作无法进行。</w:t>
      </w:r>
      <w:r>
        <w:rPr>
          <w:rFonts w:ascii="宋体" w:hAnsi="宋体"/>
          <w:bCs/>
          <w:color w:val="000000" w:themeColor="text1"/>
          <w:sz w:val="24"/>
          <w:highlight w:val="none"/>
        </w:rPr>
      </w:r>
      <w:r>
        <w:rPr>
          <w:color w:val="000000" w:themeColor="text1"/>
          <w:highlight w:val="none"/>
        </w:rPr>
      </w:r>
    </w:p>
    <w:p>
      <w:pPr>
        <w:pStyle w:val="883"/>
        <w:ind w:left="479"/>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26.2.5 因</w:t>
      </w:r>
      <w:r>
        <w:rPr>
          <w:rFonts w:hint="eastAsia" w:ascii="宋体" w:hAnsi="宋体"/>
          <w:bCs/>
          <w:color w:val="000000" w:themeColor="text1"/>
          <w:sz w:val="24"/>
          <w:szCs w:val="24"/>
          <w:highlight w:val="none"/>
        </w:rPr>
        <w:t xml:space="preserve">“苏采云”系统</w:t>
      </w:r>
      <w:r>
        <w:rPr>
          <w:rFonts w:ascii="宋体" w:hAnsi="宋体"/>
          <w:bCs/>
          <w:color w:val="000000" w:themeColor="text1"/>
          <w:sz w:val="24"/>
          <w:highlight w:val="none"/>
        </w:rPr>
        <w:t xml:space="preserve">故障原因造成开标不成功</w:t>
      </w:r>
      <w:r>
        <w:rPr>
          <w:rFonts w:hint="eastAsia" w:ascii="宋体" w:hAnsi="宋体"/>
          <w:bCs/>
          <w:color w:val="000000" w:themeColor="text1"/>
          <w:sz w:val="24"/>
          <w:highlight w:val="none"/>
        </w:rPr>
        <w:t xml:space="preserve">的；</w:t>
      </w:r>
      <w:r>
        <w:rPr>
          <w:color w:val="000000" w:themeColor="text1"/>
          <w:highlight w:val="none"/>
        </w:rPr>
      </w:r>
    </w:p>
    <w:p>
      <w:pPr>
        <w:pStyle w:val="883"/>
        <w:ind w:left="479"/>
        <w:spacing w:line="500" w:lineRule="exact"/>
        <w:rPr>
          <w:rFonts w:hint="eastAsia" w:ascii="宋体" w:hAnsi="宋体"/>
          <w:bCs/>
          <w:color w:val="000000" w:themeColor="text1"/>
          <w:sz w:val="24"/>
          <w:highlight w:val="none"/>
        </w:rPr>
      </w:pPr>
      <w:r>
        <w:rPr>
          <w:rFonts w:hint="eastAsia" w:ascii="宋体" w:hAnsi="宋体"/>
          <w:bCs/>
          <w:color w:val="000000" w:themeColor="text1"/>
          <w:sz w:val="24"/>
          <w:szCs w:val="24"/>
          <w:highlight w:val="none"/>
        </w:rPr>
        <w:t xml:space="preserve">26.2.6投标人的报价均超过采购预算，采购人不能支付的。</w:t>
      </w:r>
      <w:r>
        <w:rPr>
          <w:rFonts w:hint="eastAsia" w:ascii="宋体" w:hAnsi="宋体"/>
          <w:bCs/>
          <w:color w:val="000000" w:themeColor="text1"/>
          <w:sz w:val="24"/>
          <w:highlight w:val="none"/>
        </w:rPr>
      </w:r>
      <w:r>
        <w:rPr>
          <w:color w:val="000000" w:themeColor="text1"/>
          <w:highlight w:val="none"/>
        </w:rPr>
      </w:r>
    </w:p>
    <w:p>
      <w:pPr>
        <w:pStyle w:val="883"/>
        <w:ind w:left="479"/>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26.3 投标截止时间结束后参加投标的供应商不足三家的处理：</w:t>
      </w:r>
      <w:r>
        <w:rPr>
          <w:color w:val="000000" w:themeColor="text1"/>
          <w:highlight w:val="none"/>
        </w:rPr>
      </w:r>
    </w:p>
    <w:p>
      <w:pPr>
        <w:pStyle w:val="883"/>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26.3.1如出现投标截止时间结束后参加投标的供应商或者在评标期间对招标文件做出实质响应的供应商不足三家情况，按政府采购相关规定执行。</w:t>
      </w:r>
      <w:r>
        <w:rPr>
          <w:color w:val="000000" w:themeColor="text1"/>
          <w:highlight w:val="none"/>
        </w:rPr>
      </w:r>
    </w:p>
    <w:p>
      <w:pPr>
        <w:pStyle w:val="886"/>
        <w:ind w:firstLine="452"/>
        <w:keepLines w:val="0"/>
        <w:keepNext w:val="0"/>
        <w:spacing w:before="0" w:after="0" w:line="500" w:lineRule="exact"/>
        <w:rPr>
          <w:rFonts w:hint="eastAsia"/>
          <w:color w:val="000000" w:themeColor="text1"/>
          <w:sz w:val="30"/>
          <w:szCs w:val="30"/>
          <w:highlight w:val="none"/>
        </w:rPr>
      </w:pPr>
      <w:r>
        <w:rPr>
          <w:color w:val="000000" w:themeColor="text1"/>
          <w:highlight w:val="none"/>
        </w:rPr>
      </w:r>
      <w:bookmarkStart w:id="164" w:name="_Toc120614219"/>
      <w:r>
        <w:rPr>
          <w:rFonts w:hint="eastAsia"/>
          <w:color w:val="000000" w:themeColor="text1"/>
          <w:sz w:val="30"/>
          <w:szCs w:val="30"/>
          <w:highlight w:val="none"/>
        </w:rPr>
        <w:t xml:space="preserve">六、</w:t>
      </w:r>
      <w:bookmarkEnd w:id="161"/>
      <w:r>
        <w:rPr>
          <w:color w:val="000000" w:themeColor="text1"/>
          <w:highlight w:val="none"/>
        </w:rPr>
      </w:r>
      <w:bookmarkEnd w:id="162"/>
      <w:r>
        <w:rPr>
          <w:color w:val="000000" w:themeColor="text1"/>
          <w:highlight w:val="none"/>
        </w:rPr>
      </w:r>
      <w:bookmarkEnd w:id="163"/>
      <w:r>
        <w:rPr>
          <w:rFonts w:hint="eastAsia"/>
          <w:color w:val="000000" w:themeColor="text1"/>
          <w:sz w:val="30"/>
          <w:szCs w:val="30"/>
          <w:highlight w:val="none"/>
        </w:rPr>
        <w:t xml:space="preserve">定标</w:t>
      </w:r>
      <w:bookmarkEnd w:id="164"/>
      <w:r>
        <w:rPr>
          <w:rFonts w:hint="eastAsia"/>
          <w:color w:val="000000" w:themeColor="text1"/>
          <w:sz w:val="30"/>
          <w:szCs w:val="30"/>
          <w:highlight w:val="none"/>
        </w:rPr>
      </w:r>
      <w:r>
        <w:rPr>
          <w:color w:val="000000" w:themeColor="text1"/>
          <w:highlight w:val="none"/>
        </w:rPr>
      </w:r>
    </w:p>
    <w:p>
      <w:pPr>
        <w:pStyle w:val="887"/>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165" w:name="_Toc513029238"/>
      <w:r>
        <w:rPr>
          <w:color w:val="000000" w:themeColor="text1"/>
          <w:highlight w:val="none"/>
        </w:rPr>
      </w:r>
      <w:bookmarkStart w:id="166" w:name="_Toc20823310"/>
      <w:r>
        <w:rPr>
          <w:color w:val="000000" w:themeColor="text1"/>
          <w:highlight w:val="none"/>
        </w:rPr>
      </w:r>
      <w:bookmarkStart w:id="167" w:name="_Toc16938554"/>
      <w:r>
        <w:rPr>
          <w:rFonts w:hint="eastAsia" w:ascii="宋体" w:hAnsi="宋体" w:eastAsia="宋体"/>
          <w:bCs w:val="0"/>
          <w:color w:val="000000" w:themeColor="text1"/>
          <w:highlight w:val="none"/>
        </w:rPr>
        <w:t xml:space="preserve">27</w:t>
      </w:r>
      <w:bookmarkEnd w:id="165"/>
      <w:r>
        <w:rPr>
          <w:rFonts w:hint="eastAsia" w:ascii="宋体" w:hAnsi="宋体" w:eastAsia="宋体"/>
          <w:bCs w:val="0"/>
          <w:color w:val="000000" w:themeColor="text1"/>
          <w:highlight w:val="none"/>
        </w:rPr>
        <w:t xml:space="preserve">.确定</w:t>
      </w:r>
      <w:bookmarkEnd w:id="166"/>
      <w:r>
        <w:rPr>
          <w:color w:val="000000" w:themeColor="text1"/>
          <w:highlight w:val="none"/>
        </w:rPr>
      </w:r>
      <w:bookmarkEnd w:id="167"/>
      <w:r>
        <w:rPr>
          <w:rFonts w:hint="eastAsia" w:ascii="宋体" w:hAnsi="宋体" w:eastAsia="宋体"/>
          <w:bCs w:val="0"/>
          <w:color w:val="000000" w:themeColor="text1"/>
          <w:highlight w:val="none"/>
        </w:rPr>
        <w:t xml:space="preserve">中标单位</w:t>
      </w:r>
      <w:r>
        <w:rPr>
          <w:color w:val="000000" w:themeColor="text1"/>
          <w:highlight w:val="none"/>
        </w:rPr>
      </w:r>
    </w:p>
    <w:p>
      <w:pPr>
        <w:pStyle w:val="883"/>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27.1评标委员会根据招标文件规定的评标方法和评标标准进行评审，按招标文件的要求依法选取中标候选人，中标候选人的选取原则和数量见招标文件第五章规定。</w:t>
      </w:r>
      <w:r>
        <w:rPr>
          <w:color w:val="000000" w:themeColor="text1"/>
          <w:highlight w:val="none"/>
        </w:rPr>
      </w:r>
    </w:p>
    <w:p>
      <w:pPr>
        <w:pStyle w:val="883"/>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27.2采购人应根据评委会推荐的中标候选人名单中按排名先后顺序确定一个投标人为中标单位。联合体中标的，联合体各方应当共同与采购人签订合同，就中标项目向采购人承担连带责任。</w:t>
      </w:r>
      <w:r>
        <w:rPr>
          <w:color w:val="000000" w:themeColor="text1"/>
          <w:highlight w:val="none"/>
        </w:rP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bCs/>
          <w:color w:val="000000" w:themeColor="text1"/>
          <w:sz w:val="24"/>
          <w:szCs w:val="24"/>
          <w:highlight w:val="none"/>
        </w:rPr>
        <w:t xml:space="preserve">27.3</w:t>
      </w:r>
      <w:r>
        <w:rPr>
          <w:rFonts w:hint="eastAsia" w:ascii="宋体" w:hAnsi="宋体"/>
          <w:color w:val="000000" w:themeColor="text1"/>
          <w:sz w:val="24"/>
          <w:szCs w:val="24"/>
          <w:highlight w:val="none"/>
        </w:rPr>
        <w:t xml:space="preserve">交易中心将在“无锡政府采购网”“江苏政府采购网”发布中标公告，公告期限为1个工作日。</w:t>
      </w:r>
      <w:r>
        <w:rPr>
          <w:color w:val="000000" w:themeColor="text1"/>
          <w:highlight w:val="none"/>
        </w:rP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27.4中标无效的确认</w:t>
      </w:r>
      <w:r>
        <w:rPr>
          <w:color w:val="000000" w:themeColor="text1"/>
          <w:highlight w:val="none"/>
        </w:rP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若有充分证据证明，中标人出现下列情况之一的，一经查实，将被取消中标资格：</w:t>
      </w:r>
      <w:r>
        <w:rPr>
          <w:color w:val="000000" w:themeColor="text1"/>
          <w:highlight w:val="none"/>
        </w:rP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27.4.1提供虚假材料谋取中标的。</w:t>
      </w:r>
      <w:r>
        <w:rPr>
          <w:color w:val="000000" w:themeColor="text1"/>
          <w:highlight w:val="none"/>
        </w:rP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27.4.2向采购人、交易中心行贿或者提供其他不正当利益的。</w:t>
      </w:r>
      <w:r>
        <w:rPr>
          <w:color w:val="000000" w:themeColor="text1"/>
          <w:highlight w:val="none"/>
        </w:rP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27.4.3属于本文件规定的无效投标文件条件的，但在评标过程中又未被评委会发现的。</w:t>
      </w:r>
      <w:r>
        <w:rPr>
          <w:color w:val="000000" w:themeColor="text1"/>
          <w:highlight w:val="none"/>
        </w:rP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27.4.4与采购人或者其他供应商恶意串通的。</w:t>
      </w:r>
      <w:r>
        <w:rPr>
          <w:color w:val="000000" w:themeColor="text1"/>
          <w:highlight w:val="none"/>
        </w:rP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27.4.5采取不正当手段诋毁、排挤其他供应商的。</w:t>
      </w:r>
      <w:r>
        <w:rPr>
          <w:color w:val="000000" w:themeColor="text1"/>
          <w:highlight w:val="none"/>
        </w:rPr>
      </w:r>
    </w:p>
    <w:p>
      <w:pPr>
        <w:pStyle w:val="883"/>
        <w:ind w:firstLine="480"/>
        <w:spacing w:line="500" w:lineRule="exact"/>
        <w:rPr>
          <w:rFonts w:hint="eastAsia" w:ascii="宋体" w:hAnsi="宋体"/>
          <w:color w:val="000000" w:themeColor="text1"/>
          <w:sz w:val="24"/>
          <w:szCs w:val="24"/>
          <w:highlight w:val="none"/>
        </w:rPr>
      </w:pPr>
      <w:r>
        <w:rPr>
          <w:color w:val="000000" w:themeColor="text1"/>
          <w:highlight w:val="none"/>
        </w:rPr>
      </w:r>
      <w:bookmarkStart w:id="168" w:name="_Toc200451960"/>
      <w:r>
        <w:rPr>
          <w:rFonts w:hint="eastAsia" w:ascii="宋体" w:hAnsi="宋体"/>
          <w:color w:val="000000" w:themeColor="text1"/>
          <w:sz w:val="24"/>
          <w:szCs w:val="24"/>
          <w:highlight w:val="none"/>
        </w:rPr>
        <w:t xml:space="preserve">27.4.6</w:t>
      </w:r>
      <w:r>
        <w:rPr>
          <w:rFonts w:hint="eastAsia" w:ascii="宋体" w:hAnsi="宋体"/>
          <w:bCs/>
          <w:color w:val="000000" w:themeColor="text1"/>
          <w:sz w:val="24"/>
          <w:szCs w:val="24"/>
          <w:highlight w:val="none"/>
        </w:rPr>
        <w:t xml:space="preserve">在招标过程中与采购人进行协商谈判、不按照招标文件和中标供应商的投标文件订立合同，或者与采购人另行订立背离合同实质性内容的协议的；</w:t>
      </w:r>
      <w:r>
        <w:rPr>
          <w:rFonts w:hint="eastAsia" w:ascii="宋体" w:hAnsi="宋体"/>
          <w:color w:val="000000" w:themeColor="text1"/>
          <w:sz w:val="24"/>
          <w:szCs w:val="24"/>
          <w:highlight w:val="none"/>
        </w:rPr>
      </w:r>
      <w:r>
        <w:rPr>
          <w:color w:val="000000" w:themeColor="text1"/>
          <w:highlight w:val="none"/>
        </w:rP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27.4.7</w:t>
      </w:r>
      <w:r>
        <w:rPr>
          <w:rFonts w:hint="eastAsia" w:ascii="宋体" w:hAnsi="宋体"/>
          <w:bCs/>
          <w:color w:val="000000" w:themeColor="text1"/>
          <w:sz w:val="24"/>
          <w:szCs w:val="24"/>
          <w:highlight w:val="none"/>
        </w:rPr>
        <w:t xml:space="preserve">拒绝有关部门监督检查或者提供虚假情况的。</w:t>
      </w:r>
      <w:r>
        <w:rPr>
          <w:rFonts w:hint="eastAsia" w:ascii="宋体" w:hAnsi="宋体"/>
          <w:color w:val="000000" w:themeColor="text1"/>
          <w:sz w:val="24"/>
          <w:szCs w:val="24"/>
          <w:highlight w:val="none"/>
        </w:rPr>
      </w:r>
      <w:r>
        <w:rPr>
          <w:color w:val="000000" w:themeColor="text1"/>
          <w:highlight w:val="none"/>
        </w:rPr>
      </w:r>
    </w:p>
    <w:p>
      <w:pPr>
        <w:pStyle w:val="883"/>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27.5 </w:t>
      </w:r>
      <w:r>
        <w:rPr>
          <w:rFonts w:hAnsi="宋体" w:cs="宋体"/>
          <w:color w:val="000000" w:themeColor="text1"/>
          <w:sz w:val="24"/>
          <w:szCs w:val="24"/>
          <w:highlight w:val="none"/>
        </w:rPr>
        <w:t xml:space="preserve">有下列情形之一的，</w:t>
      </w:r>
      <w:r>
        <w:rPr>
          <w:rFonts w:hint="eastAsia" w:hAnsi="宋体" w:cs="宋体"/>
          <w:color w:val="000000" w:themeColor="text1"/>
          <w:sz w:val="24"/>
          <w:szCs w:val="24"/>
          <w:highlight w:val="none"/>
        </w:rPr>
        <w:t xml:space="preserve">视为投标人</w:t>
      </w:r>
      <w:r>
        <w:rPr>
          <w:rFonts w:hAnsi="宋体" w:cs="宋体"/>
          <w:color w:val="000000" w:themeColor="text1"/>
          <w:sz w:val="24"/>
          <w:szCs w:val="24"/>
          <w:highlight w:val="none"/>
        </w:rPr>
        <w:t xml:space="preserve">串通</w:t>
      </w:r>
      <w:r>
        <w:rPr>
          <w:rFonts w:hint="eastAsia" w:hAnsi="宋体" w:cs="宋体"/>
          <w:color w:val="000000" w:themeColor="text1"/>
          <w:sz w:val="24"/>
          <w:szCs w:val="24"/>
          <w:highlight w:val="none"/>
        </w:rPr>
        <w:t xml:space="preserve">投标，投标无效：</w:t>
      </w:r>
      <w:r>
        <w:rPr>
          <w:rFonts w:ascii="宋体" w:hAnsi="宋体"/>
          <w:color w:val="000000" w:themeColor="text1"/>
          <w:sz w:val="24"/>
          <w:szCs w:val="24"/>
          <w:highlight w:val="none"/>
        </w:rPr>
      </w:r>
      <w:r>
        <w:rPr>
          <w:color w:val="000000" w:themeColor="text1"/>
          <w:highlight w:val="none"/>
        </w:rPr>
      </w:r>
    </w:p>
    <w:p>
      <w:pPr>
        <w:pStyle w:val="883"/>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27.5.1不同投标人的投标文件由同一单位或者个人编制。</w:t>
      </w:r>
      <w:r>
        <w:rPr>
          <w:rFonts w:ascii="宋体" w:hAnsi="宋体"/>
          <w:color w:val="000000" w:themeColor="text1"/>
          <w:sz w:val="24"/>
          <w:szCs w:val="24"/>
          <w:highlight w:val="none"/>
        </w:rPr>
      </w:r>
      <w:r>
        <w:rPr>
          <w:color w:val="000000" w:themeColor="text1"/>
          <w:highlight w:val="none"/>
        </w:rPr>
      </w:r>
    </w:p>
    <w:p>
      <w:pPr>
        <w:pStyle w:val="883"/>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27.5.2不同投标人委托同一单位或者个人办理投标事宜。</w:t>
      </w:r>
      <w:r>
        <w:rPr>
          <w:rFonts w:ascii="宋体" w:hAnsi="宋体"/>
          <w:color w:val="000000" w:themeColor="text1"/>
          <w:sz w:val="24"/>
          <w:szCs w:val="24"/>
          <w:highlight w:val="none"/>
        </w:rPr>
      </w:r>
      <w:r>
        <w:rPr>
          <w:color w:val="000000" w:themeColor="text1"/>
          <w:highlight w:val="none"/>
        </w:rPr>
      </w:r>
    </w:p>
    <w:p>
      <w:pPr>
        <w:pStyle w:val="883"/>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27.5.3 不同投标人的投标文件载明的项目管理成员或者联系人员为同一人。</w:t>
      </w:r>
      <w:r>
        <w:rPr>
          <w:rFonts w:ascii="宋体" w:hAnsi="宋体"/>
          <w:color w:val="000000" w:themeColor="text1"/>
          <w:sz w:val="24"/>
          <w:szCs w:val="24"/>
          <w:highlight w:val="none"/>
        </w:rPr>
      </w:r>
      <w:r>
        <w:rPr>
          <w:color w:val="000000" w:themeColor="text1"/>
          <w:highlight w:val="none"/>
        </w:rPr>
      </w:r>
    </w:p>
    <w:p>
      <w:pPr>
        <w:pStyle w:val="883"/>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27.5.4不同投标人的投标文件异常一致或者投标报价呈规律性差异。</w:t>
      </w:r>
      <w:r>
        <w:rPr>
          <w:rFonts w:ascii="宋体" w:hAnsi="宋体"/>
          <w:color w:val="000000" w:themeColor="text1"/>
          <w:sz w:val="24"/>
          <w:szCs w:val="24"/>
          <w:highlight w:val="none"/>
        </w:rPr>
      </w:r>
      <w:r>
        <w:rPr>
          <w:color w:val="000000" w:themeColor="text1"/>
          <w:highlight w:val="none"/>
        </w:rPr>
      </w:r>
    </w:p>
    <w:p>
      <w:pPr>
        <w:pStyle w:val="887"/>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28.质疑处理</w:t>
      </w:r>
      <w:bookmarkEnd w:id="168"/>
      <w:r>
        <w:rPr>
          <w:rFonts w:hint="eastAsia" w:ascii="宋体" w:hAnsi="宋体" w:eastAsia="宋体"/>
          <w:bCs w:val="0"/>
          <w:color w:val="000000" w:themeColor="text1"/>
          <w:highlight w:val="none"/>
        </w:rPr>
      </w:r>
      <w:r>
        <w:rPr>
          <w:color w:val="000000" w:themeColor="text1"/>
          <w:highlight w:val="none"/>
        </w:rP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28.1 提出质疑的供应商应当是参与所</w:t>
      </w:r>
      <w:r>
        <w:rPr>
          <w:rFonts w:hint="eastAsia" w:ascii="宋体" w:hAnsi="宋体"/>
          <w:color w:val="000000" w:themeColor="text1"/>
          <w:sz w:val="24"/>
          <w:szCs w:val="24"/>
          <w:highlight w:val="none"/>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rPr>
          <w:color w:val="000000" w:themeColor="text1"/>
          <w:highlight w:val="none"/>
        </w:rP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rPr>
          <w:color w:val="000000" w:themeColor="text1"/>
          <w:highlight w:val="none"/>
        </w:rP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28.2.1</w:t>
      </w:r>
      <w:r>
        <w:rPr>
          <w:rFonts w:ascii="宋体" w:hAnsi="宋体"/>
          <w:color w:val="000000" w:themeColor="text1"/>
          <w:sz w:val="24"/>
          <w:szCs w:val="24"/>
          <w:highlight w:val="none"/>
        </w:rPr>
        <w:t xml:space="preserve">对可以质疑的采购文件提出质疑的，为收到采购文件之日或者采购文件公告期限届满之日；</w:t>
      </w:r>
      <w:r>
        <w:rPr>
          <w:rFonts w:hint="eastAsia" w:ascii="宋体" w:hAnsi="宋体"/>
          <w:color w:val="000000" w:themeColor="text1"/>
          <w:sz w:val="24"/>
          <w:szCs w:val="24"/>
          <w:highlight w:val="none"/>
        </w:rPr>
      </w:r>
      <w:r>
        <w:rPr>
          <w:color w:val="000000" w:themeColor="text1"/>
          <w:highlight w:val="none"/>
        </w:rP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28.2.2</w:t>
      </w:r>
      <w:r>
        <w:rPr>
          <w:rFonts w:ascii="宋体" w:hAnsi="宋体"/>
          <w:color w:val="000000" w:themeColor="text1"/>
          <w:sz w:val="24"/>
          <w:szCs w:val="24"/>
          <w:highlight w:val="none"/>
        </w:rPr>
        <w:t xml:space="preserve">对采购过程提出质疑的，为各采购程序环节结束之日；</w:t>
      </w:r>
      <w:r>
        <w:rPr>
          <w:rFonts w:hint="eastAsia" w:ascii="宋体" w:hAnsi="宋体"/>
          <w:color w:val="000000" w:themeColor="text1"/>
          <w:sz w:val="24"/>
          <w:szCs w:val="24"/>
          <w:highlight w:val="none"/>
        </w:rPr>
      </w:r>
      <w:r>
        <w:rPr>
          <w:color w:val="000000" w:themeColor="text1"/>
          <w:highlight w:val="none"/>
        </w:rP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28.2.3</w:t>
      </w:r>
      <w:r>
        <w:rPr>
          <w:rFonts w:ascii="宋体" w:hAnsi="宋体"/>
          <w:color w:val="000000" w:themeColor="text1"/>
          <w:sz w:val="24"/>
          <w:szCs w:val="24"/>
          <w:highlight w:val="none"/>
        </w:rPr>
        <w:t xml:space="preserve">对中标或者成交结果提出质疑的，为中标或者成交结果公告期限届满之日。</w:t>
      </w:r>
      <w:r>
        <w:rPr>
          <w:rFonts w:hint="eastAsia" w:ascii="宋体" w:hAnsi="宋体"/>
          <w:color w:val="000000" w:themeColor="text1"/>
          <w:sz w:val="24"/>
          <w:szCs w:val="24"/>
          <w:highlight w:val="none"/>
        </w:rPr>
      </w:r>
      <w:r>
        <w:rPr>
          <w:color w:val="000000" w:themeColor="text1"/>
          <w:highlight w:val="none"/>
        </w:rP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供应商应当在法定质疑期内一次性提出针对同一采购程序环节的质疑。供应商如在法定期限内对同一采购程序环节提出多次质疑的，交易中心、</w:t>
      </w:r>
      <w:r>
        <w:rPr>
          <w:rFonts w:ascii="宋体" w:hAnsi="宋体"/>
          <w:color w:val="000000" w:themeColor="text1"/>
          <w:sz w:val="24"/>
          <w:szCs w:val="24"/>
          <w:highlight w:val="none"/>
        </w:rPr>
        <w:t xml:space="preserve">采购人</w:t>
      </w:r>
      <w:r>
        <w:rPr>
          <w:rFonts w:hint="eastAsia" w:ascii="宋体" w:hAnsi="宋体"/>
          <w:color w:val="000000" w:themeColor="text1"/>
          <w:sz w:val="24"/>
          <w:szCs w:val="24"/>
          <w:highlight w:val="none"/>
        </w:rPr>
        <w:t xml:space="preserve">将只对供应商第一次质疑作出答复。</w:t>
      </w:r>
      <w:r>
        <w:rPr>
          <w:color w:val="000000" w:themeColor="text1"/>
          <w:highlight w:val="none"/>
        </w:rP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28.3</w:t>
      </w:r>
      <w:r>
        <w:rPr>
          <w:rFonts w:hint="eastAsia" w:ascii="宋体"/>
          <w:bCs/>
          <w:color w:val="000000" w:themeColor="text1"/>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color w:val="000000" w:themeColor="text1"/>
          <w:sz w:val="24"/>
          <w:szCs w:val="24"/>
          <w:highlight w:val="none"/>
        </w:rPr>
        <w:t xml:space="preserve">供应商如组成联合体参加投标，则《质疑函范本》中要求签字、盖章、加盖公章之处，联合体各方均须按要求签字、盖章、加盖公章。</w:t>
      </w:r>
      <w:r>
        <w:rPr>
          <w:color w:val="000000" w:themeColor="text1"/>
          <w:highlight w:val="none"/>
        </w:rPr>
      </w:r>
    </w:p>
    <w:p>
      <w:pPr>
        <w:pStyle w:val="883"/>
        <w:ind w:firstLine="480"/>
        <w:spacing w:line="500" w:lineRule="exact"/>
        <w:rPr>
          <w:rFonts w:hint="eastAsia" w:ascii="宋体" w:hAnsi="宋体"/>
          <w:color w:val="000000" w:themeColor="text1"/>
          <w:sz w:val="24"/>
          <w:szCs w:val="24"/>
          <w:highlight w:val="none"/>
          <w:shd w:val="clear" w:color="ffffff" w:fill="d9d9d9"/>
        </w:rPr>
      </w:pPr>
      <w:r>
        <w:rPr>
          <w:rFonts w:hint="eastAsia" w:ascii="宋体" w:hAnsi="宋体"/>
          <w:color w:val="000000" w:themeColor="text1"/>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rPr>
          <w:rFonts w:hint="eastAsia" w:ascii="宋体" w:hAnsi="宋体"/>
          <w:color w:val="000000" w:themeColor="text1"/>
          <w:sz w:val="24"/>
          <w:szCs w:val="24"/>
          <w:highlight w:val="none"/>
          <w:shd w:val="clear" w:color="ffffff" w:fill="d9d9d9"/>
        </w:rPr>
      </w:r>
      <w:r>
        <w:rPr>
          <w:color w:val="000000" w:themeColor="text1"/>
          <w:highlight w:val="none"/>
        </w:rP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采购人、交易中心只接收以纸质原件形式送达的质疑,质疑供应商可通过面交或邮寄方式送达（采购人和交易中心不接受未填写快递运单的快件）。</w:t>
      </w:r>
      <w:r>
        <w:rPr>
          <w:color w:val="000000" w:themeColor="text1"/>
          <w:highlight w:val="none"/>
        </w:rP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采购人、交易中心联系人、联系方式、通信地址见招标文件第一章。</w:t>
      </w:r>
      <w:r>
        <w:rPr>
          <w:color w:val="000000" w:themeColor="text1"/>
          <w:highlight w:val="none"/>
        </w:rP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 以下情形的质疑不予受理</w:t>
      </w:r>
      <w:r>
        <w:rPr>
          <w:color w:val="000000" w:themeColor="text1"/>
          <w:highlight w:val="none"/>
        </w:rP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28.5.1 内容不符合《政府采购质疑和投诉办法》第十二条规定的质疑。</w:t>
      </w:r>
      <w:r>
        <w:rPr>
          <w:color w:val="000000" w:themeColor="text1"/>
          <w:highlight w:val="none"/>
        </w:rP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28.5.2 超出政府采购法定期限的质疑。</w:t>
      </w:r>
      <w:r>
        <w:rPr>
          <w:color w:val="000000" w:themeColor="text1"/>
          <w:highlight w:val="none"/>
        </w:rP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28.5.3 以传真、电子邮件等方式递交的非原件形式的质疑。</w:t>
      </w:r>
      <w:r>
        <w:rPr>
          <w:color w:val="000000" w:themeColor="text1"/>
          <w:highlight w:val="none"/>
        </w:rP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28.5.4未参加投标活动的供应商或在投标活动中自身权益未受到损害的供应商所提出的质疑。</w:t>
      </w:r>
      <w:r>
        <w:rPr>
          <w:color w:val="000000" w:themeColor="text1"/>
          <w:highlight w:val="none"/>
        </w:rP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28.5.5供应商组成联合体参加投标，联合体中任何一方或多方未按要求签字、盖章、加盖公章的质疑。</w:t>
      </w:r>
      <w:r>
        <w:rPr>
          <w:color w:val="000000" w:themeColor="text1"/>
          <w:highlight w:val="none"/>
        </w:rPr>
      </w:r>
    </w:p>
    <w:p>
      <w:pPr>
        <w:pStyle w:val="883"/>
        <w:ind w:firstLine="468"/>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28.6供应商提出书面质疑必须有理、有据，</w:t>
      </w:r>
      <w:r>
        <w:rPr>
          <w:rFonts w:hint="eastAsia" w:ascii="宋体" w:hAnsi="宋体"/>
          <w:bCs/>
          <w:color w:val="000000" w:themeColor="text1"/>
          <w:sz w:val="24"/>
          <w:highlight w:val="none"/>
        </w:rPr>
        <w:t xml:space="preserve">如质疑查无实据或供应商捏造事实，提供虚假材料进行恶意质疑或举报，不配合或采用不正当手段干扰政府采购质疑的，</w:t>
      </w:r>
      <w:r>
        <w:rPr>
          <w:rFonts w:hint="eastAsia" w:ascii="宋体" w:hAnsi="宋体"/>
          <w:color w:val="000000" w:themeColor="text1"/>
          <w:sz w:val="24"/>
          <w:szCs w:val="24"/>
          <w:highlight w:val="none"/>
        </w:rPr>
        <w:t xml:space="preserve">一经查实，交易中心有权依据政府采购的有关规定，报请政府采购监管部门对该供应商进行相应的行政处罚和记录该供应商的失信信息。</w:t>
      </w:r>
      <w:r>
        <w:rPr>
          <w:color w:val="000000" w:themeColor="text1"/>
          <w:highlight w:val="none"/>
        </w:rPr>
      </w:r>
    </w:p>
    <w:p>
      <w:pPr>
        <w:pStyle w:val="887"/>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29.中标通知书</w:t>
      </w:r>
      <w:r>
        <w:rPr>
          <w:color w:val="000000" w:themeColor="text1"/>
          <w:highlight w:val="none"/>
        </w:rP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29.l中标结果确定后，交易中心将向中标人发出中标通知书。请中标人在中标结果公告届满之日起30日内,使用CA数字证书登录</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及时下载中标通知书。因系统存储空间有限，自中标结果公告届满之日起30日后，</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不再保证提供下载中标通知书服务,因未及时下载而造成的不利后果由中标人自行承担。</w:t>
      </w:r>
      <w:r>
        <w:rPr>
          <w:color w:val="000000" w:themeColor="text1"/>
          <w:highlight w:val="none"/>
        </w:rP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29.</w:t>
      </w:r>
      <w:r>
        <w:rPr>
          <w:rFonts w:ascii="宋体" w:hAnsi="宋体"/>
          <w:color w:val="000000" w:themeColor="text1"/>
          <w:sz w:val="24"/>
          <w:szCs w:val="24"/>
          <w:highlight w:val="none"/>
        </w:rPr>
        <w:t xml:space="preserve">2</w:t>
      </w:r>
      <w:r>
        <w:rPr>
          <w:rFonts w:hint="eastAsia" w:ascii="宋体" w:hAnsi="宋体"/>
          <w:color w:val="000000" w:themeColor="text1"/>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rPr>
          <w:color w:val="000000" w:themeColor="text1"/>
          <w:highlight w:val="none"/>
        </w:rPr>
      </w:r>
    </w:p>
    <w:p>
      <w:pPr>
        <w:pStyle w:val="886"/>
        <w:ind w:firstLine="452"/>
        <w:keepLines w:val="0"/>
        <w:keepNext w:val="0"/>
        <w:spacing w:before="0" w:after="0" w:line="500" w:lineRule="exact"/>
        <w:rPr>
          <w:rFonts w:hint="eastAsia"/>
          <w:color w:val="000000" w:themeColor="text1"/>
          <w:sz w:val="30"/>
          <w:szCs w:val="30"/>
          <w:highlight w:val="none"/>
        </w:rPr>
      </w:pPr>
      <w:r>
        <w:rPr>
          <w:color w:val="000000" w:themeColor="text1"/>
          <w:highlight w:val="none"/>
        </w:rPr>
      </w:r>
      <w:bookmarkStart w:id="169" w:name="_Toc120614220"/>
      <w:r>
        <w:rPr>
          <w:color w:val="000000" w:themeColor="text1"/>
          <w:highlight w:val="none"/>
        </w:rPr>
      </w:r>
      <w:bookmarkStart w:id="170" w:name="_Toc513029236"/>
      <w:r>
        <w:rPr>
          <w:color w:val="000000" w:themeColor="text1"/>
          <w:highlight w:val="none"/>
        </w:rPr>
      </w:r>
      <w:bookmarkStart w:id="171" w:name="_Toc16938552"/>
      <w:r>
        <w:rPr>
          <w:color w:val="000000" w:themeColor="text1"/>
          <w:highlight w:val="none"/>
        </w:rPr>
      </w:r>
      <w:bookmarkStart w:id="172" w:name="_Toc20823308"/>
      <w:r>
        <w:rPr>
          <w:rFonts w:hint="eastAsia"/>
          <w:color w:val="000000" w:themeColor="text1"/>
          <w:sz w:val="30"/>
          <w:szCs w:val="30"/>
          <w:highlight w:val="none"/>
        </w:rPr>
        <w:t xml:space="preserve">七、授予合同</w:t>
      </w:r>
      <w:bookmarkEnd w:id="169"/>
      <w:r>
        <w:rPr>
          <w:rFonts w:hint="eastAsia"/>
          <w:color w:val="000000" w:themeColor="text1"/>
          <w:sz w:val="30"/>
          <w:szCs w:val="30"/>
          <w:highlight w:val="none"/>
        </w:rPr>
      </w:r>
      <w:r>
        <w:rPr>
          <w:color w:val="000000" w:themeColor="text1"/>
          <w:highlight w:val="none"/>
        </w:rPr>
      </w:r>
    </w:p>
    <w:p>
      <w:pPr>
        <w:pStyle w:val="887"/>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End w:id="170"/>
      <w:r>
        <w:rPr>
          <w:color w:val="000000" w:themeColor="text1"/>
          <w:highlight w:val="none"/>
        </w:rPr>
      </w:r>
      <w:bookmarkEnd w:id="171"/>
      <w:r>
        <w:rPr>
          <w:color w:val="000000" w:themeColor="text1"/>
          <w:highlight w:val="none"/>
        </w:rPr>
      </w:r>
      <w:bookmarkEnd w:id="172"/>
      <w:r>
        <w:rPr>
          <w:color w:val="000000" w:themeColor="text1"/>
          <w:highlight w:val="none"/>
        </w:rPr>
      </w:r>
      <w:bookmarkStart w:id="173" w:name="_Toc20823309"/>
      <w:r>
        <w:rPr>
          <w:color w:val="000000" w:themeColor="text1"/>
          <w:highlight w:val="none"/>
        </w:rPr>
      </w:r>
      <w:bookmarkStart w:id="174" w:name="_Toc16938553"/>
      <w:r>
        <w:rPr>
          <w:color w:val="000000" w:themeColor="text1"/>
          <w:highlight w:val="none"/>
        </w:rPr>
      </w:r>
      <w:bookmarkStart w:id="175" w:name="_Toc513029237"/>
      <w:r>
        <w:rPr>
          <w:rFonts w:hint="eastAsia" w:ascii="宋体" w:hAnsi="宋体" w:eastAsia="宋体"/>
          <w:bCs w:val="0"/>
          <w:color w:val="000000" w:themeColor="text1"/>
          <w:highlight w:val="none"/>
        </w:rPr>
        <w:t xml:space="preserve">30.签订合同</w:t>
      </w:r>
      <w:r>
        <w:rPr>
          <w:color w:val="000000" w:themeColor="text1"/>
          <w:highlight w:val="none"/>
        </w:rP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bCs/>
          <w:color w:val="000000" w:themeColor="text1"/>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themeColor="text1"/>
          <w:sz w:val="24"/>
          <w:szCs w:val="24"/>
          <w:highlight w:val="none"/>
        </w:rPr>
        <w:t xml:space="preserve">招标文件、中标人的投标文件及招标过程中有关澄清、承诺文件均应作为合同附件。</w:t>
      </w:r>
      <w:r>
        <w:rPr>
          <w:color w:val="000000" w:themeColor="text1"/>
          <w:highlight w:val="none"/>
        </w:rP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30.2中标人非因不可抗力未履行招、投标文件和合同规定的义务，一经查实，交易中心将根据具体情况提请政府采购管理部门作出相应处理。</w:t>
      </w:r>
      <w:r>
        <w:rPr>
          <w:color w:val="000000" w:themeColor="text1"/>
          <w:highlight w:val="none"/>
        </w:rPr>
      </w:r>
    </w:p>
    <w:p>
      <w:pPr>
        <w:pStyle w:val="883"/>
        <w:ind w:firstLine="480"/>
        <w:spacing w:line="500" w:lineRule="exact"/>
        <w:rPr>
          <w:rFonts w:hint="eastAsia" w:ascii="宋体" w:hAnsi="宋体"/>
          <w:bCs/>
          <w:color w:val="000000" w:themeColor="text1"/>
          <w:sz w:val="24"/>
          <w:szCs w:val="24"/>
          <w:highlight w:val="none"/>
        </w:rPr>
      </w:pPr>
      <w:r>
        <w:rPr>
          <w:rFonts w:hint="eastAsia" w:ascii="宋体" w:hAnsi="宋体"/>
          <w:color w:val="000000" w:themeColor="text1"/>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bCs/>
          <w:color w:val="000000" w:themeColor="text1"/>
          <w:sz w:val="24"/>
          <w:szCs w:val="24"/>
          <w:highlight w:val="none"/>
        </w:rPr>
      </w:r>
      <w:r>
        <w:rPr>
          <w:color w:val="000000" w:themeColor="text1"/>
          <w:highlight w:val="none"/>
        </w:rP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rPr>
          <w:color w:val="000000" w:themeColor="text1"/>
          <w:highlight w:val="none"/>
        </w:rPr>
      </w:r>
    </w:p>
    <w:p>
      <w:pPr>
        <w:pStyle w:val="887"/>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31.服务（包含与服务相关的货物）的追加</w:t>
      </w:r>
      <w:r>
        <w:rPr>
          <w:color w:val="000000" w:themeColor="text1"/>
          <w:highlight w:val="none"/>
        </w:rP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color w:val="000000" w:themeColor="text1"/>
          <w:highlight w:val="none"/>
        </w:rPr>
      </w:r>
    </w:p>
    <w:p>
      <w:pPr>
        <w:pStyle w:val="898"/>
        <w:jc w:val="center"/>
        <w:spacing w:line="500" w:lineRule="exact"/>
        <w:rPr>
          <w:rFonts w:hint="eastAsia" w:ascii="黑体" w:eastAsia="黑体"/>
          <w:bCs/>
          <w:color w:val="000000" w:themeColor="text1"/>
          <w:sz w:val="36"/>
          <w:szCs w:val="36"/>
          <w:highlight w:val="none"/>
        </w:rPr>
      </w:pPr>
      <w:r>
        <w:rPr>
          <w:color w:val="000000" w:themeColor="text1"/>
          <w:highlight w:val="none"/>
        </w:rPr>
      </w:r>
      <w:bookmarkEnd w:id="173"/>
      <w:r>
        <w:rPr>
          <w:color w:val="000000" w:themeColor="text1"/>
          <w:highlight w:val="none"/>
        </w:rPr>
      </w:r>
      <w:bookmarkEnd w:id="174"/>
      <w:r>
        <w:rPr>
          <w:color w:val="000000" w:themeColor="text1"/>
          <w:highlight w:val="none"/>
        </w:rPr>
      </w:r>
      <w:bookmarkEnd w:id="175"/>
      <w:r>
        <w:rPr>
          <w:color w:val="000000" w:themeColor="text1"/>
          <w:highlight w:val="none"/>
        </w:rPr>
      </w:r>
      <w:bookmarkStart w:id="176" w:name="_Toc513029242"/>
      <w:r>
        <w:rPr>
          <w:color w:val="000000" w:themeColor="text1"/>
          <w:highlight w:val="none"/>
        </w:rPr>
      </w:r>
      <w:bookmarkStart w:id="177" w:name="_Toc479757207"/>
      <w:r>
        <w:rPr>
          <w:color w:val="000000" w:themeColor="text1"/>
          <w:highlight w:val="none"/>
        </w:rPr>
      </w:r>
      <w:bookmarkStart w:id="178" w:name="_Toc20823314"/>
      <w:r>
        <w:rPr>
          <w:color w:val="000000" w:themeColor="text1"/>
          <w:highlight w:val="none"/>
        </w:rPr>
      </w:r>
      <w:bookmarkStart w:id="179" w:name="_Toc16938558"/>
      <w:r>
        <w:rPr>
          <w:color w:val="000000" w:themeColor="text1"/>
          <w:highlight w:val="none"/>
        </w:rPr>
      </w:r>
      <w:bookmarkStart w:id="180" w:name="_Toc120614221"/>
      <w:r>
        <w:rPr>
          <w:rFonts w:ascii="宋体" w:hAnsi="宋体"/>
          <w:bCs/>
          <w:color w:val="000000" w:themeColor="text1"/>
          <w:sz w:val="24"/>
          <w:highlight w:val="none"/>
          <w:shd w:val="clear" w:color="ffffff" w:fill="d9d9d9"/>
        </w:rPr>
        <w:br w:type="page" w:clear="all"/>
      </w:r>
      <w:r>
        <w:rPr>
          <w:rFonts w:hint="eastAsia" w:ascii="黑体" w:eastAsia="黑体"/>
          <w:bCs/>
          <w:color w:val="000000" w:themeColor="text1"/>
          <w:sz w:val="36"/>
          <w:szCs w:val="36"/>
          <w:highlight w:val="none"/>
        </w:rPr>
        <w:t xml:space="preserve">第三章  合同</w:t>
      </w:r>
      <w:bookmarkEnd w:id="176"/>
      <w:r>
        <w:rPr>
          <w:color w:val="000000" w:themeColor="text1"/>
          <w:highlight w:val="none"/>
        </w:rPr>
      </w:r>
      <w:bookmarkEnd w:id="177"/>
      <w:r>
        <w:rPr>
          <w:color w:val="000000" w:themeColor="text1"/>
          <w:highlight w:val="none"/>
        </w:rPr>
      </w:r>
      <w:bookmarkEnd w:id="178"/>
      <w:r>
        <w:rPr>
          <w:color w:val="000000" w:themeColor="text1"/>
          <w:highlight w:val="none"/>
        </w:rPr>
      </w:r>
      <w:bookmarkEnd w:id="179"/>
      <w:r>
        <w:rPr>
          <w:color w:val="000000" w:themeColor="text1"/>
          <w:highlight w:val="none"/>
        </w:rPr>
      </w:r>
      <w:bookmarkEnd w:id="180"/>
      <w:r>
        <w:rPr>
          <w:rFonts w:hint="eastAsia" w:ascii="黑体" w:eastAsia="黑体"/>
          <w:bCs/>
          <w:color w:val="000000" w:themeColor="text1"/>
          <w:sz w:val="36"/>
          <w:szCs w:val="36"/>
          <w:highlight w:val="none"/>
        </w:rPr>
        <w:t xml:space="preserve">文本</w:t>
      </w:r>
      <w:r>
        <w:rPr>
          <w:color w:val="000000" w:themeColor="text1"/>
          <w:highlight w:val="none"/>
        </w:rPr>
      </w:r>
    </w:p>
    <w:p>
      <w:pPr>
        <w:pStyle w:val="883"/>
        <w:ind w:firstLine="480"/>
        <w:spacing w:line="400" w:lineRule="exact"/>
        <w:rPr>
          <w:rFonts w:hint="eastAsia" w:ascii="宋体" w:hAnsi="宋体"/>
          <w:bCs/>
          <w:color w:val="000000" w:themeColor="text1"/>
          <w:sz w:val="24"/>
          <w:highlight w:val="none"/>
        </w:rPr>
      </w:pPr>
      <w:r>
        <w:rPr>
          <w:color w:val="000000" w:themeColor="text1"/>
          <w:highlight w:val="none"/>
        </w:rPr>
      </w:r>
      <w:bookmarkStart w:id="181" w:name="_Toc16938559"/>
      <w:r>
        <w:rPr>
          <w:color w:val="000000" w:themeColor="text1"/>
          <w:highlight w:val="none"/>
        </w:rPr>
      </w:r>
      <w:bookmarkStart w:id="182" w:name="_Toc513029243"/>
      <w:r>
        <w:rPr>
          <w:color w:val="000000" w:themeColor="text1"/>
          <w:highlight w:val="none"/>
        </w:rPr>
      </w:r>
      <w:bookmarkStart w:id="183" w:name="_Toc20823315"/>
      <w:r>
        <w:rPr>
          <w:rFonts w:hint="eastAsia" w:ascii="宋体" w:hAnsi="宋体"/>
          <w:bCs/>
          <w:color w:val="000000" w:themeColor="text1"/>
          <w:sz w:val="24"/>
          <w:highlight w:val="none"/>
        </w:rPr>
        <w:t xml:space="preserve">以下为中标后签订本项目合同的通用条款，中标人不得提出实质性的修改。</w:t>
      </w:r>
      <w:r>
        <w:rPr>
          <w:color w:val="000000" w:themeColor="text1"/>
          <w:highlight w:val="none"/>
        </w:rPr>
      </w:r>
    </w:p>
    <w:p>
      <w:pPr>
        <w:pStyle w:val="883"/>
        <w:ind w:firstLine="602"/>
        <w:jc w:val="center"/>
        <w:spacing w:line="400" w:lineRule="exact"/>
        <w:rPr>
          <w:rFonts w:ascii="宋体" w:hAnsi="宋体"/>
          <w:b/>
          <w:bCs/>
          <w:color w:val="000000" w:themeColor="text1"/>
          <w:sz w:val="30"/>
          <w:szCs w:val="20"/>
          <w:highlight w:val="none"/>
        </w:rPr>
      </w:pPr>
      <w:r>
        <w:rPr>
          <w:rFonts w:hint="eastAsia" w:ascii="宋体" w:hAnsi="宋体"/>
          <w:b/>
          <w:color w:val="000000" w:themeColor="text1"/>
          <w:sz w:val="30"/>
          <w:highlight w:val="none"/>
        </w:rPr>
        <w:t xml:space="preserve">江苏省政府采购合同（货物）（合同编号）</w:t>
      </w:r>
      <w:r>
        <w:rPr>
          <w:rFonts w:ascii="宋体" w:hAnsi="宋体"/>
          <w:b/>
          <w:bCs/>
          <w:color w:val="000000" w:themeColor="text1"/>
          <w:sz w:val="30"/>
          <w:szCs w:val="20"/>
          <w:highlight w:val="none"/>
        </w:rPr>
      </w:r>
      <w:r>
        <w:rPr>
          <w:color w:val="000000" w:themeColor="text1"/>
          <w:highlight w:val="none"/>
        </w:rPr>
      </w:r>
    </w:p>
    <w:p>
      <w:pPr>
        <w:pStyle w:val="883"/>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项目名称：                                       项目编号：</w:t>
      </w:r>
      <w:r>
        <w:rPr>
          <w:color w:val="000000" w:themeColor="text1"/>
          <w:highlight w:val="none"/>
        </w:rPr>
      </w:r>
    </w:p>
    <w:p>
      <w:pPr>
        <w:pStyle w:val="883"/>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甲方：（买方、需方、采购人）_________</w:t>
      </w:r>
      <w:r>
        <w:rPr>
          <w:color w:val="000000" w:themeColor="text1"/>
          <w:highlight w:val="none"/>
        </w:rPr>
      </w:r>
    </w:p>
    <w:p>
      <w:pPr>
        <w:pStyle w:val="883"/>
        <w:spacing w:line="400" w:lineRule="exact"/>
        <w:rPr>
          <w:rFonts w:hint="eastAsia"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乙方：（卖方、供方、供应商）_________</w:t>
      </w:r>
      <w:r>
        <w:rPr>
          <w:rFonts w:hint="eastAsia" w:ascii="宋体" w:hAnsi="宋体" w:cs="Courier New"/>
          <w:color w:val="000000" w:themeColor="text1"/>
          <w:sz w:val="24"/>
          <w:szCs w:val="24"/>
          <w:highlight w:val="none"/>
        </w:rPr>
      </w:r>
      <w:r>
        <w:rPr>
          <w:color w:val="000000" w:themeColor="text1"/>
          <w:highlight w:val="none"/>
        </w:rPr>
      </w:r>
    </w:p>
    <w:p>
      <w:pPr>
        <w:pStyle w:val="883"/>
        <w:ind w:firstLine="480"/>
        <w:spacing w:line="400" w:lineRule="exact"/>
        <w:rPr>
          <w:rFonts w:ascii="宋体" w:hAnsi="宋体" w:cs="Courier New"/>
          <w:b/>
          <w:color w:val="000000" w:themeColor="text1"/>
          <w:sz w:val="24"/>
          <w:szCs w:val="24"/>
          <w:highlight w:val="none"/>
        </w:rPr>
      </w:pPr>
      <w:r>
        <w:rPr>
          <w:rFonts w:ascii="宋体" w:hAnsi="宋体" w:cs="Courier New"/>
          <w:color w:val="000000" w:themeColor="text1"/>
          <w:sz w:val="24"/>
          <w:szCs w:val="24"/>
          <w:highlight w:val="none"/>
        </w:rPr>
        <w:t xml:space="preserve">甲、乙双方根据</w:t>
      </w:r>
      <w:r>
        <w:rPr>
          <w:rFonts w:hint="eastAsia" w:ascii="宋体" w:hAnsi="宋体" w:cs="Courier New"/>
          <w:color w:val="000000" w:themeColor="text1"/>
          <w:sz w:val="24"/>
          <w:szCs w:val="24"/>
          <w:highlight w:val="none"/>
        </w:rPr>
        <w:t xml:space="preserve">无锡市公共资源交易中心</w:t>
      </w:r>
      <w:r>
        <w:rPr>
          <w:rFonts w:hint="eastAsia" w:ascii="宋体" w:hAnsi="宋体" w:cs="Courier New"/>
          <w:color w:val="000000" w:themeColor="text1"/>
          <w:sz w:val="24"/>
          <w:szCs w:val="24"/>
          <w:highlight w:val="none"/>
          <w:u w:val="single"/>
        </w:rPr>
        <w:t xml:space="preserve">   </w:t>
      </w:r>
      <w:r>
        <w:rPr>
          <w:rFonts w:ascii="宋体" w:hAnsi="宋体" w:cs="Courier New"/>
          <w:color w:val="000000" w:themeColor="text1"/>
          <w:sz w:val="24"/>
          <w:szCs w:val="24"/>
          <w:highlight w:val="none"/>
        </w:rPr>
        <w:t xml:space="preserve">项目公开招标的结果，签署本合同。</w:t>
      </w:r>
      <w:r>
        <w:rPr>
          <w:rFonts w:ascii="宋体" w:hAnsi="宋体" w:cs="Courier New"/>
          <w:b/>
          <w:color w:val="000000" w:themeColor="text1"/>
          <w:sz w:val="24"/>
          <w:szCs w:val="24"/>
          <w:highlight w:val="none"/>
        </w:rPr>
      </w:r>
      <w:r>
        <w:rPr>
          <w:color w:val="000000" w:themeColor="text1"/>
          <w:highlight w:val="none"/>
        </w:rPr>
      </w:r>
    </w:p>
    <w:p>
      <w:pPr>
        <w:pStyle w:val="883"/>
        <w:ind w:firstLine="482"/>
        <w:spacing w:line="400" w:lineRule="exact"/>
        <w:rPr>
          <w:rFonts w:ascii="宋体" w:hAnsi="宋体" w:cs="Courier New"/>
          <w:b/>
          <w:color w:val="000000" w:themeColor="text1"/>
          <w:sz w:val="24"/>
          <w:szCs w:val="24"/>
          <w:highlight w:val="none"/>
        </w:rPr>
      </w:pPr>
      <w:r>
        <w:rPr>
          <w:rFonts w:ascii="宋体" w:hAnsi="宋体" w:cs="Courier New"/>
          <w:b/>
          <w:color w:val="000000" w:themeColor="text1"/>
          <w:sz w:val="24"/>
          <w:szCs w:val="24"/>
          <w:highlight w:val="none"/>
        </w:rPr>
        <w:t xml:space="preserve">一、</w:t>
      </w:r>
      <w:r>
        <w:rPr>
          <w:rFonts w:hint="eastAsia" w:ascii="宋体" w:hAnsi="宋体" w:cs="Courier New"/>
          <w:b/>
          <w:color w:val="000000" w:themeColor="text1"/>
          <w:sz w:val="24"/>
          <w:szCs w:val="24"/>
          <w:highlight w:val="none"/>
        </w:rPr>
        <w:t xml:space="preserve">合同</w:t>
      </w:r>
      <w:r>
        <w:rPr>
          <w:rFonts w:ascii="宋体" w:hAnsi="宋体" w:cs="Courier New"/>
          <w:b/>
          <w:color w:val="000000" w:themeColor="text1"/>
          <w:sz w:val="24"/>
          <w:szCs w:val="24"/>
          <w:highlight w:val="none"/>
        </w:rPr>
        <w:t xml:space="preserve">内容</w:t>
      </w:r>
      <w:r>
        <w:rPr>
          <w:color w:val="000000" w:themeColor="text1"/>
          <w:highlight w:val="none"/>
        </w:rPr>
      </w:r>
    </w:p>
    <w:p>
      <w:pPr>
        <w:pStyle w:val="883"/>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1.1 </w:t>
      </w:r>
      <w:r>
        <w:rPr>
          <w:rFonts w:hint="eastAsia" w:ascii="宋体" w:hAnsi="宋体" w:cs="Courier New"/>
          <w:color w:val="000000" w:themeColor="text1"/>
          <w:sz w:val="24"/>
          <w:szCs w:val="24"/>
          <w:highlight w:val="none"/>
        </w:rPr>
        <w:t xml:space="preserve">标的</w:t>
      </w:r>
      <w:r>
        <w:rPr>
          <w:rFonts w:ascii="宋体" w:hAnsi="宋体" w:cs="Courier New"/>
          <w:color w:val="000000" w:themeColor="text1"/>
          <w:sz w:val="24"/>
          <w:szCs w:val="24"/>
          <w:highlight w:val="none"/>
        </w:rPr>
        <w:t xml:space="preserve">名称：</w:t>
      </w:r>
      <w:r>
        <w:rPr>
          <w:color w:val="000000" w:themeColor="text1"/>
          <w:highlight w:val="none"/>
        </w:rPr>
      </w:r>
    </w:p>
    <w:p>
      <w:pPr>
        <w:pStyle w:val="883"/>
        <w:ind w:firstLine="480"/>
        <w:spacing w:line="400" w:lineRule="exact"/>
        <w:rPr>
          <w:rFonts w:hint="eastAsia"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1.2</w:t>
      </w:r>
      <w:r>
        <w:rPr>
          <w:rFonts w:hint="eastAsia" w:ascii="宋体" w:hAnsi="宋体" w:cs="Courier New"/>
          <w:color w:val="000000" w:themeColor="text1"/>
          <w:sz w:val="24"/>
          <w:szCs w:val="24"/>
          <w:highlight w:val="none"/>
        </w:rPr>
        <w:t xml:space="preserve"> 标的质量：</w:t>
      </w:r>
      <w:r>
        <w:rPr>
          <w:color w:val="000000" w:themeColor="text1"/>
          <w:highlight w:val="none"/>
        </w:rPr>
      </w:r>
    </w:p>
    <w:p>
      <w:pPr>
        <w:pStyle w:val="883"/>
        <w:ind w:firstLine="480"/>
        <w:spacing w:line="400" w:lineRule="exact"/>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1.3 标的数量（规模）：</w:t>
      </w:r>
      <w:r>
        <w:rPr>
          <w:color w:val="000000" w:themeColor="text1"/>
          <w:highlight w:val="none"/>
        </w:rPr>
      </w:r>
    </w:p>
    <w:p>
      <w:pPr>
        <w:pStyle w:val="883"/>
        <w:ind w:firstLine="480"/>
        <w:spacing w:line="400" w:lineRule="exact"/>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1.4 履行时间（期限）：</w:t>
      </w:r>
      <w:r>
        <w:rPr>
          <w:color w:val="000000" w:themeColor="text1"/>
          <w:highlight w:val="none"/>
        </w:rPr>
      </w:r>
    </w:p>
    <w:p>
      <w:pPr>
        <w:pStyle w:val="883"/>
        <w:ind w:firstLine="480"/>
        <w:spacing w:line="400" w:lineRule="exact"/>
        <w:rPr>
          <w:rFonts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1.5 履行地点：</w:t>
      </w:r>
      <w:r>
        <w:rPr>
          <w:rFonts w:ascii="宋体" w:hAnsi="宋体" w:cs="Courier New"/>
          <w:color w:val="000000" w:themeColor="text1"/>
          <w:sz w:val="24"/>
          <w:szCs w:val="24"/>
          <w:highlight w:val="none"/>
        </w:rPr>
      </w:r>
      <w:r>
        <w:rPr>
          <w:color w:val="000000" w:themeColor="text1"/>
          <w:highlight w:val="none"/>
        </w:rPr>
      </w:r>
    </w:p>
    <w:p>
      <w:pPr>
        <w:pStyle w:val="883"/>
        <w:ind w:firstLine="480"/>
        <w:spacing w:line="400" w:lineRule="exact"/>
        <w:rPr>
          <w:rFonts w:hint="eastAsia"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6 履行方式：</w:t>
      </w:r>
      <w:r>
        <w:rPr>
          <w:color w:val="000000" w:themeColor="text1"/>
          <w:highlight w:val="none"/>
        </w:rPr>
      </w:r>
    </w:p>
    <w:p>
      <w:pPr>
        <w:pStyle w:val="883"/>
        <w:ind w:firstLine="480"/>
        <w:spacing w:line="400" w:lineRule="exact"/>
        <w:rPr>
          <w:rFonts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1.7 包装方式：</w:t>
      </w:r>
      <w:r>
        <w:rPr>
          <w:rFonts w:ascii="宋体" w:hAnsi="宋体" w:cs="Courier New"/>
          <w:color w:val="000000" w:themeColor="text1"/>
          <w:sz w:val="24"/>
          <w:szCs w:val="24"/>
          <w:highlight w:val="none"/>
        </w:rPr>
      </w:r>
      <w:r>
        <w:rPr>
          <w:color w:val="000000" w:themeColor="text1"/>
          <w:highlight w:val="none"/>
        </w:rPr>
      </w:r>
    </w:p>
    <w:p>
      <w:pPr>
        <w:pStyle w:val="883"/>
        <w:ind w:firstLine="482"/>
        <w:spacing w:line="400" w:lineRule="exact"/>
        <w:rPr>
          <w:rFonts w:ascii="宋体" w:hAnsi="宋体" w:cs="Courier New"/>
          <w:b/>
          <w:color w:val="000000" w:themeColor="text1"/>
          <w:sz w:val="24"/>
          <w:szCs w:val="24"/>
          <w:highlight w:val="none"/>
        </w:rPr>
      </w:pPr>
      <w:r>
        <w:rPr>
          <w:rFonts w:ascii="宋体" w:hAnsi="宋体" w:cs="Courier New"/>
          <w:b/>
          <w:color w:val="000000" w:themeColor="text1"/>
          <w:sz w:val="24"/>
          <w:szCs w:val="24"/>
          <w:highlight w:val="none"/>
        </w:rPr>
        <w:t xml:space="preserve">二、合同金额</w:t>
      </w:r>
      <w:r>
        <w:rPr>
          <w:color w:val="000000" w:themeColor="text1"/>
          <w:highlight w:val="none"/>
        </w:rPr>
      </w:r>
    </w:p>
    <w:p>
      <w:pPr>
        <w:pStyle w:val="883"/>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2.1</w:t>
      </w:r>
      <w:r>
        <w:rPr>
          <w:rFonts w:hAnsi="宋体"/>
          <w:color w:val="000000" w:themeColor="text1"/>
          <w:sz w:val="24"/>
          <w:szCs w:val="24"/>
          <w:highlight w:val="none"/>
        </w:rPr>
        <w:t xml:space="preserve">本合同金额为（大写）： _____________</w:t>
      </w:r>
      <w:r>
        <w:rPr>
          <w:rFonts w:hint="eastAsia" w:hAnsi="宋体"/>
          <w:color w:val="000000" w:themeColor="text1"/>
          <w:sz w:val="24"/>
          <w:szCs w:val="24"/>
          <w:highlight w:val="none"/>
        </w:rPr>
        <w:t xml:space="preserve">圆</w:t>
      </w:r>
      <w:r>
        <w:rPr>
          <w:rFonts w:hAnsi="宋体"/>
          <w:color w:val="000000" w:themeColor="text1"/>
          <w:sz w:val="24"/>
          <w:szCs w:val="24"/>
          <w:highlight w:val="none"/>
        </w:rPr>
        <w:t xml:space="preserve">（______元）人民币</w:t>
      </w:r>
      <w:r>
        <w:rPr>
          <w:rFonts w:hint="eastAsia" w:hAnsi="宋体"/>
          <w:color w:val="000000" w:themeColor="text1"/>
          <w:sz w:val="24"/>
          <w:szCs w:val="24"/>
          <w:highlight w:val="none"/>
        </w:rPr>
        <w:t xml:space="preserve">或其他币种</w:t>
      </w:r>
      <w:r>
        <w:rPr>
          <w:rFonts w:hAnsi="宋体"/>
          <w:color w:val="000000" w:themeColor="text1"/>
          <w:sz w:val="24"/>
          <w:szCs w:val="24"/>
          <w:highlight w:val="none"/>
        </w:rPr>
        <w:t xml:space="preserve">。</w:t>
      </w:r>
      <w:r>
        <w:rPr>
          <w:rFonts w:ascii="宋体" w:hAnsi="宋体" w:cs="Courier New"/>
          <w:color w:val="000000" w:themeColor="text1"/>
          <w:sz w:val="24"/>
          <w:szCs w:val="24"/>
          <w:highlight w:val="none"/>
        </w:rPr>
      </w:r>
      <w:r>
        <w:rPr>
          <w:color w:val="000000" w:themeColor="text1"/>
          <w:highlight w:val="none"/>
        </w:rPr>
      </w:r>
    </w:p>
    <w:p>
      <w:pPr>
        <w:pStyle w:val="883"/>
        <w:ind w:firstLine="482"/>
        <w:spacing w:line="400" w:lineRule="exact"/>
        <w:rPr>
          <w:rFonts w:ascii="宋体" w:hAnsi="宋体" w:cs="Courier New"/>
          <w:b/>
          <w:color w:val="000000" w:themeColor="text1"/>
          <w:sz w:val="24"/>
          <w:szCs w:val="24"/>
          <w:highlight w:val="none"/>
        </w:rPr>
      </w:pPr>
      <w:r>
        <w:rPr>
          <w:rFonts w:ascii="宋体" w:hAnsi="宋体" w:cs="Courier New"/>
          <w:b/>
          <w:color w:val="000000" w:themeColor="text1"/>
          <w:sz w:val="24"/>
          <w:szCs w:val="24"/>
          <w:highlight w:val="none"/>
        </w:rPr>
        <w:t xml:space="preserve">三、技术资料</w:t>
      </w:r>
      <w:r>
        <w:rPr>
          <w:color w:val="000000" w:themeColor="text1"/>
          <w:highlight w:val="none"/>
        </w:rPr>
      </w:r>
    </w:p>
    <w:p>
      <w:pPr>
        <w:pStyle w:val="883"/>
        <w:ind w:firstLine="480"/>
        <w:spacing w:line="400" w:lineRule="exact"/>
        <w:rPr>
          <w:rFonts w:hint="eastAsia"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3.1乙方应按招标文件规定的时间向甲方提供使用货物</w:t>
      </w:r>
      <w:r>
        <w:rPr>
          <w:rFonts w:hint="eastAsia" w:ascii="宋体" w:hAnsi="宋体" w:cs="Courier New"/>
          <w:color w:val="000000" w:themeColor="text1"/>
          <w:sz w:val="24"/>
          <w:szCs w:val="24"/>
          <w:highlight w:val="none"/>
        </w:rPr>
        <w:t xml:space="preserve">(包含与货物相关的服务)</w:t>
      </w:r>
      <w:r>
        <w:rPr>
          <w:rFonts w:ascii="宋体" w:hAnsi="宋体" w:cs="Courier New"/>
          <w:color w:val="000000" w:themeColor="text1"/>
          <w:sz w:val="24"/>
          <w:szCs w:val="24"/>
          <w:highlight w:val="none"/>
        </w:rPr>
        <w:t xml:space="preserve">的有关技术资料。</w:t>
      </w:r>
      <w:r>
        <w:rPr>
          <w:rFonts w:hint="eastAsia" w:ascii="宋体" w:hAnsi="宋体" w:cs="Courier New"/>
          <w:color w:val="000000" w:themeColor="text1"/>
          <w:sz w:val="24"/>
          <w:szCs w:val="24"/>
          <w:highlight w:val="none"/>
        </w:rPr>
      </w:r>
      <w:r>
        <w:rPr>
          <w:color w:val="000000" w:themeColor="text1"/>
          <w:highlight w:val="none"/>
        </w:rPr>
      </w:r>
    </w:p>
    <w:p>
      <w:pPr>
        <w:pStyle w:val="883"/>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color w:val="000000" w:themeColor="text1"/>
          <w:highlight w:val="none"/>
        </w:rPr>
      </w:r>
    </w:p>
    <w:p>
      <w:pPr>
        <w:pStyle w:val="883"/>
        <w:ind w:firstLine="482"/>
        <w:spacing w:line="400" w:lineRule="exact"/>
        <w:rPr>
          <w:rFonts w:ascii="宋体" w:hAnsi="宋体" w:cs="Courier New"/>
          <w:b/>
          <w:color w:val="000000" w:themeColor="text1"/>
          <w:sz w:val="24"/>
          <w:szCs w:val="24"/>
          <w:highlight w:val="none"/>
        </w:rPr>
      </w:pPr>
      <w:r>
        <w:rPr>
          <w:rFonts w:ascii="宋体" w:hAnsi="宋体" w:cs="Courier New"/>
          <w:b/>
          <w:color w:val="000000" w:themeColor="text1"/>
          <w:sz w:val="24"/>
          <w:szCs w:val="24"/>
          <w:highlight w:val="none"/>
        </w:rPr>
        <w:t xml:space="preserve">四、知识产权</w:t>
      </w:r>
      <w:r>
        <w:rPr>
          <w:color w:val="000000" w:themeColor="text1"/>
          <w:highlight w:val="none"/>
        </w:rPr>
      </w:r>
    </w:p>
    <w:p>
      <w:pPr>
        <w:pStyle w:val="883"/>
        <w:ind w:firstLine="480"/>
        <w:spacing w:line="400" w:lineRule="exact"/>
        <w:rPr>
          <w:rFonts w:hint="eastAsia" w:ascii="宋体" w:hAnsi="宋体"/>
          <w:color w:val="000000" w:themeColor="text1"/>
          <w:sz w:val="24"/>
          <w:highlight w:val="none"/>
        </w:rPr>
      </w:pPr>
      <w:r>
        <w:rPr>
          <w:rFonts w:hAnsi="宋体"/>
          <w:color w:val="000000" w:themeColor="text1"/>
          <w:sz w:val="24"/>
          <w:szCs w:val="24"/>
          <w:highlight w:val="none"/>
        </w:rPr>
        <w:t xml:space="preserve">4.1乙</w:t>
      </w:r>
      <w:r>
        <w:rPr>
          <w:rFonts w:hint="eastAsia" w:ascii="宋体" w:hAnsi="宋体"/>
          <w:color w:val="000000" w:themeColor="text1"/>
          <w:sz w:val="24"/>
          <w:highlight w:val="none"/>
        </w:rPr>
        <w:t xml:space="preserve">方应保证甲方在使用、接受本合同货物</w:t>
      </w:r>
      <w:r>
        <w:rPr>
          <w:rFonts w:hint="eastAsia" w:hAnsi="宋体"/>
          <w:color w:val="000000" w:themeColor="text1"/>
          <w:sz w:val="24"/>
          <w:szCs w:val="24"/>
          <w:highlight w:val="none"/>
        </w:rPr>
        <w:t xml:space="preserve">（包含与货物相关的服务）</w:t>
      </w:r>
      <w:r>
        <w:rPr>
          <w:rFonts w:hint="eastAsia" w:ascii="宋体" w:hAnsi="宋体"/>
          <w:color w:val="000000" w:themeColor="text1"/>
          <w:sz w:val="24"/>
          <w:highlight w:val="none"/>
        </w:rPr>
        <w:t xml:space="preserve">或其任何一部分时不受第三方提出侵犯其专利权、版权、商标权和工业设计权等知识产权的起诉。一旦出现侵权，由乙方负全部责任。</w:t>
      </w:r>
      <w:r>
        <w:rPr>
          <w:color w:val="000000" w:themeColor="text1"/>
          <w:highlight w:val="none"/>
        </w:rPr>
      </w:r>
    </w:p>
    <w:p>
      <w:pPr>
        <w:pStyle w:val="883"/>
        <w:spacing w:line="400" w:lineRule="exact"/>
        <w:rPr>
          <w:rFonts w:hint="eastAsia" w:ascii="宋体" w:hAnsi="宋体" w:cs="Courier New"/>
          <w:color w:val="000000" w:themeColor="text1"/>
          <w:sz w:val="24"/>
          <w:szCs w:val="24"/>
          <w:highlight w:val="none"/>
        </w:rPr>
      </w:pPr>
      <w:r>
        <w:rPr>
          <w:rFonts w:hint="eastAsia" w:hAnsi="宋体"/>
          <w:color w:val="000000" w:themeColor="text1"/>
          <w:sz w:val="24"/>
          <w:szCs w:val="24"/>
          <w:highlight w:val="none"/>
        </w:rPr>
        <w:t xml:space="preserve">（注：采购项目如涉及采购标的的知识产权归属、处理的，如订购、设计、定制开发的信息化建设项目等，应当约定知识产权的归属和处理方式）</w:t>
      </w:r>
      <w:r>
        <w:rPr>
          <w:rFonts w:hint="eastAsia" w:ascii="宋体" w:hAnsi="宋体" w:cs="Courier New"/>
          <w:color w:val="000000" w:themeColor="text1"/>
          <w:sz w:val="24"/>
          <w:szCs w:val="24"/>
          <w:highlight w:val="none"/>
        </w:rPr>
      </w:r>
      <w:r>
        <w:rPr>
          <w:color w:val="000000" w:themeColor="text1"/>
          <w:highlight w:val="none"/>
        </w:rPr>
      </w:r>
    </w:p>
    <w:p>
      <w:pPr>
        <w:pStyle w:val="883"/>
        <w:ind w:firstLine="482"/>
        <w:spacing w:line="400" w:lineRule="exact"/>
        <w:rPr>
          <w:rFonts w:ascii="宋体" w:hAnsi="宋体" w:cs="Courier New"/>
          <w:color w:val="000000" w:themeColor="text1"/>
          <w:sz w:val="24"/>
          <w:szCs w:val="24"/>
          <w:highlight w:val="none"/>
          <w:u w:val="single"/>
        </w:rPr>
      </w:pPr>
      <w:r>
        <w:rPr>
          <w:rFonts w:ascii="宋体" w:hAnsi="宋体" w:cs="Courier New"/>
          <w:b/>
          <w:color w:val="000000" w:themeColor="text1"/>
          <w:sz w:val="24"/>
          <w:szCs w:val="24"/>
          <w:highlight w:val="none"/>
        </w:rPr>
        <w:t xml:space="preserve">五、产权担保</w:t>
      </w:r>
      <w:r>
        <w:rPr>
          <w:rFonts w:ascii="宋体" w:hAnsi="宋体" w:cs="Courier New"/>
          <w:color w:val="000000" w:themeColor="text1"/>
          <w:sz w:val="24"/>
          <w:szCs w:val="24"/>
          <w:highlight w:val="none"/>
          <w:u w:val="single"/>
        </w:rPr>
      </w:r>
      <w:r>
        <w:rPr>
          <w:color w:val="000000" w:themeColor="text1"/>
          <w:highlight w:val="none"/>
        </w:rPr>
      </w:r>
    </w:p>
    <w:p>
      <w:pPr>
        <w:pStyle w:val="883"/>
        <w:ind w:firstLine="480"/>
        <w:spacing w:line="400" w:lineRule="exact"/>
        <w:rPr>
          <w:rFonts w:ascii="宋体" w:hAnsi="宋体" w:cs="Courier New"/>
          <w:color w:val="000000" w:themeColor="text1"/>
          <w:sz w:val="24"/>
          <w:szCs w:val="24"/>
          <w:highlight w:val="none"/>
          <w:u w:val="single"/>
        </w:rPr>
      </w:pPr>
      <w:r>
        <w:rPr>
          <w:rFonts w:ascii="宋体" w:hAnsi="宋体" w:cs="Courier New"/>
          <w:color w:val="000000" w:themeColor="text1"/>
          <w:sz w:val="24"/>
          <w:szCs w:val="24"/>
          <w:highlight w:val="none"/>
        </w:rPr>
        <w:t xml:space="preserve">5.1 乙方保证所交付的货物</w:t>
      </w:r>
      <w:r>
        <w:rPr>
          <w:rFonts w:hint="eastAsia" w:ascii="宋体" w:hAnsi="宋体" w:cs="Courier New"/>
          <w:color w:val="000000" w:themeColor="text1"/>
          <w:sz w:val="24"/>
          <w:szCs w:val="24"/>
          <w:highlight w:val="none"/>
        </w:rPr>
        <w:t xml:space="preserve">（包含与货物相关的服务）</w:t>
      </w:r>
      <w:r>
        <w:rPr>
          <w:rFonts w:ascii="宋体" w:hAnsi="宋体" w:cs="Courier New"/>
          <w:color w:val="000000" w:themeColor="text1"/>
          <w:sz w:val="24"/>
          <w:szCs w:val="24"/>
          <w:highlight w:val="none"/>
        </w:rPr>
        <w:t xml:space="preserve">的所有权完全属于乙方且无任何抵押、查封等产权瑕疵。</w:t>
      </w:r>
      <w:r>
        <w:rPr>
          <w:rFonts w:ascii="宋体" w:hAnsi="宋体" w:cs="Courier New"/>
          <w:color w:val="000000" w:themeColor="text1"/>
          <w:sz w:val="24"/>
          <w:szCs w:val="24"/>
          <w:highlight w:val="none"/>
          <w:u w:val="single"/>
        </w:rPr>
      </w:r>
      <w:r>
        <w:rPr>
          <w:color w:val="000000" w:themeColor="text1"/>
          <w:highlight w:val="none"/>
        </w:rPr>
      </w:r>
    </w:p>
    <w:p>
      <w:pPr>
        <w:pStyle w:val="883"/>
        <w:ind w:firstLine="482"/>
        <w:spacing w:line="400" w:lineRule="exact"/>
        <w:rPr>
          <w:rFonts w:ascii="宋体" w:hAnsi="宋体" w:cs="Courier New"/>
          <w:b/>
          <w:color w:val="000000" w:themeColor="text1"/>
          <w:sz w:val="24"/>
          <w:szCs w:val="24"/>
          <w:highlight w:val="none"/>
        </w:rPr>
      </w:pPr>
      <w:r>
        <w:rPr>
          <w:rFonts w:ascii="宋体" w:hAnsi="宋体" w:cs="Courier New"/>
          <w:b/>
          <w:color w:val="000000" w:themeColor="text1"/>
          <w:sz w:val="24"/>
          <w:szCs w:val="24"/>
          <w:highlight w:val="none"/>
        </w:rPr>
        <w:t xml:space="preserve">六、履约保证金</w:t>
      </w:r>
      <w:r>
        <w:rPr>
          <w:color w:val="000000" w:themeColor="text1"/>
          <w:highlight w:val="none"/>
        </w:rPr>
      </w:r>
    </w:p>
    <w:p>
      <w:pPr>
        <w:pStyle w:val="883"/>
        <w:ind w:firstLine="480"/>
        <w:spacing w:line="400" w:lineRule="exact"/>
        <w:rPr>
          <w:rFonts w:hint="eastAsia"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6.1 乙方交纳人民币__元作为本合同的履约保证金。</w:t>
      </w:r>
      <w:r>
        <w:rPr>
          <w:rFonts w:hint="eastAsia" w:ascii="宋体" w:hAnsi="宋体" w:cs="Courier New"/>
          <w:color w:val="000000" w:themeColor="text1"/>
          <w:sz w:val="24"/>
          <w:szCs w:val="24"/>
          <w:highlight w:val="none"/>
        </w:rPr>
        <w:t xml:space="preserve">（不得超过合同金额的10%）</w:t>
      </w:r>
      <w:r>
        <w:rPr>
          <w:color w:val="000000" w:themeColor="text1"/>
          <w:highlight w:val="none"/>
        </w:rPr>
      </w:r>
    </w:p>
    <w:p>
      <w:pPr>
        <w:pStyle w:val="883"/>
        <w:ind w:firstLine="480"/>
        <w:spacing w:line="400" w:lineRule="exact"/>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6.2合同履行结束后，甲方应及时退还交纳的履约保证金。</w:t>
      </w:r>
      <w:r>
        <w:rPr>
          <w:color w:val="000000" w:themeColor="text1"/>
          <w:highlight w:val="none"/>
        </w:rPr>
      </w:r>
    </w:p>
    <w:p>
      <w:pPr>
        <w:pStyle w:val="883"/>
        <w:ind w:firstLine="480"/>
        <w:spacing w:line="400" w:lineRule="exact"/>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6.2.1履约保证金退还方式：</w:t>
      </w:r>
      <w:r>
        <w:rPr>
          <w:color w:val="000000" w:themeColor="text1"/>
          <w:highlight w:val="none"/>
        </w:rPr>
      </w:r>
    </w:p>
    <w:p>
      <w:pPr>
        <w:pStyle w:val="883"/>
        <w:ind w:firstLine="480"/>
        <w:spacing w:line="400" w:lineRule="exact"/>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6.2.2履约保证金退还时间：</w:t>
      </w:r>
      <w:r>
        <w:rPr>
          <w:color w:val="000000" w:themeColor="text1"/>
          <w:highlight w:val="none"/>
        </w:rPr>
      </w:r>
    </w:p>
    <w:p>
      <w:pPr>
        <w:pStyle w:val="883"/>
        <w:ind w:firstLine="480"/>
        <w:spacing w:line="400" w:lineRule="exact"/>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6.2.3履约保证金退还条件：</w:t>
      </w:r>
      <w:r>
        <w:rPr>
          <w:color w:val="000000" w:themeColor="text1"/>
          <w:highlight w:val="none"/>
        </w:rPr>
      </w:r>
    </w:p>
    <w:p>
      <w:pPr>
        <w:pStyle w:val="883"/>
        <w:ind w:firstLine="480"/>
        <w:spacing w:line="400" w:lineRule="exact"/>
        <w:rPr>
          <w:rFonts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6.2.4履约保证金不予退还的情形：</w:t>
      </w:r>
      <w:r>
        <w:rPr>
          <w:rFonts w:ascii="宋体" w:hAnsi="宋体" w:cs="Courier New"/>
          <w:color w:val="000000" w:themeColor="text1"/>
          <w:sz w:val="24"/>
          <w:szCs w:val="24"/>
          <w:highlight w:val="none"/>
        </w:rPr>
      </w:r>
      <w:r>
        <w:rPr>
          <w:color w:val="000000" w:themeColor="text1"/>
          <w:highlight w:val="none"/>
        </w:rPr>
      </w:r>
    </w:p>
    <w:p>
      <w:pPr>
        <w:pStyle w:val="883"/>
        <w:ind w:firstLine="482"/>
        <w:spacing w:line="400" w:lineRule="exact"/>
        <w:rPr>
          <w:rFonts w:ascii="宋体" w:hAnsi="宋体" w:eastAsia="仿宋_GB2312"/>
          <w:b/>
          <w:color w:val="000000" w:themeColor="text1"/>
          <w:sz w:val="24"/>
          <w:szCs w:val="24"/>
          <w:highlight w:val="none"/>
        </w:rPr>
      </w:pPr>
      <w:r>
        <w:rPr>
          <w:rFonts w:hint="eastAsia" w:ascii="宋体" w:hAnsi="宋体"/>
          <w:b/>
          <w:color w:val="000000" w:themeColor="text1"/>
          <w:sz w:val="24"/>
          <w:szCs w:val="24"/>
          <w:highlight w:val="none"/>
        </w:rPr>
        <w:t xml:space="preserve">七、合同转包或分包</w:t>
      </w:r>
      <w:r>
        <w:rPr>
          <w:rFonts w:ascii="宋体" w:hAnsi="宋体" w:eastAsia="仿宋_GB2312"/>
          <w:b/>
          <w:color w:val="000000" w:themeColor="text1"/>
          <w:sz w:val="24"/>
          <w:szCs w:val="24"/>
          <w:highlight w:val="none"/>
        </w:rPr>
      </w:r>
      <w:r>
        <w:rPr>
          <w:color w:val="000000" w:themeColor="text1"/>
          <w:highlight w:val="none"/>
        </w:rPr>
      </w:r>
    </w:p>
    <w:p>
      <w:pPr>
        <w:pStyle w:val="883"/>
        <w:ind w:firstLine="480"/>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7.1乙方不得将合同标的转包给他人履行。</w:t>
      </w:r>
      <w:r>
        <w:rPr>
          <w:color w:val="000000" w:themeColor="text1"/>
          <w:highlight w:val="none"/>
        </w:rPr>
      </w:r>
    </w:p>
    <w:p>
      <w:pPr>
        <w:pStyle w:val="883"/>
        <w:ind w:firstLine="480"/>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7.2乙方应按招标文件要求，如项目不允许分包的，乙方不得将合同标的分包给他人履行；如项目允许分包的，乙方应当按照投标文件中提供的分包意向协议履行合同。</w:t>
      </w:r>
      <w:r>
        <w:rPr>
          <w:rFonts w:hint="eastAsia" w:ascii="宋体" w:hAnsi="宋体"/>
          <w:color w:val="000000" w:themeColor="text1"/>
          <w:sz w:val="24"/>
          <w:szCs w:val="24"/>
          <w:highlight w:val="none"/>
        </w:rPr>
      </w:r>
      <w:r>
        <w:rPr>
          <w:color w:val="000000" w:themeColor="text1"/>
          <w:highlight w:val="none"/>
        </w:rPr>
      </w:r>
    </w:p>
    <w:p>
      <w:pPr>
        <w:pStyle w:val="883"/>
        <w:ind w:firstLine="480"/>
        <w:spacing w:line="400" w:lineRule="exact"/>
        <w:rPr>
          <w:rFonts w:ascii="宋体" w:hAnsi="宋体" w:eastAsia="仿宋_GB2312"/>
          <w:color w:val="000000" w:themeColor="text1"/>
          <w:sz w:val="24"/>
          <w:szCs w:val="24"/>
          <w:highlight w:val="none"/>
        </w:rPr>
      </w:pPr>
      <w:r>
        <w:rPr>
          <w:rFonts w:ascii="宋体" w:hAnsi="宋体"/>
          <w:color w:val="000000" w:themeColor="text1"/>
          <w:sz w:val="24"/>
          <w:szCs w:val="24"/>
          <w:highlight w:val="none"/>
        </w:rPr>
        <w:t xml:space="preserve">7.3</w:t>
      </w:r>
      <w:r>
        <w:rPr>
          <w:rFonts w:hint="eastAsia" w:ascii="宋体" w:hAnsi="宋体"/>
          <w:color w:val="000000" w:themeColor="text1"/>
          <w:sz w:val="24"/>
          <w:szCs w:val="24"/>
          <w:highlight w:val="none"/>
        </w:rPr>
        <w:t xml:space="preserve">乙方如有转包或未经甲方同意的分包行为，甲方有权给予终止合同。</w:t>
      </w:r>
      <w:r>
        <w:rPr>
          <w:rFonts w:ascii="宋体" w:hAnsi="宋体" w:eastAsia="仿宋_GB2312"/>
          <w:color w:val="000000" w:themeColor="text1"/>
          <w:sz w:val="24"/>
          <w:szCs w:val="24"/>
          <w:highlight w:val="none"/>
        </w:rPr>
      </w:r>
      <w:r>
        <w:rPr>
          <w:color w:val="000000" w:themeColor="text1"/>
          <w:highlight w:val="none"/>
        </w:rPr>
      </w:r>
    </w:p>
    <w:p>
      <w:pPr>
        <w:pStyle w:val="883"/>
        <w:ind w:firstLine="482"/>
        <w:spacing w:line="400" w:lineRule="exact"/>
        <w:rPr>
          <w:rFonts w:ascii="宋体" w:hAnsi="宋体" w:cs="Courier New"/>
          <w:b/>
          <w:color w:val="000000" w:themeColor="text1"/>
          <w:sz w:val="24"/>
          <w:szCs w:val="24"/>
          <w:highlight w:val="none"/>
        </w:rPr>
      </w:pPr>
      <w:r>
        <w:rPr>
          <w:rFonts w:hint="eastAsia" w:ascii="宋体" w:hAnsi="宋体" w:cs="Courier New"/>
          <w:b/>
          <w:color w:val="000000" w:themeColor="text1"/>
          <w:sz w:val="24"/>
          <w:szCs w:val="24"/>
          <w:highlight w:val="none"/>
        </w:rPr>
        <w:t xml:space="preserve">八</w:t>
      </w:r>
      <w:r>
        <w:rPr>
          <w:rFonts w:ascii="宋体" w:hAnsi="宋体" w:cs="Courier New"/>
          <w:b/>
          <w:color w:val="000000" w:themeColor="text1"/>
          <w:sz w:val="24"/>
          <w:szCs w:val="24"/>
          <w:highlight w:val="none"/>
        </w:rPr>
        <w:t xml:space="preserve">、</w:t>
      </w:r>
      <w:r>
        <w:rPr>
          <w:rFonts w:hint="eastAsia" w:ascii="宋体" w:hAnsi="宋体" w:cs="Courier New"/>
          <w:b/>
          <w:color w:val="000000" w:themeColor="text1"/>
          <w:sz w:val="24"/>
          <w:szCs w:val="24"/>
          <w:highlight w:val="none"/>
        </w:rPr>
        <w:t xml:space="preserve">合同款项</w:t>
      </w:r>
      <w:r>
        <w:rPr>
          <w:rFonts w:ascii="宋体" w:hAnsi="宋体" w:cs="Courier New"/>
          <w:b/>
          <w:color w:val="000000" w:themeColor="text1"/>
          <w:sz w:val="24"/>
          <w:szCs w:val="24"/>
          <w:highlight w:val="none"/>
        </w:rPr>
        <w:t xml:space="preserve">支付</w:t>
      </w:r>
      <w:r>
        <w:rPr>
          <w:color w:val="000000" w:themeColor="text1"/>
          <w:highlight w:val="none"/>
        </w:rPr>
      </w:r>
    </w:p>
    <w:p>
      <w:pPr>
        <w:pStyle w:val="883"/>
        <w:ind w:firstLine="480"/>
        <w:spacing w:line="400" w:lineRule="exact"/>
        <w:rPr>
          <w:rFonts w:hint="eastAsia" w:ascii="宋体" w:hAnsi="宋体" w:cs="Courier New"/>
          <w:bCs/>
          <w:color w:val="000000" w:themeColor="text1"/>
          <w:sz w:val="24"/>
          <w:szCs w:val="24"/>
          <w:highlight w:val="none"/>
        </w:rPr>
      </w:pPr>
      <w:r>
        <w:rPr>
          <w:rFonts w:hint="eastAsia" w:ascii="宋体" w:hAnsi="宋体" w:cs="Courier New"/>
          <w:bCs/>
          <w:color w:val="000000" w:themeColor="text1"/>
          <w:sz w:val="24"/>
          <w:szCs w:val="24"/>
          <w:highlight w:val="none"/>
        </w:rPr>
        <w:t xml:space="preserve">8</w:t>
      </w:r>
      <w:r>
        <w:rPr>
          <w:rFonts w:ascii="宋体" w:hAnsi="宋体" w:cs="Courier New"/>
          <w:bCs/>
          <w:color w:val="000000" w:themeColor="text1"/>
          <w:sz w:val="24"/>
          <w:szCs w:val="24"/>
          <w:highlight w:val="none"/>
        </w:rPr>
        <w:t xml:space="preserve">.1</w:t>
      </w:r>
      <w:r>
        <w:rPr>
          <w:rFonts w:hint="eastAsia" w:ascii="宋体" w:hAnsi="宋体" w:cs="Courier New"/>
          <w:bCs/>
          <w:color w:val="000000" w:themeColor="text1"/>
          <w:sz w:val="24"/>
          <w:szCs w:val="24"/>
          <w:highlight w:val="none"/>
        </w:rPr>
        <w:t xml:space="preserve">合同款项的支付方式及进度安排</w:t>
      </w:r>
      <w:r>
        <w:rPr>
          <w:color w:val="000000" w:themeColor="text1"/>
          <w:highlight w:val="none"/>
        </w:rPr>
      </w:r>
    </w:p>
    <w:p>
      <w:pPr>
        <w:pStyle w:val="883"/>
        <w:ind w:firstLine="480"/>
        <w:spacing w:line="400" w:lineRule="exact"/>
        <w:rPr>
          <w:rFonts w:hint="eastAsia" w:ascii="宋体" w:hAnsi="宋体" w:cs="Courier New"/>
          <w:bCs/>
          <w:color w:val="000000" w:themeColor="text1"/>
          <w:sz w:val="24"/>
          <w:szCs w:val="24"/>
          <w:highlight w:val="none"/>
        </w:rPr>
      </w:pPr>
      <w:r>
        <w:rPr>
          <w:rFonts w:hint="eastAsia" w:ascii="宋体" w:hAnsi="宋体" w:cs="Courier New"/>
          <w:bCs/>
          <w:color w:val="000000" w:themeColor="text1"/>
          <w:sz w:val="24"/>
          <w:szCs w:val="24"/>
          <w:highlight w:val="none"/>
        </w:rPr>
        <w:t xml:space="preserve">8．1.1预付款支付时间：合同签订后</w:t>
      </w:r>
      <w:r>
        <w:rPr>
          <w:rFonts w:hint="eastAsia" w:ascii="宋体" w:hAnsi="宋体" w:cs="Courier New"/>
          <w:bCs/>
          <w:color w:val="000000" w:themeColor="text1"/>
          <w:sz w:val="24"/>
          <w:szCs w:val="24"/>
          <w:highlight w:val="none"/>
          <w:u w:val="single"/>
        </w:rPr>
        <w:t xml:space="preserve">  </w:t>
      </w:r>
      <w:r>
        <w:rPr>
          <w:rFonts w:hint="eastAsia" w:ascii="宋体" w:hAnsi="宋体" w:cs="Courier New"/>
          <w:bCs/>
          <w:color w:val="000000" w:themeColor="text1"/>
          <w:sz w:val="24"/>
          <w:szCs w:val="24"/>
          <w:highlight w:val="none"/>
        </w:rPr>
        <w:t xml:space="preserve">日内，预付款支付比例：合同金额的</w:t>
      </w:r>
      <w:r>
        <w:rPr>
          <w:rFonts w:hint="eastAsia" w:ascii="宋体" w:hAnsi="宋体" w:cs="Courier New"/>
          <w:bCs/>
          <w:color w:val="000000" w:themeColor="text1"/>
          <w:sz w:val="24"/>
          <w:szCs w:val="24"/>
          <w:highlight w:val="none"/>
          <w:u w:val="single"/>
        </w:rPr>
        <w:t xml:space="preserve">  </w:t>
      </w:r>
      <w:r>
        <w:rPr>
          <w:rFonts w:hint="eastAsia" w:ascii="宋体" w:hAnsi="宋体" w:cs="Courier New"/>
          <w:bCs/>
          <w:color w:val="000000" w:themeColor="text1"/>
          <w:sz w:val="24"/>
          <w:szCs w:val="24"/>
          <w:highlight w:val="none"/>
        </w:rPr>
        <w:t xml:space="preserve">%。</w:t>
      </w:r>
      <w:r>
        <w:rPr>
          <w:color w:val="000000" w:themeColor="text1"/>
          <w:highlight w:val="none"/>
        </w:rPr>
      </w:r>
    </w:p>
    <w:p>
      <w:pPr>
        <w:pStyle w:val="883"/>
        <w:ind w:firstLine="480"/>
        <w:spacing w:line="400" w:lineRule="exact"/>
        <w:rPr>
          <w:rFonts w:hint="eastAsia" w:ascii="宋体" w:hAnsi="宋体" w:cs="Courier New"/>
          <w:color w:val="000000" w:themeColor="text1"/>
          <w:sz w:val="24"/>
          <w:szCs w:val="24"/>
          <w:highlight w:val="none"/>
        </w:rPr>
      </w:pPr>
      <w:r>
        <w:rPr>
          <w:rFonts w:hint="eastAsia" w:ascii="宋体" w:hAnsi="宋体" w:cs="Courier New"/>
          <w:bCs/>
          <w:color w:val="000000" w:themeColor="text1"/>
          <w:sz w:val="24"/>
          <w:szCs w:val="24"/>
          <w:highlight w:val="none"/>
        </w:rPr>
        <w:t xml:space="preserve">8.1.2尾款支付时间：产品验收通过,采购人收到发票后10个工作日内，尾款支付比例：合同金额的</w:t>
      </w:r>
      <w:r>
        <w:rPr>
          <w:rFonts w:hint="eastAsia" w:ascii="宋体" w:hAnsi="宋体" w:cs="Courier New"/>
          <w:bCs/>
          <w:color w:val="000000" w:themeColor="text1"/>
          <w:sz w:val="24"/>
          <w:szCs w:val="24"/>
          <w:highlight w:val="none"/>
          <w:u w:val="single"/>
        </w:rPr>
        <w:t xml:space="preserve">  </w:t>
      </w:r>
      <w:r>
        <w:rPr>
          <w:rFonts w:hint="eastAsia" w:ascii="宋体" w:hAnsi="宋体" w:cs="Courier New"/>
          <w:bCs/>
          <w:color w:val="000000" w:themeColor="text1"/>
          <w:sz w:val="24"/>
          <w:szCs w:val="24"/>
          <w:highlight w:val="none"/>
        </w:rPr>
        <w:t xml:space="preserve">%。</w:t>
      </w:r>
      <w:r>
        <w:rPr>
          <w:rFonts w:hint="eastAsia" w:ascii="宋体" w:hAnsi="宋体" w:cs="Courier New"/>
          <w:color w:val="000000" w:themeColor="text1"/>
          <w:sz w:val="24"/>
          <w:szCs w:val="24"/>
          <w:highlight w:val="none"/>
        </w:rPr>
      </w:r>
      <w:r>
        <w:rPr>
          <w:color w:val="000000" w:themeColor="text1"/>
          <w:highlight w:val="none"/>
        </w:rPr>
      </w:r>
    </w:p>
    <w:p>
      <w:pPr>
        <w:pStyle w:val="883"/>
        <w:spacing w:line="400" w:lineRule="exact"/>
        <w:rPr>
          <w:rFonts w:ascii="宋体" w:hAnsi="宋体" w:cs="Courier New"/>
          <w:bCs/>
          <w:color w:val="000000" w:themeColor="text1"/>
          <w:sz w:val="24"/>
          <w:szCs w:val="24"/>
          <w:highlight w:val="none"/>
        </w:rPr>
      </w:pPr>
      <w:r>
        <w:rPr>
          <w:rFonts w:hint="eastAsia" w:hAnsi="宋体"/>
          <w:bCs/>
          <w:color w:val="000000" w:themeColor="text1"/>
          <w:sz w:val="24"/>
          <w:szCs w:val="24"/>
          <w:highlight w:val="none"/>
        </w:rPr>
        <w:t xml:space="preserve">（注：根据《关于做好政府采购支持企业发展有关事项的通知》（苏采购[2020]52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如供应商明确表示无需预付款或者主动要求降低预付款比例的，采购人可不适用前述规定。）</w:t>
      </w:r>
      <w:r>
        <w:rPr>
          <w:rFonts w:ascii="宋体" w:hAnsi="宋体" w:cs="Courier New"/>
          <w:bCs/>
          <w:color w:val="000000" w:themeColor="text1"/>
          <w:sz w:val="24"/>
          <w:szCs w:val="24"/>
          <w:highlight w:val="none"/>
        </w:rPr>
      </w:r>
      <w:r>
        <w:rPr>
          <w:color w:val="000000" w:themeColor="text1"/>
          <w:highlight w:val="none"/>
        </w:rPr>
      </w:r>
    </w:p>
    <w:p>
      <w:pPr>
        <w:pStyle w:val="883"/>
        <w:ind w:firstLine="480"/>
        <w:spacing w:line="400" w:lineRule="exact"/>
        <w:rPr>
          <w:rFonts w:ascii="宋体" w:hAnsi="宋体" w:cs="Courier New"/>
          <w:bCs/>
          <w:color w:val="000000" w:themeColor="text1"/>
          <w:sz w:val="24"/>
          <w:szCs w:val="24"/>
          <w:highlight w:val="none"/>
        </w:rPr>
      </w:pPr>
      <w:r>
        <w:rPr>
          <w:rFonts w:hint="eastAsia" w:ascii="宋体" w:hAnsi="宋体" w:cs="Courier New"/>
          <w:bCs/>
          <w:color w:val="000000" w:themeColor="text1"/>
          <w:sz w:val="24"/>
          <w:szCs w:val="24"/>
          <w:highlight w:val="none"/>
        </w:rPr>
        <w:t xml:space="preserve">8</w:t>
      </w:r>
      <w:r>
        <w:rPr>
          <w:rFonts w:ascii="宋体" w:hAnsi="宋体" w:cs="Courier New"/>
          <w:bCs/>
          <w:color w:val="000000" w:themeColor="text1"/>
          <w:sz w:val="24"/>
          <w:szCs w:val="24"/>
          <w:highlight w:val="none"/>
        </w:rPr>
        <w:t xml:space="preserve">.2</w:t>
      </w:r>
      <w:r>
        <w:rPr>
          <w:rFonts w:ascii="宋体" w:hAnsi="宋体" w:cs="Courier New"/>
          <w:color w:val="000000" w:themeColor="text1"/>
          <w:sz w:val="24"/>
          <w:szCs w:val="24"/>
          <w:highlight w:val="none"/>
        </w:rPr>
        <w:t xml:space="preserve">当采购数量与实际使用数量不一致时，</w:t>
      </w:r>
      <w:r>
        <w:rPr>
          <w:rFonts w:hint="eastAsia" w:ascii="宋体" w:hAnsi="宋体" w:cs="Courier New"/>
          <w:color w:val="000000" w:themeColor="text1"/>
          <w:sz w:val="24"/>
          <w:szCs w:val="24"/>
          <w:highlight w:val="none"/>
        </w:rPr>
        <w:t xml:space="preserve">乙方</w:t>
      </w:r>
      <w:r>
        <w:rPr>
          <w:rFonts w:ascii="宋体" w:hAnsi="宋体" w:cs="Courier New"/>
          <w:color w:val="000000" w:themeColor="text1"/>
          <w:sz w:val="24"/>
          <w:szCs w:val="24"/>
          <w:highlight w:val="none"/>
        </w:rPr>
        <w:t xml:space="preserve">应根据实际使用量供货，合同的最终结算金额按实际使用量乘以成交单价进行计算。</w:t>
      </w:r>
      <w:r>
        <w:rPr>
          <w:rFonts w:ascii="宋体" w:hAnsi="宋体" w:cs="Courier New"/>
          <w:bCs/>
          <w:color w:val="000000" w:themeColor="text1"/>
          <w:sz w:val="24"/>
          <w:szCs w:val="24"/>
          <w:highlight w:val="none"/>
        </w:rPr>
      </w:r>
      <w:r>
        <w:rPr>
          <w:color w:val="000000" w:themeColor="text1"/>
          <w:highlight w:val="none"/>
        </w:rPr>
      </w:r>
    </w:p>
    <w:p>
      <w:pPr>
        <w:pStyle w:val="883"/>
        <w:ind w:firstLine="482"/>
        <w:spacing w:line="400" w:lineRule="exact"/>
        <w:rPr>
          <w:rFonts w:ascii="宋体" w:hAnsi="宋体" w:eastAsia="仿宋_GB2312"/>
          <w:b/>
          <w:color w:val="000000" w:themeColor="text1"/>
          <w:sz w:val="24"/>
          <w:szCs w:val="24"/>
          <w:highlight w:val="none"/>
        </w:rPr>
      </w:pPr>
      <w:r>
        <w:rPr>
          <w:rFonts w:hint="eastAsia" w:ascii="宋体" w:hAnsi="宋体"/>
          <w:b/>
          <w:color w:val="000000" w:themeColor="text1"/>
          <w:sz w:val="24"/>
          <w:szCs w:val="24"/>
          <w:highlight w:val="none"/>
        </w:rPr>
        <w:t xml:space="preserve">九、税费</w:t>
      </w:r>
      <w:r>
        <w:rPr>
          <w:rFonts w:ascii="宋体" w:hAnsi="宋体" w:eastAsia="仿宋_GB2312"/>
          <w:b/>
          <w:color w:val="000000" w:themeColor="text1"/>
          <w:sz w:val="24"/>
          <w:szCs w:val="24"/>
          <w:highlight w:val="none"/>
        </w:rPr>
      </w:r>
      <w:r>
        <w:rPr>
          <w:color w:val="000000" w:themeColor="text1"/>
          <w:highlight w:val="none"/>
        </w:rPr>
      </w:r>
    </w:p>
    <w:p>
      <w:pPr>
        <w:pStyle w:val="883"/>
        <w:ind w:firstLine="480"/>
        <w:spacing w:line="400" w:lineRule="exact"/>
        <w:rPr>
          <w:rFonts w:ascii="宋体" w:hAnsi="宋体" w:eastAsia="仿宋_GB2312"/>
          <w:color w:val="000000" w:themeColor="text1"/>
          <w:sz w:val="24"/>
          <w:szCs w:val="24"/>
          <w:highlight w:val="none"/>
        </w:rPr>
      </w:pPr>
      <w:r>
        <w:rPr>
          <w:rFonts w:hint="eastAsia" w:ascii="宋体" w:hAnsi="宋体"/>
          <w:color w:val="000000" w:themeColor="text1"/>
          <w:sz w:val="24"/>
          <w:szCs w:val="24"/>
          <w:highlight w:val="none"/>
        </w:rPr>
        <w:t xml:space="preserve">9</w:t>
      </w:r>
      <w:r>
        <w:rPr>
          <w:rFonts w:ascii="宋体" w:hAnsi="宋体"/>
          <w:color w:val="000000" w:themeColor="text1"/>
          <w:sz w:val="24"/>
          <w:szCs w:val="24"/>
          <w:highlight w:val="none"/>
        </w:rPr>
        <w:t xml:space="preserve">.1</w:t>
      </w:r>
      <w:r>
        <w:rPr>
          <w:rFonts w:hint="eastAsia" w:ascii="宋体" w:hAnsi="宋体"/>
          <w:color w:val="000000" w:themeColor="text1"/>
          <w:sz w:val="24"/>
          <w:szCs w:val="24"/>
          <w:highlight w:val="none"/>
        </w:rPr>
        <w:t xml:space="preserve">本合同执行中相关的一切税费均由乙方负担。</w:t>
      </w:r>
      <w:r>
        <w:rPr>
          <w:rFonts w:ascii="宋体" w:hAnsi="宋体" w:eastAsia="仿宋_GB2312"/>
          <w:color w:val="000000" w:themeColor="text1"/>
          <w:sz w:val="24"/>
          <w:szCs w:val="24"/>
          <w:highlight w:val="none"/>
        </w:rPr>
      </w:r>
      <w:r>
        <w:rPr>
          <w:color w:val="000000" w:themeColor="text1"/>
          <w:highlight w:val="none"/>
        </w:rPr>
      </w:r>
    </w:p>
    <w:p>
      <w:pPr>
        <w:pStyle w:val="883"/>
        <w:ind w:firstLine="482"/>
        <w:spacing w:line="400" w:lineRule="exact"/>
        <w:rPr>
          <w:rFonts w:ascii="宋体" w:hAnsi="宋体" w:cs="Courier New"/>
          <w:color w:val="000000" w:themeColor="text1"/>
          <w:sz w:val="24"/>
          <w:szCs w:val="24"/>
          <w:highlight w:val="none"/>
        </w:rPr>
      </w:pPr>
      <w:r>
        <w:rPr>
          <w:rFonts w:ascii="宋体" w:hAnsi="宋体" w:cs="Courier New"/>
          <w:b/>
          <w:color w:val="000000" w:themeColor="text1"/>
          <w:sz w:val="24"/>
          <w:szCs w:val="24"/>
          <w:highlight w:val="none"/>
        </w:rPr>
        <w:t xml:space="preserve">十、质量</w:t>
      </w:r>
      <w:r>
        <w:rPr>
          <w:rFonts w:hint="eastAsia" w:ascii="宋体" w:hAnsi="宋体" w:cs="Courier New"/>
          <w:b/>
          <w:color w:val="000000" w:themeColor="text1"/>
          <w:sz w:val="24"/>
          <w:szCs w:val="24"/>
          <w:highlight w:val="none"/>
        </w:rPr>
        <w:t xml:space="preserve">保修范围和保修期</w:t>
      </w:r>
      <w:r>
        <w:rPr>
          <w:rFonts w:ascii="宋体" w:hAnsi="宋体" w:cs="Courier New"/>
          <w:b/>
          <w:color w:val="000000" w:themeColor="text1"/>
          <w:sz w:val="24"/>
          <w:szCs w:val="24"/>
          <w:highlight w:val="none"/>
        </w:rPr>
        <w:t xml:space="preserve">及售后服务</w:t>
      </w:r>
      <w:r>
        <w:rPr>
          <w:rFonts w:ascii="宋体" w:hAnsi="宋体" w:cs="Courier New"/>
          <w:color w:val="000000" w:themeColor="text1"/>
          <w:sz w:val="24"/>
          <w:szCs w:val="24"/>
          <w:highlight w:val="none"/>
        </w:rPr>
      </w:r>
      <w:r>
        <w:rPr>
          <w:color w:val="000000" w:themeColor="text1"/>
          <w:highlight w:val="none"/>
        </w:rPr>
      </w:r>
    </w:p>
    <w:p>
      <w:pPr>
        <w:pStyle w:val="883"/>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0</w:t>
      </w:r>
      <w:r>
        <w:rPr>
          <w:rFonts w:ascii="宋体" w:hAnsi="宋体" w:cs="Courier New"/>
          <w:color w:val="000000" w:themeColor="text1"/>
          <w:sz w:val="24"/>
          <w:szCs w:val="24"/>
          <w:highlight w:val="none"/>
        </w:rPr>
        <w:t xml:space="preserve">.1 乙方应按招标文件规定的货物性能、技术要求、质量标准向甲方提供未经使用的全新产品。</w:t>
      </w:r>
      <w:r>
        <w:rPr>
          <w:color w:val="000000" w:themeColor="text1"/>
          <w:highlight w:val="none"/>
        </w:rPr>
      </w:r>
    </w:p>
    <w:p>
      <w:pPr>
        <w:pStyle w:val="883"/>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0</w:t>
      </w:r>
      <w:r>
        <w:rPr>
          <w:rFonts w:ascii="宋体" w:hAnsi="宋体" w:cs="Courier New"/>
          <w:color w:val="000000" w:themeColor="text1"/>
          <w:sz w:val="24"/>
          <w:szCs w:val="24"/>
          <w:highlight w:val="none"/>
        </w:rPr>
        <w:t xml:space="preserve">.2 乙方提供的货物在质量期内因货物本身的质量问题发生故障，乙方应负责免费更换。对达不到技术要求者，根据实际情况，经双方协商，可按以下办法处理：</w:t>
      </w:r>
      <w:r>
        <w:rPr>
          <w:color w:val="000000" w:themeColor="text1"/>
          <w:highlight w:val="none"/>
        </w:rPr>
      </w:r>
    </w:p>
    <w:p>
      <w:pPr>
        <w:pStyle w:val="883"/>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⑴更换：由乙方承担所发生的全部费用。</w:t>
      </w:r>
      <w:r>
        <w:rPr>
          <w:color w:val="000000" w:themeColor="text1"/>
          <w:highlight w:val="none"/>
        </w:rPr>
      </w:r>
    </w:p>
    <w:p>
      <w:pPr>
        <w:pStyle w:val="883"/>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⑵贬值处理：由甲乙双方合议定价。</w:t>
      </w:r>
      <w:r>
        <w:rPr>
          <w:color w:val="000000" w:themeColor="text1"/>
          <w:highlight w:val="none"/>
        </w:rPr>
      </w:r>
    </w:p>
    <w:p>
      <w:pPr>
        <w:pStyle w:val="883"/>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⑶退货处理：乙方应退还甲方支付的合同款，同时应承担该货物的直接费用（运输、保险、检验、货款利息及银行手续费等）。</w:t>
      </w:r>
      <w:r>
        <w:rPr>
          <w:color w:val="000000" w:themeColor="text1"/>
          <w:highlight w:val="none"/>
        </w:rPr>
      </w:r>
    </w:p>
    <w:p>
      <w:pPr>
        <w:pStyle w:val="883"/>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0</w:t>
      </w:r>
      <w:r>
        <w:rPr>
          <w:rFonts w:ascii="宋体" w:hAnsi="宋体" w:cs="Courier New"/>
          <w:color w:val="000000" w:themeColor="text1"/>
          <w:sz w:val="24"/>
          <w:szCs w:val="24"/>
          <w:highlight w:val="none"/>
        </w:rPr>
        <w:t xml:space="preserve">.3 如在使用过程中发生质量问题，乙方在接到甲方通知后在_________小时内到达甲方现场。</w:t>
      </w:r>
      <w:r>
        <w:rPr>
          <w:color w:val="000000" w:themeColor="text1"/>
          <w:highlight w:val="none"/>
        </w:rPr>
      </w:r>
    </w:p>
    <w:p>
      <w:pPr>
        <w:pStyle w:val="883"/>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0</w:t>
      </w:r>
      <w:r>
        <w:rPr>
          <w:rFonts w:ascii="宋体" w:hAnsi="宋体" w:cs="Courier New"/>
          <w:color w:val="000000" w:themeColor="text1"/>
          <w:sz w:val="24"/>
          <w:szCs w:val="24"/>
          <w:highlight w:val="none"/>
        </w:rPr>
        <w:t xml:space="preserve">.4 在质保期内，乙方应对货物出现的质量及安全问题负责处理解决并承担一切费用。</w:t>
      </w:r>
      <w:r>
        <w:rPr>
          <w:color w:val="000000" w:themeColor="text1"/>
          <w:highlight w:val="none"/>
        </w:rPr>
      </w:r>
    </w:p>
    <w:p>
      <w:pPr>
        <w:pStyle w:val="883"/>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0</w:t>
      </w:r>
      <w:r>
        <w:rPr>
          <w:rFonts w:ascii="宋体" w:hAnsi="宋体" w:cs="Courier New"/>
          <w:color w:val="000000" w:themeColor="text1"/>
          <w:sz w:val="24"/>
          <w:szCs w:val="24"/>
          <w:highlight w:val="none"/>
        </w:rPr>
        <w:t xml:space="preserve">.5上述的货物免费保修期为</w:t>
      </w:r>
      <w:r>
        <w:rPr>
          <w:rFonts w:ascii="宋体" w:hAnsi="宋体" w:cs="Courier New"/>
          <w:color w:val="000000" w:themeColor="text1"/>
          <w:sz w:val="24"/>
          <w:szCs w:val="24"/>
          <w:highlight w:val="none"/>
          <w:u w:val="single"/>
        </w:rPr>
        <w:t xml:space="preserve">     </w:t>
      </w:r>
      <w:r>
        <w:rPr>
          <w:rFonts w:ascii="宋体" w:hAnsi="宋体" w:cs="Courier New"/>
          <w:color w:val="000000" w:themeColor="text1"/>
          <w:sz w:val="24"/>
          <w:szCs w:val="24"/>
          <w:highlight w:val="none"/>
        </w:rPr>
        <w:t xml:space="preserve">年（自交货验收合格之日起计），因人为因素出现的故障不在免费保修范围内。超过保修期的机器设备，终</w:t>
      </w:r>
      <w:r>
        <w:rPr>
          <w:rFonts w:hint="eastAsia" w:ascii="宋体" w:hAnsi="宋体" w:cs="Courier New"/>
          <w:color w:val="000000" w:themeColor="text1"/>
          <w:sz w:val="24"/>
          <w:szCs w:val="24"/>
          <w:highlight w:val="none"/>
        </w:rPr>
        <w:t xml:space="preserve">身</w:t>
      </w:r>
      <w:r>
        <w:rPr>
          <w:rFonts w:ascii="宋体" w:hAnsi="宋体" w:cs="Courier New"/>
          <w:color w:val="000000" w:themeColor="text1"/>
          <w:sz w:val="24"/>
          <w:szCs w:val="24"/>
          <w:highlight w:val="none"/>
        </w:rPr>
        <w:t xml:space="preserve">维修，维修时只收部件成本费。</w:t>
      </w:r>
      <w:r>
        <w:rPr>
          <w:color w:val="000000" w:themeColor="text1"/>
          <w:highlight w:val="none"/>
        </w:rPr>
      </w:r>
    </w:p>
    <w:p>
      <w:pPr>
        <w:pStyle w:val="883"/>
        <w:ind w:firstLine="482"/>
        <w:spacing w:line="400" w:lineRule="exact"/>
        <w:rPr>
          <w:rFonts w:ascii="宋体" w:hAnsi="宋体" w:cs="Courier New"/>
          <w:b/>
          <w:color w:val="000000" w:themeColor="text1"/>
          <w:sz w:val="24"/>
          <w:szCs w:val="24"/>
          <w:highlight w:val="none"/>
        </w:rPr>
      </w:pPr>
      <w:r>
        <w:rPr>
          <w:rFonts w:ascii="宋体" w:hAnsi="宋体" w:cs="Courier New"/>
          <w:b/>
          <w:color w:val="000000" w:themeColor="text1"/>
          <w:sz w:val="24"/>
          <w:szCs w:val="24"/>
          <w:highlight w:val="none"/>
        </w:rPr>
        <w:t xml:space="preserve">十</w:t>
      </w:r>
      <w:r>
        <w:rPr>
          <w:rFonts w:hint="eastAsia" w:ascii="宋体" w:hAnsi="宋体" w:cs="Courier New"/>
          <w:b/>
          <w:color w:val="000000" w:themeColor="text1"/>
          <w:sz w:val="24"/>
          <w:szCs w:val="24"/>
          <w:highlight w:val="none"/>
        </w:rPr>
        <w:t xml:space="preserve">一</w:t>
      </w:r>
      <w:r>
        <w:rPr>
          <w:rFonts w:ascii="宋体" w:hAnsi="宋体" w:cs="Courier New"/>
          <w:b/>
          <w:color w:val="000000" w:themeColor="text1"/>
          <w:sz w:val="24"/>
          <w:szCs w:val="24"/>
          <w:highlight w:val="none"/>
        </w:rPr>
        <w:t xml:space="preserve">、</w:t>
      </w:r>
      <w:r>
        <w:rPr>
          <w:rFonts w:hint="eastAsia" w:ascii="宋体" w:hAnsi="宋体" w:cs="Courier New"/>
          <w:b/>
          <w:color w:val="000000" w:themeColor="text1"/>
          <w:sz w:val="24"/>
          <w:szCs w:val="24"/>
          <w:highlight w:val="none"/>
        </w:rPr>
        <w:t xml:space="preserve">项目</w:t>
      </w:r>
      <w:r>
        <w:rPr>
          <w:rFonts w:ascii="宋体" w:hAnsi="宋体" w:cs="Courier New"/>
          <w:b/>
          <w:color w:val="000000" w:themeColor="text1"/>
          <w:sz w:val="24"/>
          <w:szCs w:val="24"/>
          <w:highlight w:val="none"/>
        </w:rPr>
        <w:t xml:space="preserve">验收</w:t>
      </w:r>
      <w:r>
        <w:rPr>
          <w:color w:val="000000" w:themeColor="text1"/>
          <w:highlight w:val="none"/>
        </w:rPr>
      </w:r>
    </w:p>
    <w:p>
      <w:pPr>
        <w:pStyle w:val="883"/>
        <w:ind w:firstLine="480"/>
        <w:spacing w:line="400" w:lineRule="exact"/>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11.1 甲方依法组织履约验收工作。</w:t>
      </w:r>
      <w:r>
        <w:rPr>
          <w:color w:val="000000" w:themeColor="text1"/>
          <w:highlight w:val="none"/>
        </w:rPr>
      </w:r>
    </w:p>
    <w:p>
      <w:pPr>
        <w:pStyle w:val="883"/>
        <w:ind w:firstLine="480"/>
        <w:spacing w:line="400" w:lineRule="exact"/>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color w:val="000000" w:themeColor="text1"/>
          <w:highlight w:val="none"/>
        </w:rPr>
      </w:r>
    </w:p>
    <w:p>
      <w:pPr>
        <w:pStyle w:val="883"/>
        <w:ind w:firstLine="480"/>
        <w:spacing w:line="400" w:lineRule="exact"/>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11.3 对于实际使用人和甲方分离的项目，甲方邀请实际使用人参与验收。</w:t>
      </w:r>
      <w:r>
        <w:rPr>
          <w:color w:val="000000" w:themeColor="text1"/>
          <w:highlight w:val="none"/>
        </w:rPr>
      </w:r>
    </w:p>
    <w:p>
      <w:pPr>
        <w:pStyle w:val="883"/>
        <w:ind w:firstLine="480"/>
        <w:spacing w:line="400" w:lineRule="exact"/>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11.4 如有必要，甲方邀请参加本项目的其他供应商或第三方专业机构及专家参与验收，相关意见将作为验收书的参考资料。</w:t>
      </w:r>
      <w:r>
        <w:rPr>
          <w:color w:val="000000" w:themeColor="text1"/>
          <w:highlight w:val="none"/>
        </w:rPr>
      </w:r>
    </w:p>
    <w:p>
      <w:pPr>
        <w:pStyle w:val="883"/>
        <w:ind w:firstLine="480"/>
        <w:spacing w:line="400" w:lineRule="exact"/>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color w:val="000000" w:themeColor="text1"/>
          <w:highlight w:val="none"/>
        </w:rPr>
      </w:r>
    </w:p>
    <w:p>
      <w:pPr>
        <w:pStyle w:val="883"/>
        <w:ind w:firstLine="480"/>
        <w:spacing w:line="400" w:lineRule="exact"/>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color w:val="000000" w:themeColor="text1"/>
          <w:highlight w:val="none"/>
        </w:rPr>
      </w:r>
    </w:p>
    <w:p>
      <w:pPr>
        <w:pStyle w:val="883"/>
        <w:ind w:firstLine="482"/>
        <w:spacing w:line="400" w:lineRule="exact"/>
        <w:rPr>
          <w:rFonts w:ascii="宋体" w:hAnsi="宋体" w:cs="Courier New"/>
          <w:b/>
          <w:color w:val="000000" w:themeColor="text1"/>
          <w:sz w:val="24"/>
          <w:szCs w:val="24"/>
          <w:highlight w:val="none"/>
        </w:rPr>
      </w:pPr>
      <w:r>
        <w:rPr>
          <w:rFonts w:ascii="宋体" w:hAnsi="宋体" w:cs="Courier New"/>
          <w:b/>
          <w:color w:val="000000" w:themeColor="text1"/>
          <w:sz w:val="24"/>
          <w:szCs w:val="24"/>
          <w:highlight w:val="none"/>
        </w:rPr>
        <w:t xml:space="preserve">十</w:t>
      </w:r>
      <w:r>
        <w:rPr>
          <w:rFonts w:hint="eastAsia" w:ascii="宋体" w:hAnsi="宋体" w:cs="Courier New"/>
          <w:b/>
          <w:color w:val="000000" w:themeColor="text1"/>
          <w:sz w:val="24"/>
          <w:szCs w:val="24"/>
          <w:highlight w:val="none"/>
        </w:rPr>
        <w:t xml:space="preserve">二</w:t>
      </w:r>
      <w:r>
        <w:rPr>
          <w:rFonts w:ascii="宋体" w:hAnsi="宋体" w:cs="Courier New"/>
          <w:b/>
          <w:color w:val="000000" w:themeColor="text1"/>
          <w:sz w:val="24"/>
          <w:szCs w:val="24"/>
          <w:highlight w:val="none"/>
        </w:rPr>
        <w:t xml:space="preserve">、货物</w:t>
      </w:r>
      <w:r>
        <w:rPr>
          <w:rFonts w:hint="eastAsia" w:ascii="宋体" w:hAnsi="宋体" w:cs="Courier New"/>
          <w:b/>
          <w:color w:val="000000" w:themeColor="text1"/>
          <w:sz w:val="24"/>
          <w:szCs w:val="24"/>
          <w:highlight w:val="none"/>
        </w:rPr>
        <w:t xml:space="preserve">的</w:t>
      </w:r>
      <w:r>
        <w:rPr>
          <w:rFonts w:ascii="宋体" w:hAnsi="宋体" w:cs="Courier New"/>
          <w:b/>
          <w:color w:val="000000" w:themeColor="text1"/>
          <w:sz w:val="24"/>
          <w:szCs w:val="24"/>
          <w:highlight w:val="none"/>
        </w:rPr>
        <w:t xml:space="preserve">包装、发运及运输</w:t>
      </w:r>
      <w:r>
        <w:rPr>
          <w:color w:val="000000" w:themeColor="text1"/>
          <w:highlight w:val="none"/>
        </w:rPr>
      </w:r>
    </w:p>
    <w:p>
      <w:pPr>
        <w:pStyle w:val="883"/>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2</w:t>
      </w:r>
      <w:r>
        <w:rPr>
          <w:rFonts w:ascii="宋体" w:hAnsi="宋体" w:cs="Courier New"/>
          <w:color w:val="000000" w:themeColor="text1"/>
          <w:sz w:val="24"/>
          <w:szCs w:val="24"/>
          <w:highlight w:val="none"/>
        </w:rPr>
        <w:t xml:space="preserve">.1 乙方应在货物发运前对其进行满足运输距离、防潮、防震、防锈和防破损装卸等</w:t>
      </w:r>
      <w:r>
        <w:rPr>
          <w:rFonts w:ascii="宋体" w:hAnsi="宋体" w:cs="Courier New"/>
          <w:color w:val="000000" w:themeColor="text1"/>
          <w:sz w:val="24"/>
          <w:szCs w:val="24"/>
          <w:highlight w:val="none"/>
        </w:rPr>
        <w:t xml:space="preserve">要求包装，以保证货物安全运达甲方指定地点。</w:t>
      </w:r>
      <w:r>
        <w:rPr>
          <w:rFonts w:hint="eastAsia" w:ascii="宋体" w:hAnsi="宋体"/>
          <w:color w:val="000000" w:themeColor="text1"/>
          <w:sz w:val="24"/>
          <w:szCs w:val="24"/>
          <w:highlight w:val="none"/>
        </w:rPr>
        <w:t xml:space="preserve">乙方对货物的包装应符合《商品包装政府采购需求标准（试行）》、《快递包装政府采购需求标准（试行）》的规定。</w:t>
      </w:r>
      <w:r>
        <w:rPr>
          <w:rFonts w:ascii="宋体" w:hAnsi="宋体" w:cs="Courier New"/>
          <w:color w:val="000000" w:themeColor="text1"/>
          <w:sz w:val="24"/>
          <w:szCs w:val="24"/>
          <w:highlight w:val="none"/>
        </w:rPr>
      </w:r>
      <w:r>
        <w:rPr>
          <w:color w:val="000000" w:themeColor="text1"/>
          <w:highlight w:val="none"/>
        </w:rPr>
      </w:r>
    </w:p>
    <w:p>
      <w:pPr>
        <w:pStyle w:val="883"/>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2</w:t>
      </w:r>
      <w:r>
        <w:rPr>
          <w:rFonts w:ascii="宋体" w:hAnsi="宋体" w:cs="Courier New"/>
          <w:color w:val="000000" w:themeColor="text1"/>
          <w:sz w:val="24"/>
          <w:szCs w:val="24"/>
          <w:highlight w:val="none"/>
        </w:rPr>
        <w:t xml:space="preserve">.2 使用说明书、质量检验证明书、随配附件和工具以及清单一并附于货物内。</w:t>
      </w:r>
      <w:r>
        <w:rPr>
          <w:color w:val="000000" w:themeColor="text1"/>
          <w:highlight w:val="none"/>
        </w:rPr>
      </w:r>
    </w:p>
    <w:p>
      <w:pPr>
        <w:pStyle w:val="883"/>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2</w:t>
      </w:r>
      <w:r>
        <w:rPr>
          <w:rFonts w:ascii="宋体" w:hAnsi="宋体" w:cs="Courier New"/>
          <w:color w:val="000000" w:themeColor="text1"/>
          <w:sz w:val="24"/>
          <w:szCs w:val="24"/>
          <w:highlight w:val="none"/>
        </w:rPr>
        <w:t xml:space="preserve">.3 乙方在货物发运手续办理完毕后24小时内或货到甲方48小时前通知甲方，以准备接货。</w:t>
      </w:r>
      <w:r>
        <w:rPr>
          <w:color w:val="000000" w:themeColor="text1"/>
          <w:highlight w:val="none"/>
        </w:rPr>
      </w:r>
    </w:p>
    <w:p>
      <w:pPr>
        <w:pStyle w:val="883"/>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2</w:t>
      </w:r>
      <w:r>
        <w:rPr>
          <w:rFonts w:ascii="宋体" w:hAnsi="宋体" w:cs="Courier New"/>
          <w:color w:val="000000" w:themeColor="text1"/>
          <w:sz w:val="24"/>
          <w:szCs w:val="24"/>
          <w:highlight w:val="none"/>
        </w:rPr>
        <w:t xml:space="preserve">.4 货物在交付甲方前发生的风险均由乙方负责。</w:t>
      </w:r>
      <w:r>
        <w:rPr>
          <w:color w:val="000000" w:themeColor="text1"/>
          <w:highlight w:val="none"/>
        </w:rPr>
      </w:r>
    </w:p>
    <w:p>
      <w:pPr>
        <w:pStyle w:val="883"/>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2</w:t>
      </w:r>
      <w:r>
        <w:rPr>
          <w:rFonts w:ascii="宋体" w:hAnsi="宋体" w:cs="Courier New"/>
          <w:color w:val="000000" w:themeColor="text1"/>
          <w:sz w:val="24"/>
          <w:szCs w:val="24"/>
          <w:highlight w:val="none"/>
        </w:rPr>
        <w:t xml:space="preserve">.5 货物在规定的交付期限内由乙方送达甲方指定的地点视为交付，乙方同时需通知甲方货物已送达。</w:t>
      </w:r>
      <w:r>
        <w:rPr>
          <w:color w:val="000000" w:themeColor="text1"/>
          <w:highlight w:val="none"/>
        </w:rPr>
      </w:r>
    </w:p>
    <w:p>
      <w:pPr>
        <w:pStyle w:val="883"/>
        <w:ind w:firstLine="482"/>
        <w:spacing w:line="400" w:lineRule="exact"/>
        <w:rPr>
          <w:rFonts w:ascii="宋体" w:hAnsi="宋体" w:cs="Courier New"/>
          <w:b/>
          <w:color w:val="000000" w:themeColor="text1"/>
          <w:sz w:val="24"/>
          <w:szCs w:val="24"/>
          <w:highlight w:val="none"/>
        </w:rPr>
      </w:pPr>
      <w:r>
        <w:rPr>
          <w:rFonts w:ascii="宋体" w:hAnsi="宋体" w:cs="Courier New"/>
          <w:b/>
          <w:color w:val="000000" w:themeColor="text1"/>
          <w:sz w:val="24"/>
          <w:szCs w:val="24"/>
          <w:highlight w:val="none"/>
        </w:rPr>
        <w:t xml:space="preserve">十</w:t>
      </w:r>
      <w:r>
        <w:rPr>
          <w:rFonts w:hint="eastAsia" w:ascii="宋体" w:hAnsi="宋体" w:cs="Courier New"/>
          <w:b/>
          <w:color w:val="000000" w:themeColor="text1"/>
          <w:sz w:val="24"/>
          <w:szCs w:val="24"/>
          <w:highlight w:val="none"/>
        </w:rPr>
        <w:t xml:space="preserve">三</w:t>
      </w:r>
      <w:r>
        <w:rPr>
          <w:rFonts w:ascii="宋体" w:hAnsi="宋体" w:cs="Courier New"/>
          <w:b/>
          <w:color w:val="000000" w:themeColor="text1"/>
          <w:sz w:val="24"/>
          <w:szCs w:val="24"/>
          <w:highlight w:val="none"/>
        </w:rPr>
        <w:t xml:space="preserve">、违约责任</w:t>
      </w:r>
      <w:r>
        <w:rPr>
          <w:color w:val="000000" w:themeColor="text1"/>
          <w:highlight w:val="none"/>
        </w:rPr>
      </w:r>
    </w:p>
    <w:p>
      <w:pPr>
        <w:pStyle w:val="883"/>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3</w:t>
      </w:r>
      <w:r>
        <w:rPr>
          <w:rFonts w:ascii="宋体" w:hAnsi="宋体" w:cs="Courier New"/>
          <w:color w:val="000000" w:themeColor="text1"/>
          <w:sz w:val="24"/>
          <w:szCs w:val="24"/>
          <w:highlight w:val="none"/>
        </w:rPr>
        <w:t xml:space="preserve">.1 甲方无正当理由拒收货物的，甲方向乙方偿付拒收货款总值</w:t>
      </w:r>
      <w:r>
        <w:rPr>
          <w:rFonts w:hint="eastAsia" w:ascii="宋体" w:hAnsi="宋体" w:cs="Courier New"/>
          <w:color w:val="000000" w:themeColor="text1"/>
          <w:sz w:val="24"/>
          <w:szCs w:val="24"/>
          <w:highlight w:val="none"/>
          <w:u w:val="single"/>
        </w:rPr>
        <w:t xml:space="preserve">    </w:t>
      </w:r>
      <w:r>
        <w:rPr>
          <w:rFonts w:ascii="宋体" w:hAnsi="宋体" w:cs="Courier New"/>
          <w:color w:val="000000" w:themeColor="text1"/>
          <w:sz w:val="24"/>
          <w:szCs w:val="24"/>
          <w:highlight w:val="none"/>
        </w:rPr>
        <w:t xml:space="preserve">的违约金。</w:t>
      </w:r>
      <w:r>
        <w:rPr>
          <w:color w:val="000000" w:themeColor="text1"/>
          <w:highlight w:val="none"/>
        </w:rPr>
      </w:r>
    </w:p>
    <w:p>
      <w:pPr>
        <w:pStyle w:val="883"/>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3</w:t>
      </w:r>
      <w:r>
        <w:rPr>
          <w:rFonts w:ascii="宋体" w:hAnsi="宋体" w:cs="Courier New"/>
          <w:color w:val="000000" w:themeColor="text1"/>
          <w:sz w:val="24"/>
          <w:szCs w:val="24"/>
          <w:highlight w:val="none"/>
        </w:rPr>
        <w:t xml:space="preserve">.2 甲方无故逾期验收和办理货款支付手续的,甲方应按逾期付款总额每日</w:t>
      </w:r>
      <w:r>
        <w:rPr>
          <w:rFonts w:hint="eastAsia" w:ascii="宋体" w:hAnsi="宋体" w:cs="Courier New"/>
          <w:color w:val="000000" w:themeColor="text1"/>
          <w:sz w:val="24"/>
          <w:szCs w:val="24"/>
          <w:highlight w:val="none"/>
          <w:u w:val="single"/>
        </w:rPr>
        <w:t xml:space="preserve">    </w:t>
      </w:r>
      <w:r>
        <w:rPr>
          <w:rFonts w:ascii="宋体" w:hAnsi="宋体" w:cs="Courier New"/>
          <w:color w:val="000000" w:themeColor="text1"/>
          <w:sz w:val="24"/>
          <w:szCs w:val="24"/>
          <w:highlight w:val="none"/>
        </w:rPr>
        <w:t xml:space="preserve">向乙方支付违约金。</w:t>
      </w:r>
      <w:r>
        <w:rPr>
          <w:color w:val="000000" w:themeColor="text1"/>
          <w:highlight w:val="none"/>
        </w:rPr>
      </w:r>
    </w:p>
    <w:p>
      <w:pPr>
        <w:pStyle w:val="883"/>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3</w:t>
      </w:r>
      <w:r>
        <w:rPr>
          <w:rFonts w:ascii="宋体" w:hAnsi="宋体" w:cs="Courier New"/>
          <w:color w:val="000000" w:themeColor="text1"/>
          <w:sz w:val="24"/>
          <w:szCs w:val="24"/>
          <w:highlight w:val="none"/>
        </w:rPr>
        <w:t xml:space="preserve">.3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cs="Courier New"/>
          <w:color w:val="000000" w:themeColor="text1"/>
          <w:sz w:val="24"/>
          <w:szCs w:val="24"/>
          <w:highlight w:val="none"/>
          <w:u w:val="single"/>
        </w:rPr>
        <w:t xml:space="preserve">    </w:t>
      </w:r>
      <w:r>
        <w:rPr>
          <w:rFonts w:ascii="宋体" w:hAnsi="宋体" w:cs="Courier New"/>
          <w:color w:val="000000" w:themeColor="text1"/>
          <w:sz w:val="24"/>
          <w:szCs w:val="24"/>
          <w:highlight w:val="none"/>
        </w:rPr>
        <w:t xml:space="preserve">的违约金，如造成甲方损失超过违约金的，超出部分由乙方继续承担赔偿责任。 </w:t>
      </w:r>
      <w:r>
        <w:rPr>
          <w:color w:val="000000" w:themeColor="text1"/>
          <w:highlight w:val="none"/>
        </w:rPr>
      </w:r>
    </w:p>
    <w:p>
      <w:pPr>
        <w:pStyle w:val="883"/>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3</w:t>
      </w:r>
      <w:r>
        <w:rPr>
          <w:rFonts w:ascii="宋体" w:hAnsi="宋体" w:cs="Courier New"/>
          <w:color w:val="000000" w:themeColor="text1"/>
          <w:sz w:val="24"/>
          <w:szCs w:val="24"/>
          <w:highlight w:val="none"/>
        </w:rPr>
        <w:t xml:space="preserve">.4 乙方所交的货物品种、型号、规格、技术参数、质量不符合合同规定及招标文件规定标准的，甲方有权拒收该货物，乙方愿意更换货物但逾期交货的，按乙方逾期交货处理。乙方拒绝更换货物的，甲方可单方面解除合同。</w:t>
      </w:r>
      <w:r>
        <w:rPr>
          <w:color w:val="000000" w:themeColor="text1"/>
          <w:highlight w:val="none"/>
        </w:rPr>
      </w:r>
    </w:p>
    <w:p>
      <w:pPr>
        <w:pStyle w:val="883"/>
        <w:ind w:firstLine="482"/>
        <w:spacing w:line="400" w:lineRule="exact"/>
        <w:rPr>
          <w:rFonts w:ascii="宋体" w:hAnsi="宋体" w:cs="Courier New"/>
          <w:b/>
          <w:color w:val="000000" w:themeColor="text1"/>
          <w:sz w:val="24"/>
          <w:szCs w:val="24"/>
          <w:highlight w:val="none"/>
        </w:rPr>
      </w:pPr>
      <w:r>
        <w:rPr>
          <w:rFonts w:ascii="宋体" w:hAnsi="宋体" w:cs="Courier New"/>
          <w:b/>
          <w:color w:val="000000" w:themeColor="text1"/>
          <w:sz w:val="24"/>
          <w:szCs w:val="24"/>
          <w:highlight w:val="none"/>
        </w:rPr>
        <w:t xml:space="preserve">十</w:t>
      </w:r>
      <w:r>
        <w:rPr>
          <w:rFonts w:hint="eastAsia" w:ascii="宋体" w:hAnsi="宋体" w:cs="Courier New"/>
          <w:b/>
          <w:color w:val="000000" w:themeColor="text1"/>
          <w:sz w:val="24"/>
          <w:szCs w:val="24"/>
          <w:highlight w:val="none"/>
        </w:rPr>
        <w:t xml:space="preserve">四</w:t>
      </w:r>
      <w:r>
        <w:rPr>
          <w:rFonts w:ascii="宋体" w:hAnsi="宋体" w:cs="Courier New"/>
          <w:b/>
          <w:color w:val="000000" w:themeColor="text1"/>
          <w:sz w:val="24"/>
          <w:szCs w:val="24"/>
          <w:highlight w:val="none"/>
        </w:rPr>
        <w:t xml:space="preserve">、不可抗力事件处理</w:t>
      </w:r>
      <w:r>
        <w:rPr>
          <w:color w:val="000000" w:themeColor="text1"/>
          <w:highlight w:val="none"/>
        </w:rPr>
      </w:r>
    </w:p>
    <w:p>
      <w:pPr>
        <w:pStyle w:val="883"/>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4</w:t>
      </w:r>
      <w:r>
        <w:rPr>
          <w:rFonts w:ascii="宋体" w:hAnsi="宋体" w:cs="Courier New"/>
          <w:color w:val="000000" w:themeColor="text1"/>
          <w:sz w:val="24"/>
          <w:szCs w:val="24"/>
          <w:highlight w:val="none"/>
        </w:rPr>
        <w:t xml:space="preserve">.1 在合同有效期内，任何一方因不可抗力事件导致不能履行合同，则合同履行期可延长，其延长期与不可抗力影响期相同。</w:t>
      </w:r>
      <w:r>
        <w:rPr>
          <w:color w:val="000000" w:themeColor="text1"/>
          <w:highlight w:val="none"/>
        </w:rPr>
      </w:r>
    </w:p>
    <w:p>
      <w:pPr>
        <w:pStyle w:val="883"/>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4</w:t>
      </w:r>
      <w:r>
        <w:rPr>
          <w:rFonts w:ascii="宋体" w:hAnsi="宋体" w:cs="Courier New"/>
          <w:color w:val="000000" w:themeColor="text1"/>
          <w:sz w:val="24"/>
          <w:szCs w:val="24"/>
          <w:highlight w:val="none"/>
        </w:rPr>
        <w:t xml:space="preserve">.2 不可抗力事件发生后，应立即通知对方，并寄送有关权威机构出具的证明。</w:t>
      </w:r>
      <w:r>
        <w:rPr>
          <w:color w:val="000000" w:themeColor="text1"/>
          <w:highlight w:val="none"/>
        </w:rPr>
      </w:r>
    </w:p>
    <w:p>
      <w:pPr>
        <w:pStyle w:val="883"/>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4</w:t>
      </w:r>
      <w:r>
        <w:rPr>
          <w:rFonts w:ascii="宋体" w:hAnsi="宋体" w:cs="Courier New"/>
          <w:color w:val="000000" w:themeColor="text1"/>
          <w:sz w:val="24"/>
          <w:szCs w:val="24"/>
          <w:highlight w:val="none"/>
        </w:rPr>
        <w:t xml:space="preserve">.3 不可抗力事件延续120天以上，双方应通过友好协商，确定是否继续履行合同。</w:t>
      </w:r>
      <w:r>
        <w:rPr>
          <w:color w:val="000000" w:themeColor="text1"/>
          <w:highlight w:val="none"/>
        </w:rPr>
      </w:r>
    </w:p>
    <w:p>
      <w:pPr>
        <w:pStyle w:val="883"/>
        <w:ind w:firstLine="482"/>
        <w:spacing w:line="400" w:lineRule="exact"/>
        <w:rPr>
          <w:rFonts w:ascii="宋体" w:hAnsi="宋体" w:cs="Courier New"/>
          <w:b/>
          <w:color w:val="000000" w:themeColor="text1"/>
          <w:sz w:val="24"/>
          <w:szCs w:val="24"/>
          <w:highlight w:val="none"/>
        </w:rPr>
      </w:pPr>
      <w:r>
        <w:rPr>
          <w:rFonts w:ascii="宋体" w:hAnsi="宋体" w:cs="Courier New"/>
          <w:b/>
          <w:color w:val="000000" w:themeColor="text1"/>
          <w:sz w:val="24"/>
          <w:szCs w:val="24"/>
          <w:highlight w:val="none"/>
        </w:rPr>
        <w:t xml:space="preserve">十</w:t>
      </w:r>
      <w:r>
        <w:rPr>
          <w:rFonts w:hint="eastAsia" w:ascii="宋体" w:hAnsi="宋体" w:cs="Courier New"/>
          <w:b/>
          <w:color w:val="000000" w:themeColor="text1"/>
          <w:sz w:val="24"/>
          <w:szCs w:val="24"/>
          <w:highlight w:val="none"/>
        </w:rPr>
        <w:t xml:space="preserve">五</w:t>
      </w:r>
      <w:r>
        <w:rPr>
          <w:rFonts w:ascii="宋体" w:hAnsi="宋体" w:cs="Courier New"/>
          <w:b/>
          <w:color w:val="000000" w:themeColor="text1"/>
          <w:sz w:val="24"/>
          <w:szCs w:val="24"/>
          <w:highlight w:val="none"/>
        </w:rPr>
        <w:t xml:space="preserve">、</w:t>
      </w:r>
      <w:r>
        <w:rPr>
          <w:rFonts w:hint="eastAsia" w:ascii="宋体" w:hAnsi="宋体" w:cs="Courier New"/>
          <w:b/>
          <w:color w:val="000000" w:themeColor="text1"/>
          <w:sz w:val="24"/>
          <w:szCs w:val="24"/>
          <w:highlight w:val="none"/>
        </w:rPr>
        <w:t xml:space="preserve">解决争议的方法</w:t>
      </w:r>
      <w:r>
        <w:rPr>
          <w:rFonts w:ascii="宋体" w:hAnsi="宋体" w:cs="Courier New"/>
          <w:b/>
          <w:color w:val="000000" w:themeColor="text1"/>
          <w:sz w:val="24"/>
          <w:szCs w:val="24"/>
          <w:highlight w:val="none"/>
        </w:rPr>
      </w:r>
      <w:r>
        <w:rPr>
          <w:color w:val="000000" w:themeColor="text1"/>
          <w:highlight w:val="none"/>
        </w:rPr>
      </w:r>
    </w:p>
    <w:p>
      <w:pPr>
        <w:pStyle w:val="883"/>
        <w:ind w:firstLine="480"/>
        <w:spacing w:line="400" w:lineRule="exact"/>
        <w:rPr>
          <w:rFonts w:hint="eastAsia"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5</w:t>
      </w: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甲乙</w:t>
      </w:r>
      <w:r>
        <w:rPr>
          <w:rFonts w:ascii="宋体" w:hAnsi="宋体" w:cs="Courier New"/>
          <w:color w:val="000000" w:themeColor="text1"/>
          <w:sz w:val="24"/>
          <w:szCs w:val="24"/>
          <w:highlight w:val="none"/>
        </w:rPr>
        <w:t xml:space="preserve">双方</w:t>
      </w:r>
      <w:r>
        <w:rPr>
          <w:rFonts w:hint="eastAsia" w:ascii="宋体" w:hAnsi="宋体" w:cs="Courier New"/>
          <w:color w:val="000000" w:themeColor="text1"/>
          <w:sz w:val="24"/>
          <w:szCs w:val="24"/>
          <w:highlight w:val="none"/>
        </w:rPr>
        <w:t xml:space="preserve">因</w:t>
      </w:r>
      <w:r>
        <w:rPr>
          <w:rFonts w:ascii="宋体" w:hAnsi="宋体" w:cs="Courier New"/>
          <w:color w:val="000000" w:themeColor="text1"/>
          <w:sz w:val="24"/>
          <w:szCs w:val="24"/>
          <w:highlight w:val="none"/>
        </w:rPr>
        <w:t xml:space="preserve">合同</w:t>
      </w:r>
      <w:r>
        <w:rPr>
          <w:rFonts w:hint="eastAsia" w:ascii="宋体" w:hAnsi="宋体" w:cs="Courier New"/>
          <w:color w:val="000000" w:themeColor="text1"/>
          <w:sz w:val="24"/>
          <w:szCs w:val="24"/>
          <w:highlight w:val="none"/>
        </w:rPr>
        <w:t xml:space="preserve">签订、履行而</w:t>
      </w:r>
      <w:r>
        <w:rPr>
          <w:rFonts w:ascii="宋体" w:hAnsi="宋体" w:cs="Courier New"/>
          <w:color w:val="000000" w:themeColor="text1"/>
          <w:sz w:val="24"/>
          <w:szCs w:val="24"/>
          <w:highlight w:val="none"/>
        </w:rPr>
        <w:t xml:space="preserve">发生的一切争议，应通过</w:t>
      </w:r>
      <w:r>
        <w:rPr>
          <w:rFonts w:hint="eastAsia" w:ascii="宋体" w:hAnsi="宋体" w:cs="Courier New"/>
          <w:color w:val="000000" w:themeColor="text1"/>
          <w:sz w:val="24"/>
          <w:szCs w:val="24"/>
          <w:highlight w:val="none"/>
        </w:rPr>
        <w:t xml:space="preserve">友好</w:t>
      </w:r>
      <w:r>
        <w:rPr>
          <w:rFonts w:ascii="宋体" w:hAnsi="宋体" w:cs="Courier New"/>
          <w:color w:val="000000" w:themeColor="text1"/>
          <w:sz w:val="24"/>
          <w:szCs w:val="24"/>
          <w:highlight w:val="none"/>
        </w:rPr>
        <w:t xml:space="preserve">协商解决。如协商不成</w:t>
      </w:r>
      <w:r>
        <w:rPr>
          <w:rFonts w:hint="eastAsia" w:ascii="宋体" w:hAnsi="宋体" w:cs="Courier New"/>
          <w:color w:val="000000" w:themeColor="text1"/>
          <w:sz w:val="24"/>
          <w:szCs w:val="24"/>
          <w:highlight w:val="none"/>
        </w:rPr>
        <w:t xml:space="preserve">由甲方住所地人民</w:t>
      </w:r>
      <w:r>
        <w:rPr>
          <w:rFonts w:ascii="宋体" w:hAnsi="宋体" w:cs="Courier New"/>
          <w:color w:val="000000" w:themeColor="text1"/>
          <w:sz w:val="24"/>
          <w:szCs w:val="24"/>
          <w:highlight w:val="none"/>
        </w:rPr>
        <w:t xml:space="preserve">法院</w:t>
      </w:r>
      <w:r>
        <w:rPr>
          <w:rFonts w:hint="eastAsia" w:ascii="宋体" w:hAnsi="宋体" w:cs="Courier New"/>
          <w:color w:val="000000" w:themeColor="text1"/>
          <w:sz w:val="24"/>
          <w:szCs w:val="24"/>
          <w:highlight w:val="none"/>
        </w:rPr>
        <w:t xml:space="preserve">管辖。</w:t>
      </w:r>
      <w:r>
        <w:rPr>
          <w:color w:val="000000" w:themeColor="text1"/>
          <w:highlight w:val="none"/>
        </w:rPr>
      </w:r>
    </w:p>
    <w:p>
      <w:pPr>
        <w:pStyle w:val="883"/>
        <w:ind w:firstLine="482"/>
        <w:spacing w:line="400" w:lineRule="exact"/>
        <w:rPr>
          <w:rFonts w:ascii="宋体" w:hAnsi="宋体" w:cs="Courier New"/>
          <w:b/>
          <w:color w:val="000000" w:themeColor="text1"/>
          <w:sz w:val="24"/>
          <w:szCs w:val="24"/>
          <w:highlight w:val="none"/>
        </w:rPr>
      </w:pPr>
      <w:r>
        <w:rPr>
          <w:rFonts w:ascii="宋体" w:hAnsi="宋体" w:cs="Courier New"/>
          <w:b/>
          <w:color w:val="000000" w:themeColor="text1"/>
          <w:sz w:val="24"/>
          <w:szCs w:val="24"/>
          <w:highlight w:val="none"/>
        </w:rPr>
        <w:t xml:space="preserve">十</w:t>
      </w:r>
      <w:r>
        <w:rPr>
          <w:rFonts w:hint="eastAsia" w:ascii="宋体" w:hAnsi="宋体" w:cs="Courier New"/>
          <w:b/>
          <w:color w:val="000000" w:themeColor="text1"/>
          <w:sz w:val="24"/>
          <w:szCs w:val="24"/>
          <w:highlight w:val="none"/>
        </w:rPr>
        <w:t xml:space="preserve">六</w:t>
      </w:r>
      <w:r>
        <w:rPr>
          <w:rFonts w:ascii="宋体" w:hAnsi="宋体" w:cs="Courier New"/>
          <w:b/>
          <w:color w:val="000000" w:themeColor="text1"/>
          <w:sz w:val="24"/>
          <w:szCs w:val="24"/>
          <w:highlight w:val="none"/>
        </w:rPr>
        <w:t xml:space="preserve">、合同生效及其它</w:t>
      </w:r>
      <w:r>
        <w:rPr>
          <w:color w:val="000000" w:themeColor="text1"/>
          <w:highlight w:val="none"/>
        </w:rPr>
      </w:r>
    </w:p>
    <w:p>
      <w:pPr>
        <w:pStyle w:val="883"/>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6</w:t>
      </w:r>
      <w:r>
        <w:rPr>
          <w:rFonts w:ascii="宋体" w:hAnsi="宋体" w:cs="Courier New"/>
          <w:color w:val="000000" w:themeColor="text1"/>
          <w:sz w:val="24"/>
          <w:szCs w:val="24"/>
          <w:highlight w:val="none"/>
        </w:rPr>
        <w:t xml:space="preserve">.1 合同经双方法定代表人或授权委托代</w:t>
      </w:r>
      <w:r>
        <w:rPr>
          <w:rFonts w:hint="eastAsia" w:ascii="宋体" w:hAnsi="宋体" w:cs="Courier New"/>
          <w:color w:val="000000" w:themeColor="text1"/>
          <w:sz w:val="24"/>
          <w:szCs w:val="24"/>
          <w:highlight w:val="none"/>
        </w:rPr>
        <w:t xml:space="preserve">表</w:t>
      </w:r>
      <w:r>
        <w:rPr>
          <w:rFonts w:ascii="宋体" w:hAnsi="宋体" w:cs="Courier New"/>
          <w:color w:val="000000" w:themeColor="text1"/>
          <w:sz w:val="24"/>
          <w:szCs w:val="24"/>
          <w:highlight w:val="none"/>
        </w:rPr>
        <w:t xml:space="preserve">人签字并加盖单位公章后生效。</w:t>
      </w:r>
      <w:r>
        <w:rPr>
          <w:color w:val="000000" w:themeColor="text1"/>
          <w:highlight w:val="none"/>
        </w:rPr>
      </w:r>
    </w:p>
    <w:p>
      <w:pPr>
        <w:pStyle w:val="883"/>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6</w:t>
      </w:r>
      <w:r>
        <w:rPr>
          <w:rFonts w:ascii="宋体" w:hAnsi="宋体" w:cs="Courier New"/>
          <w:color w:val="000000" w:themeColor="text1"/>
          <w:sz w:val="24"/>
          <w:szCs w:val="24"/>
          <w:highlight w:val="none"/>
        </w:rPr>
        <w:t xml:space="preserve">.2本合同未尽事宜，遵照</w:t>
      </w:r>
      <w:r>
        <w:rPr>
          <w:rFonts w:hint="eastAsia" w:ascii="宋体" w:hAnsi="宋体" w:cs="Courier New"/>
          <w:color w:val="000000" w:themeColor="text1"/>
          <w:sz w:val="24"/>
          <w:szCs w:val="24"/>
          <w:highlight w:val="none"/>
        </w:rPr>
        <w:t xml:space="preserve">《中华人民共和国民法典》、《中华人民共和国政府采购法》</w:t>
      </w:r>
      <w:r>
        <w:rPr>
          <w:rFonts w:ascii="宋体" w:hAnsi="宋体" w:cs="Courier New"/>
          <w:color w:val="000000" w:themeColor="text1"/>
          <w:sz w:val="24"/>
          <w:szCs w:val="24"/>
          <w:highlight w:val="none"/>
        </w:rPr>
        <w:t xml:space="preserve">有关条文执行。</w:t>
      </w:r>
      <w:r>
        <w:rPr>
          <w:color w:val="000000" w:themeColor="text1"/>
          <w:highlight w:val="none"/>
        </w:rPr>
      </w:r>
    </w:p>
    <w:p>
      <w:pPr>
        <w:pStyle w:val="883"/>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6</w:t>
      </w:r>
      <w:r>
        <w:rPr>
          <w:rFonts w:ascii="宋体" w:hAnsi="宋体" w:cs="Courier New"/>
          <w:color w:val="000000" w:themeColor="text1"/>
          <w:sz w:val="24"/>
          <w:szCs w:val="24"/>
          <w:highlight w:val="none"/>
        </w:rPr>
        <w:t xml:space="preserve">.</w:t>
      </w:r>
      <w:r>
        <w:rPr>
          <w:rFonts w:hint="eastAsia" w:ascii="宋体" w:hAnsi="宋体" w:cs="Courier New"/>
          <w:color w:val="000000" w:themeColor="text1"/>
          <w:sz w:val="24"/>
          <w:szCs w:val="24"/>
          <w:highlight w:val="none"/>
        </w:rPr>
        <w:t xml:space="preserve">3</w:t>
      </w:r>
      <w:r>
        <w:rPr>
          <w:rFonts w:ascii="宋体" w:hAnsi="宋体" w:cs="Courier New"/>
          <w:color w:val="000000" w:themeColor="text1"/>
          <w:sz w:val="24"/>
          <w:szCs w:val="24"/>
          <w:highlight w:val="none"/>
        </w:rPr>
        <w:t xml:space="preserve"> 本合同正本一式</w:t>
      </w:r>
      <w:r>
        <w:rPr>
          <w:rFonts w:hint="eastAsia" w:ascii="宋体" w:hAnsi="宋体" w:cs="Courier New"/>
          <w:color w:val="000000" w:themeColor="text1"/>
          <w:sz w:val="24"/>
          <w:szCs w:val="24"/>
          <w:highlight w:val="none"/>
        </w:rPr>
        <w:t xml:space="preserve">两</w:t>
      </w:r>
      <w:r>
        <w:rPr>
          <w:rFonts w:ascii="宋体" w:hAnsi="宋体" w:cs="Courier New"/>
          <w:color w:val="000000" w:themeColor="text1"/>
          <w:sz w:val="24"/>
          <w:szCs w:val="24"/>
          <w:highlight w:val="none"/>
        </w:rPr>
        <w:t xml:space="preserve">份，具有同等法律效力，甲</w:t>
      </w:r>
      <w:r>
        <w:rPr>
          <w:rFonts w:hint="eastAsia" w:ascii="宋体" w:hAnsi="宋体" w:cs="Courier New"/>
          <w:color w:val="000000" w:themeColor="text1"/>
          <w:sz w:val="24"/>
          <w:szCs w:val="24"/>
          <w:highlight w:val="none"/>
        </w:rPr>
        <w:t xml:space="preserve">方、</w:t>
      </w:r>
      <w:r>
        <w:rPr>
          <w:rFonts w:ascii="宋体" w:hAnsi="宋体" w:cs="Courier New"/>
          <w:color w:val="000000" w:themeColor="text1"/>
          <w:sz w:val="24"/>
          <w:szCs w:val="24"/>
          <w:highlight w:val="none"/>
        </w:rPr>
        <w:t xml:space="preserve">乙方各执一份。</w:t>
      </w:r>
      <w:r>
        <w:rPr>
          <w:color w:val="000000" w:themeColor="text1"/>
          <w:highlight w:val="none"/>
        </w:rPr>
      </w:r>
    </w:p>
    <w:p>
      <w:pPr>
        <w:pStyle w:val="883"/>
        <w:ind w:left="480" w:hanging="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  甲方：                        乙方： </w:t>
      </w:r>
      <w:r>
        <w:rPr>
          <w:color w:val="000000" w:themeColor="text1"/>
          <w:highlight w:val="none"/>
        </w:rPr>
      </w:r>
    </w:p>
    <w:p>
      <w:pPr>
        <w:pStyle w:val="883"/>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  地址：                       </w:t>
      </w:r>
      <w:r>
        <w:rPr>
          <w:rFonts w:hint="eastAsia" w:ascii="宋体" w:hAnsi="宋体" w:cs="Courier New"/>
          <w:color w:val="000000" w:themeColor="text1"/>
          <w:sz w:val="24"/>
          <w:szCs w:val="24"/>
          <w:highlight w:val="none"/>
        </w:rPr>
        <w:t xml:space="preserve"> </w:t>
      </w:r>
      <w:r>
        <w:rPr>
          <w:rFonts w:ascii="宋体" w:hAnsi="宋体" w:cs="Courier New"/>
          <w:color w:val="000000" w:themeColor="text1"/>
          <w:sz w:val="24"/>
          <w:szCs w:val="24"/>
          <w:highlight w:val="none"/>
        </w:rPr>
        <w:t xml:space="preserve">地址： </w:t>
      </w:r>
      <w:r>
        <w:rPr>
          <w:color w:val="000000" w:themeColor="text1"/>
          <w:highlight w:val="none"/>
        </w:rPr>
      </w:r>
    </w:p>
    <w:p>
      <w:pPr>
        <w:pStyle w:val="883"/>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  法定代表人</w:t>
      </w:r>
      <w:r>
        <w:rPr>
          <w:rFonts w:hint="eastAsia" w:ascii="宋体" w:hAnsi="宋体" w:cs="Courier New"/>
          <w:color w:val="000000" w:themeColor="text1"/>
          <w:sz w:val="24"/>
          <w:szCs w:val="24"/>
          <w:highlight w:val="none"/>
        </w:rPr>
        <w:t xml:space="preserve">或授权代表</w:t>
      </w:r>
      <w:r>
        <w:rPr>
          <w:rFonts w:ascii="宋体" w:hAnsi="宋体" w:cs="Courier New"/>
          <w:color w:val="000000" w:themeColor="text1"/>
          <w:sz w:val="24"/>
          <w:szCs w:val="24"/>
          <w:highlight w:val="none"/>
        </w:rPr>
        <w:t xml:space="preserve">：        法定代表人</w:t>
      </w:r>
      <w:r>
        <w:rPr>
          <w:rFonts w:hint="eastAsia" w:ascii="宋体" w:hAnsi="宋体" w:cs="Courier New"/>
          <w:color w:val="000000" w:themeColor="text1"/>
          <w:sz w:val="24"/>
          <w:szCs w:val="24"/>
          <w:highlight w:val="none"/>
        </w:rPr>
        <w:t xml:space="preserve">或授权代表</w:t>
      </w:r>
      <w:r>
        <w:rPr>
          <w:rFonts w:ascii="宋体" w:hAnsi="宋体" w:cs="Courier New"/>
          <w:color w:val="000000" w:themeColor="text1"/>
          <w:sz w:val="24"/>
          <w:szCs w:val="24"/>
          <w:highlight w:val="none"/>
        </w:rPr>
        <w:t xml:space="preserve">：</w:t>
      </w:r>
      <w:r>
        <w:rPr>
          <w:color w:val="000000" w:themeColor="text1"/>
          <w:highlight w:val="none"/>
        </w:rPr>
      </w:r>
    </w:p>
    <w:p>
      <w:pPr>
        <w:pStyle w:val="883"/>
        <w:ind w:firstLine="240"/>
        <w:spacing w:line="400" w:lineRule="exact"/>
        <w:rPr>
          <w:rFonts w:hint="eastAsia" w:ascii="宋体" w:hAnsi="Courier New" w:cs="Courier New"/>
          <w:color w:val="000000" w:themeColor="text1"/>
          <w:highlight w:val="none"/>
        </w:rPr>
      </w:pPr>
      <w:r>
        <w:rPr>
          <w:rFonts w:hint="eastAsia" w:ascii="宋体" w:hAnsi="宋体" w:cs="Courier New"/>
          <w:color w:val="000000" w:themeColor="text1"/>
          <w:sz w:val="24"/>
          <w:szCs w:val="24"/>
          <w:highlight w:val="none"/>
        </w:rPr>
        <w:t xml:space="preserve">联系电话：                    联系电话：          </w:t>
      </w:r>
      <w:r>
        <w:rPr>
          <w:rFonts w:hint="eastAsia" w:ascii="宋体" w:hAnsi="Courier New" w:cs="Courier New"/>
          <w:color w:val="000000" w:themeColor="text1"/>
          <w:highlight w:val="none"/>
        </w:rPr>
      </w:r>
      <w:r>
        <w:rPr>
          <w:color w:val="000000" w:themeColor="text1"/>
          <w:highlight w:val="none"/>
        </w:rPr>
      </w:r>
    </w:p>
    <w:p>
      <w:pPr>
        <w:pStyle w:val="883"/>
        <w:jc w:val="center"/>
        <w:spacing w:line="400" w:lineRule="exact"/>
        <w:rPr>
          <w:rFonts w:hint="eastAsia" w:ascii="宋体" w:hAnsi="宋体" w:cs="Courier New"/>
          <w:color w:val="000000" w:themeColor="text1"/>
          <w:sz w:val="24"/>
          <w:szCs w:val="24"/>
          <w:highlight w:val="none"/>
        </w:rPr>
      </w:pPr>
      <w:r>
        <w:rPr>
          <w:rFonts w:hint="eastAsia" w:ascii="宋体" w:hAnsi="Courier New" w:cs="Courier New"/>
          <w:color w:val="000000" w:themeColor="text1"/>
          <w:highlight w:val="none"/>
        </w:rPr>
        <w:t xml:space="preserve">                 </w:t>
      </w:r>
      <w:r>
        <w:rPr>
          <w:rFonts w:hint="eastAsia" w:ascii="宋体" w:hAnsi="宋体" w:cs="Courier New"/>
          <w:color w:val="000000" w:themeColor="text1"/>
          <w:sz w:val="24"/>
          <w:szCs w:val="24"/>
          <w:highlight w:val="none"/>
        </w:rPr>
        <w:t xml:space="preserve">   </w:t>
      </w:r>
      <w:r>
        <w:rPr>
          <w:color w:val="000000" w:themeColor="text1"/>
          <w:highlight w:val="none"/>
        </w:rPr>
      </w:r>
    </w:p>
    <w:p>
      <w:pPr>
        <w:pStyle w:val="883"/>
        <w:jc w:val="center"/>
        <w:spacing w:line="400" w:lineRule="exact"/>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r>
      <w:r>
        <w:rPr>
          <w:color w:val="000000" w:themeColor="text1"/>
          <w:highlight w:val="none"/>
        </w:rPr>
      </w:r>
    </w:p>
    <w:p>
      <w:pPr>
        <w:pStyle w:val="883"/>
        <w:ind w:firstLine="480"/>
        <w:spacing w:line="400" w:lineRule="exact"/>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                    </w:t>
      </w:r>
      <w:r>
        <w:rPr>
          <w:rFonts w:ascii="宋体" w:hAnsi="宋体" w:cs="Courier New"/>
          <w:color w:val="000000" w:themeColor="text1"/>
          <w:sz w:val="24"/>
          <w:szCs w:val="24"/>
          <w:highlight w:val="none"/>
        </w:rPr>
        <w:t xml:space="preserve">签订日期：      年  </w:t>
      </w:r>
      <w:r>
        <w:rPr>
          <w:rFonts w:hint="eastAsia" w:ascii="宋体" w:hAnsi="宋体" w:cs="Courier New"/>
          <w:color w:val="000000" w:themeColor="text1"/>
          <w:sz w:val="24"/>
          <w:szCs w:val="24"/>
          <w:highlight w:val="none"/>
        </w:rPr>
        <w:t xml:space="preserve">  </w:t>
      </w:r>
      <w:r>
        <w:rPr>
          <w:rFonts w:ascii="宋体" w:hAnsi="宋体" w:cs="Courier New"/>
          <w:color w:val="000000" w:themeColor="text1"/>
          <w:sz w:val="24"/>
          <w:szCs w:val="24"/>
          <w:highlight w:val="none"/>
        </w:rPr>
        <w:t xml:space="preserve">月  </w:t>
      </w:r>
      <w:r>
        <w:rPr>
          <w:rFonts w:hint="eastAsia" w:ascii="宋体" w:hAnsi="宋体" w:cs="Courier New"/>
          <w:color w:val="000000" w:themeColor="text1"/>
          <w:sz w:val="24"/>
          <w:szCs w:val="24"/>
          <w:highlight w:val="none"/>
        </w:rPr>
        <w:t xml:space="preserve"> </w:t>
      </w:r>
      <w:r>
        <w:rPr>
          <w:rFonts w:ascii="宋体" w:hAnsi="宋体" w:cs="Courier New"/>
          <w:color w:val="000000" w:themeColor="text1"/>
          <w:sz w:val="24"/>
          <w:szCs w:val="24"/>
          <w:highlight w:val="none"/>
        </w:rPr>
        <w:t xml:space="preserve">日</w:t>
      </w:r>
      <w:r>
        <w:rPr>
          <w:rFonts w:hint="eastAsia" w:ascii="宋体" w:hAnsi="宋体" w:cs="Courier New"/>
          <w:color w:val="000000" w:themeColor="text1"/>
          <w:sz w:val="24"/>
          <w:szCs w:val="24"/>
          <w:highlight w:val="none"/>
        </w:rPr>
      </w:r>
      <w:r>
        <w:rPr>
          <w:color w:val="000000" w:themeColor="text1"/>
          <w:highlight w:val="none"/>
        </w:rPr>
      </w:r>
    </w:p>
    <w:p>
      <w:pPr>
        <w:pStyle w:val="883"/>
        <w:ind w:firstLine="480"/>
        <w:spacing w:line="400" w:lineRule="exact"/>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r>
      <w:r>
        <w:rPr>
          <w:color w:val="000000" w:themeColor="text1"/>
          <w:highlight w:val="none"/>
        </w:rPr>
      </w:r>
    </w:p>
    <w:p>
      <w:pPr>
        <w:pStyle w:val="883"/>
        <w:ind w:firstLine="480"/>
        <w:spacing w:line="400" w:lineRule="exact"/>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r>
      <w:r>
        <w:rPr>
          <w:color w:val="000000" w:themeColor="text1"/>
          <w:highlight w:val="none"/>
        </w:rPr>
      </w:r>
    </w:p>
    <w:p>
      <w:pPr>
        <w:pStyle w:val="883"/>
        <w:ind w:firstLine="480"/>
        <w:spacing w:line="400" w:lineRule="exact"/>
        <w:rPr>
          <w:rFonts w:ascii="宋体" w:hAnsi="宋体"/>
          <w:bCs/>
          <w:color w:val="000000" w:themeColor="text1"/>
          <w:sz w:val="24"/>
          <w:szCs w:val="24"/>
          <w:highlight w:val="none"/>
        </w:rPr>
      </w:pPr>
      <w:r>
        <w:rPr>
          <w:rFonts w:hint="eastAsia" w:ascii="宋体" w:hAnsi="宋体" w:cs="Courier New"/>
          <w:color w:val="000000" w:themeColor="text1"/>
          <w:sz w:val="24"/>
          <w:szCs w:val="24"/>
          <w:highlight w:val="none"/>
        </w:rPr>
        <w:t xml:space="preserve">注：采购人也可参考财政部制定的《政府采购货物买卖合同（试行）》使用，《政府采购货物买卖合同（试行）》电子版请登录中国政府采购网（www.ccgp.gov.cn）下载。</w:t>
      </w:r>
      <w:r>
        <w:rPr>
          <w:rFonts w:ascii="宋体" w:hAnsi="宋体"/>
          <w:bCs/>
          <w:color w:val="000000" w:themeColor="text1"/>
          <w:sz w:val="24"/>
          <w:szCs w:val="24"/>
          <w:highlight w:val="none"/>
        </w:rPr>
      </w:r>
      <w:r>
        <w:rPr>
          <w:color w:val="000000" w:themeColor="text1"/>
          <w:highlight w:val="none"/>
        </w:rPr>
      </w:r>
    </w:p>
    <w:p>
      <w:pPr>
        <w:pStyle w:val="883"/>
        <w:spacing w:line="400" w:lineRule="exact"/>
        <w:rPr>
          <w:rFonts w:ascii="宋体" w:hAnsi="宋体" w:cs="宋体"/>
          <w:color w:val="000000" w:themeColor="text1"/>
          <w:sz w:val="24"/>
          <w:highlight w:val="none"/>
        </w:rPr>
        <w:outlineLvl w:val="0"/>
      </w:pPr>
      <w:r>
        <w:rPr>
          <w:rFonts w:ascii="宋体" w:hAnsi="宋体" w:cs="宋体"/>
          <w:color w:val="000000" w:themeColor="text1"/>
          <w:sz w:val="24"/>
          <w:highlight w:val="none"/>
        </w:rPr>
        <w:t xml:space="preserve"> </w:t>
      </w:r>
      <w:r>
        <w:rPr>
          <w:color w:val="000000" w:themeColor="text1"/>
          <w:highlight w:val="none"/>
        </w:rPr>
      </w:r>
    </w:p>
    <w:p>
      <w:pPr>
        <w:pStyle w:val="883"/>
        <w:ind w:firstLine="480"/>
        <w:jc w:val="center"/>
        <w:spacing w:line="288" w:lineRule="auto"/>
        <w:rPr>
          <w:rFonts w:hint="eastAsia" w:hAnsi="宋体"/>
          <w:color w:val="000000" w:themeColor="text1"/>
          <w:sz w:val="36"/>
          <w:szCs w:val="36"/>
          <w:highlight w:val="none"/>
        </w:rPr>
      </w:pPr>
      <w:r>
        <w:rPr>
          <w:rFonts w:ascii="宋体" w:hAnsi="宋体"/>
          <w:bCs/>
          <w:color w:val="000000" w:themeColor="text1"/>
          <w:sz w:val="24"/>
          <w:szCs w:val="24"/>
          <w:highlight w:val="none"/>
        </w:rPr>
        <w:br w:type="page" w:clear="all"/>
      </w:r>
      <w:bookmarkEnd w:id="181"/>
      <w:r>
        <w:rPr>
          <w:color w:val="000000" w:themeColor="text1"/>
          <w:highlight w:val="none"/>
        </w:rPr>
      </w:r>
      <w:bookmarkEnd w:id="182"/>
      <w:r>
        <w:rPr>
          <w:color w:val="000000" w:themeColor="text1"/>
          <w:highlight w:val="none"/>
        </w:rPr>
      </w:r>
      <w:bookmarkEnd w:id="183"/>
      <w:r>
        <w:rPr>
          <w:color w:val="000000" w:themeColor="text1"/>
          <w:highlight w:val="none"/>
        </w:rPr>
      </w:r>
      <w:bookmarkStart w:id="184" w:name="_Hlt16619369"/>
      <w:r>
        <w:rPr>
          <w:color w:val="000000" w:themeColor="text1"/>
          <w:highlight w:val="none"/>
        </w:rPr>
      </w:r>
      <w:bookmarkEnd w:id="184"/>
      <w:r>
        <w:rPr>
          <w:color w:val="000000" w:themeColor="text1"/>
          <w:highlight w:val="none"/>
        </w:rPr>
      </w:r>
      <w:bookmarkStart w:id="185" w:name="_Hlt16619350"/>
      <w:r>
        <w:rPr>
          <w:color w:val="000000" w:themeColor="text1"/>
          <w:highlight w:val="none"/>
        </w:rPr>
      </w:r>
      <w:bookmarkStart w:id="186" w:name="_Toc16938590"/>
      <w:r>
        <w:rPr>
          <w:color w:val="000000" w:themeColor="text1"/>
          <w:highlight w:val="none"/>
        </w:rPr>
      </w:r>
      <w:bookmarkStart w:id="187" w:name="_Toc20823346"/>
      <w:r>
        <w:rPr>
          <w:color w:val="000000" w:themeColor="text1"/>
          <w:highlight w:val="none"/>
        </w:rPr>
      </w:r>
      <w:bookmarkStart w:id="188" w:name="_Toc120614244"/>
      <w:r>
        <w:rPr>
          <w:color w:val="000000" w:themeColor="text1"/>
          <w:highlight w:val="none"/>
        </w:rPr>
      </w:r>
      <w:bookmarkStart w:id="189" w:name="_Toc479757211"/>
      <w:r>
        <w:rPr>
          <w:color w:val="000000" w:themeColor="text1"/>
          <w:highlight w:val="none"/>
        </w:rPr>
      </w:r>
      <w:bookmarkStart w:id="190" w:name="_Toc462564139"/>
      <w:r>
        <w:rPr>
          <w:rFonts w:hint="eastAsia" w:ascii="黑体" w:eastAsia="黑体"/>
          <w:bCs/>
          <w:color w:val="000000" w:themeColor="text1"/>
          <w:sz w:val="36"/>
          <w:szCs w:val="36"/>
          <w:highlight w:val="none"/>
        </w:rPr>
        <w:t xml:space="preserve">第</w:t>
      </w:r>
      <w:bookmarkEnd w:id="185"/>
      <w:r>
        <w:rPr>
          <w:rFonts w:hint="eastAsia" w:ascii="黑体" w:eastAsia="黑体"/>
          <w:bCs/>
          <w:color w:val="000000" w:themeColor="text1"/>
          <w:sz w:val="36"/>
          <w:szCs w:val="36"/>
          <w:highlight w:val="none"/>
        </w:rPr>
        <w:t xml:space="preserve">四章 采购需求</w:t>
      </w:r>
      <w:bookmarkEnd w:id="186"/>
      <w:r>
        <w:rPr>
          <w:color w:val="000000" w:themeColor="text1"/>
          <w:highlight w:val="none"/>
        </w:rPr>
      </w:r>
      <w:bookmarkEnd w:id="187"/>
      <w:r>
        <w:rPr>
          <w:color w:val="000000" w:themeColor="text1"/>
          <w:highlight w:val="none"/>
        </w:rPr>
      </w:r>
      <w:bookmarkEnd w:id="188"/>
      <w:r>
        <w:rPr>
          <w:rFonts w:hint="eastAsia" w:hAnsi="宋体"/>
          <w:color w:val="000000" w:themeColor="text1"/>
          <w:sz w:val="36"/>
          <w:szCs w:val="36"/>
          <w:highlight w:val="none"/>
        </w:rPr>
      </w:r>
      <w:r>
        <w:rPr>
          <w:color w:val="000000" w:themeColor="text1"/>
          <w:highlight w:val="none"/>
        </w:rPr>
      </w:r>
    </w:p>
    <w:p>
      <w:pPr>
        <w:pStyle w:val="883"/>
        <w:ind w:firstLine="600"/>
        <w:jc w:val="left"/>
        <w:spacing w:line="360" w:lineRule="auto"/>
        <w:rPr>
          <w:rFonts w:hint="eastAsia" w:ascii="黑体" w:hAnsi="黑体" w:eastAsia="黑体"/>
          <w:color w:val="000000" w:themeColor="text1"/>
          <w:sz w:val="30"/>
          <w:szCs w:val="30"/>
          <w:highlight w:val="none"/>
        </w:rPr>
      </w:pPr>
      <w:r>
        <w:rPr>
          <w:color w:val="000000" w:themeColor="text1"/>
          <w:highlight w:val="none"/>
        </w:rPr>
      </w:r>
      <w:bookmarkStart w:id="191" w:name="_Toc26554093"/>
      <w:r>
        <w:rPr>
          <w:color w:val="000000" w:themeColor="text1"/>
          <w:highlight w:val="none"/>
        </w:rPr>
      </w:r>
      <w:bookmarkStart w:id="192" w:name="_Toc49090575"/>
      <w:r>
        <w:rPr>
          <w:rFonts w:hint="eastAsia" w:ascii="黑体" w:hAnsi="黑体" w:eastAsia="黑体"/>
          <w:color w:val="000000" w:themeColor="text1"/>
          <w:sz w:val="30"/>
          <w:szCs w:val="30"/>
          <w:highlight w:val="none"/>
        </w:rPr>
        <w:t xml:space="preserve">本项目属性：</w:t>
      </w:r>
      <w:r>
        <w:rPr>
          <w:rFonts w:hint="eastAsia" w:ascii="黑体" w:hAnsi="黑体" w:eastAsia="黑体"/>
          <w:color w:val="000000" w:themeColor="text1"/>
          <w:sz w:val="30"/>
          <w:szCs w:val="30"/>
          <w:highlight w:val="none"/>
        </w:rPr>
        <w:t xml:space="preserve">货物类项目</w:t>
      </w:r>
      <w:r>
        <w:rPr>
          <w:rFonts w:hint="eastAsia" w:ascii="黑体" w:hAnsi="黑体" w:eastAsia="黑体"/>
          <w:color w:val="000000" w:themeColor="text1"/>
          <w:sz w:val="30"/>
          <w:szCs w:val="30"/>
          <w:highlight w:val="none"/>
        </w:rPr>
      </w:r>
      <w:r>
        <w:rPr>
          <w:color w:val="000000" w:themeColor="text1"/>
          <w:highlight w:val="none"/>
        </w:rPr>
      </w:r>
    </w:p>
    <w:p>
      <w:pPr>
        <w:pStyle w:val="883"/>
        <w:ind w:firstLine="480"/>
        <w:jc w:val="left"/>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投标人所投内容必须满足以下要求，不得有负偏离。</w:t>
      </w:r>
      <w:r>
        <w:rPr>
          <w:color w:val="000000" w:themeColor="text1"/>
          <w:highlight w:val="none"/>
        </w:rPr>
      </w:r>
    </w:p>
    <w:p>
      <w:pPr>
        <w:pStyle w:val="883"/>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本项目标的物所属行业：工业</w:t>
      </w:r>
      <w:r>
        <w:rPr>
          <w:color w:val="000000" w:themeColor="text1"/>
          <w:highlight w:val="none"/>
        </w:rPr>
      </w:r>
    </w:p>
    <w:p>
      <w:pPr>
        <w:pStyle w:val="883"/>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本项目中的P1.25LED拼接屏为核心产品。</w:t>
      </w:r>
      <w:r>
        <w:rPr>
          <w:color w:val="000000" w:themeColor="text1"/>
          <w:highlight w:val="none"/>
        </w:rPr>
      </w:r>
    </w:p>
    <w:p>
      <w:pPr>
        <w:pStyle w:val="883"/>
        <w:ind w:firstLine="602"/>
        <w:spacing w:line="360" w:lineRule="auto"/>
        <w:rPr>
          <w:rFonts w:hint="eastAsia" w:ascii="宋体" w:hAnsi="宋体"/>
          <w:b/>
          <w:color w:val="000000" w:themeColor="text1"/>
          <w:sz w:val="30"/>
          <w:szCs w:val="30"/>
          <w:highlight w:val="none"/>
        </w:rPr>
      </w:pPr>
      <w:r>
        <w:rPr>
          <w:rFonts w:hint="eastAsia" w:ascii="宋体" w:hAnsi="宋体"/>
          <w:b/>
          <w:color w:val="000000" w:themeColor="text1"/>
          <w:sz w:val="30"/>
          <w:szCs w:val="30"/>
          <w:highlight w:val="none"/>
        </w:rPr>
        <w:t xml:space="preserve">第一部分  项目技术要求</w:t>
      </w:r>
      <w:r>
        <w:rPr>
          <w:color w:val="000000" w:themeColor="text1"/>
          <w:highlight w:val="none"/>
        </w:rPr>
      </w:r>
    </w:p>
    <w:p>
      <w:pPr>
        <w:pStyle w:val="883"/>
        <w:ind w:firstLine="480"/>
        <w:spacing w:line="360" w:lineRule="auto"/>
        <w:rPr>
          <w:rFonts w:ascii="宋体" w:hAnsi="宋体"/>
          <w:bCs/>
          <w:color w:val="000000" w:themeColor="text1"/>
          <w:sz w:val="24"/>
          <w:szCs w:val="24"/>
          <w:highlight w:val="none"/>
        </w:rPr>
      </w:pPr>
      <w:r>
        <w:rPr>
          <w:rFonts w:ascii="宋体" w:hAnsi="宋体"/>
          <w:bCs/>
          <w:color w:val="000000" w:themeColor="text1"/>
          <w:sz w:val="24"/>
          <w:szCs w:val="24"/>
          <w:highlight w:val="none"/>
        </w:rPr>
      </w:r>
      <w:r>
        <w:rPr>
          <w:color w:val="000000" w:themeColor="text1"/>
          <w:highlight w:val="none"/>
        </w:rPr>
      </w:r>
    </w:p>
    <w:p>
      <w:pPr>
        <w:pStyle w:val="886"/>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1.项目概述</w:t>
      </w:r>
      <w:r>
        <w:rPr>
          <w:color w:val="000000" w:themeColor="text1"/>
          <w:highlight w:val="none"/>
        </w:rPr>
      </w:r>
    </w:p>
    <w:p>
      <w:pPr>
        <w:pStyle w:val="883"/>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根据相关文件规定要求，现依托市公安局现有主楼四楼空置区域独立建设市本级反诈中心，智能化建设主要包括大屏显示系统、会议系统、应急广播系统、门禁系统、视频监控系统、智能照明系统、网络系统、综合布线系统。通过此次智能化建设项目，进一步筑牢“心盾”防范屏障、发起“天网”打击攻势、深化源头治理管控，推动形成全链条反诈、全行业阻诈、全社会防诈的打防格局，促进全力守护百姓钱袋子工作目标的达成。</w:t>
      </w:r>
      <w:r>
        <w:rPr>
          <w:color w:val="000000" w:themeColor="text1"/>
          <w:highlight w:val="none"/>
        </w:rPr>
      </w:r>
    </w:p>
    <w:p>
      <w:pPr>
        <w:pStyle w:val="886"/>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2.项目建设内容</w:t>
      </w:r>
      <w:r>
        <w:rPr>
          <w:color w:val="000000" w:themeColor="text1"/>
          <w:highlight w:val="none"/>
        </w:rPr>
      </w:r>
    </w:p>
    <w:p>
      <w:pPr>
        <w:pStyle w:val="883"/>
        <w:ind w:firstLine="482"/>
        <w:spacing w:line="360" w:lineRule="auto"/>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一、大屏系统</w:t>
      </w:r>
      <w:r>
        <w:rPr>
          <w:color w:val="000000" w:themeColor="text1"/>
          <w:highlight w:val="none"/>
        </w:rPr>
      </w:r>
    </w:p>
    <w:p>
      <w:pPr>
        <w:pStyle w:val="883"/>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（1）LED大屏建设</w:t>
      </w:r>
      <w:r>
        <w:rPr>
          <w:color w:val="000000" w:themeColor="text1"/>
          <w:highlight w:val="none"/>
        </w:rPr>
      </w:r>
    </w:p>
    <w:p>
      <w:pPr>
        <w:pStyle w:val="883"/>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本项目 LED 拟采用高密度小间距产品，小间距高清 </w:t>
      </w:r>
      <w:r>
        <w:rPr>
          <w:rFonts w:hint="eastAsia" w:ascii="宋体" w:hAnsi="宋体" w:cs="宋体"/>
          <w:color w:val="000000" w:themeColor="text1"/>
          <w:sz w:val="24"/>
          <w:szCs w:val="24"/>
          <w:highlight w:val="none"/>
        </w:rPr>
        <w:t xml:space="preserve">LED 显示技术，是采用小间距表贴封装 LED 作为显示面板，支持整屏无缝拼接， 组成一个高分率的数字显示系统。在充分地对客户实际应用需求进行分析、对现场环境进行认真考察后，建议将 LED 高清晰度数字显示技术、多屏图 处理技术、信号切换技术、网络技术等的应用综合为一体，形成一个有高亮度、高清晰度、高智能化控制、操作方法先进的LED大屏显示系统。LED大屏面积43.74平方米（21.6M*2.025M ），分辨率17280*1620 ，根据现场环境采用落地支架进行布置，前维护的安装方式，充分利用现场空间。 </w:t>
      </w:r>
      <w:r>
        <w:rPr>
          <w:color w:val="000000" w:themeColor="text1"/>
          <w:highlight w:val="none"/>
        </w:rPr>
      </w:r>
    </w:p>
    <w:p>
      <w:pPr>
        <w:pStyle w:val="883"/>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原来反诈中心有一块LED屏幕，屏幕面积14.58平方米（长7.2m，高2.025m），利旧使用，整个项目需要考虑原有LED屏幕拆除、搬迁、安装、调试及坏点修复。</w:t>
      </w:r>
      <w:r>
        <w:rPr>
          <w:color w:val="000000" w:themeColor="text1"/>
          <w:highlight w:val="none"/>
        </w:rPr>
      </w:r>
    </w:p>
    <w:p>
      <w:pPr>
        <w:pStyle w:val="883"/>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原反诈中心侦察打击区和宣传防范区各有两套3*2LCD拼接屏幕（55寸），利旧使用，整个项目需要考虑原有LCD屏幕拆除、搬迁、安装、调试及坏点修复。</w:t>
      </w:r>
      <w:r>
        <w:rPr>
          <w:color w:val="000000" w:themeColor="text1"/>
          <w:highlight w:val="none"/>
        </w:rPr>
      </w:r>
    </w:p>
    <w:p>
      <w:pPr>
        <w:pStyle w:val="883"/>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（2）视频切换系统</w:t>
      </w:r>
      <w:r>
        <w:rPr>
          <w:color w:val="000000" w:themeColor="text1"/>
          <w:highlight w:val="none"/>
        </w:rPr>
      </w:r>
    </w:p>
    <w:p>
      <w:pPr>
        <w:pStyle w:val="883"/>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为了实现反诈中心各项职能，需要建设包括显示系统、信息传输切换系统、视频处理系统、可视化管控系统等多系统为一体的硬件支撑系统。各个系统各施其能，为反诈中心各项职能活动的开展提供音视频传输、汇聚、切换、视频处理、大屏显示等多种功能。通过可视化智能中控对各个系统整合，构建统一的多系统综合控制系统，简化多系统操作流程，提高管控效率，做到及时响应、快速指挥。</w:t>
      </w:r>
      <w:r>
        <w:rPr>
          <w:color w:val="000000" w:themeColor="text1"/>
          <w:highlight w:val="none"/>
        </w:rPr>
      </w:r>
    </w:p>
    <w:p>
      <w:pPr>
        <w:pStyle w:val="883"/>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基于以上需求分析，本次方案建议采用光纤矩阵+拼接控制器+智能化中控组成解决方案，实现信号采集接入、传输切换、视频处理、拼接显示、可视化控制等功能。</w:t>
      </w:r>
      <w:r>
        <w:rPr>
          <w:color w:val="000000" w:themeColor="text1"/>
          <w:highlight w:val="none"/>
        </w:rPr>
      </w:r>
    </w:p>
    <w:p>
      <w:pPr>
        <w:pStyle w:val="883"/>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系统整合计算机系统、网络、实时视频等多种数据资源，构建反诈中心视频图像资源池，在日常值守、应急指挥等活动中，按需在资源池中调取视频图像信号，并在显示设备上进行高清晰、高分辨的图像显示和窗口组合显示，并可按需设定成不同的使用模式，提供给不同场景下任意调用，满足信息集中显示、大数据量处理、实时准确显示的需要，为迅速分析判断、综合调度和决策指挥提供必要支持。</w:t>
      </w:r>
      <w:r>
        <w:rPr>
          <w:color w:val="000000" w:themeColor="text1"/>
          <w:highlight w:val="none"/>
        </w:rPr>
      </w:r>
    </w:p>
    <w:p>
      <w:pPr>
        <w:pStyle w:val="883"/>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系统包括部署在中心机房的光纤矩阵（包括发送和接收光端机）、拼接控制器、国产化智能中控设备等核心功能设备。</w:t>
      </w:r>
      <w:r>
        <w:rPr>
          <w:color w:val="000000" w:themeColor="text1"/>
          <w:highlight w:val="none"/>
        </w:rPr>
      </w:r>
    </w:p>
    <w:p>
      <w:pPr>
        <w:pStyle w:val="883"/>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系统采用一体化设计理念，以光纤为主要传输介质，以网络为通信纽带，通过可视化综合管控平台，实现统一的功能控制和系统维护。</w:t>
      </w:r>
      <w:r>
        <w:rPr>
          <w:color w:val="000000" w:themeColor="text1"/>
          <w:highlight w:val="none"/>
        </w:rPr>
      </w:r>
    </w:p>
    <w:p>
      <w:pPr>
        <w:pStyle w:val="883"/>
        <w:ind w:firstLine="482"/>
        <w:spacing w:line="360" w:lineRule="auto"/>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二、会议系统</w:t>
      </w:r>
      <w:r>
        <w:rPr>
          <w:color w:val="000000" w:themeColor="text1"/>
          <w:highlight w:val="none"/>
        </w:rPr>
      </w:r>
    </w:p>
    <w:p>
      <w:pPr>
        <w:pStyle w:val="883"/>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（1）发言系统</w:t>
      </w:r>
      <w:r>
        <w:rPr>
          <w:color w:val="000000" w:themeColor="text1"/>
          <w:highlight w:val="none"/>
        </w:rPr>
      </w:r>
    </w:p>
    <w:p>
      <w:pPr>
        <w:pStyle w:val="883"/>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配置10只手拉手方杆会议话筒，放置于领导席，实现会议讨论发言功能，保证声音还原度；在观摩席配置无线鹅颈话筒，用于灵活发言使用，整个反诈中心配置4只无线手持话筒，用于移动发言、讲解使用。无线话筒主机放置于弱电机房，机房与反诈指挥中心距离有40米，为了防止无线信号传输受到影响，增加一套无线话筒信号放大器。</w:t>
      </w:r>
      <w:r>
        <w:rPr>
          <w:color w:val="000000" w:themeColor="text1"/>
          <w:highlight w:val="none"/>
        </w:rPr>
      </w:r>
    </w:p>
    <w:p>
      <w:pPr>
        <w:pStyle w:val="883"/>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（2）扩声系统</w:t>
      </w:r>
      <w:r>
        <w:rPr>
          <w:color w:val="000000" w:themeColor="text1"/>
          <w:highlight w:val="none"/>
        </w:rPr>
      </w:r>
    </w:p>
    <w:p>
      <w:pPr>
        <w:pStyle w:val="883"/>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本项目配置2套音柱和16套6.5寸吸顶音箱，主要用于反诈中心和研判支撑区人声的扩音及音频文件的播放，系统具有音频信号放大和处理功能，能够达到扩散性良好，声场分布均 ，响度合适，自然度好的要求，能够提供清晰自然的 扩声，满足日常会议扩声，报告演讲等功能需求。 </w:t>
      </w:r>
      <w:r>
        <w:rPr>
          <w:color w:val="000000" w:themeColor="text1"/>
          <w:highlight w:val="none"/>
        </w:rPr>
      </w:r>
    </w:p>
    <w:p>
      <w:pPr>
        <w:pStyle w:val="883"/>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（3）视频会议系统</w:t>
      </w:r>
      <w:r>
        <w:rPr>
          <w:color w:val="000000" w:themeColor="text1"/>
          <w:highlight w:val="none"/>
        </w:rPr>
      </w:r>
    </w:p>
    <w:p>
      <w:pPr>
        <w:pStyle w:val="883"/>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本项目视频会议系统建设1套多点控制单元（MCU），配置20路视频会议授权，满足市局与区级部门视频会议，多点控制单元（MCU）采用先进的云架构设计理念，支持H.265编解码协议，内置统一管理、灵活用户权限设置、双模混合会议、虚拟会议室、即时通讯等功能。反诈中心建设一套视频会议终端，研判支撑区大屏两侧各安装一台视频会议摄像机，用作本地画面传输；项目中配置一台电视墙，用于展示远端会议场所监控画面，电视墙负责将各会场的音频图像解码输出到视频矩阵分配或直接输出到显示设备，实现多路图像解码上墙显示。</w:t>
      </w:r>
      <w:r>
        <w:rPr>
          <w:color w:val="000000" w:themeColor="text1"/>
          <w:highlight w:val="none"/>
        </w:rPr>
      </w:r>
    </w:p>
    <w:p>
      <w:pPr>
        <w:pStyle w:val="883"/>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（4）可视化中控系统</w:t>
      </w:r>
      <w:r>
        <w:rPr>
          <w:color w:val="000000" w:themeColor="text1"/>
          <w:highlight w:val="none"/>
        </w:rPr>
      </w:r>
    </w:p>
    <w:p>
      <w:pPr>
        <w:pStyle w:val="883"/>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使用者通过平板上显示的预览画面即可锁定相应输入源，实现快速切换，防止误操作。视频源可按照不同部门、不同区域实现分类分组，方便查找和快速调用。中控系统可实现大屏场景切换，会场音量调整等功能。</w:t>
      </w:r>
      <w:r>
        <w:rPr>
          <w:color w:val="000000" w:themeColor="text1"/>
          <w:highlight w:val="none"/>
        </w:rPr>
      </w:r>
    </w:p>
    <w:p>
      <w:pPr>
        <w:pStyle w:val="883"/>
        <w:ind w:firstLine="482"/>
        <w:spacing w:line="360" w:lineRule="auto"/>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三、应急广播系统</w:t>
      </w:r>
      <w:r>
        <w:rPr>
          <w:color w:val="000000" w:themeColor="text1"/>
          <w:highlight w:val="none"/>
        </w:rPr>
      </w:r>
    </w:p>
    <w:p>
      <w:pPr>
        <w:pStyle w:val="883"/>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该项目对应急广播系统的使用需求，结合相关设计标准《应急广播系统工程技术规范》编号 GB50526-2010、（中华人民共和国公安部火灾自动报警系统设计规范（摘录）（GB50116-2013））和建设图纸进行设计；应急广播系统选择以实用性、先进性、可靠性、开放性、兼容性、标准化为原则；本次大楼应急广播系统设计主要满足背景音乐广播和消防广播两部分。</w:t>
      </w:r>
      <w:r>
        <w:rPr>
          <w:color w:val="000000" w:themeColor="text1"/>
          <w:highlight w:val="none"/>
        </w:rPr>
      </w:r>
    </w:p>
    <w:p>
      <w:pPr>
        <w:pStyle w:val="883"/>
        <w:ind w:firstLine="482"/>
        <w:spacing w:line="360" w:lineRule="auto"/>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四、门禁系统</w:t>
      </w:r>
      <w:r>
        <w:rPr>
          <w:color w:val="000000" w:themeColor="text1"/>
          <w:highlight w:val="none"/>
        </w:rPr>
      </w:r>
    </w:p>
    <w:p>
      <w:pPr>
        <w:pStyle w:val="883"/>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门禁系统，是安防智能化管理系统必不可少的。门禁系统是大楼综合保安系统的重要组成部分，其设计之主要目的是为实现人员出入权限控制及出入信息记录。本项目大楼属于新建项目，门禁等点位与基建没有交叉，不影响门禁等点位数量计算。配置6套人脸识别监控，能与原有大楼门禁系统互联。</w:t>
      </w:r>
      <w:r>
        <w:rPr>
          <w:color w:val="000000" w:themeColor="text1"/>
          <w:highlight w:val="none"/>
        </w:rPr>
      </w:r>
    </w:p>
    <w:p>
      <w:pPr>
        <w:pStyle w:val="883"/>
        <w:ind w:firstLine="482"/>
        <w:spacing w:line="360" w:lineRule="auto"/>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五、视频监控系统</w:t>
      </w:r>
      <w:r>
        <w:rPr>
          <w:color w:val="000000" w:themeColor="text1"/>
          <w:highlight w:val="none"/>
        </w:rPr>
      </w:r>
    </w:p>
    <w:p>
      <w:pPr>
        <w:pStyle w:val="883"/>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视频监控系统是安防智能化管理系统必不可少的重要部分。本次建设的摄像机，部署在大楼公共区域，可通过国标协议接入原有大楼监控系统。本项目配置16台400W像素高清半球监控，后端有效存储180天，部署在反诈中心公共区域，满足公安基本需求。</w:t>
      </w:r>
      <w:r>
        <w:rPr>
          <w:color w:val="000000" w:themeColor="text1"/>
          <w:highlight w:val="none"/>
        </w:rPr>
      </w:r>
    </w:p>
    <w:p>
      <w:pPr>
        <w:pStyle w:val="883"/>
        <w:ind w:firstLine="482"/>
        <w:spacing w:line="360" w:lineRule="auto"/>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六、智能照明系统</w:t>
      </w:r>
      <w:r>
        <w:rPr>
          <w:color w:val="000000" w:themeColor="text1"/>
          <w:highlight w:val="none"/>
        </w:rPr>
      </w:r>
    </w:p>
    <w:p>
      <w:pPr>
        <w:pStyle w:val="883"/>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智能照明控制系统组网方式灵活，扩展方便，当系统模块数量较少、距离较近、范围较小时，各设备以树形枝状延伸，构成支路系统智能照明控制系统；当系统模块数量较多、距离较远、范围较大时，用IP协议转换器组成多条支路，构成区域智能照明控制系统，合并到交换机组成总线。本项目配置3套智能照明智能面板，管理公共区域灯光，能实现定时控制、场景控制、感应控制等功能。</w:t>
      </w:r>
      <w:r>
        <w:rPr>
          <w:color w:val="000000" w:themeColor="text1"/>
          <w:highlight w:val="none"/>
        </w:rPr>
      </w:r>
    </w:p>
    <w:p>
      <w:pPr>
        <w:pStyle w:val="883"/>
        <w:ind w:firstLine="482"/>
        <w:spacing w:line="360" w:lineRule="auto"/>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七、网络系统</w:t>
      </w:r>
      <w:r>
        <w:rPr>
          <w:color w:val="000000" w:themeColor="text1"/>
          <w:highlight w:val="none"/>
        </w:rPr>
      </w:r>
    </w:p>
    <w:p>
      <w:pPr>
        <w:pStyle w:val="883"/>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本次无锡市公安局反诈中心网络主要分为公安信息网、公安视频网、政务网、设备网等4个部分，按照等级保护要求各套网络系统之间物理隔离，整体网络架构采用核心--接入的二层网络设计，二层网络架构采用层次化模型设计，即减少网络规格，每个层次着重于某些特定的功能，这样就能够使一个复杂的大问题变成许多简单的小问题。（接入交换机汇聚到大楼原有机房核心交换机）。</w:t>
      </w:r>
      <w:r>
        <w:rPr>
          <w:color w:val="000000" w:themeColor="text1"/>
          <w:highlight w:val="none"/>
        </w:rPr>
      </w:r>
    </w:p>
    <w:p>
      <w:pPr>
        <w:pStyle w:val="883"/>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公安网、视频网、政务网各配置四台48口全千兆交换机和两台24口全千兆交换机，交换机包含24/48个10/100/1000BASE-T 以太网端口,4个千兆 SFP 上行端口。</w:t>
      </w:r>
      <w:r>
        <w:rPr>
          <w:color w:val="000000" w:themeColor="text1"/>
          <w:highlight w:val="none"/>
        </w:rPr>
      </w:r>
    </w:p>
    <w:p>
      <w:pPr>
        <w:pStyle w:val="883"/>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设备网配置2台24口POE交换机，交换机包含24个 10/100/1000BASE-T 以太网端口,4个千兆SFP上行端口。</w:t>
      </w:r>
      <w:r>
        <w:rPr>
          <w:color w:val="000000" w:themeColor="text1"/>
          <w:highlight w:val="none"/>
        </w:rPr>
      </w:r>
    </w:p>
    <w:p>
      <w:pPr>
        <w:pStyle w:val="883"/>
        <w:ind w:firstLine="482"/>
        <w:spacing w:line="360" w:lineRule="auto"/>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八、综合布线系统</w:t>
      </w:r>
      <w:r>
        <w:rPr>
          <w:color w:val="000000" w:themeColor="text1"/>
          <w:highlight w:val="none"/>
        </w:rPr>
      </w:r>
    </w:p>
    <w:p>
      <w:pPr>
        <w:pStyle w:val="883"/>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本项目共有197个工位，每个工位放置3套网络+1套电话线路，反诈中心有两个弱电间，每个弱电间都放置光纤到中心机房。</w:t>
      </w:r>
      <w:r>
        <w:rPr>
          <w:color w:val="000000" w:themeColor="text1"/>
          <w:highlight w:val="none"/>
        </w:rPr>
      </w:r>
    </w:p>
    <w:p>
      <w:pPr>
        <w:pStyle w:val="886"/>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3.项目采购清单（单位：元）</w:t>
      </w:r>
      <w:r>
        <w:rPr>
          <w:color w:val="000000" w:themeColor="text1"/>
          <w:highlight w:val="none"/>
        </w:rPr>
      </w:r>
    </w:p>
    <w:tbl>
      <w:tblPr>
        <w:tblW w:w="0" w:type="auto"/>
        <w:tblInd w:w="96" w:type="dxa"/>
        <w:tblLayout w:type="autofit"/>
        <w:tblCellMar>
          <w:left w:w="108" w:type="dxa"/>
          <w:top w:w="0" w:type="dxa"/>
          <w:right w:w="108" w:type="dxa"/>
          <w:bottom w:w="0" w:type="dxa"/>
        </w:tblCellMar>
        <w:tblLook w:val="04A0" w:firstRow="1" w:lastRow="0" w:firstColumn="1" w:lastColumn="0" w:noHBand="0" w:noVBand="1"/>
      </w:tblPr>
      <w:tblGrid>
        <w:gridCol w:w="463"/>
        <w:gridCol w:w="1176"/>
        <w:gridCol w:w="4114"/>
        <w:gridCol w:w="467"/>
        <w:gridCol w:w="816"/>
        <w:gridCol w:w="2037"/>
      </w:tblGrid>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0</wp:posOffset>
                      </wp:positionH>
                      <wp:positionV relativeFrom="paragraph">
                        <wp:posOffset>0</wp:posOffset>
                      </wp:positionV>
                      <wp:extent cx="9525" cy="9525"/>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2"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0</wp:posOffset>
                      </wp:positionH>
                      <wp:positionV relativeFrom="paragraph">
                        <wp:posOffset>0</wp:posOffset>
                      </wp:positionV>
                      <wp:extent cx="9525" cy="9525"/>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8241;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3"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0</wp:posOffset>
                      </wp:positionH>
                      <wp:positionV relativeFrom="paragraph">
                        <wp:posOffset>0</wp:posOffset>
                      </wp:positionV>
                      <wp:extent cx="9525" cy="9525"/>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8242;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4"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0</wp:posOffset>
                      </wp:positionH>
                      <wp:positionV relativeFrom="paragraph">
                        <wp:posOffset>0</wp:posOffset>
                      </wp:positionV>
                      <wp:extent cx="9525" cy="9525"/>
                      <wp:effectExtent l="0" t="0" r="0" b="0"/>
                      <wp:wrapNone/>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8243;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5"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0</wp:posOffset>
                      </wp:positionH>
                      <wp:positionV relativeFrom="paragraph">
                        <wp:posOffset>0</wp:posOffset>
                      </wp:positionV>
                      <wp:extent cx="9525" cy="9525"/>
                      <wp:effectExtent l="0" t="0" r="0" b="0"/>
                      <wp:wrapNone/>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8244;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6"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0</wp:posOffset>
                      </wp:positionH>
                      <wp:positionV relativeFrom="paragraph">
                        <wp:posOffset>0</wp:posOffset>
                      </wp:positionV>
                      <wp:extent cx="9525" cy="9525"/>
                      <wp:effectExtent l="0" t="0" r="0" b="0"/>
                      <wp:wrapNone/>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8245;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7"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0</wp:posOffset>
                      </wp:positionH>
                      <wp:positionV relativeFrom="paragraph">
                        <wp:posOffset>0</wp:posOffset>
                      </wp:positionV>
                      <wp:extent cx="9525" cy="9525"/>
                      <wp:effectExtent l="0" t="0" r="0" b="0"/>
                      <wp:wrapNone/>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58246;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8"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0</wp:posOffset>
                      </wp:positionH>
                      <wp:positionV relativeFrom="paragraph">
                        <wp:posOffset>0</wp:posOffset>
                      </wp:positionV>
                      <wp:extent cx="9525" cy="9525"/>
                      <wp:effectExtent l="0" t="0" r="0" b="0"/>
                      <wp:wrapNone/>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58247;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9"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0</wp:posOffset>
                      </wp:positionH>
                      <wp:positionV relativeFrom="paragraph">
                        <wp:posOffset>0</wp:posOffset>
                      </wp:positionV>
                      <wp:extent cx="9525" cy="9525"/>
                      <wp:effectExtent l="0" t="0" r="0" b="0"/>
                      <wp:wrapNone/>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58248;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20"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0</wp:posOffset>
                      </wp:positionH>
                      <wp:positionV relativeFrom="paragraph">
                        <wp:posOffset>0</wp:posOffset>
                      </wp:positionV>
                      <wp:extent cx="9525" cy="9525"/>
                      <wp:effectExtent l="0" t="0" r="0" b="0"/>
                      <wp:wrapNone/>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58249;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21"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0</wp:posOffset>
                      </wp:positionH>
                      <wp:positionV relativeFrom="paragraph">
                        <wp:posOffset>0</wp:posOffset>
                      </wp:positionV>
                      <wp:extent cx="9525" cy="9525"/>
                      <wp:effectExtent l="0" t="0" r="0" b="0"/>
                      <wp:wrapNone/>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58250;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22"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0</wp:posOffset>
                      </wp:positionH>
                      <wp:positionV relativeFrom="paragraph">
                        <wp:posOffset>0</wp:posOffset>
                      </wp:positionV>
                      <wp:extent cx="9525" cy="9525"/>
                      <wp:effectExtent l="0" t="0" r="0" b="0"/>
                      <wp:wrapNone/>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58251;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23"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0</wp:posOffset>
                      </wp:positionH>
                      <wp:positionV relativeFrom="paragraph">
                        <wp:posOffset>0</wp:posOffset>
                      </wp:positionV>
                      <wp:extent cx="9525" cy="9525"/>
                      <wp:effectExtent l="0" t="0" r="0" b="0"/>
                      <wp:wrapNone/>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58252;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24"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0</wp:posOffset>
                      </wp:positionH>
                      <wp:positionV relativeFrom="paragraph">
                        <wp:posOffset>0</wp:posOffset>
                      </wp:positionV>
                      <wp:extent cx="9525" cy="9525"/>
                      <wp:effectExtent l="0" t="0" r="0" b="0"/>
                      <wp:wrapNone/>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58253;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25"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0</wp:posOffset>
                      </wp:positionH>
                      <wp:positionV relativeFrom="paragraph">
                        <wp:posOffset>0</wp:posOffset>
                      </wp:positionV>
                      <wp:extent cx="9525" cy="9525"/>
                      <wp:effectExtent l="0" t="0" r="0" b="0"/>
                      <wp:wrapNone/>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58254;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26"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0</wp:posOffset>
                      </wp:positionH>
                      <wp:positionV relativeFrom="paragraph">
                        <wp:posOffset>0</wp:posOffset>
                      </wp:positionV>
                      <wp:extent cx="9525" cy="9525"/>
                      <wp:effectExtent l="0" t="0" r="0" b="0"/>
                      <wp:wrapNone/>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58255;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27"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6" behindDoc="0" locked="0" layoutInCell="1" allowOverlap="1">
                      <wp:simplePos x="0" y="0"/>
                      <wp:positionH relativeFrom="column">
                        <wp:posOffset>0</wp:posOffset>
                      </wp:positionH>
                      <wp:positionV relativeFrom="paragraph">
                        <wp:posOffset>0</wp:posOffset>
                      </wp:positionV>
                      <wp:extent cx="9525" cy="9525"/>
                      <wp:effectExtent l="0" t="0" r="0" b="0"/>
                      <wp:wrapNone/>
                      <wp:docPr id="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58256;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28"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7" behindDoc="0" locked="0" layoutInCell="1" allowOverlap="1">
                      <wp:simplePos x="0" y="0"/>
                      <wp:positionH relativeFrom="column">
                        <wp:posOffset>0</wp:posOffset>
                      </wp:positionH>
                      <wp:positionV relativeFrom="paragraph">
                        <wp:posOffset>0</wp:posOffset>
                      </wp:positionV>
                      <wp:extent cx="9525" cy="9525"/>
                      <wp:effectExtent l="0" t="0" r="0" b="0"/>
                      <wp:wrapNone/>
                      <wp:docPr id="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58257;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29"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8" behindDoc="0" locked="0" layoutInCell="1" allowOverlap="1">
                      <wp:simplePos x="0" y="0"/>
                      <wp:positionH relativeFrom="column">
                        <wp:posOffset>0</wp:posOffset>
                      </wp:positionH>
                      <wp:positionV relativeFrom="paragraph">
                        <wp:posOffset>0</wp:posOffset>
                      </wp:positionV>
                      <wp:extent cx="9525" cy="9525"/>
                      <wp:effectExtent l="0" t="0" r="0" b="0"/>
                      <wp:wrapNone/>
                      <wp:docPr id="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58258;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30"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9" behindDoc="0" locked="0" layoutInCell="1" allowOverlap="1">
                      <wp:simplePos x="0" y="0"/>
                      <wp:positionH relativeFrom="column">
                        <wp:posOffset>0</wp:posOffset>
                      </wp:positionH>
                      <wp:positionV relativeFrom="paragraph">
                        <wp:posOffset>0</wp:posOffset>
                      </wp:positionV>
                      <wp:extent cx="9525" cy="9525"/>
                      <wp:effectExtent l="0" t="0" r="0" b="0"/>
                      <wp:wrapNone/>
                      <wp:docPr id="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1"/>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58259;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31"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60" behindDoc="0" locked="0" layoutInCell="1" allowOverlap="1">
                      <wp:simplePos x="0" y="0"/>
                      <wp:positionH relativeFrom="column">
                        <wp:posOffset>0</wp:posOffset>
                      </wp:positionH>
                      <wp:positionV relativeFrom="paragraph">
                        <wp:posOffset>0</wp:posOffset>
                      </wp:positionV>
                      <wp:extent cx="9525" cy="9525"/>
                      <wp:effectExtent l="0" t="0" r="0" b="0"/>
                      <wp:wrapNone/>
                      <wp:docPr id="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2"/>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58260;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32"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61" behindDoc="0" locked="0" layoutInCell="1" allowOverlap="1">
                      <wp:simplePos x="0" y="0"/>
                      <wp:positionH relativeFrom="column">
                        <wp:posOffset>0</wp:posOffset>
                      </wp:positionH>
                      <wp:positionV relativeFrom="paragraph">
                        <wp:posOffset>0</wp:posOffset>
                      </wp:positionV>
                      <wp:extent cx="9525" cy="9525"/>
                      <wp:effectExtent l="0" t="0" r="0" b="0"/>
                      <wp:wrapNone/>
                      <wp:docPr id="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3"/>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1658261;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33"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62" behindDoc="0" locked="0" layoutInCell="1" allowOverlap="1">
                      <wp:simplePos x="0" y="0"/>
                      <wp:positionH relativeFrom="column">
                        <wp:posOffset>0</wp:posOffset>
                      </wp:positionH>
                      <wp:positionV relativeFrom="paragraph">
                        <wp:posOffset>0</wp:posOffset>
                      </wp:positionV>
                      <wp:extent cx="9525" cy="9525"/>
                      <wp:effectExtent l="0" t="0" r="0" b="0"/>
                      <wp:wrapNone/>
                      <wp:docPr id="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4"/>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position:absolute;z-index:251658262;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34"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63" behindDoc="0" locked="0" layoutInCell="1" allowOverlap="1">
                      <wp:simplePos x="0" y="0"/>
                      <wp:positionH relativeFrom="column">
                        <wp:posOffset>0</wp:posOffset>
                      </wp:positionH>
                      <wp:positionV relativeFrom="paragraph">
                        <wp:posOffset>0</wp:posOffset>
                      </wp:positionV>
                      <wp:extent cx="9525" cy="9525"/>
                      <wp:effectExtent l="0" t="0" r="0" b="0"/>
                      <wp:wrapNone/>
                      <wp:docPr id="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5"/>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position:absolute;z-index:251658263;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35"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64" behindDoc="0" locked="0" layoutInCell="1" allowOverlap="1">
                      <wp:simplePos x="0" y="0"/>
                      <wp:positionH relativeFrom="column">
                        <wp:posOffset>0</wp:posOffset>
                      </wp:positionH>
                      <wp:positionV relativeFrom="paragraph">
                        <wp:posOffset>0</wp:posOffset>
                      </wp:positionV>
                      <wp:extent cx="9525" cy="9525"/>
                      <wp:effectExtent l="0" t="0" r="0" b="0"/>
                      <wp:wrapNone/>
                      <wp:docPr id="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6"/>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position:absolute;z-index:251658264;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36"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65" behindDoc="0" locked="0" layoutInCell="1" allowOverlap="1">
                      <wp:simplePos x="0" y="0"/>
                      <wp:positionH relativeFrom="column">
                        <wp:posOffset>0</wp:posOffset>
                      </wp:positionH>
                      <wp:positionV relativeFrom="paragraph">
                        <wp:posOffset>0</wp:posOffset>
                      </wp:positionV>
                      <wp:extent cx="9525" cy="9525"/>
                      <wp:effectExtent l="0" t="0" r="0" b="0"/>
                      <wp:wrapNone/>
                      <wp:docPr id="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7"/>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position:absolute;z-index:251658265;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37"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66" behindDoc="0" locked="0" layoutInCell="1" allowOverlap="1">
                      <wp:simplePos x="0" y="0"/>
                      <wp:positionH relativeFrom="column">
                        <wp:posOffset>0</wp:posOffset>
                      </wp:positionH>
                      <wp:positionV relativeFrom="paragraph">
                        <wp:posOffset>0</wp:posOffset>
                      </wp:positionV>
                      <wp:extent cx="9525" cy="9525"/>
                      <wp:effectExtent l="0" t="0" r="0" b="0"/>
                      <wp:wrapNone/>
                      <wp:docPr id="2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8"/>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position:absolute;z-index:251658266;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38"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67" behindDoc="0" locked="0" layoutInCell="1" allowOverlap="1">
                      <wp:simplePos x="0" y="0"/>
                      <wp:positionH relativeFrom="column">
                        <wp:posOffset>0</wp:posOffset>
                      </wp:positionH>
                      <wp:positionV relativeFrom="paragraph">
                        <wp:posOffset>0</wp:posOffset>
                      </wp:positionV>
                      <wp:extent cx="9525" cy="9525"/>
                      <wp:effectExtent l="0" t="0" r="0" b="0"/>
                      <wp:wrapNone/>
                      <wp:docPr id="2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9"/>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position:absolute;z-index:251658267;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39"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68" behindDoc="0" locked="0" layoutInCell="1" allowOverlap="1">
                      <wp:simplePos x="0" y="0"/>
                      <wp:positionH relativeFrom="column">
                        <wp:posOffset>0</wp:posOffset>
                      </wp:positionH>
                      <wp:positionV relativeFrom="paragraph">
                        <wp:posOffset>0</wp:posOffset>
                      </wp:positionV>
                      <wp:extent cx="9525" cy="9525"/>
                      <wp:effectExtent l="0" t="0" r="0" b="0"/>
                      <wp:wrapNone/>
                      <wp:docPr id="2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0"/>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position:absolute;z-index:251658268;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40"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69" behindDoc="0" locked="0" layoutInCell="1" allowOverlap="1">
                      <wp:simplePos x="0" y="0"/>
                      <wp:positionH relativeFrom="column">
                        <wp:posOffset>0</wp:posOffset>
                      </wp:positionH>
                      <wp:positionV relativeFrom="paragraph">
                        <wp:posOffset>0</wp:posOffset>
                      </wp:positionV>
                      <wp:extent cx="9525" cy="9525"/>
                      <wp:effectExtent l="0" t="0" r="0" b="0"/>
                      <wp:wrapNone/>
                      <wp:docPr id="3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1"/>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position:absolute;z-index:251658269;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41"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70" behindDoc="0" locked="0" layoutInCell="1" allowOverlap="1">
                      <wp:simplePos x="0" y="0"/>
                      <wp:positionH relativeFrom="column">
                        <wp:posOffset>0</wp:posOffset>
                      </wp:positionH>
                      <wp:positionV relativeFrom="paragraph">
                        <wp:posOffset>0</wp:posOffset>
                      </wp:positionV>
                      <wp:extent cx="9525" cy="9525"/>
                      <wp:effectExtent l="0" t="0" r="0" b="0"/>
                      <wp:wrapNone/>
                      <wp:docPr id="3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2"/>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position:absolute;z-index:251658270;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42"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71" behindDoc="0" locked="0" layoutInCell="1" allowOverlap="1">
                      <wp:simplePos x="0" y="0"/>
                      <wp:positionH relativeFrom="column">
                        <wp:posOffset>0</wp:posOffset>
                      </wp:positionH>
                      <wp:positionV relativeFrom="paragraph">
                        <wp:posOffset>0</wp:posOffset>
                      </wp:positionV>
                      <wp:extent cx="9525" cy="9525"/>
                      <wp:effectExtent l="0" t="0" r="0" b="0"/>
                      <wp:wrapNone/>
                      <wp:docPr id="3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3"/>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position:absolute;z-index:251658271;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43"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72" behindDoc="0" locked="0" layoutInCell="1" allowOverlap="1">
                      <wp:simplePos x="0" y="0"/>
                      <wp:positionH relativeFrom="column">
                        <wp:posOffset>0</wp:posOffset>
                      </wp:positionH>
                      <wp:positionV relativeFrom="paragraph">
                        <wp:posOffset>0</wp:posOffset>
                      </wp:positionV>
                      <wp:extent cx="9525" cy="9525"/>
                      <wp:effectExtent l="0" t="0" r="0" b="0"/>
                      <wp:wrapNone/>
                      <wp:docPr id="3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4"/>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position:absolute;z-index:251658272;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44"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73" behindDoc="0" locked="0" layoutInCell="1" allowOverlap="1">
                      <wp:simplePos x="0" y="0"/>
                      <wp:positionH relativeFrom="column">
                        <wp:posOffset>0</wp:posOffset>
                      </wp:positionH>
                      <wp:positionV relativeFrom="paragraph">
                        <wp:posOffset>0</wp:posOffset>
                      </wp:positionV>
                      <wp:extent cx="9525" cy="9525"/>
                      <wp:effectExtent l="0" t="0" r="0" b="0"/>
                      <wp:wrapNone/>
                      <wp:docPr id="3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5"/>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position:absolute;z-index:251658273;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45"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74" behindDoc="0" locked="0" layoutInCell="1" allowOverlap="1">
                      <wp:simplePos x="0" y="0"/>
                      <wp:positionH relativeFrom="column">
                        <wp:posOffset>0</wp:posOffset>
                      </wp:positionH>
                      <wp:positionV relativeFrom="paragraph">
                        <wp:posOffset>0</wp:posOffset>
                      </wp:positionV>
                      <wp:extent cx="9525" cy="9525"/>
                      <wp:effectExtent l="0" t="0" r="0" b="0"/>
                      <wp:wrapNone/>
                      <wp:docPr id="3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6"/>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position:absolute;z-index:251658274;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46"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75" behindDoc="0" locked="0" layoutInCell="1" allowOverlap="1">
                      <wp:simplePos x="0" y="0"/>
                      <wp:positionH relativeFrom="column">
                        <wp:posOffset>0</wp:posOffset>
                      </wp:positionH>
                      <wp:positionV relativeFrom="paragraph">
                        <wp:posOffset>0</wp:posOffset>
                      </wp:positionV>
                      <wp:extent cx="9525" cy="9525"/>
                      <wp:effectExtent l="0" t="0" r="0" b="0"/>
                      <wp:wrapNone/>
                      <wp:docPr id="3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7"/>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position:absolute;z-index:251658275;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47"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76" behindDoc="0" locked="0" layoutInCell="1" allowOverlap="1">
                      <wp:simplePos x="0" y="0"/>
                      <wp:positionH relativeFrom="column">
                        <wp:posOffset>0</wp:posOffset>
                      </wp:positionH>
                      <wp:positionV relativeFrom="paragraph">
                        <wp:posOffset>0</wp:posOffset>
                      </wp:positionV>
                      <wp:extent cx="9525" cy="9525"/>
                      <wp:effectExtent l="0" t="0" r="0" b="0"/>
                      <wp:wrapNone/>
                      <wp:docPr id="3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8"/>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position:absolute;z-index:251658276;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48"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77" behindDoc="0" locked="0" layoutInCell="1" allowOverlap="1">
                      <wp:simplePos x="0" y="0"/>
                      <wp:positionH relativeFrom="column">
                        <wp:posOffset>0</wp:posOffset>
                      </wp:positionH>
                      <wp:positionV relativeFrom="paragraph">
                        <wp:posOffset>0</wp:posOffset>
                      </wp:positionV>
                      <wp:extent cx="9525" cy="9525"/>
                      <wp:effectExtent l="0" t="0" r="0" b="0"/>
                      <wp:wrapNone/>
                      <wp:docPr id="3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9"/>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position:absolute;z-index:251658277;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49"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78" behindDoc="0" locked="0" layoutInCell="1" allowOverlap="1">
                      <wp:simplePos x="0" y="0"/>
                      <wp:positionH relativeFrom="column">
                        <wp:posOffset>0</wp:posOffset>
                      </wp:positionH>
                      <wp:positionV relativeFrom="paragraph">
                        <wp:posOffset>0</wp:posOffset>
                      </wp:positionV>
                      <wp:extent cx="9525" cy="9525"/>
                      <wp:effectExtent l="0" t="0" r="0" b="0"/>
                      <wp:wrapNone/>
                      <wp:docPr id="3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0"/>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position:absolute;z-index:251658278;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50"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79" behindDoc="0" locked="0" layoutInCell="1" allowOverlap="1">
                      <wp:simplePos x="0" y="0"/>
                      <wp:positionH relativeFrom="column">
                        <wp:posOffset>0</wp:posOffset>
                      </wp:positionH>
                      <wp:positionV relativeFrom="paragraph">
                        <wp:posOffset>0</wp:posOffset>
                      </wp:positionV>
                      <wp:extent cx="9525" cy="9525"/>
                      <wp:effectExtent l="0" t="0" r="0" b="0"/>
                      <wp:wrapNone/>
                      <wp:docPr id="4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1"/>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position:absolute;z-index:251658279;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51"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80" behindDoc="0" locked="0" layoutInCell="1" allowOverlap="1">
                      <wp:simplePos x="0" y="0"/>
                      <wp:positionH relativeFrom="column">
                        <wp:posOffset>0</wp:posOffset>
                      </wp:positionH>
                      <wp:positionV relativeFrom="paragraph">
                        <wp:posOffset>0</wp:posOffset>
                      </wp:positionV>
                      <wp:extent cx="9525" cy="9525"/>
                      <wp:effectExtent l="0" t="0" r="0" b="0"/>
                      <wp:wrapNone/>
                      <wp:docPr id="4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2"/>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position:absolute;z-index:251658280;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52"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81" behindDoc="0" locked="0" layoutInCell="1" allowOverlap="1">
                      <wp:simplePos x="0" y="0"/>
                      <wp:positionH relativeFrom="column">
                        <wp:posOffset>0</wp:posOffset>
                      </wp:positionH>
                      <wp:positionV relativeFrom="paragraph">
                        <wp:posOffset>0</wp:posOffset>
                      </wp:positionV>
                      <wp:extent cx="9525" cy="9525"/>
                      <wp:effectExtent l="0" t="0" r="0" b="0"/>
                      <wp:wrapNone/>
                      <wp:docPr id="4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3"/>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position:absolute;z-index:251658281;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53"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82" behindDoc="0" locked="0" layoutInCell="1" allowOverlap="1">
                      <wp:simplePos x="0" y="0"/>
                      <wp:positionH relativeFrom="column">
                        <wp:posOffset>0</wp:posOffset>
                      </wp:positionH>
                      <wp:positionV relativeFrom="paragraph">
                        <wp:posOffset>0</wp:posOffset>
                      </wp:positionV>
                      <wp:extent cx="9525" cy="9525"/>
                      <wp:effectExtent l="0" t="0" r="0" b="0"/>
                      <wp:wrapNone/>
                      <wp:docPr id="4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4"/>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position:absolute;z-index:251658282;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54"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83" behindDoc="0" locked="0" layoutInCell="1" allowOverlap="1">
                      <wp:simplePos x="0" y="0"/>
                      <wp:positionH relativeFrom="column">
                        <wp:posOffset>0</wp:posOffset>
                      </wp:positionH>
                      <wp:positionV relativeFrom="paragraph">
                        <wp:posOffset>0</wp:posOffset>
                      </wp:positionV>
                      <wp:extent cx="9525" cy="9525"/>
                      <wp:effectExtent l="0" t="0" r="0" b="0"/>
                      <wp:wrapNone/>
                      <wp:docPr id="4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5"/>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position:absolute;z-index:251658283;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55"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84" behindDoc="0" locked="0" layoutInCell="1" allowOverlap="1">
                      <wp:simplePos x="0" y="0"/>
                      <wp:positionH relativeFrom="column">
                        <wp:posOffset>0</wp:posOffset>
                      </wp:positionH>
                      <wp:positionV relativeFrom="paragraph">
                        <wp:posOffset>0</wp:posOffset>
                      </wp:positionV>
                      <wp:extent cx="9525" cy="9525"/>
                      <wp:effectExtent l="0" t="0" r="0" b="0"/>
                      <wp:wrapNone/>
                      <wp:docPr id="4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6"/>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position:absolute;z-index:251658284;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56"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85" behindDoc="0" locked="0" layoutInCell="1" allowOverlap="1">
                      <wp:simplePos x="0" y="0"/>
                      <wp:positionH relativeFrom="column">
                        <wp:posOffset>0</wp:posOffset>
                      </wp:positionH>
                      <wp:positionV relativeFrom="paragraph">
                        <wp:posOffset>0</wp:posOffset>
                      </wp:positionV>
                      <wp:extent cx="9525" cy="9525"/>
                      <wp:effectExtent l="0" t="0" r="0" b="0"/>
                      <wp:wrapNone/>
                      <wp:docPr id="4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7"/>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position:absolute;z-index:251658285;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57"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86" behindDoc="0" locked="0" layoutInCell="1" allowOverlap="1">
                      <wp:simplePos x="0" y="0"/>
                      <wp:positionH relativeFrom="column">
                        <wp:posOffset>0</wp:posOffset>
                      </wp:positionH>
                      <wp:positionV relativeFrom="paragraph">
                        <wp:posOffset>0</wp:posOffset>
                      </wp:positionV>
                      <wp:extent cx="9525" cy="9525"/>
                      <wp:effectExtent l="0" t="0" r="0" b="0"/>
                      <wp:wrapNone/>
                      <wp:docPr id="4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8"/>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position:absolute;z-index:251658286;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58"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87" behindDoc="0" locked="0" layoutInCell="1" allowOverlap="1">
                      <wp:simplePos x="0" y="0"/>
                      <wp:positionH relativeFrom="column">
                        <wp:posOffset>0</wp:posOffset>
                      </wp:positionH>
                      <wp:positionV relativeFrom="paragraph">
                        <wp:posOffset>0</wp:posOffset>
                      </wp:positionV>
                      <wp:extent cx="9525" cy="9525"/>
                      <wp:effectExtent l="0" t="0" r="0" b="0"/>
                      <wp:wrapNone/>
                      <wp:docPr id="4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9"/>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position:absolute;z-index:251658287;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59"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88" behindDoc="0" locked="0" layoutInCell="1" allowOverlap="1">
                      <wp:simplePos x="0" y="0"/>
                      <wp:positionH relativeFrom="column">
                        <wp:posOffset>0</wp:posOffset>
                      </wp:positionH>
                      <wp:positionV relativeFrom="paragraph">
                        <wp:posOffset>0</wp:posOffset>
                      </wp:positionV>
                      <wp:extent cx="9525" cy="9525"/>
                      <wp:effectExtent l="0" t="0" r="0" b="0"/>
                      <wp:wrapNone/>
                      <wp:docPr id="4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0"/>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position:absolute;z-index:251658288;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60"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89" behindDoc="0" locked="0" layoutInCell="1" allowOverlap="1">
                      <wp:simplePos x="0" y="0"/>
                      <wp:positionH relativeFrom="column">
                        <wp:posOffset>0</wp:posOffset>
                      </wp:positionH>
                      <wp:positionV relativeFrom="paragraph">
                        <wp:posOffset>0</wp:posOffset>
                      </wp:positionV>
                      <wp:extent cx="9525" cy="9525"/>
                      <wp:effectExtent l="0" t="0" r="0" b="0"/>
                      <wp:wrapNone/>
                      <wp:docPr id="5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1"/>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position:absolute;z-index:251658289;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61"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90" behindDoc="0" locked="0" layoutInCell="1" allowOverlap="1">
                      <wp:simplePos x="0" y="0"/>
                      <wp:positionH relativeFrom="column">
                        <wp:posOffset>0</wp:posOffset>
                      </wp:positionH>
                      <wp:positionV relativeFrom="paragraph">
                        <wp:posOffset>0</wp:posOffset>
                      </wp:positionV>
                      <wp:extent cx="9525" cy="9525"/>
                      <wp:effectExtent l="0" t="0" r="0" b="0"/>
                      <wp:wrapNone/>
                      <wp:docPr id="5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2"/>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position:absolute;z-index:251658290;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62"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91" behindDoc="0" locked="0" layoutInCell="1" allowOverlap="1">
                      <wp:simplePos x="0" y="0"/>
                      <wp:positionH relativeFrom="column">
                        <wp:posOffset>0</wp:posOffset>
                      </wp:positionH>
                      <wp:positionV relativeFrom="paragraph">
                        <wp:posOffset>0</wp:posOffset>
                      </wp:positionV>
                      <wp:extent cx="9525" cy="9525"/>
                      <wp:effectExtent l="0" t="0" r="0" b="0"/>
                      <wp:wrapNone/>
                      <wp:docPr id="5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3"/>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position:absolute;z-index:251658291;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63"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92" behindDoc="0" locked="0" layoutInCell="1" allowOverlap="1">
                      <wp:simplePos x="0" y="0"/>
                      <wp:positionH relativeFrom="column">
                        <wp:posOffset>0</wp:posOffset>
                      </wp:positionH>
                      <wp:positionV relativeFrom="paragraph">
                        <wp:posOffset>0</wp:posOffset>
                      </wp:positionV>
                      <wp:extent cx="9525" cy="9525"/>
                      <wp:effectExtent l="0" t="0" r="0" b="0"/>
                      <wp:wrapNone/>
                      <wp:docPr id="5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4"/>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position:absolute;z-index:251658292;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64"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93" behindDoc="0" locked="0" layoutInCell="1" allowOverlap="1">
                      <wp:simplePos x="0" y="0"/>
                      <wp:positionH relativeFrom="column">
                        <wp:posOffset>0</wp:posOffset>
                      </wp:positionH>
                      <wp:positionV relativeFrom="paragraph">
                        <wp:posOffset>0</wp:posOffset>
                      </wp:positionV>
                      <wp:extent cx="9525" cy="9525"/>
                      <wp:effectExtent l="0" t="0" r="0" b="0"/>
                      <wp:wrapNone/>
                      <wp:docPr id="5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5"/>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position:absolute;z-index:251658293;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65"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94" behindDoc="0" locked="0" layoutInCell="1" allowOverlap="1">
                      <wp:simplePos x="0" y="0"/>
                      <wp:positionH relativeFrom="column">
                        <wp:posOffset>0</wp:posOffset>
                      </wp:positionH>
                      <wp:positionV relativeFrom="paragraph">
                        <wp:posOffset>0</wp:posOffset>
                      </wp:positionV>
                      <wp:extent cx="9525" cy="9525"/>
                      <wp:effectExtent l="0" t="0" r="0" b="0"/>
                      <wp:wrapNone/>
                      <wp:docPr id="5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6"/>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position:absolute;z-index:251658294;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66"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95" behindDoc="0" locked="0" layoutInCell="1" allowOverlap="1">
                      <wp:simplePos x="0" y="0"/>
                      <wp:positionH relativeFrom="column">
                        <wp:posOffset>0</wp:posOffset>
                      </wp:positionH>
                      <wp:positionV relativeFrom="paragraph">
                        <wp:posOffset>0</wp:posOffset>
                      </wp:positionV>
                      <wp:extent cx="9525" cy="9525"/>
                      <wp:effectExtent l="0" t="0" r="0" b="0"/>
                      <wp:wrapNone/>
                      <wp:docPr id="5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7"/>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position:absolute;z-index:251658295;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67"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96" behindDoc="0" locked="0" layoutInCell="1" allowOverlap="1">
                      <wp:simplePos x="0" y="0"/>
                      <wp:positionH relativeFrom="column">
                        <wp:posOffset>0</wp:posOffset>
                      </wp:positionH>
                      <wp:positionV relativeFrom="paragraph">
                        <wp:posOffset>0</wp:posOffset>
                      </wp:positionV>
                      <wp:extent cx="9525" cy="9525"/>
                      <wp:effectExtent l="0" t="0" r="0" b="0"/>
                      <wp:wrapNone/>
                      <wp:docPr id="5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8"/>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position:absolute;z-index:251658296;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68"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97" behindDoc="0" locked="0" layoutInCell="1" allowOverlap="1">
                      <wp:simplePos x="0" y="0"/>
                      <wp:positionH relativeFrom="column">
                        <wp:posOffset>0</wp:posOffset>
                      </wp:positionH>
                      <wp:positionV relativeFrom="paragraph">
                        <wp:posOffset>0</wp:posOffset>
                      </wp:positionV>
                      <wp:extent cx="9525" cy="9525"/>
                      <wp:effectExtent l="0" t="0" r="0" b="0"/>
                      <wp:wrapNone/>
                      <wp:docPr id="5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9"/>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position:absolute;z-index:251658297;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69"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98" behindDoc="0" locked="0" layoutInCell="1" allowOverlap="1">
                      <wp:simplePos x="0" y="0"/>
                      <wp:positionH relativeFrom="column">
                        <wp:posOffset>0</wp:posOffset>
                      </wp:positionH>
                      <wp:positionV relativeFrom="paragraph">
                        <wp:posOffset>0</wp:posOffset>
                      </wp:positionV>
                      <wp:extent cx="9525" cy="9525"/>
                      <wp:effectExtent l="0" t="0" r="0" b="0"/>
                      <wp:wrapNone/>
                      <wp:docPr id="5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0"/>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position:absolute;z-index:251658298;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70"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99" behindDoc="0" locked="0" layoutInCell="1" allowOverlap="1">
                      <wp:simplePos x="0" y="0"/>
                      <wp:positionH relativeFrom="column">
                        <wp:posOffset>0</wp:posOffset>
                      </wp:positionH>
                      <wp:positionV relativeFrom="paragraph">
                        <wp:posOffset>0</wp:posOffset>
                      </wp:positionV>
                      <wp:extent cx="9525" cy="9525"/>
                      <wp:effectExtent l="0" t="0" r="0" b="0"/>
                      <wp:wrapNone/>
                      <wp:docPr id="6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1"/>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position:absolute;z-index:251658299;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71"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00" behindDoc="0" locked="0" layoutInCell="1" allowOverlap="1">
                      <wp:simplePos x="0" y="0"/>
                      <wp:positionH relativeFrom="column">
                        <wp:posOffset>0</wp:posOffset>
                      </wp:positionH>
                      <wp:positionV relativeFrom="paragraph">
                        <wp:posOffset>0</wp:posOffset>
                      </wp:positionV>
                      <wp:extent cx="9525" cy="9525"/>
                      <wp:effectExtent l="0" t="0" r="0" b="0"/>
                      <wp:wrapNone/>
                      <wp:docPr id="6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2"/>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position:absolute;z-index:251658300;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72"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01" behindDoc="0" locked="0" layoutInCell="1" allowOverlap="1">
                      <wp:simplePos x="0" y="0"/>
                      <wp:positionH relativeFrom="column">
                        <wp:posOffset>0</wp:posOffset>
                      </wp:positionH>
                      <wp:positionV relativeFrom="paragraph">
                        <wp:posOffset>0</wp:posOffset>
                      </wp:positionV>
                      <wp:extent cx="9525" cy="9525"/>
                      <wp:effectExtent l="0" t="0" r="0" b="0"/>
                      <wp:wrapNone/>
                      <wp:docPr id="6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3"/>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position:absolute;z-index:251658301;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73"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02" behindDoc="0" locked="0" layoutInCell="1" allowOverlap="1">
                      <wp:simplePos x="0" y="0"/>
                      <wp:positionH relativeFrom="column">
                        <wp:posOffset>0</wp:posOffset>
                      </wp:positionH>
                      <wp:positionV relativeFrom="paragraph">
                        <wp:posOffset>0</wp:posOffset>
                      </wp:positionV>
                      <wp:extent cx="9525" cy="9525"/>
                      <wp:effectExtent l="0" t="0" r="0" b="0"/>
                      <wp:wrapNone/>
                      <wp:docPr id="6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4"/>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position:absolute;z-index:251658302;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74"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03" behindDoc="0" locked="0" layoutInCell="1" allowOverlap="1">
                      <wp:simplePos x="0" y="0"/>
                      <wp:positionH relativeFrom="column">
                        <wp:posOffset>0</wp:posOffset>
                      </wp:positionH>
                      <wp:positionV relativeFrom="paragraph">
                        <wp:posOffset>0</wp:posOffset>
                      </wp:positionV>
                      <wp:extent cx="9525" cy="9525"/>
                      <wp:effectExtent l="0" t="0" r="0" b="0"/>
                      <wp:wrapNone/>
                      <wp:docPr id="6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5"/>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position:absolute;z-index:251658303;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75"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04" behindDoc="0" locked="0" layoutInCell="1" allowOverlap="1">
                      <wp:simplePos x="0" y="0"/>
                      <wp:positionH relativeFrom="column">
                        <wp:posOffset>0</wp:posOffset>
                      </wp:positionH>
                      <wp:positionV relativeFrom="paragraph">
                        <wp:posOffset>0</wp:posOffset>
                      </wp:positionV>
                      <wp:extent cx="9525" cy="9525"/>
                      <wp:effectExtent l="0" t="0" r="0" b="0"/>
                      <wp:wrapNone/>
                      <wp:docPr id="6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6"/>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position:absolute;z-index:251658304;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76"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05" behindDoc="0" locked="0" layoutInCell="1" allowOverlap="1">
                      <wp:simplePos x="0" y="0"/>
                      <wp:positionH relativeFrom="column">
                        <wp:posOffset>0</wp:posOffset>
                      </wp:positionH>
                      <wp:positionV relativeFrom="paragraph">
                        <wp:posOffset>0</wp:posOffset>
                      </wp:positionV>
                      <wp:extent cx="9525" cy="9525"/>
                      <wp:effectExtent l="0" t="0" r="0" b="0"/>
                      <wp:wrapNone/>
                      <wp:docPr id="6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7"/>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position:absolute;z-index:251658305;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77"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06" behindDoc="0" locked="0" layoutInCell="1" allowOverlap="1">
                      <wp:simplePos x="0" y="0"/>
                      <wp:positionH relativeFrom="column">
                        <wp:posOffset>0</wp:posOffset>
                      </wp:positionH>
                      <wp:positionV relativeFrom="paragraph">
                        <wp:posOffset>0</wp:posOffset>
                      </wp:positionV>
                      <wp:extent cx="9525" cy="9525"/>
                      <wp:effectExtent l="0" t="0" r="0" b="0"/>
                      <wp:wrapNone/>
                      <wp:docPr id="6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8"/>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position:absolute;z-index:251658306;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78"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07" behindDoc="0" locked="0" layoutInCell="1" allowOverlap="1">
                      <wp:simplePos x="0" y="0"/>
                      <wp:positionH relativeFrom="column">
                        <wp:posOffset>0</wp:posOffset>
                      </wp:positionH>
                      <wp:positionV relativeFrom="paragraph">
                        <wp:posOffset>0</wp:posOffset>
                      </wp:positionV>
                      <wp:extent cx="9525" cy="9525"/>
                      <wp:effectExtent l="0" t="0" r="0" b="0"/>
                      <wp:wrapNone/>
                      <wp:docPr id="6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9"/>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position:absolute;z-index:251658307;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79"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08" behindDoc="0" locked="0" layoutInCell="1" allowOverlap="1">
                      <wp:simplePos x="0" y="0"/>
                      <wp:positionH relativeFrom="column">
                        <wp:posOffset>0</wp:posOffset>
                      </wp:positionH>
                      <wp:positionV relativeFrom="paragraph">
                        <wp:posOffset>0</wp:posOffset>
                      </wp:positionV>
                      <wp:extent cx="9525" cy="9525"/>
                      <wp:effectExtent l="0" t="0" r="0" b="0"/>
                      <wp:wrapNone/>
                      <wp:docPr id="6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0"/>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position:absolute;z-index:251658308;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80"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09" behindDoc="0" locked="0" layoutInCell="1" allowOverlap="1">
                      <wp:simplePos x="0" y="0"/>
                      <wp:positionH relativeFrom="column">
                        <wp:posOffset>0</wp:posOffset>
                      </wp:positionH>
                      <wp:positionV relativeFrom="paragraph">
                        <wp:posOffset>0</wp:posOffset>
                      </wp:positionV>
                      <wp:extent cx="9525" cy="9525"/>
                      <wp:effectExtent l="0" t="0" r="0" b="0"/>
                      <wp:wrapNone/>
                      <wp:docPr id="7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1"/>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position:absolute;z-index:251658309;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81"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10" behindDoc="0" locked="0" layoutInCell="1" allowOverlap="1">
                      <wp:simplePos x="0" y="0"/>
                      <wp:positionH relativeFrom="column">
                        <wp:posOffset>0</wp:posOffset>
                      </wp:positionH>
                      <wp:positionV relativeFrom="paragraph">
                        <wp:posOffset>0</wp:posOffset>
                      </wp:positionV>
                      <wp:extent cx="9525" cy="9525"/>
                      <wp:effectExtent l="0" t="0" r="0" b="0"/>
                      <wp:wrapNone/>
                      <wp:docPr id="7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2"/>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position:absolute;z-index:251658310;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82"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11" behindDoc="0" locked="0" layoutInCell="1" allowOverlap="1">
                      <wp:simplePos x="0" y="0"/>
                      <wp:positionH relativeFrom="column">
                        <wp:posOffset>0</wp:posOffset>
                      </wp:positionH>
                      <wp:positionV relativeFrom="paragraph">
                        <wp:posOffset>0</wp:posOffset>
                      </wp:positionV>
                      <wp:extent cx="9525" cy="9525"/>
                      <wp:effectExtent l="0" t="0" r="0" b="0"/>
                      <wp:wrapNone/>
                      <wp:docPr id="7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3"/>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position:absolute;z-index:251658311;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83"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12" behindDoc="0" locked="0" layoutInCell="1" allowOverlap="1">
                      <wp:simplePos x="0" y="0"/>
                      <wp:positionH relativeFrom="column">
                        <wp:posOffset>0</wp:posOffset>
                      </wp:positionH>
                      <wp:positionV relativeFrom="paragraph">
                        <wp:posOffset>0</wp:posOffset>
                      </wp:positionV>
                      <wp:extent cx="9525" cy="9525"/>
                      <wp:effectExtent l="0" t="0" r="0" b="0"/>
                      <wp:wrapNone/>
                      <wp:docPr id="7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4"/>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position:absolute;z-index:251658312;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84"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13" behindDoc="0" locked="0" layoutInCell="1" allowOverlap="1">
                      <wp:simplePos x="0" y="0"/>
                      <wp:positionH relativeFrom="column">
                        <wp:posOffset>0</wp:posOffset>
                      </wp:positionH>
                      <wp:positionV relativeFrom="paragraph">
                        <wp:posOffset>0</wp:posOffset>
                      </wp:positionV>
                      <wp:extent cx="9525" cy="9525"/>
                      <wp:effectExtent l="0" t="0" r="0" b="0"/>
                      <wp:wrapNone/>
                      <wp:docPr id="7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5"/>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position:absolute;z-index:251658313;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85"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14" behindDoc="0" locked="0" layoutInCell="1" allowOverlap="1">
                      <wp:simplePos x="0" y="0"/>
                      <wp:positionH relativeFrom="column">
                        <wp:posOffset>0</wp:posOffset>
                      </wp:positionH>
                      <wp:positionV relativeFrom="paragraph">
                        <wp:posOffset>0</wp:posOffset>
                      </wp:positionV>
                      <wp:extent cx="9525" cy="9525"/>
                      <wp:effectExtent l="0" t="0" r="0" b="0"/>
                      <wp:wrapNone/>
                      <wp:docPr id="7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6"/>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position:absolute;z-index:251658314;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86"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15" behindDoc="0" locked="0" layoutInCell="1" allowOverlap="1">
                      <wp:simplePos x="0" y="0"/>
                      <wp:positionH relativeFrom="column">
                        <wp:posOffset>0</wp:posOffset>
                      </wp:positionH>
                      <wp:positionV relativeFrom="paragraph">
                        <wp:posOffset>0</wp:posOffset>
                      </wp:positionV>
                      <wp:extent cx="9525" cy="9525"/>
                      <wp:effectExtent l="0" t="0" r="0" b="0"/>
                      <wp:wrapNone/>
                      <wp:docPr id="7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7"/>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position:absolute;z-index:251658315;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87"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16" behindDoc="0" locked="0" layoutInCell="1" allowOverlap="1">
                      <wp:simplePos x="0" y="0"/>
                      <wp:positionH relativeFrom="column">
                        <wp:posOffset>0</wp:posOffset>
                      </wp:positionH>
                      <wp:positionV relativeFrom="paragraph">
                        <wp:posOffset>0</wp:posOffset>
                      </wp:positionV>
                      <wp:extent cx="9525" cy="9525"/>
                      <wp:effectExtent l="0" t="0" r="0" b="0"/>
                      <wp:wrapNone/>
                      <wp:docPr id="7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8"/>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position:absolute;z-index:251658316;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88"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17" behindDoc="0" locked="0" layoutInCell="1" allowOverlap="1">
                      <wp:simplePos x="0" y="0"/>
                      <wp:positionH relativeFrom="column">
                        <wp:posOffset>0</wp:posOffset>
                      </wp:positionH>
                      <wp:positionV relativeFrom="paragraph">
                        <wp:posOffset>0</wp:posOffset>
                      </wp:positionV>
                      <wp:extent cx="9525" cy="9525"/>
                      <wp:effectExtent l="0" t="0" r="0" b="0"/>
                      <wp:wrapNone/>
                      <wp:docPr id="7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9"/>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position:absolute;z-index:251658317;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89"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18" behindDoc="0" locked="0" layoutInCell="1" allowOverlap="1">
                      <wp:simplePos x="0" y="0"/>
                      <wp:positionH relativeFrom="column">
                        <wp:posOffset>0</wp:posOffset>
                      </wp:positionH>
                      <wp:positionV relativeFrom="paragraph">
                        <wp:posOffset>0</wp:posOffset>
                      </wp:positionV>
                      <wp:extent cx="9525" cy="9525"/>
                      <wp:effectExtent l="0" t="0" r="0" b="0"/>
                      <wp:wrapNone/>
                      <wp:docPr id="7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0"/>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position:absolute;z-index:251658318;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90"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19" behindDoc="0" locked="0" layoutInCell="1" allowOverlap="1">
                      <wp:simplePos x="0" y="0"/>
                      <wp:positionH relativeFrom="column">
                        <wp:posOffset>0</wp:posOffset>
                      </wp:positionH>
                      <wp:positionV relativeFrom="paragraph">
                        <wp:posOffset>0</wp:posOffset>
                      </wp:positionV>
                      <wp:extent cx="9525" cy="9525"/>
                      <wp:effectExtent l="0" t="0" r="0" b="0"/>
                      <wp:wrapNone/>
                      <wp:docPr id="8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1"/>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position:absolute;z-index:251658319;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91"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20" behindDoc="0" locked="0" layoutInCell="1" allowOverlap="1">
                      <wp:simplePos x="0" y="0"/>
                      <wp:positionH relativeFrom="column">
                        <wp:posOffset>0</wp:posOffset>
                      </wp:positionH>
                      <wp:positionV relativeFrom="paragraph">
                        <wp:posOffset>0</wp:posOffset>
                      </wp:positionV>
                      <wp:extent cx="9525" cy="9525"/>
                      <wp:effectExtent l="0" t="0" r="0" b="0"/>
                      <wp:wrapNone/>
                      <wp:docPr id="8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2"/>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position:absolute;z-index:251658320;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92"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21" behindDoc="0" locked="0" layoutInCell="1" allowOverlap="1">
                      <wp:simplePos x="0" y="0"/>
                      <wp:positionH relativeFrom="column">
                        <wp:posOffset>0</wp:posOffset>
                      </wp:positionH>
                      <wp:positionV relativeFrom="paragraph">
                        <wp:posOffset>0</wp:posOffset>
                      </wp:positionV>
                      <wp:extent cx="9525" cy="9525"/>
                      <wp:effectExtent l="0" t="0" r="0" b="0"/>
                      <wp:wrapNone/>
                      <wp:docPr id="8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3"/>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position:absolute;z-index:251658321;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93"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22" behindDoc="0" locked="0" layoutInCell="1" allowOverlap="1">
                      <wp:simplePos x="0" y="0"/>
                      <wp:positionH relativeFrom="column">
                        <wp:posOffset>0</wp:posOffset>
                      </wp:positionH>
                      <wp:positionV relativeFrom="paragraph">
                        <wp:posOffset>0</wp:posOffset>
                      </wp:positionV>
                      <wp:extent cx="9525" cy="9525"/>
                      <wp:effectExtent l="0" t="0" r="0" b="0"/>
                      <wp:wrapNone/>
                      <wp:docPr id="8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4"/>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position:absolute;z-index:251658322;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94"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23" behindDoc="0" locked="0" layoutInCell="1" allowOverlap="1">
                      <wp:simplePos x="0" y="0"/>
                      <wp:positionH relativeFrom="column">
                        <wp:posOffset>0</wp:posOffset>
                      </wp:positionH>
                      <wp:positionV relativeFrom="paragraph">
                        <wp:posOffset>0</wp:posOffset>
                      </wp:positionV>
                      <wp:extent cx="9525" cy="9525"/>
                      <wp:effectExtent l="0" t="0" r="0" b="0"/>
                      <wp:wrapNone/>
                      <wp:docPr id="8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5"/>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 o:spid="_x0000_s83" type="#_x0000_t75" style="position:absolute;z-index:251658323;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95"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24" behindDoc="0" locked="0" layoutInCell="1" allowOverlap="1">
                      <wp:simplePos x="0" y="0"/>
                      <wp:positionH relativeFrom="column">
                        <wp:posOffset>0</wp:posOffset>
                      </wp:positionH>
                      <wp:positionV relativeFrom="paragraph">
                        <wp:posOffset>0</wp:posOffset>
                      </wp:positionV>
                      <wp:extent cx="9525" cy="9525"/>
                      <wp:effectExtent l="0" t="0" r="0" b="0"/>
                      <wp:wrapNone/>
                      <wp:docPr id="8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6"/>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 o:spid="_x0000_s84" type="#_x0000_t75" style="position:absolute;z-index:251658324;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96"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25" behindDoc="0" locked="0" layoutInCell="1" allowOverlap="1">
                      <wp:simplePos x="0" y="0"/>
                      <wp:positionH relativeFrom="column">
                        <wp:posOffset>0</wp:posOffset>
                      </wp:positionH>
                      <wp:positionV relativeFrom="paragraph">
                        <wp:posOffset>0</wp:posOffset>
                      </wp:positionV>
                      <wp:extent cx="9525" cy="9525"/>
                      <wp:effectExtent l="0" t="0" r="0" b="0"/>
                      <wp:wrapNone/>
                      <wp:docPr id="8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7"/>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 o:spid="_x0000_s85" type="#_x0000_t75" style="position:absolute;z-index:251658325;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97"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26" behindDoc="0" locked="0" layoutInCell="1" allowOverlap="1">
                      <wp:simplePos x="0" y="0"/>
                      <wp:positionH relativeFrom="column">
                        <wp:posOffset>0</wp:posOffset>
                      </wp:positionH>
                      <wp:positionV relativeFrom="paragraph">
                        <wp:posOffset>0</wp:posOffset>
                      </wp:positionV>
                      <wp:extent cx="9525" cy="9525"/>
                      <wp:effectExtent l="0" t="0" r="0" b="0"/>
                      <wp:wrapNone/>
                      <wp:docPr id="8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8"/>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 o:spid="_x0000_s86" type="#_x0000_t75" style="position:absolute;z-index:251658326;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98"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27" behindDoc="0" locked="0" layoutInCell="1" allowOverlap="1">
                      <wp:simplePos x="0" y="0"/>
                      <wp:positionH relativeFrom="column">
                        <wp:posOffset>0</wp:posOffset>
                      </wp:positionH>
                      <wp:positionV relativeFrom="paragraph">
                        <wp:posOffset>0</wp:posOffset>
                      </wp:positionV>
                      <wp:extent cx="9525" cy="9525"/>
                      <wp:effectExtent l="0" t="0" r="0" b="0"/>
                      <wp:wrapNone/>
                      <wp:docPr id="8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9"/>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 o:spid="_x0000_s87" type="#_x0000_t75" style="position:absolute;z-index:251658327;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99"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28" behindDoc="0" locked="0" layoutInCell="1" allowOverlap="1">
                      <wp:simplePos x="0" y="0"/>
                      <wp:positionH relativeFrom="column">
                        <wp:posOffset>0</wp:posOffset>
                      </wp:positionH>
                      <wp:positionV relativeFrom="paragraph">
                        <wp:posOffset>0</wp:posOffset>
                      </wp:positionV>
                      <wp:extent cx="9525" cy="9525"/>
                      <wp:effectExtent l="0" t="0" r="0" b="0"/>
                      <wp:wrapNone/>
                      <wp:docPr id="8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0"/>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 o:spid="_x0000_s88" type="#_x0000_t75" style="position:absolute;z-index:251658328;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00"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29" behindDoc="0" locked="0" layoutInCell="1" allowOverlap="1">
                      <wp:simplePos x="0" y="0"/>
                      <wp:positionH relativeFrom="column">
                        <wp:posOffset>0</wp:posOffset>
                      </wp:positionH>
                      <wp:positionV relativeFrom="paragraph">
                        <wp:posOffset>0</wp:posOffset>
                      </wp:positionV>
                      <wp:extent cx="9525" cy="9525"/>
                      <wp:effectExtent l="0" t="0" r="0" b="0"/>
                      <wp:wrapNone/>
                      <wp:docPr id="9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1"/>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 o:spid="_x0000_s89" type="#_x0000_t75" style="position:absolute;z-index:251658329;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01"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30" behindDoc="0" locked="0" layoutInCell="1" allowOverlap="1">
                      <wp:simplePos x="0" y="0"/>
                      <wp:positionH relativeFrom="column">
                        <wp:posOffset>0</wp:posOffset>
                      </wp:positionH>
                      <wp:positionV relativeFrom="paragraph">
                        <wp:posOffset>0</wp:posOffset>
                      </wp:positionV>
                      <wp:extent cx="9525" cy="9525"/>
                      <wp:effectExtent l="0" t="0" r="0" b="0"/>
                      <wp:wrapNone/>
                      <wp:docPr id="9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2"/>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 o:spid="_x0000_s90" type="#_x0000_t75" style="position:absolute;z-index:251658330;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02"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31" behindDoc="0" locked="0" layoutInCell="1" allowOverlap="1">
                      <wp:simplePos x="0" y="0"/>
                      <wp:positionH relativeFrom="column">
                        <wp:posOffset>0</wp:posOffset>
                      </wp:positionH>
                      <wp:positionV relativeFrom="paragraph">
                        <wp:posOffset>0</wp:posOffset>
                      </wp:positionV>
                      <wp:extent cx="9525" cy="9525"/>
                      <wp:effectExtent l="0" t="0" r="0" b="0"/>
                      <wp:wrapNone/>
                      <wp:docPr id="9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3"/>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1" o:spid="_x0000_s91" type="#_x0000_t75" style="position:absolute;z-index:251658331;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03"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32" behindDoc="0" locked="0" layoutInCell="1" allowOverlap="1">
                      <wp:simplePos x="0" y="0"/>
                      <wp:positionH relativeFrom="column">
                        <wp:posOffset>0</wp:posOffset>
                      </wp:positionH>
                      <wp:positionV relativeFrom="paragraph">
                        <wp:posOffset>0</wp:posOffset>
                      </wp:positionV>
                      <wp:extent cx="9525" cy="9525"/>
                      <wp:effectExtent l="0" t="0" r="0" b="0"/>
                      <wp:wrapNone/>
                      <wp:docPr id="9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4"/>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2" o:spid="_x0000_s92" type="#_x0000_t75" style="position:absolute;z-index:251658332;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04"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33" behindDoc="0" locked="0" layoutInCell="1" allowOverlap="1">
                      <wp:simplePos x="0" y="0"/>
                      <wp:positionH relativeFrom="column">
                        <wp:posOffset>0</wp:posOffset>
                      </wp:positionH>
                      <wp:positionV relativeFrom="paragraph">
                        <wp:posOffset>0</wp:posOffset>
                      </wp:positionV>
                      <wp:extent cx="9525" cy="9525"/>
                      <wp:effectExtent l="0" t="0" r="0" b="0"/>
                      <wp:wrapNone/>
                      <wp:docPr id="9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5"/>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3" o:spid="_x0000_s93" type="#_x0000_t75" style="position:absolute;z-index:251658333;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05"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34" behindDoc="0" locked="0" layoutInCell="1" allowOverlap="1">
                      <wp:simplePos x="0" y="0"/>
                      <wp:positionH relativeFrom="column">
                        <wp:posOffset>0</wp:posOffset>
                      </wp:positionH>
                      <wp:positionV relativeFrom="paragraph">
                        <wp:posOffset>0</wp:posOffset>
                      </wp:positionV>
                      <wp:extent cx="9525" cy="9525"/>
                      <wp:effectExtent l="0" t="0" r="0" b="0"/>
                      <wp:wrapNone/>
                      <wp:docPr id="9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6"/>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4" o:spid="_x0000_s94" type="#_x0000_t75" style="position:absolute;z-index:251658334;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06"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35" behindDoc="0" locked="0" layoutInCell="1" allowOverlap="1">
                      <wp:simplePos x="0" y="0"/>
                      <wp:positionH relativeFrom="column">
                        <wp:posOffset>0</wp:posOffset>
                      </wp:positionH>
                      <wp:positionV relativeFrom="paragraph">
                        <wp:posOffset>0</wp:posOffset>
                      </wp:positionV>
                      <wp:extent cx="9525" cy="9525"/>
                      <wp:effectExtent l="0" t="0" r="0" b="0"/>
                      <wp:wrapNone/>
                      <wp:docPr id="9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7"/>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5" o:spid="_x0000_s95" type="#_x0000_t75" style="position:absolute;z-index:251658335;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07"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36" behindDoc="0" locked="0" layoutInCell="1" allowOverlap="1">
                      <wp:simplePos x="0" y="0"/>
                      <wp:positionH relativeFrom="column">
                        <wp:posOffset>0</wp:posOffset>
                      </wp:positionH>
                      <wp:positionV relativeFrom="paragraph">
                        <wp:posOffset>0</wp:posOffset>
                      </wp:positionV>
                      <wp:extent cx="9525" cy="9525"/>
                      <wp:effectExtent l="0" t="0" r="0" b="0"/>
                      <wp:wrapNone/>
                      <wp:docPr id="9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8"/>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6" o:spid="_x0000_s96" type="#_x0000_t75" style="position:absolute;z-index:251658336;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08"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37" behindDoc="0" locked="0" layoutInCell="1" allowOverlap="1">
                      <wp:simplePos x="0" y="0"/>
                      <wp:positionH relativeFrom="column">
                        <wp:posOffset>0</wp:posOffset>
                      </wp:positionH>
                      <wp:positionV relativeFrom="paragraph">
                        <wp:posOffset>0</wp:posOffset>
                      </wp:positionV>
                      <wp:extent cx="9525" cy="9525"/>
                      <wp:effectExtent l="0" t="0" r="0" b="0"/>
                      <wp:wrapNone/>
                      <wp:docPr id="9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9"/>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7" o:spid="_x0000_s97" type="#_x0000_t75" style="position:absolute;z-index:251658337;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09"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38" behindDoc="0" locked="0" layoutInCell="1" allowOverlap="1">
                      <wp:simplePos x="0" y="0"/>
                      <wp:positionH relativeFrom="column">
                        <wp:posOffset>0</wp:posOffset>
                      </wp:positionH>
                      <wp:positionV relativeFrom="paragraph">
                        <wp:posOffset>0</wp:posOffset>
                      </wp:positionV>
                      <wp:extent cx="9525" cy="9525"/>
                      <wp:effectExtent l="0" t="0" r="0" b="0"/>
                      <wp:wrapNone/>
                      <wp:docPr id="9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0"/>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8" o:spid="_x0000_s98" type="#_x0000_t75" style="position:absolute;z-index:251658338;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10"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39" behindDoc="0" locked="0" layoutInCell="1" allowOverlap="1">
                      <wp:simplePos x="0" y="0"/>
                      <wp:positionH relativeFrom="column">
                        <wp:posOffset>0</wp:posOffset>
                      </wp:positionH>
                      <wp:positionV relativeFrom="paragraph">
                        <wp:posOffset>0</wp:posOffset>
                      </wp:positionV>
                      <wp:extent cx="9525" cy="9525"/>
                      <wp:effectExtent l="0" t="0" r="0" b="0"/>
                      <wp:wrapNone/>
                      <wp:docPr id="10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1"/>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9" o:spid="_x0000_s99" type="#_x0000_t75" style="position:absolute;z-index:251658339;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11"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40" behindDoc="0" locked="0" layoutInCell="1" allowOverlap="1">
                      <wp:simplePos x="0" y="0"/>
                      <wp:positionH relativeFrom="column">
                        <wp:posOffset>0</wp:posOffset>
                      </wp:positionH>
                      <wp:positionV relativeFrom="paragraph">
                        <wp:posOffset>0</wp:posOffset>
                      </wp:positionV>
                      <wp:extent cx="9525" cy="9525"/>
                      <wp:effectExtent l="0" t="0" r="0" b="0"/>
                      <wp:wrapNone/>
                      <wp:docPr id="10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2"/>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0" o:spid="_x0000_s100" type="#_x0000_t75" style="position:absolute;z-index:251658340;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12"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41" behindDoc="0" locked="0" layoutInCell="1" allowOverlap="1">
                      <wp:simplePos x="0" y="0"/>
                      <wp:positionH relativeFrom="column">
                        <wp:posOffset>0</wp:posOffset>
                      </wp:positionH>
                      <wp:positionV relativeFrom="paragraph">
                        <wp:posOffset>0</wp:posOffset>
                      </wp:positionV>
                      <wp:extent cx="9525" cy="9525"/>
                      <wp:effectExtent l="0" t="0" r="0" b="0"/>
                      <wp:wrapNone/>
                      <wp:docPr id="10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3"/>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1" o:spid="_x0000_s101" type="#_x0000_t75" style="position:absolute;z-index:251658341;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13"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42" behindDoc="0" locked="0" layoutInCell="1" allowOverlap="1">
                      <wp:simplePos x="0" y="0"/>
                      <wp:positionH relativeFrom="column">
                        <wp:posOffset>0</wp:posOffset>
                      </wp:positionH>
                      <wp:positionV relativeFrom="paragraph">
                        <wp:posOffset>0</wp:posOffset>
                      </wp:positionV>
                      <wp:extent cx="9525" cy="9525"/>
                      <wp:effectExtent l="0" t="0" r="0" b="0"/>
                      <wp:wrapNone/>
                      <wp:docPr id="10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4"/>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2" o:spid="_x0000_s102" type="#_x0000_t75" style="position:absolute;z-index:251658342;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14"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43" behindDoc="0" locked="0" layoutInCell="1" allowOverlap="1">
                      <wp:simplePos x="0" y="0"/>
                      <wp:positionH relativeFrom="column">
                        <wp:posOffset>0</wp:posOffset>
                      </wp:positionH>
                      <wp:positionV relativeFrom="paragraph">
                        <wp:posOffset>0</wp:posOffset>
                      </wp:positionV>
                      <wp:extent cx="9525" cy="9525"/>
                      <wp:effectExtent l="0" t="0" r="0" b="0"/>
                      <wp:wrapNone/>
                      <wp:docPr id="10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5"/>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3" o:spid="_x0000_s103" type="#_x0000_t75" style="position:absolute;z-index:251658343;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15"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44" behindDoc="0" locked="0" layoutInCell="1" allowOverlap="1">
                      <wp:simplePos x="0" y="0"/>
                      <wp:positionH relativeFrom="column">
                        <wp:posOffset>0</wp:posOffset>
                      </wp:positionH>
                      <wp:positionV relativeFrom="paragraph">
                        <wp:posOffset>0</wp:posOffset>
                      </wp:positionV>
                      <wp:extent cx="9525" cy="9525"/>
                      <wp:effectExtent l="0" t="0" r="0" b="0"/>
                      <wp:wrapNone/>
                      <wp:docPr id="10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6"/>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4" o:spid="_x0000_s104" type="#_x0000_t75" style="position:absolute;z-index:251658344;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16"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45" behindDoc="0" locked="0" layoutInCell="1" allowOverlap="1">
                      <wp:simplePos x="0" y="0"/>
                      <wp:positionH relativeFrom="column">
                        <wp:posOffset>0</wp:posOffset>
                      </wp:positionH>
                      <wp:positionV relativeFrom="paragraph">
                        <wp:posOffset>0</wp:posOffset>
                      </wp:positionV>
                      <wp:extent cx="9525" cy="9525"/>
                      <wp:effectExtent l="0" t="0" r="0" b="0"/>
                      <wp:wrapNone/>
                      <wp:docPr id="10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7"/>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5" o:spid="_x0000_s105" type="#_x0000_t75" style="position:absolute;z-index:251658345;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17"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46" behindDoc="0" locked="0" layoutInCell="1" allowOverlap="1">
                      <wp:simplePos x="0" y="0"/>
                      <wp:positionH relativeFrom="column">
                        <wp:posOffset>0</wp:posOffset>
                      </wp:positionH>
                      <wp:positionV relativeFrom="paragraph">
                        <wp:posOffset>0</wp:posOffset>
                      </wp:positionV>
                      <wp:extent cx="9525" cy="9525"/>
                      <wp:effectExtent l="0" t="0" r="0" b="0"/>
                      <wp:wrapNone/>
                      <wp:docPr id="10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8"/>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6" o:spid="_x0000_s106" type="#_x0000_t75" style="position:absolute;z-index:251658346;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18"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47" behindDoc="0" locked="0" layoutInCell="1" allowOverlap="1">
                      <wp:simplePos x="0" y="0"/>
                      <wp:positionH relativeFrom="column">
                        <wp:posOffset>0</wp:posOffset>
                      </wp:positionH>
                      <wp:positionV relativeFrom="paragraph">
                        <wp:posOffset>0</wp:posOffset>
                      </wp:positionV>
                      <wp:extent cx="9525" cy="9525"/>
                      <wp:effectExtent l="0" t="0" r="0" b="0"/>
                      <wp:wrapNone/>
                      <wp:docPr id="10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9"/>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7" o:spid="_x0000_s107" type="#_x0000_t75" style="position:absolute;z-index:251658347;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19"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48" behindDoc="0" locked="0" layoutInCell="1" allowOverlap="1">
                      <wp:simplePos x="0" y="0"/>
                      <wp:positionH relativeFrom="column">
                        <wp:posOffset>0</wp:posOffset>
                      </wp:positionH>
                      <wp:positionV relativeFrom="paragraph">
                        <wp:posOffset>0</wp:posOffset>
                      </wp:positionV>
                      <wp:extent cx="9525" cy="9525"/>
                      <wp:effectExtent l="0" t="0" r="0" b="0"/>
                      <wp:wrapNone/>
                      <wp:docPr id="10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0"/>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8" o:spid="_x0000_s108" type="#_x0000_t75" style="position:absolute;z-index:251658348;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20"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49" behindDoc="0" locked="0" layoutInCell="1" allowOverlap="1">
                      <wp:simplePos x="0" y="0"/>
                      <wp:positionH relativeFrom="column">
                        <wp:posOffset>0</wp:posOffset>
                      </wp:positionH>
                      <wp:positionV relativeFrom="paragraph">
                        <wp:posOffset>0</wp:posOffset>
                      </wp:positionV>
                      <wp:extent cx="9525" cy="9525"/>
                      <wp:effectExtent l="0" t="0" r="0" b="0"/>
                      <wp:wrapNone/>
                      <wp:docPr id="1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1"/>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9" o:spid="_x0000_s109" type="#_x0000_t75" style="position:absolute;z-index:251658349;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21"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50" behindDoc="0" locked="0" layoutInCell="1" allowOverlap="1">
                      <wp:simplePos x="0" y="0"/>
                      <wp:positionH relativeFrom="column">
                        <wp:posOffset>0</wp:posOffset>
                      </wp:positionH>
                      <wp:positionV relativeFrom="paragraph">
                        <wp:posOffset>0</wp:posOffset>
                      </wp:positionV>
                      <wp:extent cx="9525" cy="9525"/>
                      <wp:effectExtent l="0" t="0" r="0" b="0"/>
                      <wp:wrapNone/>
                      <wp:docPr id="1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2"/>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0" o:spid="_x0000_s110" type="#_x0000_t75" style="position:absolute;z-index:251658350;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22"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51" behindDoc="0" locked="0" layoutInCell="1" allowOverlap="1">
                      <wp:simplePos x="0" y="0"/>
                      <wp:positionH relativeFrom="column">
                        <wp:posOffset>0</wp:posOffset>
                      </wp:positionH>
                      <wp:positionV relativeFrom="paragraph">
                        <wp:posOffset>0</wp:posOffset>
                      </wp:positionV>
                      <wp:extent cx="9525" cy="9525"/>
                      <wp:effectExtent l="0" t="0" r="0" b="0"/>
                      <wp:wrapNone/>
                      <wp:docPr id="1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3"/>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1" o:spid="_x0000_s111" type="#_x0000_t75" style="position:absolute;z-index:251658351;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23"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52" behindDoc="0" locked="0" layoutInCell="1" allowOverlap="1">
                      <wp:simplePos x="0" y="0"/>
                      <wp:positionH relativeFrom="column">
                        <wp:posOffset>0</wp:posOffset>
                      </wp:positionH>
                      <wp:positionV relativeFrom="paragraph">
                        <wp:posOffset>0</wp:posOffset>
                      </wp:positionV>
                      <wp:extent cx="9525" cy="9525"/>
                      <wp:effectExtent l="0" t="0" r="0" b="0"/>
                      <wp:wrapNone/>
                      <wp:docPr id="1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4"/>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2" o:spid="_x0000_s112" type="#_x0000_t75" style="position:absolute;z-index:251658352;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24" o:title=""/>
                    </v:shape>
                  </w:pict>
                </mc:Fallback>
              </mc:AlternateContent>
            </w:r>
            <w:r>
              <w:rPr>
                <w:rFonts w:hint="eastAsia" w:ascii="宋体" w:hAnsi="宋体" w:cs="宋体"/>
                <w:b/>
                <w:bCs/>
                <w:color w:val="000000" w:themeColor="text1"/>
                <w:sz w:val="24"/>
                <w:szCs w:val="24"/>
                <w:highlight w:val="none"/>
              </w:rPr>
              <w:t xml:space="preserve">序号</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center"/>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353" behindDoc="0" locked="0" layoutInCell="1" allowOverlap="1">
                      <wp:simplePos x="0" y="0"/>
                      <wp:positionH relativeFrom="column">
                        <wp:posOffset>0</wp:posOffset>
                      </wp:positionH>
                      <wp:positionV relativeFrom="paragraph">
                        <wp:posOffset>0</wp:posOffset>
                      </wp:positionV>
                      <wp:extent cx="7620" cy="7620"/>
                      <wp:effectExtent l="0" t="0" r="0" b="0"/>
                      <wp:wrapNone/>
                      <wp:docPr id="1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5"/>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3" o:spid="_x0000_s113" type="#_x0000_t75" style="position:absolute;z-index:251658353;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125"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54" behindDoc="0" locked="0" layoutInCell="1" allowOverlap="1">
                      <wp:simplePos x="0" y="0"/>
                      <wp:positionH relativeFrom="column">
                        <wp:posOffset>0</wp:posOffset>
                      </wp:positionH>
                      <wp:positionV relativeFrom="paragraph">
                        <wp:posOffset>0</wp:posOffset>
                      </wp:positionV>
                      <wp:extent cx="7620" cy="7620"/>
                      <wp:effectExtent l="0" t="0" r="0" b="0"/>
                      <wp:wrapNone/>
                      <wp:docPr id="1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6"/>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4" o:spid="_x0000_s114" type="#_x0000_t75" style="position:absolute;z-index:251658354;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126"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55" behindDoc="0" locked="0" layoutInCell="1" allowOverlap="1">
                      <wp:simplePos x="0" y="0"/>
                      <wp:positionH relativeFrom="column">
                        <wp:posOffset>0</wp:posOffset>
                      </wp:positionH>
                      <wp:positionV relativeFrom="paragraph">
                        <wp:posOffset>0</wp:posOffset>
                      </wp:positionV>
                      <wp:extent cx="7620" cy="7620"/>
                      <wp:effectExtent l="0" t="0" r="0" b="0"/>
                      <wp:wrapNone/>
                      <wp:docPr id="1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7"/>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5" o:spid="_x0000_s115" type="#_x0000_t75" style="position:absolute;z-index:251658355;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127"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56" behindDoc="0" locked="0" layoutInCell="1" allowOverlap="1">
                      <wp:simplePos x="0" y="0"/>
                      <wp:positionH relativeFrom="column">
                        <wp:posOffset>0</wp:posOffset>
                      </wp:positionH>
                      <wp:positionV relativeFrom="paragraph">
                        <wp:posOffset>0</wp:posOffset>
                      </wp:positionV>
                      <wp:extent cx="7620" cy="7620"/>
                      <wp:effectExtent l="0" t="0" r="0" b="0"/>
                      <wp:wrapNone/>
                      <wp:docPr id="1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8"/>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6" o:spid="_x0000_s116" type="#_x0000_t75" style="position:absolute;z-index:251658356;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128"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57" behindDoc="0" locked="0" layoutInCell="1" allowOverlap="1">
                      <wp:simplePos x="0" y="0"/>
                      <wp:positionH relativeFrom="column">
                        <wp:posOffset>0</wp:posOffset>
                      </wp:positionH>
                      <wp:positionV relativeFrom="paragraph">
                        <wp:posOffset>0</wp:posOffset>
                      </wp:positionV>
                      <wp:extent cx="7620" cy="7620"/>
                      <wp:effectExtent l="0" t="0" r="0" b="0"/>
                      <wp:wrapNone/>
                      <wp:docPr id="1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9"/>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7" o:spid="_x0000_s117" type="#_x0000_t75" style="position:absolute;z-index:251658357;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129"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58" behindDoc="0" locked="0" layoutInCell="1" allowOverlap="1">
                      <wp:simplePos x="0" y="0"/>
                      <wp:positionH relativeFrom="column">
                        <wp:posOffset>0</wp:posOffset>
                      </wp:positionH>
                      <wp:positionV relativeFrom="paragraph">
                        <wp:posOffset>0</wp:posOffset>
                      </wp:positionV>
                      <wp:extent cx="7620" cy="7620"/>
                      <wp:effectExtent l="0" t="0" r="0" b="0"/>
                      <wp:wrapNone/>
                      <wp:docPr id="1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0"/>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8" o:spid="_x0000_s118" type="#_x0000_t75" style="position:absolute;z-index:251658358;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130"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59" behindDoc="0" locked="0" layoutInCell="1" allowOverlap="1">
                      <wp:simplePos x="0" y="0"/>
                      <wp:positionH relativeFrom="column">
                        <wp:posOffset>0</wp:posOffset>
                      </wp:positionH>
                      <wp:positionV relativeFrom="paragraph">
                        <wp:posOffset>0</wp:posOffset>
                      </wp:positionV>
                      <wp:extent cx="7620" cy="7620"/>
                      <wp:effectExtent l="0" t="0" r="0" b="0"/>
                      <wp:wrapNone/>
                      <wp:docPr id="1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1"/>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9" o:spid="_x0000_s119" type="#_x0000_t75" style="position:absolute;z-index:251658359;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131"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60" behindDoc="0" locked="0" layoutInCell="1" allowOverlap="1">
                      <wp:simplePos x="0" y="0"/>
                      <wp:positionH relativeFrom="column">
                        <wp:posOffset>0</wp:posOffset>
                      </wp:positionH>
                      <wp:positionV relativeFrom="paragraph">
                        <wp:posOffset>0</wp:posOffset>
                      </wp:positionV>
                      <wp:extent cx="7620" cy="7620"/>
                      <wp:effectExtent l="0" t="0" r="0" b="0"/>
                      <wp:wrapNone/>
                      <wp:docPr id="1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2"/>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0" o:spid="_x0000_s120" type="#_x0000_t75" style="position:absolute;z-index:251658360;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132"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61" behindDoc="0" locked="0" layoutInCell="1" allowOverlap="1">
                      <wp:simplePos x="0" y="0"/>
                      <wp:positionH relativeFrom="column">
                        <wp:posOffset>0</wp:posOffset>
                      </wp:positionH>
                      <wp:positionV relativeFrom="paragraph">
                        <wp:posOffset>0</wp:posOffset>
                      </wp:positionV>
                      <wp:extent cx="7620" cy="7620"/>
                      <wp:effectExtent l="0" t="0" r="0" b="0"/>
                      <wp:wrapNone/>
                      <wp:docPr id="1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3"/>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1" o:spid="_x0000_s121" type="#_x0000_t75" style="position:absolute;z-index:251658361;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133"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62" behindDoc="0" locked="0" layoutInCell="1" allowOverlap="1">
                      <wp:simplePos x="0" y="0"/>
                      <wp:positionH relativeFrom="column">
                        <wp:posOffset>0</wp:posOffset>
                      </wp:positionH>
                      <wp:positionV relativeFrom="paragraph">
                        <wp:posOffset>0</wp:posOffset>
                      </wp:positionV>
                      <wp:extent cx="7620" cy="7620"/>
                      <wp:effectExtent l="0" t="0" r="0" b="0"/>
                      <wp:wrapNone/>
                      <wp:docPr id="1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4"/>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2" o:spid="_x0000_s122" type="#_x0000_t75" style="position:absolute;z-index:251658362;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134"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63" behindDoc="0" locked="0" layoutInCell="1" allowOverlap="1">
                      <wp:simplePos x="0" y="0"/>
                      <wp:positionH relativeFrom="column">
                        <wp:posOffset>0</wp:posOffset>
                      </wp:positionH>
                      <wp:positionV relativeFrom="paragraph">
                        <wp:posOffset>0</wp:posOffset>
                      </wp:positionV>
                      <wp:extent cx="7620" cy="7620"/>
                      <wp:effectExtent l="0" t="0" r="0" b="0"/>
                      <wp:wrapNone/>
                      <wp:docPr id="1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5"/>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3" o:spid="_x0000_s123" type="#_x0000_t75" style="position:absolute;z-index:251658363;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135"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64" behindDoc="0" locked="0" layoutInCell="1" allowOverlap="1">
                      <wp:simplePos x="0" y="0"/>
                      <wp:positionH relativeFrom="column">
                        <wp:posOffset>0</wp:posOffset>
                      </wp:positionH>
                      <wp:positionV relativeFrom="paragraph">
                        <wp:posOffset>0</wp:posOffset>
                      </wp:positionV>
                      <wp:extent cx="7620" cy="7620"/>
                      <wp:effectExtent l="0" t="0" r="0" b="0"/>
                      <wp:wrapNone/>
                      <wp:docPr id="1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6"/>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4" o:spid="_x0000_s124" type="#_x0000_t75" style="position:absolute;z-index:251658364;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136"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65" behindDoc="0" locked="0" layoutInCell="1" allowOverlap="1">
                      <wp:simplePos x="0" y="0"/>
                      <wp:positionH relativeFrom="column">
                        <wp:posOffset>0</wp:posOffset>
                      </wp:positionH>
                      <wp:positionV relativeFrom="paragraph">
                        <wp:posOffset>0</wp:posOffset>
                      </wp:positionV>
                      <wp:extent cx="7620" cy="7620"/>
                      <wp:effectExtent l="0" t="0" r="0" b="0"/>
                      <wp:wrapNone/>
                      <wp:docPr id="1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7"/>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5" o:spid="_x0000_s125" type="#_x0000_t75" style="position:absolute;z-index:251658365;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137"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66" behindDoc="0" locked="0" layoutInCell="1" allowOverlap="1">
                      <wp:simplePos x="0" y="0"/>
                      <wp:positionH relativeFrom="column">
                        <wp:posOffset>0</wp:posOffset>
                      </wp:positionH>
                      <wp:positionV relativeFrom="paragraph">
                        <wp:posOffset>0</wp:posOffset>
                      </wp:positionV>
                      <wp:extent cx="7620" cy="7620"/>
                      <wp:effectExtent l="0" t="0" r="0" b="0"/>
                      <wp:wrapNone/>
                      <wp:docPr id="12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8"/>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6" o:spid="_x0000_s126" type="#_x0000_t75" style="position:absolute;z-index:251658366;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138"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67" behindDoc="0" locked="0" layoutInCell="1" allowOverlap="1">
                      <wp:simplePos x="0" y="0"/>
                      <wp:positionH relativeFrom="column">
                        <wp:posOffset>0</wp:posOffset>
                      </wp:positionH>
                      <wp:positionV relativeFrom="paragraph">
                        <wp:posOffset>0</wp:posOffset>
                      </wp:positionV>
                      <wp:extent cx="7620" cy="7620"/>
                      <wp:effectExtent l="0" t="0" r="0" b="0"/>
                      <wp:wrapNone/>
                      <wp:docPr id="12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9"/>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7" o:spid="_x0000_s127" type="#_x0000_t75" style="position:absolute;z-index:251658367;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139"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68" behindDoc="0" locked="0" layoutInCell="1" allowOverlap="1">
                      <wp:simplePos x="0" y="0"/>
                      <wp:positionH relativeFrom="column">
                        <wp:posOffset>0</wp:posOffset>
                      </wp:positionH>
                      <wp:positionV relativeFrom="paragraph">
                        <wp:posOffset>0</wp:posOffset>
                      </wp:positionV>
                      <wp:extent cx="7620" cy="7620"/>
                      <wp:effectExtent l="0" t="0" r="0" b="0"/>
                      <wp:wrapNone/>
                      <wp:docPr id="12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0"/>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8" o:spid="_x0000_s128" type="#_x0000_t75" style="position:absolute;z-index:251658368;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140"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69" behindDoc="0" locked="0" layoutInCell="1" allowOverlap="1">
                      <wp:simplePos x="0" y="0"/>
                      <wp:positionH relativeFrom="column">
                        <wp:posOffset>0</wp:posOffset>
                      </wp:positionH>
                      <wp:positionV relativeFrom="paragraph">
                        <wp:posOffset>0</wp:posOffset>
                      </wp:positionV>
                      <wp:extent cx="7620" cy="7620"/>
                      <wp:effectExtent l="0" t="0" r="0" b="0"/>
                      <wp:wrapNone/>
                      <wp:docPr id="13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1"/>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9" o:spid="_x0000_s129" type="#_x0000_t75" style="position:absolute;z-index:251658369;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141"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70" behindDoc="0" locked="0" layoutInCell="1" allowOverlap="1">
                      <wp:simplePos x="0" y="0"/>
                      <wp:positionH relativeFrom="column">
                        <wp:posOffset>0</wp:posOffset>
                      </wp:positionH>
                      <wp:positionV relativeFrom="paragraph">
                        <wp:posOffset>0</wp:posOffset>
                      </wp:positionV>
                      <wp:extent cx="7620" cy="7620"/>
                      <wp:effectExtent l="0" t="0" r="0" b="0"/>
                      <wp:wrapNone/>
                      <wp:docPr id="13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2"/>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0" o:spid="_x0000_s130" type="#_x0000_t75" style="position:absolute;z-index:251658370;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142"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71" behindDoc="0" locked="0" layoutInCell="1" allowOverlap="1">
                      <wp:simplePos x="0" y="0"/>
                      <wp:positionH relativeFrom="column">
                        <wp:posOffset>0</wp:posOffset>
                      </wp:positionH>
                      <wp:positionV relativeFrom="paragraph">
                        <wp:posOffset>0</wp:posOffset>
                      </wp:positionV>
                      <wp:extent cx="7620" cy="7620"/>
                      <wp:effectExtent l="0" t="0" r="0" b="0"/>
                      <wp:wrapNone/>
                      <wp:docPr id="13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3"/>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1" o:spid="_x0000_s131" type="#_x0000_t75" style="position:absolute;z-index:251658371;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143"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72" behindDoc="0" locked="0" layoutInCell="1" allowOverlap="1">
                      <wp:simplePos x="0" y="0"/>
                      <wp:positionH relativeFrom="column">
                        <wp:posOffset>0</wp:posOffset>
                      </wp:positionH>
                      <wp:positionV relativeFrom="paragraph">
                        <wp:posOffset>0</wp:posOffset>
                      </wp:positionV>
                      <wp:extent cx="7620" cy="7620"/>
                      <wp:effectExtent l="0" t="0" r="0" b="0"/>
                      <wp:wrapNone/>
                      <wp:docPr id="13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4"/>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2" o:spid="_x0000_s132" type="#_x0000_t75" style="position:absolute;z-index:251658372;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144"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73" behindDoc="0" locked="0" layoutInCell="1" allowOverlap="1">
                      <wp:simplePos x="0" y="0"/>
                      <wp:positionH relativeFrom="column">
                        <wp:posOffset>0</wp:posOffset>
                      </wp:positionH>
                      <wp:positionV relativeFrom="paragraph">
                        <wp:posOffset>0</wp:posOffset>
                      </wp:positionV>
                      <wp:extent cx="7620" cy="7620"/>
                      <wp:effectExtent l="0" t="0" r="0" b="0"/>
                      <wp:wrapNone/>
                      <wp:docPr id="13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5"/>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3" o:spid="_x0000_s133" type="#_x0000_t75" style="position:absolute;z-index:251658373;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145"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74" behindDoc="0" locked="0" layoutInCell="1" allowOverlap="1">
                      <wp:simplePos x="0" y="0"/>
                      <wp:positionH relativeFrom="column">
                        <wp:posOffset>0</wp:posOffset>
                      </wp:positionH>
                      <wp:positionV relativeFrom="paragraph">
                        <wp:posOffset>0</wp:posOffset>
                      </wp:positionV>
                      <wp:extent cx="7620" cy="7620"/>
                      <wp:effectExtent l="0" t="0" r="0" b="0"/>
                      <wp:wrapNone/>
                      <wp:docPr id="13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6"/>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4" o:spid="_x0000_s134" type="#_x0000_t75" style="position:absolute;z-index:251658374;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146"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75" behindDoc="0" locked="0" layoutInCell="1" allowOverlap="1">
                      <wp:simplePos x="0" y="0"/>
                      <wp:positionH relativeFrom="column">
                        <wp:posOffset>0</wp:posOffset>
                      </wp:positionH>
                      <wp:positionV relativeFrom="paragraph">
                        <wp:posOffset>0</wp:posOffset>
                      </wp:positionV>
                      <wp:extent cx="7620" cy="7620"/>
                      <wp:effectExtent l="0" t="0" r="0" b="0"/>
                      <wp:wrapNone/>
                      <wp:docPr id="13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7"/>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5" o:spid="_x0000_s135" type="#_x0000_t75" style="position:absolute;z-index:251658375;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147"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76" behindDoc="0" locked="0" layoutInCell="1" allowOverlap="1">
                      <wp:simplePos x="0" y="0"/>
                      <wp:positionH relativeFrom="column">
                        <wp:posOffset>0</wp:posOffset>
                      </wp:positionH>
                      <wp:positionV relativeFrom="paragraph">
                        <wp:posOffset>0</wp:posOffset>
                      </wp:positionV>
                      <wp:extent cx="7620" cy="7620"/>
                      <wp:effectExtent l="0" t="0" r="0" b="0"/>
                      <wp:wrapNone/>
                      <wp:docPr id="13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8"/>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6" o:spid="_x0000_s136" type="#_x0000_t75" style="position:absolute;z-index:251658376;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148"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77" behindDoc="0" locked="0" layoutInCell="1" allowOverlap="1">
                      <wp:simplePos x="0" y="0"/>
                      <wp:positionH relativeFrom="column">
                        <wp:posOffset>0</wp:posOffset>
                      </wp:positionH>
                      <wp:positionV relativeFrom="paragraph">
                        <wp:posOffset>0</wp:posOffset>
                      </wp:positionV>
                      <wp:extent cx="7620" cy="7620"/>
                      <wp:effectExtent l="0" t="0" r="0" b="0"/>
                      <wp:wrapNone/>
                      <wp:docPr id="13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9"/>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7" o:spid="_x0000_s137" type="#_x0000_t75" style="position:absolute;z-index:251658377;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149"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78" behindDoc="0" locked="0" layoutInCell="1" allowOverlap="1">
                      <wp:simplePos x="0" y="0"/>
                      <wp:positionH relativeFrom="column">
                        <wp:posOffset>0</wp:posOffset>
                      </wp:positionH>
                      <wp:positionV relativeFrom="paragraph">
                        <wp:posOffset>0</wp:posOffset>
                      </wp:positionV>
                      <wp:extent cx="7620" cy="7620"/>
                      <wp:effectExtent l="0" t="0" r="0" b="0"/>
                      <wp:wrapNone/>
                      <wp:docPr id="13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0"/>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8" o:spid="_x0000_s138" type="#_x0000_t75" style="position:absolute;z-index:251658378;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150"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79" behindDoc="0" locked="0" layoutInCell="1" allowOverlap="1">
                      <wp:simplePos x="0" y="0"/>
                      <wp:positionH relativeFrom="column">
                        <wp:posOffset>0</wp:posOffset>
                      </wp:positionH>
                      <wp:positionV relativeFrom="paragraph">
                        <wp:posOffset>0</wp:posOffset>
                      </wp:positionV>
                      <wp:extent cx="7620" cy="7620"/>
                      <wp:effectExtent l="0" t="0" r="0" b="0"/>
                      <wp:wrapNone/>
                      <wp:docPr id="14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1"/>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9" o:spid="_x0000_s139" type="#_x0000_t75" style="position:absolute;z-index:251658379;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151"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80" behindDoc="0" locked="0" layoutInCell="1" allowOverlap="1">
                      <wp:simplePos x="0" y="0"/>
                      <wp:positionH relativeFrom="column">
                        <wp:posOffset>0</wp:posOffset>
                      </wp:positionH>
                      <wp:positionV relativeFrom="paragraph">
                        <wp:posOffset>0</wp:posOffset>
                      </wp:positionV>
                      <wp:extent cx="7620" cy="7620"/>
                      <wp:effectExtent l="0" t="0" r="0" b="0"/>
                      <wp:wrapNone/>
                      <wp:docPr id="14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2"/>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0" o:spid="_x0000_s140" type="#_x0000_t75" style="position:absolute;z-index:251658380;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152"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81" behindDoc="0" locked="0" layoutInCell="1" allowOverlap="1">
                      <wp:simplePos x="0" y="0"/>
                      <wp:positionH relativeFrom="column">
                        <wp:posOffset>0</wp:posOffset>
                      </wp:positionH>
                      <wp:positionV relativeFrom="paragraph">
                        <wp:posOffset>0</wp:posOffset>
                      </wp:positionV>
                      <wp:extent cx="7620" cy="7620"/>
                      <wp:effectExtent l="0" t="0" r="0" b="0"/>
                      <wp:wrapNone/>
                      <wp:docPr id="14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3"/>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1" o:spid="_x0000_s141" type="#_x0000_t75" style="position:absolute;z-index:251658381;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153"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82" behindDoc="0" locked="0" layoutInCell="1" allowOverlap="1">
                      <wp:simplePos x="0" y="0"/>
                      <wp:positionH relativeFrom="column">
                        <wp:posOffset>0</wp:posOffset>
                      </wp:positionH>
                      <wp:positionV relativeFrom="paragraph">
                        <wp:posOffset>0</wp:posOffset>
                      </wp:positionV>
                      <wp:extent cx="7620" cy="7620"/>
                      <wp:effectExtent l="0" t="0" r="0" b="0"/>
                      <wp:wrapNone/>
                      <wp:docPr id="14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4"/>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2" o:spid="_x0000_s142" type="#_x0000_t75" style="position:absolute;z-index:251658382;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154"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83" behindDoc="0" locked="0" layoutInCell="1" allowOverlap="1">
                      <wp:simplePos x="0" y="0"/>
                      <wp:positionH relativeFrom="column">
                        <wp:posOffset>0</wp:posOffset>
                      </wp:positionH>
                      <wp:positionV relativeFrom="paragraph">
                        <wp:posOffset>0</wp:posOffset>
                      </wp:positionV>
                      <wp:extent cx="7620" cy="7620"/>
                      <wp:effectExtent l="0" t="0" r="0" b="0"/>
                      <wp:wrapNone/>
                      <wp:docPr id="14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5"/>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3" o:spid="_x0000_s143" type="#_x0000_t75" style="position:absolute;z-index:251658383;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155"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84" behindDoc="0" locked="0" layoutInCell="1" allowOverlap="1">
                      <wp:simplePos x="0" y="0"/>
                      <wp:positionH relativeFrom="column">
                        <wp:posOffset>0</wp:posOffset>
                      </wp:positionH>
                      <wp:positionV relativeFrom="paragraph">
                        <wp:posOffset>0</wp:posOffset>
                      </wp:positionV>
                      <wp:extent cx="7620" cy="7620"/>
                      <wp:effectExtent l="0" t="0" r="0" b="0"/>
                      <wp:wrapNone/>
                      <wp:docPr id="14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6"/>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4" o:spid="_x0000_s144" type="#_x0000_t75" style="position:absolute;z-index:251658384;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156"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85" behindDoc="0" locked="0" layoutInCell="1" allowOverlap="1">
                      <wp:simplePos x="0" y="0"/>
                      <wp:positionH relativeFrom="column">
                        <wp:posOffset>0</wp:posOffset>
                      </wp:positionH>
                      <wp:positionV relativeFrom="paragraph">
                        <wp:posOffset>0</wp:posOffset>
                      </wp:positionV>
                      <wp:extent cx="7620" cy="7620"/>
                      <wp:effectExtent l="0" t="0" r="0" b="0"/>
                      <wp:wrapNone/>
                      <wp:docPr id="14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7"/>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5" o:spid="_x0000_s145" type="#_x0000_t75" style="position:absolute;z-index:251658385;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157"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86" behindDoc="0" locked="0" layoutInCell="1" allowOverlap="1">
                      <wp:simplePos x="0" y="0"/>
                      <wp:positionH relativeFrom="column">
                        <wp:posOffset>0</wp:posOffset>
                      </wp:positionH>
                      <wp:positionV relativeFrom="paragraph">
                        <wp:posOffset>0</wp:posOffset>
                      </wp:positionV>
                      <wp:extent cx="7620" cy="7620"/>
                      <wp:effectExtent l="0" t="0" r="0" b="0"/>
                      <wp:wrapNone/>
                      <wp:docPr id="14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8"/>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6" o:spid="_x0000_s146" type="#_x0000_t75" style="position:absolute;z-index:251658386;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158"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87" behindDoc="0" locked="0" layoutInCell="1" allowOverlap="1">
                      <wp:simplePos x="0" y="0"/>
                      <wp:positionH relativeFrom="column">
                        <wp:posOffset>0</wp:posOffset>
                      </wp:positionH>
                      <wp:positionV relativeFrom="paragraph">
                        <wp:posOffset>0</wp:posOffset>
                      </wp:positionV>
                      <wp:extent cx="7620" cy="7620"/>
                      <wp:effectExtent l="0" t="0" r="0" b="0"/>
                      <wp:wrapNone/>
                      <wp:docPr id="14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9"/>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7" o:spid="_x0000_s147" type="#_x0000_t75" style="position:absolute;z-index:251658387;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159"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88" behindDoc="0" locked="0" layoutInCell="1" allowOverlap="1">
                      <wp:simplePos x="0" y="0"/>
                      <wp:positionH relativeFrom="column">
                        <wp:posOffset>0</wp:posOffset>
                      </wp:positionH>
                      <wp:positionV relativeFrom="paragraph">
                        <wp:posOffset>0</wp:posOffset>
                      </wp:positionV>
                      <wp:extent cx="7620" cy="7620"/>
                      <wp:effectExtent l="0" t="0" r="0" b="0"/>
                      <wp:wrapNone/>
                      <wp:docPr id="14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0"/>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8" o:spid="_x0000_s148" type="#_x0000_t75" style="position:absolute;z-index:251658388;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160"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89" behindDoc="0" locked="0" layoutInCell="1" allowOverlap="1">
                      <wp:simplePos x="0" y="0"/>
                      <wp:positionH relativeFrom="column">
                        <wp:posOffset>0</wp:posOffset>
                      </wp:positionH>
                      <wp:positionV relativeFrom="paragraph">
                        <wp:posOffset>0</wp:posOffset>
                      </wp:positionV>
                      <wp:extent cx="7620" cy="7620"/>
                      <wp:effectExtent l="0" t="0" r="0" b="0"/>
                      <wp:wrapNone/>
                      <wp:docPr id="15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1"/>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9" o:spid="_x0000_s149" type="#_x0000_t75" style="position:absolute;z-index:251658389;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161"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90" behindDoc="0" locked="0" layoutInCell="1" allowOverlap="1">
                      <wp:simplePos x="0" y="0"/>
                      <wp:positionH relativeFrom="column">
                        <wp:posOffset>0</wp:posOffset>
                      </wp:positionH>
                      <wp:positionV relativeFrom="paragraph">
                        <wp:posOffset>0</wp:posOffset>
                      </wp:positionV>
                      <wp:extent cx="7620" cy="7620"/>
                      <wp:effectExtent l="0" t="0" r="0" b="0"/>
                      <wp:wrapNone/>
                      <wp:docPr id="15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2"/>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0" o:spid="_x0000_s150" type="#_x0000_t75" style="position:absolute;z-index:251658390;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162"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91" behindDoc="0" locked="0" layoutInCell="1" allowOverlap="1">
                      <wp:simplePos x="0" y="0"/>
                      <wp:positionH relativeFrom="column">
                        <wp:posOffset>0</wp:posOffset>
                      </wp:positionH>
                      <wp:positionV relativeFrom="paragraph">
                        <wp:posOffset>0</wp:posOffset>
                      </wp:positionV>
                      <wp:extent cx="7620" cy="7620"/>
                      <wp:effectExtent l="0" t="0" r="0" b="0"/>
                      <wp:wrapNone/>
                      <wp:docPr id="15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3"/>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1" o:spid="_x0000_s151" type="#_x0000_t75" style="position:absolute;z-index:251658391;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163"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92" behindDoc="0" locked="0" layoutInCell="1" allowOverlap="1">
                      <wp:simplePos x="0" y="0"/>
                      <wp:positionH relativeFrom="column">
                        <wp:posOffset>0</wp:posOffset>
                      </wp:positionH>
                      <wp:positionV relativeFrom="paragraph">
                        <wp:posOffset>0</wp:posOffset>
                      </wp:positionV>
                      <wp:extent cx="7620" cy="7620"/>
                      <wp:effectExtent l="0" t="0" r="0" b="0"/>
                      <wp:wrapNone/>
                      <wp:docPr id="15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4"/>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2" o:spid="_x0000_s152" type="#_x0000_t75" style="position:absolute;z-index:251658392;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164"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93" behindDoc="0" locked="0" layoutInCell="1" allowOverlap="1">
                      <wp:simplePos x="0" y="0"/>
                      <wp:positionH relativeFrom="column">
                        <wp:posOffset>0</wp:posOffset>
                      </wp:positionH>
                      <wp:positionV relativeFrom="paragraph">
                        <wp:posOffset>0</wp:posOffset>
                      </wp:positionV>
                      <wp:extent cx="7620" cy="7620"/>
                      <wp:effectExtent l="0" t="0" r="0" b="0"/>
                      <wp:wrapNone/>
                      <wp:docPr id="15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5"/>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3" o:spid="_x0000_s153" type="#_x0000_t75" style="position:absolute;z-index:251658393;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165"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94" behindDoc="0" locked="0" layoutInCell="1" allowOverlap="1">
                      <wp:simplePos x="0" y="0"/>
                      <wp:positionH relativeFrom="column">
                        <wp:posOffset>0</wp:posOffset>
                      </wp:positionH>
                      <wp:positionV relativeFrom="paragraph">
                        <wp:posOffset>0</wp:posOffset>
                      </wp:positionV>
                      <wp:extent cx="7620" cy="7620"/>
                      <wp:effectExtent l="0" t="0" r="0" b="0"/>
                      <wp:wrapNone/>
                      <wp:docPr id="15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6"/>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4" o:spid="_x0000_s154" type="#_x0000_t75" style="position:absolute;z-index:251658394;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166"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95" behindDoc="0" locked="0" layoutInCell="1" allowOverlap="1">
                      <wp:simplePos x="0" y="0"/>
                      <wp:positionH relativeFrom="column">
                        <wp:posOffset>0</wp:posOffset>
                      </wp:positionH>
                      <wp:positionV relativeFrom="paragraph">
                        <wp:posOffset>0</wp:posOffset>
                      </wp:positionV>
                      <wp:extent cx="7620" cy="7620"/>
                      <wp:effectExtent l="0" t="0" r="0" b="0"/>
                      <wp:wrapNone/>
                      <wp:docPr id="15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7"/>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5" o:spid="_x0000_s155" type="#_x0000_t75" style="position:absolute;z-index:251658395;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167"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96" behindDoc="0" locked="0" layoutInCell="1" allowOverlap="1">
                      <wp:simplePos x="0" y="0"/>
                      <wp:positionH relativeFrom="column">
                        <wp:posOffset>0</wp:posOffset>
                      </wp:positionH>
                      <wp:positionV relativeFrom="paragraph">
                        <wp:posOffset>0</wp:posOffset>
                      </wp:positionV>
                      <wp:extent cx="7620" cy="7620"/>
                      <wp:effectExtent l="0" t="0" r="0" b="0"/>
                      <wp:wrapNone/>
                      <wp:docPr id="15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8"/>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6" o:spid="_x0000_s156" type="#_x0000_t75" style="position:absolute;z-index:251658396;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168"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97" behindDoc="0" locked="0" layoutInCell="1" allowOverlap="1">
                      <wp:simplePos x="0" y="0"/>
                      <wp:positionH relativeFrom="column">
                        <wp:posOffset>0</wp:posOffset>
                      </wp:positionH>
                      <wp:positionV relativeFrom="paragraph">
                        <wp:posOffset>0</wp:posOffset>
                      </wp:positionV>
                      <wp:extent cx="7620" cy="7620"/>
                      <wp:effectExtent l="0" t="0" r="0" b="0"/>
                      <wp:wrapNone/>
                      <wp:docPr id="15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9"/>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7" o:spid="_x0000_s157" type="#_x0000_t75" style="position:absolute;z-index:251658397;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169"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98" behindDoc="0" locked="0" layoutInCell="1" allowOverlap="1">
                      <wp:simplePos x="0" y="0"/>
                      <wp:positionH relativeFrom="column">
                        <wp:posOffset>0</wp:posOffset>
                      </wp:positionH>
                      <wp:positionV relativeFrom="paragraph">
                        <wp:posOffset>0</wp:posOffset>
                      </wp:positionV>
                      <wp:extent cx="7620" cy="7620"/>
                      <wp:effectExtent l="0" t="0" r="0" b="0"/>
                      <wp:wrapNone/>
                      <wp:docPr id="15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0"/>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8" o:spid="_x0000_s158" type="#_x0000_t75" style="position:absolute;z-index:251658398;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170"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99" behindDoc="0" locked="0" layoutInCell="1" allowOverlap="1">
                      <wp:simplePos x="0" y="0"/>
                      <wp:positionH relativeFrom="column">
                        <wp:posOffset>0</wp:posOffset>
                      </wp:positionH>
                      <wp:positionV relativeFrom="paragraph">
                        <wp:posOffset>0</wp:posOffset>
                      </wp:positionV>
                      <wp:extent cx="7620" cy="7620"/>
                      <wp:effectExtent l="0" t="0" r="0" b="0"/>
                      <wp:wrapNone/>
                      <wp:docPr id="16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1"/>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9" o:spid="_x0000_s159" type="#_x0000_t75" style="position:absolute;z-index:251658399;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171"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00" behindDoc="0" locked="0" layoutInCell="1" allowOverlap="1">
                      <wp:simplePos x="0" y="0"/>
                      <wp:positionH relativeFrom="column">
                        <wp:posOffset>0</wp:posOffset>
                      </wp:positionH>
                      <wp:positionV relativeFrom="paragraph">
                        <wp:posOffset>0</wp:posOffset>
                      </wp:positionV>
                      <wp:extent cx="7620" cy="7620"/>
                      <wp:effectExtent l="0" t="0" r="0" b="0"/>
                      <wp:wrapNone/>
                      <wp:docPr id="16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2"/>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0" o:spid="_x0000_s160" type="#_x0000_t75" style="position:absolute;z-index:251658400;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172"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01" behindDoc="0" locked="0" layoutInCell="1" allowOverlap="1">
                      <wp:simplePos x="0" y="0"/>
                      <wp:positionH relativeFrom="column">
                        <wp:posOffset>0</wp:posOffset>
                      </wp:positionH>
                      <wp:positionV relativeFrom="paragraph">
                        <wp:posOffset>0</wp:posOffset>
                      </wp:positionV>
                      <wp:extent cx="7620" cy="7620"/>
                      <wp:effectExtent l="0" t="0" r="0" b="0"/>
                      <wp:wrapNone/>
                      <wp:docPr id="16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3"/>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1" o:spid="_x0000_s161" type="#_x0000_t75" style="position:absolute;z-index:251658401;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173"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02" behindDoc="0" locked="0" layoutInCell="1" allowOverlap="1">
                      <wp:simplePos x="0" y="0"/>
                      <wp:positionH relativeFrom="column">
                        <wp:posOffset>0</wp:posOffset>
                      </wp:positionH>
                      <wp:positionV relativeFrom="paragraph">
                        <wp:posOffset>0</wp:posOffset>
                      </wp:positionV>
                      <wp:extent cx="7620" cy="7620"/>
                      <wp:effectExtent l="0" t="0" r="0" b="0"/>
                      <wp:wrapNone/>
                      <wp:docPr id="16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4"/>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2" o:spid="_x0000_s162" type="#_x0000_t75" style="position:absolute;z-index:251658402;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174"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03" behindDoc="0" locked="0" layoutInCell="1" allowOverlap="1">
                      <wp:simplePos x="0" y="0"/>
                      <wp:positionH relativeFrom="column">
                        <wp:posOffset>0</wp:posOffset>
                      </wp:positionH>
                      <wp:positionV relativeFrom="paragraph">
                        <wp:posOffset>0</wp:posOffset>
                      </wp:positionV>
                      <wp:extent cx="7620" cy="7620"/>
                      <wp:effectExtent l="0" t="0" r="0" b="0"/>
                      <wp:wrapNone/>
                      <wp:docPr id="16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5"/>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3" o:spid="_x0000_s163" type="#_x0000_t75" style="position:absolute;z-index:251658403;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175"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04" behindDoc="0" locked="0" layoutInCell="1" allowOverlap="1">
                      <wp:simplePos x="0" y="0"/>
                      <wp:positionH relativeFrom="column">
                        <wp:posOffset>0</wp:posOffset>
                      </wp:positionH>
                      <wp:positionV relativeFrom="paragraph">
                        <wp:posOffset>0</wp:posOffset>
                      </wp:positionV>
                      <wp:extent cx="7620" cy="7620"/>
                      <wp:effectExtent l="0" t="0" r="0" b="0"/>
                      <wp:wrapNone/>
                      <wp:docPr id="16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6"/>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4" o:spid="_x0000_s164" type="#_x0000_t75" style="position:absolute;z-index:251658404;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176"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05" behindDoc="0" locked="0" layoutInCell="1" allowOverlap="1">
                      <wp:simplePos x="0" y="0"/>
                      <wp:positionH relativeFrom="column">
                        <wp:posOffset>0</wp:posOffset>
                      </wp:positionH>
                      <wp:positionV relativeFrom="paragraph">
                        <wp:posOffset>0</wp:posOffset>
                      </wp:positionV>
                      <wp:extent cx="7620" cy="7620"/>
                      <wp:effectExtent l="0" t="0" r="0" b="0"/>
                      <wp:wrapNone/>
                      <wp:docPr id="16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7"/>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5" o:spid="_x0000_s165" type="#_x0000_t75" style="position:absolute;z-index:251658405;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177"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06" behindDoc="0" locked="0" layoutInCell="1" allowOverlap="1">
                      <wp:simplePos x="0" y="0"/>
                      <wp:positionH relativeFrom="column">
                        <wp:posOffset>0</wp:posOffset>
                      </wp:positionH>
                      <wp:positionV relativeFrom="paragraph">
                        <wp:posOffset>0</wp:posOffset>
                      </wp:positionV>
                      <wp:extent cx="7620" cy="7620"/>
                      <wp:effectExtent l="0" t="0" r="0" b="0"/>
                      <wp:wrapNone/>
                      <wp:docPr id="16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8"/>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6" o:spid="_x0000_s166" type="#_x0000_t75" style="position:absolute;z-index:251658406;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178"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07" behindDoc="0" locked="0" layoutInCell="1" allowOverlap="1">
                      <wp:simplePos x="0" y="0"/>
                      <wp:positionH relativeFrom="column">
                        <wp:posOffset>0</wp:posOffset>
                      </wp:positionH>
                      <wp:positionV relativeFrom="paragraph">
                        <wp:posOffset>0</wp:posOffset>
                      </wp:positionV>
                      <wp:extent cx="7620" cy="7620"/>
                      <wp:effectExtent l="0" t="0" r="0" b="0"/>
                      <wp:wrapNone/>
                      <wp:docPr id="16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9"/>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7" o:spid="_x0000_s167" type="#_x0000_t75" style="position:absolute;z-index:251658407;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179"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08" behindDoc="0" locked="0" layoutInCell="1" allowOverlap="1">
                      <wp:simplePos x="0" y="0"/>
                      <wp:positionH relativeFrom="column">
                        <wp:posOffset>0</wp:posOffset>
                      </wp:positionH>
                      <wp:positionV relativeFrom="paragraph">
                        <wp:posOffset>0</wp:posOffset>
                      </wp:positionV>
                      <wp:extent cx="7620" cy="7620"/>
                      <wp:effectExtent l="0" t="0" r="0" b="0"/>
                      <wp:wrapNone/>
                      <wp:docPr id="16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0"/>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8" o:spid="_x0000_s168" type="#_x0000_t75" style="position:absolute;z-index:251658408;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180"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09" behindDoc="0" locked="0" layoutInCell="1" allowOverlap="1">
                      <wp:simplePos x="0" y="0"/>
                      <wp:positionH relativeFrom="column">
                        <wp:posOffset>0</wp:posOffset>
                      </wp:positionH>
                      <wp:positionV relativeFrom="paragraph">
                        <wp:posOffset>0</wp:posOffset>
                      </wp:positionV>
                      <wp:extent cx="7620" cy="7620"/>
                      <wp:effectExtent l="0" t="0" r="0" b="0"/>
                      <wp:wrapNone/>
                      <wp:docPr id="17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1"/>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9" o:spid="_x0000_s169" type="#_x0000_t75" style="position:absolute;z-index:251658409;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181"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10" behindDoc="0" locked="0" layoutInCell="1" allowOverlap="1">
                      <wp:simplePos x="0" y="0"/>
                      <wp:positionH relativeFrom="column">
                        <wp:posOffset>0</wp:posOffset>
                      </wp:positionH>
                      <wp:positionV relativeFrom="paragraph">
                        <wp:posOffset>0</wp:posOffset>
                      </wp:positionV>
                      <wp:extent cx="7620" cy="7620"/>
                      <wp:effectExtent l="0" t="0" r="0" b="0"/>
                      <wp:wrapNone/>
                      <wp:docPr id="17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2"/>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0" o:spid="_x0000_s170" type="#_x0000_t75" style="position:absolute;z-index:251658410;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182"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11" behindDoc="0" locked="0" layoutInCell="1" allowOverlap="1">
                      <wp:simplePos x="0" y="0"/>
                      <wp:positionH relativeFrom="column">
                        <wp:posOffset>0</wp:posOffset>
                      </wp:positionH>
                      <wp:positionV relativeFrom="paragraph">
                        <wp:posOffset>0</wp:posOffset>
                      </wp:positionV>
                      <wp:extent cx="7620" cy="7620"/>
                      <wp:effectExtent l="0" t="0" r="0" b="0"/>
                      <wp:wrapNone/>
                      <wp:docPr id="17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3"/>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1" o:spid="_x0000_s171" type="#_x0000_t75" style="position:absolute;z-index:251658411;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183"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12" behindDoc="0" locked="0" layoutInCell="1" allowOverlap="1">
                      <wp:simplePos x="0" y="0"/>
                      <wp:positionH relativeFrom="column">
                        <wp:posOffset>0</wp:posOffset>
                      </wp:positionH>
                      <wp:positionV relativeFrom="paragraph">
                        <wp:posOffset>0</wp:posOffset>
                      </wp:positionV>
                      <wp:extent cx="7620" cy="7620"/>
                      <wp:effectExtent l="0" t="0" r="0" b="0"/>
                      <wp:wrapNone/>
                      <wp:docPr id="17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4"/>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2" o:spid="_x0000_s172" type="#_x0000_t75" style="position:absolute;z-index:251658412;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184"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13" behindDoc="0" locked="0" layoutInCell="1" allowOverlap="1">
                      <wp:simplePos x="0" y="0"/>
                      <wp:positionH relativeFrom="column">
                        <wp:posOffset>0</wp:posOffset>
                      </wp:positionH>
                      <wp:positionV relativeFrom="paragraph">
                        <wp:posOffset>0</wp:posOffset>
                      </wp:positionV>
                      <wp:extent cx="7620" cy="7620"/>
                      <wp:effectExtent l="0" t="0" r="0" b="0"/>
                      <wp:wrapNone/>
                      <wp:docPr id="17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5"/>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3" o:spid="_x0000_s173" type="#_x0000_t75" style="position:absolute;z-index:251658413;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185"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14" behindDoc="0" locked="0" layoutInCell="1" allowOverlap="1">
                      <wp:simplePos x="0" y="0"/>
                      <wp:positionH relativeFrom="column">
                        <wp:posOffset>0</wp:posOffset>
                      </wp:positionH>
                      <wp:positionV relativeFrom="paragraph">
                        <wp:posOffset>0</wp:posOffset>
                      </wp:positionV>
                      <wp:extent cx="7620" cy="7620"/>
                      <wp:effectExtent l="0" t="0" r="0" b="0"/>
                      <wp:wrapNone/>
                      <wp:docPr id="17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6"/>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4" o:spid="_x0000_s174" type="#_x0000_t75" style="position:absolute;z-index:251658414;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186"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15" behindDoc="0" locked="0" layoutInCell="1" allowOverlap="1">
                      <wp:simplePos x="0" y="0"/>
                      <wp:positionH relativeFrom="column">
                        <wp:posOffset>0</wp:posOffset>
                      </wp:positionH>
                      <wp:positionV relativeFrom="paragraph">
                        <wp:posOffset>0</wp:posOffset>
                      </wp:positionV>
                      <wp:extent cx="7620" cy="7620"/>
                      <wp:effectExtent l="0" t="0" r="0" b="0"/>
                      <wp:wrapNone/>
                      <wp:docPr id="17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7"/>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5" o:spid="_x0000_s175" type="#_x0000_t75" style="position:absolute;z-index:251658415;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187"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16" behindDoc="0" locked="0" layoutInCell="1" allowOverlap="1">
                      <wp:simplePos x="0" y="0"/>
                      <wp:positionH relativeFrom="column">
                        <wp:posOffset>0</wp:posOffset>
                      </wp:positionH>
                      <wp:positionV relativeFrom="paragraph">
                        <wp:posOffset>0</wp:posOffset>
                      </wp:positionV>
                      <wp:extent cx="7620" cy="7620"/>
                      <wp:effectExtent l="0" t="0" r="0" b="0"/>
                      <wp:wrapNone/>
                      <wp:docPr id="17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8"/>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6" o:spid="_x0000_s176" type="#_x0000_t75" style="position:absolute;z-index:251658416;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188"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17" behindDoc="0" locked="0" layoutInCell="1" allowOverlap="1">
                      <wp:simplePos x="0" y="0"/>
                      <wp:positionH relativeFrom="column">
                        <wp:posOffset>0</wp:posOffset>
                      </wp:positionH>
                      <wp:positionV relativeFrom="paragraph">
                        <wp:posOffset>0</wp:posOffset>
                      </wp:positionV>
                      <wp:extent cx="7620" cy="7620"/>
                      <wp:effectExtent l="0" t="0" r="0" b="0"/>
                      <wp:wrapNone/>
                      <wp:docPr id="17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9"/>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7" o:spid="_x0000_s177" type="#_x0000_t75" style="position:absolute;z-index:251658417;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189"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18" behindDoc="0" locked="0" layoutInCell="1" allowOverlap="1">
                      <wp:simplePos x="0" y="0"/>
                      <wp:positionH relativeFrom="column">
                        <wp:posOffset>0</wp:posOffset>
                      </wp:positionH>
                      <wp:positionV relativeFrom="paragraph">
                        <wp:posOffset>0</wp:posOffset>
                      </wp:positionV>
                      <wp:extent cx="7620" cy="7620"/>
                      <wp:effectExtent l="0" t="0" r="0" b="0"/>
                      <wp:wrapNone/>
                      <wp:docPr id="17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0"/>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8" o:spid="_x0000_s178" type="#_x0000_t75" style="position:absolute;z-index:251658418;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190"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19" behindDoc="0" locked="0" layoutInCell="1" allowOverlap="1">
                      <wp:simplePos x="0" y="0"/>
                      <wp:positionH relativeFrom="column">
                        <wp:posOffset>0</wp:posOffset>
                      </wp:positionH>
                      <wp:positionV relativeFrom="paragraph">
                        <wp:posOffset>0</wp:posOffset>
                      </wp:positionV>
                      <wp:extent cx="7620" cy="7620"/>
                      <wp:effectExtent l="0" t="0" r="0" b="0"/>
                      <wp:wrapNone/>
                      <wp:docPr id="18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1"/>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9" o:spid="_x0000_s179" type="#_x0000_t75" style="position:absolute;z-index:251658419;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191"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20" behindDoc="0" locked="0" layoutInCell="1" allowOverlap="1">
                      <wp:simplePos x="0" y="0"/>
                      <wp:positionH relativeFrom="column">
                        <wp:posOffset>0</wp:posOffset>
                      </wp:positionH>
                      <wp:positionV relativeFrom="paragraph">
                        <wp:posOffset>0</wp:posOffset>
                      </wp:positionV>
                      <wp:extent cx="7620" cy="7620"/>
                      <wp:effectExtent l="0" t="0" r="0" b="0"/>
                      <wp:wrapNone/>
                      <wp:docPr id="18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2"/>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0" o:spid="_x0000_s180" type="#_x0000_t75" style="position:absolute;z-index:251658420;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192"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21" behindDoc="0" locked="0" layoutInCell="1" allowOverlap="1">
                      <wp:simplePos x="0" y="0"/>
                      <wp:positionH relativeFrom="column">
                        <wp:posOffset>0</wp:posOffset>
                      </wp:positionH>
                      <wp:positionV relativeFrom="paragraph">
                        <wp:posOffset>0</wp:posOffset>
                      </wp:positionV>
                      <wp:extent cx="7620" cy="7620"/>
                      <wp:effectExtent l="0" t="0" r="0" b="0"/>
                      <wp:wrapNone/>
                      <wp:docPr id="18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3"/>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1" o:spid="_x0000_s181" type="#_x0000_t75" style="position:absolute;z-index:251658421;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193"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22" behindDoc="0" locked="0" layoutInCell="1" allowOverlap="1">
                      <wp:simplePos x="0" y="0"/>
                      <wp:positionH relativeFrom="column">
                        <wp:posOffset>0</wp:posOffset>
                      </wp:positionH>
                      <wp:positionV relativeFrom="paragraph">
                        <wp:posOffset>0</wp:posOffset>
                      </wp:positionV>
                      <wp:extent cx="7620" cy="7620"/>
                      <wp:effectExtent l="0" t="0" r="0" b="0"/>
                      <wp:wrapNone/>
                      <wp:docPr id="18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4"/>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2" o:spid="_x0000_s182" type="#_x0000_t75" style="position:absolute;z-index:251658422;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194"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23" behindDoc="0" locked="0" layoutInCell="1" allowOverlap="1">
                      <wp:simplePos x="0" y="0"/>
                      <wp:positionH relativeFrom="column">
                        <wp:posOffset>0</wp:posOffset>
                      </wp:positionH>
                      <wp:positionV relativeFrom="paragraph">
                        <wp:posOffset>0</wp:posOffset>
                      </wp:positionV>
                      <wp:extent cx="7620" cy="7620"/>
                      <wp:effectExtent l="0" t="0" r="0" b="0"/>
                      <wp:wrapNone/>
                      <wp:docPr id="18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5"/>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3" o:spid="_x0000_s183" type="#_x0000_t75" style="position:absolute;z-index:251658423;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195"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24" behindDoc="0" locked="0" layoutInCell="1" allowOverlap="1">
                      <wp:simplePos x="0" y="0"/>
                      <wp:positionH relativeFrom="column">
                        <wp:posOffset>0</wp:posOffset>
                      </wp:positionH>
                      <wp:positionV relativeFrom="paragraph">
                        <wp:posOffset>0</wp:posOffset>
                      </wp:positionV>
                      <wp:extent cx="7620" cy="7620"/>
                      <wp:effectExtent l="0" t="0" r="0" b="0"/>
                      <wp:wrapNone/>
                      <wp:docPr id="18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6"/>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4" o:spid="_x0000_s184" type="#_x0000_t75" style="position:absolute;z-index:251658424;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196"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25" behindDoc="0" locked="0" layoutInCell="1" allowOverlap="1">
                      <wp:simplePos x="0" y="0"/>
                      <wp:positionH relativeFrom="column">
                        <wp:posOffset>0</wp:posOffset>
                      </wp:positionH>
                      <wp:positionV relativeFrom="paragraph">
                        <wp:posOffset>0</wp:posOffset>
                      </wp:positionV>
                      <wp:extent cx="7620" cy="7620"/>
                      <wp:effectExtent l="0" t="0" r="0" b="0"/>
                      <wp:wrapNone/>
                      <wp:docPr id="18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7"/>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5" o:spid="_x0000_s185" type="#_x0000_t75" style="position:absolute;z-index:251658425;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197"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26" behindDoc="0" locked="0" layoutInCell="1" allowOverlap="1">
                      <wp:simplePos x="0" y="0"/>
                      <wp:positionH relativeFrom="column">
                        <wp:posOffset>0</wp:posOffset>
                      </wp:positionH>
                      <wp:positionV relativeFrom="paragraph">
                        <wp:posOffset>0</wp:posOffset>
                      </wp:positionV>
                      <wp:extent cx="7620" cy="7620"/>
                      <wp:effectExtent l="0" t="0" r="0" b="0"/>
                      <wp:wrapNone/>
                      <wp:docPr id="18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8"/>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6" o:spid="_x0000_s186" type="#_x0000_t75" style="position:absolute;z-index:251658426;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198"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27" behindDoc="0" locked="0" layoutInCell="1" allowOverlap="1">
                      <wp:simplePos x="0" y="0"/>
                      <wp:positionH relativeFrom="column">
                        <wp:posOffset>0</wp:posOffset>
                      </wp:positionH>
                      <wp:positionV relativeFrom="paragraph">
                        <wp:posOffset>0</wp:posOffset>
                      </wp:positionV>
                      <wp:extent cx="7620" cy="7620"/>
                      <wp:effectExtent l="0" t="0" r="0" b="0"/>
                      <wp:wrapNone/>
                      <wp:docPr id="18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9"/>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7" o:spid="_x0000_s187" type="#_x0000_t75" style="position:absolute;z-index:251658427;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199"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28" behindDoc="0" locked="0" layoutInCell="1" allowOverlap="1">
                      <wp:simplePos x="0" y="0"/>
                      <wp:positionH relativeFrom="column">
                        <wp:posOffset>0</wp:posOffset>
                      </wp:positionH>
                      <wp:positionV relativeFrom="paragraph">
                        <wp:posOffset>0</wp:posOffset>
                      </wp:positionV>
                      <wp:extent cx="7620" cy="7620"/>
                      <wp:effectExtent l="0" t="0" r="0" b="0"/>
                      <wp:wrapNone/>
                      <wp:docPr id="18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0"/>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8" o:spid="_x0000_s188" type="#_x0000_t75" style="position:absolute;z-index:251658428;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200"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29" behindDoc="0" locked="0" layoutInCell="1" allowOverlap="1">
                      <wp:simplePos x="0" y="0"/>
                      <wp:positionH relativeFrom="column">
                        <wp:posOffset>0</wp:posOffset>
                      </wp:positionH>
                      <wp:positionV relativeFrom="paragraph">
                        <wp:posOffset>0</wp:posOffset>
                      </wp:positionV>
                      <wp:extent cx="7620" cy="7620"/>
                      <wp:effectExtent l="0" t="0" r="0" b="0"/>
                      <wp:wrapNone/>
                      <wp:docPr id="19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1"/>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9" o:spid="_x0000_s189" type="#_x0000_t75" style="position:absolute;z-index:251658429;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201"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30" behindDoc="0" locked="0" layoutInCell="1" allowOverlap="1">
                      <wp:simplePos x="0" y="0"/>
                      <wp:positionH relativeFrom="column">
                        <wp:posOffset>0</wp:posOffset>
                      </wp:positionH>
                      <wp:positionV relativeFrom="paragraph">
                        <wp:posOffset>0</wp:posOffset>
                      </wp:positionV>
                      <wp:extent cx="7620" cy="7620"/>
                      <wp:effectExtent l="0" t="0" r="0" b="0"/>
                      <wp:wrapNone/>
                      <wp:docPr id="19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2"/>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0" o:spid="_x0000_s190" type="#_x0000_t75" style="position:absolute;z-index:251658430;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202"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31" behindDoc="0" locked="0" layoutInCell="1" allowOverlap="1">
                      <wp:simplePos x="0" y="0"/>
                      <wp:positionH relativeFrom="column">
                        <wp:posOffset>0</wp:posOffset>
                      </wp:positionH>
                      <wp:positionV relativeFrom="paragraph">
                        <wp:posOffset>0</wp:posOffset>
                      </wp:positionV>
                      <wp:extent cx="7620" cy="7620"/>
                      <wp:effectExtent l="0" t="0" r="0" b="0"/>
                      <wp:wrapNone/>
                      <wp:docPr id="19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3"/>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1" o:spid="_x0000_s191" type="#_x0000_t75" style="position:absolute;z-index:251658431;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203"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32" behindDoc="0" locked="0" layoutInCell="1" allowOverlap="1">
                      <wp:simplePos x="0" y="0"/>
                      <wp:positionH relativeFrom="column">
                        <wp:posOffset>0</wp:posOffset>
                      </wp:positionH>
                      <wp:positionV relativeFrom="paragraph">
                        <wp:posOffset>0</wp:posOffset>
                      </wp:positionV>
                      <wp:extent cx="7620" cy="7620"/>
                      <wp:effectExtent l="0" t="0" r="0" b="0"/>
                      <wp:wrapNone/>
                      <wp:docPr id="19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4"/>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2" o:spid="_x0000_s192" type="#_x0000_t75" style="position:absolute;z-index:251658432;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204"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33" behindDoc="0" locked="0" layoutInCell="1" allowOverlap="1">
                      <wp:simplePos x="0" y="0"/>
                      <wp:positionH relativeFrom="column">
                        <wp:posOffset>0</wp:posOffset>
                      </wp:positionH>
                      <wp:positionV relativeFrom="paragraph">
                        <wp:posOffset>0</wp:posOffset>
                      </wp:positionV>
                      <wp:extent cx="7620" cy="7620"/>
                      <wp:effectExtent l="0" t="0" r="0" b="0"/>
                      <wp:wrapNone/>
                      <wp:docPr id="19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5"/>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3" o:spid="_x0000_s193" type="#_x0000_t75" style="position:absolute;z-index:251658433;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205"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34" behindDoc="0" locked="0" layoutInCell="1" allowOverlap="1">
                      <wp:simplePos x="0" y="0"/>
                      <wp:positionH relativeFrom="column">
                        <wp:posOffset>0</wp:posOffset>
                      </wp:positionH>
                      <wp:positionV relativeFrom="paragraph">
                        <wp:posOffset>0</wp:posOffset>
                      </wp:positionV>
                      <wp:extent cx="7620" cy="7620"/>
                      <wp:effectExtent l="0" t="0" r="0" b="0"/>
                      <wp:wrapNone/>
                      <wp:docPr id="19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6"/>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4" o:spid="_x0000_s194" type="#_x0000_t75" style="position:absolute;z-index:251658434;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206"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35" behindDoc="0" locked="0" layoutInCell="1" allowOverlap="1">
                      <wp:simplePos x="0" y="0"/>
                      <wp:positionH relativeFrom="column">
                        <wp:posOffset>0</wp:posOffset>
                      </wp:positionH>
                      <wp:positionV relativeFrom="paragraph">
                        <wp:posOffset>0</wp:posOffset>
                      </wp:positionV>
                      <wp:extent cx="7620" cy="7620"/>
                      <wp:effectExtent l="0" t="0" r="0" b="0"/>
                      <wp:wrapNone/>
                      <wp:docPr id="19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7"/>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5" o:spid="_x0000_s195" type="#_x0000_t75" style="position:absolute;z-index:251658435;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207"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36" behindDoc="0" locked="0" layoutInCell="1" allowOverlap="1">
                      <wp:simplePos x="0" y="0"/>
                      <wp:positionH relativeFrom="column">
                        <wp:posOffset>0</wp:posOffset>
                      </wp:positionH>
                      <wp:positionV relativeFrom="paragraph">
                        <wp:posOffset>0</wp:posOffset>
                      </wp:positionV>
                      <wp:extent cx="7620" cy="7620"/>
                      <wp:effectExtent l="0" t="0" r="0" b="0"/>
                      <wp:wrapNone/>
                      <wp:docPr id="19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8"/>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6" o:spid="_x0000_s196" type="#_x0000_t75" style="position:absolute;z-index:251658436;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208"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37" behindDoc="0" locked="0" layoutInCell="1" allowOverlap="1">
                      <wp:simplePos x="0" y="0"/>
                      <wp:positionH relativeFrom="column">
                        <wp:posOffset>0</wp:posOffset>
                      </wp:positionH>
                      <wp:positionV relativeFrom="paragraph">
                        <wp:posOffset>0</wp:posOffset>
                      </wp:positionV>
                      <wp:extent cx="7620" cy="7620"/>
                      <wp:effectExtent l="0" t="0" r="0" b="0"/>
                      <wp:wrapNone/>
                      <wp:docPr id="19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9"/>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7" o:spid="_x0000_s197" type="#_x0000_t75" style="position:absolute;z-index:251658437;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209"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38" behindDoc="0" locked="0" layoutInCell="1" allowOverlap="1">
                      <wp:simplePos x="0" y="0"/>
                      <wp:positionH relativeFrom="column">
                        <wp:posOffset>0</wp:posOffset>
                      </wp:positionH>
                      <wp:positionV relativeFrom="paragraph">
                        <wp:posOffset>0</wp:posOffset>
                      </wp:positionV>
                      <wp:extent cx="7620" cy="7620"/>
                      <wp:effectExtent l="0" t="0" r="0" b="0"/>
                      <wp:wrapNone/>
                      <wp:docPr id="19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0"/>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8" o:spid="_x0000_s198" type="#_x0000_t75" style="position:absolute;z-index:251658438;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210"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39" behindDoc="0" locked="0" layoutInCell="1" allowOverlap="1">
                      <wp:simplePos x="0" y="0"/>
                      <wp:positionH relativeFrom="column">
                        <wp:posOffset>0</wp:posOffset>
                      </wp:positionH>
                      <wp:positionV relativeFrom="paragraph">
                        <wp:posOffset>0</wp:posOffset>
                      </wp:positionV>
                      <wp:extent cx="7620" cy="7620"/>
                      <wp:effectExtent l="0" t="0" r="0" b="0"/>
                      <wp:wrapNone/>
                      <wp:docPr id="20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1"/>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9" o:spid="_x0000_s199" type="#_x0000_t75" style="position:absolute;z-index:251658439;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211"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40" behindDoc="0" locked="0" layoutInCell="1" allowOverlap="1">
                      <wp:simplePos x="0" y="0"/>
                      <wp:positionH relativeFrom="column">
                        <wp:posOffset>0</wp:posOffset>
                      </wp:positionH>
                      <wp:positionV relativeFrom="paragraph">
                        <wp:posOffset>0</wp:posOffset>
                      </wp:positionV>
                      <wp:extent cx="7620" cy="7620"/>
                      <wp:effectExtent l="0" t="0" r="0" b="0"/>
                      <wp:wrapNone/>
                      <wp:docPr id="20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2"/>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0" o:spid="_x0000_s200" type="#_x0000_t75" style="position:absolute;z-index:251658440;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212"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41" behindDoc="0" locked="0" layoutInCell="1" allowOverlap="1">
                      <wp:simplePos x="0" y="0"/>
                      <wp:positionH relativeFrom="column">
                        <wp:posOffset>0</wp:posOffset>
                      </wp:positionH>
                      <wp:positionV relativeFrom="paragraph">
                        <wp:posOffset>0</wp:posOffset>
                      </wp:positionV>
                      <wp:extent cx="7620" cy="7620"/>
                      <wp:effectExtent l="0" t="0" r="0" b="0"/>
                      <wp:wrapNone/>
                      <wp:docPr id="20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3"/>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1" o:spid="_x0000_s201" type="#_x0000_t75" style="position:absolute;z-index:251658441;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213"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42" behindDoc="0" locked="0" layoutInCell="1" allowOverlap="1">
                      <wp:simplePos x="0" y="0"/>
                      <wp:positionH relativeFrom="column">
                        <wp:posOffset>0</wp:posOffset>
                      </wp:positionH>
                      <wp:positionV relativeFrom="paragraph">
                        <wp:posOffset>0</wp:posOffset>
                      </wp:positionV>
                      <wp:extent cx="7620" cy="7620"/>
                      <wp:effectExtent l="0" t="0" r="0" b="0"/>
                      <wp:wrapNone/>
                      <wp:docPr id="20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4"/>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2" o:spid="_x0000_s202" type="#_x0000_t75" style="position:absolute;z-index:251658442;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214"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43" behindDoc="0" locked="0" layoutInCell="1" allowOverlap="1">
                      <wp:simplePos x="0" y="0"/>
                      <wp:positionH relativeFrom="column">
                        <wp:posOffset>0</wp:posOffset>
                      </wp:positionH>
                      <wp:positionV relativeFrom="paragraph">
                        <wp:posOffset>0</wp:posOffset>
                      </wp:positionV>
                      <wp:extent cx="7620" cy="7620"/>
                      <wp:effectExtent l="0" t="0" r="0" b="0"/>
                      <wp:wrapNone/>
                      <wp:docPr id="20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5"/>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3" o:spid="_x0000_s203" type="#_x0000_t75" style="position:absolute;z-index:251658443;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215"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44" behindDoc="0" locked="0" layoutInCell="1" allowOverlap="1">
                      <wp:simplePos x="0" y="0"/>
                      <wp:positionH relativeFrom="column">
                        <wp:posOffset>0</wp:posOffset>
                      </wp:positionH>
                      <wp:positionV relativeFrom="paragraph">
                        <wp:posOffset>0</wp:posOffset>
                      </wp:positionV>
                      <wp:extent cx="7620" cy="7620"/>
                      <wp:effectExtent l="0" t="0" r="0" b="0"/>
                      <wp:wrapNone/>
                      <wp:docPr id="20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6"/>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4" o:spid="_x0000_s204" type="#_x0000_t75" style="position:absolute;z-index:251658444;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216"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45" behindDoc="0" locked="0" layoutInCell="1" allowOverlap="1">
                      <wp:simplePos x="0" y="0"/>
                      <wp:positionH relativeFrom="column">
                        <wp:posOffset>0</wp:posOffset>
                      </wp:positionH>
                      <wp:positionV relativeFrom="paragraph">
                        <wp:posOffset>0</wp:posOffset>
                      </wp:positionV>
                      <wp:extent cx="7620" cy="7620"/>
                      <wp:effectExtent l="0" t="0" r="0" b="0"/>
                      <wp:wrapNone/>
                      <wp:docPr id="20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7"/>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5" o:spid="_x0000_s205" type="#_x0000_t75" style="position:absolute;z-index:251658445;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217"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46" behindDoc="0" locked="0" layoutInCell="1" allowOverlap="1">
                      <wp:simplePos x="0" y="0"/>
                      <wp:positionH relativeFrom="column">
                        <wp:posOffset>0</wp:posOffset>
                      </wp:positionH>
                      <wp:positionV relativeFrom="paragraph">
                        <wp:posOffset>0</wp:posOffset>
                      </wp:positionV>
                      <wp:extent cx="7620" cy="7620"/>
                      <wp:effectExtent l="0" t="0" r="0" b="0"/>
                      <wp:wrapNone/>
                      <wp:docPr id="20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8"/>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6" o:spid="_x0000_s206" type="#_x0000_t75" style="position:absolute;z-index:251658446;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218"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47" behindDoc="0" locked="0" layoutInCell="1" allowOverlap="1">
                      <wp:simplePos x="0" y="0"/>
                      <wp:positionH relativeFrom="column">
                        <wp:posOffset>0</wp:posOffset>
                      </wp:positionH>
                      <wp:positionV relativeFrom="paragraph">
                        <wp:posOffset>0</wp:posOffset>
                      </wp:positionV>
                      <wp:extent cx="7620" cy="7620"/>
                      <wp:effectExtent l="0" t="0" r="0" b="0"/>
                      <wp:wrapNone/>
                      <wp:docPr id="20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9"/>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7" o:spid="_x0000_s207" type="#_x0000_t75" style="position:absolute;z-index:251658447;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219"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48" behindDoc="0" locked="0" layoutInCell="1" allowOverlap="1">
                      <wp:simplePos x="0" y="0"/>
                      <wp:positionH relativeFrom="column">
                        <wp:posOffset>0</wp:posOffset>
                      </wp:positionH>
                      <wp:positionV relativeFrom="paragraph">
                        <wp:posOffset>0</wp:posOffset>
                      </wp:positionV>
                      <wp:extent cx="7620" cy="7620"/>
                      <wp:effectExtent l="0" t="0" r="0" b="0"/>
                      <wp:wrapNone/>
                      <wp:docPr id="20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0"/>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8" o:spid="_x0000_s208" type="#_x0000_t75" style="position:absolute;z-index:251658448;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220"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49" behindDoc="0" locked="0" layoutInCell="1" allowOverlap="1">
                      <wp:simplePos x="0" y="0"/>
                      <wp:positionH relativeFrom="column">
                        <wp:posOffset>0</wp:posOffset>
                      </wp:positionH>
                      <wp:positionV relativeFrom="paragraph">
                        <wp:posOffset>0</wp:posOffset>
                      </wp:positionV>
                      <wp:extent cx="7620" cy="7620"/>
                      <wp:effectExtent l="0" t="0" r="0" b="0"/>
                      <wp:wrapNone/>
                      <wp:docPr id="2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1"/>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9" o:spid="_x0000_s209" type="#_x0000_t75" style="position:absolute;z-index:251658449;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221"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50" behindDoc="0" locked="0" layoutInCell="1" allowOverlap="1">
                      <wp:simplePos x="0" y="0"/>
                      <wp:positionH relativeFrom="column">
                        <wp:posOffset>0</wp:posOffset>
                      </wp:positionH>
                      <wp:positionV relativeFrom="paragraph">
                        <wp:posOffset>0</wp:posOffset>
                      </wp:positionV>
                      <wp:extent cx="7620" cy="7620"/>
                      <wp:effectExtent l="0" t="0" r="0" b="0"/>
                      <wp:wrapNone/>
                      <wp:docPr id="2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2"/>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0" o:spid="_x0000_s210" type="#_x0000_t75" style="position:absolute;z-index:251658450;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222"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51" behindDoc="0" locked="0" layoutInCell="1" allowOverlap="1">
                      <wp:simplePos x="0" y="0"/>
                      <wp:positionH relativeFrom="column">
                        <wp:posOffset>0</wp:posOffset>
                      </wp:positionH>
                      <wp:positionV relativeFrom="paragraph">
                        <wp:posOffset>0</wp:posOffset>
                      </wp:positionV>
                      <wp:extent cx="7620" cy="7620"/>
                      <wp:effectExtent l="0" t="0" r="0" b="0"/>
                      <wp:wrapNone/>
                      <wp:docPr id="2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3"/>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1" o:spid="_x0000_s211" type="#_x0000_t75" style="position:absolute;z-index:251658451;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223"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52" behindDoc="0" locked="0" layoutInCell="1" allowOverlap="1">
                      <wp:simplePos x="0" y="0"/>
                      <wp:positionH relativeFrom="column">
                        <wp:posOffset>0</wp:posOffset>
                      </wp:positionH>
                      <wp:positionV relativeFrom="paragraph">
                        <wp:posOffset>0</wp:posOffset>
                      </wp:positionV>
                      <wp:extent cx="7620" cy="7620"/>
                      <wp:effectExtent l="0" t="0" r="0" b="0"/>
                      <wp:wrapNone/>
                      <wp:docPr id="2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4"/>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2" o:spid="_x0000_s212" type="#_x0000_t75" style="position:absolute;z-index:251658452;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224"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53" behindDoc="0" locked="0" layoutInCell="1" allowOverlap="1">
                      <wp:simplePos x="0" y="0"/>
                      <wp:positionH relativeFrom="column">
                        <wp:posOffset>0</wp:posOffset>
                      </wp:positionH>
                      <wp:positionV relativeFrom="paragraph">
                        <wp:posOffset>0</wp:posOffset>
                      </wp:positionV>
                      <wp:extent cx="7620" cy="7620"/>
                      <wp:effectExtent l="0" t="0" r="0" b="0"/>
                      <wp:wrapNone/>
                      <wp:docPr id="2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5"/>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3" o:spid="_x0000_s213" type="#_x0000_t75" style="position:absolute;z-index:251658453;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225"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54" behindDoc="0" locked="0" layoutInCell="1" allowOverlap="1">
                      <wp:simplePos x="0" y="0"/>
                      <wp:positionH relativeFrom="column">
                        <wp:posOffset>0</wp:posOffset>
                      </wp:positionH>
                      <wp:positionV relativeFrom="paragraph">
                        <wp:posOffset>0</wp:posOffset>
                      </wp:positionV>
                      <wp:extent cx="7620" cy="7620"/>
                      <wp:effectExtent l="0" t="0" r="0" b="0"/>
                      <wp:wrapNone/>
                      <wp:docPr id="2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6"/>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4" o:spid="_x0000_s214" type="#_x0000_t75" style="position:absolute;z-index:251658454;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226"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55" behindDoc="0" locked="0" layoutInCell="1" allowOverlap="1">
                      <wp:simplePos x="0" y="0"/>
                      <wp:positionH relativeFrom="column">
                        <wp:posOffset>0</wp:posOffset>
                      </wp:positionH>
                      <wp:positionV relativeFrom="paragraph">
                        <wp:posOffset>0</wp:posOffset>
                      </wp:positionV>
                      <wp:extent cx="7620" cy="7620"/>
                      <wp:effectExtent l="0" t="0" r="0" b="0"/>
                      <wp:wrapNone/>
                      <wp:docPr id="2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7"/>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5" o:spid="_x0000_s215" type="#_x0000_t75" style="position:absolute;z-index:251658455;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227"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56" behindDoc="0" locked="0" layoutInCell="1" allowOverlap="1">
                      <wp:simplePos x="0" y="0"/>
                      <wp:positionH relativeFrom="column">
                        <wp:posOffset>0</wp:posOffset>
                      </wp:positionH>
                      <wp:positionV relativeFrom="paragraph">
                        <wp:posOffset>0</wp:posOffset>
                      </wp:positionV>
                      <wp:extent cx="7620" cy="7620"/>
                      <wp:effectExtent l="0" t="0" r="0" b="0"/>
                      <wp:wrapNone/>
                      <wp:docPr id="2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8"/>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6" o:spid="_x0000_s216" type="#_x0000_t75" style="position:absolute;z-index:251658456;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228"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57" behindDoc="0" locked="0" layoutInCell="1" allowOverlap="1">
                      <wp:simplePos x="0" y="0"/>
                      <wp:positionH relativeFrom="column">
                        <wp:posOffset>0</wp:posOffset>
                      </wp:positionH>
                      <wp:positionV relativeFrom="paragraph">
                        <wp:posOffset>0</wp:posOffset>
                      </wp:positionV>
                      <wp:extent cx="7620" cy="7620"/>
                      <wp:effectExtent l="0" t="0" r="0" b="0"/>
                      <wp:wrapNone/>
                      <wp:docPr id="2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9"/>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7" o:spid="_x0000_s217" type="#_x0000_t75" style="position:absolute;z-index:251658457;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229"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58" behindDoc="0" locked="0" layoutInCell="1" allowOverlap="1">
                      <wp:simplePos x="0" y="0"/>
                      <wp:positionH relativeFrom="column">
                        <wp:posOffset>0</wp:posOffset>
                      </wp:positionH>
                      <wp:positionV relativeFrom="paragraph">
                        <wp:posOffset>0</wp:posOffset>
                      </wp:positionV>
                      <wp:extent cx="7620" cy="7620"/>
                      <wp:effectExtent l="0" t="0" r="0" b="0"/>
                      <wp:wrapNone/>
                      <wp:docPr id="2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0"/>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8" o:spid="_x0000_s218" type="#_x0000_t75" style="position:absolute;z-index:251658458;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230"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59" behindDoc="0" locked="0" layoutInCell="1" allowOverlap="1">
                      <wp:simplePos x="0" y="0"/>
                      <wp:positionH relativeFrom="column">
                        <wp:posOffset>0</wp:posOffset>
                      </wp:positionH>
                      <wp:positionV relativeFrom="paragraph">
                        <wp:posOffset>0</wp:posOffset>
                      </wp:positionV>
                      <wp:extent cx="7620" cy="7620"/>
                      <wp:effectExtent l="0" t="0" r="0" b="0"/>
                      <wp:wrapNone/>
                      <wp:docPr id="2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1"/>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9" o:spid="_x0000_s219" type="#_x0000_t75" style="position:absolute;z-index:251658459;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231"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60" behindDoc="0" locked="0" layoutInCell="1" allowOverlap="1">
                      <wp:simplePos x="0" y="0"/>
                      <wp:positionH relativeFrom="column">
                        <wp:posOffset>0</wp:posOffset>
                      </wp:positionH>
                      <wp:positionV relativeFrom="paragraph">
                        <wp:posOffset>0</wp:posOffset>
                      </wp:positionV>
                      <wp:extent cx="7620" cy="7620"/>
                      <wp:effectExtent l="0" t="0" r="0" b="0"/>
                      <wp:wrapNone/>
                      <wp:docPr id="2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2"/>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0" o:spid="_x0000_s220" type="#_x0000_t75" style="position:absolute;z-index:251658460;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232"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61" behindDoc="0" locked="0" layoutInCell="1" allowOverlap="1">
                      <wp:simplePos x="0" y="0"/>
                      <wp:positionH relativeFrom="column">
                        <wp:posOffset>0</wp:posOffset>
                      </wp:positionH>
                      <wp:positionV relativeFrom="paragraph">
                        <wp:posOffset>0</wp:posOffset>
                      </wp:positionV>
                      <wp:extent cx="7620" cy="7620"/>
                      <wp:effectExtent l="0" t="0" r="0" b="0"/>
                      <wp:wrapNone/>
                      <wp:docPr id="2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3"/>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1" o:spid="_x0000_s221" type="#_x0000_t75" style="position:absolute;z-index:251658461;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233"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62" behindDoc="0" locked="0" layoutInCell="1" allowOverlap="1">
                      <wp:simplePos x="0" y="0"/>
                      <wp:positionH relativeFrom="column">
                        <wp:posOffset>0</wp:posOffset>
                      </wp:positionH>
                      <wp:positionV relativeFrom="paragraph">
                        <wp:posOffset>0</wp:posOffset>
                      </wp:positionV>
                      <wp:extent cx="7620" cy="7620"/>
                      <wp:effectExtent l="0" t="0" r="0" b="0"/>
                      <wp:wrapNone/>
                      <wp:docPr id="2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4"/>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2" o:spid="_x0000_s222" type="#_x0000_t75" style="position:absolute;z-index:251658462;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234"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63" behindDoc="0" locked="0" layoutInCell="1" allowOverlap="1">
                      <wp:simplePos x="0" y="0"/>
                      <wp:positionH relativeFrom="column">
                        <wp:posOffset>0</wp:posOffset>
                      </wp:positionH>
                      <wp:positionV relativeFrom="paragraph">
                        <wp:posOffset>0</wp:posOffset>
                      </wp:positionV>
                      <wp:extent cx="7620" cy="7620"/>
                      <wp:effectExtent l="0" t="0" r="0" b="0"/>
                      <wp:wrapNone/>
                      <wp:docPr id="2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5"/>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3" o:spid="_x0000_s223" type="#_x0000_t75" style="position:absolute;z-index:251658463;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235"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64" behindDoc="0" locked="0" layoutInCell="1" allowOverlap="1">
                      <wp:simplePos x="0" y="0"/>
                      <wp:positionH relativeFrom="column">
                        <wp:posOffset>0</wp:posOffset>
                      </wp:positionH>
                      <wp:positionV relativeFrom="paragraph">
                        <wp:posOffset>0</wp:posOffset>
                      </wp:positionV>
                      <wp:extent cx="7620" cy="7620"/>
                      <wp:effectExtent l="0" t="0" r="0" b="0"/>
                      <wp:wrapNone/>
                      <wp:docPr id="2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6"/>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4" o:spid="_x0000_s224" type="#_x0000_t75" style="position:absolute;z-index:251658464;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236"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65" behindDoc="0" locked="0" layoutInCell="1" allowOverlap="1">
                      <wp:simplePos x="0" y="0"/>
                      <wp:positionH relativeFrom="column">
                        <wp:posOffset>0</wp:posOffset>
                      </wp:positionH>
                      <wp:positionV relativeFrom="paragraph">
                        <wp:posOffset>0</wp:posOffset>
                      </wp:positionV>
                      <wp:extent cx="7620" cy="7620"/>
                      <wp:effectExtent l="0" t="0" r="0" b="0"/>
                      <wp:wrapNone/>
                      <wp:docPr id="2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7"/>
                              <a:stretch/>
                            </pic:blipFill>
                            <pic:spPr bwMode="auto">
                              <a:xfrm>
                                <a:off x="0" y="0"/>
                                <a:ext cx="7620" cy="7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5" o:spid="_x0000_s225" type="#_x0000_t75" style="position:absolute;z-index:251658465;o:allowoverlap:true;o:allowincell:true;mso-position-horizontal-relative:text;margin-left:0.0pt;mso-position-horizontal:absolute;mso-position-vertical-relative:text;margin-top:0.0pt;mso-position-vertical:absolute;width:0.6pt;height:0.6pt;mso-wrap-distance-left:9.0pt;mso-wrap-distance-top:0.0pt;mso-wrap-distance-right:9.0pt;mso-wrap-distance-bottom:0.0pt;" stroked="f">
                      <v:path textboxrect="0,0,0,0"/>
                      <v:imagedata r:id="rId237" o:title=""/>
                    </v:shape>
                  </w:pict>
                </mc:Fallback>
              </mc:AlternateContent>
            </w:r>
            <w:r>
              <w:rPr>
                <w:rFonts w:hint="eastAsia" w:ascii="宋体" w:hAnsi="宋体" w:cs="宋体"/>
                <w:b/>
                <w:bCs/>
                <w:color w:val="000000" w:themeColor="text1"/>
                <w:sz w:val="24"/>
                <w:szCs w:val="24"/>
                <w:highlight w:val="none"/>
              </w:rPr>
              <w:t xml:space="preserve">分项名称</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center"/>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性能指标</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单位</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数量</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jc w:val="center"/>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备注</w:t>
            </w:r>
            <w:r>
              <w:rPr>
                <w:color w:val="000000" w:themeColor="text1"/>
                <w:highlight w:val="none"/>
              </w:rP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一</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反诈接警大厅建设</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center"/>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jc w:val="center"/>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r>
            <w:r>
              <w:rPr>
                <w:color w:val="000000" w:themeColor="text1"/>
                <w:highlight w:val="none"/>
              </w:rPr>
            </w:r>
          </w:p>
        </w:tc>
      </w:tr>
      <w:tr>
        <w:trPr>
          <w:trHeight w:val="320"/>
        </w:trPr>
        <w:tc>
          <w:tcPr>
            <w:gridSpan w:val="2"/>
            <w:tcBorders>
              <w:top w:val="single" w:color="000000" w:sz="4" w:space="0"/>
              <w:left w:val="single" w:color="000000" w:sz="4" w:space="0"/>
              <w:bottom w:val="single" w:color="000000" w:sz="4" w:space="0"/>
              <w:right w:val="single" w:color="000000" w:sz="4" w:space="0"/>
            </w:tcBorders>
            <w:tcW w:w="1639" w:type="dxa"/>
            <w:vAlign w:val="center"/>
            <w:textDirection w:val="lrTb"/>
            <w:noWrap w:val="false"/>
          </w:tcPr>
          <w:p>
            <w:pPr>
              <w:pStyle w:val="883"/>
              <w:jc w:val="center"/>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LED大屏建设</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center"/>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jc w:val="center"/>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r>
            <w:r>
              <w:rPr>
                <w:color w:val="000000" w:themeColor="text1"/>
                <w:highlight w:val="none"/>
              </w:rP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P1.25LED拼接屏</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1、屏体显示主屏宽度≥21600mm，高度≥2025m</w:t>
            </w:r>
            <w:r>
              <w:rPr>
                <w:rFonts w:hint="eastAsia" w:ascii="宋体" w:hAnsi="宋体" w:cs="宋体"/>
                <w:color w:val="000000" w:themeColor="text1"/>
                <w:sz w:val="24"/>
                <w:szCs w:val="24"/>
                <w:highlight w:val="none"/>
              </w:rPr>
              <w:t xml:space="preserve">m，显示分辨率≥17280点×1620点，显示面积≥43.74平米；</w:t>
              <w:br/>
              <w:t xml:space="preserve">2、LED光源采用全倒装RGB晶片，晶片单边尺寸不大于75um；</w:t>
              <w:br/>
              <w:t xml:space="preserve">3、晶片结构及固晶方式：Flip-chip RGB，Pin transfer（刺晶方式）COB；</w:t>
              <w:br/>
              <w:t xml:space="preserve">4、显示屏点间距：≤1.25mm，像素密度：≥640000点/平米；</w:t>
              <w:br/>
              <w:t xml:space="preserve">5、亮度：≥800cd/㎡，可实现0-100%无极亮度调节；</w:t>
              <w:br/>
              <w:t xml:space="preserve">6、对比度：≥20000:1；</w:t>
              <w:br/>
              <w:t xml:space="preserve">7、色温：2000-10000K可调；</w:t>
              <w:br/>
              <w:t xml:space="preserve">8、色温误差：色温为6500K时，100%，75%，50%，25%四档电平</w:t>
            </w:r>
            <w:r>
              <w:rPr>
                <w:rFonts w:hint="eastAsia" w:ascii="宋体" w:hAnsi="宋体" w:cs="宋体"/>
                <w:color w:val="000000" w:themeColor="text1"/>
                <w:sz w:val="24"/>
                <w:szCs w:val="24"/>
                <w:highlight w:val="none"/>
              </w:rPr>
              <w:t xml:space="preserve">白场调节色温误差≤160K；</w:t>
              <w:br/>
              <w:t xml:space="preserve">9、刷新率：7680Hz；</w:t>
              <w:br/>
              <w:t xml:space="preserve">10、视角：水平视角≥170度，垂直视角≥170度；</w:t>
              <w:br/>
              <w:t xml:space="preserve">11、均匀性：色度均匀性:±0.002Cx、Cy之内，发光点中心距偏差＜1%，亮度均匀性：≥98%；</w:t>
              <w:br/>
              <w:t xml:space="preserve">12、平整度：平整度≤0.05mm；单元拼接间隙≤0.05mm；相邻像素之间平整度≤0.05mm；相邻模块之间平整度≤0.05mm；显示单元垂直、水平相对错位≤3%；</w:t>
              <w:br/>
              <w:t xml:space="preserve">13、换帧频率：50Hz&amp;60Hz&amp;120Hz；</w:t>
              <w:br/>
              <w:t xml:space="preserve">14、功耗：800nit亮度条件下，峰值功耗≤270W/㎡，平均功耗≤160W/</w:t>
            </w:r>
            <w:r>
              <w:rPr>
                <w:rFonts w:hint="eastAsia" w:ascii="宋体" w:hAnsi="宋体" w:cs="宋体"/>
                <w:color w:val="000000" w:themeColor="text1"/>
                <w:sz w:val="24"/>
                <w:szCs w:val="24"/>
                <w:highlight w:val="none"/>
              </w:rPr>
              <w:t xml:space="preserve">㎡；300nit亮度条件下，峰值功耗：≤145W/㎡,300nit平均功耗：≤89W/㎡；</w:t>
              <w:br/>
              <w:t xml:space="preserve">15、驱动芯片要求：采用55nm制程，BGA324封装工艺；数据处理28bit；</w:t>
              <w:br/>
              <w:t xml:space="preserve">16、芯片级信号备份：具有芯片级主备信号功能，具备芯片级双路信号处理功能；</w:t>
              <w:br/>
              <w:t xml:space="preserve">17、模组级监测：支持模组在线、离线状态监测，支持坏点数量监测；</w:t>
              <w:br/>
              <w:t xml:space="preserve">18、箱体材质：箱体与后壳为压铸铝材质箱体，整体压铸，一次成型，箱体厚度＜40mm，箱体比例：16:9，不接受显示单元切割或不完整箱体，不接受模组产品；</w:t>
              <w:br/>
              <w:t xml:space="preserve">19、连接：硬连接方式连接；</w:t>
              <w:br/>
              <w:t xml:space="preserve">20、AI智</w:t>
            </w:r>
            <w:r>
              <w:rPr>
                <w:rFonts w:hint="eastAsia" w:ascii="宋体" w:hAnsi="宋体" w:cs="宋体"/>
                <w:color w:val="000000" w:themeColor="text1"/>
                <w:sz w:val="24"/>
                <w:szCs w:val="24"/>
                <w:highlight w:val="none"/>
              </w:rPr>
              <w:t xml:space="preserve">能感应检测：屏体可支持人体检测，检测屏体前有人时，正常显示。检测屏体前无人时，屏体低亮显示或黑屏节能；</w:t>
              <w:br/>
              <w:t xml:space="preserve">21、驱动方式：共阴恒流驱动设计；</w:t>
              <w:br/>
              <w:t xml:space="preserve">22、传输方式：显示产品单元模组电源、信号传输采用一体化传输；</w:t>
              <w:br/>
              <w:t xml:space="preserve">23、色域覆盖率：NTSC≥120%；</w:t>
              <w:br/>
              <w:t xml:space="preserve">24、摩尔纹抑制：支持摩尔纹抑制功能，主观抑制效果≥90；</w:t>
              <w:br/>
              <w:t xml:space="preserve">25、信号安全技术：可满足防信号远程窃密技术，具有良好的抗还原性能;覆盖范围广，涵盖10KHz~1.2GHz;干扰信号强度10KHz~230MHz区间，小于90dBuV;235MHz~1.2GHz 区间，小于</w:t>
            </w:r>
            <w:r>
              <w:rPr>
                <w:rFonts w:hint="eastAsia" w:ascii="宋体" w:hAnsi="宋体" w:cs="宋体"/>
                <w:color w:val="000000" w:themeColor="text1"/>
                <w:sz w:val="24"/>
                <w:szCs w:val="24"/>
                <w:highlight w:val="none"/>
              </w:rPr>
              <w:t xml:space="preserve"> 97dBuV;传导抑制&gt;35dB可以单机使用、可以组网使用；</w:t>
              <w:br/>
              <w:t xml:space="preserve">26、电力安全技术：可满足防电力远程窃密技术，采用信息相关方式阻止电力通信;覆盖范围广，涵盖1KHz~ 1.5GHz;输入/输出电源滤波设计抑制信号强度，具有很好的电磁兼容性;</w:t>
              <w:br/>
              <w:t xml:space="preserve">27、除湿功能：开机后自动检测客户端未使用时间长，智能匹配相应时间的除湿模式，使屏体从10%到100%亮度逐步显示，无需人工定期手动维护，除湿功能可手动开启和关闭；</w:t>
              <w:br/>
              <w:t xml:space="preserve">28、监测及预警功能：支持实时监控显示屏工作状态，具有计时功能及信号运行监测功能，具有坏点检测系统。支持</w:t>
            </w:r>
            <w:r>
              <w:rPr>
                <w:rFonts w:hint="eastAsia" w:ascii="宋体" w:hAnsi="宋体" w:cs="宋体"/>
                <w:color w:val="000000" w:themeColor="text1"/>
                <w:sz w:val="24"/>
                <w:szCs w:val="24"/>
                <w:highlight w:val="none"/>
              </w:rPr>
              <w:t xml:space="preserve">接收卡、信号状态、温度电压、IC信息、模组参数实时显示。支持当设备电压、温度超出阈值范围，主动进行故障报警，当接收卡之间的连接线断开时，系统主动进行故障报警，支持根据采集到信息生成健康度报告，报警方式包括邮件报警、短信报警、微信报警</w:t>
              <w:br/>
              <w:t xml:space="preserve">29、防护要求：模组正面IP65；防盐雾10级；</w:t>
              <w:br/>
              <w:t xml:space="preserve">30、校正：模组自带校正功能，带flash芯片，flash芯片容量大于8M；支持数据断电保存，支持数据存储及回读；</w:t>
              <w:br/>
              <w:t xml:space="preserve">31、箱体带测试按键，支持前后操作，可实现红、绿、蓝、白四种单色显示，横扫、竖扫等方式扫描显示；</w:t>
              <w:br/>
              <w:t xml:space="preserve">32、防霉要求</w:t>
            </w:r>
            <w:r>
              <w:rPr>
                <w:rFonts w:hint="eastAsia" w:ascii="宋体" w:hAnsi="宋体" w:cs="宋体"/>
                <w:color w:val="000000" w:themeColor="text1"/>
                <w:sz w:val="24"/>
                <w:szCs w:val="24"/>
                <w:highlight w:val="none"/>
              </w:rPr>
              <w:t xml:space="preserve">：符合 GB/T 2423.16-2022《环境试验 第2部分:试验方法试验及导则:长霉》标准，防长霉程度为 0 级；</w:t>
              <w:br/>
              <w:t xml:space="preserve">33、毒气安全：箱体单元烟气毒性测试符合 BS6853 标准，R(max.)≤0.4；</w:t>
              <w:br/>
              <w:t xml:space="preserve">箱体单元烟气毒性测试符合 BS6853 标准，R(max.)≤0.4；</w:t>
              <w:br/>
              <w:t xml:space="preserve">34、阻燃要求：PCB的阻燃等级应达到 V-0级；面板的阻燃等级应达到 V-0级；电源、信号连接器塑胶材料达到 V-0级；符合BS476-7表面燃烧测试1级标准；</w:t>
              <w:br/>
              <w:t xml:space="preserve">35、蓝光安全要求：符合光生物安全要求蓝光危害符合RG0标准无危害；</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平方米</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43.74</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长：21.6M*2.025M</w:t>
              <w:br w:type="textWrapping" w:clear="all"/>
              <w:t xml:space="preserve">分辨率17280*1620</w:t>
            </w:r>
            <w:r>
              <w:rPr>
                <w:color w:val="000000" w:themeColor="text1"/>
                <w:highlight w:val="none"/>
              </w:rP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综合运维管理平台</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1、所投综合运维管理</w:t>
            </w:r>
            <w:r>
              <w:rPr>
                <w:rFonts w:hint="eastAsia" w:ascii="宋体" w:hAnsi="宋体" w:cs="宋体"/>
                <w:color w:val="000000" w:themeColor="text1"/>
                <w:sz w:val="24"/>
                <w:szCs w:val="24"/>
                <w:highlight w:val="none"/>
              </w:rPr>
              <w:t xml:space="preserve">平台能实现与所投LED小间距屏幕、发送卡、大屏配电箱无缝对接；</w:t>
              <w:br/>
              <w:t xml:space="preserve">2.设备分布：支持以可视化方式（GIS、位置示意图、区域表格），显示LED屏设备分布情况；</w:t>
              <w:br/>
              <w:t xml:space="preserve">3.支持可视化概览：大屏、发送卡、接收卡、计算机、PLC、拼控设备、摄像头等设备的运行状态总览（在线、离线、关键参数等）；支持屏幕回显：现场图片、摄像头、拼接器回显三种形式；</w:t>
              <w:br/>
              <w:t xml:space="preserve">4.支持PLC监测：开关状态展示、烟感、温感、湿度、亮度数据；支持拼接器状态监测：电压状态、风扇状态、输入接口状态、输出接口状态：支持图形工作站状态监测： CPU、内存、硬盘使用率</w:t>
            </w:r>
            <w:r>
              <w:rPr>
                <w:rFonts w:hint="eastAsia" w:ascii="宋体" w:hAnsi="宋体" w:cs="宋体"/>
                <w:color w:val="000000" w:themeColor="text1"/>
                <w:sz w:val="24"/>
                <w:szCs w:val="24"/>
                <w:highlight w:val="none"/>
              </w:rPr>
              <w:t xml:space="preserve">等；</w:t>
              <w:br/>
              <w:t xml:space="preserve">5.支持通用控制系统状态监测：发送卡、接收卡数量、走线方式、信号状态、温度电压、IC信息、模组参数实时显示；</w:t>
              <w:br/>
              <w:t xml:space="preserve">6.支持自研控制系统状态监测：视频卡、分配卡、模组数量，走线方式，HDMI信号状态、设备信号状态、传感器数据实时显示；</w:t>
              <w:br/>
              <w:t xml:space="preserve">7.支持模组状态监测：系统自动监测模组在线、离线状态，离线时发出报警；支持模组坏点监测，设定坏点报警阈值，超过阈值后报警（需要LED硬件支持该功能；</w:t>
              <w:br/>
              <w:t xml:space="preserve">8.支持屏体亮度自动调整：屏体亮度按照时间、环境光照度映射表两种方式进行自动调整，支持系统分区，不同区域之间可按照不同亮度方式</w:t>
            </w:r>
            <w:r>
              <w:rPr>
                <w:rFonts w:hint="eastAsia" w:ascii="宋体" w:hAnsi="宋体" w:cs="宋体"/>
                <w:color w:val="000000" w:themeColor="text1"/>
                <w:sz w:val="24"/>
                <w:szCs w:val="24"/>
                <w:highlight w:val="none"/>
              </w:rPr>
              <w:t xml:space="preserve">进行调整（环境光照度映射表方式需要搭配使用光感探头）；</w:t>
              <w:br/>
              <w:t xml:space="preserve">9.支持网关状态监测：广播、重启、延期、操作系统基础信息等数据展示；</w:t>
              <w:br/>
              <w:t xml:space="preserve">10.通过智能开关获取电力参数：电压、电流、功率、漏电，使用时长、通电时长、电量数据；可对显示屏设置检修模式，减少检修本身影响设备运行时造成的系统故障误报；</w:t>
              <w:br/>
              <w:t xml:space="preserve">11.智能网关和配套断路器可支持过压、欠压、过流、过功率的保护功能，当触发以上事件时网关可自动执行分闸操作，保护用电安全。</w:t>
              <w:br/>
              <w:t xml:space="preserve">12.智能网关和配套断路器可支持每路过温保护功能，当温度超过阈值自动执行分闸操作。</w:t>
              <w:br/>
              <w:t xml:space="preserve">13智能网关和配套断</w:t>
            </w:r>
            <w:r>
              <w:rPr>
                <w:rFonts w:hint="eastAsia" w:ascii="宋体" w:hAnsi="宋体" w:cs="宋体"/>
                <w:color w:val="000000" w:themeColor="text1"/>
                <w:sz w:val="24"/>
                <w:szCs w:val="24"/>
                <w:highlight w:val="none"/>
              </w:rPr>
              <w:t xml:space="preserve">路器可支持电力检修模式，当设备处于电力检修模式时，断路器一直处于分闸状态以保障用电安全。</w:t>
              <w:br/>
              <w:t xml:space="preserve">14.支持自研控制系统状态监测（视频卡、分配卡、模组数量，走线方式，HDMI信号状态、设备信号状态、传感器数据，支持HDMI信号异常时，系统主动进行故障报警，当分配卡之间的连接线异常时，系统主动进行故障报警，模组控制板之间连接线异常，系统主动进行报警）；</w:t>
              <w:br/>
              <w:t xml:space="preserve">15.支持邮件报警：配置接收人邮箱，报警立即发送邮件，单箱体信息采集时间≤5S，可增加任意数量的接收人邮箱；</w:t>
              <w:br/>
              <w:t xml:space="preserve">16.支持故障数据保存：可任意查看一年内的系统故障数据；</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套</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发送卡</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1设备支持不少于1路HDMI和1路DVI同时实现视频输入及显示，同时二者可以实现备份显示；</w:t>
              <w:br w:type="textWrapping" w:clear="all"/>
              <w:t xml:space="preserve">2输入的HDMI和DVI信号都可以实现视频无损输出；</w:t>
              <w:br w:type="textWrapping" w:clear="all"/>
              <w:t xml:space="preserve">3支持最大分辨率不低于1920*1200@60Hz，并向下兼容。</w:t>
              <w:br w:type="textWrapping" w:clear="all"/>
              <w:t xml:space="preserve">4设备不低于6个网口。</w:t>
              <w:br w:type="textWrapping" w:clear="all"/>
              <w:t xml:space="preserve">5单网口最大带载不少于65万像素。</w:t>
              <w:br w:type="textWrapping" w:clear="all"/>
              <w:t xml:space="preserve">6多台设备之间可以实现同步传输显示，不同设备带载LED不会出现撕</w:t>
            </w:r>
            <w:r>
              <w:rPr>
                <w:rFonts w:hint="eastAsia" w:ascii="宋体" w:hAnsi="宋体" w:cs="宋体"/>
                <w:color w:val="000000" w:themeColor="text1"/>
                <w:sz w:val="24"/>
                <w:szCs w:val="24"/>
                <w:highlight w:val="none"/>
              </w:rPr>
              <w:t xml:space="preserve">裂现象。</w:t>
              <w:br/>
              <w:t xml:space="preserve">7支持查看当前灯板信息，预览走线图，支持灯板信息导出。</w:t>
              <w:br/>
              <w:t xml:space="preserve">8可用不同的身份登录控制系统，实现分权管理。</w:t>
              <w:br/>
              <w:t xml:space="preserve">9支持性能参数的调整、导入、导出，支持控制器文件导出及接收卡参数固化和发送。</w:t>
              <w:br/>
              <w:t xml:space="preserve">10支持对显示图像的亮度、色温、gamma、色域进行图像精细化调节。</w:t>
              <w:br/>
              <w:t xml:space="preserve">11支持屏幕的脱机矫正，亮暗线调节和Flash矫正。</w:t>
              <w:br/>
              <w:t xml:space="preserve">12支持发送卡、接收卡、屏队列参数的导出和导入。</w:t>
              <w:br/>
              <w:t xml:space="preserve">13支持对已连接设备的固件进行升级。</w:t>
              <w:br/>
              <w:t xml:space="preserve">14支持对设备进行固件信息的回读并导出为文件。</w:t>
              <w:br/>
              <w:t xml:space="preserve">15支持接收卡的恢复出厂设置。</w:t>
              <w:br/>
              <w:t xml:space="preserve">16支持中文和英文等语言切换。</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台</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18</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大屏钢结构</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镀锌方管焊制，室内钢结构设计，采用Q235B国标材料，屏体边框黑钛不锈钢</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项</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前维护</w:t>
            </w:r>
            <w:r>
              <w:rPr>
                <w:color w:val="000000" w:themeColor="text1"/>
                <w:highlight w:val="none"/>
              </w:rP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配电箱（50KW）</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大屏配电箱（含PLC控制板）</w:t>
              <w:br w:type="textWrapping" w:clear="all"/>
              <w:t xml:space="preserve">1、配置功率≥50kw，可适当增加余量；</w:t>
              <w:br w:type="textWrapping" w:clear="all"/>
              <w:t xml:space="preserve">2、配电系统需具有过载、欠压、短路、短相、漏电保护等功能，可自动处理各种应急情况；</w:t>
              <w:br w:type="textWrapping" w:clear="all"/>
              <w:t xml:space="preserve">3、显示屏发生过流、短路等故障时，能自动切断电源，并发出报警；</w:t>
              <w:br w:type="textWrapping" w:clear="all"/>
              <w:t xml:space="preserve">远程电力监控：远程故障报警，远程开关屏功能、可实现远程监控各路开关上电状态；</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台</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trHeight w:val="320"/>
        </w:trPr>
        <w:tc>
          <w:tcPr>
            <w:gridSpan w:val="2"/>
            <w:tcBorders>
              <w:top w:val="single" w:color="000000" w:sz="4" w:space="0"/>
              <w:left w:val="single" w:color="000000" w:sz="4" w:space="0"/>
              <w:bottom w:val="single" w:color="000000" w:sz="4" w:space="0"/>
              <w:right w:val="single" w:color="000000" w:sz="4" w:space="0"/>
            </w:tcBorders>
            <w:tcW w:w="1639" w:type="dxa"/>
            <w:vAlign w:val="center"/>
            <w:textDirection w:val="lrTb"/>
            <w:noWrap w:val="false"/>
          </w:tcPr>
          <w:p>
            <w:pPr>
              <w:pStyle w:val="883"/>
              <w:jc w:val="center"/>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大屏利旧</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cantSplit/>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LED大屏支架</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钢结构制作费用，显示面积约14.58㎡</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项</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037" w:type="auto"/>
            <w:vAlign w:val="center"/>
            <w:vMerge w:val="restart"/>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原反诈中心指挥大厅LED大屏14.58平方米（长7.2，高2.025）拆除，迁移，安装，调试，修复等工作</w:t>
            </w:r>
            <w:r>
              <w:rPr>
                <w:color w:val="000000" w:themeColor="text1"/>
                <w:highlight w:val="none"/>
              </w:rPr>
            </w:r>
          </w:p>
        </w:tc>
      </w:tr>
      <w:tr>
        <w:trPr>
          <w:cantSplit/>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LED大屏拆除，安装，调试费用</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LED大屏拆除，安装，调试、修复，费用</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项</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037" w:type="auto"/>
            <w:vAlign w:val="center"/>
            <w:vMerge w:val="continue"/>
            <w:textDirection w:val="lrTb"/>
            <w:noWrap w:val="false"/>
          </w:tcPr>
          <w:p>
            <w:pPr>
              <w:pStyle w:val="883"/>
              <w:jc w:val="center"/>
              <w:rPr>
                <w:rFonts w:hint="eastAsia" w:ascii="宋体" w:hAnsi="宋体" w:cs="宋体"/>
                <w:color w:val="0d0d0d"/>
                <w:sz w:val="24"/>
                <w:szCs w:val="24"/>
              </w:rPr>
            </w:pPr>
            <w:r>
              <w:rPr>
                <w:rFonts w:hint="eastAsia" w:ascii="宋体" w:hAnsi="宋体" w:cs="宋体"/>
                <w:color w:val="0d0d0d"/>
                <w:sz w:val="24"/>
                <w:szCs w:val="24"/>
              </w:rPr>
            </w:r>
            <w:r/>
          </w:p>
        </w:tc>
      </w:tr>
      <w:tr>
        <w:trPr>
          <w:cantSplit/>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LED大屏拼控</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输入：4路HDMI</w:t>
              <w:br w:type="textWrapping" w:clear="all"/>
              <w:t xml:space="preserve">输出：8路HDMI</w:t>
              <w:br w:type="textWrapping" w:clear="all"/>
              <w:t xml:space="preserve">1、可传输1920*1200@60Hz及以下分辨率的HDMI信号</w:t>
              <w:br w:type="textWrapping" w:clear="all"/>
              <w:t xml:space="preserve">2、真60帧系统，完美支持1920*1200@60Hz不抽帧</w:t>
              <w:br w:type="textWrapping" w:clear="all"/>
              <w:t xml:space="preserve">3、RGB 4:4:4无损处理，完美画质，无色散、丢色阶等问题</w:t>
              <w:br w:type="textWrapping" w:clear="all"/>
              <w:t xml:space="preserve">4、整个大屏最多可显示16个信号窗口，单个屏幕最多8个窗口；信号窗口可叠加、缩放，灵活布局。</w:t>
              <w:br w:type="textWrapping" w:clear="all"/>
              <w:t xml:space="preserve">5、支持自定义输出分辨率、支持拼接大屏LED模式；完美支持不同大小LED 模组的拼接显示。</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台</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037" w:type="auto"/>
            <w:vAlign w:val="center"/>
            <w:vMerge w:val="continue"/>
            <w:textDirection w:val="lrTb"/>
            <w:noWrap w:val="false"/>
          </w:tcPr>
          <w:p>
            <w:pPr>
              <w:pStyle w:val="883"/>
              <w:jc w:val="center"/>
              <w:rPr>
                <w:rFonts w:hint="eastAsia" w:ascii="宋体" w:hAnsi="宋体" w:cs="宋体"/>
                <w:color w:val="0d0d0d"/>
                <w:sz w:val="24"/>
                <w:szCs w:val="24"/>
              </w:rPr>
            </w:pPr>
            <w:r>
              <w:rPr>
                <w:rFonts w:hint="eastAsia" w:ascii="宋体" w:hAnsi="宋体" w:cs="宋体"/>
                <w:color w:val="0d0d0d"/>
                <w:sz w:val="24"/>
                <w:szCs w:val="24"/>
              </w:rPr>
            </w:r>
            <w:r/>
          </w:p>
        </w:tc>
      </w:tr>
      <w:tr>
        <w:trPr>
          <w:cantSplit/>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LCD大屏拆除，安装，调试费用</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LCD大屏拆除，安装，调试、修复，费用</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项</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037" w:type="auto"/>
            <w:vAlign w:val="center"/>
            <w:vMerge w:val="restart"/>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原反诈中心工作区2套3*2LCD拼接屏幕拆除，迁移，安装，调试，修复等工作，屏幕支架利旧</w:t>
            </w:r>
            <w:r>
              <w:rPr>
                <w:color w:val="000000" w:themeColor="text1"/>
                <w:highlight w:val="none"/>
              </w:rPr>
            </w:r>
          </w:p>
        </w:tc>
      </w:tr>
      <w:tr>
        <w:trPr>
          <w:cantSplit/>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LED大屏拼控</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输入：4路HDMI</w:t>
              <w:br w:type="textWrapping" w:clear="all"/>
              <w:t xml:space="preserve">输出：8路HDMI</w:t>
              <w:br w:type="textWrapping" w:clear="all"/>
              <w:t xml:space="preserve">1、可传输1920*1200@60Hz及以下分辨率的HDMI信号</w:t>
              <w:br w:type="textWrapping" w:clear="all"/>
              <w:t xml:space="preserve">2、真60帧系统，完美支持1920*1200@60Hz不抽帧</w:t>
              <w:br w:type="textWrapping" w:clear="all"/>
              <w:t xml:space="preserve">3、RGB 4:4:4无损处理，完美画质，无色散、丢色阶等问题</w:t>
              <w:br w:type="textWrapping" w:clear="all"/>
              <w:t xml:space="preserve">4、整个大屏最多可显示16个信号窗口，单个屏幕最多8个窗口；信号窗口可叠加、缩放，灵活布局。</w:t>
              <w:br w:type="textWrapping" w:clear="all"/>
              <w:t xml:space="preserve">5、支持自定义输出分辨率、支持拼接大屏LED模式；完美支持不同大小LED 模组的拼接显示。</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台</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037" w:type="auto"/>
            <w:vAlign w:val="center"/>
            <w:vMerge w:val="continue"/>
            <w:textDirection w:val="lrTb"/>
            <w:noWrap w:val="false"/>
          </w:tcPr>
          <w:p>
            <w:pPr>
              <w:pStyle w:val="883"/>
              <w:jc w:val="center"/>
              <w:rPr>
                <w:rFonts w:hint="eastAsia" w:ascii="宋体" w:hAnsi="宋体" w:cs="宋体"/>
                <w:color w:val="0d0d0d"/>
                <w:sz w:val="24"/>
                <w:szCs w:val="24"/>
              </w:rPr>
            </w:pPr>
            <w:r>
              <w:rPr>
                <w:rFonts w:hint="eastAsia" w:ascii="宋体" w:hAnsi="宋体" w:cs="宋体"/>
                <w:color w:val="0d0d0d"/>
                <w:sz w:val="24"/>
                <w:szCs w:val="24"/>
              </w:rPr>
            </w:r>
            <w:r/>
          </w:p>
        </w:tc>
      </w:tr>
      <w:tr>
        <w:trPr>
          <w:trHeight w:val="320"/>
        </w:trPr>
        <w:tc>
          <w:tcPr>
            <w:gridSpan w:val="2"/>
            <w:tcBorders>
              <w:top w:val="single" w:color="000000" w:sz="4" w:space="0"/>
              <w:left w:val="single" w:color="000000" w:sz="4" w:space="0"/>
              <w:bottom w:val="single" w:color="000000" w:sz="4" w:space="0"/>
              <w:right w:val="single" w:color="000000" w:sz="4" w:space="0"/>
            </w:tcBorders>
            <w:tcW w:w="1639" w:type="dxa"/>
            <w:vAlign w:val="center"/>
            <w:textDirection w:val="lrTb"/>
            <w:noWrap w:val="false"/>
          </w:tcPr>
          <w:p>
            <w:pPr>
              <w:pStyle w:val="883"/>
              <w:jc w:val="center"/>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视频切换系统</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cantSplit/>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大屏拼控器</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系统采用嵌入式处理方式，不受操作系统影响，信号与桌面分别独立处理。模块化插卡式设计，输入卡、输出卡、控制卡、预监卡、回显卡、风扇、电源采用模块化设计，支持热插拔，更换时不影响其他模块的正常运行。支持冗余电源备份，可实现信号的处理与交换。</w:t>
              <w:br w:type="textWrapping" w:clear="all"/>
              <w:t xml:space="preserve">2.支持输出任意种测试颜色和网格图像，用于对设备输出通道进行测试。</w:t>
              <w:br w:type="textWrapping" w:clear="all"/>
              <w:t xml:space="preserve">3.支持场景预设和预案调用无缝切换，支持不少于18000个矩阵预案的保存管理；支持不少于18000个拼接预案的</w:t>
            </w:r>
            <w:r>
              <w:rPr>
                <w:rFonts w:hint="eastAsia" w:ascii="宋体" w:hAnsi="宋体" w:cs="宋体"/>
                <w:color w:val="000000" w:themeColor="text1"/>
                <w:sz w:val="24"/>
                <w:szCs w:val="24"/>
                <w:highlight w:val="none"/>
              </w:rPr>
              <w:t xml:space="preserve">保存管理。支持预案分组功能，且每个预案组可单独进行预案轮巡；每组预案轮巡时，预案之间的时间间隔可以单独调整。预案可通过手动、定时、激光笔触发三种方式进行调用，实现预案内容的快速切换。</w:t>
              <w:br/>
              <w:t xml:space="preserve">4.支持输出卡驱动设置，可通过对输出卡的驱动电流（预加重）和摆幅进行调 整，可实现链路的延长传输，传输信号的画面稳定。</w:t>
              <w:br/>
              <w:t xml:space="preserve">5.支持在拼接屏上显示多组静态条幅，条幅布局可选，内容可调，背景颜色及透明度分区域可配，字体类型、大小、颜色、对齐方式、字间距分区域可配。支持多种不同时间，包括：时区时间显示、本地/远程时间显示、时间数字样式</w:t>
            </w:r>
            <w:r>
              <w:rPr>
                <w:rFonts w:hint="eastAsia" w:ascii="宋体" w:hAnsi="宋体" w:cs="宋体"/>
                <w:color w:val="000000" w:themeColor="text1"/>
                <w:sz w:val="24"/>
                <w:szCs w:val="24"/>
                <w:highlight w:val="none"/>
              </w:rPr>
              <w:t xml:space="preserve">、星期时间显示，可实时动态显示日期和时间且格式可选。时间来源可以是本地也可以从远程服务器获取，条幅内容可编辑文字或者导入图片。</w:t>
              <w:br/>
              <w:t xml:space="preserve">6.支持对输入源图像进行裁剪，既可输入像素点进行精确裁剪，也可通过鼠标拖拽方式进行可视化裁剪。</w:t>
              <w:br/>
              <w:t xml:space="preserve">7.支持新增、编辑、删除用户名、密码用户信息，支持为用户设置操作权限，可控制每个用户对于每个功能项和菜单的操作权限，也可控制每个用户对于每个输入源和输出端口的操作权限。</w:t>
              <w:br/>
              <w:t xml:space="preserve">8.支持控制卡热备份，当主控制卡故障的时候，无需人为操作即可自动切换到备份控制卡进行设备的控制，双控制卡均故障或拔出的</w:t>
            </w:r>
            <w:r>
              <w:rPr>
                <w:rFonts w:hint="eastAsia" w:ascii="宋体" w:hAnsi="宋体" w:cs="宋体"/>
                <w:color w:val="000000" w:themeColor="text1"/>
                <w:sz w:val="24"/>
                <w:szCs w:val="24"/>
                <w:highlight w:val="none"/>
              </w:rPr>
              <w:t xml:space="preserve">条件下，输出图像依然可保持原来正常的显示状态，不会出现黑屏、闪烁情况。</w:t>
              <w:br/>
              <w:t xml:space="preserve">9.风扇运行支持自动、手动两种设置模式。智能控速风扇支持8档风扇转速调节，在操作界面可显示风扇当前转速，并可根据设备的运行状态及当前环境温度进行智能调节转速，实现定速巡航。</w:t>
              <w:br/>
              <w:t xml:space="preserve">10.支持对输入卡设置期望分辨率，可以智能检测输入信号状态，当输入信号的分辨率与所设置的期望分辨率不符时，设备可以自动关闭输出信号，并可在设备状态监测界面中查看输入信号是否符合期望分辨率，并可根据监测信息进行检修。</w:t>
              <w:br/>
              <w:t xml:space="preserve">11.产品平均无故障时间MTBF≥100000h。</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张</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037" w:type="auto"/>
            <w:vAlign w:val="center"/>
            <w:vMerge w:val="restart"/>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20路4K输入+8路反诈平台高分电脑输入，24路1080输出（大屏发送卡）</w:t>
            </w:r>
            <w:r>
              <w:rPr>
                <w:color w:val="000000" w:themeColor="text1"/>
                <w:highlight w:val="none"/>
              </w:rPr>
            </w:r>
          </w:p>
        </w:tc>
      </w:tr>
      <w:tr>
        <w:trPr>
          <w:cantSplit/>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2路4K60-DP输入卡</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4K60-DP输入卡，单板支持不少于2路输入；分辨率支持不低于3840*2160@60，支持随路音频。</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张</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037" w:type="auto"/>
            <w:vAlign w:val="center"/>
            <w:vMerge w:val="continue"/>
            <w:textDirection w:val="lrTb"/>
            <w:noWrap w:val="false"/>
          </w:tcPr>
          <w:p>
            <w:pPr>
              <w:pStyle w:val="883"/>
              <w:jc w:val="center"/>
              <w:rPr>
                <w:rFonts w:hint="eastAsia" w:ascii="宋体" w:hAnsi="宋体" w:cs="宋体"/>
                <w:color w:val="0d0d0d"/>
                <w:sz w:val="24"/>
                <w:szCs w:val="24"/>
              </w:rPr>
            </w:pPr>
            <w:r>
              <w:rPr>
                <w:rFonts w:hint="eastAsia" w:ascii="宋体" w:hAnsi="宋体" w:cs="宋体"/>
                <w:color w:val="0d0d0d"/>
                <w:sz w:val="24"/>
                <w:szCs w:val="24"/>
              </w:rPr>
            </w:r>
            <w:r/>
          </w:p>
        </w:tc>
      </w:tr>
      <w:tr>
        <w:trPr>
          <w:cantSplit/>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4路4KHDMI输入卡</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HDMI1.3输出，最大支持输出分辨率不低于2048x1152@60HZ</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张</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037" w:type="auto"/>
            <w:vAlign w:val="center"/>
            <w:vMerge w:val="continue"/>
            <w:textDirection w:val="lrTb"/>
            <w:noWrap w:val="false"/>
          </w:tcPr>
          <w:p>
            <w:pPr>
              <w:pStyle w:val="883"/>
              <w:jc w:val="center"/>
              <w:rPr>
                <w:rFonts w:hint="eastAsia" w:ascii="宋体" w:hAnsi="宋体" w:cs="宋体"/>
                <w:color w:val="0d0d0d"/>
                <w:sz w:val="24"/>
                <w:szCs w:val="24"/>
              </w:rPr>
            </w:pPr>
            <w:r>
              <w:rPr>
                <w:rFonts w:hint="eastAsia" w:ascii="宋体" w:hAnsi="宋体" w:cs="宋体"/>
                <w:color w:val="0d0d0d"/>
                <w:sz w:val="24"/>
                <w:szCs w:val="24"/>
              </w:rPr>
            </w:r>
            <w:r/>
          </w:p>
        </w:tc>
      </w:tr>
      <w:tr>
        <w:trPr>
          <w:cantSplit/>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8路HDMI输出卡</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HDMI输出卡，单板支持8路输出，最高分辨率不低于1920*1080@60；</w:t>
              <w:br w:type="textWrapping" w:clear="all"/>
              <w:t xml:space="preserve">单卡或单个输出端口最多可开16窗（2K：16个，4K30：8个；4K60：4个），卡内图层共享，跨端口开窗图层数量不减。</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张</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037" w:type="auto"/>
            <w:vAlign w:val="center"/>
            <w:vMerge w:val="continue"/>
            <w:textDirection w:val="lrTb"/>
            <w:noWrap w:val="false"/>
          </w:tcPr>
          <w:p>
            <w:pPr>
              <w:pStyle w:val="883"/>
              <w:jc w:val="center"/>
              <w:rPr>
                <w:rFonts w:hint="eastAsia" w:ascii="宋体" w:hAnsi="宋体" w:cs="宋体"/>
                <w:color w:val="0d0d0d"/>
                <w:sz w:val="24"/>
                <w:szCs w:val="24"/>
              </w:rPr>
            </w:pPr>
            <w:r>
              <w:rPr>
                <w:rFonts w:hint="eastAsia" w:ascii="宋体" w:hAnsi="宋体" w:cs="宋体"/>
                <w:color w:val="0d0d0d"/>
                <w:sz w:val="24"/>
                <w:szCs w:val="24"/>
              </w:rPr>
            </w:r>
            <w:r/>
          </w:p>
        </w:tc>
      </w:tr>
      <w:tr>
        <w:trPr>
          <w:cantSplit/>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大屏信号控制器</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具备不少于一路DVI输入接口，双口、单光纤传输KVM、Audio信号，支持DVI、VGA信号传输，支持环出</w:t>
              <w:br w:type="textWrapping" w:clear="all"/>
              <w:t xml:space="preserve">具备不少于一路DVI输出接口，双口、单光纤传输KVM、Audio信号</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套</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037" w:type="auto"/>
            <w:vAlign w:val="center"/>
            <w:vMerge w:val="continue"/>
            <w:textDirection w:val="lrTb"/>
            <w:noWrap w:val="false"/>
          </w:tcPr>
          <w:p>
            <w:pPr>
              <w:pStyle w:val="883"/>
              <w:jc w:val="center"/>
              <w:rPr>
                <w:rFonts w:hint="eastAsia" w:ascii="宋体" w:hAnsi="宋体" w:cs="宋体"/>
                <w:color w:val="0d0d0d"/>
                <w:sz w:val="24"/>
                <w:szCs w:val="24"/>
              </w:rPr>
            </w:pPr>
            <w:r>
              <w:rPr>
                <w:rFonts w:hint="eastAsia" w:ascii="宋体" w:hAnsi="宋体" w:cs="宋体"/>
                <w:color w:val="0d0d0d"/>
                <w:sz w:val="24"/>
                <w:szCs w:val="24"/>
              </w:rPr>
            </w: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多功能综合信号处理器</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1.最大支持共160路输入/输出的交换容量</w:t>
              <w:br w:type="textWrapping" w:clear="all"/>
              <w:t xml:space="preserve">2.主机前面板液晶屏可显示设备运行状态，支持查询并修改设备IP地址、网关、掩</w:t>
            </w:r>
            <w:r>
              <w:rPr>
                <w:rFonts w:hint="eastAsia" w:ascii="宋体" w:hAnsi="宋体" w:cs="宋体"/>
                <w:color w:val="000000" w:themeColor="text1"/>
                <w:sz w:val="24"/>
                <w:szCs w:val="24"/>
                <w:highlight w:val="none"/>
              </w:rPr>
              <w:t xml:space="preserve">码等信息，支持MAC地址查询。</w:t>
              <w:br/>
              <w:t xml:space="preserve">3.采用非交换机、非TCP/IP协议的闭环式光纤架构，视频和控制数据通过不同光纤进行传输，通过专用物理信道承载管理控制信息。</w:t>
              <w:br/>
              <w:t xml:space="preserve">4.光纤矩阵支持安装HDMI/DVI/VGA/DP/SDI/YPBPR/CVBS等视频板卡，每张板卡支持不少于4路的4K视频信号的输入/出。</w:t>
              <w:br/>
              <w:t xml:space="preserve">5.视频信号从输入端到输出端的延迟≤16ms。</w:t>
              <w:br/>
              <w:t xml:space="preserve">6.信号切换时，无延时、无黑场、无蓝屏、无闪屏等中间过渡态，切换时间≤16ms。</w:t>
              <w:br/>
              <w:t xml:space="preserve">7.机箱卡槽位采用双向数据通道，单个卡槽支持输入/输出板卡混插，不受输入卡或输出卡</w:t>
            </w:r>
            <w:r>
              <w:rPr>
                <w:rFonts w:hint="eastAsia" w:ascii="宋体" w:hAnsi="宋体" w:cs="宋体"/>
                <w:color w:val="000000" w:themeColor="text1"/>
                <w:sz w:val="24"/>
                <w:szCs w:val="24"/>
                <w:highlight w:val="none"/>
              </w:rPr>
              <w:t xml:space="preserve">相邻槽位连续使用的限制，支持输入、输出卡无序随意盲插；输入、输出卡相互独立，任意输入卡拔出或故障不影响其他输入卡的预监等功能，任意输出卡拔出或故障不影响其他输出卡的回显等功能；</w:t>
              <w:br/>
              <w:t xml:space="preserve">8.输入、输出卡支持端口自适应，可按照需求任意分配输入、输出端口，端口无需配置可自动识别输入、输出节点；支持任意输入、输出光端机从主机一个端口拔下换至另外一个空余端口，信号可快速恢复，整个过程无需人工干预，且无需重新设置。信号恢复时间≤0.5s</w:t>
              <w:br/>
              <w:t xml:space="preserve">9.平均无故障间隔时间（MTBF）≥20万小时，平均故障修复（MTTR）时间≤25分钟。</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台</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7</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8路光纤接口卡</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光纤接口卡，单板支持不少于8路光纤输入/输出，支持嵌入式音频，可按需配置成输入或输出</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张</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20台电脑，2台视频会议主机，2路备用</w:t>
            </w:r>
            <w:r>
              <w:rPr>
                <w:color w:val="000000" w:themeColor="text1"/>
                <w:highlight w:val="none"/>
              </w:rP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8</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4路4K-HDMI输入卡</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4K HDMI输入卡，单板支持不少于4路输入，支持嵌入式音频输入</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张</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电视墙16路，2路视频会议信号，6路备用</w:t>
            </w:r>
            <w:r>
              <w:rPr>
                <w:color w:val="000000" w:themeColor="text1"/>
                <w:highlight w:val="none"/>
              </w:rP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9</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4路4K-HDMI输出卡</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4K HDMI输出卡，单板支持不少于4路输出，支持嵌入式音频输出</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张</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20路大屏拼控，2路视频会议，2路音频解析</w:t>
            </w:r>
            <w:r>
              <w:rPr>
                <w:color w:val="000000" w:themeColor="text1"/>
                <w:highlight w:val="none"/>
              </w:rP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10</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4KHDMI 光纤发送器</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具备一路4KHDMI输入和环出接口，双口、单光纤传输Video、Audio信号</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台</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20</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指挥大厅电脑信号</w:t>
            </w:r>
            <w:r>
              <w:rPr>
                <w:color w:val="000000" w:themeColor="text1"/>
                <w:highlight w:val="none"/>
              </w:rP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11</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HDMI 光纤发送器</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具备一路HDMI输入和输出接口，双口、单光纤传输Video、Audio信号。</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台</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会议摄像机信号</w:t>
            </w:r>
            <w:r>
              <w:rPr>
                <w:color w:val="000000" w:themeColor="text1"/>
                <w:highlight w:val="none"/>
              </w:rPr>
            </w:r>
          </w:p>
        </w:tc>
      </w:tr>
      <w:tr>
        <w:trPr>
          <w:trHeight w:val="320"/>
        </w:trPr>
        <w:tc>
          <w:tcPr>
            <w:gridSpan w:val="2"/>
            <w:tcBorders>
              <w:top w:val="single" w:color="000000" w:sz="4" w:space="0"/>
              <w:left w:val="single" w:color="000000" w:sz="4" w:space="0"/>
              <w:bottom w:val="single" w:color="000000" w:sz="4" w:space="0"/>
              <w:right w:val="single" w:color="000000" w:sz="4" w:space="0"/>
            </w:tcBorders>
            <w:tcW w:w="1639" w:type="dxa"/>
            <w:vAlign w:val="center"/>
            <w:textDirection w:val="lrTb"/>
            <w:noWrap w:val="false"/>
          </w:tcPr>
          <w:p>
            <w:pPr>
              <w:pStyle w:val="883"/>
              <w:jc w:val="center"/>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会议系统</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center"/>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jc w:val="center"/>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r>
            <w:r>
              <w:rPr>
                <w:color w:val="000000" w:themeColor="text1"/>
                <w:highlight w:val="none"/>
              </w:rP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center"/>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发言系统</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center"/>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jc w:val="center"/>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r>
            <w:r>
              <w:rPr>
                <w:color w:val="000000" w:themeColor="text1"/>
                <w:highlight w:val="none"/>
              </w:rP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全数字会议系统主机</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1.设备具有音频时钟同步传输技术，端到端音频传输＜5ms。</w:t>
              <w:br w:type="textWrapping" w:clear="all"/>
              <w:t xml:space="preserve">2.内置DSP处理器，具有≥16路音频矩阵、啸叫抑制、≥10段EQ调节、音量dB值调节、延时器调节功能。</w:t>
              <w:br w:type="textWrapping" w:clear="all"/>
              <w:t xml:space="preserve">3.设备具有会议发言录音功能；搭配会议话筒可以录制单个话筒发言音频或录制所有话筒混音输出音频；支持通过主机U盘录音或</w:t>
            </w:r>
            <w:r>
              <w:rPr>
                <w:rFonts w:hint="eastAsia" w:ascii="宋体" w:hAnsi="宋体" w:cs="宋体"/>
                <w:color w:val="000000" w:themeColor="text1"/>
                <w:sz w:val="24"/>
                <w:szCs w:val="24"/>
                <w:highlight w:val="none"/>
              </w:rPr>
              <w:t xml:space="preserve">PC软件录音。</w:t>
              <w:br/>
              <w:t xml:space="preserve">4.设备接口：通讯接口：≥2路RS232接口、≥1路RS-485接口、≥4路RJ45；音频输出接口≥1路RCA、≥1路卡侬头、≥16路凤凰端子；音频输入接口≥1路RCA、≥1路卡侬头、≥2路凤凰端子。</w:t>
              <w:br/>
              <w:t xml:space="preserve">5.支持≥16通道音频输出功能，可灵活配置为有线角色分离输出模式、无线角色分离输出模式、同传输出模式、相控输出模式。每个输出通道都可以调节10段EQ、音量dB值调节、延时器参数调节。</w:t>
              <w:br/>
              <w:t xml:space="preserve">6.设备具有安卓手机APP软件、平板APP软件控制的功能，通过软件可控制话筒开关、开启签到、投票、表决，接收会</w:t>
            </w:r>
            <w:r>
              <w:rPr>
                <w:rFonts w:hint="eastAsia" w:ascii="宋体" w:hAnsi="宋体" w:cs="宋体"/>
                <w:color w:val="000000" w:themeColor="text1"/>
                <w:sz w:val="24"/>
                <w:szCs w:val="24"/>
                <w:highlight w:val="none"/>
              </w:rPr>
              <w:t xml:space="preserve">议服务信息、一键关闭无线话筒等功能，免PC操作。</w:t>
              <w:br/>
              <w:t xml:space="preserve">7.设备具有客户端、WEB端控制方式，通过客户端或WEB端可调节音频矩阵参数（包括EQ、音量、延时器、话筒灵敏度等）、≥16通道输出模式切换、开关话筒同步、中英俄法四种语言切换、控制角色分离主机。</w:t>
              <w:br/>
              <w:t xml:space="preserve">8.支持搭配同声传译系统，最大可同时传输≥63+1的有线同声传译。</w:t>
              <w:br/>
              <w:t xml:space="preserve">9.系统与语音转写系统深度适配，系统之间通过网线交互数据，实现角色分离语音转写功能。</w:t>
              <w:br/>
              <w:t xml:space="preserve">10.会议主机具备注册天数显示功能，可以随时了解注册后使用的剩余天数；支持触摸设备屏幕输入注册码进行主机注册。</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台</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会议话筒处理器</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1.具有AFC反馈抑制功能，采用陷波+移频双方式，能够自动抓取啸叫点并设置陷波器陷波，陷波器支持≥12个固定点≥+12个动态点，可有效消除啸叫功能。</w:t>
              <w:br w:type="textWrapping" w:clear="all"/>
              <w:t xml:space="preserve">2.具有话筒语音激励功能，可设置跟踪阈值，当话筒发言达阈值时可实现联动摄像跟踪功能。具有EQ调节功能，输出具有≥31段图示均衡器调节。</w:t>
              <w:br w:type="textWrapping" w:clear="all"/>
              <w:t xml:space="preserve">4</w:t>
            </w:r>
            <w:r>
              <w:rPr>
                <w:rFonts w:hint="eastAsia" w:ascii="宋体" w:hAnsi="宋体" w:cs="宋体"/>
                <w:color w:val="000000" w:themeColor="text1"/>
                <w:sz w:val="24"/>
                <w:szCs w:val="24"/>
                <w:highlight w:val="none"/>
              </w:rPr>
              <w:t xml:space="preserve">.具有≥2路网口，用于连接无线AP和与会议主机通信；通过网络协议对接数字会议主机，实现音频数据传输。具有≥1路EXTENSION接口，用于连接会议主机扩展口。具有≥1路卡侬平衡输出，≥1路莲花非平衡输出。</w:t>
              <w:br/>
              <w:t xml:space="preserve">4.具有≥1路RS-485通信接口，支持对接摄像机实现摄像跟踪。具有≥1路RS-232通信接口（摄像跟踪），对接中控系统主机或摄像跟踪主机实现发言摄像跟踪功能。具有≥1路RS-232通信接口（语音转写），支持对接语音转写服务器，实现语音转写功能。</w:t>
              <w:br/>
              <w:t xml:space="preserve">5.支持话筒同时开麦数量≥16个有线单元+≥8个无线单元。</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台</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会议话筒（主席单元）</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1.采用短咪杆拾音设计，远距离拾音。咪杆高度（或长度）≤240mm。</w:t>
              <w:br w:type="textWrapping" w:clear="all"/>
              <w:t xml:space="preserve">2.单元采用非压缩音频传输技术，≥48K采样率，</w:t>
            </w:r>
            <w:r>
              <w:rPr>
                <w:rFonts w:hint="eastAsia" w:ascii="宋体" w:hAnsi="宋体" w:cs="宋体"/>
                <w:color w:val="000000" w:themeColor="text1"/>
                <w:sz w:val="24"/>
                <w:szCs w:val="24"/>
                <w:highlight w:val="none"/>
              </w:rPr>
              <w:t xml:space="preserve">等同或优于80Hz-16KHz带宽音质。</w:t>
              <w:br/>
              <w:t xml:space="preserve">3.单元采用≥100M网络传输，采用单线接入环形网络。</w:t>
              <w:br/>
              <w:t xml:space="preserve">4.单元通信采用标准TCP/IP协议，且每个单元可支持ping包功能。</w:t>
              <w:br/>
              <w:t xml:space="preserve">5.具有旗形全彩触屏。</w:t>
              <w:br/>
              <w:t xml:space="preserve">6.同声传译支持≥63+1通道，所有主席和代表单元的发言都在0通道收听，1到63通道为收听译员机发言的通道。</w:t>
              <w:br/>
              <w:t xml:space="preserve">7.单元支持 PC 软件话筒控制，支持声控功能。</w:t>
              <w:br/>
              <w:t xml:space="preserve">8.每个单元支持web管理服务，支持≥四种语言切换、调节话筒ID号、话筒灵敏度。</w:t>
              <w:br/>
              <w:t xml:space="preserve">9.单元具有发言计时和定时发言功能，主席单元具备关闭代表单元发言的优先权限。</w:t>
            </w:r>
            <w:r>
              <w:rPr>
                <w:rFonts w:hint="eastAsia" w:ascii="宋体" w:hAnsi="宋体" w:cs="宋体"/>
                <w:color w:val="000000" w:themeColor="text1"/>
                <w:sz w:val="24"/>
                <w:szCs w:val="24"/>
                <w:highlight w:val="none"/>
              </w:rPr>
              <w:br/>
              <w:t xml:space="preserve">10.单元内部具有反馈抑制功能，具有声控功能，声控灵敏度可调。</w:t>
              <w:br/>
              <w:t xml:space="preserve">11.单元支持签到功能，也可以通过PC软件禁止单元签到、控制单元签到等功能。</w:t>
              <w:br/>
              <w:t xml:space="preserve">12.单元支持表决功能，有多种表决模式选择，且选项内容可自定义下发到单元显示。</w:t>
              <w:br/>
              <w:t xml:space="preserve">13.单元支持web页面固件升级功能。</w:t>
              <w:br/>
              <w:t xml:space="preserve">14.单元支持IP地址嗅探功能，通过PC工具可以查找到未知单元的ID号、IP地址、MAC地址等参数。</w:t>
              <w:br/>
              <w:t xml:space="preserve">15.单元支持网络修改设备类型（主席/代表）、设置时钟屏保。</w:t>
              <w:br/>
              <w:t xml:space="preserve">16.具备≥1个3.5mm耳机接口，支持收听同声传译通道的声音或用于连接外置麦克风。</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台</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会议话筒（代表单元）</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1.采用短咪杆拾音设计，远距离拾音。咪杆高度（或长度）≤240mm。</w:t>
              <w:br w:type="textWrapping" w:clear="all"/>
              <w:t xml:space="preserve">2.单元采用非压缩音频传输技术</w:t>
            </w:r>
            <w:r>
              <w:rPr>
                <w:rFonts w:hint="eastAsia" w:ascii="宋体" w:hAnsi="宋体" w:cs="宋体"/>
                <w:color w:val="000000" w:themeColor="text1"/>
                <w:sz w:val="24"/>
                <w:szCs w:val="24"/>
                <w:highlight w:val="none"/>
              </w:rPr>
              <w:t xml:space="preserve">，≥48K采样率，等同或优于80Hz-16KHz带宽音质。</w:t>
              <w:br/>
              <w:t xml:space="preserve">3.单元采用100M网络传输，采用单线接入环形网络。</w:t>
              <w:br/>
              <w:t xml:space="preserve">4.单元通信采用标准TCP/IP协议，且每个单元可支持ping包功能。</w:t>
              <w:br/>
              <w:t xml:space="preserve">5.具有旗形全彩触屏。</w:t>
              <w:br/>
              <w:t xml:space="preserve">6.同声传译支持≥63+1通道，所有主席和代表单元的发言都在0通道收听，1到63通道为收听译员机发言的通道。</w:t>
              <w:br/>
              <w:t xml:space="preserve">7.单元支持 PC 软件话筒控制，支持声控功能。</w:t>
              <w:br/>
              <w:t xml:space="preserve">8.单元具有发言计时和定时发言功能，代表机具有申请发言功能。</w:t>
              <w:br/>
              <w:t xml:space="preserve">9.单元内部具有反馈抑制功能，具有声控功能，声控灵敏度可调。</w:t>
              <w:br/>
              <w:t xml:space="preserve">10.单元支持签到</w:t>
            </w:r>
            <w:r>
              <w:rPr>
                <w:rFonts w:hint="eastAsia" w:ascii="宋体" w:hAnsi="宋体" w:cs="宋体"/>
                <w:color w:val="000000" w:themeColor="text1"/>
                <w:sz w:val="24"/>
                <w:szCs w:val="24"/>
                <w:highlight w:val="none"/>
              </w:rPr>
              <w:t xml:space="preserve">功能，也可以通过PC软件禁止单元签到、控制单元签到等功能。</w:t>
              <w:br/>
              <w:t xml:space="preserve">11.单元支持表决功能，有多种表决模式选择，且选项内容可自定义下发到单元显示。</w:t>
              <w:br/>
              <w:t xml:space="preserve">12.单元支持web页面固件升级功能。</w:t>
              <w:br/>
              <w:t xml:space="preserve">13.单元支持网络修改设备类型（主席/代表）、设置时钟屏保。</w:t>
              <w:br/>
              <w:t xml:space="preserve">14.具备≥1个3.5mm耳机接口，支持收听同声传译通道的声音或用于连接外置麦克风。</w:t>
              <w:br/>
              <w:t xml:space="preserve">15.每个单元支持web管理服务，支持≥四种语言切换、调节话筒ID号、话筒灵敏度。</w:t>
              <w:br/>
              <w:t xml:space="preserve">16.单元支持IP地址嗅探功能，通过PC工具可以查找到未知单元的ID号、IP地址、MAC地址等参数。</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台</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9</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话筒连接主线缆</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≥50米延长线（一公一母）</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根</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一拖二无线手持话筒</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1.频率指标不低于：支持470-510MHz、540-590MHz、640-690MHz、807-830MHz。</w:t>
              <w:br w:type="textWrapping" w:clear="all"/>
              <w:t xml:space="preserve">2.配套有≥1台接收主机和≥2个无线手持话筒。</w:t>
              <w:br w:type="textWrapping" w:clear="all"/>
              <w:t xml:space="preserve">3.采用UHF超高频段双真分集接收，并采用PLL锁相环多信道频率合成技术；V/A显示屏在任何角度观察字体清晰同时显示信道号与工作频率。红外对频功能，能方便、快捷地使发射机与接收机频率同步，超强的抗干扰能</w:t>
            </w:r>
            <w:r>
              <w:rPr>
                <w:rFonts w:hint="eastAsia" w:ascii="宋体" w:hAnsi="宋体" w:cs="宋体"/>
                <w:color w:val="000000" w:themeColor="text1"/>
                <w:sz w:val="24"/>
                <w:szCs w:val="24"/>
                <w:highlight w:val="none"/>
              </w:rPr>
              <w:t xml:space="preserve">力，能有效抑制由外部带来的噪音干扰及同频干扰。</w:t>
              <w:br/>
              <w:t xml:space="preserve">4.带≥8级射频电平显示，≥8级音频电平显示，频道菜单显示，静音显示；具有SCAN 自动扫频功能，使用前按SET功能键自动找一个环境最干净的频点处停下来，此频率作为接收机的使用频率。</w:t>
              <w:br/>
              <w:t xml:space="preserve">5.平衡和非平衡两种选择输出端口，适应不同的设备连接需求。</w:t>
              <w:br/>
              <w:t xml:space="preserve">6.接收机指标：采用二次变频超外差的接收机方式，灵敏度:≥ 12dB μV（80dBS/N)，灵敏度调节范围:12-32dB μV，频率响应不低于:80Hz-18KHz（±3dB）。</w:t>
              <w:br/>
              <w:t xml:space="preserve">7.发射机指标：音头采用动圈式麦克风</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套</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7</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一拖八桌面长咪杆话筒</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1.具有≥1台接收主机、≥8只桌面式鹅颈咪杆话筒；频率范围等同或优于540MHz-590MHz、640MHz-690MHz。</w:t>
              <w:br w:type="textWrapping" w:clear="all"/>
              <w:t xml:space="preserve">2.接收机具有≥8路平衡输出、≥2</w:t>
            </w:r>
            <w:r>
              <w:rPr>
                <w:rFonts w:hint="eastAsia" w:ascii="宋体" w:hAnsi="宋体" w:cs="宋体"/>
                <w:color w:val="000000" w:themeColor="text1"/>
                <w:sz w:val="24"/>
                <w:szCs w:val="24"/>
                <w:highlight w:val="none"/>
              </w:rPr>
              <w:t xml:space="preserve">路非平衡混音输出。</w:t>
              <w:br/>
              <w:t xml:space="preserve">3.具有自动频率扫描功能，可快速地给麦克风找到清晰的频率。</w:t>
              <w:br/>
              <w:t xml:space="preserve">4.支持混响调节功能，比例调节、延时调节、电平调节≥25个档位。</w:t>
              <w:br/>
              <w:t xml:space="preserve">5.支持麦克风均衡器调节功能，≥高、中、低音三种调节档位。</w:t>
              <w:br/>
              <w:t xml:space="preserve">6.接收机具有显示屏，用户可通过显示屏查看设备发射功率强度、音频加密状态、电池电量、频率数值。</w:t>
              <w:br/>
              <w:t xml:space="preserve">7.桌面麦≥1个3.5mm耳机孔，可通过3.5mm耳机孔输入音频。</w:t>
              <w:br/>
              <w:t xml:space="preserve">8.桌面麦支持通过Type-C口进行充电。</w:t>
              <w:br/>
              <w:t xml:space="preserve">9.桌面麦电池孔位≥4个，连续使用时长≥15小时；电池具有扩展性，连续使用时长可扩展至≥60小时。</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套</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8</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桌面话筒电池</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提供WiFi会议单元电池（18650锂电池）≥4颗/包，每颗电池容量为≥2400mAh。</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包</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9</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天线分配器</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1.具有≥2个信号输入接口，支持接收天线信号，实现放大射频信号的效果。</w:t>
              <w:br w:type="textWrapping" w:clear="all"/>
              <w:t xml:space="preserve">2.具有≥8个天线信号输出接口，可将一对天线分频至4台（一拖二）接收机达到扩展无线话筒系统的目的。</w:t>
              <w:br w:type="textWrapping" w:clear="all"/>
              <w:t xml:space="preserve">3.具有≥2个天线级联接口；支持级联分配器，可实现放大射频信号扩展无线话筒天线的目的。</w:t>
              <w:br w:type="textWrapping" w:clear="all"/>
              <w:t xml:space="preserve">4.具有≥4个直流电源接口，支持给4台接收机提供供电。</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套</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10</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话筒天线</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1.射频频率范围等同或优于470～950MHz</w:t>
              <w:br w:type="textWrapping" w:clear="all"/>
              <w:t xml:space="preserve">2.驻波比：≤2.0</w:t>
              <w:br w:type="textWrapping" w:clear="all"/>
              <w:t xml:space="preserve">3.输入阻抗：≤50Ω</w:t>
              <w:br w:type="textWrapping" w:clear="all"/>
              <w:t xml:space="preserve">4.指向性：≥180度指向</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套</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11</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天线放大器</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1.频率范围≥470-950MHZ</w:t>
              <w:br w:type="textWrapping" w:clear="all"/>
              <w:t xml:space="preserve">2.端子：BNC</w:t>
              <w:br w:type="textWrapping" w:clear="all"/>
              <w:t xml:space="preserve">3.噪声：≤3dB</w:t>
              <w:br w:type="textWrapping" w:clear="all"/>
              <w:t xml:space="preserve">4.增益：≥20dB</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套</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center"/>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扩声系统</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主扩音柱</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1.采用≥12只3寸全频喇叭单元。</w:t>
              <w:br w:type="textWrapping" w:clear="all"/>
              <w:t xml:space="preserve">2.箱体采用≥12mm高密度板，CNC加工，耐磨喷漆处理。</w:t>
              <w:br w:type="textWrapping" w:clear="all"/>
              <w:t xml:space="preserve">3.拼接排列扬声器设计。</w:t>
              <w:br w:type="textWrapping" w:clear="all"/>
              <w:t xml:space="preserve">4.额定功率≥400W,峰值功率≥1600W</w:t>
              <w:br w:type="textWrapping" w:clear="all"/>
              <w:t xml:space="preserve">5.最大声压级（额定/峰值）≥124dB/130dB</w:t>
              <w:br w:type="textWrapping" w:clear="all"/>
              <w:t xml:space="preserve">6.标称阻抗≤6Ω</w:t>
              <w:br w:type="textWrapping" w:clear="all"/>
              <w:t xml:space="preserve">7.频率范围等同或优于60Hz-20kHz</w:t>
              <w:br w:type="textWrapping" w:clear="all"/>
              <w:t xml:space="preserve">8.灵敏度≥98dB(1M/1W)</w:t>
              <w:br w:type="textWrapping" w:clear="all"/>
              <w:t xml:space="preserve">(含支架）</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只</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吸顶音箱</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1.采用≥1只6.5寸中低音喇叭单元和≥1只1.5"球顶高音单元的同轴设计方案；</w:t>
              <w:br w:type="textWrapping" w:clear="all"/>
              <w:t xml:space="preserve">2.采用吸顶安装方式，采用铁质网罩内贴防尘网棉。</w:t>
              <w:br w:type="textWrapping" w:clear="all"/>
              <w:t xml:space="preserve">3.分频器优化功率响应及人声部分的中频表现力。</w:t>
              <w:br w:type="textWrapping" w:clear="all"/>
              <w:t xml:space="preserve">4.额定功率≥100W</w:t>
              <w:br w:type="textWrapping" w:clear="all"/>
              <w:t xml:space="preserve">5.阻抗：≤8Ω</w:t>
              <w:br w:type="textWrapping" w:clear="all"/>
              <w:t xml:space="preserve">6.灵敏度(1W/1M)≥92dB</w:t>
              <w:br w:type="textWrapping" w:clear="all"/>
              <w:t xml:space="preserve">7.频率响应(-10dB)等同或优于60Hz-20KHz</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只</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16</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专业功放（主扩）</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1.1U机箱设计，采用D类数字功放设计方案。</w:t>
              <w:br w:type="textWrapping" w:clear="all"/>
              <w:t xml:space="preserve">2.标准XLR输入接口，和LINK输出口。</w:t>
              <w:br w:type="textWrapping" w:clear="all"/>
              <w:t xml:space="preserve">3.电源采用开关电源技术，效率高，有效地抑制电源谐波。</w:t>
              <w:br w:type="textWrapping" w:clear="all"/>
              <w:t xml:space="preserve">4.内置智能削峰限幅器，支持开机软启动，防止开机时向电网吸收大电流，干扰其他用电设备。</w:t>
              <w:br w:type="textWrapping" w:clear="all"/>
              <w:t xml:space="preserve">5.具有：过压保护，欠压保护，过流保护，直流保护，输出短路保护，温控风扇等功能。</w:t>
              <w:br w:type="textWrapping" w:clear="all"/>
              <w:t xml:space="preserve">6.输出功率：立体声@8Ω：≥700W×2；立体声@4Ω：≥1000W×2；桥接@1</w:t>
            </w:r>
            <w:r>
              <w:rPr>
                <w:rFonts w:hint="eastAsia" w:ascii="宋体" w:hAnsi="宋体" w:cs="宋体"/>
                <w:color w:val="000000" w:themeColor="text1"/>
                <w:sz w:val="24"/>
                <w:szCs w:val="24"/>
                <w:highlight w:val="none"/>
              </w:rPr>
              <w:t xml:space="preserve">6Ω：≥1400W；桥接@8Ω：≥2000W</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台</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专业功放（吸顶）</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1.1U机箱设计，采用D类数字功放设计方案。</w:t>
              <w:br w:type="textWrapping" w:clear="all"/>
              <w:t xml:space="preserve">2.标准XLR输入接口，和LINK输出口。</w:t>
              <w:br w:type="textWrapping" w:clear="all"/>
              <w:t xml:space="preserve">3.电源采用开关电源技术，效率高，有效地抑制电源谐波。</w:t>
              <w:br w:type="textWrapping" w:clear="all"/>
              <w:t xml:space="preserve">4.内置智能削峰限幅器，支持开机软启动，防止开机时向电网吸收大电流，干扰其他用电设备。</w:t>
              <w:br w:type="textWrapping" w:clear="all"/>
              <w:t xml:space="preserve">5.具有：过压保护，欠压保护，过流保护，直流保护，输出短路保护，温控风扇等功能。</w:t>
              <w:br w:type="textWrapping" w:clear="all"/>
              <w:t xml:space="preserve">6.输出功率：立体声@8Ω：≥200W×2；立体声@4Ω：≥400W×2。</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台</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数字调音台</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1.支持≥8路麦克风输入兼容6路线路输入接口，支持≥2路立体声输入接口，≥4路RCA输入，话筒接口幻象电源：+48V。</w:t>
              <w:br w:type="textWrapping" w:clear="all"/>
              <w:t xml:space="preserve">2.具有≥2组立体主输出、≥4路编组输出、≥4路辅助输出、≥1组立体声监听输出、≥1个耳机监听输出、≥1个效果输出、≥1组主混音断点插入、≥6个断点插入。</w:t>
              <w:br w:type="textWrapping" w:clear="all"/>
              <w:t xml:space="preserve">3.内置≥24位DSP效果器，提供≥100种预设效果。</w:t>
              <w:br w:type="textWrapping" w:clear="all"/>
              <w:t xml:space="preserve">4.具备≥13个60mm行程的高精密碳膜推子。</w:t>
              <w:br w:type="textWrapping" w:clear="all"/>
              <w:t xml:space="preserve">5.内置USB声卡模块，支持连接电脑进行音乐播放和声音录音；内置MP3播放器，支持≥1个USB接口接U盘播放音乐。</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台</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音频处理器</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1.数字音频处理器支持≥8路平衡式话筒/线路输入通道，采用裸线接口端子，平衡接法；支持≥8路平衡式线路输出，采用裸线接口端子，平衡接法。</w:t>
              <w:br w:type="textWrapping" w:clear="all"/>
              <w:t xml:space="preserve">2.输出通道支持≥12段参量均衡，≥31段图示均衡、延时器、分频器、高低通滤波器、限幅器。</w:t>
              <w:br w:type="textWrapping" w:clear="all"/>
              <w:t xml:space="preserve">3.高性能专业DSP处理器，支持≥32bit/48kHz的声音，支持输入通道48</w:t>
            </w:r>
            <w:r>
              <w:rPr>
                <w:rFonts w:hint="eastAsia" w:ascii="宋体" w:hAnsi="宋体" w:cs="宋体"/>
                <w:color w:val="000000" w:themeColor="text1"/>
                <w:sz w:val="24"/>
                <w:szCs w:val="24"/>
                <w:highlight w:val="none"/>
              </w:rPr>
              <w:t xml:space="preserve">V幻象供电。</w:t>
              <w:br/>
              <w:t xml:space="preserve">4.具有IPS真彩显示屏，支持显示设备网络信息、实时电平、通道静音状态。</w:t>
              <w:br/>
              <w:t xml:space="preserve">5.支持通过APP软件进行操作控制，面板具备USB接口，支持多媒体存储，可进行播放或存储录播。</w:t>
              <w:br/>
              <w:t xml:space="preserve">6.配置双向RS-232接口，可用于控制外部设备；配置RS-485接口，可实现自动摄像跟踪功能。配置≥8通道可编程GPIO控制接口（可自定义输入输出）。</w:t>
              <w:br/>
              <w:t xml:space="preserve">7.支持断电自动保护记忆功能。支持通道拷贝、粘贴、联控功能。管理控制软件可工作在Windows7、8、10等系统环境下。</w:t>
              <w:br/>
              <w:t xml:space="preserve">8.≥8个场景预设，支持场景信息导入、场景信息导出。</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台</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7</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抑制器</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1.高性能DSP处理，≥40-bit DSP处理器（400兆主频），提供≥32-bit/48kHz的声音。</w:t>
              <w:br w:type="textWrapping" w:clear="all"/>
              <w:t xml:space="preserve">2.采用“陷波”+“移频”双方式进行反馈抑制。陷波器提供12固定点+12动态点。高精度移频，范围等同或优于-10Hz到10Hz。</w:t>
              <w:br w:type="textWrapping" w:clear="all"/>
              <w:t xml:space="preserve">3.均衡器支持≥31段图示均衡器和8段参量均衡器。</w:t>
              <w:br w:type="textWrapping" w:clear="all"/>
              <w:t xml:space="preserve">4.支持巴特沃斯，贝塞尔，林克威治-瑞利三种类型及多种倍频程。</w:t>
            </w:r>
            <w:r>
              <w:rPr>
                <w:rFonts w:hint="eastAsia" w:ascii="宋体" w:hAnsi="宋体" w:cs="宋体"/>
                <w:color w:val="000000" w:themeColor="text1"/>
                <w:sz w:val="24"/>
                <w:szCs w:val="24"/>
                <w:highlight w:val="none"/>
              </w:rPr>
              <w:br/>
              <w:t xml:space="preserve">5.具有自动增益功能，声音达到一定峰值自动衰减变小，声音较小则自动增益放大。</w:t>
              <w:br/>
              <w:t xml:space="preserve">6.具有一个IPS真彩显示屏。支持中英文切换显示。</w:t>
              <w:br/>
              <w:t xml:space="preserve">7.具有≥48个陷波器状态LED指示灯实时显示，每通道≥12个静态+≥12个动态陷波器。</w:t>
              <w:br/>
              <w:t xml:space="preserve">8.具有≥双通道直通，一键重置陷波点配置功能。</w:t>
              <w:br/>
              <w:t xml:space="preserve">9.支持≥4个场景切换。</w:t>
              <w:br/>
              <w:t xml:space="preserve">10.支持设备定位功能、断电自动保护记忆功能。</w:t>
              <w:br/>
              <w:t xml:space="preserve">11.输入通道及插座≥2路XLR与TRS多功能座模拟输入；输出通道及插座≥2路XLR公座+≥2路TRS公座模拟输出。</w:t>
              <w:br/>
              <w:t xml:space="preserve">12.支持通过后台管理软件对多台设备进行批量升级。</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台</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8</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电源管理器</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1.支持≥8通道电源时序打开/关闭，每路动作延时时间：≤1秒，支持远程控制（上电+24V直流信号）8通道电源时序打开/关闭—当电源开关处于off位置时有效。支持配置CH1和CH2通道为受控或不受控状态。</w:t>
              <w:br w:type="textWrapping" w:clear="all"/>
              <w:t xml:space="preserve">2.当远程控制有效时同时控制后板ALARM（报警）端口导通以起到级联控制ALARM（报警）功能。</w:t>
              <w:br w:type="textWrapping" w:clear="all"/>
              <w:t xml:space="preserve">3.单个通道最大负载功率≥2200W，所有通道负载总功率≥6000W。输出连接器：多用途电源插座。</w:t>
              <w:br w:type="textWrapping" w:clear="all"/>
              <w:t xml:space="preserve">4.具有一路及以上USB输出接口。</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台</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trHeight w:val="320"/>
        </w:trPr>
        <w:tc>
          <w:tcPr>
            <w:gridSpan w:val="2"/>
            <w:tcBorders>
              <w:top w:val="single" w:color="000000" w:sz="4" w:space="0"/>
              <w:left w:val="single" w:color="000000" w:sz="4" w:space="0"/>
              <w:bottom w:val="single" w:color="000000" w:sz="4" w:space="0"/>
              <w:right w:val="single" w:color="000000" w:sz="4" w:space="0"/>
            </w:tcBorders>
            <w:tcW w:w="1639" w:type="dxa"/>
            <w:vAlign w:val="center"/>
            <w:textDirection w:val="lrTb"/>
            <w:noWrap w:val="false"/>
          </w:tcPr>
          <w:p>
            <w:pPr>
              <w:pStyle w:val="883"/>
              <w:jc w:val="center"/>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视频会议系统</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tcPr>
          <w:p>
            <w:pPr>
              <w:pStyle w:val="883"/>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视频会议管理控制终端</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处理器：配置≥2颗Hygon 7360处理器，每颗CPU核心数≥24核，每颗CPU主频≥2.2GHz，每颗CPU三级缓存≥64MB；</w:t>
              <w:br w:type="textWrapping" w:clear="all"/>
              <w:t xml:space="preserve">操作系统：支持国产操作系统，支持搭载国产麒麟嵌入式操作系统；</w:t>
              <w:br w:type="textWrapping" w:clear="all"/>
              <w:t xml:space="preserve">内存：配置≥128</w:t>
            </w:r>
            <w:r>
              <w:rPr>
                <w:rFonts w:hint="eastAsia" w:ascii="宋体" w:hAnsi="宋体" w:cs="宋体"/>
                <w:color w:val="000000" w:themeColor="text1"/>
                <w:sz w:val="24"/>
                <w:szCs w:val="24"/>
                <w:highlight w:val="none"/>
              </w:rPr>
              <w:t xml:space="preserve">GB DDR4  RDIMM/LRDIMM内存，支持≥32个内存插槽，最大可支持4TB内存容量，支持ECC</w:t>
              <w:br/>
              <w:t xml:space="preserve">网络：配置≥2个1G RJ45网口，支持PCIe标准网卡，支持1G/10G/25G/40G/100G/200G双口、四口等多种规格，支持OCP 3.0网卡，支持NCSI、网络唤醒，网络冗余，负载均衡等网络高级特性；</w:t>
              <w:br/>
              <w:t xml:space="preserve">PCIe扩展：最大支持10个PCIe 4.0 插槽（2个内置专用插槽）,支持直插主板的riser方式扩展8个全高PCIe 4.0标准卡,支持1个直插主板的内置RAID卡PCIe标准插槽，不</w:t>
            </w:r>
            <w:r>
              <w:rPr>
                <w:rFonts w:hint="eastAsia" w:ascii="宋体" w:hAnsi="宋体" w:cs="宋体"/>
                <w:color w:val="000000" w:themeColor="text1"/>
                <w:sz w:val="24"/>
                <w:szCs w:val="24"/>
                <w:highlight w:val="none"/>
              </w:rPr>
              <w:t xml:space="preserve">使用线缆连接，不占用后置PCIe标准卡槽位</w:t>
              <w:br/>
              <w:t xml:space="preserve">GPU扩展： 配置≥2张NV RTX A4000 16GB E4X16 140W 单宽 显卡；≥1张NV T1000 8GB E3x16 50W 单宽 显卡</w:t>
              <w:br/>
              <w:t xml:space="preserve">配置≥1张同步卡；</w:t>
              <w:br/>
              <w:t xml:space="preserve">存储：配置不少于2块480G 2.5 SATA 6Gb R SSD；不少于3块8T 7.2k 3.5 SATA 6Gb硬盘;</w:t>
              <w:br/>
              <w:t xml:space="preserve">风扇：配置≥4个热插拔高速系统风扇，支持动态智能风扇调速的散热系统，风扇支持N+1冗余及热插拔功能；</w:t>
              <w:br/>
              <w:t xml:space="preserve">电源：配置≥2个2000W CRPS标准电源，支持1+1冗余；</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套</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MCU服务器</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1.MCU采用嵌入式一体化设计，标配双电源冗余备份，保证设备7</w:t>
            </w:r>
            <w:r>
              <w:rPr>
                <w:rFonts w:hint="eastAsia" w:ascii="宋体" w:hAnsi="宋体" w:cs="宋体"/>
                <w:color w:val="000000" w:themeColor="text1"/>
                <w:sz w:val="24"/>
                <w:szCs w:val="24"/>
                <w:highlight w:val="none"/>
              </w:rPr>
              <w:t xml:space="preserve">*24小时长时间连续运行。</w:t>
              <w:br/>
              <w:t xml:space="preserve">2.支持ITU-T H.323和IETF SIP、RTC通信标准，支持H.323 终端、SIP终端、RTC终端同时入会。</w:t>
              <w:br/>
              <w:t xml:space="preserve">3.会议速率支持128Kbps－8Mbps。</w:t>
              <w:br/>
              <w:t xml:space="preserve">4.支持H.264 BP、H.264 HP、H.265视频编解码协议。</w:t>
              <w:br/>
              <w:t xml:space="preserve">5.支持G.711、G.722、G.728、G.722.1AnnexC、G.719、MPEG4-AAC LC/LD、Opus等音频协议，可达到20KHz以上的宽频效果。</w:t>
              <w:br/>
              <w:t xml:space="preserve">6.支持4K30、1080p60、1080p30、720p60、720p3</w:t>
            </w:r>
            <w:r>
              <w:rPr>
                <w:rFonts w:hint="eastAsia" w:ascii="宋体" w:hAnsi="宋体" w:cs="宋体"/>
                <w:color w:val="000000" w:themeColor="text1"/>
                <w:sz w:val="24"/>
                <w:szCs w:val="24"/>
                <w:highlight w:val="none"/>
              </w:rPr>
              <w:t xml:space="preserve">0高清图像格式，并向下兼容4CIF、CIF标清图像格式。</w:t>
              <w:br/>
              <w:t xml:space="preserve">7.支持双流功能，在保证主视频4K30fps前提下，辅视频也可以支持到4K30.</w:t>
              <w:br/>
              <w:t xml:space="preserve">8.支持内置统一管理功能，采用B/S架构，通过WEB方式即可完成系统的配置和会议操作。</w:t>
              <w:br/>
              <w:t xml:space="preserve">9.支持云地址簿功能，终端注册入网后，可获取本用户域内的云地址簿，方便查找，本地地址簿只配置一些常用的联系列表。</w:t>
              <w:br/>
              <w:t xml:space="preserve">10.支持多种方式展现用户的个人日程，包括列表、日视图、周视图等方式。可在视图中直接选择时间段创建会议，或者对已有的会议进行操作。支持对个人会议管理，包括待确认的会议、预</w:t>
            </w:r>
            <w:r>
              <w:rPr>
                <w:rFonts w:hint="eastAsia" w:ascii="宋体" w:hAnsi="宋体" w:cs="宋体"/>
                <w:color w:val="000000" w:themeColor="text1"/>
                <w:sz w:val="24"/>
                <w:szCs w:val="24"/>
                <w:highlight w:val="none"/>
              </w:rPr>
              <w:t xml:space="preserve">约的会议、正在召开的会议、不参加的会议。对不同的会议可做不同的操作，例如预约的会议可选择编辑会议、取消会议、马上召开等。</w:t>
              <w:br/>
              <w:t xml:space="preserve">11.支持对正在召开的会议进行操控，包括切换发言人、设置多画面合成、双流、会议点名、会议轮询、一键静音、一键哑音等会议功能。</w:t>
              <w:br/>
              <w:t xml:space="preserve">12. 支持HTTPS、H.235、AES、TLS、SRTP等多种安全标准；</w:t>
              <w:br/>
              <w:t xml:space="preserve">13.具备较强的网络抗丢包能力，在IP网络达到20%丢包率情况下声音清晰、图像流畅、无马赛克，30%的丢包率情况下视频会议仍可进行，80%的丢包率情况下音频基本清晰，不影响会议正常进行。</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台</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会议终端授权</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会议终端授权，接入端口授权</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路</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10</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视频会议终端</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1.采用硬件分体式结构,嵌入式操作系统，非PC架构、非工控机架构。</w:t>
              <w:br w:type="textWrapping" w:clear="all"/>
              <w:t xml:space="preserve">2.支持ITU-T H.323和IETF SIP通信标准，会议速率支持128Kbps－8Mbps。</w:t>
              <w:br w:type="textWrapping" w:clear="all"/>
              <w:t xml:space="preserve">3.支持H.261、H.263、H.264、H.264 High </w:t>
            </w:r>
            <w:r>
              <w:rPr>
                <w:rFonts w:hint="eastAsia" w:ascii="宋体" w:hAnsi="宋体" w:cs="宋体"/>
                <w:color w:val="000000" w:themeColor="text1"/>
                <w:sz w:val="24"/>
                <w:szCs w:val="24"/>
                <w:highlight w:val="none"/>
              </w:rPr>
              <w:t xml:space="preserve">Profile、H.265视频编解码协议，具备较强的兼容性。</w:t>
              <w:br/>
              <w:t xml:space="preserve">4.支持G.711、G.722、G.728、G.722.1AnnexC、G.719、MPEG4-AAC LC/LD、Opus等音频协议，可达到20KHz以上的宽频效果。</w:t>
              <w:br/>
              <w:t xml:space="preserve">5.支持H.239、BFCP双流协议标准。</w:t>
              <w:br/>
              <w:t xml:space="preserve">6.支持在较低的带宽下实现高清视频会议效果，H.265协议时512Kbps带宽下实现1080P60帧图像格式编解码，384Kbps带宽下实现1080P30帧图像格式编解码，256Kbps带宽下实现720P30帧图像格式编解码，最大限度节</w:t>
            </w:r>
            <w:r>
              <w:rPr>
                <w:rFonts w:hint="eastAsia" w:ascii="宋体" w:hAnsi="宋体" w:cs="宋体"/>
                <w:color w:val="000000" w:themeColor="text1"/>
                <w:sz w:val="24"/>
                <w:szCs w:val="24"/>
                <w:highlight w:val="none"/>
              </w:rPr>
              <w:t xml:space="preserve">省用户网络资源。</w:t>
              <w:br/>
              <w:t xml:space="preserve">7.支持不少于2路高清视频输入接口、2路高清输出接口。</w:t>
              <w:br/>
              <w:t xml:space="preserve">8.支持不少于3进3出独立的音频输入输出接口，支持HDMI伴随音频输入输出功能。</w:t>
              <w:br/>
              <w:t xml:space="preserve">9.终端具备OLED显示屏，可实时显示设备及运行状态，如启动、升级、休眠、网络异常、IP地址及号码等信息。</w:t>
              <w:br/>
              <w:t xml:space="preserve">10.终端具备USB接口，支持通过USB接口插入U盘实现配置文件及地址簿的导入导出，以及终端U盘本地录像等功能。</w:t>
              <w:br/>
              <w:t xml:space="preserve">11.系统具有字幕叠加功能，可通过终端控制系统在本地图像上不同位置设置叠加中文会场名、横幅、滚动字幕。</w:t>
              <w:br/>
              <w:t xml:space="preserve">12.支持防火墙和NAT穿越。</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台</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视频会议摄像机</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1.支持壁装、三脚架安装或吊顶安装等多种安装方式，可按用户需求进行安装。</w:t>
              <w:br w:type="textWrapping" w:clear="all"/>
              <w:t xml:space="preserve">2.镜头图像传感器采用不小于1/1.9" 图像传感器，支持1</w:t>
            </w:r>
            <w:r>
              <w:rPr>
                <w:rFonts w:hint="eastAsia" w:ascii="宋体" w:hAnsi="宋体" w:cs="宋体"/>
                <w:color w:val="000000" w:themeColor="text1"/>
                <w:sz w:val="24"/>
                <w:szCs w:val="24"/>
                <w:highlight w:val="none"/>
              </w:rPr>
              <w:t xml:space="preserve">080p30、1080p25、720p60、720p50等高清信号输出。</w:t>
              <w:br/>
              <w:t xml:space="preserve">3.支持不小于30倍光学变焦。</w:t>
              <w:br/>
              <w:t xml:space="preserve">4.视频输出接口具备SDI、DVI、HDBaseT接口。</w:t>
              <w:br/>
              <w:t xml:space="preserve">5.支持RS422控制接口，支持标准VISCA协议，支持摄像机通过控制口RS422实现菊花链控制，菊花链控制摄像机不小于7个。</w:t>
              <w:br/>
              <w:t xml:space="preserve">6.支持中文OSD菜单，可在OSD中对摄像机进行设置。</w:t>
              <w:br/>
              <w:t xml:space="preserve">7.水平转动范围：≥ ±160°，垂直转动范围：≥ -90°～50°</w:t>
              <w:br/>
              <w:t xml:space="preserve">8.支持自带显示屏，可方便显示视频输出分辨率。</w:t>
              <w:br/>
              <w:t xml:space="preserve">9.支持终端遥控器通过摄像机反向控制会议终端。</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台</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cantSplit/>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电视墙</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1.采用19英寸标准机架式结构，嵌入式、模块化设计，可根据业务所需配置相应的解码模块，实现高密度视频解码输出。</w:t>
              <w:br w:type="textWrapping" w:clear="all"/>
              <w:t xml:space="preserve">2.支持双电源、双网口冗余备份，支持设备长时间稳定运行。</w:t>
              <w:br w:type="textWrapping" w:clear="all"/>
              <w:t xml:space="preserve">3.支持远程网络连接MCU方式实现电视墙解码输出，即MCU和电视墙</w:t>
            </w:r>
            <w:r>
              <w:rPr>
                <w:rFonts w:hint="eastAsia" w:ascii="宋体" w:hAnsi="宋体" w:cs="宋体"/>
                <w:color w:val="000000" w:themeColor="text1"/>
                <w:sz w:val="24"/>
                <w:szCs w:val="24"/>
                <w:highlight w:val="none"/>
              </w:rPr>
              <w:t xml:space="preserve">服务器之间距离不受限制。</w:t>
              <w:br/>
              <w:t xml:space="preserve">4.支持H.264 BP、H.264 HP、H.265视频解码协议。</w:t>
              <w:br/>
              <w:t xml:space="preserve">5.支持G.711、G.722、G.728、G.722.1AnnexC、G.719、MPEG4-AAC LC/LD等音频协议。</w:t>
              <w:br/>
              <w:t xml:space="preserve">6.支持4K30fps、1080p60、1080p30、720p60、720p30高清图像格式，并向下兼容4CIF、CIF标清图像格式。</w:t>
              <w:br/>
              <w:t xml:space="preserve">7.单台电视墙服务器支持8个解码卡插槽，最大支持16路高清图像输出。</w:t>
              <w:br/>
              <w:t xml:space="preserve">8.电视墙解码卡支持HDBaseT/HDMI等多种视频接口可选。本次要求配置10</w:t>
            </w:r>
            <w:r>
              <w:rPr>
                <w:rFonts w:hint="eastAsia" w:ascii="宋体" w:hAnsi="宋体" w:cs="宋体"/>
                <w:color w:val="000000" w:themeColor="text1"/>
                <w:sz w:val="24"/>
                <w:szCs w:val="24"/>
                <w:highlight w:val="none"/>
              </w:rPr>
              <w:t xml:space="preserve">路1080p60fps高清输出，视频输出接口为HDMI</w:t>
              <w:br/>
              <w:t xml:space="preserve">9.支持在MCU中进行电视墙集群化管理、 支持解码板卡向资源池进行注册并统一管理。</w:t>
              <w:br/>
              <w:t xml:space="preserve">10.支持电视墙通道画面合成，可以在无需占用MCU画面合成资源情况下支持4路高清图像合成输出。</w:t>
              <w:br/>
              <w:t xml:space="preserve">11.支持虚拟电视墙， 按照用户拼接大屏实际拼接模式进行设置， 保存多个电视墙预案， 同时可以针对电视墙通道设置自主多画面，可设置不少于25种多画面风格，扩展电视墙画面显示的路数。</w:t>
              <w:br/>
              <w:t xml:space="preserve">12.支持电视墙通道叠加台标， 输出图像的同时， 在图像上叠加台标， 用于标识输出图像的内容。</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台</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037" w:type="auto"/>
            <w:vAlign w:val="center"/>
            <w:vMerge w:val="restart"/>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16路输出</w:t>
            </w:r>
            <w:r>
              <w:rPr>
                <w:color w:val="000000" w:themeColor="text1"/>
                <w:highlight w:val="none"/>
              </w:rPr>
            </w:r>
          </w:p>
        </w:tc>
      </w:tr>
      <w:tr>
        <w:trPr>
          <w:cantSplit/>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7</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电视墙输出板卡</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超清解码单元,2路高清视频解码输出,2路音频输出，2个HDMI接口</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块</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8</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037" w:type="auto"/>
            <w:vAlign w:val="center"/>
            <w:vMerge w:val="continue"/>
            <w:textDirection w:val="lrTb"/>
            <w:noWrap w:val="false"/>
          </w:tcPr>
          <w:p>
            <w:pPr>
              <w:pStyle w:val="883"/>
              <w:jc w:val="center"/>
              <w:rPr>
                <w:rFonts w:hint="eastAsia" w:ascii="宋体" w:hAnsi="宋体" w:cs="宋体"/>
                <w:color w:val="0d0d0d"/>
                <w:sz w:val="24"/>
                <w:szCs w:val="24"/>
              </w:rPr>
            </w:pPr>
            <w:r>
              <w:rPr>
                <w:rFonts w:hint="eastAsia" w:ascii="宋体" w:hAnsi="宋体" w:cs="宋体"/>
                <w:color w:val="0d0d0d"/>
                <w:sz w:val="24"/>
                <w:szCs w:val="24"/>
              </w:rPr>
            </w:r>
            <w:r/>
          </w:p>
        </w:tc>
      </w:tr>
      <w:tr>
        <w:trPr>
          <w:trHeight w:val="320"/>
        </w:trPr>
        <w:tc>
          <w:tcPr>
            <w:gridSpan w:val="2"/>
            <w:tcBorders>
              <w:top w:val="single" w:color="000000" w:sz="4" w:space="0"/>
              <w:left w:val="single" w:color="000000" w:sz="4" w:space="0"/>
              <w:bottom w:val="single" w:color="000000" w:sz="4" w:space="0"/>
              <w:right w:val="single" w:color="000000" w:sz="4" w:space="0"/>
            </w:tcBorders>
            <w:tcW w:w="1639" w:type="dxa"/>
            <w:vAlign w:val="center"/>
            <w:textDirection w:val="lrTb"/>
            <w:noWrap w:val="false"/>
          </w:tcPr>
          <w:p>
            <w:pPr>
              <w:pStyle w:val="883"/>
              <w:jc w:val="center"/>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中控系统</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中控管理控制器</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1.支持国产操作系统，包括麒麟系统、鸿蒙系统；软件釆用国产中文设计、中文编辑环境、中文操作。</w:t>
              <w:br w:type="textWrapping" w:clear="all"/>
              <w:t xml:space="preserve">2.ARM 64位内嵌式处理器，主频≥1.8GHz</w:t>
            </w:r>
            <w:r>
              <w:rPr>
                <w:rFonts w:hint="eastAsia" w:ascii="宋体" w:hAnsi="宋体" w:cs="宋体"/>
                <w:color w:val="000000" w:themeColor="text1"/>
                <w:sz w:val="24"/>
                <w:szCs w:val="24"/>
                <w:highlight w:val="none"/>
              </w:rPr>
              <w:t xml:space="preserve">的；内存≥3G；存储内存≥32G；</w:t>
              <w:br/>
              <w:t xml:space="preserve">3.具备4个多功能串口（RS232/485/422），具备4个IR红外接口，具备4个I/O接口，具备5个弱电继电器，具备2个以太网网口，具备2路24v输出供电。</w:t>
              <w:br/>
              <w:t xml:space="preserve">4.支持B/S架构，支持B/S端编程和操控，无需安装软件，直接通过浏览器访问控制主机IP地址进行编程和操控。支持PC/linux/安卓系统/苹果IOS系统/国产系统操控和管理。</w:t>
              <w:br/>
              <w:t xml:space="preserve">5.支持对输入源图像进行裁剪，即可支持输入像素点进行精确裁剪，也可支持鼠标拖拽方式进行可视化裁剪。</w:t>
              <w:br/>
              <w:t xml:space="preserve">6.支持添加和管控多种设备，支持视频</w:t>
            </w:r>
            <w:r>
              <w:rPr>
                <w:rFonts w:hint="eastAsia" w:ascii="宋体" w:hAnsi="宋体" w:cs="宋体"/>
                <w:color w:val="000000" w:themeColor="text1"/>
                <w:sz w:val="24"/>
                <w:szCs w:val="24"/>
                <w:highlight w:val="none"/>
              </w:rPr>
              <w:t xml:space="preserve">设备、控制网关、音频设备、环境设备管理、IPC、IP电源控制器，对设备进行统一集中管控；支持拼接器叠加、漫游、开窗、切换、场景调用控制。</w:t>
              <w:br/>
              <w:t xml:space="preserve">7.支持摄像机云台控制，可实时监看摄像机信号，支持对前端设备的动作进行遥控，包括摄像机方向控制、变倍调焦控制、保存调用预置位功能。</w:t>
              <w:br/>
              <w:t xml:space="preserve">8.可视化音频控制，可以控制音量大小、切换静音模式、音频通道切换、实时声压大小展示、预案保存与调用；支持对设备电源进行控制。</w:t>
              <w:br/>
              <w:t xml:space="preserve">9.支持电动窗帘电机控制，包括一键开启和关闭。</w:t>
              <w:br/>
              <w:t xml:space="preserve">10.采用国产化自主可控平台，主要零部件采用国产化自主可控品牌产品。</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台</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中控控制器</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内存容量≥128GB；</w:t>
              <w:br w:type="textWrapping" w:clear="all"/>
              <w:t xml:space="preserve">运行内存≥8GB；</w:t>
              <w:br w:type="textWrapping" w:clear="all"/>
              <w:t xml:space="preserve">屏幕尺寸≥11.5英寸；</w:t>
              <w:br w:type="textWrapping" w:clear="all"/>
              <w:t xml:space="preserve">分辨率≥2200*1440；</w:t>
              <w:br w:type="textWrapping" w:clear="all"/>
              <w:t xml:space="preserve">支持鸿蒙系统</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台</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无线吸顶AP</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1.支持802.11ax标准，支持2.4GHz/5GHz双频段同时工作</w:t>
              <w:br w:type="textWrapping" w:clear="all"/>
              <w:t xml:space="preserve">2.整机最大支持4条空间流，整机速率≥2.9Gbps，最大用户数≤256，</w:t>
            </w:r>
            <w:r>
              <w:rPr>
                <w:rFonts w:hint="eastAsia" w:ascii="宋体" w:hAnsi="宋体" w:cs="宋体"/>
                <w:b/>
                <w:color w:val="000000" w:themeColor="text1"/>
                <w:sz w:val="24"/>
                <w:szCs w:val="24"/>
                <w:highlight w:val="none"/>
              </w:rPr>
              <w:t xml:space="preserve">提供官网截图证明</w:t>
            </w:r>
            <w:r>
              <w:rPr>
                <w:rFonts w:hint="eastAsia" w:ascii="宋体" w:hAnsi="宋体" w:cs="宋体"/>
                <w:b/>
                <w:color w:val="000000" w:themeColor="text1"/>
                <w:sz w:val="24"/>
                <w:szCs w:val="24"/>
                <w:highlight w:val="none"/>
              </w:rPr>
              <w:t xml:space="preserve">（否则作无效投标文件）</w:t>
            </w:r>
            <w:r>
              <w:rPr>
                <w:rFonts w:hint="eastAsia" w:ascii="宋体" w:hAnsi="宋体" w:cs="宋体"/>
                <w:color w:val="000000" w:themeColor="text1"/>
                <w:sz w:val="24"/>
                <w:szCs w:val="24"/>
                <w:highlight w:val="none"/>
              </w:rPr>
              <w:br w:type="textWrapping" w:clear="all"/>
              <w:t xml:space="preserve">3.内置智能天线</w:t>
              <w:br w:type="textWrapping" w:clear="all"/>
              <w:t xml:space="preserve">4.支持云管理模式，在不更换硬件的情况下，可支持切换到云模式；</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台</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trHeight w:val="320"/>
        </w:trPr>
        <w:tc>
          <w:tcPr>
            <w:gridSpan w:val="2"/>
            <w:tcBorders>
              <w:top w:val="single" w:color="000000" w:sz="4" w:space="0"/>
              <w:left w:val="single" w:color="000000" w:sz="4" w:space="0"/>
              <w:bottom w:val="single" w:color="000000" w:sz="4" w:space="0"/>
              <w:right w:val="single" w:color="000000" w:sz="4" w:space="0"/>
            </w:tcBorders>
            <w:tcW w:w="1639" w:type="dxa"/>
            <w:vAlign w:val="center"/>
            <w:textDirection w:val="lrTb"/>
            <w:noWrap w:val="false"/>
          </w:tcPr>
          <w:p>
            <w:pPr>
              <w:pStyle w:val="883"/>
              <w:jc w:val="center"/>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辅材</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HDMI线缆</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HDMI线缆，支持4K@60传输，1.5米</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根</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30</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HDMI线缆</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HDMI线缆，支持4K@60传输，3米</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根</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40</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HDMI线缆</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HDMI线缆，支持4K@60传输，5米</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根</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音箱线</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YXB 2X1.5</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米</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600</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音频线</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RAVPE 2X0.5</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米</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200</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音频连接线</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1.8米音频连接线：卡侬头（母）-卡侬头（公）</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根</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20</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二</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广播系统</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广播系统管理控制端</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1.工控机箱设计，采用≥17.3英寸电容触摸屏，支持部署银河麒麟桌面操作系统(兆芯版)V1</w:t>
            </w:r>
            <w:r>
              <w:rPr>
                <w:rFonts w:hint="eastAsia" w:ascii="宋体" w:hAnsi="宋体" w:cs="宋体"/>
                <w:color w:val="000000" w:themeColor="text1"/>
                <w:sz w:val="24"/>
                <w:szCs w:val="24"/>
                <w:highlight w:val="none"/>
              </w:rPr>
              <w:t xml:space="preserve">0。</w:t>
              <w:br/>
              <w:t xml:space="preserve">2.配置国产处理器要求满足≥8核处理器（参考兆芯KX-U6780A处理器）；≥1×256G M.2固态硬盘；≥1×8G DDR4内存。</w:t>
              <w:br/>
              <w:t xml:space="preserve">3.抽拉式键盘鼠标设计。</w:t>
              <w:br/>
              <w:t xml:space="preserve">4.具有≥1×VGA、≥1×DVI、≥2×LAN、≥6×COM RS232（COM3/4支持RS232/RS485）、≥4×USB2.0、≥4xUSB3.0、≥1×PS/2、≥1×MIC IN、≥1×LINE OUT、≥1×LINE IN、≥1×TRIGGER INPUT接口。</w:t>
              <w:br/>
              <w:t xml:space="preserve">5.具有一路短路触发开机运行接口，用于外部设备定时驱动开机运行。</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台</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消防采集器</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1.标准机柜式设计，1U高度，高档拉丝铝合金面板，工艺考究，尽显高档气质。</w:t>
              <w:br w:type="textWrapping" w:clear="all"/>
              <w:t xml:space="preserve">2.设备采用嵌入式计算机技术和DSP音频处理技术设计。</w:t>
              <w:br w:type="textWrapping" w:clear="all"/>
              <w:t xml:space="preserve">3.16路消防短路信</w:t>
            </w:r>
            <w:r>
              <w:rPr>
                <w:rFonts w:hint="eastAsia" w:ascii="宋体" w:hAnsi="宋体" w:cs="宋体"/>
                <w:color w:val="000000" w:themeColor="text1"/>
                <w:sz w:val="24"/>
                <w:szCs w:val="24"/>
                <w:highlight w:val="none"/>
              </w:rPr>
              <w:t xml:space="preserve">号输入，可无限扩展输入接口，方便更大的系统使用。</w:t>
              <w:br/>
              <w:t xml:space="preserve">4.面板支持一键取消任务。</w:t>
              <w:br/>
              <w:t xml:space="preserve">5.标配网络接口，全速率连接最高可达100M。</w:t>
              <w:br/>
              <w:t xml:space="preserve">6.支持广播系统对终端进行远程固件升级，无需到终端本地升级，减轻维护人员工作强度。</w:t>
              <w:br/>
              <w:t xml:space="preserve">7.网络接口：标准RJ45输入</w:t>
              <w:br/>
              <w:t xml:space="preserve">8.传输速率：100Mbps</w:t>
              <w:br/>
              <w:t xml:space="preserve">9.支持协议：TCP/IP、UDP、IGMP（组播）</w:t>
              <w:br/>
              <w:t xml:space="preserve">10.短路接口：工业标准压线接线端子</w:t>
              <w:br/>
              <w:t xml:space="preserve">技术参数：</w:t>
              <w:br/>
              <w:t xml:space="preserve">1.软件内嵌于消防语音系统主机设备，支撑设备各项基本功能的运行。</w:t>
              <w:br/>
              <w:t xml:space="preserve">2.支持分区监听、设备状态实时查看。</w:t>
              <w:br/>
              <w:t xml:space="preserve">3.实现对设备的控制、信号切换。</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台</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IP功放</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1.设备采用标准≥19英寸机架设计，带有LCD显示屏。</w:t>
              <w:br w:type="textWrapping" w:clear="all"/>
              <w:t xml:space="preserve">2.内置≥1路网络硬件音频解码模块。</w:t>
              <w:br w:type="textWrapping" w:clear="all"/>
              <w:t xml:space="preserve">3.支持≥1路线路输入和≥1路话筒输入接口，可独立调节音</w:t>
            </w:r>
            <w:r>
              <w:rPr>
                <w:rFonts w:hint="eastAsia" w:ascii="宋体" w:hAnsi="宋体" w:cs="宋体"/>
                <w:color w:val="000000" w:themeColor="text1"/>
                <w:sz w:val="24"/>
                <w:szCs w:val="24"/>
                <w:highlight w:val="none"/>
              </w:rPr>
              <w:t xml:space="preserve">量。</w:t>
              <w:br/>
              <w:t xml:space="preserve">4.支持高低音调节电位器控制。</w:t>
              <w:br/>
              <w:t xml:space="preserve">5.具有≥1路EMC输入接口，具有最高优先级。</w:t>
              <w:br/>
              <w:t xml:space="preserve">6.具有≥1路音频输出接口。</w:t>
              <w:br/>
              <w:t xml:space="preserve">7.具有≥1路三线制强切输出接口，无需强切电源。</w:t>
              <w:br/>
              <w:t xml:space="preserve">8.集成数字功放，功率≥240W；支持定压方式输出。</w:t>
              <w:br/>
              <w:t xml:space="preserve">9.支持通过后台软件对终端进行远程固件升级。</w:t>
              <w:br/>
              <w:t xml:space="preserve">10.具有≥1路RJ45网络接口，≥100Mbps传输速率。</w:t>
              <w:br/>
              <w:t xml:space="preserve">11.自带≥1路≥100V定压功率备份输入接口，可组成一主多备、多主一备、多主多备的公共打铃系统。</w:t>
              <w:br/>
              <w:t xml:space="preserve">12.内置主/备切换检测模块，断网断电以及本机故障时≤0.3秒内切换到备份功率输入。</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台</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天花喇叭</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1．额定功率（100V）：3W,6W</w:t>
              <w:br w:type="textWrapping" w:clear="all"/>
              <w:t xml:space="preserve">2．额定功率（70V）：1.5W,3W</w:t>
              <w:br w:type="textWrapping" w:clear="all"/>
              <w:t xml:space="preserve">3．灵敏度≥89dB</w:t>
              <w:br w:type="textWrapping" w:clear="all"/>
              <w:t xml:space="preserve">4．频率响应（-10dB）：100Hz-16KHz</w:t>
              <w:br w:type="textWrapping" w:clear="all"/>
              <w:t xml:space="preserve">5．喇叭单元：5"x1</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只</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19</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音频连接线</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1.8米音频连接线：莲花（RCA）-莲花（RCA）</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根</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音频连接线</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1.8米音频连接线：3.5（耳机插头）-双莲花（RCA）</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根</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三</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门禁系统</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jc w:val="center"/>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r>
            <w:r>
              <w:rPr>
                <w:color w:val="000000" w:themeColor="text1"/>
                <w:highlight w:val="none"/>
              </w:rP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人脸门禁</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屏幕参数：7英寸触摸显示屏，屏幕比例9:16，屏幕分辨率600*1024；</w:t>
              <w:br w:type="textWrapping" w:clear="all"/>
              <w:t xml:space="preserve">摄像头参数：采用宽动态200万双目摄像头；</w:t>
              <w:br w:type="textWrapping" w:clear="all"/>
              <w:t xml:space="preserve">认证方式：支持人脸、刷卡（IC卡、手机NFC）、密码认证方式；</w:t>
              <w:br w:type="textWrapping" w:clear="all"/>
              <w:t xml:space="preserve">人脸验证：采用深度学习算法，支持人脸比对功能；支持照片、视频防假；1:N人脸比对速度≤0.2s，人脸验证准确率≥99%；</w:t>
              <w:br w:type="textWrapping" w:clear="all"/>
              <w:t xml:space="preserve">存储容量：本地支持6000人脸库、1万张卡，5万条事件记录；</w:t>
              <w:br w:type="textWrapping" w:clear="all"/>
              <w:t xml:space="preserve">通信方式及网络协议：有线网络；</w:t>
            </w:r>
            <w:r>
              <w:rPr>
                <w:color w:val="000000" w:themeColor="text1"/>
                <w:highlight w:val="none"/>
              </w:rPr>
            </w:r>
          </w:p>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符合国密算法；</w:t>
              <w:br w:type="textWrapping" w:clear="all"/>
              <w:t xml:space="preserve">认证结果显示可配：支持认证成功界面的“照片”、“姓名”、“工号”信息可配置是否显示；</w:t>
              <w:br w:type="textWrapping" w:clear="all"/>
              <w:t xml:space="preserve">外接安全模块：支持通过RS485接入门控安全模块，防止主机被恶意破坏的情况下，门锁被打开；</w:t>
              <w:br w:type="textWrapping" w:clear="all"/>
              <w:t xml:space="preserve">外接读卡器：支持通过RS485或韦根（W26/W34）接口外接1个读卡器，同时可实现单门反潜回功能；</w:t>
              <w:br w:type="textWrapping" w:clear="all"/>
              <w:t xml:space="preserve">门禁计划模板：支持255组计划模板管理，128个周计划，1024个假日计划；支持常开、常闭时段管理；</w:t>
              <w:br w:type="textWrapping" w:clear="all"/>
              <w:t xml:space="preserve">组合认证：刷卡+密码、刷卡+人脸、人脸+密码等组合认证方式；</w:t>
              <w:br w:type="textWrapping" w:clear="all"/>
            </w:r>
            <w:r>
              <w:rPr>
                <w:rFonts w:hint="eastAsia" w:ascii="宋体" w:hAnsi="宋体" w:cs="宋体"/>
                <w:color w:val="000000" w:themeColor="text1"/>
                <w:sz w:val="24"/>
                <w:szCs w:val="24"/>
                <w:highlight w:val="none"/>
              </w:rPr>
              <w:t xml:space="preserve">多重认证：支持多个人员认证（人脸、刷卡等）通过后才开门；</w:t>
              <w:br/>
              <w:t xml:space="preserve">报警功能：设备支持防拆报警、门被外力开启报警、胁迫卡和胁迫密码报警；</w:t>
              <w:br/>
              <w:t xml:space="preserve">事件上传：在线状态下将设备认证结果及联动抓拍照片实时上传给平台，支持断网续传功能，设备离线状态下产生事件在与平台连接后会重新上传；</w:t>
              <w:br/>
              <w:t xml:space="preserve">单机使用：设备可进行本地管理，支持本地注册人脸、查询、设置、管理设备参数等。</w:t>
              <w:br/>
              <w:br/>
              <w:t xml:space="preserve">尺寸：7英寸</w:t>
              <w:br/>
              <w:t xml:space="preserve">分辨率：600×1024</w:t>
              <w:br/>
              <w:t xml:space="preserve">类型：LCD</w:t>
              <w:br/>
              <w:t xml:space="preserve">操作方式：触摸</w:t>
              <w:br/>
              <w:t xml:space="preserve">镜头数量：2个</w:t>
              <w:br/>
              <w:t xml:space="preserve">像素：200W</w:t>
              <w:br/>
              <w:t xml:space="preserve">FOV：对角视场角=72°；水平视场角=39°；垂直视场角=65°</w:t>
              <w:br/>
              <w:t xml:space="preserve">有</w:t>
            </w:r>
            <w:r>
              <w:rPr>
                <w:rFonts w:hint="eastAsia" w:ascii="宋体" w:hAnsi="宋体" w:cs="宋体"/>
                <w:color w:val="000000" w:themeColor="text1"/>
                <w:sz w:val="24"/>
                <w:szCs w:val="24"/>
                <w:highlight w:val="none"/>
              </w:rPr>
              <w:t xml:space="preserve">线网络：10/100Mbps自适应</w:t>
              <w:br/>
              <w:t xml:space="preserve">网口：1个</w:t>
              <w:br/>
              <w:t xml:space="preserve">门锁输出：1个</w:t>
              <w:br/>
              <w:t xml:space="preserve">开门按钮：1个</w:t>
              <w:br/>
              <w:t xml:space="preserve">门磁输入：1个</w:t>
              <w:br/>
              <w:t xml:space="preserve">IO输入：2个</w:t>
              <w:br/>
              <w:t xml:space="preserve">IO输出：1个</w:t>
              <w:br/>
              <w:t xml:space="preserve">RS-485：1个</w:t>
              <w:br/>
              <w:t xml:space="preserve">韦根：1个</w:t>
              <w:br/>
              <w:t xml:space="preserve">USB：1个</w:t>
              <w:br/>
              <w:t xml:space="preserve">电源接口：1个</w:t>
              <w:br/>
              <w:t xml:space="preserve">防拆：支持</w:t>
              <w:br/>
              <w:t xml:space="preserve">用户容量：6000</w:t>
              <w:br/>
              <w:t xml:space="preserve">人脸容量：6000</w:t>
              <w:br/>
              <w:t xml:space="preserve">卡片容量：10000</w:t>
              <w:br/>
              <w:t xml:space="preserve">事件容量：50000</w:t>
              <w:br/>
              <w:t xml:space="preserve">密码容量：6000</w:t>
              <w:br/>
              <w:t xml:space="preserve">读卡类型：M1卡;CPU卡序列号</w:t>
              <w:br/>
              <w:t xml:space="preserve">通信频率：13.56 MHz</w:t>
              <w:br/>
              <w:t xml:space="preserve">补光灯：红外补光</w:t>
              <w:br/>
              <w:t xml:space="preserve">功耗：8W</w:t>
              <w:br/>
              <w:t xml:space="preserve">电源：DC12V/1A</w:t>
              <w:br/>
              <w:t xml:space="preserve">工作温度：-10℃~50℃</w:t>
              <w:br/>
              <w:t xml:space="preserve">工作湿度：0~90%</w:t>
              <w:br/>
              <w:t xml:space="preserve">按键类型：触摸按键</w:t>
              <w:br/>
              <w:t xml:space="preserve">防爆等级：IK04</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台</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单门磁力锁</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锁体主体颜色为：氧化银</w:t>
              <w:br w:type="textWrapping" w:clear="all"/>
              <w:t xml:space="preserve">最大静态直线拉力：280kg±10%</w:t>
              <w:br w:type="textWrapping" w:clear="all"/>
              <w:t xml:space="preserve">断电开锁，满足消防要求</w:t>
              <w:br w:type="textWrapping" w:clear="all"/>
              <w:t xml:space="preserve">具有电锁状态指示灯（红灯为开锁状态， 绿灯为上锁状态）</w:t>
              <w:br w:type="textWrapping" w:clear="all"/>
              <w:t xml:space="preserve">支持锁状态侦测信号(门磁)输出：NO/NC/COM接点</w:t>
              <w:br w:type="textWrapping" w:clear="all"/>
              <w:t xml:space="preserve">工作电压：12V/430mA 或 24V/215mA</w:t>
              <w:br w:type="textWrapping" w:clear="all"/>
              <w:t xml:space="preserve">使用环境：室内（不防水）</w:t>
              <w:br w:type="textWrapping" w:clear="all"/>
              <w:t xml:space="preserve">适用门型：木门、玻璃门、金属门、防火门</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套</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单门磁力锁支架</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锁体主体颜色为：氧化银</w:t>
              <w:br w:type="textWrapping" w:clear="all"/>
              <w:t xml:space="preserve">最大静态直线拉力：280kg±10%</w:t>
              <w:br w:type="textWrapping" w:clear="all"/>
              <w:t xml:space="preserve">断电开锁，满足消防要求</w:t>
              <w:br w:type="textWrapping" w:clear="all"/>
              <w:t xml:space="preserve">具有电锁状态指示灯（红灯为开锁状态， 绿灯为上锁状态）</w:t>
              <w:br w:type="textWrapping" w:clear="all"/>
              <w:t xml:space="preserve">支持锁状态侦测信号(门磁)输出：NO/NC/COM接点</w:t>
              <w:br w:type="textWrapping" w:clear="all"/>
              <w:t xml:space="preserve">工作电压：12V/430mA 或 24V/215mA</w:t>
              <w:br w:type="textWrapping" w:clear="all"/>
              <w:t xml:space="preserve">使用环境：室内（不防水）</w:t>
              <w:br w:type="textWrapping" w:clear="all"/>
              <w:t xml:space="preserve">适用门型：木门、玻璃门、金属门、防火门</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套</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出门按钮</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结构：塑料面板；</w:t>
              <w:br w:type="textWrapping" w:clear="all"/>
              <w:t xml:space="preserve">性能：最大耐电流1.25A，电压250V；</w:t>
              <w:br w:type="textWrapping" w:clear="all"/>
              <w:t xml:space="preserve">输出：常开；</w:t>
              <w:br w:type="textWrapping" w:clear="all"/>
              <w:t xml:space="preserve">类型：适合埋入式电器盒使用；</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套</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人脸门禁授权机</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1、不低于3.97英寸触摸显示屏，屏幕分辨率不低于800*480；</w:t>
              <w:br w:type="textWrapping" w:clear="all"/>
              <w:t xml:space="preserve">2、采用不低于200万双目摄像头，有照片视频防假功能；</w:t>
              <w:br w:type="textWrapping" w:clear="all"/>
              <w:t xml:space="preserve">3、支持人脸采集、卡片录入（ID/IC/普通CPU/国密CPU卡/二三代身份证序列号）；</w:t>
              <w:br w:type="textWrapping" w:clear="all"/>
              <w:t xml:space="preserve">4、支持有线网络、无线WiFi、USB口通信；</w:t>
              <w:br w:type="textWrapping" w:clear="all"/>
              <w:t xml:space="preserve">5、支持在线采集，通过网络协议或USB口对接到平台，平台进行在线采集，采集信息实时上传；</w:t>
              <w:br w:type="textWrapping" w:clear="all"/>
              <w:t xml:space="preserve">6、工作电压：DC12V/1.5A (自带电源适配器）；</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套</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四</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监控系统</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jc w:val="center"/>
              <w:rPr>
                <w:rFonts w:hint="eastAsia"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监控系统属于</w:t>
            </w:r>
            <w:r>
              <w:rPr>
                <w:rFonts w:hint="eastAsia" w:ascii="宋体"/>
                <w:bCs/>
                <w:color w:val="000000" w:themeColor="text1"/>
                <w:sz w:val="24"/>
                <w:szCs w:val="24"/>
                <w:highlight w:val="none"/>
              </w:rPr>
              <w:t xml:space="preserve">政府强制采购节能产品，只能选择具有国家确定的认证机构出具的、处于有效期之内的节能产品认证证书的产品进行报价。</w:t>
            </w:r>
            <w:r>
              <w:rPr>
                <w:rFonts w:hint="eastAsia" w:ascii="宋体"/>
                <w:bCs/>
                <w:color w:val="000000" w:themeColor="text1"/>
                <w:sz w:val="24"/>
                <w:szCs w:val="24"/>
                <w:highlight w:val="none"/>
              </w:rPr>
              <w:t xml:space="preserve">（须提供证明材料，否则作无效投标文件）</w:t>
            </w:r>
            <w:r>
              <w:rPr>
                <w:rFonts w:hint="eastAsia" w:ascii="宋体" w:hAnsi="宋体" w:cs="宋体"/>
                <w:color w:val="000000" w:themeColor="text1"/>
                <w:sz w:val="24"/>
                <w:szCs w:val="24"/>
                <w:highlight w:val="none"/>
              </w:rPr>
            </w:r>
            <w:r>
              <w:rPr>
                <w:color w:val="000000" w:themeColor="text1"/>
                <w:highlight w:val="none"/>
              </w:rP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400W室内半球</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400万网络摄像机</w:t>
              <w:br w:type="textWrapping" w:clear="all"/>
              <w:t xml:space="preserve">最高分辨率不低于2688 × 1520 @25 fps，在该分辨率下可输出实时图像</w:t>
              <w:br w:type="textWrapping" w:clear="all"/>
              <w:t xml:space="preserve">支持Smart侦测：10项事件检测，1项异常检测</w:t>
              <w:br w:type="textWrapping" w:clear="all"/>
              <w:t xml:space="preserve">支持ROI感兴趣区域增强编码，支持Smart265/264编码，可根 据场景情况自适应调整码率分配，有效节省存储成本</w:t>
              <w:br w:type="textWrapping" w:clear="all"/>
              <w:t xml:space="preserve">支持背光补偿，强光抑制，3D数字降噪，120 dB宽动态适应不同使用环境</w:t>
              <w:br w:type="textWrapping" w:clear="all"/>
              <w:t xml:space="preserve">采用</w:t>
            </w:r>
            <w:r>
              <w:rPr>
                <w:rFonts w:hint="eastAsia" w:ascii="宋体" w:hAnsi="宋体" w:cs="宋体"/>
                <w:color w:val="000000" w:themeColor="text1"/>
                <w:sz w:val="24"/>
                <w:szCs w:val="24"/>
                <w:highlight w:val="none"/>
              </w:rPr>
              <w:t xml:space="preserve">高效阵列红外灯，使用寿命长，红外照射距离最远可达不低于30 m</w:t>
              <w:br/>
              <w:t xml:space="preserve">1个内置麦克风</w:t>
              <w:br/>
              <w:t xml:space="preserve">符合IP66防尘防水设计，可靠性高</w:t>
              <w:br/>
              <w:br/>
              <w:t xml:space="preserve">传感器类型：1/3" Progressive Scan CMOS</w:t>
              <w:br/>
              <w:t xml:space="preserve">最低照度：彩色：0.005 Lux @（F1.2，AGC ON)），黑白：0 Lux with IR</w:t>
              <w:br/>
              <w:t xml:space="preserve">宽动态：120 dB</w:t>
              <w:br/>
              <w:t xml:space="preserve">调节角度：水平：0°~360°，垂直：0°~75°，旋转：0°~360°  </w:t>
              <w:br/>
              <w:t xml:space="preserve">焦距&amp;视场角：2.8 mm，水平视场角：97°，垂直视场角：52.3°，对角线视场角：114.3°</w:t>
              <w:br/>
              <w:t xml:space="preserve">4 mm，水平视场角：78</w:t>
            </w:r>
            <w:r>
              <w:rPr>
                <w:rFonts w:hint="eastAsia" w:ascii="宋体" w:hAnsi="宋体" w:cs="宋体"/>
                <w:color w:val="000000" w:themeColor="text1"/>
                <w:sz w:val="24"/>
                <w:szCs w:val="24"/>
                <w:highlight w:val="none"/>
              </w:rPr>
              <w:t xml:space="preserve">.8°，垂直视场角：40.5°，对角线视场角：93.9°</w:t>
              <w:br/>
              <w:t xml:space="preserve">6 mm，水平视场角：49.1°，垂直视场角：26.3°，对角线视场角：57.2°</w:t>
              <w:br/>
              <w:t xml:space="preserve">8 mm，水平视场角：37.5°，垂直视场角：20.7°，对角线视场角：43.3°</w:t>
              <w:br/>
              <w:t xml:space="preserve">补光灯类型：红外灯</w:t>
              <w:br/>
              <w:t xml:space="preserve">补光距离：最远不少于30 m</w:t>
              <w:br/>
              <w:t xml:space="preserve">波长范围：850 nm</w:t>
              <w:br/>
              <w:t xml:space="preserve">防补光过曝：支持</w:t>
              <w:br/>
              <w:t xml:space="preserve">最大图像尺寸：不低于2688 × 1520（默认2560 × 1440）</w:t>
              <w:br/>
              <w:t xml:space="preserve">视频压缩标准：主码流：H.265/H.264</w:t>
              <w:br/>
              <w:t xml:space="preserve">子码流：H.265/H.264/MJPEG</w:t>
              <w:br/>
              <w:t xml:space="preserve">音频：1个内置麦克风</w:t>
              <w:br/>
              <w:t xml:space="preserve">网络：1</w:t>
            </w:r>
            <w:r>
              <w:rPr>
                <w:rFonts w:hint="eastAsia" w:ascii="宋体" w:hAnsi="宋体" w:cs="宋体"/>
                <w:color w:val="000000" w:themeColor="text1"/>
                <w:sz w:val="24"/>
                <w:szCs w:val="24"/>
                <w:highlight w:val="none"/>
              </w:rPr>
              <w:t xml:space="preserve">个RJ45 10 M/100 M自适应以太网口</w:t>
              <w:br/>
              <w:t xml:space="preserve">恢复出厂设置：支持客户端或浏览器恢复</w:t>
              <w:br/>
              <w:t xml:space="preserve">存储温湿度：-30 ℃~60 ℃，湿度小于95%（无凝结）</w:t>
              <w:br/>
              <w:t xml:space="preserve">启动和工作温湿度：-30 ℃~60 ℃，湿度小于95%（无凝结）</w:t>
              <w:br/>
              <w:t xml:space="preserve">供电方式：DC：12 V ± 25%，支持防反接保护</w:t>
              <w:br/>
              <w:t xml:space="preserve">PoE：802.3af，Class 3</w:t>
              <w:br/>
              <w:t xml:space="preserve">电流及功耗：DC： 12 V，0.41 A，最大功耗：5 W</w:t>
              <w:br/>
              <w:t xml:space="preserve">PoE：802.3af，36 V~57 V，0.18 A ~0.11 A，最大功耗：6.5 W</w:t>
              <w:br/>
              <w:t xml:space="preserve">电源接口类型：Ø5.5 mm圆口</w:t>
              <w:br/>
              <w:t xml:space="preserve">防护：IP66</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台</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16</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硬盘录像机</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3U机架式16盘位嵌入式网络硬盘录像机，采用短机箱设计，搭载高性能ATX电源</w:t>
              <w:br w:type="textWrapping" w:clear="all"/>
              <w:t xml:space="preserve">【硬件规格】</w:t>
              <w:br w:type="textWrapping" w:clear="all"/>
              <w:t xml:space="preserve">存储接口：不少于16个SATA接口，已内置15块10TB硬盘，总容量150TB</w:t>
              <w:br w:type="textWrapping" w:clear="all"/>
              <w:t xml:space="preserve">视频接口：不少于2×HD</w:t>
            </w:r>
            <w:r>
              <w:rPr>
                <w:rFonts w:hint="eastAsia" w:ascii="宋体" w:hAnsi="宋体" w:cs="宋体"/>
                <w:color w:val="000000" w:themeColor="text1"/>
                <w:sz w:val="24"/>
                <w:szCs w:val="24"/>
                <w:highlight w:val="none"/>
              </w:rPr>
              <w:t xml:space="preserve">MI，2×VGA</w:t>
              <w:br/>
              <w:t xml:space="preserve">网络接口：不少于2×RJ45 10/100/1000Mbps自适应以太网口</w:t>
              <w:br/>
              <w:t xml:space="preserve">报警接口：16路报警输入，9路报警输出（其中第9路支持CTRL 12V）</w:t>
              <w:br/>
              <w:t xml:space="preserve">反向供电：1路DC12V 1A</w:t>
              <w:br/>
              <w:t xml:space="preserve">串行接口：1路RS-232接口，1路半双工RS-485接口</w:t>
              <w:br/>
              <w:t xml:space="preserve">USB接口：2×USB 2.0，2×USB 3.0</w:t>
              <w:br/>
              <w:t xml:space="preserve">【产品性能】</w:t>
              <w:br/>
              <w:t xml:space="preserve">输入带宽：256Mbps</w:t>
              <w:br/>
              <w:t xml:space="preserve">输出带宽：256Mbps</w:t>
              <w:br/>
              <w:t xml:space="preserve">接入能力：32路H.264、H.265格式高清码流接入</w:t>
              <w:br/>
              <w:t xml:space="preserve">解码能力：最大支持12×1080P</w:t>
              <w:br/>
              <w:t xml:space="preserve">显示能力：最大支持4K+1080P异源输出</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台</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180天存储</w:t>
            </w:r>
            <w:r>
              <w:rPr>
                <w:color w:val="000000" w:themeColor="text1"/>
                <w:highlight w:val="none"/>
              </w:rP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五</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智能照明系统</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智能照明系统</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监测功能</w:t>
              <w:br w:type="textWrapping" w:clear="all"/>
              <w:t xml:space="preserve">实时监测并显示各个设备的在线工</w:t>
            </w:r>
            <w:r>
              <w:rPr>
                <w:rFonts w:hint="eastAsia" w:ascii="宋体" w:hAnsi="宋体" w:cs="宋体"/>
                <w:color w:val="000000" w:themeColor="text1"/>
                <w:sz w:val="24"/>
                <w:szCs w:val="24"/>
                <w:highlight w:val="none"/>
              </w:rPr>
              <w:t xml:space="preserve">作状态，反馈现场受控回路的开关状态与亮度输出等级。</w:t>
              <w:br/>
              <w:t xml:space="preserve">故障信息</w:t>
              <w:br/>
              <w:t xml:space="preserve">当发生设备离线时，会出现故障提示，并且记录故障信息，会在历史记录界面中显示。</w:t>
              <w:br/>
              <w:t xml:space="preserve">日志记录</w:t>
              <w:br/>
              <w:t xml:space="preserve">点击“历史记录”，界面上方可出现日志记录，包括操作控制，开关状态，登录退出的信息的记录。日志日期可选当日、最近 7 天或自定义查询日期，点击“自定义”，可选择查询的起始日期和截止日期。2.4 开关功能</w:t>
              <w:br/>
              <w:t xml:space="preserve">在平面视图界面，点击图标，可以对单个、数个或全部照明回路实现开关控制，回路的开关状态也会反馈给控件并显示出来。</w:t>
              <w:br/>
              <w:t xml:space="preserve">调光功能</w:t>
              <w:br/>
              <w:t xml:space="preserve">在平面视图界面，拖动调光控件，可实现照</w:t>
            </w:r>
            <w:r>
              <w:rPr>
                <w:rFonts w:hint="eastAsia" w:ascii="宋体" w:hAnsi="宋体" w:cs="宋体"/>
                <w:color w:val="000000" w:themeColor="text1"/>
                <w:sz w:val="24"/>
                <w:szCs w:val="24"/>
                <w:highlight w:val="none"/>
              </w:rPr>
              <w:t xml:space="preserve">明设备从 0%到 100%调光，可以对单个或多个照明回路实现调光控制，通过图标显示的调光值来反馈现场灯具的亮度。</w:t>
              <w:br/>
              <w:t xml:space="preserve">场景功能</w:t>
              <w:br/>
              <w:t xml:space="preserve">在平面视图界面，点击场景切换，选择对应场景任务，执行切换命令来实现场景切换功能。</w:t>
              <w:br/>
              <w:t xml:space="preserve">定时功能</w:t>
              <w:br/>
              <w:t xml:space="preserve">在定时设置页面中，点击开始编辑后设置定时时间，设置定时任务，确定控制对象以及执行动作（开/关）。</w:t>
              <w:br/>
              <w:t xml:space="preserve">数据实时显示</w:t>
              <w:br/>
              <w:t xml:space="preserve">在模块列表界面，选择驱动器，可以显示每个回路的电流、功率以及电量等用电信息数据。</w:t>
              <w:br/>
              <w:t xml:space="preserve">维护设置</w:t>
              <w:br/>
              <w:t xml:space="preserve">点击维护设置，可以修改当前用户的登录密码。修改心跳参数（心跳间隔时间及判断次数），窗口控制。</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套</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智能照明开关驱动器</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不少于一路 RS485 通讯，消防联动 2DI/2DO、30 条定时任务（含天文时钟）、不少于24条预约任务、LCD 显示、存储不少于600 条开关记录、不少于10 条开关机记录、不少于12条DIDO记录、分合通道、闭合次数记录、闭合时间累计</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台</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智能照明智能面板</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不少于4键8联、工作温度 -5℃～+45℃存储温度 -25℃～+55℃</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台</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二合一传感器</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红外光照二合一感应距离3~8米、光照度感应 0～65535lux 、IP20、标准86盒安装</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台</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35</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IP网关</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供电：AC220V±10%，50Hz、输出：DC24V，830mA，工作温度：-5℃~+45℃存储温度：-25℃~+55℃</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台</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六</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网络系统</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trHeight w:val="320"/>
        </w:trPr>
        <w:tc>
          <w:tcPr>
            <w:gridSpan w:val="2"/>
            <w:tcBorders>
              <w:top w:val="single" w:color="000000" w:sz="4" w:space="0"/>
              <w:left w:val="single" w:color="000000" w:sz="4" w:space="0"/>
              <w:bottom w:val="single" w:color="000000" w:sz="4" w:space="0"/>
              <w:right w:val="single" w:color="000000" w:sz="4" w:space="0"/>
            </w:tcBorders>
            <w:tcW w:w="1639" w:type="dxa"/>
            <w:vAlign w:val="center"/>
            <w:textDirection w:val="lrTb"/>
            <w:noWrap w:val="false"/>
          </w:tcPr>
          <w:p>
            <w:pPr>
              <w:pStyle w:val="883"/>
              <w:jc w:val="center"/>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公安信息网</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48口交换机</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1.交换容量≥430G</w:t>
            </w:r>
            <w:r>
              <w:rPr>
                <w:rFonts w:hint="eastAsia" w:ascii="宋体" w:hAnsi="宋体" w:cs="宋体"/>
                <w:color w:val="000000" w:themeColor="text1"/>
                <w:sz w:val="24"/>
                <w:szCs w:val="24"/>
                <w:highlight w:val="none"/>
              </w:rPr>
              <w:t xml:space="preserve">bps，包转发率≥160Mpps,以官网最小值为准；</w:t>
              <w:br/>
              <w:t xml:space="preserve">2.千兆电口≥48个，万兆光口≥4个；</w:t>
              <w:br/>
              <w:t xml:space="preserve">3.支持 RRPP、支持智能以太保护 SEP 协议、支持 ERPS 以太环保护协议（G.8032）；</w:t>
              <w:br/>
              <w:t xml:space="preserve">4.支持RIP、RIPng、OSPF、OSPFv3路由协议 ;</w:t>
              <w:br/>
              <w:t xml:space="preserve">5.支持纵向虚拟化，作为纵向子节点零配置即插即用；</w:t>
              <w:br/>
              <w:t xml:space="preserve">6.支持Telemetry技术，配合网络分析组件通过智能故障识别算法对网络数据进行分析，精准展现网络实时状态，并能及时有效地定界故障以及定位故障发生原因，发现影响用户体验的网络问题，精准保障用户体验;</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台</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24口交换机</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1.交换容量≥330G</w:t>
            </w:r>
            <w:r>
              <w:rPr>
                <w:rFonts w:hint="eastAsia" w:ascii="宋体" w:hAnsi="宋体" w:cs="宋体"/>
                <w:color w:val="000000" w:themeColor="text1"/>
                <w:sz w:val="24"/>
                <w:szCs w:val="24"/>
                <w:highlight w:val="none"/>
              </w:rPr>
              <w:t xml:space="preserve">bps，包转发率≥120Mpps,以官网最小值为准;</w:t>
              <w:br/>
              <w:t xml:space="preserve">2.千兆电口≥24个，万兆光口≥4个；</w:t>
              <w:br/>
              <w:t xml:space="preserve">3.支持 RRPP、支持智能以太保护 SEP 协议、支持 ERPS 以太环保护协议（G.8032）；</w:t>
              <w:br/>
              <w:t xml:space="preserve">4.支持RIP、RIPng、OSPF、OSPFv3路由协议 ;</w:t>
              <w:br/>
              <w:t xml:space="preserve">5.支持纵向虚拟化，作为纵向子节点零配置即插即用；</w:t>
              <w:br/>
              <w:t xml:space="preserve">6.支持Telemetry技术，配合网络分析组件通过智能故障识别算法对网络数据进行分析，精准展现网络实时状态，并能及时有效地定界故障以及定位故障发生原因，发现影响用户体验的网络问题，精准保障用户体验;</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台</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千兆单模光模块</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光模块-eSFP-GE-单模模块</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台</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12</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trHeight w:val="320"/>
        </w:trPr>
        <w:tc>
          <w:tcPr>
            <w:gridSpan w:val="2"/>
            <w:tcBorders>
              <w:top w:val="single" w:color="000000" w:sz="4" w:space="0"/>
              <w:left w:val="single" w:color="000000" w:sz="4" w:space="0"/>
              <w:bottom w:val="single" w:color="000000" w:sz="4" w:space="0"/>
              <w:right w:val="single" w:color="000000" w:sz="4" w:space="0"/>
            </w:tcBorders>
            <w:tcW w:w="1639" w:type="dxa"/>
            <w:vAlign w:val="center"/>
            <w:textDirection w:val="lrTb"/>
            <w:noWrap w:val="false"/>
          </w:tcPr>
          <w:p>
            <w:pPr>
              <w:pStyle w:val="883"/>
              <w:jc w:val="center"/>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公安视频网</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48口交换机</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1.交换容量≥430G</w:t>
            </w:r>
            <w:r>
              <w:rPr>
                <w:rFonts w:hint="eastAsia" w:ascii="宋体" w:hAnsi="宋体" w:cs="宋体"/>
                <w:color w:val="000000" w:themeColor="text1"/>
                <w:sz w:val="24"/>
                <w:szCs w:val="24"/>
                <w:highlight w:val="none"/>
              </w:rPr>
              <w:t xml:space="preserve">bps，包转发率≥160Mpps,以官网最小值为准；</w:t>
              <w:br/>
              <w:t xml:space="preserve">2.千兆电口≥48个，万兆光口≥4个；</w:t>
              <w:br/>
              <w:t xml:space="preserve">3.支持 RRPP、支持智能以太保护 SEP 协议、支持 ERPS 以太环保护协议（G.8032）；</w:t>
              <w:br/>
              <w:t xml:space="preserve">4.支持RIP、RIPng、OSPF、OSPFv3路由协议 ;</w:t>
              <w:br/>
              <w:t xml:space="preserve">5.支持纵向虚拟化，作为纵向子节点零配置即插即用；</w:t>
              <w:br/>
              <w:t xml:space="preserve">6.支持Telemetry技术，配合网络分析组件通过智能故障识别算法对网络数据进行分析，精准展现网络实时状态，并能及时有效地定界故障以及定位故障发生原因，发现影响用户体验的网络问题，精准保障用户体验;</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台</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24口交换机</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1.交换容量≥330G</w:t>
            </w:r>
            <w:r>
              <w:rPr>
                <w:rFonts w:hint="eastAsia" w:ascii="宋体" w:hAnsi="宋体" w:cs="宋体"/>
                <w:color w:val="000000" w:themeColor="text1"/>
                <w:sz w:val="24"/>
                <w:szCs w:val="24"/>
                <w:highlight w:val="none"/>
              </w:rPr>
              <w:t xml:space="preserve">bps，包转发率≥120Mpps,以官网最小值为准;</w:t>
              <w:br/>
              <w:t xml:space="preserve">2.千兆电口≥24个，万兆光口≥4个；</w:t>
              <w:br/>
              <w:t xml:space="preserve">3.支持 RRPP、支持智能以太保护 SEP 协议、支持 ERPS 以太环保护协议（G.8032）；</w:t>
              <w:br/>
              <w:t xml:space="preserve">4.支持RIP、RIPng、OSPF、OSPFv3路由协议 ;</w:t>
              <w:br/>
              <w:t xml:space="preserve">5.支持纵向虚拟化，作为纵向子节点零配置即插即用；</w:t>
              <w:br/>
              <w:t xml:space="preserve">6.支持Telemetry技术，配合网络分析组件通过智能故障识别算法对网络数据进行分析，精准展现网络实时状态，并能及时有效地定界故障以及定位故障发生原因，发现影响用户体验的网络问题，精准保障用户体验;</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台</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千兆单模光模块</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光模块-eSFP-GE-单模模块</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台</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12</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trHeight w:val="320"/>
        </w:trPr>
        <w:tc>
          <w:tcPr>
            <w:gridSpan w:val="2"/>
            <w:tcBorders>
              <w:top w:val="single" w:color="000000" w:sz="4" w:space="0"/>
              <w:left w:val="single" w:color="000000" w:sz="4" w:space="0"/>
              <w:bottom w:val="single" w:color="000000" w:sz="4" w:space="0"/>
              <w:right w:val="single" w:color="000000" w:sz="4" w:space="0"/>
            </w:tcBorders>
            <w:tcW w:w="1639" w:type="dxa"/>
            <w:vAlign w:val="center"/>
            <w:textDirection w:val="lrTb"/>
            <w:noWrap w:val="false"/>
          </w:tcPr>
          <w:p>
            <w:pPr>
              <w:pStyle w:val="883"/>
              <w:jc w:val="center"/>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政务外网</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48口交换机</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1.交换容量≥430G</w:t>
            </w:r>
            <w:r>
              <w:rPr>
                <w:rFonts w:hint="eastAsia" w:ascii="宋体" w:hAnsi="宋体" w:cs="宋体"/>
                <w:color w:val="000000" w:themeColor="text1"/>
                <w:sz w:val="24"/>
                <w:szCs w:val="24"/>
                <w:highlight w:val="none"/>
              </w:rPr>
              <w:t xml:space="preserve">bps，包转发率≥160Mpps,以官网最小值为准；</w:t>
              <w:br/>
              <w:t xml:space="preserve">2.千兆电口≥48个，万兆光口≥4个；</w:t>
              <w:br/>
              <w:t xml:space="preserve">3.支持 RRPP、支持智能以太保护 SEP 协议、支持 ERPS 以太环保护协议（G.8032）；</w:t>
              <w:br/>
              <w:t xml:space="preserve">4.支持RIP、RIPng、OSPF、OSPFv3路由协议 ;</w:t>
              <w:br/>
              <w:t xml:space="preserve">5.支持纵向虚拟化，作为纵向子节点零配置即插即用；</w:t>
              <w:br/>
              <w:t xml:space="preserve">6.支持Telemetry技术，配合网络分析组件通过智能故障识别算法对网络数据进行分析，精准展现网络实时状态，并能及时有效地定界故障以及定位故障发生原因，发现影响用户体验的网络问题，精准保障用户体验;</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台</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24口交换机</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1.交换容量≥330G</w:t>
            </w:r>
            <w:r>
              <w:rPr>
                <w:rFonts w:hint="eastAsia" w:ascii="宋体" w:hAnsi="宋体" w:cs="宋体"/>
                <w:color w:val="000000" w:themeColor="text1"/>
                <w:sz w:val="24"/>
                <w:szCs w:val="24"/>
                <w:highlight w:val="none"/>
              </w:rPr>
              <w:t xml:space="preserve">bps，包转发率≥120Mpps,以官网最小值为准;</w:t>
              <w:br/>
              <w:t xml:space="preserve">2.千兆电口≥24个，万兆光口≥4个；</w:t>
              <w:br/>
              <w:t xml:space="preserve">3.支持 RRPP、支持智能以太保护 SEP 协议、支持 ERPS 以太环保护协议（G.8032）；</w:t>
              <w:br/>
              <w:t xml:space="preserve">4.支持RIP、RIPng、OSPF、OSPFv3路由协议 ;</w:t>
              <w:br/>
              <w:t xml:space="preserve">5.支持纵向虚拟化，作为纵向子节点零配置即插即用；</w:t>
              <w:br/>
              <w:t xml:space="preserve">6.支持Telemetry技术，配合网络分析组件通过智能故障识别算法对网络数据进行分析，精准展现网络实时状态，并能及时有效地定界故障以及定位故障发生原因，发现影响用户体验的网络问题，精准保障用户体验;</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台</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千兆单模光模块</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光模块-eSFP-GE-单模模块</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台</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12</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trHeight w:val="320"/>
        </w:trPr>
        <w:tc>
          <w:tcPr>
            <w:gridSpan w:val="2"/>
            <w:tcBorders>
              <w:top w:val="single" w:color="000000" w:sz="4" w:space="0"/>
              <w:left w:val="single" w:color="000000" w:sz="4" w:space="0"/>
              <w:bottom w:val="single" w:color="000000" w:sz="4" w:space="0"/>
              <w:right w:val="single" w:color="000000" w:sz="4" w:space="0"/>
            </w:tcBorders>
            <w:tcW w:w="1639" w:type="dxa"/>
            <w:vAlign w:val="center"/>
            <w:textDirection w:val="lrTb"/>
            <w:noWrap w:val="false"/>
          </w:tcPr>
          <w:p>
            <w:pPr>
              <w:pStyle w:val="883"/>
              <w:jc w:val="center"/>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设备网</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8口交换机</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1.交换容量≥330Gbps，包转发率≥100Mpps</w:t>
              <w:br w:type="textWrapping" w:clear="all"/>
              <w:t xml:space="preserve">2.千兆电口≥8个，千兆光口≥4个</w:t>
              <w:br w:type="textWrapping" w:clear="all"/>
              <w:t xml:space="preserve">3.支持RIP、RIPng、OSPF、OSPFv3路由协议</w:t>
              <w:br w:type="textWrapping" w:clear="all"/>
              <w:t xml:space="preserve">4.支持纵向虚拟化，作为纵向子节点零配置即插即用</w:t>
              <w:br w:type="textWrapping" w:clear="all"/>
              <w:t xml:space="preserve">5.支持Telemetry技术，配合网络分析组件通过智能故障识别算法对网络数据进行分析，精准展现网络实时状态，并能及时有效地定界故障以及定位故障发生原因，发现影响用户体验的网络问题，精准保障用户体验</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台</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24口POE交换机</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1.交换容量≥330Gbps，包转发率≥120Mpps,以官网最小值为准;</w:t>
              <w:br w:type="textWrapping" w:clear="all"/>
              <w:t xml:space="preserve">2.千兆电口≥24个，万兆光口≥4个；</w:t>
              <w:br w:type="textWrapping" w:clear="all"/>
              <w:t xml:space="preserve">3.支持802</w:t>
            </w:r>
            <w:r>
              <w:rPr>
                <w:rFonts w:hint="eastAsia" w:ascii="宋体" w:hAnsi="宋体" w:cs="宋体"/>
                <w:color w:val="000000" w:themeColor="text1"/>
                <w:sz w:val="24"/>
                <w:szCs w:val="24"/>
                <w:highlight w:val="none"/>
              </w:rPr>
              <w:t xml:space="preserve">.3at POE+功能，支持快速POE功能，当交换机电源上电时，支持秒级实现对PD设备的供电</w:t>
              <w:br/>
              <w:t xml:space="preserve">4.支持 RRPP、支持智能以太保护 SEP 协议、支持 ERPS 以太环保护协议（G.8032）；</w:t>
              <w:br/>
              <w:t xml:space="preserve">5.支持RIP、RIPng、OSPF、OSPFv3路由协议 ;</w:t>
              <w:br/>
              <w:t xml:space="preserve">6.支持纵向虚拟化，作为纵向子节点零配置即插即用；</w:t>
              <w:br/>
              <w:t xml:space="preserve">7.支持Telemetry技术，配合网络分析组件通过智能故障识别算法对网络数据进行分析，精准展现网络实时状态，并能及时有效地定界故障以及定位故障发生原因，发现影响用户体验的网络问题，精准保障用户体验;</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台</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千兆单模光模块</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光模块-eSFP-GE-单模模块</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台</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8</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七</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综合布线</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trHeight w:val="320"/>
        </w:trPr>
        <w:tc>
          <w:tcPr>
            <w:gridSpan w:val="2"/>
            <w:tcBorders>
              <w:top w:val="single" w:color="000000" w:sz="4" w:space="0"/>
              <w:left w:val="single" w:color="000000" w:sz="4" w:space="0"/>
              <w:bottom w:val="single" w:color="000000" w:sz="4" w:space="0"/>
              <w:right w:val="single" w:color="000000" w:sz="4" w:space="0"/>
            </w:tcBorders>
            <w:tcW w:w="1639" w:type="dxa"/>
            <w:vAlign w:val="center"/>
            <w:textDirection w:val="lrTb"/>
            <w:noWrap w:val="false"/>
          </w:tcPr>
          <w:p>
            <w:pPr>
              <w:pStyle w:val="883"/>
              <w:jc w:val="center"/>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工作区子系统</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6类信息模块</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6类信息模块</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个</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518</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语音模块</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语音模块</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个</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158</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双口面板</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双口面板</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个</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338</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地插</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地插</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套</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20</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2米六类非屏蔽网络跳线</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2米六类非屏蔽网络跳线</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根</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518</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RJ45转110语音跳线</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RJ45转110语音跳线</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根</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60</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trHeight w:val="320"/>
        </w:trPr>
        <w:tc>
          <w:tcPr>
            <w:gridSpan w:val="2"/>
            <w:tcBorders>
              <w:top w:val="single" w:color="000000" w:sz="4" w:space="0"/>
              <w:left w:val="single" w:color="000000" w:sz="4" w:space="0"/>
              <w:bottom w:val="single" w:color="000000" w:sz="4" w:space="0"/>
              <w:right w:val="single" w:color="000000" w:sz="4" w:space="0"/>
            </w:tcBorders>
            <w:tcW w:w="1639" w:type="dxa"/>
            <w:vAlign w:val="center"/>
            <w:textDirection w:val="lrTb"/>
            <w:noWrap w:val="false"/>
          </w:tcPr>
          <w:p>
            <w:pPr>
              <w:pStyle w:val="883"/>
              <w:jc w:val="center"/>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水平子系统</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六类非屏蔽线缆</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六类非屏蔽线缆</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米</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28000</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广播线</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RVS2*1.5</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米</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200</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电源线</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rvv2*1.0</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米</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100</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电源线</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rvv2*1.5</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米</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100</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电源线</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rvv4*1.0</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米</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50</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大屏电源</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RVV3*4</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米</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200</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7</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大屏总电源</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YJV4*35+1*16</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米</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40</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8</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12芯光纤线</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12芯光纤线</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米</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290</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trHeight w:val="320"/>
        </w:trPr>
        <w:tc>
          <w:tcPr>
            <w:gridSpan w:val="2"/>
            <w:tcBorders>
              <w:top w:val="single" w:color="000000" w:sz="4" w:space="0"/>
              <w:left w:val="single" w:color="000000" w:sz="4" w:space="0"/>
              <w:bottom w:val="single" w:color="000000" w:sz="4" w:space="0"/>
              <w:right w:val="single" w:color="000000" w:sz="4" w:space="0"/>
            </w:tcBorders>
            <w:tcW w:w="1639" w:type="dxa"/>
            <w:vAlign w:val="center"/>
            <w:textDirection w:val="lrTb"/>
            <w:noWrap w:val="false"/>
          </w:tcPr>
          <w:p>
            <w:pPr>
              <w:pStyle w:val="883"/>
              <w:jc w:val="center"/>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管理子系统</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50对大对数线</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50对大对数线</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米</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70</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110语音配线架</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110语音配线架</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个</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6类24口非屏蔽数据配线架</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6类24口非屏蔽数据配线架</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套</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38</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金属理线器</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金属理线器</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套</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53</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24芯光纤线</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24芯光纤线</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米</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50</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7</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24芯光纤盒</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24芯光纤盒</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套</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8</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12芯光纤盒</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12芯光纤盒</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套</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9</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耦合器</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耦合器</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个</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168</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10</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光纤跳线（3米）</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光纤跳线（3米）</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根</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168</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11</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单模尾纤</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单模尾纤</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根</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168</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12</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光纤熔纤</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光纤熔纤</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项</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168</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13</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42U网络机柜</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42U网络机柜（600*600*2000）</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套</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14</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42U服务器机柜</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42U网络机柜（600*1000*2000）</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套</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15</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弱电间静电地板铺设</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地面防尘、防水处理、相关设备设施承重支架、600*600*35mm防静电活动地板、基础底座、辅材人工等</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平方米</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28</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trHeight w:val="320"/>
        </w:trPr>
        <w:tc>
          <w:tcPr>
            <w:gridSpan w:val="2"/>
            <w:tcBorders>
              <w:top w:val="single" w:color="000000" w:sz="4" w:space="0"/>
              <w:left w:val="single" w:color="000000" w:sz="4" w:space="0"/>
              <w:bottom w:val="single" w:color="000000" w:sz="4" w:space="0"/>
              <w:right w:val="single" w:color="000000" w:sz="4" w:space="0"/>
            </w:tcBorders>
            <w:tcW w:w="1639" w:type="dxa"/>
            <w:vAlign w:val="center"/>
            <w:textDirection w:val="lrTb"/>
            <w:noWrap w:val="false"/>
          </w:tcPr>
          <w:p>
            <w:pPr>
              <w:pStyle w:val="883"/>
              <w:jc w:val="center"/>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室内桥架管道系统</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金属桥架</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400*200桥架</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米</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200</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桥架辅材</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桥架辅材</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套</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val="false"/>
          </w:tcPr>
          <w:p>
            <w:pPr>
              <w:pStyle w:val="883"/>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PVC25管</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PVC25</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米</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3500</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tcPr>
          <w:p>
            <w:pPr>
              <w:pStyle w:val="883"/>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辅材</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PVC弯头、直接、电工胶布、螺丝螺帽等</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套</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tcPr>
          <w:p>
            <w:pPr>
              <w:pStyle w:val="883"/>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trHeight w:val="320"/>
        </w:trPr>
        <w:tc>
          <w:tcPr>
            <w:tcBorders>
              <w:top w:val="single" w:color="000000" w:sz="4" w:space="0"/>
              <w:left w:val="single" w:color="000000" w:sz="4" w:space="0"/>
              <w:bottom w:val="single" w:color="000000" w:sz="4" w:space="0"/>
              <w:right w:val="single" w:color="000000" w:sz="4" w:space="0"/>
            </w:tcBorders>
            <w:tcW w:w="463"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综合布线施工费</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88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综合布线施工费</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67"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项</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16" w:type="auto"/>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037" w:type="auto"/>
            <w:vAlign w:val="center"/>
            <w:textDirection w:val="lrTb"/>
            <w:noWrap/>
          </w:tcPr>
          <w:p>
            <w:pPr>
              <w:pStyle w:val="883"/>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bl>
    <w:p>
      <w:pPr>
        <w:pStyle w:val="883"/>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pStyle w:val="883"/>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项目服务要求：</w:t>
      </w:r>
      <w:r>
        <w:rPr>
          <w:color w:val="000000" w:themeColor="text1"/>
          <w:highlight w:val="none"/>
        </w:rPr>
      </w:r>
    </w:p>
    <w:p>
      <w:pPr>
        <w:pStyle w:val="883"/>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（1）服务方式</w:t>
      </w:r>
      <w:r>
        <w:rPr>
          <w:color w:val="000000" w:themeColor="text1"/>
          <w:highlight w:val="none"/>
        </w:rPr>
      </w:r>
    </w:p>
    <w:p>
      <w:pPr>
        <w:pStyle w:val="883"/>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要求实行每周7日，每日24小时的热线电话受理，并以最快的速度和最高的质量解决使用过程中出现的问题。除了通过热线电话接受技术支持请求外，还可以通过传真或email接受技术支持。</w:t>
      </w:r>
      <w:r>
        <w:rPr>
          <w:color w:val="000000" w:themeColor="text1"/>
          <w:highlight w:val="none"/>
        </w:rPr>
      </w:r>
    </w:p>
    <w:p>
      <w:pPr>
        <w:pStyle w:val="883"/>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（2）故障级别及响应时间</w:t>
      </w:r>
      <w:r>
        <w:rPr>
          <w:color w:val="000000" w:themeColor="text1"/>
          <w:highlight w:val="none"/>
        </w:rPr>
      </w:r>
    </w:p>
    <w:p>
      <w:pPr>
        <w:pStyle w:val="883"/>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要求设置完善的故障分级制度，并针对各级故障设定响应时间，严格执行在响应时间内提供技术支持及解决方案。</w:t>
      </w:r>
      <w:r>
        <w:rPr>
          <w:color w:val="000000" w:themeColor="text1"/>
          <w:highlight w:val="none"/>
        </w:rPr>
      </w:r>
    </w:p>
    <w:p>
      <w:pPr>
        <w:pStyle w:val="883"/>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①一级故障</w:t>
      </w:r>
      <w:r>
        <w:rPr>
          <w:color w:val="000000" w:themeColor="text1"/>
          <w:highlight w:val="none"/>
        </w:rPr>
      </w:r>
    </w:p>
    <w:p>
      <w:pPr>
        <w:pStyle w:val="883"/>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设备在运行中出现整机系统瘫痪或服务中断，导致设备的基本功能不能实现的故障。</w:t>
      </w:r>
      <w:r>
        <w:rPr>
          <w:color w:val="000000" w:themeColor="text1"/>
          <w:highlight w:val="none"/>
        </w:rPr>
      </w:r>
    </w:p>
    <w:p>
      <w:pPr>
        <w:pStyle w:val="883"/>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②二级故障</w:t>
      </w:r>
      <w:r>
        <w:rPr>
          <w:color w:val="000000" w:themeColor="text1"/>
          <w:highlight w:val="none"/>
        </w:rPr>
      </w:r>
    </w:p>
    <w:p>
      <w:pPr>
        <w:pStyle w:val="883"/>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设备在运行中出现的故障具有潜在的系统瘫痪或服务中断的危险，并可能导致设备的基本功能不能实现。</w:t>
      </w:r>
      <w:r>
        <w:rPr>
          <w:color w:val="000000" w:themeColor="text1"/>
          <w:highlight w:val="none"/>
        </w:rPr>
      </w:r>
    </w:p>
    <w:p>
      <w:pPr>
        <w:pStyle w:val="883"/>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③三级故障</w:t>
      </w:r>
      <w:r>
        <w:rPr>
          <w:color w:val="000000" w:themeColor="text1"/>
          <w:highlight w:val="none"/>
        </w:rPr>
      </w:r>
    </w:p>
    <w:p>
      <w:pPr>
        <w:pStyle w:val="883"/>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设备在运行中出现的影响业务、并导致系统性能或服务部分中断的故障。</w:t>
      </w:r>
      <w:r>
        <w:rPr>
          <w:color w:val="000000" w:themeColor="text1"/>
          <w:highlight w:val="none"/>
        </w:rPr>
      </w:r>
    </w:p>
    <w:p>
      <w:pPr>
        <w:pStyle w:val="883"/>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④四级故障</w:t>
      </w:r>
      <w:r>
        <w:rPr>
          <w:color w:val="000000" w:themeColor="text1"/>
          <w:highlight w:val="none"/>
        </w:rPr>
      </w:r>
    </w:p>
    <w:p>
      <w:pPr>
        <w:pStyle w:val="883"/>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咨询类问题或设备在运行安装过程中，对产品功能、配置等方面需要的信息和需求，对系统正常运行几乎无影响。</w:t>
      </w:r>
      <w:r>
        <w:rPr>
          <w:color w:val="000000" w:themeColor="text1"/>
          <w:highlight w:val="none"/>
        </w:rPr>
      </w:r>
    </w:p>
    <w:p>
      <w:pPr>
        <w:pStyle w:val="883"/>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故障级别与响应时间对照表</w:t>
      </w:r>
      <w:r>
        <w:rPr>
          <w:color w:val="000000" w:themeColor="text1"/>
          <w:highlight w:val="none"/>
        </w:rPr>
      </w:r>
    </w:p>
    <w:tbl>
      <w:tblPr>
        <w:tblW w:w="0" w:type="auto"/>
        <w:tblInd w:w="-113" w:type="dxa"/>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883"/>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故障级别</w:t>
            </w:r>
            <w:r>
              <w:rPr>
                <w:color w:val="000000" w:themeColor="text1"/>
                <w:highlight w:val="none"/>
              </w:rPr>
            </w:r>
          </w:p>
        </w:tc>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883"/>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响应时间</w:t>
            </w:r>
            <w:r>
              <w:rPr>
                <w:color w:val="000000" w:themeColor="text1"/>
                <w:highlight w:val="none"/>
              </w:rPr>
            </w:r>
          </w:p>
        </w:tc>
      </w:tr>
      <w:tr>
        <w:trPr/>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883"/>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一级故障</w:t>
            </w:r>
            <w:r>
              <w:rPr>
                <w:color w:val="000000" w:themeColor="text1"/>
                <w:highlight w:val="none"/>
              </w:rPr>
            </w:r>
          </w:p>
        </w:tc>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883"/>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立即</w:t>
            </w:r>
            <w:r>
              <w:rPr>
                <w:color w:val="000000" w:themeColor="text1"/>
                <w:highlight w:val="none"/>
              </w:rPr>
            </w:r>
          </w:p>
        </w:tc>
      </w:tr>
      <w:tr>
        <w:trPr/>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883"/>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二级故障</w:t>
            </w:r>
            <w:r>
              <w:rPr>
                <w:color w:val="000000" w:themeColor="text1"/>
                <w:highlight w:val="none"/>
              </w:rPr>
            </w:r>
          </w:p>
        </w:tc>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883"/>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小于30分钟</w:t>
            </w:r>
            <w:r>
              <w:rPr>
                <w:color w:val="000000" w:themeColor="text1"/>
                <w:highlight w:val="none"/>
              </w:rPr>
            </w:r>
          </w:p>
        </w:tc>
      </w:tr>
      <w:tr>
        <w:trPr/>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883"/>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三级故障</w:t>
            </w:r>
            <w:r>
              <w:rPr>
                <w:color w:val="000000" w:themeColor="text1"/>
                <w:highlight w:val="none"/>
              </w:rPr>
            </w:r>
          </w:p>
        </w:tc>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883"/>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小于30分钟</w:t>
            </w:r>
            <w:r>
              <w:rPr>
                <w:color w:val="000000" w:themeColor="text1"/>
                <w:highlight w:val="none"/>
              </w:rPr>
            </w:r>
          </w:p>
        </w:tc>
      </w:tr>
      <w:tr>
        <w:trPr/>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883"/>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四级故障</w:t>
            </w:r>
            <w:r>
              <w:rPr>
                <w:color w:val="000000" w:themeColor="text1"/>
                <w:highlight w:val="none"/>
              </w:rPr>
            </w:r>
          </w:p>
        </w:tc>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883"/>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小于1小时</w:t>
            </w:r>
            <w:r>
              <w:rPr>
                <w:color w:val="000000" w:themeColor="text1"/>
                <w:highlight w:val="none"/>
              </w:rPr>
            </w:r>
          </w:p>
        </w:tc>
      </w:tr>
      <w:tr>
        <w:trPr/>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883"/>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技术咨询</w:t>
            </w:r>
            <w:r>
              <w:rPr>
                <w:color w:val="000000" w:themeColor="text1"/>
                <w:highlight w:val="none"/>
              </w:rPr>
            </w:r>
          </w:p>
        </w:tc>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883"/>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小于2小时</w:t>
            </w:r>
            <w:r>
              <w:rPr>
                <w:color w:val="000000" w:themeColor="text1"/>
                <w:highlight w:val="none"/>
              </w:rPr>
            </w:r>
          </w:p>
        </w:tc>
      </w:tr>
      <w:tr>
        <w:trPr/>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883"/>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其他问题</w:t>
            </w:r>
            <w:r>
              <w:rPr>
                <w:color w:val="000000" w:themeColor="text1"/>
                <w:highlight w:val="none"/>
              </w:rPr>
            </w:r>
          </w:p>
        </w:tc>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883"/>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小于48小时</w:t>
            </w:r>
            <w:r>
              <w:rPr>
                <w:color w:val="000000" w:themeColor="text1"/>
                <w:highlight w:val="none"/>
              </w:rPr>
            </w:r>
          </w:p>
        </w:tc>
      </w:tr>
    </w:tbl>
    <w:p>
      <w:pPr>
        <w:pStyle w:val="883"/>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（3）质量保证期</w:t>
      </w:r>
      <w:r>
        <w:rPr>
          <w:color w:val="000000" w:themeColor="text1"/>
          <w:highlight w:val="none"/>
        </w:rPr>
      </w:r>
    </w:p>
    <w:p>
      <w:pPr>
        <w:pStyle w:val="883"/>
        <w:ind w:firstLine="480"/>
        <w:spacing w:line="360" w:lineRule="auto"/>
        <w:rPr>
          <w:rFonts w:hint="eastAsia" w:ascii="宋体" w:hAnsi="宋体"/>
          <w:bCs/>
          <w:color w:val="000000" w:themeColor="text1"/>
          <w:sz w:val="24"/>
          <w:szCs w:val="24"/>
          <w:highlight w:val="none"/>
        </w:rPr>
      </w:pPr>
      <w:r>
        <w:rPr>
          <w:rFonts w:hint="eastAsia" w:ascii="宋体" w:hAnsi="宋体" w:cs="宋体"/>
          <w:color w:val="000000" w:themeColor="text1"/>
          <w:sz w:val="24"/>
          <w:szCs w:val="24"/>
          <w:highlight w:val="none"/>
        </w:rPr>
        <w:t xml:space="preserve">要求提供为期5年的免费质保期。在保修期间，如有配件损坏，要求保证8小时内得到所需备件，以此来保障正常运行。</w:t>
      </w:r>
      <w:r>
        <w:rPr>
          <w:rFonts w:hint="eastAsia" w:ascii="宋体" w:hAnsi="宋体"/>
          <w:bCs/>
          <w:color w:val="000000" w:themeColor="text1"/>
          <w:sz w:val="24"/>
          <w:szCs w:val="24"/>
          <w:highlight w:val="none"/>
        </w:rPr>
      </w:r>
      <w:r>
        <w:rPr>
          <w:color w:val="000000" w:themeColor="text1"/>
          <w:highlight w:val="none"/>
        </w:rPr>
      </w:r>
    </w:p>
    <w:p>
      <w:pPr>
        <w:pStyle w:val="883"/>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highlight w:val="none"/>
        </w:rPr>
      </w:r>
    </w:p>
    <w:p>
      <w:pPr>
        <w:pStyle w:val="883"/>
        <w:spacing w:line="360" w:lineRule="auto"/>
        <w:rPr>
          <w:rFonts w:ascii="宋体" w:hAnsi="宋体"/>
          <w:b/>
          <w:color w:val="000000" w:themeColor="text1"/>
          <w:sz w:val="30"/>
          <w:szCs w:val="30"/>
          <w:highlight w:val="none"/>
        </w:rPr>
      </w:pPr>
      <w:r>
        <w:rPr>
          <w:rFonts w:ascii="宋体" w:hAnsi="宋体"/>
          <w:bCs/>
          <w:color w:val="000000" w:themeColor="text1"/>
          <w:sz w:val="24"/>
          <w:szCs w:val="24"/>
          <w:highlight w:val="none"/>
        </w:rPr>
        <w:br w:type="page" w:clear="all"/>
      </w:r>
      <w:r>
        <w:rPr>
          <w:rFonts w:hint="eastAsia" w:ascii="宋体" w:hAnsi="宋体"/>
          <w:b/>
          <w:color w:val="000000" w:themeColor="text1"/>
          <w:sz w:val="30"/>
          <w:szCs w:val="30"/>
          <w:highlight w:val="none"/>
        </w:rPr>
        <w:t xml:space="preserve">第二部分  有关说明</w:t>
      </w:r>
      <w:r>
        <w:rPr>
          <w:rFonts w:ascii="宋体" w:hAnsi="宋体"/>
          <w:b/>
          <w:color w:val="000000" w:themeColor="text1"/>
          <w:sz w:val="30"/>
          <w:szCs w:val="30"/>
          <w:highlight w:val="none"/>
        </w:rPr>
      </w:r>
      <w:r>
        <w:rPr>
          <w:color w:val="000000" w:themeColor="text1"/>
          <w:highlight w:val="none"/>
        </w:rPr>
      </w:r>
    </w:p>
    <w:p>
      <w:pPr>
        <w:pStyle w:val="883"/>
        <w:numPr>
          <w:ilvl w:val="1"/>
          <w:numId w:val="5"/>
        </w:numPr>
        <w:ind w:left="0" w:firstLine="480"/>
        <w:spacing w:line="360" w:lineRule="auto"/>
        <w:tabs>
          <w:tab w:val="left" w:pos="525" w:leader="none"/>
          <w:tab w:val="clear" w:pos="780" w:leader="none"/>
          <w:tab w:val="left" w:pos="94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投标总报价包括满足本项目要求的所有产品及其配件、包装、运杂、安装调试及售后服务等从项目中标起到项目正式交付以及质保期内所发生的一切费用。</w:t>
      </w:r>
      <w:r>
        <w:rPr>
          <w:rFonts w:ascii="宋体"/>
          <w:bCs/>
          <w:color w:val="000000" w:themeColor="text1"/>
          <w:sz w:val="24"/>
          <w:szCs w:val="24"/>
          <w:highlight w:val="none"/>
        </w:rPr>
      </w:r>
      <w:r>
        <w:rPr>
          <w:color w:val="000000" w:themeColor="text1"/>
          <w:highlight w:val="none"/>
        </w:rPr>
      </w:r>
    </w:p>
    <w:p>
      <w:pPr>
        <w:pStyle w:val="883"/>
        <w:numPr>
          <w:ilvl w:val="1"/>
          <w:numId w:val="5"/>
        </w:numPr>
        <w:ind w:left="0" w:firstLine="480"/>
        <w:spacing w:line="360" w:lineRule="auto"/>
        <w:tabs>
          <w:tab w:val="left" w:pos="525" w:leader="none"/>
          <w:tab w:val="clear" w:pos="780" w:leader="none"/>
          <w:tab w:val="left" w:pos="94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通过中国海关报关验放进入中国境内且产自中国境外的产品不在本项目的报价范围。</w:t>
      </w:r>
      <w:r>
        <w:rPr>
          <w:rFonts w:ascii="宋体"/>
          <w:bCs/>
          <w:color w:val="000000" w:themeColor="text1"/>
          <w:sz w:val="24"/>
          <w:szCs w:val="24"/>
          <w:highlight w:val="none"/>
        </w:rPr>
      </w:r>
      <w:r>
        <w:rPr>
          <w:color w:val="000000" w:themeColor="text1"/>
          <w:highlight w:val="none"/>
        </w:rPr>
      </w:r>
    </w:p>
    <w:p>
      <w:pPr>
        <w:pStyle w:val="883"/>
        <w:numPr>
          <w:ilvl w:val="1"/>
          <w:numId w:val="5"/>
        </w:numPr>
        <w:ind w:left="0" w:firstLine="480"/>
        <w:spacing w:line="360" w:lineRule="auto"/>
        <w:tabs>
          <w:tab w:val="left" w:pos="525" w:leader="none"/>
          <w:tab w:val="clear" w:pos="780"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rPr>
          <w:rFonts w:hint="eastAsia" w:ascii="宋体"/>
          <w:bCs/>
          <w:color w:val="000000" w:themeColor="text1"/>
          <w:sz w:val="24"/>
          <w:szCs w:val="24"/>
          <w:highlight w:val="none"/>
        </w:rPr>
      </w:r>
      <w:r>
        <w:rPr>
          <w:color w:val="000000" w:themeColor="text1"/>
          <w:highlight w:val="none"/>
        </w:rPr>
      </w:r>
    </w:p>
    <w:p>
      <w:pPr>
        <w:pStyle w:val="883"/>
        <w:numPr>
          <w:ilvl w:val="1"/>
          <w:numId w:val="5"/>
        </w:numPr>
        <w:ind w:left="0" w:firstLine="480"/>
        <w:spacing w:line="360" w:lineRule="auto"/>
        <w:tabs>
          <w:tab w:val="left" w:pos="525" w:leader="none"/>
          <w:tab w:val="clear" w:pos="780" w:leader="none"/>
          <w:tab w:val="left" w:pos="94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投标人必须在满足招标文件要求的基础上进行报价，如有技术偏离请于投标偏离表中说明。</w:t>
      </w:r>
      <w:r>
        <w:rPr>
          <w:rFonts w:ascii="宋体"/>
          <w:bCs/>
          <w:color w:val="000000" w:themeColor="text1"/>
          <w:sz w:val="24"/>
          <w:szCs w:val="24"/>
          <w:highlight w:val="none"/>
        </w:rPr>
      </w:r>
      <w:r>
        <w:rPr>
          <w:color w:val="000000" w:themeColor="text1"/>
          <w:highlight w:val="none"/>
        </w:rPr>
      </w:r>
    </w:p>
    <w:p>
      <w:pPr>
        <w:pStyle w:val="883"/>
        <w:numPr>
          <w:ilvl w:val="1"/>
          <w:numId w:val="5"/>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交货期：</w:t>
      </w:r>
      <w:r>
        <w:rPr>
          <w:rFonts w:hint="eastAsia" w:ascii="宋体"/>
          <w:bCs/>
          <w:color w:val="000000" w:themeColor="text1"/>
          <w:sz w:val="24"/>
          <w:highlight w:val="none"/>
        </w:rPr>
        <w:t xml:space="preserve">合同签订生效后3个月内完成设备安装、调试工作并初验；初验结束后进行3个月的试运行，试运行结束进行终验。</w:t>
      </w:r>
      <w:r>
        <w:rPr>
          <w:rFonts w:ascii="宋体"/>
          <w:bCs/>
          <w:color w:val="000000" w:themeColor="text1"/>
          <w:sz w:val="24"/>
          <w:szCs w:val="24"/>
          <w:highlight w:val="none"/>
        </w:rPr>
      </w:r>
      <w:r>
        <w:rPr>
          <w:color w:val="000000" w:themeColor="text1"/>
          <w:highlight w:val="none"/>
        </w:rPr>
      </w:r>
    </w:p>
    <w:p>
      <w:pPr>
        <w:pStyle w:val="883"/>
        <w:numPr>
          <w:ilvl w:val="1"/>
          <w:numId w:val="5"/>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color w:val="000000" w:themeColor="text1"/>
          <w:sz w:val="24"/>
          <w:szCs w:val="24"/>
          <w:highlight w:val="none"/>
        </w:rPr>
      </w:pPr>
      <w:r>
        <w:rPr>
          <w:rFonts w:hint="eastAsia" w:ascii="宋体"/>
          <w:bCs/>
          <w:color w:val="000000" w:themeColor="text1"/>
          <w:sz w:val="24"/>
          <w:szCs w:val="24"/>
          <w:highlight w:val="none"/>
        </w:rPr>
        <w:t xml:space="preserve">项目整体质保期：</w:t>
      </w:r>
      <w:r>
        <w:rPr>
          <w:rFonts w:hint="eastAsia" w:ascii="宋体"/>
          <w:bCs/>
          <w:color w:val="000000" w:themeColor="text1"/>
          <w:sz w:val="24"/>
          <w:highlight w:val="none"/>
        </w:rPr>
        <w:t xml:space="preserve">5年。</w:t>
      </w:r>
      <w:r>
        <w:rPr>
          <w:rFonts w:ascii="宋体"/>
          <w:bCs/>
          <w:color w:val="000000" w:themeColor="text1"/>
          <w:sz w:val="24"/>
          <w:szCs w:val="24"/>
          <w:highlight w:val="none"/>
        </w:rPr>
      </w:r>
      <w:r>
        <w:rPr>
          <w:color w:val="000000" w:themeColor="text1"/>
          <w:highlight w:val="none"/>
        </w:rPr>
      </w:r>
    </w:p>
    <w:p>
      <w:pPr>
        <w:pStyle w:val="883"/>
        <w:numPr>
          <w:ilvl w:val="1"/>
          <w:numId w:val="5"/>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付款方式：</w:t>
      </w:r>
      <w:r>
        <w:rPr>
          <w:rFonts w:hint="eastAsia" w:ascii="宋体"/>
          <w:bCs/>
          <w:color w:val="000000" w:themeColor="text1"/>
          <w:sz w:val="24"/>
          <w:highlight w:val="none"/>
        </w:rPr>
        <w:t xml:space="preserve">合同签订生效后支付合同金额的30%（预付款）；设备到货安装</w:t>
      </w:r>
      <w:r>
        <w:rPr>
          <w:rFonts w:ascii="宋体"/>
          <w:bCs/>
          <w:color w:val="000000" w:themeColor="text1"/>
          <w:sz w:val="24"/>
          <w:highlight w:val="none"/>
        </w:rPr>
        <w:t xml:space="preserve">调试完毕</w:t>
      </w:r>
      <w:r>
        <w:rPr>
          <w:rFonts w:hint="eastAsia" w:ascii="宋体"/>
          <w:bCs/>
          <w:color w:val="000000" w:themeColor="text1"/>
          <w:sz w:val="24"/>
          <w:highlight w:val="none"/>
        </w:rPr>
        <w:t xml:space="preserve">通过初验后支付合同金额的40%；项目终验并完成审计后支付至审计金额的9</w:t>
      </w:r>
      <w:r>
        <w:rPr>
          <w:rFonts w:ascii="宋体"/>
          <w:bCs/>
          <w:color w:val="000000" w:themeColor="text1"/>
          <w:sz w:val="24"/>
          <w:highlight w:val="none"/>
        </w:rPr>
        <w:t xml:space="preserve">5%</w:t>
      </w:r>
      <w:r>
        <w:rPr>
          <w:rFonts w:hint="eastAsia" w:ascii="宋体"/>
          <w:bCs/>
          <w:color w:val="000000" w:themeColor="text1"/>
          <w:sz w:val="24"/>
          <w:highlight w:val="none"/>
        </w:rPr>
        <w:t xml:space="preserve">；余款质保期满后在一个月内支付。</w:t>
      </w:r>
      <w:r>
        <w:rPr>
          <w:rFonts w:ascii="宋体"/>
          <w:bCs/>
          <w:color w:val="000000" w:themeColor="text1"/>
          <w:sz w:val="24"/>
          <w:szCs w:val="24"/>
          <w:highlight w:val="none"/>
        </w:rPr>
      </w:r>
      <w:r>
        <w:rPr>
          <w:color w:val="000000" w:themeColor="text1"/>
          <w:highlight w:val="none"/>
        </w:rPr>
      </w:r>
    </w:p>
    <w:p>
      <w:pPr>
        <w:pStyle w:val="883"/>
        <w:numPr>
          <w:ilvl w:val="1"/>
          <w:numId w:val="5"/>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中标（成交）供应商以履约保函（保险）形式按签约合同价的5%提供履约担保。中标（成交）供应商可采用电子履约保函（保险）形式,具体操作可登录江苏政府采购网的保险保函模块进行办理。</w:t>
      </w:r>
      <w:r>
        <w:rPr>
          <w:color w:val="000000" w:themeColor="text1"/>
          <w:highlight w:val="none"/>
        </w:rPr>
      </w:r>
    </w:p>
    <w:p>
      <w:pPr>
        <w:pStyle w:val="883"/>
        <w:numPr>
          <w:ilvl w:val="1"/>
          <w:numId w:val="5"/>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本项目合同履行地点：无锡市，具体地点以合同书约定为准。中标方必须按采购人要求将本项目中货物送到指定地点</w:t>
      </w: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包括可能的分布范围</w:t>
      </w: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，并分地实施安装调试。</w:t>
      </w:r>
      <w:r>
        <w:rPr>
          <w:rFonts w:ascii="宋体"/>
          <w:bCs/>
          <w:color w:val="000000" w:themeColor="text1"/>
          <w:sz w:val="24"/>
          <w:szCs w:val="24"/>
          <w:highlight w:val="none"/>
        </w:rPr>
      </w:r>
      <w:r>
        <w:rPr>
          <w:color w:val="000000" w:themeColor="text1"/>
          <w:highlight w:val="none"/>
        </w:rPr>
      </w:r>
    </w:p>
    <w:p>
      <w:pPr>
        <w:pStyle w:val="883"/>
        <w:numPr>
          <w:ilvl w:val="1"/>
          <w:numId w:val="5"/>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w:t>
      </w:r>
      <w:r>
        <w:rPr>
          <w:rFonts w:hint="eastAsia" w:ascii="宋体" w:hAnsi="宋体"/>
          <w:bCs/>
          <w:color w:val="000000" w:themeColor="text1"/>
          <w:sz w:val="24"/>
          <w:szCs w:val="24"/>
          <w:highlight w:val="none"/>
        </w:rPr>
        <w:t xml:space="preserve">担。政府向社会公众提供的公共服务项目，验收时应当邀请服务对象参与并出具意见，验收结果应当向社会公告。</w:t>
      </w:r>
      <w:r>
        <w:rPr>
          <w:rFonts w:hint="eastAsia"/>
          <w:color w:val="000000" w:themeColor="text1"/>
          <w:sz w:val="24"/>
          <w:szCs w:val="24"/>
          <w:highlight w:val="none"/>
        </w:rPr>
        <w:t xml:space="preserve">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bCs/>
          <w:color w:val="000000" w:themeColor="text1"/>
          <w:sz w:val="24"/>
          <w:szCs w:val="24"/>
          <w:highlight w:val="none"/>
        </w:rPr>
      </w:r>
      <w:r>
        <w:rPr>
          <w:color w:val="000000" w:themeColor="text1"/>
          <w:highlight w:val="none"/>
        </w:rPr>
      </w:r>
    </w:p>
    <w:p>
      <w:pPr>
        <w:pStyle w:val="883"/>
        <w:numPr>
          <w:ilvl w:val="1"/>
          <w:numId w:val="5"/>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color w:val="000000" w:themeColor="text1"/>
          <w:sz w:val="24"/>
          <w:szCs w:val="24"/>
          <w:highlight w:val="none"/>
        </w:rPr>
      </w:pPr>
      <w:r>
        <w:rPr>
          <w:rFonts w:hint="eastAsia" w:ascii="宋体" w:hAnsi="宋体"/>
          <w:bCs/>
          <w:color w:val="000000" w:themeColor="text1"/>
          <w:sz w:val="24"/>
          <w:highlight w:val="none"/>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rPr>
          <w:rFonts w:hint="eastAsia" w:ascii="宋体"/>
          <w:bCs/>
          <w:color w:val="000000" w:themeColor="text1"/>
          <w:sz w:val="24"/>
          <w:szCs w:val="24"/>
          <w:highlight w:val="none"/>
        </w:rPr>
      </w:r>
      <w:r>
        <w:rPr>
          <w:color w:val="000000" w:themeColor="text1"/>
          <w:highlight w:val="none"/>
        </w:rPr>
      </w:r>
    </w:p>
    <w:p>
      <w:pPr>
        <w:pStyle w:val="883"/>
        <w:numPr>
          <w:ilvl w:val="1"/>
          <w:numId w:val="5"/>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rPr>
          <w:color w:val="000000" w:themeColor="text1"/>
          <w:highlight w:val="none"/>
        </w:rPr>
      </w:r>
    </w:p>
    <w:p>
      <w:pPr>
        <w:pStyle w:val="883"/>
        <w:numPr>
          <w:ilvl w:val="1"/>
          <w:numId w:val="5"/>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Cs/>
          <w:color w:val="000000" w:themeColor="text1"/>
          <w:sz w:val="24"/>
          <w:highlight w:val="none"/>
        </w:rPr>
      </w:pPr>
      <w:r>
        <w:rPr>
          <w:rFonts w:hint="eastAsia" w:ascii="宋体" w:hAnsi="宋体"/>
          <w:bCs/>
          <w:color w:val="000000" w:themeColor="text1"/>
          <w:sz w:val="24"/>
          <w:highlight w:val="none"/>
        </w:rPr>
        <w:t xml:space="preserve">开标后，投标人须自行准备设备（包括但不限于笔记本电脑、无线网络）登录</w:t>
      </w:r>
      <w:r>
        <w:rPr>
          <w:rFonts w:hint="eastAsia" w:ascii="宋体" w:hAnsi="宋体"/>
          <w:bCs/>
          <w:color w:val="000000" w:themeColor="text1"/>
          <w:sz w:val="24"/>
          <w:szCs w:val="24"/>
          <w:highlight w:val="none"/>
        </w:rPr>
        <w:t xml:space="preserve">“苏采云”系统</w:t>
      </w:r>
      <w:r>
        <w:rPr>
          <w:rFonts w:hint="eastAsia" w:ascii="宋体" w:hAnsi="宋体"/>
          <w:bCs/>
          <w:color w:val="000000" w:themeColor="text1"/>
          <w:sz w:val="24"/>
          <w:highlight w:val="none"/>
        </w:rPr>
        <w:t xml:space="preserve">，按招标文件规定时间解密后，在评标过程中保持在线，等待评标委员会的询标和评标结果，中途不得离开。如未按要求应答，由此所产生的损失及风险由投标人自行承担。</w:t>
      </w:r>
      <w:r>
        <w:rPr>
          <w:rFonts w:ascii="宋体" w:hAnsi="宋体"/>
          <w:bCs/>
          <w:color w:val="000000" w:themeColor="text1"/>
          <w:sz w:val="24"/>
          <w:highlight w:val="none"/>
        </w:rPr>
      </w:r>
      <w:r>
        <w:rPr>
          <w:color w:val="000000" w:themeColor="text1"/>
          <w:highlight w:val="none"/>
        </w:rPr>
      </w:r>
    </w:p>
    <w:p>
      <w:pPr>
        <w:pStyle w:val="883"/>
        <w:spacing w:line="360" w:lineRule="auto"/>
        <w:rPr>
          <w:rFonts w:ascii="宋体"/>
          <w:bCs/>
          <w:color w:val="000000" w:themeColor="text1"/>
          <w:sz w:val="24"/>
          <w:szCs w:val="24"/>
          <w:highlight w:val="none"/>
        </w:rPr>
      </w:pPr>
      <w:r>
        <w:rPr>
          <w:rFonts w:ascii="宋体"/>
          <w:bCs/>
          <w:color w:val="000000" w:themeColor="text1"/>
          <w:sz w:val="24"/>
          <w:szCs w:val="24"/>
          <w:highlight w:val="none"/>
        </w:rPr>
        <w:t xml:space="preserve"> </w:t>
      </w:r>
      <w:r>
        <w:rPr>
          <w:color w:val="000000" w:themeColor="text1"/>
          <w:highlight w:val="none"/>
        </w:rPr>
      </w:r>
    </w:p>
    <w:p>
      <w:pPr>
        <w:pStyle w:val="883"/>
        <w:ind w:left="525"/>
        <w:spacing w:line="360" w:lineRule="auto"/>
        <w:tabs>
          <w:tab w:val="left" w:pos="525" w:leader="none"/>
          <w:tab w:val="left" w:pos="630" w:leader="none"/>
          <w:tab w:val="left" w:pos="735" w:leader="none"/>
          <w:tab w:val="left" w:pos="945" w:leader="none"/>
        </w:tabs>
        <w:rPr>
          <w:rFonts w:ascii="宋体"/>
          <w:bCs/>
          <w:color w:val="000000" w:themeColor="text1"/>
          <w:sz w:val="24"/>
          <w:szCs w:val="24"/>
          <w:highlight w:val="none"/>
        </w:rPr>
      </w:pPr>
      <w:r>
        <w:rPr>
          <w:rFonts w:ascii="宋体"/>
          <w:bCs/>
          <w:color w:val="000000" w:themeColor="text1"/>
          <w:sz w:val="24"/>
          <w:szCs w:val="24"/>
          <w:highlight w:val="none"/>
        </w:rPr>
      </w:r>
      <w:r>
        <w:rPr>
          <w:color w:val="000000" w:themeColor="text1"/>
          <w:highlight w:val="none"/>
        </w:rPr>
      </w:r>
    </w:p>
    <w:p>
      <w:pPr>
        <w:pStyle w:val="883"/>
        <w:ind w:firstLine="480"/>
        <w:spacing w:line="360" w:lineRule="auto"/>
        <w:tabs>
          <w:tab w:val="left" w:pos="525" w:leader="none"/>
          <w:tab w:val="left" w:pos="630" w:leader="none"/>
          <w:tab w:val="left" w:pos="735" w:leader="none"/>
          <w:tab w:val="left" w:pos="945" w:leader="none"/>
        </w:tabs>
        <w:rPr>
          <w:rFonts w:hint="eastAsia" w:ascii="宋体" w:hAnsi="宋体"/>
          <w:b/>
          <w:bCs/>
          <w:color w:val="000000" w:themeColor="text1"/>
          <w:sz w:val="30"/>
          <w:szCs w:val="30"/>
          <w:highlight w:val="none"/>
        </w:rPr>
      </w:pPr>
      <w:r>
        <w:rPr>
          <w:rFonts w:hint="eastAsia" w:ascii="宋体" w:hAnsi="宋体"/>
          <w:bCs/>
          <w:color w:val="000000" w:themeColor="text1"/>
          <w:sz w:val="24"/>
          <w:highlight w:val="none"/>
        </w:rPr>
        <w:br w:type="page" w:clear="all"/>
      </w:r>
      <w:r>
        <w:rPr>
          <w:rFonts w:hint="eastAsia" w:ascii="宋体" w:hAnsi="宋体"/>
          <w:b/>
          <w:color w:val="000000" w:themeColor="text1"/>
          <w:sz w:val="30"/>
          <w:szCs w:val="30"/>
          <w:highlight w:val="none"/>
        </w:rPr>
        <w:t xml:space="preserve">第三部分  政府采购政策（包括但不限于下列具体政策要求）</w:t>
      </w:r>
      <w:r>
        <w:rPr>
          <w:rFonts w:hint="eastAsia" w:ascii="宋体" w:hAnsi="宋体"/>
          <w:b/>
          <w:bCs/>
          <w:color w:val="000000" w:themeColor="text1"/>
          <w:sz w:val="30"/>
          <w:szCs w:val="30"/>
          <w:highlight w:val="none"/>
        </w:rPr>
      </w:r>
      <w:r>
        <w:rPr>
          <w:color w:val="000000" w:themeColor="text1"/>
          <w:highlight w:val="none"/>
        </w:rPr>
      </w:r>
    </w:p>
    <w:p>
      <w:pPr>
        <w:pStyle w:val="883"/>
        <w:numPr>
          <w:ilvl w:val="1"/>
          <w:numId w:val="6"/>
        </w:numPr>
        <w:ind w:left="0" w:firstLine="525"/>
        <w:spacing w:line="360" w:lineRule="auto"/>
        <w:tabs>
          <w:tab w:val="left" w:pos="525" w:leader="none"/>
          <w:tab w:val="clear" w:pos="780"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color w:val="000000" w:themeColor="text1"/>
          <w:highlight w:val="none"/>
        </w:rPr>
      </w:r>
    </w:p>
    <w:p>
      <w:pPr>
        <w:pStyle w:val="883"/>
        <w:numPr>
          <w:ilvl w:val="1"/>
          <w:numId w:val="6"/>
        </w:numPr>
        <w:ind w:left="0" w:firstLine="525"/>
        <w:spacing w:line="360" w:lineRule="auto"/>
        <w:tabs>
          <w:tab w:val="left" w:pos="525" w:leader="none"/>
          <w:tab w:val="clear" w:pos="780"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color w:val="000000" w:themeColor="text1"/>
          <w:highlight w:val="none"/>
        </w:rP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rPr>
          <w:color w:val="000000" w:themeColor="text1"/>
          <w:highlight w:val="none"/>
        </w:rP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认证机构详见市场监管总局发布的《参与实施政府采购节能产品认证机构名录》和《参与实施政府采购环境标志产品认证机构名录》。</w:t>
      </w:r>
      <w:r>
        <w:rPr>
          <w:color w:val="000000" w:themeColor="text1"/>
          <w:highlight w:val="none"/>
        </w:rPr>
      </w:r>
    </w:p>
    <w:p>
      <w:pPr>
        <w:pStyle w:val="883"/>
        <w:numPr>
          <w:ilvl w:val="1"/>
          <w:numId w:val="6"/>
        </w:numPr>
        <w:ind w:left="0" w:firstLine="525"/>
        <w:spacing w:line="360" w:lineRule="auto"/>
        <w:tabs>
          <w:tab w:val="left" w:pos="525" w:leader="none"/>
          <w:tab w:val="clear" w:pos="780" w:leader="none"/>
          <w:tab w:val="left" w:pos="945" w:leader="none"/>
        </w:tabs>
        <w:rPr>
          <w:rFonts w:hint="eastAsia" w:ascii="宋体"/>
          <w:bCs/>
          <w:color w:val="000000" w:themeColor="text1"/>
          <w:sz w:val="24"/>
          <w:szCs w:val="24"/>
          <w:highlight w:val="none"/>
        </w:rPr>
      </w:pPr>
      <w:r>
        <w:rPr>
          <w:rFonts w:hint="eastAsia"/>
          <w:color w:val="000000" w:themeColor="text1"/>
          <w:sz w:val="24"/>
          <w:szCs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bCs/>
          <w:color w:val="000000" w:themeColor="text1"/>
          <w:sz w:val="24"/>
          <w:szCs w:val="24"/>
          <w:highlight w:val="none"/>
        </w:rPr>
      </w:r>
      <w:r>
        <w:rPr>
          <w:color w:val="000000" w:themeColor="text1"/>
          <w:highlight w:val="none"/>
        </w:rPr>
      </w:r>
    </w:p>
    <w:p>
      <w:pPr>
        <w:pStyle w:val="883"/>
        <w:numPr>
          <w:ilvl w:val="1"/>
          <w:numId w:val="6"/>
        </w:numPr>
        <w:ind w:left="0" w:firstLine="525"/>
        <w:spacing w:line="360" w:lineRule="auto"/>
        <w:tabs>
          <w:tab w:val="left" w:pos="525" w:leader="none"/>
          <w:tab w:val="clear" w:pos="780" w:leader="none"/>
          <w:tab w:val="left" w:pos="945" w:leader="none"/>
        </w:tabs>
        <w:rPr>
          <w:rFonts w:hint="eastAsia" w:ascii="宋体" w:hAnsi="宋体" w:cs="宋体"/>
          <w:color w:val="000000" w:themeColor="text1"/>
          <w:sz w:val="24"/>
          <w:szCs w:val="24"/>
          <w:highlight w:val="none"/>
        </w:rPr>
      </w:pPr>
      <w:r>
        <w:rPr>
          <w:rFonts w:hint="eastAsia" w:ascii="宋体"/>
          <w:bCs/>
          <w:color w:val="000000" w:themeColor="text1"/>
          <w:sz w:val="24"/>
          <w:szCs w:val="24"/>
          <w:highlight w:val="none"/>
        </w:rPr>
        <w:t xml:space="preserve">有关中小企业政策，如</w:t>
      </w:r>
      <w:r>
        <w:rPr>
          <w:rFonts w:hint="eastAsia" w:ascii="宋体" w:hAnsi="宋体"/>
          <w:color w:val="000000" w:themeColor="text1"/>
          <w:sz w:val="24"/>
          <w:szCs w:val="24"/>
          <w:highlight w:val="none"/>
        </w:rPr>
        <w:t xml:space="preserve">落实政府采购政策需满足的资格要求以及落实政府采购政策的价格调整的相关内容可详见本文件其他章节。</w:t>
      </w:r>
      <w:r>
        <w:rPr>
          <w:rFonts w:hint="eastAsia" w:ascii="宋体" w:hAnsi="宋体" w:cs="宋体"/>
          <w:color w:val="000000" w:themeColor="text1"/>
          <w:sz w:val="24"/>
          <w:szCs w:val="24"/>
          <w:highlight w:val="none"/>
        </w:rPr>
      </w:r>
      <w:r>
        <w:rPr>
          <w:color w:val="000000" w:themeColor="text1"/>
          <w:highlight w:val="none"/>
        </w:rPr>
      </w:r>
    </w:p>
    <w:p>
      <w:pPr>
        <w:pStyle w:val="883"/>
        <w:numPr>
          <w:ilvl w:val="1"/>
          <w:numId w:val="6"/>
        </w:numPr>
        <w:ind w:left="0" w:firstLine="525"/>
        <w:spacing w:line="360" w:lineRule="auto"/>
        <w:tabs>
          <w:tab w:val="left" w:pos="525" w:leader="none"/>
          <w:tab w:val="clear" w:pos="780" w:leader="none"/>
          <w:tab w:val="left" w:pos="945" w:leader="none"/>
        </w:tabs>
        <w:rPr>
          <w:rFonts w:hint="eastAsia" w:ascii="宋体" w:hAnsi="宋体" w:cs="宋体"/>
          <w:color w:val="000000" w:themeColor="text1"/>
          <w:sz w:val="24"/>
          <w:szCs w:val="24"/>
          <w:highlight w:val="none"/>
        </w:rPr>
      </w:pPr>
      <w:r>
        <w:rPr>
          <w:rFonts w:hint="eastAsia" w:ascii="宋体"/>
          <w:bCs/>
          <w:color w:val="000000" w:themeColor="text1"/>
          <w:sz w:val="24"/>
          <w:szCs w:val="24"/>
          <w:highlight w:val="none"/>
        </w:rPr>
        <w:t xml:space="preserve">中标、成交供应商可采用合同融资形式，中标人可凭政府采购合同办理融资贷款，详见政府采购网“政采贷”专栏。</w:t>
      </w:r>
      <w:r>
        <w:rPr>
          <w:rFonts w:hint="eastAsia" w:ascii="宋体" w:hAnsi="宋体" w:cs="宋体"/>
          <w:color w:val="000000" w:themeColor="text1"/>
          <w:sz w:val="24"/>
          <w:szCs w:val="24"/>
          <w:highlight w:val="none"/>
        </w:rPr>
      </w:r>
      <w:r>
        <w:rPr>
          <w:color w:val="000000" w:themeColor="text1"/>
          <w:highlight w:val="none"/>
        </w:rPr>
      </w:r>
    </w:p>
    <w:p>
      <w:pPr>
        <w:pStyle w:val="883"/>
        <w:numPr>
          <w:ilvl w:val="1"/>
          <w:numId w:val="6"/>
        </w:numPr>
        <w:ind w:left="0" w:firstLine="525"/>
        <w:spacing w:line="360" w:lineRule="auto"/>
        <w:tabs>
          <w:tab w:val="left" w:pos="525" w:leader="none"/>
          <w:tab w:val="clear" w:pos="780" w:leader="none"/>
          <w:tab w:val="left" w:pos="945" w:leader="none"/>
        </w:tabs>
        <w:rPr>
          <w:rFonts w:hint="eastAsia" w:ascii="宋体" w:hAnsi="宋体" w:cs="宋体"/>
          <w:color w:val="000000" w:themeColor="text1"/>
          <w:sz w:val="24"/>
          <w:szCs w:val="24"/>
          <w:highlight w:val="none"/>
        </w:rPr>
      </w:pPr>
      <w:r>
        <w:rPr>
          <w:rFonts w:hint="eastAsia" w:ascii="宋体"/>
          <w:bCs/>
          <w:color w:val="000000" w:themeColor="text1"/>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rPr>
          <w:rFonts w:hint="eastAsia" w:ascii="宋体" w:hAnsi="宋体" w:cs="宋体"/>
          <w:color w:val="000000" w:themeColor="text1"/>
          <w:sz w:val="24"/>
          <w:szCs w:val="24"/>
          <w:highlight w:val="none"/>
        </w:rPr>
      </w:r>
      <w:r>
        <w:rPr>
          <w:color w:val="000000" w:themeColor="text1"/>
          <w:highlight w:val="none"/>
        </w:rP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中标、成交供应商可以采用电子履约保函形式缴纳履约保证金，具体操作可登录江苏政府采购网（http://www.ccgp-jiangsu.gov.cn/）的保险保函模块进行办理。</w:t>
      </w:r>
      <w:r>
        <w:rPr>
          <w:color w:val="000000" w:themeColor="text1"/>
          <w:highlight w:val="none"/>
        </w:rPr>
      </w:r>
    </w:p>
    <w:p>
      <w:pPr>
        <w:pStyle w:val="883"/>
        <w:numPr>
          <w:ilvl w:val="1"/>
          <w:numId w:val="6"/>
        </w:numPr>
        <w:ind w:left="0" w:firstLine="480"/>
        <w:spacing w:line="360" w:lineRule="auto"/>
        <w:tabs>
          <w:tab w:val="left" w:pos="525" w:leader="none"/>
          <w:tab w:val="clear" w:pos="780" w:leader="none"/>
          <w:tab w:val="left" w:pos="945" w:leader="none"/>
        </w:tabs>
        <w:rPr>
          <w:rFonts w:hint="eastAsia" w:ascii="宋体"/>
          <w:bCs/>
          <w:color w:val="000000" w:themeColor="text1"/>
          <w:sz w:val="24"/>
          <w:szCs w:val="24"/>
          <w:highlight w:val="none"/>
        </w:rPr>
      </w:pPr>
      <w:r>
        <w:rPr>
          <w:rFonts w:hint="eastAsia" w:ascii="宋体" w:hAnsi="宋体" w:cs="宋体"/>
          <w:color w:val="000000" w:themeColor="text1"/>
          <w:sz w:val="24"/>
          <w:szCs w:val="24"/>
          <w:highlight w:val="none"/>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color w:val="000000" w:themeColor="text1"/>
          <w:sz w:val="24"/>
          <w:szCs w:val="24"/>
          <w:highlight w:val="none"/>
        </w:rPr>
        <w:t xml:space="preserve">《需求标准》详见财库〔2023〕29号、30号、31号、32号、33号、34号、35号。在满足《需求标准》的前提下，如招标文件中有其他要求的，投标人应满足招标文件要求。</w:t>
      </w:r>
      <w:r>
        <w:rPr>
          <w:rFonts w:hint="eastAsia" w:ascii="宋体"/>
          <w:bCs/>
          <w:color w:val="000000" w:themeColor="text1"/>
          <w:sz w:val="24"/>
          <w:szCs w:val="24"/>
          <w:highlight w:val="none"/>
        </w:rPr>
        <w:t xml:space="preserve">采购人可在合同中约定，</w:t>
      </w:r>
      <w:r>
        <w:rPr>
          <w:rFonts w:hint="eastAsia" w:ascii="宋体" w:hAnsi="宋体" w:cs="宋体"/>
          <w:color w:val="000000" w:themeColor="text1"/>
          <w:sz w:val="24"/>
          <w:szCs w:val="24"/>
          <w:highlight w:val="none"/>
        </w:rPr>
        <w:t xml:space="preserve">在</w:t>
      </w:r>
      <w:r>
        <w:rPr>
          <w:rFonts w:hint="eastAsia" w:ascii="宋体"/>
          <w:bCs/>
          <w:color w:val="000000" w:themeColor="text1"/>
          <w:sz w:val="24"/>
          <w:szCs w:val="24"/>
          <w:highlight w:val="none"/>
        </w:rPr>
        <w:t xml:space="preserve">履约验收管理时，可对所提供的七种软硬件进行验收，必要时可以委托依法取得检测、认证资质的机构进行检测、认证。</w:t>
      </w:r>
      <w:r>
        <w:rPr>
          <w:color w:val="000000" w:themeColor="text1"/>
          <w:highlight w:val="none"/>
        </w:rPr>
      </w:r>
    </w:p>
    <w:p>
      <w:pPr>
        <w:pStyle w:val="883"/>
        <w:numPr>
          <w:ilvl w:val="1"/>
          <w:numId w:val="6"/>
        </w:numPr>
        <w:ind w:left="0" w:firstLine="480"/>
        <w:spacing w:line="360" w:lineRule="auto"/>
        <w:tabs>
          <w:tab w:val="left" w:pos="525" w:leader="none"/>
          <w:tab w:val="clear" w:pos="780"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color w:val="000000" w:themeColor="text1"/>
          <w:highlight w:val="none"/>
        </w:rP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color w:val="000000" w:themeColor="text1"/>
          <w:highlight w:val="none"/>
        </w:rP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lang w:val="en"/>
        </w:rPr>
        <w:t xml:space="preserve">采购人原则上应当自收到发票后10个工作日内将资金支付到合同约定的供应商账户。</w:t>
      </w:r>
      <w:r>
        <w:rPr>
          <w:color w:val="000000" w:themeColor="text1"/>
          <w:highlight w:val="none"/>
        </w:rPr>
      </w:r>
    </w:p>
    <w:p>
      <w:pPr>
        <w:pStyle w:val="883"/>
        <w:ind w:firstLine="480"/>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themeColor="text1"/>
          <w:sz w:val="36"/>
          <w:szCs w:val="36"/>
          <w:highlight w:val="none"/>
        </w:rPr>
      </w:pPr>
      <w:r>
        <w:rPr>
          <w:rFonts w:ascii="宋体"/>
          <w:bCs/>
          <w:color w:val="000000" w:themeColor="text1"/>
          <w:sz w:val="24"/>
          <w:szCs w:val="24"/>
          <w:highlight w:val="none"/>
        </w:rPr>
        <w:br w:type="page" w:clear="all"/>
      </w:r>
      <w:bookmarkStart w:id="193" w:name="_Toc120614281"/>
      <w:r>
        <w:rPr>
          <w:rFonts w:hint="eastAsia" w:ascii="黑体" w:hAnsi="黑体" w:eastAsia="黑体"/>
          <w:bCs/>
          <w:color w:val="000000" w:themeColor="text1"/>
          <w:sz w:val="36"/>
          <w:szCs w:val="36"/>
          <w:highlight w:val="none"/>
        </w:rPr>
        <w:t xml:space="preserve">第五章  </w:t>
      </w:r>
      <w:r>
        <w:rPr>
          <w:rFonts w:hint="eastAsia" w:ascii="黑体" w:hAnsi="黑体" w:eastAsia="黑体"/>
          <w:b/>
          <w:bCs/>
          <w:color w:val="000000" w:themeColor="text1"/>
          <w:sz w:val="36"/>
          <w:szCs w:val="36"/>
          <w:highlight w:val="none"/>
        </w:rPr>
        <w:t xml:space="preserve">评标方法与评标标准</w:t>
      </w:r>
      <w:r>
        <w:rPr>
          <w:rFonts w:hint="eastAsia" w:ascii="黑体" w:hAnsi="黑体" w:eastAsia="黑体"/>
          <w:bCs/>
          <w:color w:val="000000" w:themeColor="text1"/>
          <w:sz w:val="36"/>
          <w:szCs w:val="36"/>
          <w:highlight w:val="none"/>
        </w:rPr>
      </w:r>
      <w:r>
        <w:rPr>
          <w:color w:val="000000" w:themeColor="text1"/>
          <w:highlight w:val="none"/>
        </w:rPr>
      </w:r>
    </w:p>
    <w:p>
      <w:pPr>
        <w:pStyle w:val="971"/>
        <w:ind w:firstLine="602"/>
        <w:spacing w:before="0" w:after="0" w:line="500" w:lineRule="exact"/>
        <w:rPr>
          <w:rFonts w:hint="eastAsia" w:cs="Arial"/>
          <w:b/>
          <w:color w:val="000000" w:themeColor="text1"/>
          <w:sz w:val="30"/>
          <w:szCs w:val="30"/>
          <w:highlight w:val="none"/>
        </w:rPr>
      </w:pPr>
      <w:r>
        <w:rPr>
          <w:rFonts w:hint="eastAsia" w:cs="Arial"/>
          <w:b/>
          <w:color w:val="000000" w:themeColor="text1"/>
          <w:sz w:val="30"/>
          <w:szCs w:val="30"/>
          <w:highlight w:val="none"/>
        </w:rPr>
        <w:t xml:space="preserve">第一部分  评标方法</w:t>
      </w:r>
      <w:r>
        <w:rPr>
          <w:color w:val="000000" w:themeColor="text1"/>
          <w:highlight w:val="none"/>
        </w:rPr>
      </w:r>
    </w:p>
    <w:p>
      <w:pPr>
        <w:pStyle w:val="971"/>
        <w:spacing w:before="0" w:after="0" w:line="500" w:lineRule="exact"/>
        <w:rPr>
          <w:rFonts w:hint="eastAsia" w:cs="Arial"/>
          <w:color w:val="000000" w:themeColor="text1"/>
          <w:highlight w:val="none"/>
        </w:rPr>
      </w:pPr>
      <w:r>
        <w:rPr>
          <w:rFonts w:hint="eastAsia" w:cs="Arial"/>
          <w:color w:val="000000" w:themeColor="text1"/>
          <w:highlight w:val="none"/>
        </w:rPr>
        <w:t xml:space="preserve">投标人通过初审的，方可进入比较与评价程序。</w:t>
      </w:r>
      <w:r>
        <w:rPr>
          <w:color w:val="000000" w:themeColor="text1"/>
          <w:highlight w:val="none"/>
        </w:rPr>
      </w:r>
    </w:p>
    <w:p>
      <w:pPr>
        <w:pStyle w:val="971"/>
        <w:spacing w:before="0" w:after="0" w:line="500" w:lineRule="exact"/>
        <w:rPr>
          <w:rFonts w:hint="eastAsia" w:cs="Arial"/>
          <w:color w:val="000000" w:themeColor="text1"/>
          <w:highlight w:val="none"/>
        </w:rPr>
      </w:pPr>
      <w:r>
        <w:rPr>
          <w:rFonts w:hint="eastAsia" w:cs="Arial"/>
          <w:color w:val="000000" w:themeColor="text1"/>
          <w:highlight w:val="none"/>
        </w:rPr>
        <w:t xml:space="preserve">比较与评价采用综合评分法。</w:t>
      </w:r>
      <w:r>
        <w:rPr>
          <w:color w:val="000000" w:themeColor="text1"/>
          <w:highlight w:val="none"/>
        </w:rPr>
      </w:r>
    </w:p>
    <w:p>
      <w:pPr>
        <w:pStyle w:val="971"/>
        <w:spacing w:before="0" w:after="0" w:line="500" w:lineRule="exact"/>
        <w:rPr>
          <w:rFonts w:hint="eastAsia" w:ascii="宋体" w:hAnsi="宋体"/>
          <w:bCs/>
          <w:color w:val="000000" w:themeColor="text1"/>
          <w:highlight w:val="none"/>
        </w:rPr>
      </w:pPr>
      <w:r>
        <w:rPr>
          <w:rFonts w:hint="eastAsia" w:ascii="宋体" w:hAnsi="宋体"/>
          <w:bCs/>
          <w:color w:val="000000" w:themeColor="text1"/>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rPr>
          <w:color w:val="000000" w:themeColor="text1"/>
          <w:highlight w:val="none"/>
        </w:rPr>
      </w:r>
    </w:p>
    <w:p>
      <w:pPr>
        <w:pStyle w:val="971"/>
        <w:spacing w:before="0" w:after="0" w:line="500" w:lineRule="exact"/>
        <w:rPr>
          <w:rFonts w:hint="eastAsia" w:ascii="宋体" w:hAnsi="宋体"/>
          <w:bCs/>
          <w:color w:val="000000" w:themeColor="text1"/>
          <w:highlight w:val="none"/>
        </w:rPr>
      </w:pPr>
      <w:r>
        <w:rPr>
          <w:rFonts w:hint="eastAsia" w:ascii="宋体" w:hAnsi="宋体"/>
          <w:bCs/>
          <w:color w:val="000000" w:themeColor="text1"/>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rPr>
          <w:color w:val="000000" w:themeColor="text1"/>
          <w:highlight w:val="none"/>
        </w:rPr>
      </w:r>
    </w:p>
    <w:p>
      <w:pPr>
        <w:pStyle w:val="971"/>
        <w:spacing w:before="0" w:after="0" w:line="500" w:lineRule="exact"/>
        <w:rPr>
          <w:rFonts w:hint="eastAsia" w:cs="Arial"/>
          <w:b/>
          <w:color w:val="000000" w:themeColor="text1"/>
          <w:sz w:val="30"/>
          <w:szCs w:val="30"/>
          <w:highlight w:val="none"/>
        </w:rPr>
      </w:pPr>
      <w:r>
        <w:rPr>
          <w:rFonts w:cs="Arial"/>
          <w:color w:val="000000" w:themeColor="text1"/>
          <w:highlight w:val="none"/>
          <w:shd w:val="clear" w:color="ffffff" w:fill="d9d9d9"/>
        </w:rPr>
        <w:br w:type="page" w:clear="all"/>
      </w:r>
      <w:r>
        <w:rPr>
          <w:rFonts w:hint="eastAsia" w:cs="Arial"/>
          <w:b/>
          <w:color w:val="000000" w:themeColor="text1"/>
          <w:sz w:val="30"/>
          <w:szCs w:val="30"/>
          <w:highlight w:val="none"/>
        </w:rPr>
        <w:t xml:space="preserve">第二部分  评标标准</w:t>
      </w:r>
      <w:r>
        <w:rPr>
          <w:color w:val="000000" w:themeColor="text1"/>
          <w:highlight w:val="none"/>
        </w:rPr>
      </w:r>
    </w:p>
    <w:p>
      <w:pPr>
        <w:pStyle w:val="971"/>
        <w:ind w:firstLine="562"/>
        <w:spacing w:before="0" w:after="0" w:line="500" w:lineRule="exact"/>
        <w:rPr>
          <w:rFonts w:hint="eastAsia" w:ascii="宋体" w:hAnsi="宋体"/>
          <w:b/>
          <w:color w:val="000000" w:themeColor="text1"/>
          <w:sz w:val="28"/>
          <w:szCs w:val="28"/>
          <w:highlight w:val="none"/>
        </w:rPr>
      </w:pPr>
      <w:r>
        <w:rPr>
          <w:rFonts w:hint="eastAsia" w:ascii="宋体" w:hAnsi="宋体"/>
          <w:b/>
          <w:color w:val="000000" w:themeColor="text1"/>
          <w:sz w:val="28"/>
          <w:szCs w:val="28"/>
          <w:highlight w:val="none"/>
        </w:rPr>
        <w:t xml:space="preserve">一、落实政府采购政策的价格调整</w:t>
      </w:r>
      <w:r>
        <w:rPr>
          <w:color w:val="000000" w:themeColor="text1"/>
          <w:highlight w:val="none"/>
        </w:rPr>
      </w:r>
    </w:p>
    <w:p>
      <w:pPr>
        <w:pStyle w:val="883"/>
        <w:ind w:firstLine="482"/>
        <w:jc w:val="left"/>
        <w:spacing w:line="500" w:lineRule="exact"/>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小微型企业价格扣除：专门面向中小/小微企业的项目不做价格扣除。</w:t>
      </w:r>
      <w:r>
        <w:rPr>
          <w:color w:val="000000" w:themeColor="text1"/>
          <w:highlight w:val="none"/>
        </w:rPr>
      </w:r>
    </w:p>
    <w:p>
      <w:pPr>
        <w:pStyle w:val="883"/>
        <w:ind w:firstLine="480"/>
        <w:jc w:val="left"/>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1.对小型和微型企业产品的价格给予10</w:t>
      </w: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的扣除，用扣除后的价格参与评审。参加投标的中小企业，应当按照《政府采购促进中小企业发展管理办法》</w:t>
      </w:r>
      <w:r>
        <w:rPr>
          <w:rFonts w:ascii="宋体" w:hAnsi="宋体"/>
          <w:bCs/>
          <w:color w:val="000000" w:themeColor="text1"/>
          <w:sz w:val="24"/>
          <w:szCs w:val="24"/>
          <w:highlight w:val="none"/>
        </w:rPr>
        <w:t xml:space="preserve">（财库﹝2020﹞46 号）</w:t>
      </w:r>
      <w:r>
        <w:rPr>
          <w:rFonts w:hint="eastAsia" w:ascii="宋体" w:hAnsi="宋体"/>
          <w:bCs/>
          <w:color w:val="000000" w:themeColor="text1"/>
          <w:sz w:val="24"/>
          <w:szCs w:val="24"/>
          <w:highlight w:val="none"/>
        </w:rPr>
        <w:t xml:space="preserve">的规定提供《中小企业声明函》（中小企业划型标准详见《关于印发中小企业划型标准规定的通知》工信部联企业〔</w:t>
      </w:r>
      <w:r>
        <w:rPr>
          <w:rFonts w:ascii="宋体" w:hAnsi="宋体"/>
          <w:bCs/>
          <w:color w:val="000000" w:themeColor="text1"/>
          <w:sz w:val="24"/>
          <w:szCs w:val="24"/>
          <w:highlight w:val="none"/>
        </w:rPr>
        <w:t xml:space="preserve">2011</w:t>
      </w:r>
      <w:r>
        <w:rPr>
          <w:rFonts w:hint="eastAsia" w:ascii="宋体" w:hAnsi="宋体"/>
          <w:bCs/>
          <w:color w:val="000000" w:themeColor="text1"/>
          <w:sz w:val="24"/>
          <w:szCs w:val="24"/>
          <w:highlight w:val="none"/>
        </w:rPr>
        <w:t xml:space="preserve">〕</w:t>
      </w:r>
      <w:r>
        <w:rPr>
          <w:rFonts w:ascii="宋体" w:hAnsi="宋体"/>
          <w:bCs/>
          <w:color w:val="000000" w:themeColor="text1"/>
          <w:sz w:val="24"/>
          <w:szCs w:val="24"/>
          <w:highlight w:val="none"/>
        </w:rPr>
        <w:t xml:space="preserve">300</w:t>
      </w:r>
      <w:r>
        <w:rPr>
          <w:rFonts w:hint="eastAsia" w:ascii="宋体" w:hAnsi="宋体"/>
          <w:bCs/>
          <w:color w:val="000000" w:themeColor="text1"/>
          <w:sz w:val="24"/>
          <w:szCs w:val="24"/>
          <w:highlight w:val="none"/>
        </w:rPr>
        <w:t xml:space="preserve">号）。</w:t>
      </w:r>
      <w:r>
        <w:rPr>
          <w:rFonts w:ascii="宋体" w:hAnsi="宋体"/>
          <w:bCs/>
          <w:color w:val="000000" w:themeColor="text1"/>
          <w:sz w:val="24"/>
          <w:szCs w:val="24"/>
          <w:highlight w:val="none"/>
        </w:rPr>
      </w:r>
      <w:r>
        <w:rPr>
          <w:color w:val="000000" w:themeColor="text1"/>
          <w:highlight w:val="none"/>
        </w:rPr>
      </w:r>
    </w:p>
    <w:p>
      <w:pPr>
        <w:pStyle w:val="883"/>
        <w:ind w:firstLine="480"/>
        <w:jc w:val="left"/>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rPr>
          <w:rFonts w:ascii="宋体" w:hAnsi="宋体"/>
          <w:bCs/>
          <w:color w:val="000000" w:themeColor="text1"/>
          <w:sz w:val="24"/>
          <w:szCs w:val="24"/>
          <w:highlight w:val="none"/>
        </w:rPr>
      </w:r>
      <w:r>
        <w:rPr>
          <w:color w:val="000000" w:themeColor="text1"/>
          <w:highlight w:val="none"/>
        </w:rPr>
      </w:r>
    </w:p>
    <w:p>
      <w:pPr>
        <w:pStyle w:val="883"/>
        <w:ind w:firstLine="480"/>
        <w:jc w:val="left"/>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ascii="宋体" w:hAnsi="宋体"/>
          <w:bCs/>
          <w:color w:val="000000" w:themeColor="text1"/>
          <w:sz w:val="24"/>
          <w:szCs w:val="24"/>
          <w:highlight w:val="none"/>
        </w:rPr>
      </w:r>
      <w:r>
        <w:rPr>
          <w:color w:val="000000" w:themeColor="text1"/>
          <w:highlight w:val="none"/>
        </w:rPr>
      </w:r>
    </w:p>
    <w:p>
      <w:pPr>
        <w:pStyle w:val="883"/>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4.残疾人福利单位、监狱企业属于小型、微型企业的，不重复享受政策。</w:t>
      </w:r>
      <w:r>
        <w:rPr>
          <w:color w:val="000000" w:themeColor="text1"/>
          <w:highlight w:val="none"/>
        </w:rPr>
      </w:r>
    </w:p>
    <w:p>
      <w:pPr>
        <w:pStyle w:val="883"/>
        <w:ind w:firstLine="480"/>
        <w:jc w:val="left"/>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5.如允许联合体投标的项目，且存在联合投标的</w:t>
      </w:r>
      <w:r>
        <w:rPr>
          <w:rFonts w:ascii="宋体" w:hAnsi="宋体"/>
          <w:bCs/>
          <w:color w:val="000000" w:themeColor="text1"/>
          <w:sz w:val="24"/>
          <w:szCs w:val="24"/>
          <w:highlight w:val="none"/>
        </w:rPr>
        <w:t xml:space="preserve">，联合协议中约定，小型、微型企业（</w:t>
      </w:r>
      <w:r>
        <w:rPr>
          <w:rFonts w:hint="eastAsia" w:ascii="宋体" w:hAnsi="宋体"/>
          <w:bCs/>
          <w:color w:val="000000" w:themeColor="text1"/>
          <w:sz w:val="24"/>
          <w:szCs w:val="24"/>
          <w:highlight w:val="none"/>
        </w:rPr>
        <w:t xml:space="preserve">监狱</w:t>
      </w:r>
      <w:r>
        <w:rPr>
          <w:rFonts w:ascii="宋体" w:hAnsi="宋体"/>
          <w:bCs/>
          <w:color w:val="000000" w:themeColor="text1"/>
          <w:sz w:val="24"/>
          <w:szCs w:val="24"/>
          <w:highlight w:val="none"/>
        </w:rPr>
        <w:t xml:space="preserve">企业、残疾人福利性单位视同小型、微型企业，下同）</w:t>
      </w:r>
      <w:r>
        <w:rPr>
          <w:rFonts w:hint="eastAsia" w:ascii="宋体" w:hAnsi="宋体"/>
          <w:bCs/>
          <w:color w:val="000000" w:themeColor="text1"/>
          <w:sz w:val="24"/>
          <w:szCs w:val="24"/>
          <w:highlight w:val="none"/>
        </w:rPr>
        <w:t xml:space="preserve">的</w:t>
      </w:r>
      <w:r>
        <w:rPr>
          <w:rFonts w:ascii="宋体" w:hAnsi="宋体"/>
          <w:bCs/>
          <w:color w:val="000000" w:themeColor="text1"/>
          <w:sz w:val="24"/>
          <w:szCs w:val="24"/>
          <w:highlight w:val="none"/>
        </w:rPr>
        <w:t xml:space="preserve">协议</w:t>
      </w:r>
      <w:r>
        <w:rPr>
          <w:rFonts w:hint="eastAsia" w:ascii="宋体" w:hAnsi="宋体"/>
          <w:bCs/>
          <w:color w:val="000000" w:themeColor="text1"/>
          <w:sz w:val="24"/>
          <w:szCs w:val="24"/>
          <w:highlight w:val="none"/>
        </w:rPr>
        <w:t xml:space="preserve">合同</w:t>
      </w:r>
      <w:r>
        <w:rPr>
          <w:rFonts w:ascii="宋体" w:hAnsi="宋体"/>
          <w:bCs/>
          <w:color w:val="000000" w:themeColor="text1"/>
          <w:sz w:val="24"/>
          <w:szCs w:val="24"/>
          <w:highlight w:val="none"/>
        </w:rPr>
        <w:t xml:space="preserve">金额占到联合体协议合同总金额</w:t>
      </w:r>
      <w:r>
        <w:rPr>
          <w:rFonts w:hint="eastAsia" w:ascii="宋体" w:hAnsi="宋体"/>
          <w:bCs/>
          <w:color w:val="000000" w:themeColor="text1"/>
          <w:sz w:val="24"/>
          <w:szCs w:val="24"/>
          <w:highlight w:val="none"/>
        </w:rPr>
        <w:t xml:space="preserve">30</w:t>
      </w:r>
      <w:r>
        <w:rPr>
          <w:rFonts w:ascii="宋体" w:hAnsi="宋体"/>
          <w:bCs/>
          <w:color w:val="000000" w:themeColor="text1"/>
          <w:sz w:val="24"/>
          <w:szCs w:val="24"/>
          <w:highlight w:val="none"/>
        </w:rPr>
        <w:t xml:space="preserve">%以上的，可给予联合体</w:t>
      </w:r>
      <w:r>
        <w:rPr>
          <w:rFonts w:hint="eastAsia" w:ascii="宋体" w:hAnsi="宋体"/>
          <w:bCs/>
          <w:color w:val="000000" w:themeColor="text1"/>
          <w:sz w:val="24"/>
          <w:szCs w:val="24"/>
          <w:highlight w:val="none"/>
        </w:rPr>
        <w:t xml:space="preserve">4</w:t>
      </w:r>
      <w:r>
        <w:rPr>
          <w:rFonts w:ascii="宋体" w:hAnsi="宋体"/>
          <w:bCs/>
          <w:color w:val="000000" w:themeColor="text1"/>
          <w:sz w:val="24"/>
          <w:szCs w:val="24"/>
          <w:highlight w:val="none"/>
        </w:rPr>
        <w:t xml:space="preserve">%的价格扣除，</w:t>
      </w:r>
      <w:r>
        <w:rPr>
          <w:rFonts w:hint="eastAsia" w:ascii="宋体" w:hAnsi="宋体"/>
          <w:bCs/>
          <w:color w:val="000000" w:themeColor="text1"/>
          <w:sz w:val="24"/>
          <w:szCs w:val="24"/>
          <w:highlight w:val="none"/>
        </w:rPr>
        <w:t xml:space="preserve">用扣除后的价格参与评审。投标人须在《联合</w:t>
      </w:r>
      <w:r>
        <w:rPr>
          <w:rFonts w:ascii="宋体" w:hAnsi="宋体"/>
          <w:bCs/>
          <w:color w:val="000000" w:themeColor="text1"/>
          <w:sz w:val="24"/>
          <w:szCs w:val="24"/>
          <w:highlight w:val="none"/>
        </w:rPr>
        <w:t xml:space="preserve">体各方共同</w:t>
      </w:r>
      <w:r>
        <w:rPr>
          <w:rFonts w:hint="eastAsia" w:ascii="宋体" w:hAnsi="宋体"/>
          <w:bCs/>
          <w:color w:val="000000" w:themeColor="text1"/>
          <w:sz w:val="24"/>
          <w:szCs w:val="24"/>
          <w:highlight w:val="none"/>
        </w:rPr>
        <w:t xml:space="preserve">投标</w:t>
      </w:r>
      <w:r>
        <w:rPr>
          <w:rFonts w:ascii="宋体" w:hAnsi="宋体"/>
          <w:bCs/>
          <w:color w:val="000000" w:themeColor="text1"/>
          <w:sz w:val="24"/>
          <w:szCs w:val="24"/>
          <w:highlight w:val="none"/>
        </w:rPr>
        <w:t xml:space="preserve">协议</w:t>
      </w:r>
      <w:r>
        <w:rPr>
          <w:rFonts w:hint="eastAsia" w:ascii="宋体" w:hAnsi="宋体"/>
          <w:bCs/>
          <w:color w:val="000000" w:themeColor="text1"/>
          <w:sz w:val="24"/>
          <w:szCs w:val="24"/>
          <w:highlight w:val="none"/>
        </w:rPr>
        <w:t xml:space="preserve">》中明确，否则不得享受价格扣除。</w:t>
      </w:r>
      <w:r>
        <w:rPr>
          <w:rFonts w:ascii="宋体" w:hAnsi="宋体"/>
          <w:bCs/>
          <w:color w:val="000000" w:themeColor="text1"/>
          <w:sz w:val="24"/>
          <w:szCs w:val="24"/>
          <w:highlight w:val="none"/>
        </w:rPr>
      </w:r>
      <w:r>
        <w:rPr>
          <w:color w:val="000000" w:themeColor="text1"/>
          <w:highlight w:val="none"/>
        </w:rPr>
      </w:r>
    </w:p>
    <w:p>
      <w:pPr>
        <w:pStyle w:val="883"/>
        <w:ind w:firstLine="480"/>
        <w:jc w:val="left"/>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联合体</w:t>
      </w:r>
      <w:r>
        <w:rPr>
          <w:rFonts w:ascii="宋体" w:hAnsi="宋体"/>
          <w:bCs/>
          <w:color w:val="000000" w:themeColor="text1"/>
          <w:sz w:val="24"/>
          <w:szCs w:val="24"/>
          <w:highlight w:val="none"/>
        </w:rPr>
        <w:t xml:space="preserve">各方均为小型、微型企业的，联合体视同为小型、微型企业按规定享受价格扣除</w:t>
      </w:r>
      <w:r>
        <w:rPr>
          <w:rFonts w:hint="eastAsia" w:ascii="宋体" w:hAnsi="宋体"/>
          <w:bCs/>
          <w:color w:val="000000" w:themeColor="text1"/>
          <w:sz w:val="24"/>
          <w:szCs w:val="24"/>
          <w:highlight w:val="none"/>
        </w:rPr>
        <w:t xml:space="preserve">。</w:t>
      </w:r>
      <w:r>
        <w:rPr>
          <w:rFonts w:ascii="宋体" w:hAnsi="宋体"/>
          <w:bCs/>
          <w:color w:val="000000" w:themeColor="text1"/>
          <w:sz w:val="24"/>
          <w:szCs w:val="24"/>
          <w:highlight w:val="none"/>
        </w:rPr>
      </w:r>
      <w:r>
        <w:rPr>
          <w:color w:val="000000" w:themeColor="text1"/>
          <w:highlight w:val="none"/>
        </w:rPr>
      </w:r>
    </w:p>
    <w:p>
      <w:pPr>
        <w:pStyle w:val="883"/>
        <w:ind w:firstLine="480"/>
        <w:jc w:val="left"/>
        <w:spacing w:line="500" w:lineRule="exact"/>
        <w:rPr>
          <w:color w:val="000000" w:themeColor="text1"/>
          <w:highlight w:val="none"/>
        </w:rPr>
      </w:pPr>
      <w:r>
        <w:rPr>
          <w:rFonts w:hint="eastAsia" w:ascii="宋体" w:hAnsi="宋体"/>
          <w:bCs/>
          <w:color w:val="000000" w:themeColor="text1"/>
          <w:sz w:val="24"/>
          <w:szCs w:val="24"/>
          <w:highlight w:val="none"/>
        </w:rPr>
        <w:t xml:space="preserve">组成联合体的小微企业与联合体内其他企业之间存在直接控股、管理关系的，不享受价格扣除。组成</w:t>
      </w:r>
      <w:r>
        <w:rPr>
          <w:rFonts w:ascii="宋体" w:hAnsi="宋体"/>
          <w:bCs/>
          <w:color w:val="000000" w:themeColor="text1"/>
          <w:sz w:val="24"/>
          <w:szCs w:val="24"/>
          <w:highlight w:val="none"/>
        </w:rPr>
        <w:t xml:space="preserve">联合体的法人与参加联合体的小型、微型企业之间存在投资关系的，不得享受价格扣除</w:t>
      </w:r>
      <w:r>
        <w:rPr>
          <w:rFonts w:hint="eastAsia" w:ascii="宋体" w:hAnsi="宋体"/>
          <w:bCs/>
          <w:color w:val="000000" w:themeColor="text1"/>
          <w:sz w:val="24"/>
          <w:szCs w:val="24"/>
          <w:highlight w:val="none"/>
        </w:rPr>
        <w:t xml:space="preserve">。投标人</w:t>
      </w:r>
      <w:r>
        <w:rPr>
          <w:rFonts w:ascii="宋体" w:hAnsi="宋体"/>
          <w:bCs/>
          <w:color w:val="000000" w:themeColor="text1"/>
          <w:sz w:val="24"/>
          <w:szCs w:val="24"/>
          <w:highlight w:val="none"/>
        </w:rPr>
        <w:t xml:space="preserve">须在</w:t>
      </w:r>
      <w:r>
        <w:rPr>
          <w:rFonts w:hint="eastAsia" w:ascii="宋体" w:hAnsi="宋体"/>
          <w:bCs/>
          <w:color w:val="000000" w:themeColor="text1"/>
          <w:sz w:val="24"/>
          <w:szCs w:val="24"/>
          <w:highlight w:val="none"/>
        </w:rPr>
        <w:t xml:space="preserve">《联合</w:t>
      </w:r>
      <w:r>
        <w:rPr>
          <w:rFonts w:ascii="宋体" w:hAnsi="宋体"/>
          <w:bCs/>
          <w:color w:val="000000" w:themeColor="text1"/>
          <w:sz w:val="24"/>
          <w:szCs w:val="24"/>
          <w:highlight w:val="none"/>
        </w:rPr>
        <w:t xml:space="preserve">体各方共同</w:t>
      </w:r>
      <w:r>
        <w:rPr>
          <w:rFonts w:hint="eastAsia" w:ascii="宋体" w:hAnsi="宋体"/>
          <w:bCs/>
          <w:color w:val="000000" w:themeColor="text1"/>
          <w:sz w:val="24"/>
          <w:szCs w:val="24"/>
          <w:highlight w:val="none"/>
        </w:rPr>
        <w:t xml:space="preserve">投标</w:t>
      </w:r>
      <w:r>
        <w:rPr>
          <w:rFonts w:ascii="宋体" w:hAnsi="宋体"/>
          <w:bCs/>
          <w:color w:val="000000" w:themeColor="text1"/>
          <w:sz w:val="24"/>
          <w:szCs w:val="24"/>
          <w:highlight w:val="none"/>
        </w:rPr>
        <w:t xml:space="preserve">协议</w:t>
      </w:r>
      <w:r>
        <w:rPr>
          <w:rFonts w:hint="eastAsia" w:ascii="宋体" w:hAnsi="宋体"/>
          <w:bCs/>
          <w:color w:val="000000" w:themeColor="text1"/>
          <w:sz w:val="24"/>
          <w:szCs w:val="24"/>
          <w:highlight w:val="none"/>
        </w:rPr>
        <w:t xml:space="preserve">》中</w:t>
      </w:r>
      <w:r>
        <w:rPr>
          <w:rFonts w:ascii="宋体" w:hAnsi="宋体"/>
          <w:bCs/>
          <w:color w:val="000000" w:themeColor="text1"/>
          <w:sz w:val="24"/>
          <w:szCs w:val="24"/>
          <w:highlight w:val="none"/>
        </w:rPr>
        <w:t xml:space="preserve">明确联合体各方是否存在</w:t>
      </w:r>
      <w:r>
        <w:rPr>
          <w:rFonts w:hint="eastAsia" w:ascii="宋体" w:hAnsi="宋体"/>
          <w:bCs/>
          <w:color w:val="000000" w:themeColor="text1"/>
          <w:sz w:val="24"/>
          <w:szCs w:val="24"/>
          <w:highlight w:val="none"/>
        </w:rPr>
        <w:t xml:space="preserve">上述</w:t>
      </w:r>
      <w:r>
        <w:rPr>
          <w:rFonts w:ascii="宋体" w:hAnsi="宋体"/>
          <w:bCs/>
          <w:color w:val="000000" w:themeColor="text1"/>
          <w:sz w:val="24"/>
          <w:szCs w:val="24"/>
          <w:highlight w:val="none"/>
        </w:rPr>
        <w:t xml:space="preserve">关系，如未进行明确的亦不得享受价格扣除</w:t>
      </w:r>
      <w:r>
        <w:rPr>
          <w:rFonts w:hint="eastAsia" w:ascii="宋体" w:hAnsi="宋体"/>
          <w:bCs/>
          <w:color w:val="000000" w:themeColor="text1"/>
          <w:sz w:val="24"/>
          <w:szCs w:val="24"/>
          <w:highlight w:val="none"/>
        </w:rPr>
        <w:t xml:space="preserve">。</w:t>
      </w:r>
      <w:r>
        <w:rPr>
          <w:color w:val="000000" w:themeColor="text1"/>
          <w:highlight w:val="none"/>
        </w:rPr>
      </w:r>
    </w:p>
    <w:p>
      <w:pPr>
        <w:pStyle w:val="971"/>
        <w:ind w:firstLine="360"/>
        <w:spacing w:before="0" w:after="0" w:line="500" w:lineRule="exact"/>
        <w:rPr>
          <w:rFonts w:hint="eastAsia" w:ascii="宋体" w:hAnsi="宋体"/>
          <w:color w:val="000000" w:themeColor="text1"/>
          <w:highlight w:val="none"/>
          <w:shd w:val="clear" w:color="ffffff" w:fill="d9d9d9"/>
        </w:rPr>
      </w:pPr>
      <w:r>
        <w:rPr>
          <w:rFonts w:ascii="宋体" w:hAnsi="宋体"/>
          <w:color w:val="000000" w:themeColor="text1"/>
          <w:highlight w:val="none"/>
          <w:shd w:val="clear" w:color="ffffff" w:fill="d9d9d9"/>
        </w:rPr>
        <w:br w:type="page" w:clear="all"/>
      </w:r>
      <w:r>
        <w:rPr>
          <w:rFonts w:hint="eastAsia" w:ascii="宋体" w:hAnsi="宋体"/>
          <w:b/>
          <w:color w:val="000000" w:themeColor="text1"/>
          <w:sz w:val="28"/>
          <w:szCs w:val="28"/>
          <w:highlight w:val="none"/>
        </w:rPr>
        <w:t xml:space="preserve">二、评分标准</w:t>
      </w:r>
      <w:r>
        <w:rPr>
          <w:rFonts w:hint="eastAsia" w:ascii="宋体" w:hAnsi="宋体"/>
          <w:color w:val="000000" w:themeColor="text1"/>
          <w:highlight w:val="none"/>
          <w:shd w:val="clear" w:color="ffffff" w:fill="d9d9d9"/>
        </w:rPr>
      </w:r>
      <w:r>
        <w:rPr>
          <w:color w:val="000000" w:themeColor="text1"/>
          <w:highlight w:val="none"/>
        </w:rPr>
      </w:r>
    </w:p>
    <w:p>
      <w:pPr>
        <w:pStyle w:val="883"/>
        <w:numPr>
          <w:ilvl w:val="4"/>
          <w:numId w:val="7"/>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价格（35分）：</w:t>
      </w:r>
      <w:r>
        <w:rPr>
          <w:rFonts w:ascii="宋体" w:hAnsi="宋体"/>
          <w:b/>
          <w:bCs/>
          <w:color w:val="000000" w:themeColor="text1"/>
          <w:sz w:val="24"/>
          <w:szCs w:val="24"/>
          <w:highlight w:val="none"/>
        </w:rPr>
      </w:r>
      <w:r>
        <w:rPr>
          <w:color w:val="000000" w:themeColor="text1"/>
          <w:highlight w:val="none"/>
        </w:rPr>
      </w:r>
    </w:p>
    <w:p>
      <w:pPr>
        <w:pStyle w:val="883"/>
        <w:ind w:firstLine="480"/>
        <w:spacing w:line="500" w:lineRule="exact"/>
        <w:tabs>
          <w:tab w:val="left" w:pos="945" w:leader="none"/>
          <w:tab w:val="left" w:pos="115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采用低价优先法计算，即满足招标文件要求且投标价格最低的投标报价为评标基准价，其价格分为满分。其他投标人的价格分统一按照下列公式计算：</w:t>
      </w:r>
      <w:r>
        <w:rPr>
          <w:rFonts w:ascii="宋体"/>
          <w:bCs/>
          <w:color w:val="000000" w:themeColor="text1"/>
          <w:sz w:val="24"/>
          <w:szCs w:val="24"/>
          <w:highlight w:val="none"/>
        </w:rPr>
      </w:r>
      <w:r>
        <w:rPr>
          <w:color w:val="000000" w:themeColor="text1"/>
          <w:highlight w:val="none"/>
        </w:rPr>
      </w:r>
    </w:p>
    <w:p>
      <w:pPr>
        <w:pStyle w:val="883"/>
        <w:ind w:firstLine="480"/>
        <w:spacing w:line="500" w:lineRule="exact"/>
        <w:tabs>
          <w:tab w:val="left" w:pos="945" w:leader="none"/>
          <w:tab w:val="left" w:pos="115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投标报价得分</w:t>
      </w: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评标基准价／投标报价</w:t>
      </w: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×价格权值×</w:t>
      </w:r>
      <w:r>
        <w:rPr>
          <w:rFonts w:ascii="宋体" w:hAnsi="宋体"/>
          <w:bCs/>
          <w:color w:val="000000" w:themeColor="text1"/>
          <w:sz w:val="24"/>
          <w:szCs w:val="24"/>
          <w:highlight w:val="none"/>
        </w:rPr>
        <w:t xml:space="preserve">100</w:t>
      </w:r>
      <w:r>
        <w:rPr>
          <w:rFonts w:hint="eastAsia" w:ascii="宋体" w:hAnsi="宋体"/>
          <w:bCs/>
          <w:color w:val="000000" w:themeColor="text1"/>
          <w:sz w:val="24"/>
          <w:szCs w:val="24"/>
          <w:highlight w:val="none"/>
        </w:rPr>
        <w:t xml:space="preserve">。</w:t>
      </w:r>
      <w:r>
        <w:rPr>
          <w:rFonts w:ascii="宋体"/>
          <w:bCs/>
          <w:color w:val="000000" w:themeColor="text1"/>
          <w:sz w:val="24"/>
          <w:szCs w:val="24"/>
          <w:highlight w:val="none"/>
        </w:rPr>
      </w:r>
      <w:r>
        <w:rPr>
          <w:color w:val="000000" w:themeColor="text1"/>
          <w:highlight w:val="none"/>
        </w:rPr>
      </w:r>
    </w:p>
    <w:p>
      <w:pPr>
        <w:pStyle w:val="883"/>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关于价格扣除详见本章第二部分“一、落实政府采购政策的价格调整”。</w:t>
      </w:r>
      <w:r>
        <w:rPr>
          <w:rFonts w:hint="eastAsia" w:ascii="宋体" w:hAnsi="宋体"/>
          <w:bCs/>
          <w:color w:val="000000" w:themeColor="text1"/>
          <w:sz w:val="24"/>
          <w:szCs w:val="24"/>
          <w:highlight w:val="none"/>
        </w:rPr>
      </w:r>
      <w:r>
        <w:rPr>
          <w:color w:val="000000" w:themeColor="text1"/>
          <w:highlight w:val="none"/>
        </w:rPr>
      </w:r>
    </w:p>
    <w:p>
      <w:pPr>
        <w:pStyle w:val="883"/>
        <w:numPr>
          <w:ilvl w:val="4"/>
          <w:numId w:val="7"/>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项目人员配置情况（</w:t>
      </w:r>
      <w:r>
        <w:rPr>
          <w:rFonts w:hint="eastAsia" w:ascii="宋体" w:hAnsi="宋体"/>
          <w:b/>
          <w:bCs/>
          <w:color w:val="000000" w:themeColor="text1"/>
          <w:sz w:val="24"/>
          <w:szCs w:val="24"/>
          <w:highlight w:val="none"/>
        </w:rPr>
        <w:t xml:space="preserve">10</w:t>
      </w:r>
      <w:r>
        <w:rPr>
          <w:rFonts w:hint="eastAsia" w:ascii="宋体" w:hAnsi="宋体"/>
          <w:b/>
          <w:bCs/>
          <w:color w:val="000000" w:themeColor="text1"/>
          <w:sz w:val="24"/>
          <w:szCs w:val="24"/>
          <w:highlight w:val="none"/>
        </w:rPr>
        <w:t xml:space="preserve">分）：</w:t>
      </w:r>
      <w:r>
        <w:rPr>
          <w:rFonts w:hint="eastAsia" w:ascii="宋体" w:hAnsi="宋体"/>
          <w:bCs/>
          <w:color w:val="000000" w:themeColor="text1"/>
          <w:sz w:val="24"/>
          <w:szCs w:val="24"/>
          <w:highlight w:val="none"/>
        </w:rPr>
        <w:t xml:space="preserve">考察投标人为本项目配备的人员情况，人员以填列的《项目人员配置清单》为准（格式见附件），并按评分标准要求提供相应证明材料及表格要求提供所填人员社保证明，否则不得分。</w:t>
      </w:r>
      <w:r>
        <w:rPr>
          <w:rFonts w:ascii="宋体" w:hAnsi="宋体"/>
          <w:b/>
          <w:bCs/>
          <w:color w:val="000000" w:themeColor="text1"/>
          <w:sz w:val="24"/>
          <w:szCs w:val="24"/>
          <w:highlight w:val="none"/>
        </w:rPr>
      </w:r>
      <w:r>
        <w:rPr>
          <w:color w:val="000000" w:themeColor="text1"/>
          <w:highlight w:val="none"/>
        </w:rPr>
      </w:r>
    </w:p>
    <w:p>
      <w:pPr>
        <w:pStyle w:val="883"/>
        <w:ind w:firstLine="480"/>
        <w:spacing w:line="500" w:lineRule="exact"/>
        <w:tabs>
          <w:tab w:val="left" w:pos="945" w:leader="none"/>
          <w:tab w:val="left" w:pos="115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2.1项目经理具有信息系统项目管理师证书、系统规划与管理师、信息安全保障人员认证证书（CISAW）以上证书每有一个得1分，最高3分。</w:t>
      </w:r>
      <w:r>
        <w:rPr>
          <w:color w:val="000000" w:themeColor="text1"/>
          <w:highlight w:val="none"/>
        </w:rPr>
      </w:r>
    </w:p>
    <w:p>
      <w:pPr>
        <w:pStyle w:val="883"/>
        <w:ind w:firstLine="480"/>
        <w:spacing w:line="500" w:lineRule="exact"/>
        <w:tabs>
          <w:tab w:val="left" w:pos="945" w:leader="none"/>
          <w:tab w:val="left" w:pos="115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2.2项目组成员具有CCSC 网络安全能力认证证书（网络安全管理）得0.5分，具有注册信息安全工程师（CISP）证书得0.5分，最高得1分。</w:t>
      </w:r>
      <w:r>
        <w:rPr>
          <w:color w:val="000000" w:themeColor="text1"/>
          <w:highlight w:val="none"/>
        </w:rPr>
      </w:r>
    </w:p>
    <w:p>
      <w:pPr>
        <w:pStyle w:val="883"/>
        <w:ind w:firstLine="480"/>
        <w:spacing w:line="500" w:lineRule="exact"/>
        <w:tabs>
          <w:tab w:val="left" w:pos="945" w:leader="none"/>
          <w:tab w:val="left" w:pos="115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2.3项目组成员具有</w:t>
      </w:r>
      <w:r>
        <w:rPr>
          <w:rFonts w:hint="eastAsia" w:ascii="宋体" w:hAnsi="宋体"/>
          <w:bCs/>
          <w:color w:val="000000" w:themeColor="text1"/>
          <w:sz w:val="24"/>
          <w:szCs w:val="24"/>
          <w:highlight w:val="none"/>
        </w:rPr>
        <w:t xml:space="preserve">IT运维工程师得0.5分</w:t>
      </w:r>
      <w:r>
        <w:rPr>
          <w:rFonts w:hint="eastAsia"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高级IT 运维工程师得</w:t>
      </w:r>
      <w:r>
        <w:rPr>
          <w:rFonts w:hint="eastAsia" w:ascii="宋体" w:hAnsi="宋体"/>
          <w:bCs/>
          <w:color w:val="000000" w:themeColor="text1"/>
          <w:sz w:val="24"/>
          <w:szCs w:val="24"/>
          <w:highlight w:val="none"/>
        </w:rPr>
        <w:t xml:space="preserve">1</w:t>
      </w:r>
      <w:r>
        <w:rPr>
          <w:rFonts w:hint="eastAsia" w:ascii="宋体" w:hAnsi="宋体"/>
          <w:bCs/>
          <w:color w:val="000000" w:themeColor="text1"/>
          <w:sz w:val="24"/>
          <w:szCs w:val="24"/>
          <w:highlight w:val="none"/>
        </w:rPr>
        <w:t xml:space="preserve">分，</w:t>
      </w:r>
      <w:r>
        <w:rPr>
          <w:rFonts w:hint="eastAsia" w:ascii="宋体" w:hAnsi="宋体"/>
          <w:bCs/>
          <w:color w:val="000000" w:themeColor="text1"/>
          <w:sz w:val="24"/>
          <w:szCs w:val="24"/>
          <w:highlight w:val="none"/>
        </w:rPr>
        <w:t xml:space="preserve">本项最高得1分。</w:t>
      </w:r>
      <w:r>
        <w:rPr>
          <w:color w:val="000000" w:themeColor="text1"/>
          <w:highlight w:val="none"/>
        </w:rPr>
      </w:r>
    </w:p>
    <w:p>
      <w:pPr>
        <w:pStyle w:val="883"/>
        <w:ind w:firstLine="480"/>
        <w:spacing w:line="500" w:lineRule="exact"/>
        <w:tabs>
          <w:tab w:val="left" w:pos="945" w:leader="none"/>
          <w:tab w:val="left" w:pos="115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2.4</w:t>
      </w:r>
      <w:r>
        <w:rPr>
          <w:rFonts w:hint="eastAsia" w:ascii="宋体" w:hAnsi="宋体"/>
          <w:bCs/>
          <w:color w:val="000000" w:themeColor="text1"/>
          <w:sz w:val="24"/>
          <w:szCs w:val="24"/>
          <w:highlight w:val="none"/>
        </w:rPr>
        <w:t xml:space="preserve">项目组成员</w:t>
      </w:r>
      <w:r>
        <w:rPr>
          <w:rFonts w:hint="eastAsia" w:ascii="宋体" w:hAnsi="宋体"/>
          <w:bCs/>
          <w:color w:val="000000" w:themeColor="text1"/>
          <w:sz w:val="24"/>
          <w:szCs w:val="24"/>
          <w:highlight w:val="none"/>
        </w:rPr>
        <w:t xml:space="preserve">具</w:t>
      </w:r>
      <w:r>
        <w:rPr>
          <w:rFonts w:hint="eastAsia" w:ascii="宋体" w:hAnsi="宋体"/>
          <w:bCs/>
          <w:color w:val="000000" w:themeColor="text1"/>
          <w:sz w:val="24"/>
          <w:szCs w:val="24"/>
          <w:highlight w:val="none"/>
        </w:rPr>
        <w:t xml:space="preserve">有</w:t>
      </w:r>
      <w:r>
        <w:rPr>
          <w:rFonts w:hint="eastAsia" w:ascii="宋体" w:hAnsi="宋体"/>
          <w:bCs/>
          <w:color w:val="000000" w:themeColor="text1"/>
          <w:sz w:val="24"/>
          <w:szCs w:val="24"/>
          <w:highlight w:val="none"/>
        </w:rPr>
        <w:t xml:space="preserve">CISAW信息安全保障人员证书（安全运维）得</w:t>
      </w:r>
      <w:r>
        <w:rPr>
          <w:rFonts w:hint="eastAsia" w:ascii="宋体" w:hAnsi="宋体"/>
          <w:bCs/>
          <w:color w:val="000000" w:themeColor="text1"/>
          <w:sz w:val="24"/>
          <w:szCs w:val="24"/>
          <w:highlight w:val="none"/>
        </w:rPr>
        <w:t xml:space="preserve">1</w:t>
      </w:r>
      <w:r>
        <w:rPr>
          <w:rFonts w:hint="eastAsia" w:ascii="宋体" w:hAnsi="宋体"/>
          <w:bCs/>
          <w:color w:val="000000" w:themeColor="text1"/>
          <w:sz w:val="24"/>
          <w:szCs w:val="24"/>
          <w:highlight w:val="none"/>
        </w:rPr>
        <w:t xml:space="preserve">分，最高</w:t>
      </w:r>
      <w:r>
        <w:rPr>
          <w:rFonts w:hint="eastAsia" w:ascii="宋体" w:hAnsi="宋体"/>
          <w:bCs/>
          <w:color w:val="000000" w:themeColor="text1"/>
          <w:sz w:val="24"/>
          <w:szCs w:val="24"/>
          <w:highlight w:val="none"/>
        </w:rPr>
        <w:t xml:space="preserve">2</w:t>
      </w:r>
      <w:r>
        <w:rPr>
          <w:rFonts w:hint="eastAsia" w:ascii="宋体" w:hAnsi="宋体"/>
          <w:bCs/>
          <w:color w:val="000000" w:themeColor="text1"/>
          <w:sz w:val="24"/>
          <w:szCs w:val="24"/>
          <w:highlight w:val="none"/>
        </w:rPr>
        <w:t xml:space="preserve">分。</w:t>
      </w:r>
      <w:r>
        <w:rPr>
          <w:color w:val="000000" w:themeColor="text1"/>
          <w:highlight w:val="none"/>
        </w:rPr>
      </w:r>
    </w:p>
    <w:p>
      <w:pPr>
        <w:pStyle w:val="883"/>
        <w:ind w:firstLine="480"/>
        <w:spacing w:line="500" w:lineRule="exact"/>
        <w:tabs>
          <w:tab w:val="left" w:pos="945" w:leader="none"/>
          <w:tab w:val="left" w:pos="115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w:t>
      </w:r>
      <w:r>
        <w:rPr>
          <w:rFonts w:hint="eastAsia" w:ascii="宋体" w:hAnsi="宋体"/>
          <w:bCs/>
          <w:color w:val="000000" w:themeColor="text1"/>
          <w:sz w:val="24"/>
          <w:szCs w:val="24"/>
          <w:highlight w:val="none"/>
        </w:rPr>
        <w:t xml:space="preserve">5</w:t>
      </w:r>
      <w:r>
        <w:rPr>
          <w:rFonts w:hint="eastAsia" w:ascii="宋体" w:hAnsi="宋体"/>
          <w:bCs/>
          <w:color w:val="000000" w:themeColor="text1"/>
          <w:sz w:val="24"/>
          <w:szCs w:val="24"/>
          <w:highlight w:val="none"/>
        </w:rPr>
        <w:t xml:space="preserve">项目组成员具</w:t>
      </w:r>
      <w:r>
        <w:rPr>
          <w:rFonts w:hint="eastAsia" w:ascii="宋体" w:hAnsi="宋体"/>
          <w:bCs/>
          <w:color w:val="000000" w:themeColor="text1"/>
          <w:sz w:val="24"/>
          <w:szCs w:val="24"/>
          <w:highlight w:val="none"/>
        </w:rPr>
        <w:t xml:space="preserve">有</w:t>
      </w:r>
      <w:r>
        <w:rPr>
          <w:rFonts w:hint="eastAsia" w:ascii="宋体" w:hAnsi="宋体"/>
          <w:bCs/>
          <w:color w:val="000000" w:themeColor="text1"/>
          <w:sz w:val="24"/>
          <w:szCs w:val="24"/>
          <w:highlight w:val="none"/>
        </w:rPr>
        <w:t xml:space="preserve">IT服务项目经理得1分，最高1分。</w:t>
      </w:r>
      <w:r>
        <w:rPr>
          <w:color w:val="000000" w:themeColor="text1"/>
          <w:highlight w:val="none"/>
        </w:rPr>
      </w:r>
    </w:p>
    <w:p>
      <w:pPr>
        <w:pStyle w:val="883"/>
        <w:ind w:firstLine="480"/>
        <w:spacing w:line="500" w:lineRule="exact"/>
        <w:tabs>
          <w:tab w:val="left" w:pos="945" w:leader="none"/>
          <w:tab w:val="left" w:pos="115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w:t>
      </w:r>
      <w:r>
        <w:rPr>
          <w:rFonts w:hint="eastAsia" w:ascii="宋体" w:hAnsi="宋体"/>
          <w:bCs/>
          <w:color w:val="000000" w:themeColor="text1"/>
          <w:sz w:val="24"/>
          <w:szCs w:val="24"/>
          <w:highlight w:val="none"/>
        </w:rPr>
        <w:t xml:space="preserve">6</w:t>
      </w:r>
      <w:r>
        <w:rPr>
          <w:rFonts w:hint="eastAsia" w:ascii="宋体" w:hAnsi="宋体"/>
          <w:bCs/>
          <w:color w:val="000000" w:themeColor="text1"/>
          <w:sz w:val="24"/>
          <w:szCs w:val="24"/>
          <w:highlight w:val="none"/>
        </w:rPr>
        <w:t xml:space="preserve">项目组成员具</w:t>
      </w:r>
      <w:r>
        <w:rPr>
          <w:rFonts w:hint="eastAsia" w:ascii="宋体" w:hAnsi="宋体"/>
          <w:bCs/>
          <w:color w:val="000000" w:themeColor="text1"/>
          <w:sz w:val="24"/>
          <w:szCs w:val="24"/>
          <w:highlight w:val="none"/>
        </w:rPr>
        <w:t xml:space="preserve">有</w:t>
      </w:r>
      <w:r>
        <w:rPr>
          <w:rFonts w:hint="eastAsia" w:ascii="宋体" w:hAnsi="宋体"/>
          <w:bCs/>
          <w:color w:val="000000" w:themeColor="text1"/>
          <w:sz w:val="24"/>
          <w:szCs w:val="24"/>
          <w:highlight w:val="none"/>
        </w:rPr>
        <w:t xml:space="preserve">网络规划师得1分，最高得1分。</w:t>
      </w:r>
      <w:r>
        <w:rPr>
          <w:color w:val="000000" w:themeColor="text1"/>
          <w:highlight w:val="none"/>
        </w:rPr>
      </w:r>
    </w:p>
    <w:p>
      <w:pPr>
        <w:pStyle w:val="883"/>
        <w:ind w:firstLine="480"/>
        <w:spacing w:line="500" w:lineRule="exact"/>
        <w:tabs>
          <w:tab w:val="left" w:pos="945" w:leader="none"/>
          <w:tab w:val="left" w:pos="1155"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w:t>
      </w:r>
      <w:r>
        <w:rPr>
          <w:rFonts w:hint="eastAsia" w:ascii="宋体" w:hAnsi="宋体"/>
          <w:bCs/>
          <w:color w:val="000000" w:themeColor="text1"/>
          <w:sz w:val="24"/>
          <w:szCs w:val="24"/>
          <w:highlight w:val="none"/>
        </w:rPr>
        <w:t xml:space="preserve">7</w:t>
      </w:r>
      <w:r>
        <w:rPr>
          <w:rFonts w:hint="eastAsia" w:ascii="宋体" w:hAnsi="宋体"/>
          <w:bCs/>
          <w:color w:val="000000" w:themeColor="text1"/>
          <w:sz w:val="24"/>
          <w:szCs w:val="24"/>
          <w:highlight w:val="none"/>
        </w:rPr>
        <w:t xml:space="preserve">项目组成员具有高级安防系统工程师得</w:t>
      </w:r>
      <w:r>
        <w:rPr>
          <w:rFonts w:hint="eastAsia" w:ascii="宋体" w:hAnsi="宋体"/>
          <w:bCs/>
          <w:color w:val="000000" w:themeColor="text1"/>
          <w:sz w:val="24"/>
          <w:szCs w:val="24"/>
          <w:highlight w:val="none"/>
        </w:rPr>
        <w:t xml:space="preserve">1</w:t>
      </w:r>
      <w:r>
        <w:rPr>
          <w:rFonts w:hint="eastAsia" w:ascii="宋体" w:hAnsi="宋体"/>
          <w:bCs/>
          <w:color w:val="000000" w:themeColor="text1"/>
          <w:sz w:val="24"/>
          <w:szCs w:val="24"/>
          <w:highlight w:val="none"/>
        </w:rPr>
        <w:t xml:space="preserve">分，最高</w:t>
      </w:r>
      <w:r>
        <w:rPr>
          <w:rFonts w:hint="eastAsia" w:ascii="宋体" w:hAnsi="宋体"/>
          <w:bCs/>
          <w:color w:val="000000" w:themeColor="text1"/>
          <w:sz w:val="24"/>
          <w:szCs w:val="24"/>
          <w:highlight w:val="none"/>
        </w:rPr>
        <w:t xml:space="preserve">得</w:t>
      </w:r>
      <w:r>
        <w:rPr>
          <w:rFonts w:hint="eastAsia" w:ascii="宋体" w:hAnsi="宋体"/>
          <w:bCs/>
          <w:color w:val="000000" w:themeColor="text1"/>
          <w:sz w:val="24"/>
          <w:szCs w:val="24"/>
          <w:highlight w:val="none"/>
        </w:rPr>
        <w:t xml:space="preserve">1分。</w:t>
      </w:r>
      <w:r>
        <w:rPr>
          <w:rFonts w:ascii="宋体" w:hAnsi="宋体"/>
          <w:bCs/>
          <w:color w:val="000000" w:themeColor="text1"/>
          <w:sz w:val="24"/>
          <w:szCs w:val="24"/>
          <w:highlight w:val="none"/>
        </w:rPr>
      </w:r>
      <w:r>
        <w:rPr>
          <w:color w:val="000000" w:themeColor="text1"/>
          <w:highlight w:val="none"/>
        </w:rPr>
      </w:r>
    </w:p>
    <w:p>
      <w:pPr>
        <w:pStyle w:val="883"/>
        <w:numPr>
          <w:ilvl w:val="4"/>
          <w:numId w:val="7"/>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投标人综合情况（5分）：</w:t>
      </w:r>
      <w:r>
        <w:rPr>
          <w:rFonts w:ascii="宋体" w:hAnsi="宋体"/>
          <w:b/>
          <w:bCs/>
          <w:color w:val="000000" w:themeColor="text1"/>
          <w:sz w:val="24"/>
          <w:szCs w:val="24"/>
          <w:highlight w:val="none"/>
        </w:rPr>
      </w:r>
      <w:r>
        <w:rPr>
          <w:color w:val="000000" w:themeColor="text1"/>
          <w:highlight w:val="none"/>
        </w:rPr>
      </w:r>
    </w:p>
    <w:p>
      <w:pPr>
        <w:pStyle w:val="883"/>
        <w:ind w:firstLine="480"/>
        <w:spacing w:line="500" w:lineRule="exact"/>
        <w:rPr>
          <w:rFonts w:ascii="宋体" w:hAnsi="宋体"/>
          <w:color w:val="000000" w:themeColor="text1"/>
          <w:sz w:val="24"/>
          <w:highlight w:val="none"/>
        </w:rPr>
      </w:pPr>
      <w:r>
        <w:rPr>
          <w:rFonts w:hint="eastAsia" w:ascii="宋体" w:hAnsi="宋体"/>
          <w:color w:val="000000" w:themeColor="text1"/>
          <w:sz w:val="24"/>
          <w:highlight w:val="none"/>
        </w:rPr>
        <w:t xml:space="preserve">3.1   业绩（</w:t>
      </w:r>
      <w:r>
        <w:rPr>
          <w:rFonts w:ascii="宋体" w:hAnsi="宋体"/>
          <w:color w:val="000000" w:themeColor="text1"/>
          <w:sz w:val="24"/>
          <w:highlight w:val="none"/>
        </w:rPr>
        <w:t xml:space="preserve">2</w:t>
      </w:r>
      <w:r>
        <w:rPr>
          <w:rFonts w:hint="eastAsia" w:ascii="宋体" w:hAnsi="宋体"/>
          <w:color w:val="000000" w:themeColor="text1"/>
          <w:sz w:val="24"/>
          <w:highlight w:val="none"/>
        </w:rPr>
        <w:t xml:space="preserve">分）：投标人2021年1月1日以来承担过类似项目成功案例的，每提供1份有效合同复印件加盖公章得1分，最高得</w:t>
      </w:r>
      <w:r>
        <w:rPr>
          <w:rFonts w:ascii="宋体" w:hAnsi="宋体"/>
          <w:color w:val="000000" w:themeColor="text1"/>
          <w:sz w:val="24"/>
          <w:highlight w:val="none"/>
        </w:rPr>
        <w:t xml:space="preserve">2</w:t>
      </w:r>
      <w:r>
        <w:rPr>
          <w:rFonts w:hint="eastAsia" w:ascii="宋体" w:hAnsi="宋体"/>
          <w:color w:val="000000" w:themeColor="text1"/>
          <w:sz w:val="24"/>
          <w:highlight w:val="none"/>
        </w:rPr>
        <w:t xml:space="preserve">分。</w:t>
      </w:r>
      <w:r>
        <w:rPr>
          <w:rFonts w:ascii="宋体" w:hAnsi="宋体"/>
          <w:color w:val="000000" w:themeColor="text1"/>
          <w:sz w:val="24"/>
          <w:highlight w:val="none"/>
        </w:rPr>
      </w:r>
      <w:r>
        <w:rPr>
          <w:color w:val="000000" w:themeColor="text1"/>
          <w:highlight w:val="none"/>
        </w:rPr>
      </w:r>
    </w:p>
    <w:p>
      <w:pPr>
        <w:pStyle w:val="883"/>
        <w:ind w:firstLine="480"/>
        <w:spacing w:line="500" w:lineRule="exact"/>
        <w:rPr>
          <w:rFonts w:ascii="宋体" w:hAnsi="宋体"/>
          <w:color w:val="000000" w:themeColor="text1"/>
          <w:sz w:val="24"/>
          <w:highlight w:val="none"/>
        </w:rPr>
      </w:pPr>
      <w:r>
        <w:rPr>
          <w:rFonts w:hint="eastAsia" w:ascii="宋体" w:hAnsi="宋体"/>
          <w:color w:val="000000" w:themeColor="text1"/>
          <w:sz w:val="24"/>
          <w:highlight w:val="none"/>
        </w:rPr>
        <w:t xml:space="preserve">3.2  认证体系（</w:t>
      </w:r>
      <w:r>
        <w:rPr>
          <w:rFonts w:ascii="宋体" w:hAnsi="宋体"/>
          <w:color w:val="000000" w:themeColor="text1"/>
          <w:sz w:val="24"/>
          <w:highlight w:val="none"/>
        </w:rPr>
        <w:t xml:space="preserve">3</w:t>
      </w:r>
      <w:r>
        <w:rPr>
          <w:rFonts w:hint="eastAsia" w:ascii="宋体" w:hAnsi="宋体"/>
          <w:color w:val="000000" w:themeColor="text1"/>
          <w:sz w:val="24"/>
          <w:highlight w:val="none"/>
        </w:rPr>
        <w:t xml:space="preserve">分）：投标人具有有效期内的质量管理体系认证证书、环境管理体系认证证书、职业健康安全管理体系认证证书、信息安全管理系统认证证书、隐私信息管理体系认证证书、合规管理体系认证证书的，每提供1个得0.5分，最高得3分。（投标文件中须提供相应证书扫描件和相应证书在“国家市场监督管理总局-全国认证认可信息公共服务平台”网站查询到的有效认证截图，并加盖投标人公章，否则不得分）。</w:t>
      </w:r>
      <w:r>
        <w:rPr>
          <w:rFonts w:ascii="宋体" w:hAnsi="宋体"/>
          <w:color w:val="000000" w:themeColor="text1"/>
          <w:sz w:val="24"/>
          <w:highlight w:val="none"/>
        </w:rPr>
      </w:r>
      <w:r>
        <w:rPr>
          <w:color w:val="000000" w:themeColor="text1"/>
          <w:highlight w:val="none"/>
        </w:rPr>
      </w:r>
    </w:p>
    <w:p>
      <w:pPr>
        <w:pStyle w:val="883"/>
        <w:numPr>
          <w:ilvl w:val="4"/>
          <w:numId w:val="7"/>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
          <w:bCs/>
          <w:color w:val="000000" w:themeColor="text1"/>
          <w:sz w:val="24"/>
          <w:szCs w:val="24"/>
          <w:highlight w:val="none"/>
        </w:rPr>
      </w:pPr>
      <w:r>
        <w:rPr>
          <w:rFonts w:hint="eastAsia" w:ascii="宋体" w:hAnsi="宋体"/>
          <w:b/>
          <w:bCs/>
          <w:color w:val="000000" w:themeColor="text1"/>
          <w:sz w:val="24"/>
          <w:highlight w:val="none"/>
        </w:rPr>
        <w:t xml:space="preserve">产品性能</w:t>
      </w:r>
      <w:r>
        <w:rPr>
          <w:rFonts w:hint="eastAsia" w:ascii="宋体" w:hAnsi="宋体"/>
          <w:b/>
          <w:bCs/>
          <w:color w:val="000000" w:themeColor="text1"/>
          <w:sz w:val="24"/>
          <w:szCs w:val="24"/>
          <w:highlight w:val="none"/>
        </w:rPr>
        <w:t xml:space="preserve">（</w:t>
      </w:r>
      <w:r>
        <w:rPr>
          <w:rFonts w:hint="eastAsia" w:ascii="宋体" w:hAnsi="宋体"/>
          <w:b/>
          <w:bCs/>
          <w:color w:val="000000" w:themeColor="text1"/>
          <w:sz w:val="24"/>
          <w:szCs w:val="24"/>
          <w:highlight w:val="none"/>
        </w:rPr>
        <w:t xml:space="preserve">12</w:t>
      </w:r>
      <w:r>
        <w:rPr>
          <w:rFonts w:hint="eastAsia" w:ascii="宋体" w:hAnsi="宋体"/>
          <w:b/>
          <w:bCs/>
          <w:color w:val="000000" w:themeColor="text1"/>
          <w:sz w:val="24"/>
          <w:szCs w:val="24"/>
          <w:highlight w:val="none"/>
        </w:rPr>
        <w:t xml:space="preserve">分）</w:t>
      </w:r>
      <w:r>
        <w:rPr>
          <w:rFonts w:ascii="宋体" w:hAnsi="宋体"/>
          <w:b/>
          <w:bCs/>
          <w:color w:val="000000" w:themeColor="text1"/>
          <w:sz w:val="24"/>
          <w:szCs w:val="24"/>
          <w:highlight w:val="none"/>
        </w:rPr>
      </w:r>
      <w:r>
        <w:rPr>
          <w:color w:val="000000" w:themeColor="text1"/>
          <w:highlight w:val="none"/>
        </w:rPr>
      </w:r>
    </w:p>
    <w:p>
      <w:pPr>
        <w:pStyle w:val="883"/>
        <w:ind w:firstLine="480"/>
        <w:spacing w:line="500" w:lineRule="exact"/>
        <w:rPr>
          <w:rFonts w:ascii="宋体" w:hAnsi="宋体"/>
          <w:color w:val="000000" w:themeColor="text1"/>
          <w:sz w:val="24"/>
          <w:highlight w:val="none"/>
        </w:rPr>
      </w:pPr>
      <w:r>
        <w:rPr>
          <w:rFonts w:hint="eastAsia" w:ascii="宋体" w:hAnsi="宋体"/>
          <w:color w:val="000000" w:themeColor="text1"/>
          <w:sz w:val="24"/>
          <w:highlight w:val="none"/>
        </w:rPr>
        <w:t xml:space="preserve">4.1  投标人选用的综合运维管理平台满足以下功能：1、所投综合管理平台支持生成健康报告：系统会根据采集到的信息，按月统计最高温度、最低温度、平均温度、最高电压、最低电压、平均电压等信息生成所有载体的健康报告，支持从技术服务、传感器、视频处理器、配电柜等多个角度分析显示屏健康状况，形成健康度分析图并根据健康情况，自动给出匹配的维修建议；2、所投综</w:t>
      </w:r>
      <w:r>
        <w:rPr>
          <w:rFonts w:hint="eastAsia" w:ascii="宋体" w:hAnsi="宋体"/>
          <w:color w:val="000000" w:themeColor="text1"/>
          <w:sz w:val="24"/>
          <w:highlight w:val="none"/>
        </w:rPr>
        <w:t xml:space="preserve">合管理平台支持当大屏配电柜采用智能PLC时，监控大屏配电柜每一路空开的开关状态，可通过平台软件远程对每一路空开进行开、合操作，同时支持检修模式，当开启检修模式时，空开无法远程闭合，避免发生触电风险；3、所投综合管理平台支持展示LED屏体：使用状态、运维单位、安装厂商、质保厂商、供应厂商、项目编号、项目名称、维保时间、箱体型号、箱体行数、箱体列数、分辨率、电源走线、安装时间等信息。提供软件界面及健康报告截图进行佐证，并且带有CMA或CNAS标识的第三方检测报告证明并加盖公章，满足一项得1分，本项最高分得3分。</w:t>
      </w:r>
      <w:r>
        <w:rPr>
          <w:rFonts w:ascii="宋体" w:hAnsi="宋体"/>
          <w:color w:val="000000" w:themeColor="text1"/>
          <w:sz w:val="24"/>
          <w:highlight w:val="none"/>
        </w:rPr>
      </w:r>
      <w:r>
        <w:rPr>
          <w:color w:val="000000" w:themeColor="text1"/>
          <w:highlight w:val="none"/>
        </w:rPr>
      </w:r>
    </w:p>
    <w:p>
      <w:pPr>
        <w:pStyle w:val="883"/>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4.2  投标人选用的大屏拼控器满足以下功能：1、输出接口画质支持亮度、对比度、饱和度、色调、色温等，可添加22种测试画面图像，支持间距、速度、亮度调节；2、预监画面分辨率不低于200万，帧率不低于60Hz。支持对所有信号输入音量开关控制、预监和预调节；用户可通过预监配置，自定义选择预监信号源的路数及所要预监信号板卡的所在位置。提供带有CMA或CNAS标识的第三方检测报告证明并加盖公章，满足一项得</w:t>
      </w:r>
      <w:r>
        <w:rPr>
          <w:rFonts w:hint="eastAsia" w:ascii="宋体" w:hAnsi="宋体"/>
          <w:color w:val="000000" w:themeColor="text1"/>
          <w:sz w:val="24"/>
          <w:highlight w:val="none"/>
        </w:rPr>
        <w:t xml:space="preserve">1</w:t>
      </w:r>
      <w:r>
        <w:rPr>
          <w:rFonts w:hint="eastAsia" w:ascii="宋体" w:hAnsi="宋体"/>
          <w:color w:val="000000" w:themeColor="text1"/>
          <w:sz w:val="24"/>
          <w:highlight w:val="none"/>
        </w:rPr>
        <w:t xml:space="preserve">分，本项最高分得</w:t>
      </w:r>
      <w:r>
        <w:rPr>
          <w:rFonts w:hint="eastAsia" w:ascii="宋体" w:hAnsi="宋体"/>
          <w:color w:val="000000" w:themeColor="text1"/>
          <w:sz w:val="24"/>
          <w:highlight w:val="none"/>
        </w:rPr>
        <w:t xml:space="preserve">2</w:t>
      </w:r>
      <w:r>
        <w:rPr>
          <w:rFonts w:hint="eastAsia" w:ascii="宋体" w:hAnsi="宋体"/>
          <w:color w:val="000000" w:themeColor="text1"/>
          <w:sz w:val="24"/>
          <w:highlight w:val="none"/>
        </w:rPr>
        <w:t xml:space="preserve">分。</w:t>
      </w:r>
      <w:r>
        <w:rPr>
          <w:color w:val="000000" w:themeColor="text1"/>
          <w:highlight w:val="none"/>
        </w:rPr>
      </w:r>
    </w:p>
    <w:p>
      <w:pPr>
        <w:pStyle w:val="883"/>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4.3投标人选用的多功能综合信号处理器满足以下功能：支持主备系统自动切换功能，当主机故障时可自动切换至备用主机，保证系统无间断运行；主备切换时，无黑屏、花屏等中间过渡态，主备切换延时≤2ms;光端机主备链路都中断，链路恢复后，亮屏时间≤0.5s。提供带有CMA或CNAS标识的第三方检测报告证明并加盖公章，</w:t>
      </w:r>
      <w:r>
        <w:rPr>
          <w:rFonts w:hint="eastAsia" w:ascii="宋体" w:hAnsi="宋体"/>
          <w:color w:val="000000" w:themeColor="text1"/>
          <w:sz w:val="24"/>
          <w:highlight w:val="none"/>
        </w:rPr>
        <w:t xml:space="preserve">得1分</w:t>
      </w:r>
      <w:r>
        <w:rPr>
          <w:rFonts w:hint="eastAsia" w:ascii="宋体" w:hAnsi="宋体"/>
          <w:color w:val="000000" w:themeColor="text1"/>
          <w:sz w:val="24"/>
          <w:highlight w:val="none"/>
        </w:rPr>
        <w:t xml:space="preserve">。</w:t>
      </w:r>
      <w:r>
        <w:rPr>
          <w:color w:val="000000" w:themeColor="text1"/>
          <w:highlight w:val="none"/>
        </w:rPr>
      </w:r>
    </w:p>
    <w:p>
      <w:pPr>
        <w:pStyle w:val="883"/>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4.4投标人选用的</w:t>
      </w:r>
      <w:r>
        <w:rPr>
          <w:rFonts w:ascii="宋体" w:hAnsi="宋体"/>
          <w:color w:val="000000" w:themeColor="text1"/>
          <w:sz w:val="24"/>
          <w:highlight w:val="none"/>
        </w:rPr>
        <w:t xml:space="preserve">全数字会议系统主机</w:t>
      </w:r>
      <w:r>
        <w:rPr>
          <w:rFonts w:hint="eastAsia" w:ascii="宋体" w:hAnsi="宋体"/>
          <w:color w:val="000000" w:themeColor="text1"/>
          <w:sz w:val="24"/>
          <w:highlight w:val="none"/>
        </w:rPr>
        <w:t xml:space="preserve">满足以下功能：系统可扩展带载≥4096台有线会议话筒和≥300台无线会议话筒。系统支持同时发言数量≥24只话筒，其中支持≥16个有线话筒和≥8个无线话筒同时发言；具有自定义话筒发言人数功能，有线话筒发言人数范围可设置为1至16之间的任意数量；无线话筒发言人数范围可设置为1至8之间的任意数量。提供带有CMA或CNAS标识的第三方检测报告证明并加盖公章，得</w:t>
      </w:r>
      <w:r>
        <w:rPr>
          <w:rFonts w:hint="eastAsia" w:ascii="宋体" w:hAnsi="宋体"/>
          <w:color w:val="000000" w:themeColor="text1"/>
          <w:sz w:val="24"/>
          <w:highlight w:val="none"/>
        </w:rPr>
        <w:t xml:space="preserve">1</w:t>
      </w:r>
      <w:r>
        <w:rPr>
          <w:rFonts w:hint="eastAsia" w:ascii="宋体" w:hAnsi="宋体"/>
          <w:color w:val="000000" w:themeColor="text1"/>
          <w:sz w:val="24"/>
          <w:highlight w:val="none"/>
        </w:rPr>
        <w:t xml:space="preserve">分。</w:t>
      </w:r>
      <w:r>
        <w:rPr>
          <w:color w:val="000000" w:themeColor="text1"/>
          <w:highlight w:val="none"/>
        </w:rPr>
      </w:r>
    </w:p>
    <w:p>
      <w:pPr>
        <w:pStyle w:val="883"/>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4.5投标人选用的MCU服务器满足以下功能：1、支持XMPP协议，支持即时通信功能。即时通信客户端支持查看组织架构、文字聊天、分组讨论、虚拟会议室参加视频会议、自主召开多方视频会议、文档共享等功能；2、系统支持国家密码局认定的国产密码算法，保证信息安全自主可控。提供带有CMA或CNAS标识的第三方检测报告证明并加盖公章，满足一项得</w:t>
      </w:r>
      <w:r>
        <w:rPr>
          <w:rFonts w:hint="eastAsia" w:ascii="宋体" w:hAnsi="宋体"/>
          <w:color w:val="000000" w:themeColor="text1"/>
          <w:sz w:val="24"/>
          <w:highlight w:val="none"/>
        </w:rPr>
        <w:t xml:space="preserve">1</w:t>
      </w:r>
      <w:r>
        <w:rPr>
          <w:rFonts w:hint="eastAsia" w:ascii="宋体" w:hAnsi="宋体"/>
          <w:color w:val="000000" w:themeColor="text1"/>
          <w:sz w:val="24"/>
          <w:highlight w:val="none"/>
        </w:rPr>
        <w:t xml:space="preserve">分，本项最高分得</w:t>
      </w:r>
      <w:r>
        <w:rPr>
          <w:rFonts w:hint="eastAsia" w:ascii="宋体" w:hAnsi="宋体"/>
          <w:color w:val="000000" w:themeColor="text1"/>
          <w:sz w:val="24"/>
          <w:highlight w:val="none"/>
        </w:rPr>
        <w:t xml:space="preserve">2</w:t>
      </w:r>
      <w:r>
        <w:rPr>
          <w:rFonts w:hint="eastAsia" w:ascii="宋体" w:hAnsi="宋体"/>
          <w:color w:val="000000" w:themeColor="text1"/>
          <w:sz w:val="24"/>
          <w:highlight w:val="none"/>
        </w:rPr>
        <w:t xml:space="preserve">分。</w:t>
      </w:r>
      <w:r>
        <w:rPr>
          <w:color w:val="000000" w:themeColor="text1"/>
          <w:highlight w:val="none"/>
        </w:rPr>
      </w:r>
    </w:p>
    <w:p>
      <w:pPr>
        <w:pStyle w:val="883"/>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4.6投标人选用的视频会议终端满足以下功能：1、支持1个FXO电话接口，支持空闲或会议中电话接入；2、终端配套的遥控器采用ZigBee无线通信技术控制，可控范围至少20m、控制信号不易被遮挡。提供带有CMA或CNAS标识的第三方检测报告证明并加盖公章，满足一项得</w:t>
      </w:r>
      <w:r>
        <w:rPr>
          <w:rFonts w:hint="eastAsia" w:ascii="宋体" w:hAnsi="宋体"/>
          <w:color w:val="000000" w:themeColor="text1"/>
          <w:sz w:val="24"/>
          <w:highlight w:val="none"/>
        </w:rPr>
        <w:t xml:space="preserve">1</w:t>
      </w:r>
      <w:r>
        <w:rPr>
          <w:rFonts w:hint="eastAsia" w:ascii="宋体" w:hAnsi="宋体"/>
          <w:color w:val="000000" w:themeColor="text1"/>
          <w:sz w:val="24"/>
          <w:highlight w:val="none"/>
        </w:rPr>
        <w:t xml:space="preserve">分，本项最高分得</w:t>
      </w:r>
      <w:r>
        <w:rPr>
          <w:rFonts w:hint="eastAsia" w:ascii="宋体" w:hAnsi="宋体"/>
          <w:color w:val="000000" w:themeColor="text1"/>
          <w:sz w:val="24"/>
          <w:highlight w:val="none"/>
        </w:rPr>
        <w:t xml:space="preserve">2</w:t>
      </w:r>
      <w:r>
        <w:rPr>
          <w:rFonts w:hint="eastAsia" w:ascii="宋体" w:hAnsi="宋体"/>
          <w:color w:val="000000" w:themeColor="text1"/>
          <w:sz w:val="24"/>
          <w:highlight w:val="none"/>
        </w:rPr>
        <w:t xml:space="preserve">分。</w:t>
      </w:r>
      <w:r>
        <w:rPr>
          <w:color w:val="000000" w:themeColor="text1"/>
          <w:highlight w:val="none"/>
        </w:rPr>
      </w:r>
    </w:p>
    <w:p>
      <w:pPr>
        <w:pStyle w:val="883"/>
        <w:ind w:firstLine="480"/>
        <w:spacing w:line="500" w:lineRule="exact"/>
        <w:rPr>
          <w:rFonts w:ascii="宋体" w:hAnsi="宋体"/>
          <w:color w:val="000000" w:themeColor="text1"/>
          <w:sz w:val="24"/>
          <w:highlight w:val="none"/>
        </w:rPr>
      </w:pPr>
      <w:r>
        <w:rPr>
          <w:rFonts w:hint="eastAsia" w:ascii="宋体" w:hAnsi="宋体"/>
          <w:color w:val="000000" w:themeColor="text1"/>
          <w:sz w:val="24"/>
          <w:highlight w:val="none"/>
        </w:rPr>
        <w:t xml:space="preserve">4.7投标人选用的人脸门禁满足以下功能：设备接入系统平台后应能支持视频联动报警功能；未授权人员刷人脸时，设备应能支持抓拍图片并实时上报平台预警；系统应具有应急开启的方法，如设备支持接入消防应急信号联动开门； 根据设定事件的联动关系，当检测到该事件发生时，应能触发对应的动作。提供带有CMA或CNAS标识的第三方检测报告证明并加盖公章，得1分。</w:t>
      </w:r>
      <w:r>
        <w:rPr>
          <w:rFonts w:ascii="宋体" w:hAnsi="宋体"/>
          <w:color w:val="000000" w:themeColor="text1"/>
          <w:sz w:val="24"/>
          <w:highlight w:val="none"/>
        </w:rPr>
      </w:r>
      <w:r>
        <w:rPr>
          <w:color w:val="000000" w:themeColor="text1"/>
          <w:highlight w:val="none"/>
        </w:rPr>
      </w:r>
    </w:p>
    <w:p>
      <w:pPr>
        <w:pStyle w:val="883"/>
        <w:numPr>
          <w:ilvl w:val="4"/>
          <w:numId w:val="7"/>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项目方案（3</w:t>
      </w:r>
      <w:r>
        <w:rPr>
          <w:rFonts w:hint="eastAsia" w:ascii="宋体" w:hAnsi="宋体"/>
          <w:b/>
          <w:bCs/>
          <w:color w:val="000000" w:themeColor="text1"/>
          <w:sz w:val="24"/>
          <w:szCs w:val="24"/>
          <w:highlight w:val="none"/>
        </w:rPr>
        <w:t xml:space="preserve">6</w:t>
      </w:r>
      <w:r>
        <w:rPr>
          <w:rFonts w:hint="eastAsia" w:ascii="宋体" w:hAnsi="宋体"/>
          <w:b/>
          <w:bCs/>
          <w:color w:val="000000" w:themeColor="text1"/>
          <w:sz w:val="24"/>
          <w:szCs w:val="24"/>
          <w:highlight w:val="none"/>
        </w:rPr>
        <w:t xml:space="preserve">分）：</w:t>
      </w:r>
      <w:r>
        <w:rPr>
          <w:rFonts w:ascii="宋体" w:hAnsi="宋体"/>
          <w:b/>
          <w:bCs/>
          <w:color w:val="000000" w:themeColor="text1"/>
          <w:sz w:val="24"/>
          <w:szCs w:val="24"/>
          <w:highlight w:val="none"/>
        </w:rPr>
      </w:r>
      <w:r>
        <w:rPr>
          <w:color w:val="000000" w:themeColor="text1"/>
          <w:highlight w:val="none"/>
        </w:rPr>
      </w:r>
    </w:p>
    <w:p>
      <w:pPr>
        <w:pStyle w:val="883"/>
        <w:ind w:firstLine="480"/>
        <w:spacing w:line="500" w:lineRule="exact"/>
        <w:rPr>
          <w:rFonts w:ascii="宋体" w:hAnsi="宋体"/>
          <w:color w:val="000000" w:themeColor="text1"/>
          <w:sz w:val="24"/>
          <w:highlight w:val="none"/>
        </w:rPr>
      </w:pPr>
      <w:r>
        <w:rPr>
          <w:rFonts w:hint="eastAsia" w:ascii="宋体" w:hAnsi="宋体"/>
          <w:color w:val="000000" w:themeColor="text1"/>
          <w:sz w:val="24"/>
          <w:highlight w:val="none"/>
        </w:rPr>
        <w:t xml:space="preserve">5.1  </w:t>
      </w:r>
      <w:r>
        <w:rPr>
          <w:rFonts w:ascii="宋体" w:hAnsi="宋体"/>
          <w:color w:val="000000" w:themeColor="text1"/>
          <w:sz w:val="24"/>
          <w:highlight w:val="none"/>
        </w:rPr>
        <w:t xml:space="preserve"> </w:t>
      </w:r>
      <w:r>
        <w:rPr>
          <w:rFonts w:hint="eastAsia" w:ascii="宋体" w:hAnsi="宋体"/>
          <w:color w:val="000000" w:themeColor="text1"/>
          <w:sz w:val="24"/>
          <w:highlight w:val="none"/>
        </w:rPr>
        <w:t xml:space="preserve">总体概述（</w:t>
      </w:r>
      <w:r>
        <w:rPr>
          <w:rFonts w:hint="eastAsia" w:ascii="宋体" w:hAnsi="宋体"/>
          <w:color w:val="000000" w:themeColor="text1"/>
          <w:sz w:val="24"/>
          <w:highlight w:val="none"/>
        </w:rPr>
        <w:t xml:space="preserve">8</w:t>
      </w:r>
      <w:r>
        <w:rPr>
          <w:rFonts w:hint="eastAsia" w:ascii="宋体" w:hAnsi="宋体"/>
          <w:color w:val="000000" w:themeColor="text1"/>
          <w:sz w:val="24"/>
          <w:highlight w:val="none"/>
        </w:rPr>
        <w:t xml:space="preserve">分）：投标人总体设想、方案针对性及施工段划分。施工组织总体设计阐述；对施工项目内容的理解及施工方案的针对性；施工段划分的合理性阐述。方案清晰、合理、详细、全面、针对性强、可行性强</w:t>
      </w:r>
      <w:r>
        <w:rPr>
          <w:rFonts w:hint="eastAsia" w:ascii="宋体" w:hAnsi="宋体"/>
          <w:color w:val="000000" w:themeColor="text1"/>
          <w:sz w:val="24"/>
          <w:highlight w:val="none"/>
        </w:rPr>
        <w:t xml:space="preserve">8</w:t>
      </w:r>
      <w:r>
        <w:rPr>
          <w:rFonts w:hint="eastAsia" w:ascii="宋体" w:hAnsi="宋体"/>
          <w:color w:val="000000" w:themeColor="text1"/>
          <w:sz w:val="24"/>
          <w:highlight w:val="none"/>
        </w:rPr>
        <w:t xml:space="preserve">分，方案清晰、合理、详细、全面</w:t>
      </w:r>
      <w:r>
        <w:rPr>
          <w:rFonts w:hint="eastAsia" w:ascii="宋体" w:hAnsi="宋体"/>
          <w:color w:val="000000" w:themeColor="text1"/>
          <w:sz w:val="24"/>
          <w:highlight w:val="none"/>
        </w:rPr>
        <w:t xml:space="preserve">6</w:t>
      </w:r>
      <w:r>
        <w:rPr>
          <w:rFonts w:hint="eastAsia" w:ascii="宋体" w:hAnsi="宋体"/>
          <w:color w:val="000000" w:themeColor="text1"/>
          <w:sz w:val="24"/>
          <w:highlight w:val="none"/>
        </w:rPr>
        <w:t xml:space="preserve">分，方案基本满足招标文件要求</w:t>
      </w:r>
      <w:r>
        <w:rPr>
          <w:rFonts w:hint="eastAsia" w:ascii="宋体" w:hAnsi="宋体"/>
          <w:color w:val="000000" w:themeColor="text1"/>
          <w:sz w:val="24"/>
          <w:highlight w:val="none"/>
        </w:rPr>
        <w:t xml:space="preserve">4</w:t>
      </w:r>
      <w:r>
        <w:rPr>
          <w:rFonts w:hint="eastAsia" w:ascii="宋体" w:hAnsi="宋体"/>
          <w:color w:val="000000" w:themeColor="text1"/>
          <w:sz w:val="24"/>
          <w:highlight w:val="none"/>
        </w:rPr>
        <w:t xml:space="preserve">分。</w:t>
      </w:r>
      <w:r>
        <w:rPr>
          <w:rFonts w:ascii="宋体" w:hAnsi="宋体"/>
          <w:color w:val="000000" w:themeColor="text1"/>
          <w:sz w:val="24"/>
          <w:highlight w:val="none"/>
        </w:rPr>
      </w:r>
      <w:r>
        <w:rPr>
          <w:color w:val="000000" w:themeColor="text1"/>
          <w:highlight w:val="none"/>
        </w:rPr>
      </w:r>
    </w:p>
    <w:p>
      <w:pPr>
        <w:pStyle w:val="883"/>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5.2  </w:t>
      </w:r>
      <w:r>
        <w:rPr>
          <w:rFonts w:ascii="宋体" w:hAnsi="宋体"/>
          <w:color w:val="000000" w:themeColor="text1"/>
          <w:sz w:val="24"/>
          <w:highlight w:val="none"/>
        </w:rPr>
        <w:t xml:space="preserve"> </w:t>
      </w:r>
      <w:r>
        <w:rPr>
          <w:rFonts w:hint="eastAsia" w:ascii="宋体" w:hAnsi="宋体"/>
          <w:color w:val="000000" w:themeColor="text1"/>
          <w:sz w:val="24"/>
          <w:highlight w:val="none"/>
        </w:rPr>
        <w:t xml:space="preserve">整体设计（</w:t>
      </w:r>
      <w:r>
        <w:rPr>
          <w:rFonts w:hint="eastAsia" w:ascii="宋体" w:hAnsi="宋体"/>
          <w:color w:val="000000" w:themeColor="text1"/>
          <w:sz w:val="24"/>
          <w:highlight w:val="none"/>
        </w:rPr>
        <w:t xml:space="preserve">8</w:t>
      </w:r>
      <w:r>
        <w:rPr>
          <w:rFonts w:hint="eastAsia" w:ascii="宋体" w:hAnsi="宋体"/>
          <w:color w:val="000000" w:themeColor="text1"/>
          <w:sz w:val="24"/>
          <w:highlight w:val="none"/>
        </w:rPr>
        <w:t xml:space="preserve">分）：投标人对实际情况的理解、需求分析及平台设计的科学合理性。施工现场平面总体布置合理性；项目需求分析阐述；平台设计的科学合理性。方案清晰、合理、详细、全面、针对性强、可行性强</w:t>
      </w:r>
      <w:r>
        <w:rPr>
          <w:rFonts w:hint="eastAsia" w:ascii="宋体" w:hAnsi="宋体"/>
          <w:color w:val="000000" w:themeColor="text1"/>
          <w:sz w:val="24"/>
          <w:highlight w:val="none"/>
        </w:rPr>
        <w:t xml:space="preserve">8</w:t>
      </w:r>
      <w:r>
        <w:rPr>
          <w:rFonts w:hint="eastAsia" w:ascii="宋体" w:hAnsi="宋体"/>
          <w:color w:val="000000" w:themeColor="text1"/>
          <w:sz w:val="24"/>
          <w:highlight w:val="none"/>
        </w:rPr>
        <w:t xml:space="preserve">分，方案清晰、合理、详细、全面</w:t>
      </w:r>
      <w:r>
        <w:rPr>
          <w:rFonts w:hint="eastAsia" w:ascii="宋体" w:hAnsi="宋体"/>
          <w:color w:val="000000" w:themeColor="text1"/>
          <w:sz w:val="24"/>
          <w:highlight w:val="none"/>
        </w:rPr>
        <w:t xml:space="preserve">6</w:t>
      </w:r>
      <w:r>
        <w:rPr>
          <w:rFonts w:hint="eastAsia" w:ascii="宋体" w:hAnsi="宋体"/>
          <w:color w:val="000000" w:themeColor="text1"/>
          <w:sz w:val="24"/>
          <w:highlight w:val="none"/>
        </w:rPr>
        <w:t xml:space="preserve">分，方案基本满足招标文件要求</w:t>
      </w:r>
      <w:r>
        <w:rPr>
          <w:rFonts w:hint="eastAsia" w:ascii="宋体" w:hAnsi="宋体"/>
          <w:color w:val="000000" w:themeColor="text1"/>
          <w:sz w:val="24"/>
          <w:highlight w:val="none"/>
        </w:rPr>
        <w:t xml:space="preserve">4</w:t>
      </w:r>
      <w:r>
        <w:rPr>
          <w:rFonts w:hint="eastAsia" w:ascii="宋体" w:hAnsi="宋体"/>
          <w:color w:val="000000" w:themeColor="text1"/>
          <w:sz w:val="24"/>
          <w:highlight w:val="none"/>
        </w:rPr>
        <w:t xml:space="preserve">分。</w:t>
      </w:r>
      <w:r>
        <w:rPr>
          <w:color w:val="000000" w:themeColor="text1"/>
          <w:highlight w:val="none"/>
        </w:rPr>
      </w:r>
    </w:p>
    <w:p>
      <w:pPr>
        <w:pStyle w:val="883"/>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5.3施工进度计划和各阶段进度的保证措施（</w:t>
      </w:r>
      <w:r>
        <w:rPr>
          <w:rFonts w:hint="eastAsia" w:ascii="宋体" w:hAnsi="宋体"/>
          <w:color w:val="000000" w:themeColor="text1"/>
          <w:sz w:val="24"/>
          <w:highlight w:val="none"/>
        </w:rPr>
        <w:t xml:space="preserve">8</w:t>
      </w:r>
      <w:r>
        <w:rPr>
          <w:rFonts w:hint="eastAsia" w:ascii="宋体" w:hAnsi="宋体"/>
          <w:color w:val="000000" w:themeColor="text1"/>
          <w:sz w:val="24"/>
          <w:highlight w:val="none"/>
        </w:rPr>
        <w:t xml:space="preserve">分）：施工进度计划整体保证措施；各阶段进度的保证措施；各阶段拟投入的人员及进度安排。方案清晰、合理、详细、全面、针对性强、可行性强</w:t>
      </w:r>
      <w:r>
        <w:rPr>
          <w:rFonts w:hint="eastAsia" w:ascii="宋体" w:hAnsi="宋体"/>
          <w:color w:val="000000" w:themeColor="text1"/>
          <w:sz w:val="24"/>
          <w:highlight w:val="none"/>
        </w:rPr>
        <w:t xml:space="preserve">8</w:t>
      </w:r>
      <w:r>
        <w:rPr>
          <w:rFonts w:hint="eastAsia" w:ascii="宋体" w:hAnsi="宋体"/>
          <w:color w:val="000000" w:themeColor="text1"/>
          <w:sz w:val="24"/>
          <w:highlight w:val="none"/>
        </w:rPr>
        <w:t xml:space="preserve">分，方案清晰、合理、详细、全面</w:t>
      </w:r>
      <w:r>
        <w:rPr>
          <w:rFonts w:hint="eastAsia" w:ascii="宋体" w:hAnsi="宋体"/>
          <w:color w:val="000000" w:themeColor="text1"/>
          <w:sz w:val="24"/>
          <w:highlight w:val="none"/>
        </w:rPr>
        <w:t xml:space="preserve">6</w:t>
      </w:r>
      <w:r>
        <w:rPr>
          <w:rFonts w:hint="eastAsia" w:ascii="宋体" w:hAnsi="宋体"/>
          <w:color w:val="000000" w:themeColor="text1"/>
          <w:sz w:val="24"/>
          <w:highlight w:val="none"/>
        </w:rPr>
        <w:t xml:space="preserve">分，方案基本满足招标文件要求</w:t>
      </w:r>
      <w:r>
        <w:rPr>
          <w:rFonts w:hint="eastAsia" w:ascii="宋体" w:hAnsi="宋体"/>
          <w:color w:val="000000" w:themeColor="text1"/>
          <w:sz w:val="24"/>
          <w:highlight w:val="none"/>
        </w:rPr>
        <w:t xml:space="preserve">4</w:t>
      </w:r>
      <w:r>
        <w:rPr>
          <w:rFonts w:hint="eastAsia" w:ascii="宋体" w:hAnsi="宋体"/>
          <w:color w:val="000000" w:themeColor="text1"/>
          <w:sz w:val="24"/>
          <w:highlight w:val="none"/>
        </w:rPr>
        <w:t xml:space="preserve">分。</w:t>
      </w:r>
      <w:r>
        <w:rPr>
          <w:color w:val="000000" w:themeColor="text1"/>
          <w:highlight w:val="none"/>
        </w:rPr>
      </w:r>
    </w:p>
    <w:p>
      <w:pPr>
        <w:pStyle w:val="883"/>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5.4项目验收（</w:t>
      </w:r>
      <w:r>
        <w:rPr>
          <w:rFonts w:hint="eastAsia" w:ascii="宋体" w:hAnsi="宋体"/>
          <w:color w:val="000000" w:themeColor="text1"/>
          <w:sz w:val="24"/>
          <w:highlight w:val="none"/>
        </w:rPr>
        <w:t xml:space="preserve">6</w:t>
      </w:r>
      <w:r>
        <w:rPr>
          <w:rFonts w:hint="eastAsia" w:ascii="宋体" w:hAnsi="宋体"/>
          <w:color w:val="000000" w:themeColor="text1"/>
          <w:sz w:val="24"/>
          <w:highlight w:val="none"/>
        </w:rPr>
        <w:t xml:space="preserve">分）：验收方案的完善可实施性；施工计划的合理分配性。方案清晰、合理、详细、全面、针对性强、可行性强</w:t>
      </w:r>
      <w:r>
        <w:rPr>
          <w:rFonts w:hint="eastAsia" w:ascii="宋体" w:hAnsi="宋体"/>
          <w:color w:val="000000" w:themeColor="text1"/>
          <w:sz w:val="24"/>
          <w:highlight w:val="none"/>
        </w:rPr>
        <w:t xml:space="preserve">6</w:t>
      </w:r>
      <w:r>
        <w:rPr>
          <w:rFonts w:hint="eastAsia" w:ascii="宋体" w:hAnsi="宋体"/>
          <w:color w:val="000000" w:themeColor="text1"/>
          <w:sz w:val="24"/>
          <w:highlight w:val="none"/>
        </w:rPr>
        <w:t xml:space="preserve">分，方案清晰、合理、详细、全面5分，方案基本满足招标文件要求</w:t>
      </w:r>
      <w:r>
        <w:rPr>
          <w:rFonts w:hint="eastAsia" w:ascii="宋体" w:hAnsi="宋体"/>
          <w:color w:val="000000" w:themeColor="text1"/>
          <w:sz w:val="24"/>
          <w:highlight w:val="none"/>
        </w:rPr>
        <w:t xml:space="preserve">3</w:t>
      </w:r>
      <w:r>
        <w:rPr>
          <w:rFonts w:hint="eastAsia" w:ascii="宋体" w:hAnsi="宋体"/>
          <w:color w:val="000000" w:themeColor="text1"/>
          <w:sz w:val="24"/>
          <w:highlight w:val="none"/>
        </w:rPr>
        <w:t xml:space="preserve">分。</w:t>
      </w:r>
      <w:r>
        <w:rPr>
          <w:color w:val="000000" w:themeColor="text1"/>
          <w:highlight w:val="none"/>
        </w:rPr>
      </w:r>
    </w:p>
    <w:p>
      <w:pPr>
        <w:pStyle w:val="883"/>
        <w:ind w:firstLine="480"/>
        <w:spacing w:line="500" w:lineRule="exact"/>
        <w:rPr>
          <w:rFonts w:ascii="宋体" w:hAnsi="宋体"/>
          <w:color w:val="000000" w:themeColor="text1"/>
          <w:sz w:val="24"/>
          <w:highlight w:val="none"/>
        </w:rPr>
      </w:pPr>
      <w:r>
        <w:rPr>
          <w:rFonts w:hint="eastAsia" w:ascii="宋体" w:hAnsi="宋体"/>
          <w:color w:val="000000" w:themeColor="text1"/>
          <w:sz w:val="24"/>
          <w:highlight w:val="none"/>
        </w:rPr>
        <w:t xml:space="preserve">5.5售后服务（</w:t>
      </w:r>
      <w:r>
        <w:rPr>
          <w:rFonts w:hint="eastAsia" w:ascii="宋体" w:hAnsi="宋体"/>
          <w:color w:val="000000" w:themeColor="text1"/>
          <w:sz w:val="24"/>
          <w:highlight w:val="none"/>
        </w:rPr>
        <w:t xml:space="preserve">6</w:t>
      </w:r>
      <w:r>
        <w:rPr>
          <w:rFonts w:hint="eastAsia" w:ascii="宋体" w:hAnsi="宋体"/>
          <w:color w:val="000000" w:themeColor="text1"/>
          <w:sz w:val="24"/>
          <w:highlight w:val="none"/>
        </w:rPr>
        <w:t xml:space="preserve">分）：售后服务保障完整性；售后服务的内容和备件备品、故障响应时间及时性；重大故障的应急预案和措施阐述。方案清晰、合理、详细、全面、针对性强、可行性强</w:t>
      </w:r>
      <w:r>
        <w:rPr>
          <w:rFonts w:hint="eastAsia" w:ascii="宋体" w:hAnsi="宋体"/>
          <w:color w:val="000000" w:themeColor="text1"/>
          <w:sz w:val="24"/>
          <w:highlight w:val="none"/>
        </w:rPr>
        <w:t xml:space="preserve">6</w:t>
      </w:r>
      <w:r>
        <w:rPr>
          <w:rFonts w:hint="eastAsia" w:ascii="宋体" w:hAnsi="宋体"/>
          <w:color w:val="000000" w:themeColor="text1"/>
          <w:sz w:val="24"/>
          <w:highlight w:val="none"/>
        </w:rPr>
        <w:t xml:space="preserve">分，方案清晰、合理、详细、全面5分，方案基本满足招标文件要求</w:t>
      </w:r>
      <w:r>
        <w:rPr>
          <w:rFonts w:hint="eastAsia" w:ascii="宋体" w:hAnsi="宋体"/>
          <w:color w:val="000000" w:themeColor="text1"/>
          <w:sz w:val="24"/>
          <w:highlight w:val="none"/>
        </w:rPr>
        <w:t xml:space="preserve">3</w:t>
      </w:r>
      <w:r>
        <w:rPr>
          <w:rFonts w:hint="eastAsia" w:ascii="宋体" w:hAnsi="宋体"/>
          <w:color w:val="000000" w:themeColor="text1"/>
          <w:sz w:val="24"/>
          <w:highlight w:val="none"/>
        </w:rPr>
        <w:t xml:space="preserve">分。</w:t>
      </w:r>
      <w:r>
        <w:rPr>
          <w:rFonts w:ascii="宋体" w:hAnsi="宋体"/>
          <w:color w:val="000000" w:themeColor="text1"/>
          <w:sz w:val="24"/>
          <w:highlight w:val="none"/>
        </w:rPr>
      </w:r>
      <w:r>
        <w:rPr>
          <w:color w:val="000000" w:themeColor="text1"/>
          <w:highlight w:val="none"/>
        </w:rPr>
      </w:r>
    </w:p>
    <w:p>
      <w:pPr>
        <w:pStyle w:val="883"/>
        <w:numPr>
          <w:ilvl w:val="4"/>
          <w:numId w:val="7"/>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节能、环保产品</w:t>
      </w:r>
      <w:r>
        <w:rPr>
          <w:rFonts w:ascii="宋体" w:hAnsi="宋体"/>
          <w:b/>
          <w:bCs/>
          <w:color w:val="000000" w:themeColor="text1"/>
          <w:sz w:val="24"/>
          <w:szCs w:val="24"/>
          <w:highlight w:val="none"/>
        </w:rPr>
        <w:t xml:space="preserve">（</w:t>
      </w:r>
      <w:r>
        <w:rPr>
          <w:rFonts w:hint="eastAsia" w:ascii="宋体" w:hAnsi="宋体"/>
          <w:b/>
          <w:bCs/>
          <w:color w:val="000000" w:themeColor="text1"/>
          <w:sz w:val="24"/>
          <w:szCs w:val="24"/>
          <w:highlight w:val="none"/>
        </w:rPr>
        <w:t xml:space="preserve">2</w:t>
      </w:r>
      <w:r>
        <w:rPr>
          <w:rFonts w:ascii="宋体" w:hAnsi="宋体"/>
          <w:b/>
          <w:bCs/>
          <w:color w:val="000000" w:themeColor="text1"/>
          <w:sz w:val="24"/>
          <w:szCs w:val="24"/>
          <w:highlight w:val="none"/>
        </w:rPr>
        <w:t xml:space="preserve">分）</w:t>
      </w:r>
      <w:r>
        <w:rPr>
          <w:rFonts w:hint="eastAsia" w:ascii="宋体" w:hAnsi="宋体"/>
          <w:b/>
          <w:bCs/>
          <w:color w:val="000000" w:themeColor="text1"/>
          <w:sz w:val="24"/>
          <w:szCs w:val="24"/>
          <w:highlight w:val="none"/>
        </w:rPr>
        <w:t xml:space="preserve">：</w:t>
      </w:r>
      <w:r>
        <w:rPr>
          <w:rFonts w:hint="eastAsia" w:ascii="宋体" w:hAnsi="宋体"/>
          <w:color w:val="000000" w:themeColor="text1"/>
          <w:sz w:val="24"/>
          <w:highlight w:val="none"/>
        </w:rPr>
        <w:t xml:space="preserve">依据财政部、发展改革委发布的《节能产品政府采购品目清单》和财政部、生态环境部发布的《</w:t>
      </w:r>
      <w:r>
        <w:rPr>
          <w:rFonts w:ascii="宋体" w:hAnsi="宋体"/>
          <w:color w:val="000000" w:themeColor="text1"/>
          <w:sz w:val="24"/>
          <w:highlight w:val="none"/>
        </w:rPr>
        <w:t xml:space="preserve">环境标志产品政府采购品目清单</w:t>
      </w:r>
      <w:r>
        <w:rPr>
          <w:rFonts w:hint="eastAsia" w:ascii="宋体" w:hAnsi="宋体"/>
          <w:color w:val="000000" w:themeColor="text1"/>
          <w:sz w:val="24"/>
          <w:highlight w:val="none"/>
        </w:rPr>
        <w:t xml:space="preserve">》，投标人能够提供所投产品为政府采购节能（政府强制采购节能产品除外）产品的得1分、能够提供所投产品为环保产品的得1分（投标时须提供所投产品由国家确定的认证机构出具的、处于有效期之内的节能产品认证证书复印件、环境标志产品认证证书复印件，否则不得分</w:t>
      </w:r>
      <w:r>
        <w:rPr>
          <w:rFonts w:ascii="宋体" w:hAnsi="宋体"/>
          <w:color w:val="000000" w:themeColor="text1"/>
          <w:sz w:val="24"/>
          <w:highlight w:val="none"/>
        </w:rPr>
        <w:t xml:space="preserve">）</w:t>
      </w:r>
      <w:r>
        <w:rPr>
          <w:rFonts w:hint="eastAsia" w:ascii="宋体" w:hAnsi="宋体"/>
          <w:color w:val="000000" w:themeColor="text1"/>
          <w:sz w:val="24"/>
          <w:highlight w:val="none"/>
        </w:rPr>
        <w:t xml:space="preserve">。</w:t>
      </w:r>
      <w:r>
        <w:rPr>
          <w:rFonts w:ascii="宋体" w:hAnsi="宋体"/>
          <w:b/>
          <w:bCs/>
          <w:color w:val="000000" w:themeColor="text1"/>
          <w:sz w:val="24"/>
          <w:szCs w:val="24"/>
          <w:highlight w:val="none"/>
        </w:rPr>
      </w:r>
      <w:r>
        <w:rPr>
          <w:color w:val="000000" w:themeColor="text1"/>
          <w:highlight w:val="none"/>
        </w:rPr>
      </w:r>
    </w:p>
    <w:p>
      <w:pPr>
        <w:pStyle w:val="971"/>
        <w:spacing w:before="0" w:after="0" w:line="500" w:lineRule="exact"/>
        <w:rPr>
          <w:rFonts w:ascii="黑体" w:eastAsia="黑体"/>
          <w:bCs/>
          <w:color w:val="000000" w:themeColor="text1"/>
          <w:sz w:val="36"/>
          <w:szCs w:val="36"/>
          <w:highlight w:val="none"/>
        </w:rPr>
      </w:pPr>
      <w:r>
        <w:rPr>
          <w:rFonts w:ascii="宋体" w:hAnsi="宋体"/>
          <w:color w:val="000000" w:themeColor="text1"/>
          <w:highlight w:val="none"/>
        </w:rPr>
        <w:br w:type="page" w:clear="all"/>
      </w:r>
      <w:r>
        <w:rPr>
          <w:rFonts w:ascii="黑体" w:eastAsia="黑体"/>
          <w:bCs/>
          <w:color w:val="000000" w:themeColor="text1"/>
          <w:sz w:val="36"/>
          <w:szCs w:val="36"/>
          <w:highlight w:val="none"/>
        </w:rPr>
      </w:r>
      <w:r>
        <w:rPr>
          <w:color w:val="000000" w:themeColor="text1"/>
          <w:highlight w:val="none"/>
        </w:rPr>
      </w:r>
    </w:p>
    <w:p>
      <w:pPr>
        <w:pStyle w:val="883"/>
        <w:jc w:val="center"/>
        <w:spacing w:line="500" w:lineRule="exact"/>
        <w:rPr>
          <w:rFonts w:hint="eastAsia" w:ascii="黑体" w:eastAsia="黑体"/>
          <w:bCs/>
          <w:color w:val="000000" w:themeColor="text1"/>
          <w:sz w:val="36"/>
          <w:szCs w:val="36"/>
          <w:highlight w:val="none"/>
        </w:rPr>
      </w:pPr>
      <w:r>
        <w:rPr>
          <w:rFonts w:hint="eastAsia" w:ascii="黑体" w:eastAsia="黑体"/>
          <w:bCs/>
          <w:color w:val="000000" w:themeColor="text1"/>
          <w:sz w:val="36"/>
          <w:szCs w:val="36"/>
          <w:highlight w:val="none"/>
        </w:rPr>
        <w:t xml:space="preserve">第六章  </w:t>
      </w:r>
      <w:bookmarkEnd w:id="191"/>
      <w:r>
        <w:rPr>
          <w:color w:val="000000" w:themeColor="text1"/>
          <w:highlight w:val="none"/>
        </w:rPr>
      </w:r>
      <w:bookmarkEnd w:id="192"/>
      <w:r>
        <w:rPr>
          <w:color w:val="000000" w:themeColor="text1"/>
          <w:highlight w:val="none"/>
        </w:rPr>
      </w:r>
      <w:bookmarkEnd w:id="193"/>
      <w:r>
        <w:rPr>
          <w:rFonts w:hint="eastAsia" w:ascii="黑体" w:eastAsia="黑体"/>
          <w:bCs/>
          <w:color w:val="000000" w:themeColor="text1"/>
          <w:sz w:val="36"/>
          <w:szCs w:val="36"/>
          <w:highlight w:val="none"/>
        </w:rPr>
        <w:t xml:space="preserve">投标文件内容与格式</w:t>
      </w:r>
      <w:r>
        <w:rPr>
          <w:color w:val="000000" w:themeColor="text1"/>
          <w:highlight w:val="none"/>
        </w:rPr>
      </w:r>
    </w:p>
    <w:p>
      <w:pPr>
        <w:pStyle w:val="971"/>
        <w:ind w:firstLine="602"/>
        <w:spacing w:before="0" w:after="0" w:line="500" w:lineRule="exact"/>
        <w:rPr>
          <w:rFonts w:hint="eastAsia" w:cs="Arial"/>
          <w:b/>
          <w:color w:val="000000" w:themeColor="text1"/>
          <w:sz w:val="30"/>
          <w:szCs w:val="30"/>
          <w:highlight w:val="none"/>
        </w:rPr>
      </w:pPr>
      <w:r>
        <w:rPr>
          <w:color w:val="000000" w:themeColor="text1"/>
          <w:highlight w:val="none"/>
        </w:rPr>
      </w:r>
      <w:bookmarkStart w:id="194" w:name="_Hlt26671244"/>
      <w:r>
        <w:rPr>
          <w:color w:val="000000" w:themeColor="text1"/>
          <w:highlight w:val="none"/>
        </w:rPr>
      </w:r>
      <w:bookmarkEnd w:id="194"/>
      <w:r>
        <w:rPr>
          <w:color w:val="000000" w:themeColor="text1"/>
          <w:highlight w:val="none"/>
        </w:rPr>
      </w:r>
      <w:bookmarkStart w:id="195" w:name="_Hlt26955039"/>
      <w:r>
        <w:rPr>
          <w:color w:val="000000" w:themeColor="text1"/>
          <w:highlight w:val="none"/>
        </w:rPr>
      </w:r>
      <w:bookmarkEnd w:id="195"/>
      <w:r>
        <w:rPr>
          <w:color w:val="000000" w:themeColor="text1"/>
          <w:highlight w:val="none"/>
        </w:rPr>
      </w:r>
      <w:bookmarkStart w:id="196" w:name="_Toc49090576"/>
      <w:r>
        <w:rPr>
          <w:color w:val="000000" w:themeColor="text1"/>
          <w:highlight w:val="none"/>
        </w:rPr>
      </w:r>
      <w:bookmarkStart w:id="197" w:name="_Toc120614282"/>
      <w:r>
        <w:rPr>
          <w:color w:val="000000" w:themeColor="text1"/>
          <w:highlight w:val="none"/>
        </w:rPr>
      </w:r>
      <w:bookmarkStart w:id="198" w:name="_Toc26554094"/>
      <w:r>
        <w:rPr>
          <w:rFonts w:hint="eastAsia" w:cs="Arial"/>
          <w:b/>
          <w:color w:val="000000" w:themeColor="text1"/>
          <w:sz w:val="30"/>
          <w:szCs w:val="30"/>
          <w:highlight w:val="none"/>
        </w:rPr>
        <w:t xml:space="preserve">第一部分  投标文件内容</w:t>
      </w:r>
      <w:r>
        <w:rPr>
          <w:color w:val="000000" w:themeColor="text1"/>
          <w:highlight w:val="none"/>
        </w:rPr>
      </w:r>
    </w:p>
    <w:p>
      <w:pPr>
        <w:pStyle w:val="971"/>
        <w:ind w:firstLine="0"/>
        <w:spacing w:before="0" w:after="0" w:line="500" w:lineRule="exact"/>
        <w:rPr>
          <w:rFonts w:hint="eastAsia" w:cs="Arial"/>
          <w:b/>
          <w:color w:val="000000" w:themeColor="text1"/>
          <w:sz w:val="28"/>
          <w:szCs w:val="28"/>
          <w:highlight w:val="none"/>
        </w:rPr>
      </w:pPr>
      <w:r>
        <w:rPr>
          <w:b/>
          <w:color w:val="000000" w:themeColor="text1"/>
          <w:sz w:val="28"/>
          <w:szCs w:val="28"/>
          <w:highlight w:val="none"/>
        </w:rPr>
        <w:t xml:space="preserve">一、</w:t>
      </w:r>
      <w:r>
        <w:rPr>
          <w:rFonts w:hint="eastAsia"/>
          <w:b/>
          <w:color w:val="000000" w:themeColor="text1"/>
          <w:sz w:val="28"/>
          <w:szCs w:val="28"/>
          <w:highlight w:val="none"/>
        </w:rPr>
        <w:t xml:space="preserve">资格证明文件</w:t>
      </w:r>
      <w:r>
        <w:rPr>
          <w:rFonts w:hint="eastAsia" w:cs="Arial"/>
          <w:b/>
          <w:color w:val="000000" w:themeColor="text1"/>
          <w:sz w:val="28"/>
          <w:szCs w:val="28"/>
          <w:highlight w:val="none"/>
        </w:rPr>
      </w:r>
      <w:r>
        <w:rPr>
          <w:color w:val="000000" w:themeColor="text1"/>
          <w:highlight w:val="none"/>
        </w:rPr>
      </w:r>
    </w:p>
    <w:tbl>
      <w:tblPr>
        <w:tblW w:w="927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val="false"/>
          </w:tcPr>
          <w:p>
            <w:pPr>
              <w:pStyle w:val="971"/>
              <w:ind w:firstLine="0"/>
              <w:jc w:val="center"/>
              <w:spacing w:before="0" w:after="0" w:line="240" w:lineRule="auto"/>
              <w:rPr>
                <w:rFonts w:hint="eastAsia" w:ascii="宋体" w:hAnsi="宋体" w:cs="宋体"/>
                <w:b/>
                <w:color w:val="000000" w:themeColor="text1"/>
                <w:highlight w:val="none"/>
              </w:rPr>
            </w:pPr>
            <w:r>
              <w:rPr>
                <w:rFonts w:hint="eastAsia" w:ascii="宋体" w:hAnsi="宋体" w:cs="宋体"/>
                <w:b/>
                <w:color w:val="000000" w:themeColor="text1"/>
                <w:highlight w:val="none"/>
              </w:rPr>
              <w:t xml:space="preserve">序号</w:t>
            </w:r>
            <w:r>
              <w:rPr>
                <w:color w:val="000000" w:themeColor="text1"/>
                <w:highlight w:val="none"/>
              </w:rPr>
            </w:r>
          </w:p>
        </w:tc>
        <w:tc>
          <w:tcPr>
            <w:tcW w:w="6104" w:type="dxa"/>
            <w:vAlign w:val="center"/>
            <w:textDirection w:val="lrTb"/>
            <w:noWrap w:val="false"/>
          </w:tcPr>
          <w:p>
            <w:pPr>
              <w:pStyle w:val="971"/>
              <w:jc w:val="center"/>
              <w:spacing w:before="0" w:after="0" w:line="240" w:lineRule="auto"/>
              <w:rPr>
                <w:rFonts w:hint="eastAsia" w:ascii="宋体" w:hAnsi="宋体" w:cs="宋体"/>
                <w:b/>
                <w:color w:val="000000" w:themeColor="text1"/>
                <w:highlight w:val="none"/>
              </w:rPr>
            </w:pPr>
            <w:r>
              <w:rPr>
                <w:rFonts w:hint="eastAsia" w:ascii="宋体" w:hAnsi="宋体" w:cs="宋体"/>
                <w:b/>
                <w:color w:val="000000" w:themeColor="text1"/>
                <w:highlight w:val="none"/>
              </w:rPr>
              <w:t xml:space="preserve">评审项目及评审要求</w:t>
            </w:r>
            <w:r>
              <w:rPr>
                <w:color w:val="000000" w:themeColor="text1"/>
                <w:highlight w:val="none"/>
              </w:rPr>
            </w:r>
          </w:p>
        </w:tc>
        <w:tc>
          <w:tcPr>
            <w:tcW w:w="2449" w:type="dxa"/>
            <w:vAlign w:val="center"/>
            <w:textDirection w:val="lrTb"/>
            <w:noWrap w:val="false"/>
          </w:tcPr>
          <w:p>
            <w:pPr>
              <w:pStyle w:val="971"/>
              <w:ind w:firstLine="0"/>
              <w:jc w:val="center"/>
              <w:spacing w:before="0" w:after="0" w:line="240" w:lineRule="auto"/>
              <w:rPr>
                <w:rFonts w:hint="eastAsia" w:ascii="宋体" w:hAnsi="宋体" w:cs="宋体"/>
                <w:b/>
                <w:color w:val="000000" w:themeColor="text1"/>
                <w:highlight w:val="none"/>
              </w:rPr>
            </w:pPr>
            <w:r>
              <w:rPr>
                <w:rFonts w:hint="eastAsia" w:ascii="宋体" w:hAnsi="宋体" w:cs="宋体"/>
                <w:b/>
                <w:color w:val="000000" w:themeColor="text1"/>
                <w:highlight w:val="none"/>
              </w:rPr>
              <w:t xml:space="preserve">审查因素</w:t>
            </w:r>
            <w:r>
              <w:rPr>
                <w:color w:val="000000" w:themeColor="text1"/>
                <w:highlight w:val="none"/>
              </w:rPr>
            </w:r>
          </w:p>
        </w:tc>
      </w:tr>
      <w:tr>
        <w:trPr>
          <w:cantSplit/>
          <w:trHeight w:val="1335"/>
        </w:trPr>
        <w:tc>
          <w:tcPr>
            <w:tcW w:w="719" w:type="dxa"/>
            <w:vAlign w:val="center"/>
            <w:textDirection w:val="lrTb"/>
            <w:noWrap w:val="false"/>
          </w:tcPr>
          <w:p>
            <w:pPr>
              <w:pStyle w:val="971"/>
              <w:ind w:firstLine="0"/>
              <w:jc w:val="center"/>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p>
        </w:tc>
        <w:tc>
          <w:tcPr>
            <w:tcW w:w="6104" w:type="dxa"/>
            <w:vAlign w:val="center"/>
            <w:textDirection w:val="lrTb"/>
            <w:noWrap w:val="false"/>
          </w:tcPr>
          <w:p>
            <w:pPr>
              <w:pStyle w:val="971"/>
              <w:ind w:firstLine="0"/>
              <w:jc w:val="both"/>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rPr>
                <w:color w:val="000000" w:themeColor="text1"/>
                <w:highlight w:val="none"/>
              </w:rPr>
            </w:r>
          </w:p>
        </w:tc>
        <w:tc>
          <w:tcPr>
            <w:tcW w:w="2449" w:type="dxa"/>
            <w:vAlign w:val="center"/>
            <w:vMerge w:val="restart"/>
            <w:textDirection w:val="lrTb"/>
            <w:noWrap w:val="false"/>
          </w:tcPr>
          <w:p>
            <w:pPr>
              <w:pStyle w:val="971"/>
              <w:ind w:firstLine="0"/>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满足《中华人民共和国政府采购法》第二十二条规定</w:t>
            </w:r>
            <w:r>
              <w:rPr>
                <w:color w:val="000000" w:themeColor="text1"/>
                <w:highlight w:val="none"/>
              </w:rPr>
            </w:r>
          </w:p>
        </w:tc>
      </w:tr>
      <w:tr>
        <w:trPr>
          <w:cantSplit/>
          <w:trHeight w:val="812"/>
        </w:trPr>
        <w:tc>
          <w:tcPr>
            <w:tcW w:w="719" w:type="dxa"/>
            <w:vAlign w:val="center"/>
            <w:textDirection w:val="lrTb"/>
            <w:noWrap w:val="false"/>
          </w:tcPr>
          <w:p>
            <w:pPr>
              <w:pStyle w:val="971"/>
              <w:ind w:firstLine="0"/>
              <w:jc w:val="center"/>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2</w:t>
            </w:r>
            <w:r>
              <w:rPr>
                <w:color w:val="000000" w:themeColor="text1"/>
                <w:highlight w:val="none"/>
              </w:rPr>
            </w:r>
          </w:p>
        </w:tc>
        <w:tc>
          <w:tcPr>
            <w:tcW w:w="6104" w:type="dxa"/>
            <w:vAlign w:val="center"/>
            <w:textDirection w:val="lrTb"/>
            <w:noWrap w:val="false"/>
          </w:tcPr>
          <w:p>
            <w:pPr>
              <w:pStyle w:val="971"/>
              <w:ind w:firstLine="0"/>
              <w:jc w:val="both"/>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《授权委托书》（给定格式；投标人如是自然人情形的，可不提供）。</w:t>
            </w:r>
            <w:r>
              <w:rPr>
                <w:color w:val="000000" w:themeColor="text1"/>
                <w:highlight w:val="none"/>
              </w:rPr>
            </w:r>
          </w:p>
        </w:tc>
        <w:tc>
          <w:tcPr>
            <w:tcW w:w="2449" w:type="dxa"/>
            <w:vAlign w:val="center"/>
            <w:vMerge w:val="continue"/>
            <w:textDirection w:val="lrTb"/>
            <w:noWrap w:val="false"/>
          </w:tcPr>
          <w:p>
            <w:pPr>
              <w:pStyle w:val="971"/>
              <w:ind w:firstLine="0"/>
              <w:spacing w:before="0" w:after="0" w:line="240" w:lineRule="auto"/>
              <w:rPr>
                <w:rFonts w:hint="eastAsia" w:ascii="宋体" w:hAnsi="宋体" w:cs="宋体"/>
              </w:rPr>
            </w:pPr>
            <w:r>
              <w:rPr>
                <w:rFonts w:hint="eastAsia" w:ascii="宋体" w:hAnsi="宋体" w:cs="宋体"/>
              </w:rPr>
            </w:r>
            <w:r/>
          </w:p>
        </w:tc>
      </w:tr>
      <w:tr>
        <w:trPr>
          <w:cantSplit/>
          <w:trHeight w:val="1684"/>
        </w:trPr>
        <w:tc>
          <w:tcPr>
            <w:tcW w:w="719" w:type="dxa"/>
            <w:vAlign w:val="center"/>
            <w:textDirection w:val="lrTb"/>
            <w:noWrap w:val="false"/>
          </w:tcPr>
          <w:p>
            <w:pPr>
              <w:pStyle w:val="971"/>
              <w:ind w:firstLine="0"/>
              <w:jc w:val="center"/>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3</w:t>
            </w:r>
            <w:r>
              <w:rPr>
                <w:color w:val="000000" w:themeColor="text1"/>
                <w:highlight w:val="none"/>
              </w:rPr>
            </w:r>
          </w:p>
        </w:tc>
        <w:tc>
          <w:tcPr>
            <w:tcW w:w="6104" w:type="dxa"/>
            <w:vAlign w:val="center"/>
            <w:textDirection w:val="lrTb"/>
            <w:noWrap w:val="false"/>
          </w:tcPr>
          <w:p>
            <w:pPr>
              <w:pStyle w:val="971"/>
              <w:ind w:firstLine="0"/>
              <w:jc w:val="both"/>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960"/>
                <w:rFonts w:hint="eastAsia" w:ascii="宋体" w:hAnsi="宋体" w:cs="宋体"/>
                <w:color w:val="000000" w:themeColor="text1"/>
                <w:sz w:val="24"/>
                <w:szCs w:val="24"/>
                <w:highlight w:val="none"/>
              </w:rPr>
              <w:t xml:space="preserve">。</w:t>
            </w:r>
            <w:r>
              <w:rPr>
                <w:rFonts w:hint="eastAsia" w:ascii="宋体" w:hAnsi="宋体" w:cs="宋体"/>
                <w:color w:val="000000" w:themeColor="text1"/>
                <w:highlight w:val="none"/>
              </w:rPr>
            </w:r>
            <w:r>
              <w:rPr>
                <w:color w:val="000000" w:themeColor="text1"/>
                <w:highlight w:val="none"/>
              </w:rPr>
            </w:r>
          </w:p>
        </w:tc>
        <w:tc>
          <w:tcPr>
            <w:tcW w:w="2449" w:type="dxa"/>
            <w:vAlign w:val="center"/>
            <w:vMerge w:val="continue"/>
            <w:textDirection w:val="lrTb"/>
            <w:noWrap w:val="false"/>
          </w:tcPr>
          <w:p>
            <w:pPr>
              <w:pStyle w:val="971"/>
              <w:ind w:firstLine="0"/>
              <w:spacing w:before="0" w:after="0" w:line="240" w:lineRule="auto"/>
              <w:rPr>
                <w:rFonts w:hint="eastAsia" w:ascii="宋体" w:hAnsi="宋体" w:cs="宋体"/>
              </w:rPr>
            </w:pPr>
            <w:r>
              <w:rPr>
                <w:rFonts w:hint="eastAsia" w:ascii="宋体" w:hAnsi="宋体" w:cs="宋体"/>
              </w:rPr>
            </w:r>
            <w:r/>
          </w:p>
        </w:tc>
      </w:tr>
      <w:tr>
        <w:trPr>
          <w:cantSplit/>
          <w:trHeight w:val="963"/>
        </w:trPr>
        <w:tc>
          <w:tcPr>
            <w:tcW w:w="719" w:type="dxa"/>
            <w:vAlign w:val="center"/>
            <w:textDirection w:val="lrTb"/>
            <w:noWrap w:val="false"/>
          </w:tcPr>
          <w:p>
            <w:pPr>
              <w:pStyle w:val="971"/>
              <w:ind w:firstLine="0"/>
              <w:jc w:val="center"/>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4</w:t>
            </w:r>
            <w:r>
              <w:rPr>
                <w:color w:val="000000" w:themeColor="text1"/>
                <w:highlight w:val="none"/>
              </w:rPr>
            </w:r>
          </w:p>
        </w:tc>
        <w:tc>
          <w:tcPr>
            <w:tcW w:w="6104" w:type="dxa"/>
            <w:vAlign w:val="center"/>
            <w:textDirection w:val="lrTb"/>
            <w:noWrap w:val="false"/>
          </w:tcPr>
          <w:p>
            <w:pPr>
              <w:pStyle w:val="971"/>
              <w:ind w:firstLine="0"/>
              <w:jc w:val="both"/>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投标人近一年中任意一个月份(不含投标当月)的依法缴纳税收的相关材料（提供相关主管部门证明或银行代扣证明）。</w:t>
            </w:r>
            <w:r>
              <w:rPr>
                <w:color w:val="000000" w:themeColor="text1"/>
                <w:highlight w:val="none"/>
              </w:rPr>
            </w:r>
          </w:p>
        </w:tc>
        <w:tc>
          <w:tcPr>
            <w:tcW w:w="2449" w:type="dxa"/>
            <w:vAlign w:val="center"/>
            <w:vMerge w:val="continue"/>
            <w:textDirection w:val="lrTb"/>
            <w:noWrap w:val="false"/>
          </w:tcPr>
          <w:p>
            <w:pPr>
              <w:pStyle w:val="971"/>
              <w:ind w:firstLine="0"/>
              <w:spacing w:before="0" w:after="0" w:line="240" w:lineRule="auto"/>
              <w:rPr>
                <w:rFonts w:hint="eastAsia" w:ascii="宋体" w:hAnsi="宋体" w:cs="宋体"/>
              </w:rPr>
            </w:pPr>
            <w:r>
              <w:rPr>
                <w:rFonts w:hint="eastAsia" w:ascii="宋体" w:hAnsi="宋体" w:cs="宋体"/>
              </w:rPr>
            </w:r>
            <w:r/>
          </w:p>
        </w:tc>
      </w:tr>
      <w:tr>
        <w:trPr>
          <w:cantSplit/>
          <w:trHeight w:val="1023"/>
        </w:trPr>
        <w:tc>
          <w:tcPr>
            <w:tcW w:w="719" w:type="dxa"/>
            <w:vAlign w:val="center"/>
            <w:textDirection w:val="lrTb"/>
            <w:noWrap w:val="false"/>
          </w:tcPr>
          <w:p>
            <w:pPr>
              <w:pStyle w:val="971"/>
              <w:ind w:firstLine="0"/>
              <w:jc w:val="center"/>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5</w:t>
            </w:r>
            <w:r>
              <w:rPr>
                <w:color w:val="000000" w:themeColor="text1"/>
                <w:highlight w:val="none"/>
              </w:rPr>
            </w:r>
          </w:p>
        </w:tc>
        <w:tc>
          <w:tcPr>
            <w:tcW w:w="6104" w:type="dxa"/>
            <w:vAlign w:val="center"/>
            <w:textDirection w:val="lrTb"/>
            <w:noWrap w:val="false"/>
          </w:tcPr>
          <w:p>
            <w:pPr>
              <w:pStyle w:val="971"/>
              <w:ind w:firstLine="0"/>
              <w:jc w:val="both"/>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投标人近一年中任意一个月份(不含投标当月)的依法缴纳社会保障资金的相关材料（提供相关主管部门证明或银行代扣证明）。</w:t>
            </w:r>
            <w:r>
              <w:rPr>
                <w:color w:val="000000" w:themeColor="text1"/>
                <w:highlight w:val="none"/>
              </w:rPr>
            </w:r>
          </w:p>
        </w:tc>
        <w:tc>
          <w:tcPr>
            <w:tcW w:w="2449" w:type="dxa"/>
            <w:vAlign w:val="center"/>
            <w:vMerge w:val="continue"/>
            <w:textDirection w:val="lrTb"/>
            <w:noWrap w:val="false"/>
          </w:tcPr>
          <w:p>
            <w:pPr>
              <w:pStyle w:val="971"/>
              <w:ind w:firstLine="0"/>
              <w:spacing w:before="0" w:after="0" w:line="240" w:lineRule="auto"/>
              <w:rPr>
                <w:rFonts w:hint="eastAsia" w:ascii="宋体" w:hAnsi="宋体" w:cs="宋体"/>
              </w:rPr>
            </w:pPr>
            <w:r>
              <w:rPr>
                <w:rFonts w:hint="eastAsia" w:ascii="宋体" w:hAnsi="宋体" w:cs="宋体"/>
              </w:rPr>
            </w:r>
            <w:r/>
          </w:p>
        </w:tc>
      </w:tr>
      <w:tr>
        <w:trPr>
          <w:cantSplit/>
          <w:trHeight w:val="705"/>
        </w:trPr>
        <w:tc>
          <w:tcPr>
            <w:tcBorders>
              <w:bottom w:val="single" w:color="000000" w:sz="4" w:space="0"/>
            </w:tcBorders>
            <w:tcW w:w="719" w:type="dxa"/>
            <w:vAlign w:val="center"/>
            <w:textDirection w:val="lrTb"/>
            <w:noWrap w:val="false"/>
          </w:tcPr>
          <w:p>
            <w:pPr>
              <w:pStyle w:val="971"/>
              <w:ind w:firstLine="0"/>
              <w:jc w:val="center"/>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6</w:t>
            </w:r>
            <w:r>
              <w:rPr>
                <w:color w:val="000000" w:themeColor="text1"/>
                <w:highlight w:val="none"/>
              </w:rPr>
            </w:r>
          </w:p>
        </w:tc>
        <w:tc>
          <w:tcPr>
            <w:tcBorders>
              <w:bottom w:val="single" w:color="000000" w:sz="4" w:space="0"/>
            </w:tcBorders>
            <w:tcW w:w="6104" w:type="dxa"/>
            <w:vAlign w:val="center"/>
            <w:textDirection w:val="lrTb"/>
            <w:noWrap w:val="false"/>
          </w:tcPr>
          <w:p>
            <w:pPr>
              <w:pStyle w:val="971"/>
              <w:ind w:firstLine="0"/>
              <w:jc w:val="both"/>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《资格声明函》（给定格式）。</w:t>
            </w:r>
            <w:r>
              <w:rPr>
                <w:color w:val="000000" w:themeColor="text1"/>
                <w:highlight w:val="none"/>
              </w:rPr>
            </w:r>
          </w:p>
        </w:tc>
        <w:tc>
          <w:tcPr>
            <w:tcW w:w="2449" w:type="dxa"/>
            <w:vAlign w:val="center"/>
            <w:vMerge w:val="continue"/>
            <w:textDirection w:val="lrTb"/>
            <w:noWrap w:val="false"/>
          </w:tcPr>
          <w:p>
            <w:pPr>
              <w:pStyle w:val="971"/>
              <w:ind w:firstLine="0"/>
              <w:spacing w:before="0" w:after="0" w:line="240" w:lineRule="auto"/>
              <w:rPr>
                <w:rFonts w:hint="eastAsia" w:ascii="宋体" w:hAnsi="宋体" w:cs="宋体"/>
              </w:rPr>
            </w:pPr>
            <w:r>
              <w:rPr>
                <w:rFonts w:hint="eastAsia" w:ascii="宋体" w:hAnsi="宋体" w:cs="宋体"/>
              </w:rPr>
            </w:r>
            <w:r/>
          </w:p>
        </w:tc>
      </w:tr>
      <w:tr>
        <w:trPr>
          <w:trHeight w:val="700"/>
        </w:trPr>
        <w:tc>
          <w:tcPr>
            <w:tcW w:w="719" w:type="dxa"/>
            <w:vAlign w:val="center"/>
            <w:textDirection w:val="lrTb"/>
            <w:noWrap w:val="false"/>
          </w:tcPr>
          <w:p>
            <w:pPr>
              <w:pStyle w:val="971"/>
              <w:ind w:firstLine="0"/>
              <w:jc w:val="center"/>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7</w:t>
            </w:r>
            <w:r>
              <w:rPr>
                <w:color w:val="000000" w:themeColor="text1"/>
                <w:highlight w:val="none"/>
              </w:rPr>
            </w:r>
          </w:p>
        </w:tc>
        <w:tc>
          <w:tcPr>
            <w:tcW w:w="6104" w:type="dxa"/>
            <w:vAlign w:val="center"/>
            <w:textDirection w:val="lrTb"/>
            <w:noWrap w:val="false"/>
          </w:tcPr>
          <w:p>
            <w:pPr>
              <w:pStyle w:val="971"/>
              <w:ind w:firstLine="0"/>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满足中小企业政策的证明文件（如有中小企业政策要求的）。</w:t>
            </w:r>
            <w:r>
              <w:rPr>
                <w:color w:val="000000" w:themeColor="text1"/>
                <w:highlight w:val="none"/>
              </w:rPr>
            </w:r>
          </w:p>
        </w:tc>
        <w:tc>
          <w:tcPr>
            <w:tcW w:w="2449" w:type="dxa"/>
            <w:vAlign w:val="center"/>
            <w:textDirection w:val="lrTb"/>
            <w:noWrap w:val="false"/>
          </w:tcPr>
          <w:p>
            <w:pPr>
              <w:pStyle w:val="971"/>
              <w:ind w:firstLine="0"/>
              <w:spacing w:before="0" w:after="0" w:line="240" w:lineRule="auto"/>
              <w:rPr>
                <w:rFonts w:ascii="宋体" w:hAnsi="宋体" w:cs="宋体"/>
                <w:color w:val="000000" w:themeColor="text1"/>
                <w:highlight w:val="none"/>
              </w:rPr>
            </w:pPr>
            <w:r>
              <w:rPr>
                <w:rFonts w:hint="eastAsia" w:ascii="宋体" w:hAnsi="宋体" w:cs="宋体"/>
                <w:color w:val="000000" w:themeColor="text1"/>
                <w:highlight w:val="none"/>
              </w:rPr>
              <w:t xml:space="preserve">落实政府采购政策需满足的资格要求，详见第一章《投标邀请》</w:t>
            </w:r>
            <w:r>
              <w:rPr>
                <w:rFonts w:ascii="宋体" w:hAnsi="宋体" w:cs="宋体"/>
                <w:color w:val="000000" w:themeColor="text1"/>
                <w:highlight w:val="none"/>
              </w:rPr>
            </w:r>
            <w:r>
              <w:rPr>
                <w:color w:val="000000" w:themeColor="text1"/>
                <w:highlight w:val="none"/>
              </w:rPr>
            </w:r>
          </w:p>
        </w:tc>
      </w:tr>
      <w:tr>
        <w:trPr>
          <w:trHeight w:val="726"/>
        </w:trPr>
        <w:tc>
          <w:tcPr>
            <w:tcW w:w="719" w:type="dxa"/>
            <w:vAlign w:val="center"/>
            <w:textDirection w:val="lrTb"/>
            <w:noWrap w:val="false"/>
          </w:tcPr>
          <w:p>
            <w:pPr>
              <w:pStyle w:val="971"/>
              <w:ind w:firstLine="0"/>
              <w:jc w:val="center"/>
              <w:spacing w:before="0" w:after="0" w:line="240" w:lineRule="auto"/>
              <w:rPr>
                <w:rFonts w:hint="eastAsia" w:ascii="宋体" w:hAnsi="宋体" w:cs="宋体"/>
                <w:bCs/>
                <w:color w:val="000000" w:themeColor="text1"/>
                <w:highlight w:val="none"/>
              </w:rPr>
            </w:pPr>
            <w:r>
              <w:rPr>
                <w:rFonts w:hint="eastAsia" w:ascii="宋体" w:hAnsi="宋体" w:cs="宋体"/>
                <w:bCs/>
                <w:color w:val="000000" w:themeColor="text1"/>
                <w:highlight w:val="none"/>
              </w:rPr>
              <w:t xml:space="preserve">8</w:t>
            </w:r>
            <w:r>
              <w:rPr>
                <w:color w:val="000000" w:themeColor="text1"/>
                <w:highlight w:val="none"/>
              </w:rPr>
            </w:r>
          </w:p>
        </w:tc>
        <w:tc>
          <w:tcPr>
            <w:tcW w:w="6104" w:type="dxa"/>
            <w:vAlign w:val="center"/>
            <w:textDirection w:val="lrTb"/>
            <w:noWrap w:val="false"/>
          </w:tcPr>
          <w:p>
            <w:pPr>
              <w:pStyle w:val="971"/>
              <w:ind w:firstLine="0"/>
              <w:jc w:val="both"/>
              <w:spacing w:before="0" w:after="0" w:line="240" w:lineRule="auto"/>
              <w:rPr>
                <w:rFonts w:hint="eastAsia" w:ascii="宋体" w:hAnsi="宋体" w:cs="宋体"/>
                <w:bCs/>
                <w:color w:val="000000" w:themeColor="text1"/>
                <w:highlight w:val="none"/>
              </w:rPr>
            </w:pPr>
            <w:r>
              <w:rPr>
                <w:rFonts w:hint="eastAsia" w:ascii="宋体" w:hAnsi="宋体" w:cs="宋体"/>
                <w:bCs/>
                <w:color w:val="000000" w:themeColor="text1"/>
                <w:highlight w:val="none"/>
              </w:rPr>
              <w:t xml:space="preserve">本项目要求的特定资格证明</w:t>
            </w:r>
            <w:r>
              <w:rPr>
                <w:rFonts w:hint="eastAsia" w:ascii="宋体" w:hAnsi="宋体" w:cs="宋体"/>
                <w:color w:val="000000" w:themeColor="text1"/>
                <w:highlight w:val="none"/>
              </w:rPr>
              <w:t xml:space="preserve">文件（</w:t>
            </w:r>
            <w:r>
              <w:rPr>
                <w:rFonts w:hint="eastAsia" w:ascii="宋体" w:hAnsi="宋体" w:cs="宋体"/>
                <w:bCs/>
                <w:color w:val="000000" w:themeColor="text1"/>
                <w:highlight w:val="none"/>
              </w:rPr>
              <w:t xml:space="preserve">如有</w:t>
            </w:r>
            <w:r>
              <w:rPr>
                <w:rFonts w:hint="eastAsia" w:ascii="宋体" w:hAnsi="宋体" w:cs="宋体"/>
                <w:color w:val="000000" w:themeColor="text1"/>
                <w:highlight w:val="none"/>
              </w:rPr>
              <w:t xml:space="preserve">特定资格要求的）。</w:t>
            </w:r>
            <w:r>
              <w:rPr>
                <w:rFonts w:hint="eastAsia" w:ascii="宋体" w:hAnsi="宋体" w:cs="宋体"/>
                <w:bCs/>
                <w:color w:val="000000" w:themeColor="text1"/>
                <w:highlight w:val="none"/>
              </w:rPr>
            </w:r>
            <w:r>
              <w:rPr>
                <w:color w:val="000000" w:themeColor="text1"/>
                <w:highlight w:val="none"/>
              </w:rPr>
            </w:r>
          </w:p>
        </w:tc>
        <w:tc>
          <w:tcPr>
            <w:tcW w:w="2449" w:type="dxa"/>
            <w:vAlign w:val="center"/>
            <w:textDirection w:val="lrTb"/>
            <w:noWrap w:val="false"/>
          </w:tcPr>
          <w:p>
            <w:pPr>
              <w:pStyle w:val="971"/>
              <w:ind w:firstLine="0"/>
              <w:spacing w:before="0" w:after="0" w:line="240" w:lineRule="auto"/>
              <w:rPr>
                <w:rFonts w:hint="eastAsia" w:ascii="宋体" w:hAnsi="宋体" w:cs="宋体"/>
                <w:bCs/>
                <w:color w:val="000000" w:themeColor="text1"/>
                <w:highlight w:val="none"/>
              </w:rPr>
            </w:pPr>
            <w:r>
              <w:rPr>
                <w:rFonts w:hint="eastAsia" w:ascii="宋体" w:hAnsi="宋体" w:cs="宋体"/>
                <w:color w:val="000000" w:themeColor="text1"/>
                <w:highlight w:val="none"/>
              </w:rPr>
              <w:t xml:space="preserve">特定资格要求，详见第一章《投标邀请》</w:t>
            </w:r>
            <w:r>
              <w:rPr>
                <w:rFonts w:hint="eastAsia" w:ascii="宋体" w:hAnsi="宋体" w:cs="宋体"/>
                <w:bCs/>
                <w:color w:val="000000" w:themeColor="text1"/>
                <w:highlight w:val="none"/>
              </w:rPr>
            </w:r>
            <w:r>
              <w:rPr>
                <w:color w:val="000000" w:themeColor="text1"/>
                <w:highlight w:val="none"/>
              </w:rPr>
            </w:r>
          </w:p>
        </w:tc>
      </w:tr>
      <w:tr>
        <w:trPr>
          <w:trHeight w:val="632"/>
        </w:trPr>
        <w:tc>
          <w:tcPr>
            <w:tcW w:w="719" w:type="dxa"/>
            <w:vAlign w:val="center"/>
            <w:textDirection w:val="lrTb"/>
            <w:noWrap w:val="false"/>
          </w:tcPr>
          <w:p>
            <w:pPr>
              <w:pStyle w:val="971"/>
              <w:ind w:firstLine="0"/>
              <w:jc w:val="center"/>
              <w:spacing w:before="0" w:after="0" w:line="240" w:lineRule="auto"/>
              <w:rPr>
                <w:rFonts w:hint="eastAsia" w:ascii="宋体" w:hAnsi="宋体" w:cs="宋体"/>
                <w:bCs/>
                <w:color w:val="000000" w:themeColor="text1"/>
                <w:highlight w:val="none"/>
              </w:rPr>
            </w:pPr>
            <w:r>
              <w:rPr>
                <w:rFonts w:hint="eastAsia" w:ascii="宋体" w:hAnsi="宋体" w:cs="宋体"/>
                <w:bCs/>
                <w:color w:val="000000" w:themeColor="text1"/>
                <w:highlight w:val="none"/>
              </w:rPr>
              <w:t xml:space="preserve">9</w:t>
            </w:r>
            <w:r>
              <w:rPr>
                <w:color w:val="000000" w:themeColor="text1"/>
                <w:highlight w:val="none"/>
              </w:rPr>
            </w:r>
          </w:p>
        </w:tc>
        <w:tc>
          <w:tcPr>
            <w:gridSpan w:val="2"/>
            <w:tcW w:w="8553" w:type="dxa"/>
            <w:vAlign w:val="center"/>
            <w:textDirection w:val="lrTb"/>
            <w:noWrap w:val="false"/>
          </w:tcPr>
          <w:p>
            <w:pPr>
              <w:pStyle w:val="971"/>
              <w:ind w:firstLine="0"/>
              <w:spacing w:before="0" w:after="0" w:line="240" w:lineRule="auto"/>
              <w:rPr>
                <w:rFonts w:hint="eastAsia" w:ascii="宋体" w:hAnsi="宋体" w:cs="宋体"/>
                <w:color w:val="000000" w:themeColor="text1"/>
                <w:highlight w:val="none"/>
              </w:rPr>
            </w:pPr>
            <w:r>
              <w:rPr>
                <w:rFonts w:hint="eastAsia" w:ascii="宋体" w:hAnsi="宋体" w:cs="宋体"/>
                <w:bCs/>
                <w:color w:val="000000" w:themeColor="text1"/>
                <w:highlight w:val="none"/>
              </w:rPr>
              <w:t xml:space="preserve">《联合体协议》（</w:t>
            </w:r>
            <w:r>
              <w:rPr>
                <w:rFonts w:hint="eastAsia" w:ascii="宋体" w:hAnsi="宋体"/>
                <w:color w:val="000000" w:themeColor="text1"/>
                <w:highlight w:val="none"/>
              </w:rPr>
              <w:t xml:space="preserve">如接受联合体投标且投标人为联合体时须提供</w:t>
            </w:r>
            <w:r>
              <w:rPr>
                <w:rFonts w:hint="eastAsia" w:ascii="宋体" w:hAnsi="宋体" w:cs="宋体"/>
                <w:bCs/>
                <w:color w:val="000000" w:themeColor="text1"/>
                <w:highlight w:val="none"/>
              </w:rPr>
              <w:t xml:space="preserve">，格式自拟）。</w:t>
            </w:r>
            <w:r>
              <w:rPr>
                <w:rFonts w:hint="eastAsia" w:ascii="宋体" w:hAnsi="宋体" w:cs="宋体"/>
                <w:color w:val="000000" w:themeColor="text1"/>
                <w:highlight w:val="none"/>
              </w:rPr>
            </w:r>
            <w:r>
              <w:rPr>
                <w:color w:val="000000" w:themeColor="text1"/>
                <w:highlight w:val="none"/>
              </w:rPr>
            </w:r>
          </w:p>
        </w:tc>
      </w:tr>
    </w:tbl>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说明：</w:t>
      </w:r>
      <w:r>
        <w:rPr>
          <w:color w:val="000000" w:themeColor="text1"/>
          <w:highlight w:val="none"/>
        </w:rPr>
      </w:r>
    </w:p>
    <w:p>
      <w:pPr>
        <w:pStyle w:val="883"/>
        <w:numPr>
          <w:ilvl w:val="0"/>
          <w:numId w:val="8"/>
        </w:numPr>
        <w:ind w:firstLine="480"/>
        <w:spacing w:line="500" w:lineRule="exact"/>
        <w:rPr>
          <w:rFonts w:hint="eastAsia" w:ascii="宋体" w:hAnsi="宋体"/>
          <w:color w:val="000000" w:themeColor="text1"/>
          <w:sz w:val="24"/>
          <w:szCs w:val="24"/>
          <w:highlight w:val="none"/>
        </w:rPr>
      </w:pPr>
      <w:r>
        <w:rPr>
          <w:rFonts w:ascii="宋体" w:hAnsi="宋体"/>
          <w:color w:val="000000" w:themeColor="text1"/>
          <w:sz w:val="24"/>
          <w:szCs w:val="24"/>
          <w:highlight w:val="none"/>
        </w:rPr>
        <w:t xml:space="preserve">上述资格证明文件</w:t>
      </w:r>
      <w:r>
        <w:rPr>
          <w:rFonts w:hint="eastAsia" w:ascii="宋体" w:hAnsi="宋体"/>
          <w:color w:val="000000" w:themeColor="text1"/>
          <w:sz w:val="24"/>
          <w:szCs w:val="24"/>
          <w:highlight w:val="none"/>
        </w:rPr>
        <w:t xml:space="preserve">1～6项必须全部按要求提供（有给定格式的，必须按给定格式的要求正确填报并提供，相应格式见本章第二部分），否则投标文件无效。</w:t>
      </w:r>
      <w:r>
        <w:rPr>
          <w:rFonts w:ascii="宋体" w:hAnsi="宋体"/>
          <w:color w:val="000000" w:themeColor="text1"/>
          <w:sz w:val="24"/>
          <w:szCs w:val="24"/>
          <w:highlight w:val="none"/>
        </w:rPr>
        <w:t xml:space="preserve">如遇年检、换证，则必须提供法定年检、换证单位出具的有效证明扫描件。</w:t>
      </w:r>
      <w:r>
        <w:rPr>
          <w:rFonts w:hint="eastAsia" w:ascii="宋体" w:hAnsi="宋体"/>
          <w:color w:val="000000" w:themeColor="text1"/>
          <w:sz w:val="24"/>
          <w:szCs w:val="24"/>
          <w:highlight w:val="none"/>
        </w:rPr>
        <w:t xml:space="preserve">其中</w:t>
      </w:r>
      <w:r>
        <w:rPr>
          <w:rFonts w:ascii="宋体" w:hAnsi="宋体"/>
          <w:color w:val="000000" w:themeColor="text1"/>
          <w:sz w:val="24"/>
          <w:szCs w:val="24"/>
          <w:highlight w:val="none"/>
        </w:rPr>
        <w:t xml:space="preserve">第</w:t>
      </w:r>
      <w:r>
        <w:rPr>
          <w:rFonts w:hint="eastAsia" w:ascii="宋体" w:hAnsi="宋体"/>
          <w:color w:val="000000" w:themeColor="text1"/>
          <w:sz w:val="24"/>
          <w:szCs w:val="24"/>
          <w:highlight w:val="none"/>
        </w:rPr>
        <w:t xml:space="preserve">3</w:t>
      </w: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4</w:t>
      </w: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5</w:t>
      </w:r>
      <w:r>
        <w:rPr>
          <w:rFonts w:ascii="宋体" w:hAnsi="宋体"/>
          <w:color w:val="000000" w:themeColor="text1"/>
          <w:sz w:val="24"/>
          <w:szCs w:val="24"/>
          <w:highlight w:val="none"/>
        </w:rPr>
        <w:t xml:space="preserve">项如遇有国家相关政策规定可不具备的（如依法享受缓缴、免缴税收、社会保障资金</w:t>
      </w:r>
      <w:r>
        <w:rPr>
          <w:rFonts w:hint="eastAsia" w:ascii="宋体" w:hAnsi="宋体"/>
          <w:color w:val="000000" w:themeColor="text1"/>
          <w:sz w:val="24"/>
          <w:szCs w:val="24"/>
          <w:highlight w:val="none"/>
        </w:rPr>
        <w:t xml:space="preserve">等</w:t>
      </w:r>
      <w:r>
        <w:rPr>
          <w:rFonts w:ascii="宋体" w:hAnsi="宋体"/>
          <w:color w:val="000000" w:themeColor="text1"/>
          <w:sz w:val="24"/>
          <w:szCs w:val="24"/>
          <w:highlight w:val="none"/>
        </w:rPr>
        <w:t xml:space="preserve">），必须提供相关政策规定或相关单位出具的有效证明扫描件；如因新成立</w:t>
      </w:r>
      <w:r>
        <w:rPr>
          <w:rFonts w:hint="eastAsia" w:ascii="宋体" w:hAnsi="宋体"/>
          <w:color w:val="000000" w:themeColor="text1"/>
          <w:sz w:val="24"/>
          <w:szCs w:val="24"/>
          <w:highlight w:val="none"/>
        </w:rPr>
        <w:t xml:space="preserve">确无法提供</w:t>
      </w:r>
      <w:r>
        <w:rPr>
          <w:rFonts w:ascii="宋体" w:hAnsi="宋体"/>
          <w:color w:val="000000" w:themeColor="text1"/>
          <w:sz w:val="24"/>
          <w:szCs w:val="24"/>
          <w:highlight w:val="none"/>
        </w:rPr>
        <w:t xml:space="preserve">的，可以不提供。</w:t>
      </w:r>
      <w:r>
        <w:rPr>
          <w:rFonts w:hint="eastAsia" w:ascii="宋体" w:hAnsi="宋体"/>
          <w:color w:val="000000" w:themeColor="text1"/>
          <w:sz w:val="24"/>
          <w:szCs w:val="24"/>
          <w:highlight w:val="none"/>
        </w:rPr>
      </w:r>
      <w:r>
        <w:rPr>
          <w:color w:val="000000" w:themeColor="text1"/>
          <w:highlight w:val="none"/>
        </w:rP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color w:val="000000" w:themeColor="text1"/>
          <w:highlight w:val="none"/>
        </w:rPr>
      </w:r>
    </w:p>
    <w:p>
      <w:pPr>
        <w:pStyle w:val="883"/>
        <w:numPr>
          <w:ilvl w:val="0"/>
          <w:numId w:val="8"/>
        </w:num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上述</w:t>
      </w:r>
      <w:r>
        <w:rPr>
          <w:rFonts w:ascii="宋体" w:hAnsi="宋体"/>
          <w:color w:val="000000" w:themeColor="text1"/>
          <w:sz w:val="24"/>
          <w:szCs w:val="24"/>
          <w:highlight w:val="none"/>
        </w:rPr>
        <w:t xml:space="preserve">资格证明文件第</w:t>
      </w:r>
      <w:r>
        <w:rPr>
          <w:rFonts w:hint="eastAsia" w:ascii="宋体" w:hAnsi="宋体"/>
          <w:color w:val="000000" w:themeColor="text1"/>
          <w:sz w:val="24"/>
          <w:szCs w:val="24"/>
          <w:highlight w:val="none"/>
        </w:rPr>
        <w:t xml:space="preserve">7项，如本项目落实政府采购政策需满足的资格要求中有中小企业政策要求的（详见第一章《投标邀请》），必须提供相应证明文件，否则投标文件无效。</w:t>
      </w:r>
      <w:r>
        <w:rPr>
          <w:color w:val="000000" w:themeColor="text1"/>
          <w:highlight w:val="none"/>
        </w:rPr>
      </w:r>
    </w:p>
    <w:p>
      <w:pPr>
        <w:pStyle w:val="883"/>
        <w:ind w:firstLine="480"/>
        <w:spacing w:line="500" w:lineRule="exact"/>
        <w:rPr>
          <w:rFonts w:hint="eastAsia" w:ascii="宋体" w:hAnsi="宋体"/>
          <w:color w:val="000000" w:themeColor="text1"/>
          <w:sz w:val="24"/>
          <w:szCs w:val="24"/>
          <w:highlight w:val="none"/>
        </w:rPr>
      </w:pPr>
      <w:r>
        <w:rPr>
          <w:rFonts w:ascii="宋体" w:hAnsi="宋体"/>
          <w:color w:val="000000" w:themeColor="text1"/>
          <w:sz w:val="24"/>
          <w:szCs w:val="24"/>
          <w:highlight w:val="none"/>
        </w:rPr>
        <w:t xml:space="preserve">专门面向中小</w:t>
      </w:r>
      <w:r>
        <w:rPr>
          <w:rFonts w:hint="eastAsia" w:ascii="宋体" w:hAnsi="宋体"/>
          <w:color w:val="000000" w:themeColor="text1"/>
          <w:sz w:val="24"/>
          <w:szCs w:val="24"/>
          <w:highlight w:val="none"/>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rPr>
          <w:rFonts w:hint="eastAsia" w:ascii="宋体" w:hAnsi="宋体"/>
          <w:color w:val="000000" w:themeColor="text1"/>
          <w:sz w:val="24"/>
          <w:szCs w:val="24"/>
          <w:highlight w:val="none"/>
        </w:rPr>
      </w:r>
      <w:r>
        <w:rPr>
          <w:color w:val="000000" w:themeColor="text1"/>
          <w:highlight w:val="none"/>
        </w:rPr>
      </w:r>
    </w:p>
    <w:p>
      <w:pPr>
        <w:pStyle w:val="883"/>
        <w:numPr>
          <w:ilvl w:val="0"/>
          <w:numId w:val="8"/>
        </w:num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上述</w:t>
      </w:r>
      <w:r>
        <w:rPr>
          <w:rFonts w:ascii="宋体" w:hAnsi="宋体"/>
          <w:color w:val="000000" w:themeColor="text1"/>
          <w:sz w:val="24"/>
          <w:szCs w:val="24"/>
          <w:highlight w:val="none"/>
        </w:rPr>
        <w:t xml:space="preserve">资格证明文件第</w:t>
      </w:r>
      <w:r>
        <w:rPr>
          <w:rFonts w:hint="eastAsia" w:ascii="宋体" w:hAnsi="宋体"/>
          <w:color w:val="000000" w:themeColor="text1"/>
          <w:sz w:val="24"/>
          <w:szCs w:val="24"/>
          <w:highlight w:val="none"/>
        </w:rPr>
        <w:t xml:space="preserve">8项，如本项目有特定资格要求的（详见第一章《投标邀请》），须提供相应的特定资格证明文件。</w:t>
      </w:r>
      <w:r>
        <w:rPr>
          <w:color w:val="000000" w:themeColor="text1"/>
          <w:highlight w:val="none"/>
        </w:rPr>
      </w:r>
    </w:p>
    <w:p>
      <w:pPr>
        <w:pStyle w:val="883"/>
        <w:numPr>
          <w:ilvl w:val="0"/>
          <w:numId w:val="8"/>
        </w:num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上述</w:t>
      </w:r>
      <w:r>
        <w:rPr>
          <w:rFonts w:ascii="宋体" w:hAnsi="宋体"/>
          <w:color w:val="000000" w:themeColor="text1"/>
          <w:sz w:val="24"/>
          <w:szCs w:val="24"/>
          <w:highlight w:val="none"/>
        </w:rPr>
        <w:t xml:space="preserve">资格证明文件第</w:t>
      </w:r>
      <w:r>
        <w:rPr>
          <w:rFonts w:hint="eastAsia" w:ascii="宋体" w:hAnsi="宋体"/>
          <w:color w:val="000000" w:themeColor="text1"/>
          <w:sz w:val="24"/>
          <w:szCs w:val="24"/>
          <w:highlight w:val="none"/>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rPr>
          <w:color w:val="000000" w:themeColor="text1"/>
          <w:highlight w:val="none"/>
        </w:rP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如项目接受联合体投标且投标人为联合体时，</w:t>
      </w:r>
      <w:r>
        <w:rPr>
          <w:rFonts w:ascii="宋体" w:hAnsi="宋体"/>
          <w:color w:val="000000" w:themeColor="text1"/>
          <w:sz w:val="24"/>
          <w:szCs w:val="24"/>
          <w:highlight w:val="none"/>
        </w:rPr>
        <w:t xml:space="preserve">上述资格证明文件</w:t>
      </w:r>
      <w:r>
        <w:rPr>
          <w:rFonts w:hint="eastAsia" w:ascii="宋体" w:hAnsi="宋体"/>
          <w:color w:val="000000" w:themeColor="text1"/>
          <w:sz w:val="24"/>
          <w:szCs w:val="24"/>
          <w:highlight w:val="none"/>
        </w:rPr>
        <w:t xml:space="preserve">中：第2、6项可由联合体主体单位（即联合体牵头人）代表联合体提供；第1、3、4、5、7（如有要求）、8（如有要求）项，联合体各方均须提供。</w:t>
      </w:r>
      <w:r>
        <w:rPr>
          <w:color w:val="000000" w:themeColor="text1"/>
          <w:highlight w:val="none"/>
        </w:rPr>
      </w:r>
    </w:p>
    <w:p>
      <w:pPr>
        <w:pStyle w:val="883"/>
        <w:rPr>
          <w:rFonts w:hint="eastAsia"/>
          <w:b/>
          <w:color w:val="000000" w:themeColor="text1"/>
          <w:sz w:val="28"/>
          <w:szCs w:val="28"/>
          <w:highlight w:val="none"/>
        </w:rPr>
      </w:pPr>
      <w:r>
        <w:rPr>
          <w:rFonts w:hint="eastAsia" w:ascii="宋体" w:hAnsi="宋体"/>
          <w:color w:val="000000" w:themeColor="text1"/>
          <w:highlight w:val="none"/>
        </w:rPr>
        <w:br w:type="page" w:clear="all"/>
      </w:r>
      <w:r>
        <w:rPr>
          <w:rFonts w:hint="eastAsia"/>
          <w:b/>
          <w:color w:val="000000" w:themeColor="text1"/>
          <w:sz w:val="28"/>
          <w:szCs w:val="28"/>
          <w:highlight w:val="none"/>
        </w:rPr>
        <w:t xml:space="preserve">二、符合性证明文件及其他证明文件</w:t>
      </w:r>
      <w:r>
        <w:rPr>
          <w:color w:val="000000" w:themeColor="text1"/>
          <w:highlight w:val="none"/>
        </w:rPr>
      </w:r>
    </w:p>
    <w:p>
      <w:pPr>
        <w:pStyle w:val="883"/>
        <w:rPr>
          <w:b/>
          <w:color w:val="000000" w:themeColor="text1"/>
          <w:sz w:val="28"/>
          <w:szCs w:val="28"/>
          <w:highlight w:val="none"/>
        </w:rPr>
      </w:pPr>
      <w:r>
        <w:rPr>
          <w:rFonts w:hint="eastAsia"/>
          <w:b/>
          <w:color w:val="000000" w:themeColor="text1"/>
          <w:sz w:val="28"/>
          <w:szCs w:val="28"/>
          <w:highlight w:val="none"/>
        </w:rPr>
        <w:t xml:space="preserve">（一）符合性证明文件</w:t>
      </w:r>
      <w:r>
        <w:rPr>
          <w:b/>
          <w:color w:val="000000" w:themeColor="text1"/>
          <w:sz w:val="28"/>
          <w:szCs w:val="28"/>
          <w:highlight w:val="none"/>
        </w:rPr>
      </w:r>
      <w:r>
        <w:rPr>
          <w:color w:val="000000" w:themeColor="text1"/>
          <w:highlight w:val="none"/>
        </w:rP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971"/>
              <w:ind w:firstLine="0"/>
              <w:jc w:val="center"/>
              <w:spacing w:before="0" w:after="0" w:line="240" w:lineRule="auto"/>
              <w:rPr>
                <w:rFonts w:hint="eastAsia" w:cs="Arial"/>
                <w:b/>
                <w:color w:val="000000" w:themeColor="text1"/>
                <w:highlight w:val="none"/>
              </w:rPr>
            </w:pPr>
            <w:r>
              <w:rPr>
                <w:rFonts w:hint="eastAsia" w:cs="Arial"/>
                <w:b/>
                <w:color w:val="000000" w:themeColor="text1"/>
                <w:highlight w:val="none"/>
              </w:rPr>
              <w:t xml:space="preserve">序号</w:t>
            </w:r>
            <w:r>
              <w:rPr>
                <w:color w:val="000000" w:themeColor="text1"/>
                <w:highlight w:val="none"/>
              </w:rPr>
            </w:r>
          </w:p>
        </w:tc>
        <w:tc>
          <w:tcPr>
            <w:tcW w:w="6095" w:type="dxa"/>
            <w:vAlign w:val="center"/>
            <w:textDirection w:val="lrTb"/>
            <w:noWrap w:val="false"/>
          </w:tcPr>
          <w:p>
            <w:pPr>
              <w:pStyle w:val="971"/>
              <w:ind w:firstLine="0"/>
              <w:jc w:val="center"/>
              <w:spacing w:before="0" w:after="0" w:line="240" w:lineRule="auto"/>
              <w:rPr>
                <w:rFonts w:hint="eastAsia" w:cs="Arial"/>
                <w:b/>
                <w:color w:val="000000" w:themeColor="text1"/>
                <w:highlight w:val="none"/>
              </w:rPr>
            </w:pPr>
            <w:r>
              <w:rPr>
                <w:rFonts w:hint="eastAsia" w:ascii="宋体" w:hAnsi="宋体" w:cs="宋体"/>
                <w:b/>
                <w:color w:val="000000" w:themeColor="text1"/>
                <w:highlight w:val="none"/>
              </w:rPr>
              <w:t xml:space="preserve">评审项目及评审要求</w:t>
            </w:r>
            <w:r>
              <w:rPr>
                <w:rFonts w:hint="eastAsia" w:cs="Arial"/>
                <w:b/>
                <w:color w:val="000000" w:themeColor="text1"/>
                <w:highlight w:val="none"/>
              </w:rPr>
            </w:r>
            <w:r>
              <w:rPr>
                <w:color w:val="000000" w:themeColor="text1"/>
                <w:highlight w:val="none"/>
              </w:rPr>
            </w:r>
          </w:p>
        </w:tc>
        <w:tc>
          <w:tcPr>
            <w:tcW w:w="1979" w:type="dxa"/>
            <w:vAlign w:val="center"/>
            <w:textDirection w:val="lrTb"/>
            <w:noWrap w:val="false"/>
          </w:tcPr>
          <w:p>
            <w:pPr>
              <w:pStyle w:val="971"/>
              <w:ind w:firstLine="0"/>
              <w:jc w:val="center"/>
              <w:spacing w:before="0" w:after="0" w:line="240" w:lineRule="auto"/>
              <w:rPr>
                <w:rFonts w:hint="eastAsia" w:cs="Arial"/>
                <w:b/>
                <w:color w:val="000000" w:themeColor="text1"/>
                <w:highlight w:val="none"/>
              </w:rPr>
            </w:pPr>
            <w:r>
              <w:rPr>
                <w:rFonts w:hint="eastAsia" w:cs="Arial"/>
                <w:b/>
                <w:color w:val="000000" w:themeColor="text1"/>
                <w:highlight w:val="none"/>
              </w:rPr>
              <w:t xml:space="preserve">审查因素</w:t>
            </w:r>
            <w:r>
              <w:rPr>
                <w:color w:val="000000" w:themeColor="text1"/>
                <w:highlight w:val="none"/>
              </w:rPr>
            </w:r>
          </w:p>
        </w:tc>
      </w:tr>
      <w:tr>
        <w:trPr>
          <w:cantSplit/>
          <w:trHeight w:val="567"/>
        </w:trPr>
        <w:tc>
          <w:tcPr>
            <w:tcW w:w="823" w:type="dxa"/>
            <w:vAlign w:val="center"/>
            <w:textDirection w:val="lrTb"/>
            <w:noWrap w:val="false"/>
          </w:tcPr>
          <w:p>
            <w:pPr>
              <w:pStyle w:val="971"/>
              <w:ind w:firstLine="0"/>
              <w:jc w:val="center"/>
              <w:spacing w:before="0" w:after="0" w:line="240" w:lineRule="auto"/>
              <w:rPr>
                <w:rFonts w:hint="eastAsia" w:ascii="宋体" w:hAnsi="宋体" w:cs="Arial"/>
                <w:color w:val="000000" w:themeColor="text1"/>
                <w:highlight w:val="none"/>
              </w:rPr>
            </w:pPr>
            <w:r>
              <w:rPr>
                <w:rFonts w:hint="eastAsia" w:ascii="宋体" w:hAnsi="宋体" w:cs="Arial"/>
                <w:color w:val="000000" w:themeColor="text1"/>
                <w:highlight w:val="none"/>
              </w:rPr>
              <w:t xml:space="preserve">1</w:t>
            </w:r>
            <w:r>
              <w:rPr>
                <w:color w:val="000000" w:themeColor="text1"/>
                <w:highlight w:val="none"/>
              </w:rPr>
            </w:r>
          </w:p>
        </w:tc>
        <w:tc>
          <w:tcPr>
            <w:tcW w:w="6095" w:type="dxa"/>
            <w:vAlign w:val="center"/>
            <w:textDirection w:val="lrTb"/>
            <w:noWrap w:val="false"/>
          </w:tcPr>
          <w:p>
            <w:pPr>
              <w:pStyle w:val="971"/>
              <w:ind w:firstLine="0"/>
              <w:jc w:val="both"/>
              <w:spacing w:before="0" w:after="0" w:line="240" w:lineRule="auto"/>
              <w:rPr>
                <w:rFonts w:hint="eastAsia" w:ascii="宋体" w:hAnsi="宋体" w:cs="Arial"/>
                <w:color w:val="000000" w:themeColor="text1"/>
                <w:highlight w:val="none"/>
              </w:rPr>
            </w:pPr>
            <w:r>
              <w:rPr>
                <w:rFonts w:hint="eastAsia" w:ascii="宋体" w:hAnsi="宋体" w:cs="Arial"/>
                <w:color w:val="000000" w:themeColor="text1"/>
                <w:highlight w:val="none"/>
              </w:rPr>
              <w:t xml:space="preserve">投标函（给定格式）</w:t>
            </w:r>
            <w:r>
              <w:rPr>
                <w:color w:val="000000" w:themeColor="text1"/>
                <w:highlight w:val="none"/>
              </w:rPr>
            </w:r>
          </w:p>
        </w:tc>
        <w:tc>
          <w:tcPr>
            <w:tcW w:w="1979" w:type="dxa"/>
            <w:vAlign w:val="center"/>
            <w:vMerge w:val="restart"/>
            <w:textDirection w:val="lrTb"/>
            <w:noWrap w:val="false"/>
          </w:tcPr>
          <w:p>
            <w:pPr>
              <w:pStyle w:val="971"/>
              <w:ind w:firstLine="0"/>
              <w:jc w:val="center"/>
              <w:spacing w:before="0" w:after="0" w:line="240" w:lineRule="auto"/>
              <w:rPr>
                <w:rFonts w:hint="eastAsia" w:cs="Arial"/>
                <w:color w:val="000000" w:themeColor="text1"/>
                <w:highlight w:val="none"/>
              </w:rPr>
            </w:pPr>
            <w:r>
              <w:rPr>
                <w:rFonts w:hint="eastAsia" w:cs="Arial"/>
                <w:color w:val="000000" w:themeColor="text1"/>
                <w:highlight w:val="none"/>
              </w:rPr>
              <w:t xml:space="preserve">商务符合性</w:t>
            </w:r>
            <w:r>
              <w:rPr>
                <w:color w:val="000000" w:themeColor="text1"/>
                <w:highlight w:val="none"/>
              </w:rPr>
            </w:r>
          </w:p>
        </w:tc>
      </w:tr>
      <w:tr>
        <w:trPr>
          <w:cantSplit/>
          <w:trHeight w:val="567"/>
        </w:trPr>
        <w:tc>
          <w:tcPr>
            <w:tcW w:w="823" w:type="dxa"/>
            <w:vAlign w:val="center"/>
            <w:textDirection w:val="lrTb"/>
            <w:noWrap w:val="false"/>
          </w:tcPr>
          <w:p>
            <w:pPr>
              <w:pStyle w:val="971"/>
              <w:ind w:firstLine="0"/>
              <w:jc w:val="center"/>
              <w:spacing w:before="0" w:after="0" w:line="240" w:lineRule="auto"/>
              <w:rPr>
                <w:rFonts w:hint="eastAsia" w:ascii="宋体" w:hAnsi="宋体" w:cs="Arial"/>
                <w:color w:val="000000" w:themeColor="text1"/>
                <w:highlight w:val="none"/>
              </w:rPr>
            </w:pPr>
            <w:r>
              <w:rPr>
                <w:rFonts w:hint="eastAsia" w:ascii="宋体" w:hAnsi="宋体" w:cs="Arial"/>
                <w:color w:val="000000" w:themeColor="text1"/>
                <w:highlight w:val="none"/>
              </w:rPr>
              <w:t xml:space="preserve">2</w:t>
            </w:r>
            <w:r>
              <w:rPr>
                <w:color w:val="000000" w:themeColor="text1"/>
                <w:highlight w:val="none"/>
              </w:rPr>
            </w:r>
          </w:p>
        </w:tc>
        <w:tc>
          <w:tcPr>
            <w:tcW w:w="6095" w:type="dxa"/>
            <w:vAlign w:val="center"/>
            <w:textDirection w:val="lrTb"/>
            <w:noWrap w:val="false"/>
          </w:tcPr>
          <w:p>
            <w:pPr>
              <w:pStyle w:val="971"/>
              <w:ind w:firstLine="0"/>
              <w:jc w:val="both"/>
              <w:spacing w:before="0" w:after="0" w:line="240" w:lineRule="auto"/>
              <w:rPr>
                <w:rFonts w:hint="eastAsia" w:ascii="宋体" w:hAnsi="宋体" w:cs="Arial"/>
                <w:color w:val="000000" w:themeColor="text1"/>
                <w:highlight w:val="none"/>
              </w:rPr>
            </w:pPr>
            <w:r>
              <w:rPr>
                <w:rFonts w:hint="eastAsia" w:ascii="宋体" w:hAnsi="宋体" w:cs="Arial"/>
                <w:color w:val="000000" w:themeColor="text1"/>
                <w:highlight w:val="none"/>
              </w:rPr>
              <w:t xml:space="preserve">承诺书（给定格式）</w:t>
            </w:r>
            <w:r>
              <w:rPr>
                <w:color w:val="000000" w:themeColor="text1"/>
                <w:highlight w:val="none"/>
              </w:rPr>
            </w:r>
          </w:p>
        </w:tc>
        <w:tc>
          <w:tcPr>
            <w:tcW w:w="1979" w:type="dxa"/>
            <w:vAlign w:val="center"/>
            <w:vMerge w:val="continue"/>
            <w:textDirection w:val="lrTb"/>
            <w:noWrap w:val="false"/>
          </w:tcPr>
          <w:p>
            <w:pPr>
              <w:pStyle w:val="971"/>
              <w:ind w:firstLine="0"/>
              <w:jc w:val="center"/>
              <w:spacing w:before="0" w:after="0" w:line="240" w:lineRule="auto"/>
              <w:rPr>
                <w:rFonts w:hint="eastAsia" w:cs="Arial"/>
              </w:rPr>
            </w:pPr>
            <w:r>
              <w:rPr>
                <w:rFonts w:hint="eastAsia" w:cs="Arial"/>
              </w:rPr>
            </w:r>
            <w:r/>
          </w:p>
        </w:tc>
      </w:tr>
      <w:tr>
        <w:trPr>
          <w:cantSplit/>
          <w:trHeight w:val="567"/>
        </w:trPr>
        <w:tc>
          <w:tcPr>
            <w:tcW w:w="823" w:type="dxa"/>
            <w:vAlign w:val="center"/>
            <w:textDirection w:val="lrTb"/>
            <w:noWrap w:val="false"/>
          </w:tcPr>
          <w:p>
            <w:pPr>
              <w:pStyle w:val="971"/>
              <w:ind w:firstLine="0"/>
              <w:jc w:val="center"/>
              <w:spacing w:before="0" w:after="0" w:line="240" w:lineRule="auto"/>
              <w:rPr>
                <w:rFonts w:hint="eastAsia" w:ascii="宋体" w:hAnsi="宋体"/>
                <w:color w:val="000000" w:themeColor="text1"/>
                <w:highlight w:val="none"/>
              </w:rPr>
            </w:pPr>
            <w:r>
              <w:rPr>
                <w:rFonts w:hint="eastAsia" w:ascii="宋体" w:hAnsi="宋体"/>
                <w:color w:val="000000" w:themeColor="text1"/>
                <w:highlight w:val="none"/>
              </w:rPr>
              <w:t xml:space="preserve">3</w:t>
            </w:r>
            <w:r>
              <w:rPr>
                <w:color w:val="000000" w:themeColor="text1"/>
                <w:highlight w:val="none"/>
              </w:rPr>
            </w:r>
          </w:p>
        </w:tc>
        <w:tc>
          <w:tcPr>
            <w:tcW w:w="6095" w:type="dxa"/>
            <w:vAlign w:val="center"/>
            <w:textDirection w:val="lrTb"/>
            <w:noWrap w:val="false"/>
          </w:tcPr>
          <w:p>
            <w:pPr>
              <w:pStyle w:val="971"/>
              <w:ind w:firstLine="0"/>
              <w:jc w:val="both"/>
              <w:spacing w:before="0" w:after="0" w:line="240" w:lineRule="auto"/>
              <w:rPr>
                <w:rFonts w:hint="eastAsia" w:ascii="宋体" w:hAnsi="宋体" w:cs="Arial"/>
                <w:color w:val="000000" w:themeColor="text1"/>
                <w:highlight w:val="none"/>
              </w:rPr>
            </w:pPr>
            <w:r>
              <w:rPr>
                <w:rFonts w:hint="eastAsia" w:ascii="宋体" w:hAnsi="宋体"/>
                <w:color w:val="000000" w:themeColor="text1"/>
                <w:highlight w:val="none"/>
              </w:rPr>
              <w:t xml:space="preserve">开标一览表（“苏采云”系统中给定格式）</w:t>
            </w:r>
            <w:r>
              <w:rPr>
                <w:rFonts w:hint="eastAsia" w:ascii="宋体" w:hAnsi="宋体" w:cs="Arial"/>
                <w:color w:val="000000" w:themeColor="text1"/>
                <w:highlight w:val="none"/>
              </w:rPr>
            </w:r>
            <w:r>
              <w:rPr>
                <w:color w:val="000000" w:themeColor="text1"/>
                <w:highlight w:val="none"/>
              </w:rPr>
            </w:r>
          </w:p>
        </w:tc>
        <w:tc>
          <w:tcPr>
            <w:tcW w:w="1979" w:type="dxa"/>
            <w:vAlign w:val="center"/>
            <w:vMerge w:val="restart"/>
            <w:textDirection w:val="lrTb"/>
            <w:noWrap w:val="false"/>
          </w:tcPr>
          <w:p>
            <w:pPr>
              <w:pStyle w:val="971"/>
              <w:ind w:firstLine="0"/>
              <w:jc w:val="center"/>
              <w:spacing w:before="0" w:after="0" w:line="240" w:lineRule="auto"/>
              <w:rPr>
                <w:rFonts w:hint="eastAsia" w:cs="Arial"/>
                <w:color w:val="000000" w:themeColor="text1"/>
                <w:highlight w:val="none"/>
              </w:rPr>
            </w:pPr>
            <w:r>
              <w:rPr>
                <w:rFonts w:hint="eastAsia" w:cs="Arial"/>
                <w:color w:val="000000" w:themeColor="text1"/>
                <w:highlight w:val="none"/>
              </w:rPr>
              <w:t xml:space="preserve">报价符合性</w:t>
            </w:r>
            <w:r>
              <w:rPr>
                <w:color w:val="000000" w:themeColor="text1"/>
                <w:highlight w:val="none"/>
              </w:rPr>
            </w:r>
          </w:p>
        </w:tc>
      </w:tr>
      <w:tr>
        <w:trPr>
          <w:cantSplit/>
          <w:trHeight w:val="567"/>
        </w:trPr>
        <w:tc>
          <w:tcPr>
            <w:tcW w:w="823" w:type="dxa"/>
            <w:vAlign w:val="center"/>
            <w:textDirection w:val="lrTb"/>
            <w:noWrap w:val="false"/>
          </w:tcPr>
          <w:p>
            <w:pPr>
              <w:pStyle w:val="971"/>
              <w:ind w:firstLine="0"/>
              <w:jc w:val="center"/>
              <w:spacing w:before="0" w:after="0" w:line="240" w:lineRule="auto"/>
              <w:rPr>
                <w:rFonts w:hint="eastAsia" w:ascii="宋体" w:hAnsi="宋体"/>
                <w:color w:val="000000" w:themeColor="text1"/>
                <w:highlight w:val="none"/>
              </w:rPr>
            </w:pPr>
            <w:r>
              <w:rPr>
                <w:rFonts w:hint="eastAsia" w:ascii="宋体" w:hAnsi="宋体"/>
                <w:color w:val="000000" w:themeColor="text1"/>
                <w:highlight w:val="none"/>
              </w:rPr>
              <w:t xml:space="preserve">4</w:t>
            </w:r>
            <w:r>
              <w:rPr>
                <w:color w:val="000000" w:themeColor="text1"/>
                <w:highlight w:val="none"/>
              </w:rPr>
            </w:r>
          </w:p>
        </w:tc>
        <w:tc>
          <w:tcPr>
            <w:tcW w:w="6095" w:type="dxa"/>
            <w:vAlign w:val="center"/>
            <w:textDirection w:val="lrTb"/>
            <w:noWrap w:val="false"/>
          </w:tcPr>
          <w:p>
            <w:pPr>
              <w:pStyle w:val="971"/>
              <w:ind w:firstLine="0"/>
              <w:jc w:val="both"/>
              <w:spacing w:before="0" w:after="0" w:line="240" w:lineRule="auto"/>
              <w:rPr>
                <w:rFonts w:hint="eastAsia" w:ascii="宋体" w:hAnsi="宋体" w:cs="Arial"/>
                <w:color w:val="000000" w:themeColor="text1"/>
                <w:highlight w:val="none"/>
              </w:rPr>
            </w:pPr>
            <w:r>
              <w:rPr>
                <w:rFonts w:hint="eastAsia" w:ascii="宋体" w:hAnsi="宋体"/>
                <w:color w:val="000000" w:themeColor="text1"/>
                <w:highlight w:val="none"/>
              </w:rPr>
              <w:t xml:space="preserve">分项报价表（给定格式）</w:t>
            </w:r>
            <w:r>
              <w:rPr>
                <w:rFonts w:hint="eastAsia" w:ascii="宋体" w:hAnsi="宋体" w:cs="Arial"/>
                <w:color w:val="000000" w:themeColor="text1"/>
                <w:highlight w:val="none"/>
              </w:rPr>
            </w:r>
            <w:r>
              <w:rPr>
                <w:color w:val="000000" w:themeColor="text1"/>
                <w:highlight w:val="none"/>
              </w:rPr>
            </w:r>
          </w:p>
        </w:tc>
        <w:tc>
          <w:tcPr>
            <w:tcW w:w="1979" w:type="dxa"/>
            <w:vAlign w:val="center"/>
            <w:vMerge w:val="continue"/>
            <w:textDirection w:val="lrTb"/>
            <w:noWrap w:val="false"/>
          </w:tcPr>
          <w:p>
            <w:pPr>
              <w:pStyle w:val="971"/>
              <w:ind w:firstLine="0"/>
              <w:jc w:val="center"/>
              <w:spacing w:before="0" w:after="0" w:line="240" w:lineRule="auto"/>
              <w:rPr>
                <w:rFonts w:hint="eastAsia" w:cs="Arial"/>
              </w:rPr>
            </w:pPr>
            <w:r>
              <w:rPr>
                <w:rFonts w:hint="eastAsia" w:cs="Arial"/>
              </w:rPr>
            </w:r>
            <w:r/>
          </w:p>
        </w:tc>
      </w:tr>
      <w:tr>
        <w:trPr>
          <w:cantSplit/>
          <w:trHeight w:val="567"/>
        </w:trPr>
        <w:tc>
          <w:tcPr>
            <w:tcW w:w="823" w:type="dxa"/>
            <w:vAlign w:val="center"/>
            <w:textDirection w:val="lrTb"/>
            <w:noWrap w:val="false"/>
          </w:tcPr>
          <w:p>
            <w:pPr>
              <w:pStyle w:val="971"/>
              <w:ind w:firstLine="0"/>
              <w:jc w:val="center"/>
              <w:spacing w:before="0" w:after="0" w:line="240" w:lineRule="auto"/>
              <w:rPr>
                <w:rFonts w:hint="eastAsia" w:ascii="宋体" w:hAnsi="宋体"/>
                <w:color w:val="000000" w:themeColor="text1"/>
                <w:highlight w:val="none"/>
              </w:rPr>
            </w:pPr>
            <w:r>
              <w:rPr>
                <w:rFonts w:hint="eastAsia" w:ascii="宋体" w:hAnsi="宋体"/>
                <w:color w:val="000000" w:themeColor="text1"/>
                <w:highlight w:val="none"/>
              </w:rPr>
              <w:t xml:space="preserve">5</w:t>
            </w:r>
            <w:r>
              <w:rPr>
                <w:color w:val="000000" w:themeColor="text1"/>
                <w:highlight w:val="none"/>
              </w:rPr>
            </w:r>
          </w:p>
        </w:tc>
        <w:tc>
          <w:tcPr>
            <w:tcW w:w="6095" w:type="dxa"/>
            <w:vAlign w:val="center"/>
            <w:textDirection w:val="lrTb"/>
            <w:noWrap w:val="false"/>
          </w:tcPr>
          <w:p>
            <w:pPr>
              <w:pStyle w:val="971"/>
              <w:ind w:firstLine="0"/>
              <w:jc w:val="both"/>
              <w:spacing w:before="0" w:after="0" w:line="240" w:lineRule="auto"/>
              <w:rPr>
                <w:rFonts w:ascii="宋体" w:hAnsi="宋体" w:cs="Arial"/>
                <w:color w:val="000000" w:themeColor="text1"/>
                <w:highlight w:val="none"/>
              </w:rPr>
            </w:pPr>
            <w:r>
              <w:rPr>
                <w:rFonts w:hint="eastAsia" w:ascii="宋体" w:hAnsi="宋体"/>
                <w:color w:val="000000" w:themeColor="text1"/>
                <w:highlight w:val="none"/>
              </w:rPr>
              <w:t xml:space="preserve">投标偏离表（给定格式）</w:t>
            </w:r>
            <w:r>
              <w:rPr>
                <w:rFonts w:ascii="宋体" w:hAnsi="宋体" w:cs="Arial"/>
                <w:color w:val="000000" w:themeColor="text1"/>
                <w:highlight w:val="none"/>
              </w:rPr>
            </w:r>
            <w:r>
              <w:rPr>
                <w:color w:val="000000" w:themeColor="text1"/>
                <w:highlight w:val="none"/>
              </w:rPr>
            </w:r>
          </w:p>
        </w:tc>
        <w:tc>
          <w:tcPr>
            <w:tcW w:w="1979" w:type="dxa"/>
            <w:vAlign w:val="center"/>
            <w:vMerge w:val="restart"/>
            <w:textDirection w:val="lrTb"/>
            <w:noWrap w:val="false"/>
          </w:tcPr>
          <w:p>
            <w:pPr>
              <w:pStyle w:val="971"/>
              <w:ind w:firstLine="0"/>
              <w:jc w:val="center"/>
              <w:spacing w:before="0" w:after="0" w:line="240" w:lineRule="auto"/>
              <w:rPr>
                <w:rFonts w:hint="eastAsia" w:cs="Arial"/>
                <w:color w:val="000000" w:themeColor="text1"/>
                <w:highlight w:val="none"/>
              </w:rPr>
            </w:pPr>
            <w:r>
              <w:rPr>
                <w:rFonts w:hint="eastAsia" w:cs="Arial"/>
                <w:color w:val="000000" w:themeColor="text1"/>
                <w:highlight w:val="none"/>
              </w:rPr>
              <w:t xml:space="preserve">技术符合性</w:t>
            </w:r>
            <w:r>
              <w:rPr>
                <w:color w:val="000000" w:themeColor="text1"/>
                <w:highlight w:val="none"/>
              </w:rPr>
            </w:r>
          </w:p>
        </w:tc>
      </w:tr>
      <w:tr>
        <w:trPr>
          <w:cantSplit/>
          <w:trHeight w:val="567"/>
        </w:trPr>
        <w:tc>
          <w:tcPr>
            <w:tcW w:w="823" w:type="dxa"/>
            <w:vAlign w:val="center"/>
            <w:textDirection w:val="lrTb"/>
            <w:noWrap w:val="false"/>
          </w:tcPr>
          <w:p>
            <w:pPr>
              <w:pStyle w:val="971"/>
              <w:ind w:firstLine="0"/>
              <w:jc w:val="center"/>
              <w:spacing w:before="0" w:after="0" w:line="240" w:lineRule="auto"/>
              <w:rPr>
                <w:rFonts w:hint="eastAsia" w:ascii="宋体" w:hAnsi="宋体"/>
                <w:color w:val="000000" w:themeColor="text1"/>
                <w:highlight w:val="none"/>
              </w:rPr>
            </w:pPr>
            <w:r>
              <w:rPr>
                <w:rFonts w:hint="eastAsia" w:ascii="宋体" w:hAnsi="宋体"/>
                <w:color w:val="000000" w:themeColor="text1"/>
                <w:highlight w:val="none"/>
              </w:rPr>
              <w:t xml:space="preserve">6</w:t>
            </w:r>
            <w:r>
              <w:rPr>
                <w:color w:val="000000" w:themeColor="text1"/>
                <w:highlight w:val="none"/>
              </w:rPr>
            </w:r>
          </w:p>
        </w:tc>
        <w:tc>
          <w:tcPr>
            <w:tcW w:w="6095" w:type="dxa"/>
            <w:vAlign w:val="center"/>
            <w:textDirection w:val="lrTb"/>
            <w:noWrap w:val="false"/>
          </w:tcPr>
          <w:p>
            <w:pPr>
              <w:pStyle w:val="971"/>
              <w:ind w:firstLine="0"/>
              <w:jc w:val="both"/>
              <w:spacing w:before="0" w:after="0" w:line="240" w:lineRule="auto"/>
              <w:rPr>
                <w:rFonts w:hint="eastAsia" w:ascii="宋体" w:hAnsi="宋体"/>
                <w:color w:val="000000" w:themeColor="text1"/>
                <w:highlight w:val="none"/>
              </w:rPr>
            </w:pPr>
            <w:r>
              <w:rPr>
                <w:rFonts w:hint="eastAsia" w:ascii="宋体" w:hAnsi="宋体"/>
                <w:color w:val="000000" w:themeColor="text1"/>
                <w:highlight w:val="none"/>
              </w:rPr>
              <w:t xml:space="preserve">《采购需求》中要求提供的证明材料（如有）</w:t>
            </w:r>
            <w:r>
              <w:rPr>
                <w:color w:val="000000" w:themeColor="text1"/>
                <w:highlight w:val="none"/>
              </w:rPr>
            </w:r>
          </w:p>
        </w:tc>
        <w:tc>
          <w:tcPr>
            <w:tcW w:w="1979" w:type="dxa"/>
            <w:vAlign w:val="center"/>
            <w:vMerge w:val="continue"/>
            <w:textDirection w:val="lrTb"/>
            <w:noWrap w:val="false"/>
          </w:tcPr>
          <w:p>
            <w:pPr>
              <w:pStyle w:val="971"/>
              <w:ind w:firstLine="0"/>
              <w:jc w:val="center"/>
              <w:spacing w:before="0" w:after="0" w:line="240" w:lineRule="auto"/>
              <w:rPr>
                <w:rFonts w:hint="eastAsia" w:cs="Arial"/>
              </w:rPr>
            </w:pPr>
            <w:r>
              <w:rPr>
                <w:rFonts w:hint="eastAsia" w:cs="Arial"/>
              </w:rPr>
            </w:r>
            <w:r/>
          </w:p>
        </w:tc>
      </w:tr>
    </w:tbl>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说明：</w:t>
      </w:r>
      <w:r>
        <w:rPr>
          <w:color w:val="000000" w:themeColor="text1"/>
          <w:highlight w:val="none"/>
        </w:rPr>
      </w:r>
    </w:p>
    <w:p>
      <w:pPr>
        <w:pStyle w:val="883"/>
        <w:numPr>
          <w:ilvl w:val="0"/>
          <w:numId w:val="9"/>
        </w:num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上述</w:t>
      </w:r>
      <w:r>
        <w:rPr>
          <w:rFonts w:hint="eastAsia" w:cs="Arial"/>
          <w:color w:val="000000" w:themeColor="text1"/>
          <w:sz w:val="24"/>
          <w:szCs w:val="24"/>
          <w:highlight w:val="none"/>
        </w:rPr>
        <w:t xml:space="preserve">符合性证明文件第</w:t>
      </w:r>
      <w:r>
        <w:rPr>
          <w:rFonts w:hint="eastAsia" w:ascii="宋体" w:hAnsi="宋体"/>
          <w:color w:val="000000" w:themeColor="text1"/>
          <w:sz w:val="24"/>
          <w:szCs w:val="24"/>
          <w:highlight w:val="none"/>
        </w:rPr>
        <w:t xml:space="preserve">1～5项必须按要求全部提供（有给定格式的，必须按给定格式的要求正确填报并提供，相应格式见本章第二部分），否则投标文件无效。</w:t>
      </w:r>
      <w:r>
        <w:rPr>
          <w:color w:val="000000" w:themeColor="text1"/>
          <w:highlight w:val="none"/>
        </w:rPr>
      </w:r>
    </w:p>
    <w:p>
      <w:pPr>
        <w:pStyle w:val="883"/>
        <w:numPr>
          <w:ilvl w:val="0"/>
          <w:numId w:val="9"/>
        </w:num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上述</w:t>
      </w:r>
      <w:r>
        <w:rPr>
          <w:rFonts w:hint="eastAsia" w:ascii="宋体" w:hAnsi="宋体" w:cs="Arial"/>
          <w:color w:val="000000" w:themeColor="text1"/>
          <w:sz w:val="24"/>
          <w:szCs w:val="24"/>
          <w:highlight w:val="none"/>
        </w:rPr>
        <w:t xml:space="preserve">符合性证明文件第6项，《采购需求》中如有要求提供证明材料的，须按要求提供，否则投标文件无效。</w:t>
      </w:r>
      <w:r>
        <w:rPr>
          <w:rFonts w:hint="eastAsia" w:ascii="宋体" w:hAnsi="宋体"/>
          <w:color w:val="000000" w:themeColor="text1"/>
          <w:sz w:val="24"/>
          <w:szCs w:val="24"/>
          <w:highlight w:val="none"/>
        </w:rPr>
      </w:r>
      <w:r>
        <w:rPr>
          <w:color w:val="000000" w:themeColor="text1"/>
          <w:highlight w:val="none"/>
        </w:rPr>
      </w:r>
    </w:p>
    <w:p>
      <w:pPr>
        <w:pStyle w:val="883"/>
        <w:numPr>
          <w:ilvl w:val="0"/>
          <w:numId w:val="9"/>
        </w:numPr>
        <w:ind w:firstLine="480"/>
        <w:spacing w:line="50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如项目接受联合体投标，且投标人为联合体时，上述</w:t>
      </w:r>
      <w:r>
        <w:rPr>
          <w:rFonts w:hint="eastAsia" w:cs="Arial"/>
          <w:color w:val="000000" w:themeColor="text1"/>
          <w:sz w:val="24"/>
          <w:szCs w:val="24"/>
          <w:highlight w:val="none"/>
        </w:rPr>
        <w:t xml:space="preserve">符合性证明文件</w:t>
      </w:r>
      <w:r>
        <w:rPr>
          <w:rFonts w:hint="eastAsia" w:ascii="宋体" w:hAnsi="宋体" w:cs="宋体"/>
          <w:color w:val="000000" w:themeColor="text1"/>
          <w:sz w:val="24"/>
          <w:szCs w:val="24"/>
          <w:highlight w:val="none"/>
        </w:rPr>
        <w:t xml:space="preserve">第1～5项可由联合体主体单位（即联合体牵头人）代表联合体提供。第6项按《采购需求》中的相应要求（如有）进行提供。</w:t>
      </w:r>
      <w:r>
        <w:rPr>
          <w:color w:val="000000" w:themeColor="text1"/>
          <w:highlight w:val="none"/>
        </w:rPr>
      </w:r>
    </w:p>
    <w:p>
      <w:pPr>
        <w:pStyle w:val="883"/>
        <w:rPr>
          <w:rFonts w:hint="eastAsia"/>
          <w:b/>
          <w:color w:val="000000" w:themeColor="text1"/>
          <w:sz w:val="28"/>
          <w:szCs w:val="28"/>
          <w:highlight w:val="none"/>
        </w:rPr>
      </w:pPr>
      <w:r>
        <w:rPr>
          <w:rFonts w:hint="eastAsia"/>
          <w:b/>
          <w:color w:val="000000" w:themeColor="text1"/>
          <w:sz w:val="28"/>
          <w:szCs w:val="28"/>
          <w:highlight w:val="none"/>
        </w:rPr>
      </w:r>
      <w:r>
        <w:rPr>
          <w:color w:val="000000" w:themeColor="text1"/>
          <w:highlight w:val="none"/>
        </w:rPr>
      </w:r>
    </w:p>
    <w:p>
      <w:pPr>
        <w:pStyle w:val="883"/>
        <w:rPr>
          <w:rFonts w:hint="eastAsia"/>
          <w:b/>
          <w:color w:val="000000" w:themeColor="text1"/>
          <w:sz w:val="28"/>
          <w:szCs w:val="28"/>
          <w:highlight w:val="none"/>
        </w:rPr>
      </w:pPr>
      <w:r>
        <w:rPr>
          <w:rFonts w:hint="eastAsia"/>
          <w:b/>
          <w:color w:val="000000" w:themeColor="text1"/>
          <w:sz w:val="28"/>
          <w:szCs w:val="28"/>
          <w:highlight w:val="none"/>
        </w:rPr>
        <w:t xml:space="preserve">（二）其他证明文件</w:t>
      </w:r>
      <w:r>
        <w:rPr>
          <w:color w:val="000000" w:themeColor="text1"/>
          <w:highlight w:val="none"/>
        </w:rPr>
      </w:r>
    </w:p>
    <w:p>
      <w:pPr>
        <w:pStyle w:val="883"/>
        <w:ind w:left="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1.《评标方法与评标标准》中涉及的证明文件。</w:t>
      </w:r>
      <w:r>
        <w:rPr>
          <w:color w:val="000000" w:themeColor="text1"/>
          <w:highlight w:val="none"/>
        </w:rPr>
      </w:r>
    </w:p>
    <w:p>
      <w:pPr>
        <w:pStyle w:val="883"/>
        <w:ind w:left="480"/>
        <w:spacing w:line="50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2.投标人认为如有其他应附的文件可自拟并自行添加。</w:t>
      </w:r>
      <w:r>
        <w:rPr>
          <w:color w:val="000000" w:themeColor="text1"/>
          <w:highlight w:val="none"/>
        </w:rPr>
      </w:r>
    </w:p>
    <w:p>
      <w:pPr>
        <w:pStyle w:val="883"/>
        <w:rPr>
          <w:rFonts w:hint="eastAsia" w:cs="Arial"/>
          <w:b/>
          <w:color w:val="000000" w:themeColor="text1"/>
          <w:sz w:val="30"/>
          <w:szCs w:val="30"/>
          <w:highlight w:val="none"/>
        </w:rPr>
      </w:pPr>
      <w:r>
        <w:rPr>
          <w:rFonts w:ascii="宋体" w:hAnsi="宋体" w:cs="宋体"/>
          <w:color w:val="000000" w:themeColor="text1"/>
          <w:sz w:val="24"/>
          <w:szCs w:val="24"/>
          <w:highlight w:val="none"/>
        </w:rPr>
        <w:br w:type="page" w:clear="all"/>
      </w:r>
      <w:r>
        <w:rPr>
          <w:rFonts w:hint="eastAsia" w:cs="Arial"/>
          <w:b/>
          <w:color w:val="000000" w:themeColor="text1"/>
          <w:sz w:val="30"/>
          <w:szCs w:val="30"/>
          <w:highlight w:val="none"/>
        </w:rPr>
        <w:t xml:space="preserve">第二部分  投标文件格式</w:t>
      </w:r>
      <w:r>
        <w:rPr>
          <w:color w:val="000000" w:themeColor="text1"/>
          <w:highlight w:val="none"/>
        </w:rPr>
      </w:r>
    </w:p>
    <w:p>
      <w:pPr>
        <w:pStyle w:val="971"/>
        <w:ind w:firstLine="0"/>
        <w:spacing w:before="0" w:after="0"/>
        <w:rPr>
          <w:rFonts w:cs="Arial"/>
          <w:b/>
          <w:color w:val="000000" w:themeColor="text1"/>
          <w:sz w:val="28"/>
          <w:szCs w:val="28"/>
          <w:highlight w:val="none"/>
        </w:rPr>
      </w:pPr>
      <w:r>
        <w:rPr>
          <w:rFonts w:hint="eastAsia" w:cs="Arial"/>
          <w:b/>
          <w:color w:val="000000" w:themeColor="text1"/>
          <w:sz w:val="28"/>
          <w:szCs w:val="28"/>
          <w:highlight w:val="none"/>
        </w:rPr>
        <w:t xml:space="preserve">一、封面格式（参考格式）：</w:t>
      </w:r>
      <w:r>
        <w:rPr>
          <w:rFonts w:cs="Arial"/>
          <w:b/>
          <w:color w:val="000000" w:themeColor="text1"/>
          <w:sz w:val="28"/>
          <w:szCs w:val="28"/>
          <w:highlight w:val="none"/>
        </w:rPr>
      </w:r>
      <w:r>
        <w:rPr>
          <w:color w:val="000000" w:themeColor="text1"/>
          <w:highlight w:val="none"/>
        </w:rPr>
      </w:r>
    </w:p>
    <w:p>
      <w:pPr>
        <w:pStyle w:val="883"/>
        <w:jc w:val="center"/>
        <w:rPr>
          <w:rFonts w:hint="eastAsia" w:ascii="宋体" w:hAnsi="宋体"/>
          <w:b/>
          <w:color w:val="000000" w:themeColor="text1"/>
          <w:sz w:val="72"/>
          <w:highlight w:val="none"/>
          <w:shd w:val="clear" w:color="ffffff" w:fill="d9d9d9"/>
        </w:rPr>
      </w:pPr>
      <w:r>
        <w:rPr>
          <w:rFonts w:hint="eastAsia" w:ascii="宋体" w:hAnsi="宋体"/>
          <w:b/>
          <w:color w:val="000000" w:themeColor="text1"/>
          <w:sz w:val="72"/>
          <w:highlight w:val="none"/>
          <w:shd w:val="clear" w:color="ffffff" w:fill="d9d9d9"/>
        </w:rPr>
      </w:r>
      <w:r>
        <w:rPr>
          <w:color w:val="000000" w:themeColor="text1"/>
          <w:highlight w:val="none"/>
        </w:rPr>
      </w:r>
    </w:p>
    <w:p>
      <w:pPr>
        <w:pStyle w:val="883"/>
        <w:jc w:val="center"/>
        <w:rPr>
          <w:rFonts w:hint="eastAsia" w:ascii="宋体" w:hAnsi="宋体"/>
          <w:b/>
          <w:color w:val="000000" w:themeColor="text1"/>
          <w:sz w:val="72"/>
          <w:highlight w:val="none"/>
          <w:shd w:val="clear" w:color="ffffff" w:fill="d9d9d9"/>
        </w:rPr>
      </w:pPr>
      <w:r>
        <w:rPr>
          <w:rFonts w:hint="eastAsia" w:ascii="宋体" w:hAnsi="宋体"/>
          <w:b/>
          <w:color w:val="000000" w:themeColor="text1"/>
          <w:sz w:val="72"/>
          <w:highlight w:val="none"/>
          <w:shd w:val="clear" w:color="ffffff" w:fill="d9d9d9"/>
        </w:rPr>
      </w:r>
      <w:r>
        <w:rPr>
          <w:color w:val="000000" w:themeColor="text1"/>
          <w:highlight w:val="none"/>
        </w:rPr>
      </w:r>
    </w:p>
    <w:p>
      <w:pPr>
        <w:pStyle w:val="883"/>
        <w:jc w:val="center"/>
        <w:rPr>
          <w:rFonts w:hint="eastAsia" w:ascii="黑体" w:hAnsi="华文中宋" w:eastAsia="黑体"/>
          <w:bCs/>
          <w:color w:val="000000" w:themeColor="text1"/>
          <w:spacing w:val="20"/>
          <w:sz w:val="84"/>
          <w:szCs w:val="84"/>
          <w:highlight w:val="none"/>
        </w:rPr>
      </w:pPr>
      <w:r>
        <w:rPr>
          <w:rFonts w:hint="eastAsia" w:ascii="黑体" w:hAnsi="华文中宋" w:eastAsia="黑体"/>
          <w:bCs/>
          <w:color w:val="000000" w:themeColor="text1"/>
          <w:spacing w:val="20"/>
          <w:sz w:val="84"/>
          <w:szCs w:val="84"/>
          <w:highlight w:val="none"/>
        </w:rPr>
        <w:t xml:space="preserve">投  标  文  件</w:t>
      </w:r>
      <w:r>
        <w:rPr>
          <w:color w:val="000000" w:themeColor="text1"/>
          <w:highlight w:val="none"/>
        </w:rPr>
      </w:r>
    </w:p>
    <w:p>
      <w:pPr>
        <w:pStyle w:val="883"/>
        <w:jc w:val="center"/>
        <w:rPr>
          <w:rFonts w:hint="eastAsia" w:ascii="宋体" w:hAnsi="宋体"/>
          <w:b/>
          <w:color w:val="000000" w:themeColor="text1"/>
          <w:sz w:val="72"/>
          <w:highlight w:val="none"/>
          <w:shd w:val="clear" w:color="ffffff" w:fill="d9d9d9"/>
        </w:rPr>
      </w:pPr>
      <w:r>
        <w:rPr>
          <w:rFonts w:hint="eastAsia" w:ascii="宋体" w:hAnsi="宋体"/>
          <w:b/>
          <w:color w:val="000000" w:themeColor="text1"/>
          <w:sz w:val="72"/>
          <w:highlight w:val="none"/>
          <w:shd w:val="clear" w:color="ffffff" w:fill="d9d9d9"/>
        </w:rPr>
      </w:r>
      <w:r>
        <w:rPr>
          <w:color w:val="000000" w:themeColor="text1"/>
          <w:highlight w:val="none"/>
        </w:rPr>
      </w:r>
    </w:p>
    <w:p>
      <w:pPr>
        <w:pStyle w:val="883"/>
        <w:jc w:val="center"/>
        <w:rPr>
          <w:rFonts w:hint="eastAsia" w:ascii="宋体" w:hAnsi="宋体"/>
          <w:b/>
          <w:color w:val="000000" w:themeColor="text1"/>
          <w:sz w:val="72"/>
          <w:highlight w:val="none"/>
          <w:shd w:val="clear" w:color="ffffff" w:fill="d9d9d9"/>
        </w:rPr>
      </w:pPr>
      <w:r>
        <w:rPr>
          <w:rFonts w:hint="eastAsia" w:ascii="宋体" w:hAnsi="宋体"/>
          <w:b/>
          <w:color w:val="000000" w:themeColor="text1"/>
          <w:sz w:val="72"/>
          <w:highlight w:val="none"/>
          <w:shd w:val="clear" w:color="ffffff" w:fill="d9d9d9"/>
        </w:rPr>
      </w:r>
      <w:r>
        <w:rPr>
          <w:color w:val="000000" w:themeColor="text1"/>
          <w:highlight w:val="none"/>
        </w:rPr>
      </w:r>
    </w:p>
    <w:p>
      <w:pPr>
        <w:pStyle w:val="883"/>
        <w:jc w:val="center"/>
        <w:rPr>
          <w:rFonts w:hint="eastAsia" w:ascii="宋体" w:hAnsi="宋体"/>
          <w:b/>
          <w:color w:val="000000" w:themeColor="text1"/>
          <w:sz w:val="72"/>
          <w:highlight w:val="none"/>
          <w:shd w:val="clear" w:color="ffffff" w:fill="d9d9d9"/>
        </w:rPr>
      </w:pPr>
      <w:r>
        <w:rPr>
          <w:rFonts w:hint="eastAsia" w:ascii="宋体" w:hAnsi="宋体"/>
          <w:b/>
          <w:color w:val="000000" w:themeColor="text1"/>
          <w:sz w:val="72"/>
          <w:highlight w:val="none"/>
          <w:shd w:val="clear" w:color="ffffff" w:fill="d9d9d9"/>
        </w:rPr>
      </w:r>
      <w:r>
        <w:rPr>
          <w:color w:val="000000" w:themeColor="text1"/>
          <w:highlight w:val="none"/>
        </w:rPr>
      </w:r>
    </w:p>
    <w:p>
      <w:pPr>
        <w:pStyle w:val="883"/>
        <w:jc w:val="center"/>
        <w:rPr>
          <w:rFonts w:hint="eastAsia" w:ascii="宋体" w:hAnsi="宋体"/>
          <w:b/>
          <w:color w:val="000000" w:themeColor="text1"/>
          <w:sz w:val="72"/>
          <w:highlight w:val="none"/>
          <w:shd w:val="clear" w:color="ffffff" w:fill="d9d9d9"/>
        </w:rPr>
      </w:pPr>
      <w:r>
        <w:rPr>
          <w:rFonts w:hint="eastAsia" w:ascii="宋体" w:hAnsi="宋体"/>
          <w:b/>
          <w:color w:val="000000" w:themeColor="text1"/>
          <w:sz w:val="72"/>
          <w:highlight w:val="none"/>
          <w:shd w:val="clear" w:color="ffffff" w:fill="d9d9d9"/>
        </w:rPr>
      </w:r>
      <w:r>
        <w:rPr>
          <w:color w:val="000000" w:themeColor="text1"/>
          <w:highlight w:val="none"/>
        </w:rPr>
      </w:r>
    </w:p>
    <w:p>
      <w:pPr>
        <w:pStyle w:val="883"/>
        <w:ind w:firstLine="1800"/>
        <w:rPr>
          <w:rFonts w:ascii="黑体" w:hAnsi="华文中宋" w:eastAsia="黑体"/>
          <w:bCs/>
          <w:color w:val="000000" w:themeColor="text1"/>
          <w:sz w:val="30"/>
          <w:szCs w:val="30"/>
          <w:highlight w:val="none"/>
        </w:rPr>
      </w:pPr>
      <w:r>
        <w:rPr>
          <w:rFonts w:hint="eastAsia" w:ascii="黑体" w:hAnsi="华文中宋" w:eastAsia="黑体"/>
          <w:bCs/>
          <w:color w:val="000000" w:themeColor="text1"/>
          <w:sz w:val="30"/>
          <w:szCs w:val="30"/>
          <w:highlight w:val="none"/>
        </w:rPr>
        <w:t xml:space="preserve">项目编号：</w:t>
      </w:r>
      <w:r>
        <w:rPr>
          <w:rFonts w:hint="eastAsia" w:ascii="黑体" w:hAnsi="华文中宋" w:eastAsia="黑体"/>
          <w:bCs/>
          <w:color w:val="000000" w:themeColor="text1"/>
          <w:sz w:val="30"/>
          <w:szCs w:val="30"/>
          <w:highlight w:val="none"/>
        </w:rPr>
        <w:t xml:space="preserve">JSZC-320200-JZCG-G2025-0021</w:t>
      </w:r>
      <w:r>
        <w:rPr>
          <w:rFonts w:ascii="黑体" w:hAnsi="华文中宋" w:eastAsia="黑体"/>
          <w:bCs/>
          <w:color w:val="000000" w:themeColor="text1"/>
          <w:sz w:val="30"/>
          <w:szCs w:val="30"/>
          <w:highlight w:val="none"/>
        </w:rPr>
      </w:r>
      <w:r>
        <w:rPr>
          <w:color w:val="000000" w:themeColor="text1"/>
          <w:highlight w:val="none"/>
        </w:rPr>
      </w:r>
    </w:p>
    <w:p>
      <w:pPr>
        <w:pStyle w:val="883"/>
        <w:ind w:firstLine="1800"/>
        <w:rPr>
          <w:rFonts w:hint="eastAsia" w:ascii="黑体" w:hAnsi="华文中宋" w:eastAsia="黑体"/>
          <w:bCs/>
          <w:color w:val="000000" w:themeColor="text1"/>
          <w:sz w:val="30"/>
          <w:szCs w:val="30"/>
          <w:highlight w:val="none"/>
        </w:rPr>
      </w:pPr>
      <w:r>
        <w:rPr>
          <w:rFonts w:hint="eastAsia" w:ascii="黑体" w:hAnsi="华文中宋" w:eastAsia="黑体"/>
          <w:bCs/>
          <w:color w:val="000000" w:themeColor="text1"/>
          <w:sz w:val="30"/>
          <w:szCs w:val="30"/>
          <w:highlight w:val="none"/>
        </w:rPr>
        <w:t xml:space="preserve">项目名称：</w:t>
      </w:r>
      <w:r>
        <w:rPr>
          <w:rFonts w:hint="eastAsia" w:ascii="黑体" w:hAnsi="华文中宋" w:eastAsia="黑体"/>
          <w:bCs/>
          <w:color w:val="000000" w:themeColor="text1"/>
          <w:sz w:val="30"/>
          <w:szCs w:val="30"/>
          <w:highlight w:val="none"/>
        </w:rPr>
        <w:t xml:space="preserve">无锡市反诈中心业务技术用房信息化建设项目</w:t>
      </w:r>
      <w:r>
        <w:rPr>
          <w:rFonts w:hint="eastAsia" w:ascii="黑体" w:hAnsi="华文中宋" w:eastAsia="黑体"/>
          <w:bCs/>
          <w:color w:val="000000" w:themeColor="text1"/>
          <w:sz w:val="30"/>
          <w:szCs w:val="30"/>
          <w:highlight w:val="none"/>
        </w:rPr>
      </w:r>
      <w:r>
        <w:rPr>
          <w:color w:val="000000" w:themeColor="text1"/>
          <w:highlight w:val="none"/>
        </w:rPr>
      </w:r>
    </w:p>
    <w:p>
      <w:pPr>
        <w:pStyle w:val="883"/>
        <w:ind w:firstLine="1800"/>
        <w:rPr>
          <w:rFonts w:hint="eastAsia" w:ascii="黑体" w:hAnsi="华文中宋" w:eastAsia="黑体"/>
          <w:bCs/>
          <w:color w:val="000000" w:themeColor="text1"/>
          <w:sz w:val="30"/>
          <w:szCs w:val="30"/>
          <w:highlight w:val="none"/>
        </w:rPr>
      </w:pPr>
      <w:r>
        <w:rPr>
          <w:rFonts w:hint="eastAsia" w:ascii="黑体" w:hAnsi="华文中宋" w:eastAsia="黑体"/>
          <w:bCs/>
          <w:color w:val="000000" w:themeColor="text1"/>
          <w:sz w:val="30"/>
          <w:szCs w:val="30"/>
          <w:highlight w:val="none"/>
        </w:rPr>
        <w:t xml:space="preserve">投 标 人：</w:t>
      </w:r>
      <w:r>
        <w:rPr>
          <w:color w:val="000000" w:themeColor="text1"/>
          <w:highlight w:val="none"/>
        </w:rPr>
      </w:r>
    </w:p>
    <w:p>
      <w:pPr>
        <w:pStyle w:val="883"/>
        <w:ind w:firstLine="1800"/>
        <w:rPr>
          <w:rFonts w:ascii="黑体" w:hAnsi="华文中宋" w:eastAsia="黑体"/>
          <w:bCs/>
          <w:color w:val="000000" w:themeColor="text1"/>
          <w:sz w:val="30"/>
          <w:szCs w:val="30"/>
          <w:highlight w:val="none"/>
        </w:rPr>
      </w:pPr>
      <w:r>
        <w:rPr>
          <w:rFonts w:hint="eastAsia" w:ascii="黑体" w:hAnsi="华文中宋" w:eastAsia="黑体"/>
          <w:bCs/>
          <w:color w:val="000000" w:themeColor="text1"/>
          <w:sz w:val="30"/>
          <w:szCs w:val="30"/>
          <w:highlight w:val="none"/>
        </w:rPr>
        <w:t xml:space="preserve">日    期：</w:t>
      </w:r>
      <w:r>
        <w:rPr>
          <w:rFonts w:ascii="黑体" w:hAnsi="华文中宋" w:eastAsia="黑体"/>
          <w:bCs/>
          <w:color w:val="000000" w:themeColor="text1"/>
          <w:sz w:val="30"/>
          <w:szCs w:val="30"/>
          <w:highlight w:val="none"/>
        </w:rPr>
      </w:r>
      <w:r>
        <w:rPr>
          <w:color w:val="000000" w:themeColor="text1"/>
          <w:highlight w:val="none"/>
        </w:rPr>
      </w:r>
    </w:p>
    <w:p>
      <w:pPr>
        <w:pStyle w:val="883"/>
        <w:spacing w:line="440" w:lineRule="exact"/>
        <w:rPr>
          <w:rFonts w:hint="eastAsia" w:ascii="Arial" w:hAnsi="Arial"/>
          <w:b/>
          <w:color w:val="000000" w:themeColor="text1"/>
          <w:sz w:val="28"/>
          <w:szCs w:val="28"/>
          <w:highlight w:val="none"/>
        </w:rPr>
      </w:pPr>
      <w:r>
        <w:rPr>
          <w:rFonts w:ascii="黑体" w:hAnsi="华文中宋" w:eastAsia="黑体"/>
          <w:bCs/>
          <w:color w:val="000000" w:themeColor="text1"/>
          <w:sz w:val="30"/>
          <w:szCs w:val="30"/>
          <w:highlight w:val="none"/>
        </w:rPr>
        <w:br w:type="page" w:clear="all"/>
      </w:r>
      <w:r>
        <w:rPr>
          <w:rFonts w:hint="eastAsia" w:ascii="宋体" w:hAnsi="宋体" w:cs="宋体"/>
          <w:b/>
          <w:color w:val="000000" w:themeColor="text1"/>
          <w:sz w:val="28"/>
          <w:szCs w:val="28"/>
          <w:highlight w:val="none"/>
        </w:rPr>
        <w:t xml:space="preserve">二、授权委托书（给定格式）：</w:t>
      </w:r>
      <w:r>
        <w:rPr>
          <w:rFonts w:hint="eastAsia" w:ascii="Arial" w:hAnsi="Arial"/>
          <w:b/>
          <w:color w:val="000000" w:themeColor="text1"/>
          <w:sz w:val="28"/>
          <w:szCs w:val="28"/>
          <w:highlight w:val="none"/>
        </w:rPr>
      </w:r>
      <w:r>
        <w:rPr>
          <w:color w:val="000000" w:themeColor="text1"/>
          <w:highlight w:val="none"/>
        </w:rPr>
      </w:r>
    </w:p>
    <w:p>
      <w:pPr>
        <w:pStyle w:val="883"/>
        <w:jc w:val="center"/>
        <w:rPr>
          <w:rFonts w:ascii="宋体" w:hAnsi="宋体"/>
          <w:color w:val="000000" w:themeColor="text1"/>
          <w:sz w:val="24"/>
          <w:highlight w:val="none"/>
          <w:shd w:val="clear" w:color="ffffff" w:fill="d9d9d9"/>
        </w:rPr>
        <w:outlineLvl w:val="0"/>
      </w:pPr>
      <w:r>
        <w:rPr>
          <w:rFonts w:hint="eastAsia" w:ascii="黑体" w:eastAsia="黑体"/>
          <w:bCs/>
          <w:color w:val="000000" w:themeColor="text1"/>
          <w:sz w:val="28"/>
          <w:szCs w:val="28"/>
          <w:highlight w:val="none"/>
        </w:rPr>
        <w:t xml:space="preserve">授权委托书</w:t>
      </w:r>
      <w:r>
        <w:rPr>
          <w:rFonts w:ascii="宋体" w:hAnsi="宋体"/>
          <w:color w:val="000000" w:themeColor="text1"/>
          <w:sz w:val="24"/>
          <w:highlight w:val="none"/>
          <w:shd w:val="clear" w:color="ffffff" w:fill="d9d9d9"/>
        </w:rPr>
      </w:r>
      <w:r>
        <w:rPr>
          <w:color w:val="000000" w:themeColor="text1"/>
          <w:highlight w:val="none"/>
        </w:rPr>
      </w:r>
    </w:p>
    <w:p>
      <w:pPr>
        <w:pStyle w:val="969"/>
        <w:ind w:firstLine="480"/>
        <w:rPr>
          <w:rFonts w:hint="eastAsia"/>
          <w:color w:val="000000" w:themeColor="text1"/>
          <w:sz w:val="24"/>
          <w:szCs w:val="24"/>
          <w:highlight w:val="none"/>
        </w:rPr>
      </w:pPr>
      <w:r>
        <w:rPr>
          <w:rFonts w:hint="eastAsia"/>
          <w:color w:val="000000" w:themeColor="text1"/>
          <w:sz w:val="24"/>
          <w:szCs w:val="24"/>
          <w:highlight w:val="none"/>
        </w:rPr>
        <w:t xml:space="preserve">我公司（单位、联合体）针对</w:t>
      </w:r>
      <w:r>
        <w:rPr>
          <w:rFonts w:hint="eastAsia" w:ascii="宋体" w:hAnsi="宋体"/>
          <w:bCs/>
          <w:color w:val="000000" w:themeColor="text1"/>
          <w:sz w:val="24"/>
          <w:szCs w:val="24"/>
          <w:highlight w:val="none"/>
        </w:rPr>
        <w:t xml:space="preserve">JSZC-320200-JZCG-G2025-0021</w:t>
      </w:r>
      <w:r>
        <w:rPr>
          <w:rFonts w:hint="eastAsia" w:ascii="宋体" w:hAnsi="宋体"/>
          <w:bCs/>
          <w:color w:val="000000" w:themeColor="text1"/>
          <w:sz w:val="24"/>
          <w:szCs w:val="24"/>
          <w:highlight w:val="none"/>
        </w:rPr>
        <w:t xml:space="preserve">项目，兹授权：</w:t>
      </w:r>
      <w:r>
        <w:rPr>
          <w:rFonts w:hint="eastAsia"/>
          <w:color w:val="000000" w:themeColor="text1"/>
          <w:sz w:val="24"/>
          <w:szCs w:val="24"/>
          <w:highlight w:val="none"/>
        </w:rPr>
      </w:r>
      <w:r>
        <w:rPr>
          <w:color w:val="000000" w:themeColor="text1"/>
          <w:highlight w:val="none"/>
        </w:rPr>
      </w:r>
    </w:p>
    <w:p>
      <w:pPr>
        <w:pStyle w:val="969"/>
        <w:ind w:firstLine="480"/>
        <w:rPr>
          <w:rFonts w:hint="eastAsia"/>
          <w:color w:val="000000" w:themeColor="text1"/>
          <w:sz w:val="24"/>
          <w:szCs w:val="24"/>
          <w:highlight w:val="none"/>
        </w:rPr>
      </w:pPr>
      <w:r>
        <w:rPr>
          <w:rFonts w:hint="eastAsia"/>
          <w:color w:val="000000" w:themeColor="text1"/>
          <w:sz w:val="24"/>
          <w:szCs w:val="24"/>
          <w:highlight w:val="none"/>
        </w:rPr>
        <w:t xml:space="preserve">被授权人的姓名：</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；性别：</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；年龄：</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；职务：</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w:t>
      </w:r>
      <w:r>
        <w:rPr>
          <w:color w:val="000000" w:themeColor="text1"/>
          <w:highlight w:val="none"/>
        </w:rPr>
      </w:r>
    </w:p>
    <w:p>
      <w:pPr>
        <w:pStyle w:val="969"/>
        <w:ind w:firstLine="480"/>
        <w:rPr>
          <w:rFonts w:hint="eastAsia"/>
          <w:color w:val="000000" w:themeColor="text1"/>
          <w:sz w:val="24"/>
          <w:szCs w:val="24"/>
          <w:highlight w:val="none"/>
        </w:rPr>
      </w:pPr>
      <w:r>
        <w:rPr>
          <w:rFonts w:hint="eastAsia"/>
          <w:color w:val="000000" w:themeColor="text1"/>
          <w:sz w:val="24"/>
          <w:szCs w:val="24"/>
          <w:highlight w:val="none"/>
        </w:rPr>
        <w:t xml:space="preserve">被授权人的身份证号码：</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；联系方式：</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w:t>
      </w:r>
      <w:r>
        <w:rPr>
          <w:color w:val="000000" w:themeColor="text1"/>
          <w:highlight w:val="none"/>
        </w:rPr>
      </w:r>
    </w:p>
    <w:p>
      <w:pPr>
        <w:pStyle w:val="969"/>
        <w:ind w:firstLine="480"/>
        <w:rPr>
          <w:rFonts w:hint="eastAsia"/>
          <w:color w:val="000000" w:themeColor="text1"/>
          <w:sz w:val="24"/>
          <w:szCs w:val="24"/>
          <w:highlight w:val="none"/>
        </w:rPr>
      </w:pPr>
      <w:r>
        <w:rPr>
          <w:rFonts w:hint="eastAsia"/>
          <w:color w:val="000000" w:themeColor="text1"/>
          <w:sz w:val="24"/>
          <w:szCs w:val="24"/>
          <w:highlight w:val="none"/>
        </w:rPr>
        <w:t xml:space="preserve">为我方合法代理人，以本单位名义全权处理</w:t>
      </w:r>
      <w:r>
        <w:rPr>
          <w:rFonts w:hint="eastAsia" w:ascii="宋体" w:hAnsi="宋体"/>
          <w:bCs/>
          <w:color w:val="000000" w:themeColor="text1"/>
          <w:sz w:val="24"/>
          <w:szCs w:val="24"/>
          <w:highlight w:val="none"/>
        </w:rPr>
        <w:t xml:space="preserve">针对本次项目的投标、参与开标、评标、签约等具体工作，并签署全部有关的文件、协议及合同以及其他</w:t>
      </w:r>
      <w:r>
        <w:rPr>
          <w:rFonts w:hint="eastAsia"/>
          <w:color w:val="000000" w:themeColor="text1"/>
          <w:sz w:val="24"/>
          <w:szCs w:val="24"/>
          <w:highlight w:val="none"/>
        </w:rPr>
        <w:t xml:space="preserve">一切与该项目采购有关的事务。</w:t>
      </w:r>
      <w:r>
        <w:rPr>
          <w:color w:val="000000" w:themeColor="text1"/>
          <w:highlight w:val="none"/>
        </w:rPr>
      </w:r>
    </w:p>
    <w:p>
      <w:pPr>
        <w:pStyle w:val="969"/>
        <w:ind w:firstLine="480"/>
        <w:rPr>
          <w:rFonts w:hint="eastAsia" w:ascii="宋体" w:hAnsi="宋体"/>
          <w:bCs/>
          <w:color w:val="000000" w:themeColor="text1"/>
          <w:sz w:val="24"/>
          <w:szCs w:val="24"/>
          <w:highlight w:val="none"/>
        </w:rPr>
      </w:pPr>
      <w:r>
        <w:rPr>
          <w:rFonts w:hint="eastAsia"/>
          <w:color w:val="000000" w:themeColor="text1"/>
          <w:sz w:val="24"/>
          <w:szCs w:val="24"/>
          <w:highlight w:val="none"/>
        </w:rPr>
        <w:t xml:space="preserve">本授权委托书自授权之日起生效，</w:t>
      </w:r>
      <w:r>
        <w:rPr>
          <w:rFonts w:hint="eastAsia" w:ascii="宋体" w:hAnsi="宋体"/>
          <w:bCs/>
          <w:color w:val="000000" w:themeColor="text1"/>
          <w:sz w:val="24"/>
          <w:szCs w:val="24"/>
          <w:highlight w:val="none"/>
        </w:rPr>
        <w:t xml:space="preserve">在撤销授权的书面通知送达你处以前，本授权书一直有效，被授权人签署的所有文件（在</w:t>
      </w:r>
      <w:r>
        <w:rPr>
          <w:rFonts w:hint="eastAsia"/>
          <w:color w:val="000000" w:themeColor="text1"/>
          <w:sz w:val="24"/>
          <w:szCs w:val="24"/>
          <w:highlight w:val="none"/>
        </w:rPr>
        <w:t xml:space="preserve">授权委托</w:t>
      </w:r>
      <w:r>
        <w:rPr>
          <w:rFonts w:hint="eastAsia" w:ascii="宋体" w:hAnsi="宋体"/>
          <w:bCs/>
          <w:color w:val="000000" w:themeColor="text1"/>
          <w:sz w:val="24"/>
          <w:szCs w:val="24"/>
          <w:highlight w:val="none"/>
        </w:rPr>
        <w:t xml:space="preserve">书有效期内签署的）不因授权的撤销而失效。</w:t>
      </w:r>
      <w:r>
        <w:rPr>
          <w:color w:val="000000" w:themeColor="text1"/>
          <w:highlight w:val="none"/>
        </w:rPr>
      </w:r>
    </w:p>
    <w:p>
      <w:pPr>
        <w:pStyle w:val="969"/>
        <w:ind w:firstLine="480"/>
        <w:rPr>
          <w:rFonts w:hint="eastAsia"/>
          <w:color w:val="000000" w:themeColor="text1"/>
          <w:sz w:val="24"/>
          <w:szCs w:val="24"/>
          <w:highlight w:val="none"/>
        </w:rPr>
      </w:pPr>
      <w:r>
        <w:rPr>
          <w:rFonts w:hint="eastAsia"/>
          <w:color w:val="000000" w:themeColor="text1"/>
          <w:sz w:val="24"/>
          <w:szCs w:val="24"/>
          <w:highlight w:val="none"/>
        </w:rPr>
        <w:t xml:space="preserve">特此授权委托。</w:t>
      </w:r>
      <w:r>
        <w:rPr>
          <w:color w:val="000000" w:themeColor="text1"/>
          <w:highlight w:val="none"/>
        </w:rPr>
      </w:r>
    </w:p>
    <w:p>
      <w:pPr>
        <w:pStyle w:val="969"/>
        <w:ind w:firstLine="0"/>
        <w:rPr>
          <w:rFonts w:hint="eastAsia"/>
          <w:color w:val="000000" w:themeColor="text1"/>
          <w:sz w:val="24"/>
          <w:szCs w:val="24"/>
          <w:highlight w:val="none"/>
          <w:u w:val="single"/>
        </w:rPr>
      </w:pPr>
      <w:r>
        <w:rPr>
          <w:rFonts w:hint="eastAsia"/>
          <w:color w:val="000000" w:themeColor="text1"/>
          <w:sz w:val="24"/>
          <w:szCs w:val="24"/>
          <w:highlight w:val="none"/>
        </w:rPr>
        <w:t xml:space="preserve">授权日期：</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年</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月</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日                     投标人名称</w:t>
      </w:r>
      <w:r>
        <w:rPr>
          <w:rFonts w:hint="eastAsia" w:ascii="宋体" w:hAnsi="宋体"/>
          <w:bCs/>
          <w:color w:val="000000" w:themeColor="text1"/>
          <w:sz w:val="24"/>
          <w:szCs w:val="24"/>
          <w:highlight w:val="none"/>
        </w:rPr>
        <w:t xml:space="preserve">（盖章）</w:t>
      </w:r>
      <w:r>
        <w:rPr>
          <w:rFonts w:hint="eastAsia"/>
          <w:color w:val="000000" w:themeColor="text1"/>
          <w:sz w:val="24"/>
          <w:szCs w:val="24"/>
          <w:highlight w:val="none"/>
        </w:rPr>
        <w:t xml:space="preserve">：</w:t>
      </w:r>
      <w:r>
        <w:rPr>
          <w:rFonts w:hint="eastAsia"/>
          <w:color w:val="000000" w:themeColor="text1"/>
          <w:sz w:val="24"/>
          <w:szCs w:val="24"/>
          <w:highlight w:val="none"/>
          <w:u w:val="single"/>
        </w:rPr>
      </w:r>
      <w:r>
        <w:rPr>
          <w:color w:val="000000" w:themeColor="text1"/>
          <w:highlight w:val="none"/>
        </w:rPr>
      </w:r>
    </w:p>
    <w:p>
      <w:pPr>
        <w:pStyle w:val="969"/>
        <w:ind w:firstLine="0"/>
        <w:rPr>
          <w:rFonts w:hint="eastAsia"/>
          <w:color w:val="000000" w:themeColor="text1"/>
          <w:sz w:val="24"/>
          <w:szCs w:val="24"/>
          <w:highlight w:val="none"/>
        </w:rPr>
      </w:pPr>
      <w:r>
        <w:rPr>
          <w:rFonts w:hint="eastAsia"/>
          <w:color w:val="000000" w:themeColor="text1"/>
          <w:sz w:val="24"/>
          <w:szCs w:val="24"/>
          <w:highlight w:val="none"/>
        </w:rPr>
        <w:t xml:space="preserve">法定代表人签字或盖章：</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             被授权人签字或盖章：</w:t>
      </w:r>
      <w:r>
        <w:rPr>
          <w:rFonts w:hint="eastAsia"/>
          <w:color w:val="000000" w:themeColor="text1"/>
          <w:sz w:val="24"/>
          <w:szCs w:val="24"/>
          <w:highlight w:val="none"/>
          <w:u w:val="single"/>
        </w:rPr>
        <w:t xml:space="preserve">        </w:t>
      </w:r>
      <w:r>
        <w:rPr>
          <w:rFonts w:hint="eastAsia"/>
          <w:color w:val="000000" w:themeColor="text1"/>
          <w:sz w:val="24"/>
          <w:szCs w:val="24"/>
          <w:highlight w:val="none"/>
        </w:rPr>
      </w:r>
      <w:r>
        <w:rPr>
          <w:color w:val="000000" w:themeColor="text1"/>
          <w:highlight w:val="none"/>
        </w:rPr>
      </w:r>
    </w:p>
    <w:p>
      <w:pPr>
        <w:pStyle w:val="969"/>
        <w:ind w:firstLine="0"/>
        <w:rPr>
          <w:rFonts w:hint="eastAsia"/>
          <w:color w:val="000000" w:themeColor="text1"/>
          <w:sz w:val="24"/>
          <w:szCs w:val="24"/>
          <w:highlight w:val="none"/>
        </w:rPr>
      </w:pPr>
      <w:r>
        <w:rPr>
          <w:rFonts w:hint="eastAsia" w:ascii="宋体" w:hAnsi="宋体" w:cs="宋体"/>
          <w:b/>
          <w:color w:val="000000" w:themeColor="text1"/>
          <w:szCs w:val="28"/>
          <w:highlight w:val="none"/>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rPr>
          <w:rFonts w:hint="eastAsia"/>
          <w:color w:val="000000" w:themeColor="text1"/>
          <w:sz w:val="24"/>
          <w:szCs w:val="24"/>
          <w:highlight w:val="none"/>
        </w:rPr>
      </w:r>
      <w:r>
        <w:rPr>
          <w:color w:val="000000" w:themeColor="text1"/>
          <w:highlight w:val="none"/>
        </w:rPr>
      </w:r>
    </w:p>
    <w:p>
      <w:pPr>
        <w:pStyle w:val="969"/>
        <w:ind w:firstLine="0"/>
        <w:rPr>
          <w:rFonts w:hint="eastAsia"/>
          <w:color w:val="000000" w:themeColor="text1"/>
          <w:sz w:val="21"/>
          <w:szCs w:val="21"/>
          <w:highlight w:val="none"/>
        </w:rPr>
      </w:pPr>
      <w:r>
        <w:rPr>
          <w:rFonts w:hint="eastAsia"/>
          <w:color w:val="000000" w:themeColor="text1"/>
          <w:sz w:val="21"/>
          <w:szCs w:val="21"/>
          <w:highlight w:val="none"/>
        </w:rPr>
      </w:r>
      <w:r>
        <w:rPr>
          <w:color w:val="000000" w:themeColor="text1"/>
          <w:highlight w:val="none"/>
        </w:rPr>
      </w:r>
    </w:p>
    <w:p>
      <w:pPr>
        <w:pStyle w:val="969"/>
        <w:ind w:firstLine="0"/>
        <w:spacing w:line="360" w:lineRule="auto"/>
        <w:rPr>
          <w:rFonts w:hint="eastAsia"/>
          <w:color w:val="000000" w:themeColor="text1"/>
          <w:sz w:val="21"/>
          <w:szCs w:val="21"/>
          <w:highlight w:val="none"/>
        </w:rPr>
      </w:pPr>
      <w:r>
        <w:rPr>
          <w:rFonts w:hint="eastAsia"/>
          <w:color w:val="000000" w:themeColor="text1"/>
          <w:sz w:val="21"/>
          <w:szCs w:val="21"/>
          <w:highlight w:val="none"/>
        </w:rPr>
        <w:t xml:space="preserve">说明：</w:t>
      </w:r>
      <w:r>
        <w:rPr>
          <w:color w:val="000000" w:themeColor="text1"/>
          <w:highlight w:val="none"/>
        </w:rPr>
      </w:r>
    </w:p>
    <w:p>
      <w:pPr>
        <w:pStyle w:val="969"/>
        <w:numPr>
          <w:ilvl w:val="0"/>
          <w:numId w:val="10"/>
        </w:numPr>
        <w:ind w:firstLine="420"/>
        <w:spacing w:line="360" w:lineRule="auto"/>
        <w:rPr>
          <w:rFonts w:hint="eastAsia" w:ascii="宋体" w:hAnsi="宋体"/>
          <w:color w:val="000000" w:themeColor="text1"/>
          <w:sz w:val="21"/>
          <w:szCs w:val="21"/>
          <w:highlight w:val="none"/>
        </w:rPr>
      </w:pPr>
      <w:r>
        <w:rPr>
          <w:rFonts w:ascii="宋体" w:hAnsi="宋体"/>
          <w:color w:val="000000" w:themeColor="text1"/>
          <w:sz w:val="21"/>
          <w:szCs w:val="21"/>
          <w:highlight w:val="none"/>
        </w:rPr>
        <w:t xml:space="preserve">若</w:t>
      </w:r>
      <w:r>
        <w:rPr>
          <w:rFonts w:hint="eastAsia" w:ascii="宋体" w:hAnsi="宋体"/>
          <w:color w:val="000000" w:themeColor="text1"/>
          <w:sz w:val="21"/>
          <w:szCs w:val="21"/>
          <w:highlight w:val="none"/>
        </w:rPr>
        <w:t xml:space="preserve">投标人</w:t>
      </w:r>
      <w:r>
        <w:rPr>
          <w:rFonts w:ascii="宋体" w:hAnsi="宋体"/>
          <w:color w:val="000000" w:themeColor="text1"/>
          <w:sz w:val="21"/>
          <w:szCs w:val="21"/>
          <w:highlight w:val="none"/>
        </w:rPr>
        <w:t xml:space="preserve">为事业单位或其他组织或分支机构（仅</w:t>
      </w:r>
      <w:r>
        <w:rPr>
          <w:rFonts w:hint="eastAsia" w:ascii="宋体" w:hAnsi="宋体"/>
          <w:color w:val="000000" w:themeColor="text1"/>
          <w:sz w:val="21"/>
          <w:szCs w:val="21"/>
          <w:highlight w:val="none"/>
        </w:rPr>
        <w:t xml:space="preserve">限招标</w:t>
      </w:r>
      <w:r>
        <w:rPr>
          <w:rFonts w:ascii="宋体" w:hAnsi="宋体"/>
          <w:color w:val="000000" w:themeColor="text1"/>
          <w:sz w:val="21"/>
          <w:szCs w:val="21"/>
          <w:highlight w:val="none"/>
        </w:rPr>
        <w:t xml:space="preserve">文件注明允许分支机构</w:t>
      </w:r>
      <w:r>
        <w:rPr>
          <w:rFonts w:hint="eastAsia" w:ascii="宋体" w:hAnsi="宋体"/>
          <w:color w:val="000000" w:themeColor="text1"/>
          <w:sz w:val="21"/>
          <w:szCs w:val="21"/>
          <w:highlight w:val="none"/>
        </w:rPr>
        <w:t xml:space="preserve">投标情形</w:t>
      </w:r>
      <w:r>
        <w:rPr>
          <w:rFonts w:ascii="宋体" w:hAnsi="宋体"/>
          <w:color w:val="000000" w:themeColor="text1"/>
          <w:sz w:val="21"/>
          <w:szCs w:val="21"/>
          <w:highlight w:val="none"/>
        </w:rPr>
        <w:t xml:space="preserve">的），则法定代表人</w:t>
      </w:r>
      <w:r>
        <w:rPr>
          <w:rFonts w:hint="eastAsia" w:ascii="宋体" w:hAnsi="宋体"/>
          <w:color w:val="000000" w:themeColor="text1"/>
          <w:sz w:val="21"/>
          <w:szCs w:val="21"/>
          <w:highlight w:val="none"/>
        </w:rPr>
        <w:t xml:space="preserve">处</w:t>
      </w:r>
      <w:r>
        <w:rPr>
          <w:rFonts w:ascii="宋体" w:hAnsi="宋体"/>
          <w:color w:val="000000" w:themeColor="text1"/>
          <w:sz w:val="21"/>
          <w:szCs w:val="21"/>
          <w:highlight w:val="none"/>
        </w:rPr>
        <w:t xml:space="preserve">的签</w:t>
      </w:r>
      <w:r>
        <w:rPr>
          <w:rFonts w:hint="eastAsia" w:ascii="宋体" w:hAnsi="宋体"/>
          <w:color w:val="000000" w:themeColor="text1"/>
          <w:sz w:val="21"/>
          <w:szCs w:val="21"/>
          <w:highlight w:val="none"/>
        </w:rPr>
        <w:t xml:space="preserve">字</w:t>
      </w:r>
      <w:r>
        <w:rPr>
          <w:rFonts w:ascii="宋体" w:hAnsi="宋体"/>
          <w:color w:val="000000" w:themeColor="text1"/>
          <w:sz w:val="21"/>
          <w:szCs w:val="21"/>
          <w:highlight w:val="none"/>
        </w:rPr>
        <w:t xml:space="preserve">人可为单位负责人</w:t>
      </w:r>
      <w:r>
        <w:rPr>
          <w:rFonts w:hint="eastAsia" w:ascii="宋体" w:hAnsi="宋体"/>
          <w:color w:val="000000" w:themeColor="text1"/>
          <w:sz w:val="21"/>
          <w:szCs w:val="21"/>
          <w:highlight w:val="none"/>
        </w:rPr>
        <w:t xml:space="preserve">。</w:t>
      </w:r>
      <w:r>
        <w:rPr>
          <w:color w:val="000000" w:themeColor="text1"/>
          <w:highlight w:val="none"/>
        </w:rPr>
      </w:r>
    </w:p>
    <w:p>
      <w:pPr>
        <w:pStyle w:val="969"/>
        <w:numPr>
          <w:ilvl w:val="0"/>
          <w:numId w:val="10"/>
        </w:numPr>
        <w:ind w:firstLine="420"/>
        <w:spacing w:line="360" w:lineRule="auto"/>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当被授权人为法定代表人（或上述情况的单位负责人）时，被授权人相关内容填报为法定代表人（或上述情况的单位负责人）信息，“被授权人签字或盖章”处可不用再重复签字或盖章。</w:t>
      </w:r>
      <w:r>
        <w:rPr>
          <w:color w:val="000000" w:themeColor="text1"/>
          <w:highlight w:val="none"/>
        </w:rPr>
      </w:r>
    </w:p>
    <w:p>
      <w:pPr>
        <w:pStyle w:val="969"/>
        <w:numPr>
          <w:ilvl w:val="0"/>
          <w:numId w:val="10"/>
        </w:numPr>
        <w:ind w:firstLine="420"/>
        <w:spacing w:line="360" w:lineRule="auto"/>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供应商为自然人情形的，可不提供本</w:t>
      </w:r>
      <w:r>
        <w:rPr>
          <w:rFonts w:ascii="宋体" w:hAnsi="宋体"/>
          <w:color w:val="000000" w:themeColor="text1"/>
          <w:sz w:val="21"/>
          <w:szCs w:val="21"/>
          <w:highlight w:val="none"/>
        </w:rPr>
        <w:t xml:space="preserve">《</w:t>
      </w:r>
      <w:r>
        <w:rPr>
          <w:rFonts w:hint="eastAsia" w:ascii="宋体" w:hAnsi="宋体"/>
          <w:color w:val="000000" w:themeColor="text1"/>
          <w:sz w:val="21"/>
          <w:szCs w:val="21"/>
          <w:highlight w:val="none"/>
        </w:rPr>
        <w:t xml:space="preserve">授权委托书</w:t>
      </w:r>
      <w:r>
        <w:rPr>
          <w:rFonts w:ascii="宋体" w:hAnsi="宋体"/>
          <w:color w:val="000000" w:themeColor="text1"/>
          <w:sz w:val="21"/>
          <w:szCs w:val="21"/>
          <w:highlight w:val="none"/>
        </w:rPr>
        <w:t xml:space="preserve">》</w:t>
      </w:r>
      <w:r>
        <w:rPr>
          <w:rFonts w:hint="eastAsia" w:ascii="宋体" w:hAnsi="宋体"/>
          <w:color w:val="000000" w:themeColor="text1"/>
          <w:sz w:val="21"/>
          <w:szCs w:val="21"/>
          <w:highlight w:val="none"/>
        </w:rPr>
        <w:t xml:space="preserve">。</w:t>
      </w:r>
      <w:r>
        <w:rPr>
          <w:color w:val="000000" w:themeColor="text1"/>
          <w:highlight w:val="none"/>
        </w:rPr>
      </w:r>
    </w:p>
    <w:p>
      <w:pPr>
        <w:pStyle w:val="969"/>
        <w:numPr>
          <w:ilvl w:val="0"/>
          <w:numId w:val="10"/>
        </w:numPr>
        <w:ind w:firstLine="420"/>
        <w:spacing w:line="360" w:lineRule="auto"/>
        <w:rPr>
          <w:rFonts w:hint="eastAsia" w:ascii="宋体" w:hAnsi="宋体"/>
          <w:color w:val="000000" w:themeColor="text1"/>
          <w:sz w:val="21"/>
          <w:szCs w:val="21"/>
          <w:highlight w:val="none"/>
        </w:rPr>
      </w:pPr>
      <w:r>
        <w:rPr>
          <w:rFonts w:hint="eastAsia" w:ascii="宋体" w:hAnsi="宋体"/>
          <w:bCs/>
          <w:color w:val="000000" w:themeColor="text1"/>
          <w:sz w:val="21"/>
          <w:szCs w:val="21"/>
          <w:highlight w:val="none"/>
        </w:rPr>
        <w:t xml:space="preserve">被授权人为外籍、港、澳、台地区人士的，其身份证明须提供有效的护照或港澳同胞来往内地通行证、台湾同胞来往大陆通行证，或其它可在中国大陆有效居留的许可证明。</w:t>
      </w:r>
      <w:r>
        <w:rPr>
          <w:rFonts w:hint="eastAsia" w:ascii="宋体" w:hAnsi="宋体"/>
          <w:color w:val="000000" w:themeColor="text1"/>
          <w:sz w:val="21"/>
          <w:szCs w:val="21"/>
          <w:highlight w:val="none"/>
        </w:rPr>
      </w:r>
      <w:r>
        <w:rPr>
          <w:color w:val="000000" w:themeColor="text1"/>
          <w:highlight w:val="none"/>
        </w:rPr>
      </w:r>
    </w:p>
    <w:p>
      <w:pPr>
        <w:pStyle w:val="969"/>
        <w:ind w:firstLine="0"/>
        <w:rPr>
          <w:rFonts w:hint="eastAsia" w:ascii="宋体" w:hAnsi="宋体" w:cs="宋体"/>
          <w:b/>
          <w:color w:val="000000" w:themeColor="text1"/>
          <w:szCs w:val="28"/>
          <w:highlight w:val="none"/>
        </w:rPr>
      </w:pPr>
      <w:r>
        <w:rPr>
          <w:rFonts w:hint="eastAsia" w:ascii="宋体" w:hAnsi="宋体"/>
          <w:bCs/>
          <w:color w:val="000000" w:themeColor="text1"/>
          <w:sz w:val="24"/>
          <w:szCs w:val="24"/>
          <w:highlight w:val="none"/>
        </w:rPr>
        <w:br w:type="page" w:clear="all"/>
      </w:r>
      <w:r>
        <w:rPr>
          <w:rFonts w:hint="eastAsia" w:ascii="宋体" w:hAnsi="宋体" w:cs="宋体"/>
          <w:b/>
          <w:color w:val="000000" w:themeColor="text1"/>
          <w:szCs w:val="28"/>
          <w:highlight w:val="none"/>
        </w:rPr>
        <w:t xml:space="preserve">三、资格声明函（给定格式）：</w:t>
      </w:r>
      <w:r>
        <w:rPr>
          <w:color w:val="000000" w:themeColor="text1"/>
          <w:highlight w:val="none"/>
        </w:rPr>
      </w:r>
    </w:p>
    <w:p>
      <w:pPr>
        <w:pStyle w:val="883"/>
        <w:jc w:val="center"/>
        <w:rPr>
          <w:rFonts w:ascii="黑体" w:eastAsia="黑体"/>
          <w:bCs/>
          <w:color w:val="000000" w:themeColor="text1"/>
          <w:sz w:val="28"/>
          <w:szCs w:val="28"/>
          <w:highlight w:val="none"/>
        </w:rPr>
        <w:outlineLvl w:val="0"/>
      </w:pPr>
      <w:r>
        <w:rPr>
          <w:color w:val="000000" w:themeColor="text1"/>
          <w:highlight w:val="none"/>
        </w:rPr>
      </w:r>
      <w:bookmarkStart w:id="199" w:name="报价方关于资格的声明函（格式）"/>
      <w:r>
        <w:rPr>
          <w:color w:val="000000" w:themeColor="text1"/>
          <w:highlight w:val="none"/>
        </w:rPr>
      </w:r>
      <w:bookmarkEnd w:id="199"/>
      <w:r>
        <w:rPr>
          <w:rFonts w:hint="eastAsia" w:ascii="黑体" w:eastAsia="黑体"/>
          <w:bCs/>
          <w:color w:val="000000" w:themeColor="text1"/>
          <w:sz w:val="28"/>
          <w:szCs w:val="28"/>
          <w:highlight w:val="none"/>
        </w:rPr>
        <w:t xml:space="preserve">资格声明函</w:t>
      </w:r>
      <w:r>
        <w:rPr>
          <w:rFonts w:ascii="黑体" w:eastAsia="黑体"/>
          <w:bCs/>
          <w:color w:val="000000" w:themeColor="text1"/>
          <w:sz w:val="28"/>
          <w:szCs w:val="28"/>
          <w:highlight w:val="none"/>
        </w:rPr>
      </w:r>
      <w:r>
        <w:rPr>
          <w:color w:val="000000" w:themeColor="text1"/>
          <w:highlight w:val="none"/>
        </w:rPr>
      </w:r>
    </w:p>
    <w:p>
      <w:pPr>
        <w:pStyle w:val="883"/>
        <w:jc w:val="center"/>
        <w:spacing w:line="480" w:lineRule="auto"/>
        <w:rPr>
          <w:rFonts w:ascii="宋体"/>
          <w:bCs/>
          <w:color w:val="000000" w:themeColor="text1"/>
          <w:sz w:val="24"/>
          <w:szCs w:val="24"/>
          <w:highlight w:val="none"/>
        </w:rPr>
      </w:pPr>
      <w:r>
        <w:rPr>
          <w:rFonts w:ascii="宋体"/>
          <w:bCs/>
          <w:color w:val="000000" w:themeColor="text1"/>
          <w:sz w:val="24"/>
          <w:szCs w:val="24"/>
          <w:highlight w:val="none"/>
        </w:rPr>
      </w:r>
      <w:r>
        <w:rPr>
          <w:color w:val="000000" w:themeColor="text1"/>
          <w:highlight w:val="none"/>
        </w:rPr>
      </w:r>
    </w:p>
    <w:p>
      <w:pPr>
        <w:pStyle w:val="883"/>
        <w:spacing w:line="480" w:lineRule="auto"/>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无锡市公共资源交易中心：</w:t>
      </w:r>
      <w:r>
        <w:rPr>
          <w:rFonts w:ascii="宋体"/>
          <w:bCs/>
          <w:color w:val="000000" w:themeColor="text1"/>
          <w:sz w:val="24"/>
          <w:szCs w:val="24"/>
          <w:highlight w:val="none"/>
        </w:rPr>
      </w:r>
      <w:r>
        <w:rPr>
          <w:color w:val="000000" w:themeColor="text1"/>
          <w:highlight w:val="none"/>
        </w:rPr>
      </w:r>
    </w:p>
    <w:p>
      <w:pPr>
        <w:pStyle w:val="883"/>
        <w:ind w:firstLine="480"/>
        <w:spacing w:line="48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我公司（单位、联合体）针对本次项目</w:t>
      </w:r>
      <w:r>
        <w:rPr>
          <w:rFonts w:hint="eastAsia" w:ascii="宋体" w:hAnsi="宋体"/>
          <w:bCs/>
          <w:color w:val="000000" w:themeColor="text1"/>
          <w:sz w:val="24"/>
          <w:szCs w:val="24"/>
          <w:highlight w:val="none"/>
        </w:rPr>
        <w:t xml:space="preserve">JSZC-320200-JZCG-G2025-0021</w:t>
      </w:r>
      <w:r>
        <w:rPr>
          <w:rFonts w:hint="eastAsia" w:ascii="宋体" w:hAnsi="宋体"/>
          <w:bCs/>
          <w:color w:val="000000" w:themeColor="text1"/>
          <w:sz w:val="24"/>
          <w:szCs w:val="24"/>
          <w:highlight w:val="none"/>
        </w:rPr>
        <w:t xml:space="preserve">进行投标，并</w:t>
      </w:r>
      <w:r>
        <w:rPr>
          <w:rFonts w:hint="eastAsia" w:ascii="宋体" w:hAnsi="宋体"/>
          <w:bCs/>
          <w:color w:val="000000" w:themeColor="text1"/>
          <w:sz w:val="24"/>
          <w:szCs w:val="24"/>
          <w:highlight w:val="none"/>
        </w:rPr>
        <w:t xml:space="preserve">作如下声明</w:t>
      </w:r>
      <w:r>
        <w:rPr>
          <w:rFonts w:ascii="宋体" w:hAnsi="宋体"/>
          <w:bCs/>
          <w:color w:val="000000" w:themeColor="text1"/>
          <w:sz w:val="24"/>
          <w:szCs w:val="24"/>
          <w:highlight w:val="none"/>
        </w:rPr>
      </w:r>
      <w:r>
        <w:rPr>
          <w:color w:val="000000" w:themeColor="text1"/>
          <w:highlight w:val="none"/>
        </w:rPr>
      </w:r>
    </w:p>
    <w:p>
      <w:pPr>
        <w:pStyle w:val="883"/>
        <w:ind w:firstLine="480"/>
        <w:spacing w:line="48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1.我公司（单位、联合体）参加本次项目政府采购活动前三年内，在经营活动中没有重大违法（因违法经营受到刑事处罚或者责令停产停业、吊销许可证或者执照、较大数额罚款等行政处罚）记录。</w:t>
      </w:r>
      <w:r>
        <w:rPr>
          <w:color w:val="000000" w:themeColor="text1"/>
          <w:highlight w:val="none"/>
        </w:rPr>
      </w:r>
    </w:p>
    <w:p>
      <w:pPr>
        <w:pStyle w:val="883"/>
        <w:ind w:firstLine="480"/>
        <w:spacing w:line="48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2.本公司（单位、联合体）具备本次项目履行合同所必需的设备和专业技术能力。</w:t>
      </w:r>
      <w:r>
        <w:rPr>
          <w:color w:val="000000" w:themeColor="text1"/>
          <w:highlight w:val="none"/>
        </w:rPr>
      </w:r>
    </w:p>
    <w:p>
      <w:pPr>
        <w:pStyle w:val="883"/>
        <w:ind w:firstLine="480"/>
        <w:spacing w:line="48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rPr>
          <w:color w:val="000000" w:themeColor="text1"/>
          <w:highlight w:val="none"/>
        </w:rPr>
      </w:r>
    </w:p>
    <w:p>
      <w:pPr>
        <w:pStyle w:val="883"/>
        <w:ind w:firstLine="480"/>
        <w:spacing w:line="480" w:lineRule="auto"/>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我公司（单位、联合体）针对本次项目的上述声明以及投标文件中所有关于投标资格的文件、证明、陈述均是真实的、准确的。若有违背，我公司（单位、联合体）愿意承担由此而产生的一切后果。</w:t>
      </w:r>
      <w:r>
        <w:rPr>
          <w:rFonts w:ascii="宋体"/>
          <w:bCs/>
          <w:color w:val="000000" w:themeColor="text1"/>
          <w:sz w:val="24"/>
          <w:szCs w:val="24"/>
          <w:highlight w:val="none"/>
        </w:rPr>
      </w:r>
      <w:r>
        <w:rPr>
          <w:color w:val="000000" w:themeColor="text1"/>
          <w:highlight w:val="none"/>
        </w:rPr>
      </w:r>
    </w:p>
    <w:p>
      <w:pPr>
        <w:pStyle w:val="883"/>
        <w:spacing w:line="480" w:lineRule="auto"/>
        <w:rPr>
          <w:rFonts w:ascii="宋体"/>
          <w:bCs/>
          <w:color w:val="000000" w:themeColor="text1"/>
          <w:sz w:val="24"/>
          <w:szCs w:val="24"/>
          <w:highlight w:val="none"/>
        </w:rPr>
      </w:pPr>
      <w:r>
        <w:rPr>
          <w:rFonts w:ascii="宋体"/>
          <w:bCs/>
          <w:color w:val="000000" w:themeColor="text1"/>
          <w:sz w:val="24"/>
          <w:szCs w:val="24"/>
          <w:highlight w:val="none"/>
        </w:rPr>
      </w:r>
      <w:r>
        <w:rPr>
          <w:color w:val="000000" w:themeColor="text1"/>
          <w:highlight w:val="none"/>
        </w:rPr>
      </w:r>
    </w:p>
    <w:p>
      <w:pPr>
        <w:pStyle w:val="883"/>
        <w:spacing w:line="480" w:lineRule="auto"/>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投标人名称（盖章）：</w:t>
      </w:r>
      <w:r>
        <w:rPr>
          <w:rFonts w:ascii="宋体"/>
          <w:bCs/>
          <w:color w:val="000000" w:themeColor="text1"/>
          <w:sz w:val="24"/>
          <w:szCs w:val="24"/>
          <w:highlight w:val="none"/>
        </w:rPr>
      </w:r>
      <w:r>
        <w:rPr>
          <w:color w:val="000000" w:themeColor="text1"/>
          <w:highlight w:val="none"/>
        </w:rPr>
      </w:r>
    </w:p>
    <w:p>
      <w:pPr>
        <w:pStyle w:val="883"/>
        <w:spacing w:line="440" w:lineRule="exact"/>
        <w:rPr>
          <w:rFonts w:hint="eastAsia" w:ascii="宋体" w:hAnsi="宋体" w:cs="宋体"/>
          <w:b/>
          <w:color w:val="000000" w:themeColor="text1"/>
          <w:sz w:val="28"/>
          <w:szCs w:val="28"/>
          <w:highlight w:val="none"/>
        </w:rPr>
      </w:pPr>
      <w:r>
        <w:rPr>
          <w:rFonts w:ascii="宋体"/>
          <w:bCs/>
          <w:color w:val="000000" w:themeColor="text1"/>
          <w:sz w:val="24"/>
          <w:szCs w:val="24"/>
          <w:highlight w:val="none"/>
        </w:rPr>
        <w:br w:type="page" w:clear="all"/>
      </w:r>
      <w:r>
        <w:rPr>
          <w:rFonts w:hint="eastAsia" w:ascii="宋体" w:hAnsi="宋体" w:cs="宋体"/>
          <w:b/>
          <w:color w:val="000000" w:themeColor="text1"/>
          <w:sz w:val="28"/>
          <w:szCs w:val="28"/>
          <w:highlight w:val="none"/>
        </w:rPr>
        <w:t xml:space="preserve">四、中小企业声明函（给定格式）： </w:t>
      </w:r>
      <w:r>
        <w:rPr>
          <w:color w:val="000000" w:themeColor="text1"/>
          <w:highlight w:val="none"/>
        </w:rPr>
      </w:r>
    </w:p>
    <w:p>
      <w:pPr>
        <w:pStyle w:val="883"/>
        <w:ind w:firstLine="560"/>
        <w:jc w:val="center"/>
        <w:spacing w:line="360" w:lineRule="auto"/>
        <w:rPr>
          <w:rFonts w:ascii="黑体" w:eastAsia="黑体"/>
          <w:bCs/>
          <w:color w:val="000000" w:themeColor="text1"/>
          <w:sz w:val="28"/>
          <w:szCs w:val="28"/>
          <w:highlight w:val="none"/>
        </w:rPr>
      </w:pPr>
      <w:r>
        <w:rPr>
          <w:rFonts w:ascii="黑体" w:eastAsia="黑体"/>
          <w:bCs/>
          <w:color w:val="000000" w:themeColor="text1"/>
          <w:sz w:val="28"/>
          <w:szCs w:val="28"/>
          <w:highlight w:val="none"/>
        </w:rPr>
        <w:t xml:space="preserve">中小企业声明函（货物）</w:t>
      </w:r>
      <w:r>
        <w:rPr>
          <w:color w:val="000000" w:themeColor="text1"/>
          <w:highlight w:val="none"/>
        </w:rPr>
      </w:r>
    </w:p>
    <w:p>
      <w:pPr>
        <w:pStyle w:val="883"/>
        <w:ind w:firstLine="480"/>
        <w:spacing w:line="360" w:lineRule="auto"/>
        <w:rPr>
          <w:rFonts w:ascii="宋体" w:hAnsi="宋体"/>
          <w:bCs/>
          <w:color w:val="000000" w:themeColor="text1"/>
          <w:sz w:val="24"/>
          <w:szCs w:val="24"/>
          <w:highlight w:val="none"/>
        </w:rPr>
      </w:pPr>
      <w:r>
        <w:rPr>
          <w:rFonts w:ascii="宋体" w:hAnsi="宋体"/>
          <w:bCs/>
          <w:color w:val="000000" w:themeColor="text1"/>
          <w:sz w:val="24"/>
          <w:szCs w:val="24"/>
          <w:highlight w:val="none"/>
        </w:rPr>
        <w:t xml:space="preserve">本公司（联合体）郑重声明，根据《政府采购促进中小企业发展管理办法》（财库﹝2020﹞46 号）的规定，本公司 （联合体）参加</w:t>
      </w:r>
      <w:r>
        <w:rPr>
          <w:rFonts w:ascii="宋体" w:hAnsi="宋体"/>
          <w:bCs/>
          <w:color w:val="000000" w:themeColor="text1"/>
          <w:sz w:val="24"/>
          <w:szCs w:val="24"/>
          <w:highlight w:val="none"/>
          <w:u w:val="single"/>
        </w:rPr>
        <w:t xml:space="preserve">（单位名称）</w:t>
      </w:r>
      <w:r>
        <w:rPr>
          <w:rFonts w:ascii="宋体" w:hAnsi="宋体"/>
          <w:bCs/>
          <w:color w:val="000000" w:themeColor="text1"/>
          <w:sz w:val="24"/>
          <w:szCs w:val="24"/>
          <w:highlight w:val="none"/>
        </w:rPr>
        <w:t xml:space="preserve">的</w:t>
      </w:r>
      <w:r>
        <w:rPr>
          <w:rFonts w:ascii="宋体" w:hAnsi="宋体"/>
          <w:bCs/>
          <w:color w:val="000000" w:themeColor="text1"/>
          <w:sz w:val="24"/>
          <w:szCs w:val="24"/>
          <w:highlight w:val="none"/>
          <w:u w:val="single"/>
        </w:rPr>
        <w:t xml:space="preserve">（项目名称）</w:t>
      </w:r>
      <w:r>
        <w:rPr>
          <w:rFonts w:ascii="宋体" w:hAnsi="宋体"/>
          <w:bCs/>
          <w:color w:val="000000" w:themeColor="text1"/>
          <w:sz w:val="24"/>
          <w:szCs w:val="24"/>
          <w:highlight w:val="none"/>
        </w:rPr>
        <w:t xml:space="preserve">采购活动，提供的货物全部由符合政策要求的中小企业制造。相关企业 （含联合体中的中小企业、签订分包意向协议的中小企业）的具体情况如下：</w:t>
      </w:r>
      <w:r>
        <w:rPr>
          <w:color w:val="000000" w:themeColor="text1"/>
          <w:highlight w:val="none"/>
        </w:rPr>
      </w:r>
    </w:p>
    <w:p>
      <w:pPr>
        <w:pStyle w:val="883"/>
        <w:ind w:firstLine="480"/>
        <w:spacing w:line="360" w:lineRule="auto"/>
        <w:rPr>
          <w:rFonts w:ascii="宋体" w:hAnsi="宋体"/>
          <w:bCs/>
          <w:color w:val="000000" w:themeColor="text1"/>
          <w:sz w:val="24"/>
          <w:szCs w:val="24"/>
          <w:highlight w:val="none"/>
        </w:rPr>
      </w:pPr>
      <w:r>
        <w:rPr>
          <w:rFonts w:ascii="宋体" w:hAnsi="宋体"/>
          <w:bCs/>
          <w:color w:val="000000" w:themeColor="text1"/>
          <w:sz w:val="24"/>
          <w:szCs w:val="24"/>
          <w:highlight w:val="none"/>
        </w:rPr>
        <w:t xml:space="preserve">1. </w:t>
      </w:r>
      <w:r>
        <w:rPr>
          <w:rFonts w:ascii="宋体" w:hAnsi="宋体"/>
          <w:bCs/>
          <w:color w:val="000000" w:themeColor="text1"/>
          <w:sz w:val="24"/>
          <w:szCs w:val="24"/>
          <w:highlight w:val="none"/>
          <w:u w:val="single"/>
        </w:rPr>
        <w:t xml:space="preserve">（标的名称） </w:t>
      </w:r>
      <w:r>
        <w:rPr>
          <w:rFonts w:ascii="宋体" w:hAnsi="宋体"/>
          <w:bCs/>
          <w:color w:val="000000" w:themeColor="text1"/>
          <w:sz w:val="24"/>
          <w:szCs w:val="24"/>
          <w:highlight w:val="none"/>
        </w:rPr>
        <w:t xml:space="preserve">，属于</w:t>
      </w:r>
      <w:r>
        <w:rPr>
          <w:rFonts w:ascii="宋体" w:hAnsi="宋体"/>
          <w:bCs/>
          <w:color w:val="000000" w:themeColor="text1"/>
          <w:sz w:val="24"/>
          <w:szCs w:val="24"/>
          <w:highlight w:val="none"/>
          <w:u w:val="single"/>
        </w:rPr>
        <w:t xml:space="preserve">（</w:t>
      </w:r>
      <w:r>
        <w:rPr>
          <w:rFonts w:hint="eastAsia" w:ascii="宋体" w:hAnsi="宋体"/>
          <w:bCs/>
          <w:color w:val="000000" w:themeColor="text1"/>
          <w:sz w:val="24"/>
          <w:szCs w:val="24"/>
          <w:highlight w:val="none"/>
          <w:u w:val="single"/>
        </w:rPr>
        <w:t xml:space="preserve">招标</w:t>
      </w:r>
      <w:r>
        <w:rPr>
          <w:rFonts w:ascii="宋体" w:hAnsi="宋体"/>
          <w:bCs/>
          <w:color w:val="000000" w:themeColor="text1"/>
          <w:sz w:val="24"/>
          <w:szCs w:val="24"/>
          <w:highlight w:val="none"/>
          <w:u w:val="single"/>
        </w:rPr>
        <w:t xml:space="preserve">文件中明确的所属行业） 行业</w:t>
      </w:r>
      <w:r>
        <w:rPr>
          <w:rFonts w:ascii="宋体" w:hAnsi="宋体"/>
          <w:bCs/>
          <w:color w:val="000000" w:themeColor="text1"/>
          <w:sz w:val="24"/>
          <w:szCs w:val="24"/>
          <w:highlight w:val="none"/>
        </w:rPr>
        <w:t xml:space="preserve">；制造商为</w:t>
      </w:r>
      <w:r>
        <w:rPr>
          <w:rFonts w:ascii="宋体" w:hAnsi="宋体"/>
          <w:bCs/>
          <w:color w:val="000000" w:themeColor="text1"/>
          <w:sz w:val="24"/>
          <w:szCs w:val="24"/>
          <w:highlight w:val="none"/>
          <w:u w:val="single"/>
        </w:rPr>
        <w:t xml:space="preserve">（企业名称）</w:t>
      </w:r>
      <w:r>
        <w:rPr>
          <w:rFonts w:ascii="宋体" w:hAnsi="宋体"/>
          <w:bCs/>
          <w:color w:val="000000" w:themeColor="text1"/>
          <w:sz w:val="24"/>
          <w:szCs w:val="24"/>
          <w:highlight w:val="none"/>
        </w:rPr>
        <w:t xml:space="preserve">，从业人员</w:t>
      </w:r>
      <w:r>
        <w:rPr>
          <w:rFonts w:hint="eastAsia" w:ascii="宋体" w:hAnsi="宋体"/>
          <w:bCs/>
          <w:color w:val="000000" w:themeColor="text1"/>
          <w:sz w:val="24"/>
          <w:szCs w:val="24"/>
          <w:highlight w:val="none"/>
          <w:u w:val="single"/>
        </w:rPr>
        <w:t xml:space="preserve">     </w:t>
      </w:r>
      <w:r>
        <w:rPr>
          <w:rFonts w:ascii="宋体" w:hAnsi="宋体"/>
          <w:bCs/>
          <w:color w:val="000000" w:themeColor="text1"/>
          <w:sz w:val="24"/>
          <w:szCs w:val="24"/>
          <w:highlight w:val="none"/>
        </w:rPr>
        <w:t xml:space="preserve">人，营业收入为</w:t>
      </w:r>
      <w:r>
        <w:rPr>
          <w:rFonts w:hint="eastAsia" w:ascii="宋体" w:hAnsi="宋体"/>
          <w:bCs/>
          <w:color w:val="000000" w:themeColor="text1"/>
          <w:sz w:val="24"/>
          <w:szCs w:val="24"/>
          <w:highlight w:val="none"/>
          <w:u w:val="single"/>
        </w:rPr>
        <w:t xml:space="preserve">     </w:t>
      </w:r>
      <w:r>
        <w:rPr>
          <w:rFonts w:ascii="宋体" w:hAnsi="宋体"/>
          <w:bCs/>
          <w:color w:val="000000" w:themeColor="text1"/>
          <w:sz w:val="24"/>
          <w:szCs w:val="24"/>
          <w:highlight w:val="none"/>
        </w:rPr>
        <w:t xml:space="preserve">万元，资产总额为</w:t>
      </w:r>
      <w:r>
        <w:rPr>
          <w:rFonts w:hint="eastAsia" w:ascii="宋体" w:hAnsi="宋体"/>
          <w:bCs/>
          <w:color w:val="000000" w:themeColor="text1"/>
          <w:sz w:val="24"/>
          <w:szCs w:val="24"/>
          <w:highlight w:val="none"/>
          <w:u w:val="single"/>
        </w:rPr>
        <w:t xml:space="preserve">      </w:t>
      </w:r>
      <w:r>
        <w:rPr>
          <w:rFonts w:ascii="宋体" w:hAnsi="宋体"/>
          <w:bCs/>
          <w:color w:val="000000" w:themeColor="text1"/>
          <w:sz w:val="24"/>
          <w:szCs w:val="24"/>
          <w:highlight w:val="none"/>
        </w:rPr>
        <w:t xml:space="preserve">万元，属于</w:t>
      </w:r>
      <w:r>
        <w:rPr>
          <w:rFonts w:ascii="宋体" w:hAnsi="宋体"/>
          <w:bCs/>
          <w:color w:val="000000" w:themeColor="text1"/>
          <w:sz w:val="24"/>
          <w:szCs w:val="24"/>
          <w:highlight w:val="none"/>
          <w:u w:val="single"/>
        </w:rPr>
        <w:t xml:space="preserve">（中型企业、小 型企业、微型企业）</w:t>
      </w:r>
      <w:r>
        <w:rPr>
          <w:rFonts w:ascii="宋体" w:hAnsi="宋体"/>
          <w:bCs/>
          <w:color w:val="000000" w:themeColor="text1"/>
          <w:sz w:val="24"/>
          <w:szCs w:val="24"/>
          <w:highlight w:val="none"/>
        </w:rPr>
        <w:t xml:space="preserve">；</w:t>
      </w:r>
      <w:r>
        <w:rPr>
          <w:color w:val="000000" w:themeColor="text1"/>
          <w:highlight w:val="none"/>
        </w:rPr>
      </w:r>
    </w:p>
    <w:p>
      <w:pPr>
        <w:pStyle w:val="883"/>
        <w:ind w:firstLine="480"/>
        <w:spacing w:line="360" w:lineRule="auto"/>
        <w:rPr>
          <w:rFonts w:ascii="宋体" w:hAnsi="宋体"/>
          <w:bCs/>
          <w:color w:val="000000" w:themeColor="text1"/>
          <w:sz w:val="24"/>
          <w:szCs w:val="24"/>
          <w:highlight w:val="none"/>
        </w:rPr>
      </w:pPr>
      <w:r>
        <w:rPr>
          <w:rFonts w:ascii="宋体" w:hAnsi="宋体"/>
          <w:bCs/>
          <w:color w:val="000000" w:themeColor="text1"/>
          <w:sz w:val="24"/>
          <w:szCs w:val="24"/>
          <w:highlight w:val="none"/>
        </w:rPr>
        <w:t xml:space="preserve">2.</w:t>
      </w:r>
      <w:r>
        <w:rPr>
          <w:rFonts w:ascii="宋体" w:hAnsi="宋体"/>
          <w:bCs/>
          <w:color w:val="000000" w:themeColor="text1"/>
          <w:sz w:val="24"/>
          <w:szCs w:val="24"/>
          <w:highlight w:val="none"/>
          <w:u w:val="single"/>
        </w:rPr>
        <w:t xml:space="preserve"> （标的名称） </w:t>
      </w:r>
      <w:r>
        <w:rPr>
          <w:rFonts w:ascii="宋体" w:hAnsi="宋体"/>
          <w:bCs/>
          <w:color w:val="000000" w:themeColor="text1"/>
          <w:sz w:val="24"/>
          <w:szCs w:val="24"/>
          <w:highlight w:val="none"/>
        </w:rPr>
        <w:t xml:space="preserve">，属于</w:t>
      </w:r>
      <w:r>
        <w:rPr>
          <w:rFonts w:ascii="宋体" w:hAnsi="宋体"/>
          <w:bCs/>
          <w:color w:val="000000" w:themeColor="text1"/>
          <w:sz w:val="24"/>
          <w:szCs w:val="24"/>
          <w:highlight w:val="none"/>
          <w:u w:val="single"/>
        </w:rPr>
        <w:t xml:space="preserve">（</w:t>
      </w:r>
      <w:r>
        <w:rPr>
          <w:rFonts w:hint="eastAsia" w:ascii="宋体" w:hAnsi="宋体"/>
          <w:bCs/>
          <w:color w:val="000000" w:themeColor="text1"/>
          <w:sz w:val="24"/>
          <w:szCs w:val="24"/>
          <w:highlight w:val="none"/>
          <w:u w:val="single"/>
        </w:rPr>
        <w:t xml:space="preserve">招标</w:t>
      </w:r>
      <w:r>
        <w:rPr>
          <w:rFonts w:ascii="宋体" w:hAnsi="宋体"/>
          <w:bCs/>
          <w:color w:val="000000" w:themeColor="text1"/>
          <w:sz w:val="24"/>
          <w:szCs w:val="24"/>
          <w:highlight w:val="none"/>
          <w:u w:val="single"/>
        </w:rPr>
        <w:t xml:space="preserve">文件中明确的所属行业） 行业</w:t>
      </w:r>
      <w:r>
        <w:rPr>
          <w:rFonts w:ascii="宋体" w:hAnsi="宋体"/>
          <w:bCs/>
          <w:color w:val="000000" w:themeColor="text1"/>
          <w:sz w:val="24"/>
          <w:szCs w:val="24"/>
          <w:highlight w:val="none"/>
        </w:rPr>
        <w:t xml:space="preserve">；制造商为</w:t>
      </w:r>
      <w:r>
        <w:rPr>
          <w:rFonts w:ascii="宋体" w:hAnsi="宋体"/>
          <w:bCs/>
          <w:color w:val="000000" w:themeColor="text1"/>
          <w:sz w:val="24"/>
          <w:szCs w:val="24"/>
          <w:highlight w:val="none"/>
          <w:u w:val="single"/>
        </w:rPr>
        <w:t xml:space="preserve">（企业名称）</w:t>
      </w:r>
      <w:r>
        <w:rPr>
          <w:rFonts w:ascii="宋体" w:hAnsi="宋体"/>
          <w:bCs/>
          <w:color w:val="000000" w:themeColor="text1"/>
          <w:sz w:val="24"/>
          <w:szCs w:val="24"/>
          <w:highlight w:val="none"/>
        </w:rPr>
        <w:t xml:space="preserve">，从业人员</w:t>
      </w:r>
      <w:r>
        <w:rPr>
          <w:rFonts w:hint="eastAsia" w:ascii="宋体" w:hAnsi="宋体"/>
          <w:bCs/>
          <w:color w:val="000000" w:themeColor="text1"/>
          <w:sz w:val="24"/>
          <w:szCs w:val="24"/>
          <w:highlight w:val="none"/>
          <w:u w:val="single"/>
        </w:rPr>
        <w:t xml:space="preserve">     </w:t>
      </w:r>
      <w:r>
        <w:rPr>
          <w:rFonts w:ascii="宋体" w:hAnsi="宋体"/>
          <w:bCs/>
          <w:color w:val="000000" w:themeColor="text1"/>
          <w:sz w:val="24"/>
          <w:szCs w:val="24"/>
          <w:highlight w:val="none"/>
        </w:rPr>
        <w:t xml:space="preserve">人，营业收入为</w:t>
      </w:r>
      <w:r>
        <w:rPr>
          <w:rFonts w:hint="eastAsia" w:ascii="宋体" w:hAnsi="宋体"/>
          <w:bCs/>
          <w:color w:val="000000" w:themeColor="text1"/>
          <w:sz w:val="24"/>
          <w:szCs w:val="24"/>
          <w:highlight w:val="none"/>
          <w:u w:val="single"/>
        </w:rPr>
        <w:t xml:space="preserve">     </w:t>
      </w:r>
      <w:r>
        <w:rPr>
          <w:rFonts w:ascii="宋体" w:hAnsi="宋体"/>
          <w:bCs/>
          <w:color w:val="000000" w:themeColor="text1"/>
          <w:sz w:val="24"/>
          <w:szCs w:val="24"/>
          <w:highlight w:val="none"/>
        </w:rPr>
        <w:t xml:space="preserve">万元，资产总额为</w:t>
      </w:r>
      <w:r>
        <w:rPr>
          <w:rFonts w:hint="eastAsia" w:ascii="宋体" w:hAnsi="宋体"/>
          <w:bCs/>
          <w:color w:val="000000" w:themeColor="text1"/>
          <w:sz w:val="24"/>
          <w:szCs w:val="24"/>
          <w:highlight w:val="none"/>
          <w:u w:val="single"/>
        </w:rPr>
        <w:t xml:space="preserve">      </w:t>
      </w:r>
      <w:r>
        <w:rPr>
          <w:rFonts w:ascii="宋体" w:hAnsi="宋体"/>
          <w:bCs/>
          <w:color w:val="000000" w:themeColor="text1"/>
          <w:sz w:val="24"/>
          <w:szCs w:val="24"/>
          <w:highlight w:val="none"/>
        </w:rPr>
        <w:t xml:space="preserve">万元，属于</w:t>
      </w:r>
      <w:r>
        <w:rPr>
          <w:rFonts w:ascii="宋体" w:hAnsi="宋体"/>
          <w:bCs/>
          <w:color w:val="000000" w:themeColor="text1"/>
          <w:sz w:val="24"/>
          <w:szCs w:val="24"/>
          <w:highlight w:val="none"/>
          <w:u w:val="single"/>
        </w:rPr>
        <w:t xml:space="preserve">（中型企业、小 型企业、微型企业）</w:t>
      </w:r>
      <w:r>
        <w:rPr>
          <w:rFonts w:ascii="宋体" w:hAnsi="宋体"/>
          <w:bCs/>
          <w:color w:val="000000" w:themeColor="text1"/>
          <w:sz w:val="24"/>
          <w:szCs w:val="24"/>
          <w:highlight w:val="none"/>
        </w:rPr>
        <w:t xml:space="preserve">；</w:t>
      </w:r>
      <w:r>
        <w:rPr>
          <w:color w:val="000000" w:themeColor="text1"/>
          <w:highlight w:val="none"/>
        </w:rPr>
      </w:r>
    </w:p>
    <w:p>
      <w:pPr>
        <w:pStyle w:val="883"/>
        <w:ind w:firstLine="480"/>
        <w:spacing w:line="360" w:lineRule="auto"/>
        <w:rPr>
          <w:rFonts w:ascii="宋体" w:hAnsi="宋体"/>
          <w:bCs/>
          <w:color w:val="000000" w:themeColor="text1"/>
          <w:sz w:val="24"/>
          <w:szCs w:val="24"/>
          <w:highlight w:val="none"/>
        </w:rPr>
      </w:pPr>
      <w:r>
        <w:rPr>
          <w:rFonts w:ascii="宋体" w:hAnsi="宋体"/>
          <w:bCs/>
          <w:color w:val="000000" w:themeColor="text1"/>
          <w:sz w:val="24"/>
          <w:szCs w:val="24"/>
          <w:highlight w:val="none"/>
        </w:rPr>
        <w:t xml:space="preserve">……</w:t>
      </w:r>
      <w:r>
        <w:rPr>
          <w:color w:val="000000" w:themeColor="text1"/>
          <w:highlight w:val="none"/>
        </w:rPr>
      </w:r>
    </w:p>
    <w:p>
      <w:pPr>
        <w:pStyle w:val="883"/>
        <w:ind w:firstLine="480"/>
        <w:spacing w:line="360" w:lineRule="auto"/>
        <w:rPr>
          <w:rFonts w:ascii="宋体" w:hAnsi="宋体"/>
          <w:bCs/>
          <w:color w:val="000000" w:themeColor="text1"/>
          <w:sz w:val="24"/>
          <w:szCs w:val="24"/>
          <w:highlight w:val="none"/>
        </w:rPr>
      </w:pPr>
      <w:r>
        <w:rPr>
          <w:rFonts w:ascii="宋体" w:hAnsi="宋体"/>
          <w:bCs/>
          <w:color w:val="000000" w:themeColor="text1"/>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本企业对上述声明内容的真实性负责。如有虚假，将依法承担相应责任。 </w:t>
      </w:r>
      <w:r>
        <w:rPr>
          <w:color w:val="000000" w:themeColor="text1"/>
          <w:highlight w:val="none"/>
        </w:rPr>
      </w:r>
    </w:p>
    <w:p>
      <w:pPr>
        <w:pStyle w:val="883"/>
        <w:ind w:firstLine="480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企业名称（盖章）：</w:t>
      </w:r>
      <w:r>
        <w:rPr>
          <w:rFonts w:ascii="宋体" w:hAnsi="宋体"/>
          <w:bCs/>
          <w:color w:val="000000" w:themeColor="text1"/>
          <w:sz w:val="24"/>
          <w:szCs w:val="24"/>
          <w:highlight w:val="none"/>
        </w:rPr>
      </w:r>
      <w:r>
        <w:rPr>
          <w:color w:val="000000" w:themeColor="text1"/>
          <w:highlight w:val="none"/>
        </w:rPr>
      </w:r>
    </w:p>
    <w:p>
      <w:pPr>
        <w:pStyle w:val="883"/>
        <w:ind w:firstLine="480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日　　　　　　期：</w:t>
      </w:r>
      <w:r>
        <w:rPr>
          <w:rFonts w:ascii="宋体" w:hAnsi="宋体"/>
          <w:bCs/>
          <w:color w:val="000000" w:themeColor="text1"/>
          <w:sz w:val="24"/>
          <w:szCs w:val="24"/>
          <w:highlight w:val="none"/>
        </w:rPr>
      </w:r>
      <w:r>
        <w:rPr>
          <w:color w:val="000000" w:themeColor="text1"/>
          <w:highlight w:val="none"/>
        </w:rPr>
      </w:r>
    </w:p>
    <w:p>
      <w:pPr>
        <w:pStyle w:val="883"/>
        <w:spacing w:line="360" w:lineRule="auto"/>
        <w:rPr>
          <w:rFonts w:ascii="宋体" w:hAnsi="宋体"/>
          <w:bCs/>
          <w:color w:val="000000" w:themeColor="text1"/>
          <w:sz w:val="24"/>
          <w:szCs w:val="24"/>
          <w:highlight w:val="none"/>
        </w:rPr>
      </w:pPr>
      <w:r>
        <w:rPr>
          <w:rFonts w:ascii="宋体" w:hAnsi="宋体"/>
          <w:bCs/>
          <w:color w:val="000000" w:themeColor="text1"/>
          <w:sz w:val="24"/>
          <w:szCs w:val="24"/>
          <w:highlight w:val="none"/>
        </w:rPr>
      </w:r>
      <w:r>
        <w:rPr>
          <w:color w:val="000000" w:themeColor="text1"/>
          <w:highlight w:val="none"/>
        </w:rPr>
      </w:r>
    </w:p>
    <w:p>
      <w:pPr>
        <w:pStyle w:val="883"/>
        <w:ind w:firstLine="420"/>
        <w:spacing w:line="360" w:lineRule="auto"/>
        <w:rPr>
          <w:rFonts w:hint="eastAsia"/>
          <w:color w:val="000000" w:themeColor="text1"/>
          <w:highlight w:val="none"/>
        </w:rPr>
      </w:pPr>
      <w:r>
        <w:rPr>
          <w:rFonts w:hint="eastAsia"/>
          <w:color w:val="000000" w:themeColor="text1"/>
          <w:highlight w:val="none"/>
        </w:rPr>
        <w:t xml:space="preserve">注：（1）项目技术要求中如对本项目标的及其所属行业进行逐一列明的，投标人须根据项目技术要求中所列明的标的及其所属行业逐一进行填报。根据本《中小企业声明函》类型，项目属性为货物类的，只须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rPr>
          <w:color w:val="000000" w:themeColor="text1"/>
          <w:highlight w:val="none"/>
        </w:rPr>
      </w:r>
    </w:p>
    <w:p>
      <w:pPr>
        <w:pStyle w:val="883"/>
        <w:ind w:firstLine="420"/>
        <w:spacing w:line="360" w:lineRule="auto"/>
        <w:rPr>
          <w:color w:val="000000" w:themeColor="text1"/>
          <w:highlight w:val="none"/>
        </w:rPr>
      </w:pPr>
      <w:r>
        <w:rPr>
          <w:rFonts w:hint="eastAsia"/>
          <w:color w:val="000000" w:themeColor="text1"/>
          <w:highlight w:val="none"/>
        </w:rPr>
        <w:t xml:space="preserve">（2）从业人员、营业收入、资产总额填报上一年度数据，无上一年度数据的新成立企业可不填报。</w:t>
      </w:r>
      <w:r>
        <w:rPr>
          <w:color w:val="000000" w:themeColor="text1"/>
          <w:highlight w:val="none"/>
        </w:rPr>
      </w:r>
    </w:p>
    <w:p>
      <w:pPr>
        <w:pStyle w:val="883"/>
        <w:ind w:firstLine="420"/>
        <w:spacing w:line="360" w:lineRule="auto"/>
        <w:rPr>
          <w:color w:val="000000" w:themeColor="text1"/>
          <w:highlight w:val="none"/>
        </w:rPr>
      </w:pPr>
      <w:r>
        <w:rPr>
          <w:rFonts w:hint="eastAsia"/>
          <w:color w:val="000000" w:themeColor="text1"/>
          <w:highlight w:val="none"/>
        </w:rPr>
        <w:t xml:space="preserve">（3）在货物采购项目中，供应商提供的货物既有中小企业制造货物，也有大型企业制造货物的，不享受本办法规定的中小企业扶持政策。</w:t>
      </w:r>
      <w:r>
        <w:rPr>
          <w:color w:val="000000" w:themeColor="text1"/>
          <w:highlight w:val="none"/>
        </w:rPr>
      </w:r>
    </w:p>
    <w:p>
      <w:pPr>
        <w:pStyle w:val="883"/>
        <w:ind w:firstLine="420"/>
        <w:spacing w:line="360" w:lineRule="auto"/>
        <w:rPr>
          <w:color w:val="000000" w:themeColor="text1"/>
          <w:highlight w:val="none"/>
        </w:rPr>
      </w:pPr>
      <w:r>
        <w:rPr>
          <w:rFonts w:hint="eastAsia"/>
          <w:color w:val="000000" w:themeColor="text1"/>
          <w:highlight w:val="none"/>
        </w:rPr>
        <w:t xml:space="preserve">（4）中标供应商的《</w:t>
      </w:r>
      <w:r>
        <w:rPr>
          <w:color w:val="000000" w:themeColor="text1"/>
          <w:highlight w:val="none"/>
        </w:rPr>
        <w:t xml:space="preserve">中小企业声明函</w:t>
      </w:r>
      <w:r>
        <w:rPr>
          <w:rFonts w:hint="eastAsia"/>
          <w:color w:val="000000" w:themeColor="text1"/>
          <w:highlight w:val="none"/>
        </w:rPr>
        <w:t xml:space="preserve">》将随中标公告进行公示。供应商按照本办法规定提供声明函内容不实的，属于提供虚假材料谋取中标、成交，依照《中华人民共和国政府采购法》等国家有关规定追究相应责任。</w:t>
      </w:r>
      <w:r>
        <w:rPr>
          <w:color w:val="000000" w:themeColor="text1"/>
          <w:highlight w:val="none"/>
        </w:rPr>
      </w:r>
    </w:p>
    <w:p>
      <w:pPr>
        <w:pStyle w:val="883"/>
        <w:spacing w:line="360" w:lineRule="auto"/>
        <w:rPr>
          <w:rFonts w:hint="eastAsia" w:ascii="宋体" w:hAnsi="宋体" w:cs="宋体"/>
          <w:b/>
          <w:color w:val="000000" w:themeColor="text1"/>
          <w:sz w:val="28"/>
          <w:szCs w:val="28"/>
          <w:highlight w:val="none"/>
        </w:rPr>
      </w:pPr>
      <w:r>
        <w:rPr>
          <w:color w:val="000000" w:themeColor="text1"/>
          <w:highlight w:val="none"/>
        </w:rPr>
        <w:br w:type="page" w:clear="all"/>
      </w:r>
      <w:r>
        <w:rPr>
          <w:rFonts w:hint="eastAsia"/>
          <w:b/>
          <w:color w:val="000000" w:themeColor="text1"/>
          <w:sz w:val="28"/>
          <w:szCs w:val="28"/>
          <w:highlight w:val="none"/>
        </w:rPr>
        <w:t xml:space="preserve">五</w:t>
      </w:r>
      <w:r>
        <w:rPr>
          <w:rFonts w:hint="eastAsia" w:ascii="宋体" w:hAnsi="宋体" w:cs="宋体"/>
          <w:b/>
          <w:color w:val="000000" w:themeColor="text1"/>
          <w:sz w:val="28"/>
          <w:szCs w:val="28"/>
          <w:highlight w:val="none"/>
        </w:rPr>
        <w:t xml:space="preserve">、残疾人福利性单位声明函（给定格式）：</w:t>
      </w:r>
      <w:r>
        <w:rPr>
          <w:color w:val="000000" w:themeColor="text1"/>
          <w:highlight w:val="none"/>
        </w:rPr>
      </w:r>
    </w:p>
    <w:p>
      <w:pPr>
        <w:pStyle w:val="883"/>
        <w:ind w:firstLine="482"/>
        <w:spacing w:line="440" w:lineRule="exact"/>
        <w:rPr>
          <w:rFonts w:ascii="Arial" w:hAnsi="Arial"/>
          <w:b/>
          <w:color w:val="000000" w:themeColor="text1"/>
          <w:sz w:val="24"/>
          <w:highlight w:val="none"/>
        </w:rPr>
      </w:pPr>
      <w:r>
        <w:rPr>
          <w:rFonts w:ascii="Arial" w:hAnsi="Arial"/>
          <w:b/>
          <w:color w:val="000000" w:themeColor="text1"/>
          <w:sz w:val="24"/>
          <w:highlight w:val="none"/>
        </w:rPr>
      </w:r>
      <w:r>
        <w:rPr>
          <w:color w:val="000000" w:themeColor="text1"/>
          <w:highlight w:val="none"/>
        </w:rPr>
      </w:r>
    </w:p>
    <w:p>
      <w:pPr>
        <w:pStyle w:val="883"/>
        <w:jc w:val="center"/>
        <w:rPr>
          <w:rFonts w:ascii="黑体" w:eastAsia="黑体"/>
          <w:bCs/>
          <w:color w:val="000000" w:themeColor="text1"/>
          <w:sz w:val="28"/>
          <w:szCs w:val="28"/>
          <w:highlight w:val="none"/>
        </w:rPr>
      </w:pPr>
      <w:r>
        <w:rPr>
          <w:rFonts w:hint="eastAsia" w:ascii="黑体" w:eastAsia="黑体"/>
          <w:bCs/>
          <w:color w:val="000000" w:themeColor="text1"/>
          <w:sz w:val="28"/>
          <w:szCs w:val="28"/>
          <w:highlight w:val="none"/>
        </w:rPr>
        <w:t xml:space="preserve">残疾人福利性单位声明函</w:t>
      </w:r>
      <w:r>
        <w:rPr>
          <w:rFonts w:ascii="黑体" w:eastAsia="黑体"/>
          <w:bCs/>
          <w:color w:val="000000" w:themeColor="text1"/>
          <w:sz w:val="28"/>
          <w:szCs w:val="28"/>
          <w:highlight w:val="none"/>
        </w:rPr>
      </w:r>
      <w:r>
        <w:rPr>
          <w:color w:val="000000" w:themeColor="text1"/>
          <w:highlight w:val="none"/>
        </w:rPr>
      </w:r>
    </w:p>
    <w:p>
      <w:pPr>
        <w:pStyle w:val="883"/>
        <w:jc w:val="center"/>
        <w:rPr>
          <w:rFonts w:ascii="黑体" w:eastAsia="黑体"/>
          <w:bCs/>
          <w:color w:val="000000" w:themeColor="text1"/>
          <w:sz w:val="28"/>
          <w:szCs w:val="28"/>
          <w:highlight w:val="none"/>
        </w:rPr>
      </w:pPr>
      <w:r>
        <w:rPr>
          <w:rFonts w:ascii="黑体" w:eastAsia="黑体"/>
          <w:bCs/>
          <w:color w:val="000000" w:themeColor="text1"/>
          <w:sz w:val="28"/>
          <w:szCs w:val="28"/>
          <w:highlight w:val="none"/>
        </w:rPr>
      </w:r>
      <w:r>
        <w:rPr>
          <w:color w:val="000000" w:themeColor="text1"/>
          <w:highlight w:val="none"/>
        </w:rPr>
      </w:r>
    </w:p>
    <w:p>
      <w:pPr>
        <w:pStyle w:val="883"/>
        <w:ind w:firstLine="480"/>
        <w:spacing w:line="58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bCs/>
          <w:color w:val="000000" w:themeColor="text1"/>
          <w:sz w:val="24"/>
          <w:szCs w:val="24"/>
          <w:highlight w:val="none"/>
        </w:rPr>
      </w:r>
      <w:r>
        <w:rPr>
          <w:color w:val="000000" w:themeColor="text1"/>
          <w:highlight w:val="none"/>
        </w:rPr>
      </w:r>
    </w:p>
    <w:p>
      <w:pPr>
        <w:pStyle w:val="883"/>
        <w:ind w:firstLine="480"/>
        <w:spacing w:line="58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本单位对上述声明的真实性负责。如有虚假，将依法承担相应责任。</w:t>
      </w:r>
      <w:r>
        <w:rPr>
          <w:rFonts w:ascii="宋体" w:hAnsi="宋体"/>
          <w:bCs/>
          <w:color w:val="000000" w:themeColor="text1"/>
          <w:sz w:val="24"/>
          <w:szCs w:val="24"/>
          <w:highlight w:val="none"/>
        </w:rPr>
      </w:r>
      <w:r>
        <w:rPr>
          <w:color w:val="000000" w:themeColor="text1"/>
          <w:highlight w:val="none"/>
        </w:rPr>
      </w:r>
    </w:p>
    <w:p>
      <w:pPr>
        <w:pStyle w:val="883"/>
        <w:ind w:firstLine="480"/>
        <w:spacing w:line="580" w:lineRule="exact"/>
        <w:rPr>
          <w:rFonts w:ascii="宋体" w:hAnsi="宋体"/>
          <w:bCs/>
          <w:color w:val="000000" w:themeColor="text1"/>
          <w:sz w:val="24"/>
          <w:szCs w:val="24"/>
          <w:highlight w:val="none"/>
        </w:rPr>
      </w:pPr>
      <w:r>
        <w:rPr>
          <w:rFonts w:ascii="宋体" w:hAnsi="宋体"/>
          <w:bCs/>
          <w:color w:val="000000" w:themeColor="text1"/>
          <w:sz w:val="24"/>
          <w:szCs w:val="24"/>
          <w:highlight w:val="none"/>
        </w:rPr>
      </w:r>
      <w:r>
        <w:rPr>
          <w:color w:val="000000" w:themeColor="text1"/>
          <w:highlight w:val="none"/>
        </w:rPr>
      </w:r>
    </w:p>
    <w:p>
      <w:pPr>
        <w:pStyle w:val="883"/>
        <w:ind w:firstLine="480"/>
        <w:spacing w:line="580" w:lineRule="exact"/>
        <w:rPr>
          <w:rFonts w:ascii="宋体" w:hAnsi="宋体"/>
          <w:bCs/>
          <w:color w:val="000000" w:themeColor="text1"/>
          <w:sz w:val="24"/>
          <w:szCs w:val="24"/>
          <w:highlight w:val="none"/>
        </w:rPr>
      </w:pPr>
      <w:r>
        <w:rPr>
          <w:rFonts w:ascii="宋体" w:hAnsi="宋体"/>
          <w:bCs/>
          <w:color w:val="000000" w:themeColor="text1"/>
          <w:sz w:val="24"/>
          <w:szCs w:val="24"/>
          <w:highlight w:val="none"/>
        </w:rPr>
      </w:r>
      <w:r>
        <w:rPr>
          <w:color w:val="000000" w:themeColor="text1"/>
          <w:highlight w:val="none"/>
        </w:rPr>
      </w:r>
    </w:p>
    <w:p>
      <w:pPr>
        <w:pStyle w:val="883"/>
        <w:ind w:firstLine="480"/>
        <w:spacing w:line="58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单位名称（盖章）：</w:t>
      </w:r>
      <w:r>
        <w:rPr>
          <w:rFonts w:ascii="宋体" w:hAnsi="宋体"/>
          <w:bCs/>
          <w:color w:val="000000" w:themeColor="text1"/>
          <w:sz w:val="24"/>
          <w:szCs w:val="24"/>
          <w:highlight w:val="none"/>
        </w:rPr>
      </w:r>
      <w:r>
        <w:rPr>
          <w:color w:val="000000" w:themeColor="text1"/>
          <w:highlight w:val="none"/>
        </w:rPr>
      </w:r>
    </w:p>
    <w:p>
      <w:pPr>
        <w:pStyle w:val="883"/>
        <w:ind w:firstLine="480"/>
        <w:spacing w:line="58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日  期：</w:t>
      </w:r>
      <w:r>
        <w:rPr>
          <w:rFonts w:ascii="宋体" w:hAnsi="宋体"/>
          <w:bCs/>
          <w:color w:val="000000" w:themeColor="text1"/>
          <w:sz w:val="24"/>
          <w:szCs w:val="24"/>
          <w:highlight w:val="none"/>
        </w:rPr>
      </w:r>
      <w:r>
        <w:rPr>
          <w:color w:val="000000" w:themeColor="text1"/>
          <w:highlight w:val="none"/>
        </w:rPr>
      </w:r>
    </w:p>
    <w:p>
      <w:pPr>
        <w:pStyle w:val="883"/>
        <w:spacing w:line="360" w:lineRule="auto"/>
        <w:rPr>
          <w:rFonts w:hint="eastAsia"/>
          <w:b/>
          <w:color w:val="000000" w:themeColor="text1"/>
          <w:sz w:val="28"/>
          <w:szCs w:val="28"/>
          <w:highlight w:val="none"/>
        </w:rPr>
      </w:pPr>
      <w:r>
        <w:rPr>
          <w:rFonts w:ascii="宋体" w:hAnsi="宋体"/>
          <w:bCs/>
          <w:color w:val="000000" w:themeColor="text1"/>
          <w:sz w:val="24"/>
          <w:szCs w:val="24"/>
          <w:highlight w:val="none"/>
        </w:rPr>
        <w:br w:type="page" w:clear="all"/>
      </w:r>
      <w:r>
        <w:rPr>
          <w:rFonts w:hint="eastAsia"/>
          <w:b/>
          <w:color w:val="000000" w:themeColor="text1"/>
          <w:sz w:val="28"/>
          <w:szCs w:val="28"/>
          <w:highlight w:val="none"/>
        </w:rPr>
        <w:t xml:space="preserve">六</w:t>
      </w:r>
      <w:r>
        <w:rPr>
          <w:b/>
          <w:color w:val="000000" w:themeColor="text1"/>
          <w:sz w:val="28"/>
          <w:szCs w:val="28"/>
          <w:highlight w:val="none"/>
        </w:rPr>
        <w:t xml:space="preserve">、投标函</w:t>
      </w:r>
      <w:r>
        <w:rPr>
          <w:rFonts w:hint="eastAsia"/>
          <w:b/>
          <w:color w:val="000000" w:themeColor="text1"/>
          <w:sz w:val="28"/>
          <w:szCs w:val="28"/>
          <w:highlight w:val="none"/>
        </w:rPr>
        <w:t xml:space="preserve">（给定格式）：</w:t>
      </w:r>
      <w:r>
        <w:rPr>
          <w:color w:val="000000" w:themeColor="text1"/>
          <w:highlight w:val="none"/>
        </w:rPr>
      </w:r>
    </w:p>
    <w:p>
      <w:pPr>
        <w:pStyle w:val="883"/>
        <w:spacing w:line="360" w:lineRule="auto"/>
        <w:rPr>
          <w:rFonts w:hint="eastAsia"/>
          <w:b/>
          <w:color w:val="000000" w:themeColor="text1"/>
          <w:sz w:val="30"/>
          <w:szCs w:val="30"/>
          <w:highlight w:val="none"/>
        </w:rPr>
      </w:pPr>
      <w:r>
        <w:rPr>
          <w:rFonts w:hint="eastAsia"/>
          <w:b/>
          <w:color w:val="000000" w:themeColor="text1"/>
          <w:sz w:val="30"/>
          <w:szCs w:val="30"/>
          <w:highlight w:val="none"/>
        </w:rPr>
      </w:r>
      <w:r>
        <w:rPr>
          <w:color w:val="000000" w:themeColor="text1"/>
          <w:highlight w:val="none"/>
        </w:rPr>
      </w:r>
    </w:p>
    <w:p>
      <w:pPr>
        <w:pStyle w:val="883"/>
        <w:jc w:val="center"/>
        <w:spacing w:line="400" w:lineRule="exact"/>
        <w:rPr>
          <w:rFonts w:ascii="宋体"/>
          <w:bCs/>
          <w:color w:val="000000" w:themeColor="text1"/>
          <w:sz w:val="24"/>
          <w:szCs w:val="24"/>
          <w:highlight w:val="none"/>
        </w:rPr>
      </w:pPr>
      <w:r>
        <w:rPr>
          <w:rFonts w:hint="eastAsia" w:ascii="黑体" w:eastAsia="黑体"/>
          <w:bCs/>
          <w:color w:val="000000" w:themeColor="text1"/>
          <w:sz w:val="28"/>
          <w:szCs w:val="28"/>
          <w:highlight w:val="none"/>
        </w:rPr>
        <w:t xml:space="preserve">投标函</w:t>
      </w:r>
      <w:r>
        <w:rPr>
          <w:rFonts w:ascii="宋体"/>
          <w:bCs/>
          <w:color w:val="000000" w:themeColor="text1"/>
          <w:sz w:val="24"/>
          <w:szCs w:val="24"/>
          <w:highlight w:val="none"/>
        </w:rPr>
      </w:r>
      <w:r>
        <w:rPr>
          <w:color w:val="000000" w:themeColor="text1"/>
          <w:highlight w:val="none"/>
        </w:rPr>
      </w:r>
    </w:p>
    <w:p>
      <w:pPr>
        <w:pStyle w:val="883"/>
        <w:spacing w:line="400" w:lineRule="exact"/>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致无锡市公共资源交易中心：</w:t>
      </w:r>
      <w:r>
        <w:rPr>
          <w:rFonts w:ascii="宋体"/>
          <w:bCs/>
          <w:color w:val="000000" w:themeColor="text1"/>
          <w:sz w:val="24"/>
          <w:szCs w:val="24"/>
          <w:highlight w:val="none"/>
        </w:rPr>
      </w:r>
      <w:r>
        <w:rPr>
          <w:color w:val="000000" w:themeColor="text1"/>
          <w:highlight w:val="none"/>
        </w:rPr>
      </w:r>
    </w:p>
    <w:p>
      <w:pPr>
        <w:pStyle w:val="883"/>
        <w:ind w:firstLine="480"/>
        <w:spacing w:line="400" w:lineRule="exact"/>
        <w:rPr>
          <w:rFonts w:ascii="宋体"/>
          <w:bCs/>
          <w:color w:val="000000" w:themeColor="text1"/>
          <w:sz w:val="24"/>
          <w:szCs w:val="24"/>
          <w:highlight w:val="none"/>
        </w:rPr>
      </w:pPr>
      <w:r>
        <w:rPr>
          <w:rFonts w:ascii="宋体"/>
          <w:bCs/>
          <w:color w:val="000000" w:themeColor="text1"/>
          <w:sz w:val="24"/>
          <w:szCs w:val="24"/>
          <w:highlight w:val="none"/>
        </w:rPr>
      </w:r>
      <w:r>
        <w:rPr>
          <w:color w:val="000000" w:themeColor="text1"/>
          <w:highlight w:val="none"/>
        </w:rPr>
      </w:r>
    </w:p>
    <w:p>
      <w:pPr>
        <w:pStyle w:val="883"/>
        <w:ind w:firstLine="480"/>
        <w:spacing w:line="400" w:lineRule="exact"/>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我方收到贵方</w:t>
      </w:r>
      <w:r>
        <w:rPr>
          <w:rFonts w:hint="eastAsia" w:ascii="宋体" w:hAnsi="宋体"/>
          <w:bCs/>
          <w:color w:val="000000" w:themeColor="text1"/>
          <w:sz w:val="24"/>
          <w:szCs w:val="24"/>
          <w:highlight w:val="none"/>
        </w:rPr>
        <w:t xml:space="preserve">JSZC-320200-JZCG-G2025-0021</w:t>
      </w:r>
      <w:r>
        <w:rPr>
          <w:rFonts w:hint="eastAsia" w:ascii="宋体" w:hAnsi="宋体"/>
          <w:bCs/>
          <w:color w:val="000000" w:themeColor="text1"/>
          <w:sz w:val="24"/>
          <w:szCs w:val="24"/>
          <w:highlight w:val="none"/>
        </w:rPr>
        <w:t xml:space="preserve">招标文件，经仔细阅读和研究，我方决定参加此项目的投标。</w:t>
      </w:r>
      <w:r>
        <w:rPr>
          <w:rFonts w:ascii="宋体"/>
          <w:bCs/>
          <w:color w:val="000000" w:themeColor="text1"/>
          <w:sz w:val="24"/>
          <w:szCs w:val="24"/>
          <w:highlight w:val="none"/>
        </w:rPr>
      </w:r>
      <w:r>
        <w:rPr>
          <w:color w:val="000000" w:themeColor="text1"/>
          <w:highlight w:val="none"/>
        </w:rPr>
      </w:r>
    </w:p>
    <w:p>
      <w:pPr>
        <w:pStyle w:val="883"/>
        <w:numPr>
          <w:ilvl w:val="0"/>
          <w:numId w:val="11"/>
        </w:numPr>
        <w:ind w:left="0" w:firstLine="525"/>
        <w:spacing w:line="400" w:lineRule="exact"/>
        <w:tabs>
          <w:tab w:val="left" w:pos="315" w:leader="none"/>
          <w:tab w:val="clear" w:pos="552" w:leader="none"/>
          <w:tab w:val="left" w:pos="840" w:leader="none"/>
          <w:tab w:val="left" w:pos="945" w:leader="none"/>
          <w:tab w:val="left" w:pos="1050" w:leader="none"/>
          <w:tab w:val="left" w:pos="126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我方愿意按照招标文件的一切要求，提供本项目的投标，投标总价见《开标一览表》。</w:t>
      </w:r>
      <w:r>
        <w:rPr>
          <w:rFonts w:ascii="宋体"/>
          <w:bCs/>
          <w:color w:val="000000" w:themeColor="text1"/>
          <w:sz w:val="24"/>
          <w:szCs w:val="24"/>
          <w:highlight w:val="none"/>
        </w:rPr>
      </w:r>
      <w:r>
        <w:rPr>
          <w:color w:val="000000" w:themeColor="text1"/>
          <w:highlight w:val="none"/>
        </w:rPr>
      </w:r>
    </w:p>
    <w:p>
      <w:pPr>
        <w:pStyle w:val="883"/>
        <w:numPr>
          <w:ilvl w:val="0"/>
          <w:numId w:val="11"/>
        </w:numPr>
        <w:ind w:left="0" w:firstLine="523"/>
        <w:spacing w:line="400" w:lineRule="exact"/>
        <w:tabs>
          <w:tab w:val="left" w:pos="0" w:leader="none"/>
          <w:tab w:val="left" w:pos="315" w:leader="none"/>
          <w:tab w:val="left" w:pos="525" w:leader="none"/>
          <w:tab w:val="clear" w:pos="552" w:leader="none"/>
          <w:tab w:val="left" w:pos="840" w:leader="none"/>
          <w:tab w:val="left" w:pos="945" w:leader="none"/>
          <w:tab w:val="left" w:pos="1050" w:leader="none"/>
        </w:tabs>
        <w:rPr>
          <w:rStyle w:val="958"/>
          <w:bCs/>
          <w:color w:val="000000" w:themeColor="text1"/>
          <w:highlight w:val="none"/>
        </w:rPr>
      </w:pPr>
      <w:r>
        <w:rPr>
          <w:rFonts w:hint="eastAsia" w:ascii="宋体" w:hAnsi="宋体"/>
          <w:bCs/>
          <w:color w:val="000000" w:themeColor="text1"/>
          <w:sz w:val="24"/>
          <w:szCs w:val="24"/>
          <w:highlight w:val="none"/>
        </w:rPr>
        <w:t xml:space="preserve">我方愿意提供无锡市公共资源交易中心在招标文件中要求的文件、资料。</w:t>
      </w:r>
      <w:r>
        <w:rPr>
          <w:rStyle w:val="958"/>
          <w:bCs/>
          <w:color w:val="000000" w:themeColor="text1"/>
          <w:highlight w:val="none"/>
        </w:rPr>
      </w:r>
      <w:r>
        <w:rPr>
          <w:color w:val="000000" w:themeColor="text1"/>
          <w:highlight w:val="none"/>
        </w:rPr>
      </w:r>
    </w:p>
    <w:p>
      <w:pPr>
        <w:pStyle w:val="883"/>
        <w:numPr>
          <w:ilvl w:val="0"/>
          <w:numId w:val="11"/>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我方同意按招标文件中的规定，从规定的开标日期起遵循本投标文件，并在规定的投标有效期期满之前均具有约束力。</w:t>
      </w:r>
      <w:r>
        <w:rPr>
          <w:rFonts w:ascii="宋体"/>
          <w:bCs/>
          <w:color w:val="000000" w:themeColor="text1"/>
          <w:sz w:val="24"/>
          <w:szCs w:val="24"/>
          <w:highlight w:val="none"/>
        </w:rPr>
      </w:r>
      <w:r>
        <w:rPr>
          <w:color w:val="000000" w:themeColor="text1"/>
          <w:highlight w:val="none"/>
        </w:rPr>
      </w:r>
    </w:p>
    <w:p>
      <w:pPr>
        <w:pStyle w:val="883"/>
        <w:numPr>
          <w:ilvl w:val="0"/>
          <w:numId w:val="11"/>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如果我方的投标文件被接受，我方将履行招标文件中规定的每一项要求，按期、按质、按量，完成交货任务。</w:t>
      </w:r>
      <w:r>
        <w:rPr>
          <w:rFonts w:ascii="宋体"/>
          <w:bCs/>
          <w:color w:val="000000" w:themeColor="text1"/>
          <w:sz w:val="24"/>
          <w:szCs w:val="24"/>
          <w:highlight w:val="none"/>
        </w:rPr>
      </w:r>
      <w:r>
        <w:rPr>
          <w:color w:val="000000" w:themeColor="text1"/>
          <w:highlight w:val="none"/>
        </w:rPr>
      </w:r>
    </w:p>
    <w:p>
      <w:pPr>
        <w:pStyle w:val="883"/>
        <w:numPr>
          <w:ilvl w:val="0"/>
          <w:numId w:val="11"/>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我方完全同意招标文件规定的决定中标者的方式。</w:t>
      </w:r>
      <w:r>
        <w:rPr>
          <w:rFonts w:ascii="宋体"/>
          <w:bCs/>
          <w:color w:val="000000" w:themeColor="text1"/>
          <w:sz w:val="24"/>
          <w:szCs w:val="24"/>
          <w:highlight w:val="none"/>
        </w:rPr>
      </w:r>
      <w:r>
        <w:rPr>
          <w:color w:val="000000" w:themeColor="text1"/>
          <w:highlight w:val="none"/>
        </w:rPr>
      </w:r>
    </w:p>
    <w:p>
      <w:pPr>
        <w:pStyle w:val="883"/>
        <w:numPr>
          <w:ilvl w:val="0"/>
          <w:numId w:val="11"/>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我方愿意遵守《中华人民共和国政府采购法》，并按《中华人民共和国民法典》、财政部《政府采购货物和服务招标投标管理办法》等相关法律法规</w:t>
      </w:r>
      <w:r>
        <w:rPr>
          <w:rFonts w:hint="eastAsia" w:ascii="宋体" w:hAnsi="宋体"/>
          <w:color w:val="000000" w:themeColor="text1"/>
          <w:sz w:val="24"/>
          <w:szCs w:val="24"/>
          <w:highlight w:val="none"/>
        </w:rPr>
        <w:t xml:space="preserve">和</w:t>
      </w:r>
      <w:r>
        <w:rPr>
          <w:rFonts w:hint="eastAsia" w:ascii="宋体" w:hAnsi="宋体"/>
          <w:bCs/>
          <w:color w:val="000000" w:themeColor="text1"/>
          <w:sz w:val="24"/>
          <w:szCs w:val="24"/>
          <w:highlight w:val="none"/>
        </w:rPr>
        <w:t xml:space="preserve">合同条款履行自己的全部责任。</w:t>
      </w:r>
      <w:r>
        <w:rPr>
          <w:rFonts w:ascii="宋体"/>
          <w:bCs/>
          <w:color w:val="000000" w:themeColor="text1"/>
          <w:sz w:val="24"/>
          <w:szCs w:val="24"/>
          <w:highlight w:val="none"/>
        </w:rPr>
      </w:r>
      <w:r>
        <w:rPr>
          <w:color w:val="000000" w:themeColor="text1"/>
          <w:highlight w:val="none"/>
        </w:rPr>
      </w:r>
    </w:p>
    <w:p>
      <w:pPr>
        <w:pStyle w:val="883"/>
        <w:numPr>
          <w:ilvl w:val="0"/>
          <w:numId w:val="11"/>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我方已详细审核全部招标文件及其有效补充文件，我们知道必须放弃提出含糊不清或误解问题的权利。</w:t>
      </w:r>
      <w:r>
        <w:rPr>
          <w:rFonts w:ascii="宋体"/>
          <w:bCs/>
          <w:color w:val="000000" w:themeColor="text1"/>
          <w:sz w:val="24"/>
          <w:szCs w:val="24"/>
          <w:highlight w:val="none"/>
        </w:rPr>
      </w:r>
      <w:r>
        <w:rPr>
          <w:color w:val="000000" w:themeColor="text1"/>
          <w:highlight w:val="none"/>
        </w:rPr>
      </w:r>
    </w:p>
    <w:p>
      <w:pPr>
        <w:pStyle w:val="883"/>
        <w:numPr>
          <w:ilvl w:val="0"/>
          <w:numId w:val="11"/>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如我方在投标截止期后撤回投标及中标后拒绝遵守投标承诺或拒绝在规定的时间内与采购人签订合同，则接受政府采购监督管理部门的处理。</w:t>
      </w:r>
      <w:r>
        <w:rPr>
          <w:rFonts w:ascii="宋体"/>
          <w:bCs/>
          <w:color w:val="000000" w:themeColor="text1"/>
          <w:sz w:val="24"/>
          <w:szCs w:val="24"/>
          <w:highlight w:val="none"/>
        </w:rPr>
      </w:r>
      <w:r>
        <w:rPr>
          <w:color w:val="000000" w:themeColor="text1"/>
          <w:highlight w:val="none"/>
        </w:rPr>
      </w:r>
    </w:p>
    <w:p>
      <w:pPr>
        <w:pStyle w:val="883"/>
        <w:numPr>
          <w:ilvl w:val="0"/>
          <w:numId w:val="11"/>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rPr>
          <w:rFonts w:ascii="宋体"/>
          <w:bCs/>
          <w:color w:val="000000" w:themeColor="text1"/>
          <w:sz w:val="24"/>
          <w:szCs w:val="24"/>
          <w:highlight w:val="none"/>
        </w:rPr>
      </w:r>
      <w:r>
        <w:rPr>
          <w:color w:val="000000" w:themeColor="text1"/>
          <w:highlight w:val="none"/>
        </w:rPr>
      </w:r>
    </w:p>
    <w:p>
      <w:pPr>
        <w:pStyle w:val="883"/>
        <w:numPr>
          <w:ilvl w:val="0"/>
          <w:numId w:val="11"/>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方决不提供虚假材料谋取中标、决不采取不正当手段诋毁、排挤其他供应商、决不与采购人、其它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rPr>
          <w:rFonts w:ascii="宋体"/>
          <w:bCs/>
          <w:color w:val="000000" w:themeColor="text1"/>
          <w:sz w:val="24"/>
          <w:szCs w:val="24"/>
          <w:highlight w:val="none"/>
        </w:rPr>
      </w:r>
      <w:r>
        <w:rPr>
          <w:color w:val="000000" w:themeColor="text1"/>
          <w:highlight w:val="none"/>
        </w:rPr>
      </w:r>
    </w:p>
    <w:p>
      <w:pPr>
        <w:pStyle w:val="883"/>
        <w:ind w:firstLine="720"/>
        <w:spacing w:line="400" w:lineRule="exact"/>
        <w:rPr>
          <w:rFonts w:ascii="宋体"/>
          <w:bCs/>
          <w:color w:val="000000" w:themeColor="text1"/>
          <w:sz w:val="24"/>
          <w:szCs w:val="24"/>
          <w:highlight w:val="none"/>
        </w:rPr>
      </w:pPr>
      <w:r>
        <w:rPr>
          <w:rFonts w:ascii="宋体"/>
          <w:bCs/>
          <w:color w:val="000000" w:themeColor="text1"/>
          <w:sz w:val="24"/>
          <w:szCs w:val="24"/>
          <w:highlight w:val="none"/>
        </w:rPr>
      </w:r>
      <w:r>
        <w:rPr>
          <w:color w:val="000000" w:themeColor="text1"/>
          <w:highlight w:val="none"/>
        </w:rPr>
      </w:r>
    </w:p>
    <w:p>
      <w:pPr>
        <w:pStyle w:val="883"/>
        <w:ind w:firstLine="480"/>
        <w:spacing w:line="400" w:lineRule="exact"/>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电话：</w:t>
      </w:r>
      <w:r>
        <w:rPr>
          <w:rFonts w:hint="eastAsia" w:ascii="宋体" w:hAnsi="宋体"/>
          <w:bCs/>
          <w:color w:val="000000" w:themeColor="text1"/>
          <w:sz w:val="24"/>
          <w:szCs w:val="24"/>
          <w:highlight w:val="none"/>
          <w:u w:val="single"/>
        </w:rPr>
        <w:t xml:space="preserve">             </w:t>
      </w:r>
      <w:r>
        <w:rPr>
          <w:rFonts w:hint="eastAsia" w:ascii="宋体" w:hAnsi="宋体"/>
          <w:bCs/>
          <w:color w:val="000000" w:themeColor="text1"/>
          <w:sz w:val="24"/>
          <w:szCs w:val="24"/>
          <w:highlight w:val="none"/>
        </w:rPr>
        <w:t xml:space="preserve"> ；传真：</w:t>
      </w:r>
      <w:r>
        <w:rPr>
          <w:rFonts w:hint="eastAsia" w:ascii="宋体" w:hAnsi="宋体"/>
          <w:bCs/>
          <w:color w:val="000000" w:themeColor="text1"/>
          <w:sz w:val="24"/>
          <w:szCs w:val="24"/>
          <w:highlight w:val="none"/>
          <w:u w:val="single"/>
        </w:rPr>
        <w:t xml:space="preserve">               </w:t>
      </w:r>
      <w:r>
        <w:rPr>
          <w:rFonts w:hint="eastAsia" w:ascii="宋体" w:hAnsi="宋体"/>
          <w:bCs/>
          <w:color w:val="000000" w:themeColor="text1"/>
          <w:sz w:val="24"/>
          <w:szCs w:val="24"/>
          <w:highlight w:val="none"/>
        </w:rPr>
        <w:t xml:space="preserve">；邮编：</w:t>
      </w:r>
      <w:r>
        <w:rPr>
          <w:rFonts w:hint="eastAsia" w:ascii="宋体" w:hAnsi="宋体"/>
          <w:bCs/>
          <w:color w:val="000000" w:themeColor="text1"/>
          <w:sz w:val="24"/>
          <w:szCs w:val="24"/>
          <w:highlight w:val="none"/>
          <w:u w:val="single"/>
        </w:rPr>
        <w:t xml:space="preserve">               </w:t>
      </w:r>
      <w:r>
        <w:rPr>
          <w:rFonts w:ascii="宋体"/>
          <w:bCs/>
          <w:color w:val="000000" w:themeColor="text1"/>
          <w:sz w:val="24"/>
          <w:szCs w:val="24"/>
          <w:highlight w:val="none"/>
        </w:rPr>
      </w:r>
      <w:r>
        <w:rPr>
          <w:color w:val="000000" w:themeColor="text1"/>
          <w:highlight w:val="none"/>
        </w:rPr>
      </w:r>
    </w:p>
    <w:p>
      <w:pPr>
        <w:pStyle w:val="883"/>
        <w:ind w:firstLine="480"/>
        <w:spacing w:line="400" w:lineRule="exact"/>
        <w:rPr>
          <w:rFonts w:hint="eastAsia" w:ascii="宋体" w:hAnsi="宋体"/>
          <w:bCs/>
          <w:color w:val="000000" w:themeColor="text1"/>
          <w:sz w:val="24"/>
          <w:szCs w:val="24"/>
          <w:highlight w:val="none"/>
          <w:u w:val="single"/>
        </w:rPr>
      </w:pPr>
      <w:r>
        <w:rPr>
          <w:rFonts w:hint="eastAsia" w:ascii="宋体" w:hAnsi="宋体"/>
          <w:bCs/>
          <w:color w:val="000000" w:themeColor="text1"/>
          <w:sz w:val="24"/>
          <w:szCs w:val="24"/>
          <w:highlight w:val="none"/>
        </w:rPr>
        <w:t xml:space="preserve">通讯地址：</w:t>
      </w:r>
      <w:r>
        <w:rPr>
          <w:rFonts w:hint="eastAsia" w:ascii="宋体" w:hAnsi="宋体"/>
          <w:bCs/>
          <w:color w:val="000000" w:themeColor="text1"/>
          <w:sz w:val="24"/>
          <w:szCs w:val="24"/>
          <w:highlight w:val="none"/>
          <w:u w:val="single"/>
        </w:rPr>
        <w:t xml:space="preserve">                                                        </w:t>
      </w:r>
      <w:r>
        <w:rPr>
          <w:color w:val="000000" w:themeColor="text1"/>
          <w:highlight w:val="none"/>
        </w:rPr>
      </w:r>
    </w:p>
    <w:p>
      <w:pPr>
        <w:pStyle w:val="883"/>
        <w:spacing w:line="46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投标人名称（盖章）：</w:t>
      </w:r>
      <w:r>
        <w:rPr>
          <w:color w:val="000000" w:themeColor="text1"/>
          <w:highlight w:val="none"/>
        </w:rPr>
      </w:r>
    </w:p>
    <w:p>
      <w:pPr>
        <w:pStyle w:val="883"/>
        <w:spacing w:line="360" w:lineRule="auto"/>
        <w:rPr>
          <w:rFonts w:hint="eastAsia"/>
          <w:b/>
          <w:color w:val="000000" w:themeColor="text1"/>
          <w:sz w:val="28"/>
          <w:szCs w:val="28"/>
          <w:highlight w:val="none"/>
        </w:rPr>
      </w:pPr>
      <w:r>
        <w:rPr>
          <w:rFonts w:hint="eastAsia" w:ascii="宋体" w:hAnsi="宋体"/>
          <w:bCs/>
          <w:color w:val="000000" w:themeColor="text1"/>
          <w:sz w:val="24"/>
          <w:szCs w:val="24"/>
          <w:highlight w:val="none"/>
        </w:rPr>
        <w:br w:type="page" w:clear="all"/>
      </w:r>
      <w:r>
        <w:rPr>
          <w:rFonts w:hint="eastAsia"/>
          <w:b/>
          <w:color w:val="000000" w:themeColor="text1"/>
          <w:sz w:val="28"/>
          <w:szCs w:val="28"/>
          <w:highlight w:val="none"/>
        </w:rPr>
        <w:t xml:space="preserve">七、承诺书（给定格式）：</w:t>
      </w:r>
      <w:r>
        <w:rPr>
          <w:color w:val="000000" w:themeColor="text1"/>
          <w:highlight w:val="none"/>
        </w:rPr>
      </w:r>
    </w:p>
    <w:p>
      <w:pPr>
        <w:pStyle w:val="883"/>
        <w:jc w:val="center"/>
        <w:rPr>
          <w:rFonts w:hint="eastAsia" w:ascii="黑体" w:eastAsia="黑体"/>
          <w:bCs/>
          <w:color w:val="000000" w:themeColor="text1"/>
          <w:sz w:val="28"/>
          <w:szCs w:val="28"/>
          <w:highlight w:val="none"/>
        </w:rPr>
      </w:pPr>
      <w:r>
        <w:rPr>
          <w:rFonts w:hint="eastAsia" w:ascii="黑体" w:eastAsia="黑体"/>
          <w:bCs/>
          <w:color w:val="000000" w:themeColor="text1"/>
          <w:sz w:val="28"/>
          <w:szCs w:val="28"/>
          <w:highlight w:val="none"/>
        </w:rPr>
        <w:t xml:space="preserve">承诺书</w:t>
      </w:r>
      <w:r>
        <w:rPr>
          <w:color w:val="000000" w:themeColor="text1"/>
          <w:highlight w:val="none"/>
        </w:rPr>
      </w:r>
    </w:p>
    <w:p>
      <w:pPr>
        <w:pStyle w:val="883"/>
        <w:spacing w:line="48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rPr>
        <w:t xml:space="preserve">（</w:t>
      </w:r>
      <w:r>
        <w:rPr>
          <w:rFonts w:hint="eastAsia" w:ascii="宋体" w:hAnsi="宋体"/>
          <w:color w:val="000000" w:themeColor="text1"/>
          <w:sz w:val="24"/>
          <w:highlight w:val="none"/>
        </w:rPr>
        <w:t xml:space="preserve">投标人</w:t>
      </w:r>
      <w:r>
        <w:rPr>
          <w:rFonts w:hint="eastAsia" w:ascii="宋体" w:hAnsi="宋体"/>
          <w:color w:val="000000" w:themeColor="text1"/>
          <w:sz w:val="24"/>
          <w:szCs w:val="24"/>
          <w:highlight w:val="none"/>
        </w:rPr>
        <w:t xml:space="preserve">名称）针对本项目</w:t>
      </w:r>
      <w:r>
        <w:rPr>
          <w:rFonts w:hint="eastAsia" w:ascii="宋体" w:hAnsi="宋体"/>
          <w:bCs/>
          <w:color w:val="000000" w:themeColor="text1"/>
          <w:sz w:val="24"/>
          <w:szCs w:val="24"/>
          <w:highlight w:val="none"/>
        </w:rPr>
        <w:t xml:space="preserve">JSZC-320200-JZCG-G2025-0021</w:t>
      </w:r>
      <w:r>
        <w:rPr>
          <w:rFonts w:hint="eastAsia" w:ascii="宋体" w:hAnsi="宋体"/>
          <w:color w:val="000000" w:themeColor="text1"/>
          <w:sz w:val="24"/>
          <w:szCs w:val="24"/>
          <w:highlight w:val="none"/>
        </w:rPr>
        <w:t xml:space="preserve">在此承诺：</w:t>
      </w:r>
      <w:r>
        <w:rPr>
          <w:rFonts w:ascii="宋体" w:hAnsi="宋体"/>
          <w:color w:val="000000" w:themeColor="text1"/>
          <w:sz w:val="24"/>
          <w:szCs w:val="24"/>
          <w:highlight w:val="none"/>
        </w:rPr>
      </w:r>
      <w:r>
        <w:rPr>
          <w:color w:val="000000" w:themeColor="text1"/>
          <w:highlight w:val="none"/>
        </w:rPr>
      </w:r>
    </w:p>
    <w:p>
      <w:pPr>
        <w:pStyle w:val="883"/>
        <w:ind w:firstLine="480"/>
        <w:spacing w:line="480" w:lineRule="auto"/>
        <w:rPr>
          <w:rFonts w:ascii="宋体" w:hAnsi="宋体"/>
          <w:bCs/>
          <w:color w:val="000000" w:themeColor="text1"/>
          <w:sz w:val="24"/>
          <w:szCs w:val="24"/>
          <w:highlight w:val="none"/>
        </w:rPr>
      </w:pPr>
      <w:r>
        <w:rPr>
          <w:rFonts w:hint="eastAsia" w:ascii="宋体" w:hAnsi="宋体"/>
          <w:color w:val="000000" w:themeColor="text1"/>
          <w:sz w:val="24"/>
          <w:szCs w:val="24"/>
          <w:highlight w:val="none"/>
        </w:rPr>
        <w:t xml:space="preserve">1.本公司（单位</w:t>
      </w:r>
      <w:r>
        <w:rPr>
          <w:rFonts w:hint="eastAsia" w:ascii="宋体" w:hAnsi="宋体"/>
          <w:bCs/>
          <w:color w:val="000000" w:themeColor="text1"/>
          <w:sz w:val="24"/>
          <w:szCs w:val="24"/>
          <w:highlight w:val="none"/>
        </w:rPr>
        <w:t xml:space="preserve">、联合体</w:t>
      </w:r>
      <w:r>
        <w:rPr>
          <w:rFonts w:hint="eastAsia" w:ascii="宋体" w:hAnsi="宋体"/>
          <w:color w:val="000000" w:themeColor="text1"/>
          <w:sz w:val="24"/>
          <w:szCs w:val="24"/>
          <w:highlight w:val="none"/>
        </w:rPr>
        <w:t xml:space="preserve">）</w:t>
      </w:r>
      <w:r>
        <w:rPr>
          <w:rFonts w:hint="eastAsia" w:ascii="宋体" w:hAnsi="宋体"/>
          <w:bCs/>
          <w:color w:val="000000" w:themeColor="text1"/>
          <w:sz w:val="24"/>
          <w:szCs w:val="24"/>
          <w:highlight w:val="none"/>
        </w:rPr>
        <w:t xml:space="preserve">对本项目所提供的货物均为原厂全新合格品，提供的服务符合招标文件要求。</w:t>
      </w:r>
      <w:r>
        <w:rPr>
          <w:rFonts w:ascii="宋体" w:hAnsi="宋体"/>
          <w:bCs/>
          <w:color w:val="000000" w:themeColor="text1"/>
          <w:sz w:val="24"/>
          <w:szCs w:val="24"/>
          <w:highlight w:val="none"/>
        </w:rPr>
      </w:r>
      <w:r>
        <w:rPr>
          <w:color w:val="000000" w:themeColor="text1"/>
          <w:highlight w:val="none"/>
        </w:rPr>
      </w:r>
    </w:p>
    <w:p>
      <w:pPr>
        <w:pStyle w:val="883"/>
        <w:ind w:firstLine="480"/>
        <w:spacing w:line="480" w:lineRule="auto"/>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2.本项目中如有涉及商品包装、快递包装要求的，本公司（单位</w:t>
      </w:r>
      <w:r>
        <w:rPr>
          <w:rFonts w:hint="eastAsia" w:ascii="宋体" w:hAnsi="宋体"/>
          <w:bCs/>
          <w:color w:val="000000" w:themeColor="text1"/>
          <w:sz w:val="24"/>
          <w:szCs w:val="24"/>
          <w:highlight w:val="none"/>
        </w:rPr>
        <w:t xml:space="preserve">、联合体</w:t>
      </w:r>
      <w:r>
        <w:rPr>
          <w:rFonts w:hint="eastAsia" w:ascii="宋体"/>
          <w:bCs/>
          <w:color w:val="000000" w:themeColor="text1"/>
          <w:sz w:val="24"/>
          <w:szCs w:val="24"/>
          <w:highlight w:val="none"/>
        </w:rPr>
        <w:t xml:space="preserve">）对于中标产品的包装将严格按《关于印发〈商品包装政府采购需求标准（试行）〉、〈快递包装政府采购需求标准（试行）〉的通知》（财办库〔2020〕123号）文件执行。</w:t>
      </w:r>
      <w:r>
        <w:rPr>
          <w:color w:val="000000" w:themeColor="text1"/>
          <w:highlight w:val="none"/>
        </w:rPr>
      </w:r>
    </w:p>
    <w:p>
      <w:pPr>
        <w:pStyle w:val="883"/>
        <w:ind w:firstLine="480"/>
        <w:spacing w:line="48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3.本项目中如有涉及数据中心相关设备、运维服务的，本公司（单位</w:t>
      </w:r>
      <w:r>
        <w:rPr>
          <w:rFonts w:hint="eastAsia" w:ascii="宋体" w:hAnsi="宋体"/>
          <w:bCs/>
          <w:color w:val="000000" w:themeColor="text1"/>
          <w:sz w:val="24"/>
          <w:szCs w:val="24"/>
          <w:highlight w:val="none"/>
        </w:rPr>
        <w:t xml:space="preserve">、联合体</w:t>
      </w:r>
      <w:r>
        <w:rPr>
          <w:rFonts w:hint="eastAsia" w:ascii="宋体" w:hAnsi="宋体"/>
          <w:color w:val="000000" w:themeColor="text1"/>
          <w:sz w:val="24"/>
          <w:szCs w:val="24"/>
          <w:highlight w:val="none"/>
        </w:rPr>
        <w:t xml:space="preserve">）将按《关于印发〈绿色数据中心政府采购需求标准（试行）〉的通知》（财办库〔2023〕7号）文件执行；所提供的数据中心相关设备、运维服务均符合《绿色数据中心政府采购需求标准（试行）》的指标及标准。</w:t>
      </w:r>
      <w:r>
        <w:rPr>
          <w:color w:val="000000" w:themeColor="text1"/>
          <w:highlight w:val="none"/>
        </w:rPr>
      </w:r>
    </w:p>
    <w:p>
      <w:pPr>
        <w:pStyle w:val="883"/>
        <w:ind w:firstLine="480"/>
        <w:spacing w:line="48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000000" w:themeColor="text1"/>
          <w:sz w:val="24"/>
          <w:szCs w:val="24"/>
          <w:highlight w:val="none"/>
        </w:rPr>
        <w:t xml:space="preserve">本公司（单位</w:t>
      </w:r>
      <w:r>
        <w:rPr>
          <w:rFonts w:hint="eastAsia" w:ascii="宋体" w:hAnsi="宋体"/>
          <w:bCs/>
          <w:color w:val="000000" w:themeColor="text1"/>
          <w:sz w:val="24"/>
          <w:szCs w:val="24"/>
          <w:highlight w:val="none"/>
        </w:rPr>
        <w:t xml:space="preserve">、联合体</w:t>
      </w:r>
      <w:r>
        <w:rPr>
          <w:rFonts w:hint="eastAsia" w:asci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将按规定执行国家和我省VOCs含量限制标准；如非强制性标准的，</w:t>
      </w:r>
      <w:r>
        <w:rPr>
          <w:rFonts w:hint="eastAsia" w:ascii="宋体"/>
          <w:bCs/>
          <w:color w:val="000000" w:themeColor="text1"/>
          <w:sz w:val="24"/>
          <w:szCs w:val="24"/>
          <w:highlight w:val="none"/>
        </w:rPr>
        <w:t xml:space="preserve">本公司（单位</w:t>
      </w:r>
      <w:r>
        <w:rPr>
          <w:rFonts w:hint="eastAsia" w:ascii="宋体" w:hAnsi="宋体"/>
          <w:bCs/>
          <w:color w:val="000000" w:themeColor="text1"/>
          <w:sz w:val="24"/>
          <w:szCs w:val="24"/>
          <w:highlight w:val="none"/>
        </w:rPr>
        <w:t xml:space="preserve">、联合体</w:t>
      </w:r>
      <w:r>
        <w:rPr>
          <w:rFonts w:hint="eastAsia" w:asci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将优先提供符合推荐性标准的涂料、胶黏剂、油墨、清洗剂等挥发性有机物产品或者在通用类货物、家具、印刷、公务车辆维修等采购项目中优先使用低挥发性原辅材料。</w:t>
      </w:r>
      <w:r>
        <w:rPr>
          <w:rFonts w:ascii="宋体" w:hAnsi="宋体"/>
          <w:bCs/>
          <w:color w:val="000000" w:themeColor="text1"/>
          <w:sz w:val="24"/>
          <w:szCs w:val="24"/>
          <w:highlight w:val="none"/>
        </w:rPr>
      </w:r>
      <w:r>
        <w:rPr>
          <w:color w:val="000000" w:themeColor="text1"/>
          <w:highlight w:val="none"/>
        </w:rPr>
      </w:r>
    </w:p>
    <w:p>
      <w:pPr>
        <w:pStyle w:val="883"/>
        <w:ind w:firstLine="480"/>
        <w:spacing w:line="480" w:lineRule="auto"/>
        <w:rPr>
          <w:rFonts w:hint="eastAsia" w:ascii="宋体" w:hAnsi="宋体" w:cs="宋体"/>
          <w:color w:val="000000" w:themeColor="text1"/>
          <w:sz w:val="24"/>
          <w:szCs w:val="24"/>
          <w:highlight w:val="none"/>
        </w:rPr>
      </w:pPr>
      <w:r>
        <w:rPr>
          <w:rFonts w:hint="eastAsia" w:ascii="宋体"/>
          <w:bCs/>
          <w:color w:val="000000" w:themeColor="text1"/>
          <w:sz w:val="24"/>
          <w:szCs w:val="24"/>
          <w:highlight w:val="none"/>
        </w:rPr>
        <w:t xml:space="preserve">5.</w:t>
      </w:r>
      <w:r>
        <w:rPr>
          <w:rFonts w:hint="eastAsia" w:ascii="宋体" w:hAnsi="宋体" w:cs="宋体"/>
          <w:color w:val="000000" w:themeColor="text1"/>
          <w:sz w:val="24"/>
          <w:szCs w:val="24"/>
          <w:highlight w:val="none"/>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000000" w:themeColor="text1"/>
          <w:sz w:val="24"/>
          <w:szCs w:val="24"/>
          <w:highlight w:val="none"/>
        </w:rPr>
        <w:t xml:space="preserve">本公司（单位</w:t>
      </w:r>
      <w:r>
        <w:rPr>
          <w:rFonts w:hint="eastAsia" w:ascii="宋体" w:hAnsi="宋体"/>
          <w:bCs/>
          <w:color w:val="000000" w:themeColor="text1"/>
          <w:sz w:val="24"/>
          <w:szCs w:val="24"/>
          <w:highlight w:val="none"/>
        </w:rPr>
        <w:t xml:space="preserve">、联合体</w:t>
      </w:r>
      <w:r>
        <w:rPr>
          <w:rFonts w:hint="eastAsia" w:ascii="宋体"/>
          <w:bCs/>
          <w:color w:val="000000" w:themeColor="text1"/>
          <w:sz w:val="24"/>
          <w:szCs w:val="24"/>
          <w:highlight w:val="none"/>
        </w:rPr>
        <w:t xml:space="preserve">）将所投产品符合相关要求和标准。在满足</w:t>
      </w:r>
      <w:r>
        <w:rPr>
          <w:rFonts w:hint="eastAsia" w:ascii="宋体" w:hAnsi="宋体" w:cs="宋体"/>
          <w:color w:val="000000" w:themeColor="text1"/>
          <w:sz w:val="24"/>
          <w:szCs w:val="24"/>
          <w:highlight w:val="none"/>
        </w:rPr>
        <w:t xml:space="preserve">《需求标准》的前提下，如招标文件中对七种软硬件有其他要求的，</w:t>
      </w:r>
      <w:r>
        <w:rPr>
          <w:rFonts w:hint="eastAsia" w:ascii="宋体"/>
          <w:bCs/>
          <w:color w:val="000000" w:themeColor="text1"/>
          <w:sz w:val="24"/>
          <w:szCs w:val="24"/>
          <w:highlight w:val="none"/>
        </w:rPr>
        <w:t xml:space="preserve">本公司（单位</w:t>
      </w:r>
      <w:r>
        <w:rPr>
          <w:rFonts w:hint="eastAsia" w:ascii="宋体" w:hAnsi="宋体"/>
          <w:bCs/>
          <w:color w:val="000000" w:themeColor="text1"/>
          <w:sz w:val="24"/>
          <w:szCs w:val="24"/>
          <w:highlight w:val="none"/>
        </w:rPr>
        <w:t xml:space="preserve">、联合体</w:t>
      </w:r>
      <w:r>
        <w:rPr>
          <w:rFonts w:hint="eastAsia" w:ascii="宋体"/>
          <w:bCs/>
          <w:color w:val="000000" w:themeColor="text1"/>
          <w:sz w:val="24"/>
          <w:szCs w:val="24"/>
          <w:highlight w:val="none"/>
        </w:rPr>
        <w:t xml:space="preserve">）所投产品将</w:t>
      </w:r>
      <w:r>
        <w:rPr>
          <w:rFonts w:hint="eastAsia" w:ascii="宋体" w:hAnsi="宋体" w:cs="宋体"/>
          <w:color w:val="000000" w:themeColor="text1"/>
          <w:sz w:val="24"/>
          <w:szCs w:val="24"/>
          <w:highlight w:val="none"/>
        </w:rPr>
        <w:t xml:space="preserve">满足招标文件要求。如采购人在</w:t>
      </w:r>
      <w:r>
        <w:rPr>
          <w:rFonts w:hint="eastAsia" w:ascii="宋体"/>
          <w:bCs/>
          <w:color w:val="000000" w:themeColor="text1"/>
          <w:sz w:val="24"/>
          <w:szCs w:val="24"/>
          <w:highlight w:val="none"/>
        </w:rPr>
        <w:t xml:space="preserve">合同中约定，</w:t>
      </w:r>
      <w:r>
        <w:rPr>
          <w:rFonts w:hint="eastAsia" w:ascii="宋体" w:hAnsi="宋体" w:cs="宋体"/>
          <w:color w:val="000000" w:themeColor="text1"/>
          <w:sz w:val="24"/>
          <w:szCs w:val="24"/>
          <w:highlight w:val="none"/>
        </w:rPr>
        <w:t xml:space="preserve">在</w:t>
      </w:r>
      <w:r>
        <w:rPr>
          <w:rFonts w:hint="eastAsia" w:ascii="宋体"/>
          <w:bCs/>
          <w:color w:val="000000" w:themeColor="text1"/>
          <w:sz w:val="24"/>
          <w:szCs w:val="24"/>
          <w:highlight w:val="none"/>
        </w:rPr>
        <w:t xml:space="preserve">履约验收管理时，对所提供的七种软硬件进行验收，且必要时将委托依法取得检测、认证资质的机构进行检测、认证的，本公司（单位</w:t>
      </w:r>
      <w:r>
        <w:rPr>
          <w:rFonts w:hint="eastAsia" w:ascii="宋体" w:hAnsi="宋体"/>
          <w:bCs/>
          <w:color w:val="000000" w:themeColor="text1"/>
          <w:sz w:val="24"/>
          <w:szCs w:val="24"/>
          <w:highlight w:val="none"/>
        </w:rPr>
        <w:t xml:space="preserve">、联合体</w:t>
      </w:r>
      <w:r>
        <w:rPr>
          <w:rFonts w:hint="eastAsia" w:ascii="宋体"/>
          <w:bCs/>
          <w:color w:val="000000" w:themeColor="text1"/>
          <w:sz w:val="24"/>
          <w:szCs w:val="24"/>
          <w:highlight w:val="none"/>
        </w:rPr>
        <w:t xml:space="preserve">）将予以配合。</w:t>
      </w:r>
      <w:r>
        <w:rPr>
          <w:rFonts w:hint="eastAsia" w:ascii="宋体" w:hAnsi="宋体" w:cs="宋体"/>
          <w:color w:val="000000" w:themeColor="text1"/>
          <w:sz w:val="24"/>
          <w:szCs w:val="24"/>
          <w:highlight w:val="none"/>
        </w:rPr>
      </w:r>
      <w:r>
        <w:rPr>
          <w:color w:val="000000" w:themeColor="text1"/>
          <w:highlight w:val="none"/>
        </w:rPr>
      </w:r>
    </w:p>
    <w:p>
      <w:pPr>
        <w:pStyle w:val="883"/>
        <w:ind w:firstLine="480"/>
        <w:spacing w:line="480" w:lineRule="auto"/>
        <w:rPr>
          <w:rFonts w:hint="eastAsia" w:ascii="宋体"/>
          <w:bCs/>
          <w:color w:val="000000" w:themeColor="text1"/>
          <w:sz w:val="24"/>
          <w:szCs w:val="24"/>
          <w:highlight w:val="none"/>
        </w:rPr>
      </w:pPr>
      <w:r>
        <w:rPr>
          <w:rFonts w:hint="eastAsia" w:ascii="宋体"/>
          <w:bCs/>
          <w:color w:val="000000" w:themeColor="text1"/>
          <w:sz w:val="24"/>
          <w:szCs w:val="24"/>
          <w:highlight w:val="none"/>
        </w:rPr>
      </w:r>
      <w:r>
        <w:rPr>
          <w:color w:val="000000" w:themeColor="text1"/>
          <w:highlight w:val="none"/>
        </w:rPr>
      </w:r>
    </w:p>
    <w:p>
      <w:pPr>
        <w:pStyle w:val="883"/>
        <w:ind w:firstLine="480"/>
        <w:spacing w:line="480" w:lineRule="auto"/>
        <w:rPr>
          <w:rFonts w:hint="eastAsia" w:ascii="宋体"/>
          <w:bCs/>
          <w:color w:val="000000" w:themeColor="text1"/>
          <w:sz w:val="24"/>
          <w:szCs w:val="24"/>
          <w:highlight w:val="none"/>
        </w:rPr>
      </w:pPr>
      <w:r>
        <w:rPr>
          <w:rFonts w:ascii="宋体"/>
          <w:bCs/>
          <w:color w:val="000000" w:themeColor="text1"/>
          <w:sz w:val="24"/>
          <w:szCs w:val="24"/>
          <w:highlight w:val="none"/>
        </w:rPr>
        <w:t xml:space="preserve">……</w:t>
      </w:r>
      <w:r>
        <w:rPr>
          <w:rFonts w:hint="eastAsia" w:ascii="宋体"/>
          <w:bCs/>
          <w:color w:val="000000" w:themeColor="text1"/>
          <w:sz w:val="24"/>
          <w:szCs w:val="24"/>
          <w:highlight w:val="none"/>
        </w:rPr>
        <w:t xml:space="preserve">（投标人如有其他承诺的可在此处添加）</w:t>
      </w:r>
      <w:r>
        <w:rPr>
          <w:color w:val="000000" w:themeColor="text1"/>
          <w:highlight w:val="none"/>
        </w:rPr>
      </w:r>
    </w:p>
    <w:p>
      <w:pPr>
        <w:pStyle w:val="883"/>
        <w:ind w:firstLine="480"/>
        <w:spacing w:line="480" w:lineRule="auto"/>
        <w:rPr>
          <w:rFonts w:hint="eastAsia" w:ascii="宋体"/>
          <w:bCs/>
          <w:color w:val="000000" w:themeColor="text1"/>
          <w:sz w:val="24"/>
          <w:szCs w:val="24"/>
          <w:highlight w:val="none"/>
        </w:rPr>
      </w:pPr>
      <w:r>
        <w:rPr>
          <w:rFonts w:hint="eastAsia" w:ascii="宋体"/>
          <w:bCs/>
          <w:color w:val="000000" w:themeColor="text1"/>
          <w:sz w:val="24"/>
          <w:szCs w:val="24"/>
          <w:highlight w:val="none"/>
        </w:rPr>
      </w:r>
      <w:r>
        <w:rPr>
          <w:color w:val="000000" w:themeColor="text1"/>
          <w:highlight w:val="none"/>
        </w:rPr>
      </w:r>
    </w:p>
    <w:p>
      <w:pPr>
        <w:pStyle w:val="883"/>
        <w:ind w:firstLine="480"/>
        <w:spacing w:line="480" w:lineRule="auto"/>
        <w:rPr>
          <w:rFonts w:ascii="宋体" w:hAnsi="宋体"/>
          <w:color w:val="000000" w:themeColor="text1"/>
          <w:sz w:val="24"/>
          <w:szCs w:val="20"/>
          <w:highlight w:val="none"/>
        </w:rPr>
      </w:pPr>
      <w:r>
        <w:rPr>
          <w:rFonts w:hint="eastAsia" w:ascii="宋体" w:hAnsi="宋体"/>
          <w:bCs/>
          <w:color w:val="000000" w:themeColor="text1"/>
          <w:sz w:val="24"/>
          <w:szCs w:val="24"/>
          <w:highlight w:val="none"/>
        </w:rPr>
        <w:t xml:space="preserve">如违背上述承诺，本公司</w:t>
      </w:r>
      <w:r>
        <w:rPr>
          <w:rFonts w:hint="eastAsia" w:ascii="宋体" w:hAnsi="宋体"/>
          <w:color w:val="000000" w:themeColor="text1"/>
          <w:sz w:val="24"/>
          <w:szCs w:val="24"/>
          <w:highlight w:val="none"/>
        </w:rPr>
        <w:t xml:space="preserve">（单位</w:t>
      </w:r>
      <w:r>
        <w:rPr>
          <w:rFonts w:hint="eastAsia" w:ascii="宋体" w:hAnsi="宋体"/>
          <w:bCs/>
          <w:color w:val="000000" w:themeColor="text1"/>
          <w:sz w:val="24"/>
          <w:szCs w:val="24"/>
          <w:highlight w:val="none"/>
        </w:rPr>
        <w:t xml:space="preserve">、联合体</w:t>
      </w:r>
      <w:r>
        <w:rPr>
          <w:rFonts w:hint="eastAsia" w:ascii="宋体" w:hAnsi="宋体"/>
          <w:color w:val="000000" w:themeColor="text1"/>
          <w:sz w:val="24"/>
          <w:szCs w:val="24"/>
          <w:highlight w:val="none"/>
        </w:rPr>
        <w:t xml:space="preserve">）</w:t>
      </w:r>
      <w:r>
        <w:rPr>
          <w:rFonts w:hint="eastAsia" w:ascii="宋体" w:hAnsi="宋体"/>
          <w:bCs/>
          <w:color w:val="000000" w:themeColor="text1"/>
          <w:sz w:val="24"/>
          <w:szCs w:val="24"/>
          <w:highlight w:val="none"/>
        </w:rPr>
        <w:t xml:space="preserve">将承担一切法律责任。</w:t>
      </w:r>
      <w:r>
        <w:rPr>
          <w:rFonts w:ascii="宋体" w:hAnsi="宋体"/>
          <w:color w:val="000000" w:themeColor="text1"/>
          <w:sz w:val="24"/>
          <w:szCs w:val="20"/>
          <w:highlight w:val="none"/>
        </w:rPr>
      </w:r>
      <w:r>
        <w:rPr>
          <w:color w:val="000000" w:themeColor="text1"/>
          <w:highlight w:val="none"/>
        </w:rPr>
      </w:r>
    </w:p>
    <w:p>
      <w:pPr>
        <w:pStyle w:val="883"/>
        <w:ind w:firstLine="5400"/>
        <w:spacing w:line="480" w:lineRule="auto"/>
        <w:rPr>
          <w:rFonts w:ascii="宋体" w:hAnsi="宋体"/>
          <w:bCs/>
          <w:color w:val="000000" w:themeColor="text1"/>
          <w:sz w:val="24"/>
          <w:szCs w:val="24"/>
          <w:highlight w:val="none"/>
        </w:rPr>
      </w:pPr>
      <w:r>
        <w:rPr>
          <w:rFonts w:ascii="宋体" w:hAnsi="宋体"/>
          <w:bCs/>
          <w:color w:val="000000" w:themeColor="text1"/>
          <w:sz w:val="24"/>
          <w:szCs w:val="24"/>
          <w:highlight w:val="none"/>
        </w:rPr>
      </w:r>
      <w:r>
        <w:rPr>
          <w:color w:val="000000" w:themeColor="text1"/>
          <w:highlight w:val="none"/>
        </w:rPr>
      </w:r>
    </w:p>
    <w:p>
      <w:pPr>
        <w:pStyle w:val="883"/>
        <w:ind w:firstLine="3720"/>
        <w:spacing w:line="48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投标人名称（盖章）：</w:t>
      </w:r>
      <w:r>
        <w:rPr>
          <w:rFonts w:ascii="宋体" w:hAnsi="宋体"/>
          <w:bCs/>
          <w:color w:val="000000" w:themeColor="text1"/>
          <w:sz w:val="24"/>
          <w:szCs w:val="24"/>
          <w:highlight w:val="none"/>
        </w:rPr>
      </w:r>
      <w:r>
        <w:rPr>
          <w:color w:val="000000" w:themeColor="text1"/>
          <w:highlight w:val="none"/>
        </w:rPr>
      </w:r>
    </w:p>
    <w:p>
      <w:pPr>
        <w:pStyle w:val="883"/>
        <w:rPr>
          <w:b/>
          <w:color w:val="000000" w:themeColor="text1"/>
          <w:sz w:val="28"/>
          <w:szCs w:val="28"/>
          <w:highlight w:val="none"/>
        </w:rPr>
        <w:outlineLvl w:val="0"/>
      </w:pPr>
      <w:r>
        <w:rPr>
          <w:rFonts w:ascii="宋体" w:hAnsi="宋体"/>
          <w:bCs/>
          <w:color w:val="000000" w:themeColor="text1"/>
          <w:sz w:val="24"/>
          <w:szCs w:val="24"/>
          <w:highlight w:val="none"/>
        </w:rPr>
        <w:br w:type="page" w:clear="all"/>
      </w:r>
      <w:r>
        <w:rPr>
          <w:b/>
          <w:color w:val="000000" w:themeColor="text1"/>
          <w:sz w:val="28"/>
          <w:szCs w:val="28"/>
          <w:highlight w:val="none"/>
        </w:rPr>
      </w:r>
      <w:r>
        <w:rPr>
          <w:color w:val="000000" w:themeColor="text1"/>
          <w:highlight w:val="none"/>
        </w:rPr>
      </w:r>
    </w:p>
    <w:p>
      <w:pPr>
        <w:pStyle w:val="883"/>
        <w:spacing w:line="360" w:lineRule="auto"/>
        <w:rPr>
          <w:rFonts w:hint="eastAsia"/>
          <w:b/>
          <w:color w:val="000000" w:themeColor="text1"/>
          <w:sz w:val="28"/>
          <w:szCs w:val="28"/>
          <w:highlight w:val="none"/>
        </w:rPr>
      </w:pPr>
      <w:r>
        <w:rPr>
          <w:rFonts w:hint="eastAsia"/>
          <w:b/>
          <w:color w:val="000000" w:themeColor="text1"/>
          <w:sz w:val="28"/>
          <w:szCs w:val="28"/>
          <w:highlight w:val="none"/>
        </w:rPr>
        <w:t xml:space="preserve">八、开标一览表：</w:t>
      </w:r>
      <w:r>
        <w:rPr>
          <w:color w:val="000000" w:themeColor="text1"/>
          <w:highlight w:val="none"/>
        </w:rPr>
      </w:r>
    </w:p>
    <w:p>
      <w:pPr>
        <w:pStyle w:val="883"/>
        <w:ind w:firstLine="482"/>
        <w:spacing w:line="440" w:lineRule="exact"/>
        <w:rPr>
          <w:rFonts w:hint="eastAsia" w:ascii="Arial" w:hAnsi="Arial"/>
          <w:b/>
          <w:color w:val="000000" w:themeColor="text1"/>
          <w:sz w:val="24"/>
          <w:highlight w:val="none"/>
        </w:rPr>
      </w:pPr>
      <w:r>
        <w:rPr>
          <w:rFonts w:hint="eastAsia" w:ascii="Arial" w:hAnsi="Arial"/>
          <w:b/>
          <w:color w:val="000000" w:themeColor="text1"/>
          <w:sz w:val="24"/>
          <w:highlight w:val="none"/>
        </w:rPr>
      </w:r>
      <w:r>
        <w:rPr>
          <w:color w:val="000000" w:themeColor="text1"/>
          <w:highlight w:val="none"/>
        </w:rPr>
      </w:r>
    </w:p>
    <w:p>
      <w:pPr>
        <w:pStyle w:val="883"/>
        <w:jc w:val="center"/>
        <w:rPr>
          <w:rFonts w:ascii="黑体" w:eastAsia="黑体"/>
          <w:bCs/>
          <w:color w:val="000000" w:themeColor="text1"/>
          <w:sz w:val="28"/>
          <w:szCs w:val="28"/>
          <w:highlight w:val="none"/>
        </w:rPr>
        <w:outlineLvl w:val="0"/>
      </w:pPr>
      <w:r>
        <w:rPr>
          <w:rFonts w:hint="eastAsia" w:ascii="黑体" w:eastAsia="黑体"/>
          <w:bCs/>
          <w:color w:val="000000" w:themeColor="text1"/>
          <w:sz w:val="28"/>
          <w:szCs w:val="28"/>
          <w:highlight w:val="none"/>
        </w:rPr>
        <w:t xml:space="preserve">开标一览表</w:t>
      </w:r>
      <w:r>
        <w:rPr>
          <w:rFonts w:ascii="黑体" w:eastAsia="黑体"/>
          <w:bCs/>
          <w:color w:val="000000" w:themeColor="text1"/>
          <w:sz w:val="28"/>
          <w:szCs w:val="28"/>
          <w:highlight w:val="none"/>
        </w:rPr>
      </w:r>
      <w:r>
        <w:rPr>
          <w:color w:val="000000" w:themeColor="text1"/>
          <w:highlight w:val="none"/>
        </w:rPr>
      </w:r>
    </w:p>
    <w:p>
      <w:pPr>
        <w:pStyle w:val="883"/>
        <w:jc w:val="center"/>
        <w:rPr>
          <w:rFonts w:ascii="黑体" w:eastAsia="黑体"/>
          <w:bCs/>
          <w:color w:val="000000" w:themeColor="text1"/>
          <w:sz w:val="28"/>
          <w:szCs w:val="28"/>
          <w:highlight w:val="none"/>
        </w:rPr>
        <w:outlineLvl w:val="0"/>
      </w:pPr>
      <w:r>
        <w:rPr>
          <w:rFonts w:ascii="黑体" w:eastAsia="黑体"/>
          <w:bCs/>
          <w:color w:val="000000" w:themeColor="text1"/>
          <w:sz w:val="28"/>
          <w:szCs w:val="28"/>
          <w:highlight w:val="none"/>
        </w:rPr>
      </w:r>
      <w:r>
        <w:rPr>
          <w:color w:val="000000" w:themeColor="text1"/>
          <w:highlight w:val="none"/>
        </w:rPr>
      </w:r>
    </w:p>
    <w:p>
      <w:pPr>
        <w:pStyle w:val="883"/>
        <w:spacing w:line="360" w:lineRule="auto"/>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t xml:space="preserve"> </w:t>
      </w:r>
      <w:r>
        <w:rPr>
          <w:color w:val="000000" w:themeColor="text1"/>
          <w:highlight w:val="none"/>
        </w:rPr>
      </w:r>
    </w:p>
    <w:p>
      <w:pPr>
        <w:pStyle w:val="883"/>
        <w:spacing w:line="360" w:lineRule="auto"/>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r>
      <w:r>
        <w:rPr>
          <w:color w:val="000000" w:themeColor="text1"/>
          <w:highlight w:val="none"/>
        </w:rPr>
      </w:r>
    </w:p>
    <w:p>
      <w:pPr>
        <w:pStyle w:val="883"/>
        <w:spacing w:line="360" w:lineRule="auto"/>
        <w:rPr>
          <w:rFonts w:ascii="黑体" w:eastAsia="黑体"/>
          <w:bCs/>
          <w:color w:val="000000" w:themeColor="text1"/>
          <w:sz w:val="24"/>
          <w:szCs w:val="24"/>
          <w:highlight w:val="none"/>
        </w:rPr>
      </w:pPr>
      <w:r>
        <w:rPr>
          <w:rFonts w:hint="eastAsia" w:ascii="黑体" w:eastAsia="黑体"/>
          <w:bCs/>
          <w:color w:val="000000" w:themeColor="text1"/>
          <w:sz w:val="24"/>
          <w:szCs w:val="24"/>
          <w:highlight w:val="none"/>
        </w:rPr>
        <w:t xml:space="preserve">项目编号：</w:t>
      </w:r>
      <w:r>
        <w:rPr>
          <w:rFonts w:hint="eastAsia" w:ascii="黑体" w:eastAsia="黑体"/>
          <w:bCs/>
          <w:color w:val="000000" w:themeColor="text1"/>
          <w:sz w:val="24"/>
          <w:szCs w:val="24"/>
          <w:highlight w:val="none"/>
        </w:rPr>
        <w:t xml:space="preserve">JSZC-320200-JZCG-G2025-0021</w:t>
      </w:r>
      <w:r>
        <w:rPr>
          <w:rFonts w:ascii="黑体" w:eastAsia="黑体"/>
          <w:bCs/>
          <w:color w:val="000000" w:themeColor="text1"/>
          <w:sz w:val="24"/>
          <w:szCs w:val="24"/>
          <w:highlight w:val="none"/>
        </w:rPr>
      </w:r>
      <w:r>
        <w:rPr>
          <w:color w:val="000000" w:themeColor="text1"/>
          <w:highlight w:val="none"/>
        </w:rPr>
      </w:r>
    </w:p>
    <w:tbl>
      <w:tblPr>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pStyle w:val="883"/>
              <w:jc w:val="center"/>
              <w:rPr>
                <w:rFonts w:ascii="宋体"/>
                <w:b/>
                <w:bCs/>
                <w:color w:val="000000" w:themeColor="text1"/>
                <w:sz w:val="24"/>
                <w:szCs w:val="24"/>
                <w:highlight w:val="none"/>
              </w:rPr>
            </w:pPr>
            <w:r>
              <w:rPr>
                <w:rFonts w:hint="eastAsia" w:ascii="宋体" w:hAnsi="宋体"/>
                <w:b/>
                <w:bCs/>
                <w:color w:val="000000" w:themeColor="text1"/>
                <w:sz w:val="24"/>
                <w:szCs w:val="24"/>
                <w:highlight w:val="none"/>
              </w:rPr>
              <w:t xml:space="preserve">项目名称</w:t>
            </w:r>
            <w:r>
              <w:rPr>
                <w:rFonts w:ascii="宋体"/>
                <w:b/>
                <w:bCs/>
                <w:color w:val="000000" w:themeColor="text1"/>
                <w:sz w:val="24"/>
                <w:szCs w:val="24"/>
                <w:highlight w:val="none"/>
              </w:rPr>
            </w:r>
            <w:r>
              <w:rPr>
                <w:color w:val="000000" w:themeColor="text1"/>
                <w:highlight w:val="none"/>
              </w:rPr>
            </w:r>
          </w:p>
        </w:tc>
        <w:tc>
          <w:tcPr>
            <w:tcW w:w="3188" w:type="dxa"/>
            <w:vAlign w:val="center"/>
            <w:textDirection w:val="lrTb"/>
            <w:noWrap w:val="false"/>
          </w:tcPr>
          <w:p>
            <w:pPr>
              <w:pStyle w:val="883"/>
              <w:jc w:val="center"/>
              <w:rPr>
                <w:rFonts w:ascii="宋体"/>
                <w:b/>
                <w:bCs/>
                <w:color w:val="000000" w:themeColor="text1"/>
                <w:sz w:val="24"/>
                <w:szCs w:val="24"/>
                <w:highlight w:val="none"/>
              </w:rPr>
            </w:pPr>
            <w:r>
              <w:rPr>
                <w:rFonts w:hint="eastAsia" w:ascii="宋体" w:hAnsi="宋体"/>
                <w:b/>
                <w:bCs/>
                <w:color w:val="000000" w:themeColor="text1"/>
                <w:sz w:val="24"/>
                <w:szCs w:val="24"/>
                <w:highlight w:val="none"/>
              </w:rPr>
              <w:t xml:space="preserve">投标总报价</w:t>
            </w:r>
            <w:r>
              <w:rPr>
                <w:rFonts w:ascii="宋体" w:hAnsi="宋体"/>
                <w:b/>
                <w:bCs/>
                <w:color w:val="000000" w:themeColor="text1"/>
                <w:sz w:val="24"/>
                <w:szCs w:val="24"/>
                <w:highlight w:val="none"/>
              </w:rPr>
              <w:t xml:space="preserve">(</w:t>
            </w:r>
            <w:r>
              <w:rPr>
                <w:rFonts w:hint="eastAsia" w:ascii="宋体" w:hAnsi="宋体"/>
                <w:b/>
                <w:bCs/>
                <w:color w:val="000000" w:themeColor="text1"/>
                <w:sz w:val="24"/>
                <w:szCs w:val="24"/>
                <w:highlight w:val="none"/>
              </w:rPr>
              <w:t xml:space="preserve">小写</w:t>
            </w:r>
            <w:r>
              <w:rPr>
                <w:rFonts w:ascii="宋体" w:hAnsi="宋体"/>
                <w:b/>
                <w:bCs/>
                <w:color w:val="000000" w:themeColor="text1"/>
                <w:sz w:val="24"/>
                <w:szCs w:val="24"/>
                <w:highlight w:val="none"/>
              </w:rPr>
              <w:t xml:space="preserve">)</w:t>
            </w:r>
            <w:r>
              <w:rPr>
                <w:rFonts w:ascii="宋体"/>
                <w:b/>
                <w:bCs/>
                <w:color w:val="000000" w:themeColor="text1"/>
                <w:sz w:val="24"/>
                <w:szCs w:val="24"/>
                <w:highlight w:val="none"/>
              </w:rPr>
            </w:r>
            <w:r>
              <w:rPr>
                <w:color w:val="000000" w:themeColor="text1"/>
                <w:highlight w:val="none"/>
              </w:rPr>
            </w:r>
          </w:p>
        </w:tc>
      </w:tr>
      <w:tr>
        <w:trPr>
          <w:cantSplit/>
          <w:trHeight w:val="1630"/>
        </w:trPr>
        <w:tc>
          <w:tcPr>
            <w:tcW w:w="5697" w:type="dxa"/>
            <w:vAlign w:val="center"/>
            <w:textDirection w:val="lrTb"/>
            <w:noWrap w:val="false"/>
          </w:tcPr>
          <w:p>
            <w:pPr>
              <w:pStyle w:val="997"/>
              <w:jc w:val="center"/>
              <w:spacing w:line="400" w:lineRule="exact"/>
              <w:rPr>
                <w:rFonts w:hAnsi="宋体"/>
                <w:bCs/>
                <w:color w:val="000000" w:themeColor="text1"/>
                <w:szCs w:val="24"/>
                <w:highlight w:val="none"/>
              </w:rPr>
            </w:pPr>
            <w:r>
              <w:rPr>
                <w:rFonts w:hint="eastAsia" w:hAnsi="宋体"/>
                <w:bCs/>
                <w:color w:val="000000" w:themeColor="text1"/>
                <w:szCs w:val="24"/>
                <w:highlight w:val="none"/>
              </w:rPr>
              <w:t xml:space="preserve">无锡市反诈中心业务技术用房信息化建设项目</w:t>
            </w:r>
            <w:r>
              <w:rPr>
                <w:rFonts w:hAnsi="宋体"/>
                <w:bCs/>
                <w:color w:val="000000" w:themeColor="text1"/>
                <w:szCs w:val="24"/>
                <w:highlight w:val="none"/>
              </w:rPr>
            </w:r>
            <w:r>
              <w:rPr>
                <w:color w:val="000000" w:themeColor="text1"/>
                <w:highlight w:val="none"/>
              </w:rPr>
            </w:r>
          </w:p>
        </w:tc>
        <w:tc>
          <w:tcPr>
            <w:tcW w:w="3188" w:type="dxa"/>
            <w:vAlign w:val="center"/>
            <w:textDirection w:val="lrTb"/>
            <w:noWrap w:val="false"/>
          </w:tcPr>
          <w:p>
            <w:pPr>
              <w:pStyle w:val="997"/>
              <w:jc w:val="center"/>
              <w:rPr>
                <w:rFonts w:hAnsi="宋体"/>
                <w:b/>
                <w:color w:val="000000" w:themeColor="text1"/>
                <w:szCs w:val="24"/>
                <w:highlight w:val="none"/>
              </w:rPr>
            </w:pPr>
            <w:r>
              <w:rPr>
                <w:rFonts w:hAnsi="宋体"/>
                <w:b/>
                <w:color w:val="000000" w:themeColor="text1"/>
                <w:szCs w:val="24"/>
                <w:highlight w:val="none"/>
              </w:rPr>
            </w:r>
            <w:r>
              <w:rPr>
                <w:color w:val="000000" w:themeColor="text1"/>
                <w:highlight w:val="none"/>
              </w:rPr>
            </w:r>
          </w:p>
        </w:tc>
      </w:tr>
      <w:tr>
        <w:trPr>
          <w:cantSplit/>
          <w:trHeight w:val="780"/>
        </w:trPr>
        <w:tc>
          <w:tcPr>
            <w:gridSpan w:val="2"/>
            <w:tcW w:w="8885" w:type="dxa"/>
            <w:vAlign w:val="center"/>
            <w:textDirection w:val="lrTb"/>
            <w:noWrap w:val="false"/>
          </w:tcPr>
          <w:p>
            <w:pPr>
              <w:pStyle w:val="883"/>
              <w:rPr>
                <w:rFonts w:ascii="宋体"/>
                <w:bCs/>
                <w:color w:val="000000" w:themeColor="text1"/>
                <w:sz w:val="24"/>
                <w:szCs w:val="24"/>
                <w:highlight w:val="none"/>
              </w:rPr>
            </w:pPr>
            <w:r>
              <w:rPr>
                <w:rFonts w:hint="eastAsia" w:ascii="黑体" w:eastAsia="黑体"/>
                <w:color w:val="000000" w:themeColor="text1"/>
                <w:sz w:val="24"/>
                <w:highlight w:val="none"/>
              </w:rPr>
              <w:t xml:space="preserve">投标总报价（大写）</w:t>
            </w:r>
            <w:r>
              <w:rPr>
                <w:rFonts w:hint="eastAsia" w:ascii="宋体" w:hAnsi="宋体"/>
                <w:bCs/>
                <w:color w:val="000000" w:themeColor="text1"/>
                <w:sz w:val="24"/>
                <w:szCs w:val="24"/>
                <w:highlight w:val="none"/>
              </w:rPr>
              <w:t xml:space="preserve">：</w:t>
            </w:r>
            <w:r>
              <w:rPr>
                <w:rFonts w:ascii="宋体"/>
                <w:bCs/>
                <w:color w:val="000000" w:themeColor="text1"/>
                <w:sz w:val="24"/>
                <w:szCs w:val="24"/>
                <w:highlight w:val="none"/>
              </w:rPr>
              <w:t xml:space="preserve"> </w:t>
            </w:r>
            <w:r>
              <w:rPr>
                <w:rFonts w:ascii="宋体"/>
                <w:bCs/>
                <w:color w:val="000000" w:themeColor="text1"/>
                <w:sz w:val="24"/>
                <w:szCs w:val="24"/>
                <w:highlight w:val="none"/>
              </w:rPr>
            </w:r>
            <w:r>
              <w:rPr>
                <w:color w:val="000000" w:themeColor="text1"/>
                <w:highlight w:val="none"/>
              </w:rPr>
            </w:r>
          </w:p>
        </w:tc>
      </w:tr>
    </w:tbl>
    <w:p>
      <w:pPr>
        <w:pStyle w:val="883"/>
        <w:spacing w:line="400" w:lineRule="exact"/>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t xml:space="preserve">投标人名称（盖章）：</w:t>
      </w:r>
      <w:r>
        <w:rPr>
          <w:color w:val="000000" w:themeColor="text1"/>
          <w:highlight w:val="none"/>
        </w:rPr>
      </w:r>
    </w:p>
    <w:p>
      <w:pPr>
        <w:pStyle w:val="883"/>
        <w:spacing w:line="400" w:lineRule="exact"/>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r>
      <w:r>
        <w:rPr>
          <w:color w:val="000000" w:themeColor="text1"/>
          <w:highlight w:val="none"/>
        </w:rPr>
      </w:r>
    </w:p>
    <w:p>
      <w:pPr>
        <w:pStyle w:val="883"/>
        <w:spacing w:line="400" w:lineRule="exact"/>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r>
      <w:r>
        <w:rPr>
          <w:color w:val="000000" w:themeColor="text1"/>
          <w:highlight w:val="none"/>
        </w:rPr>
      </w:r>
    </w:p>
    <w:p>
      <w:pPr>
        <w:pStyle w:val="883"/>
        <w:spacing w:line="400" w:lineRule="exact"/>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rPr>
          <w:color w:val="000000" w:themeColor="text1"/>
          <w:highlight w:val="none"/>
        </w:rPr>
      </w:r>
    </w:p>
    <w:p>
      <w:pPr>
        <w:pStyle w:val="883"/>
        <w:spacing w:line="360" w:lineRule="auto"/>
        <w:rPr>
          <w:rFonts w:hint="eastAsia" w:ascii="宋体" w:hAnsi="宋体"/>
          <w:bCs/>
          <w:color w:val="000000" w:themeColor="text1"/>
          <w:highlight w:val="none"/>
        </w:rPr>
      </w:pPr>
      <w:r>
        <w:rPr>
          <w:rFonts w:hint="eastAsia" w:ascii="黑体" w:eastAsia="黑体"/>
          <w:bCs/>
          <w:color w:val="000000" w:themeColor="text1"/>
          <w:sz w:val="24"/>
          <w:szCs w:val="24"/>
          <w:highlight w:val="none"/>
        </w:rPr>
        <w:br w:type="page" w:clear="all"/>
      </w:r>
      <w:r>
        <w:rPr>
          <w:rFonts w:hint="eastAsia"/>
          <w:b/>
          <w:color w:val="000000" w:themeColor="text1"/>
          <w:sz w:val="28"/>
          <w:szCs w:val="28"/>
          <w:highlight w:val="none"/>
        </w:rPr>
        <w:t xml:space="preserve">九、分项</w:t>
      </w:r>
      <w:r>
        <w:rPr>
          <w:b/>
          <w:color w:val="000000" w:themeColor="text1"/>
          <w:sz w:val="28"/>
          <w:szCs w:val="28"/>
          <w:highlight w:val="none"/>
        </w:rPr>
        <w:t xml:space="preserve">报价表</w:t>
      </w:r>
      <w:r>
        <w:rPr>
          <w:rFonts w:hint="eastAsia"/>
          <w:b/>
          <w:color w:val="000000" w:themeColor="text1"/>
          <w:sz w:val="28"/>
          <w:szCs w:val="28"/>
          <w:highlight w:val="none"/>
        </w:rPr>
        <w:t xml:space="preserve">（给定格式）：</w:t>
      </w:r>
      <w:bookmarkEnd w:id="196"/>
      <w:r>
        <w:rPr>
          <w:color w:val="000000" w:themeColor="text1"/>
          <w:highlight w:val="none"/>
        </w:rPr>
      </w:r>
      <w:bookmarkEnd w:id="197"/>
      <w:r>
        <w:rPr>
          <w:color w:val="000000" w:themeColor="text1"/>
          <w:highlight w:val="none"/>
        </w:rPr>
      </w:r>
      <w:bookmarkEnd w:id="198"/>
      <w:r>
        <w:rPr>
          <w:color w:val="000000" w:themeColor="text1"/>
          <w:highlight w:val="none"/>
        </w:rPr>
      </w:r>
      <w:bookmarkStart w:id="200" w:name="_Toc120614284"/>
      <w:r>
        <w:rPr>
          <w:rFonts w:hint="eastAsia" w:ascii="宋体" w:hAnsi="宋体"/>
          <w:bCs/>
          <w:color w:val="000000" w:themeColor="text1"/>
          <w:highlight w:val="none"/>
        </w:rPr>
      </w:r>
      <w:r>
        <w:rPr>
          <w:color w:val="000000" w:themeColor="text1"/>
          <w:highlight w:val="none"/>
        </w:rPr>
      </w:r>
    </w:p>
    <w:p>
      <w:pPr>
        <w:pStyle w:val="883"/>
        <w:jc w:val="center"/>
        <w:spacing w:line="360" w:lineRule="auto"/>
        <w:rPr>
          <w:b/>
          <w:color w:val="000000" w:themeColor="text1"/>
          <w:sz w:val="28"/>
          <w:szCs w:val="28"/>
          <w:highlight w:val="none"/>
        </w:rPr>
      </w:pPr>
      <w:r>
        <w:rPr>
          <w:rFonts w:hint="eastAsia" w:ascii="黑体" w:eastAsia="黑体"/>
          <w:bCs/>
          <w:color w:val="000000" w:themeColor="text1"/>
          <w:sz w:val="28"/>
          <w:szCs w:val="28"/>
          <w:highlight w:val="none"/>
        </w:rPr>
        <w:t xml:space="preserve">分项报价表</w:t>
      </w:r>
      <w:r>
        <w:rPr>
          <w:b/>
          <w:color w:val="000000" w:themeColor="text1"/>
          <w:sz w:val="28"/>
          <w:szCs w:val="28"/>
          <w:highlight w:val="none"/>
        </w:rPr>
      </w:r>
      <w:r>
        <w:rPr>
          <w:color w:val="000000" w:themeColor="text1"/>
          <w:highlight w:val="none"/>
        </w:rPr>
      </w:r>
    </w:p>
    <w:p>
      <w:pPr>
        <w:pStyle w:val="883"/>
        <w:spacing w:line="400" w:lineRule="exact"/>
        <w:rPr>
          <w:rFonts w:ascii="黑体" w:eastAsia="黑体"/>
          <w:bCs/>
          <w:color w:val="000000" w:themeColor="text1"/>
          <w:sz w:val="24"/>
          <w:szCs w:val="24"/>
          <w:highlight w:val="none"/>
        </w:rPr>
      </w:pPr>
      <w:r>
        <w:rPr>
          <w:rFonts w:hint="eastAsia" w:ascii="黑体" w:eastAsia="黑体"/>
          <w:bCs/>
          <w:color w:val="000000" w:themeColor="text1"/>
          <w:sz w:val="24"/>
          <w:szCs w:val="24"/>
          <w:highlight w:val="none"/>
        </w:rPr>
        <w:t xml:space="preserve">项目编号：</w:t>
      </w:r>
      <w:r>
        <w:rPr>
          <w:rFonts w:hint="eastAsia" w:ascii="黑体" w:eastAsia="黑体"/>
          <w:bCs/>
          <w:color w:val="000000" w:themeColor="text1"/>
          <w:sz w:val="24"/>
          <w:szCs w:val="24"/>
          <w:highlight w:val="none"/>
        </w:rPr>
        <w:t xml:space="preserve">JSZC-320200-JZCG-G2025-0021</w:t>
      </w:r>
      <w:r>
        <w:rPr>
          <w:rFonts w:ascii="黑体" w:eastAsia="黑体"/>
          <w:bCs/>
          <w:color w:val="000000" w:themeColor="text1"/>
          <w:sz w:val="24"/>
          <w:szCs w:val="24"/>
          <w:highlight w:val="none"/>
        </w:rPr>
      </w:r>
      <w:r>
        <w:rPr>
          <w:color w:val="000000" w:themeColor="text1"/>
          <w:highlight w:val="none"/>
        </w:rPr>
      </w:r>
    </w:p>
    <w:tbl>
      <w:tblPr>
        <w:tblW w:w="997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20"/>
        <w:gridCol w:w="1050"/>
        <w:gridCol w:w="945"/>
        <w:gridCol w:w="3045"/>
        <w:gridCol w:w="599"/>
        <w:gridCol w:w="1276"/>
        <w:gridCol w:w="992"/>
        <w:gridCol w:w="709"/>
        <w:gridCol w:w="939"/>
      </w:tblGrid>
      <w:tr>
        <w:trPr>
          <w:cantSplit/>
          <w:trHeight w:val="465"/>
        </w:trPr>
        <w:tc>
          <w:tcPr>
            <w:gridSpan w:val="9"/>
            <w:tcMar>
              <w:left w:w="15" w:type="dxa"/>
              <w:top w:w="15" w:type="dxa"/>
              <w:right w:w="15" w:type="dxa"/>
              <w:bottom w:w="0" w:type="dxa"/>
            </w:tcMar>
            <w:tcW w:w="9975" w:type="dxa"/>
            <w:vAlign w:val="center"/>
            <w:textDirection w:val="lrTb"/>
            <w:noWrap/>
          </w:tcPr>
          <w:p>
            <w:pPr>
              <w:pStyle w:val="883"/>
              <w:spacing w:before="5"/>
              <w:rPr>
                <w:color w:val="000000" w:themeColor="text1"/>
                <w:sz w:val="18"/>
                <w:highlight w:val="none"/>
              </w:rPr>
            </w:pPr>
            <w:r>
              <w:rPr>
                <w:rFonts w:hint="eastAsia"/>
                <w:b/>
                <w:bCs/>
                <w:color w:val="000000" w:themeColor="text1"/>
                <w:sz w:val="24"/>
                <w:szCs w:val="24"/>
                <w:highlight w:val="none"/>
              </w:rPr>
              <w:t xml:space="preserve">货物部分</w:t>
            </w:r>
            <w:r>
              <w:rPr>
                <w:color w:val="000000" w:themeColor="text1"/>
                <w:sz w:val="18"/>
                <w:highlight w:val="none"/>
              </w:rPr>
            </w:r>
            <w:r>
              <w:rPr>
                <w:color w:val="000000" w:themeColor="text1"/>
                <w:highlight w:val="none"/>
              </w:rPr>
            </w:r>
          </w:p>
        </w:tc>
      </w:tr>
      <w:tr>
        <w:trPr>
          <w:cantSplit/>
          <w:trHeight w:val="495"/>
        </w:trPr>
        <w:tc>
          <w:tcPr>
            <w:tcMar>
              <w:left w:w="15" w:type="dxa"/>
              <w:top w:w="15" w:type="dxa"/>
              <w:right w:w="15" w:type="dxa"/>
              <w:bottom w:w="0" w:type="dxa"/>
            </w:tcMar>
            <w:tcW w:w="420" w:type="dxa"/>
            <w:vAlign w:val="center"/>
            <w:textDirection w:val="lrTb"/>
            <w:noWrap/>
          </w:tcPr>
          <w:p>
            <w:pPr>
              <w:pStyle w:val="883"/>
              <w:jc w:val="center"/>
              <w:spacing w:before="5"/>
              <w:rPr>
                <w:color w:val="000000" w:themeColor="text1"/>
                <w:sz w:val="18"/>
                <w:highlight w:val="none"/>
              </w:rPr>
            </w:pPr>
            <w:r>
              <w:rPr>
                <w:rFonts w:hint="eastAsia"/>
                <w:color w:val="000000" w:themeColor="text1"/>
                <w:sz w:val="18"/>
                <w:highlight w:val="none"/>
              </w:rPr>
              <w:t xml:space="preserve">序号</w:t>
            </w:r>
            <w:r>
              <w:rPr>
                <w:color w:val="000000" w:themeColor="text1"/>
                <w:sz w:val="18"/>
                <w:highlight w:val="none"/>
              </w:rPr>
            </w:r>
            <w:r>
              <w:rPr>
                <w:color w:val="000000" w:themeColor="text1"/>
                <w:highlight w:val="none"/>
              </w:rPr>
            </w:r>
          </w:p>
        </w:tc>
        <w:tc>
          <w:tcPr>
            <w:tcMar>
              <w:left w:w="15" w:type="dxa"/>
              <w:top w:w="15" w:type="dxa"/>
              <w:right w:w="15" w:type="dxa"/>
              <w:bottom w:w="0" w:type="dxa"/>
            </w:tcMar>
            <w:tcW w:w="1050" w:type="dxa"/>
            <w:vAlign w:val="center"/>
            <w:textDirection w:val="lrTb"/>
            <w:noWrap/>
          </w:tcPr>
          <w:p>
            <w:pPr>
              <w:pStyle w:val="883"/>
              <w:jc w:val="center"/>
              <w:spacing w:before="5"/>
              <w:rPr>
                <w:color w:val="000000" w:themeColor="text1"/>
                <w:sz w:val="18"/>
                <w:highlight w:val="none"/>
              </w:rPr>
            </w:pPr>
            <w:r>
              <w:rPr>
                <w:rFonts w:hint="eastAsia"/>
                <w:color w:val="000000" w:themeColor="text1"/>
                <w:sz w:val="18"/>
                <w:highlight w:val="none"/>
              </w:rPr>
              <w:t xml:space="preserve">名称</w:t>
            </w:r>
            <w:r>
              <w:rPr>
                <w:color w:val="000000" w:themeColor="text1"/>
                <w:sz w:val="18"/>
                <w:highlight w:val="none"/>
              </w:rPr>
            </w:r>
            <w:r>
              <w:rPr>
                <w:color w:val="000000" w:themeColor="text1"/>
                <w:highlight w:val="none"/>
              </w:rPr>
            </w:r>
          </w:p>
        </w:tc>
        <w:tc>
          <w:tcPr>
            <w:tcMar>
              <w:left w:w="15" w:type="dxa"/>
              <w:top w:w="15" w:type="dxa"/>
              <w:right w:w="15" w:type="dxa"/>
              <w:bottom w:w="0" w:type="dxa"/>
            </w:tcMar>
            <w:tcW w:w="945" w:type="dxa"/>
            <w:vAlign w:val="center"/>
            <w:textDirection w:val="lrTb"/>
            <w:noWrap/>
          </w:tcPr>
          <w:p>
            <w:pPr>
              <w:pStyle w:val="883"/>
              <w:jc w:val="center"/>
              <w:spacing w:before="5"/>
              <w:rPr>
                <w:color w:val="000000" w:themeColor="text1"/>
                <w:sz w:val="18"/>
                <w:highlight w:val="none"/>
              </w:rPr>
            </w:pPr>
            <w:r>
              <w:rPr>
                <w:rFonts w:hint="eastAsia"/>
                <w:color w:val="000000" w:themeColor="text1"/>
                <w:sz w:val="18"/>
                <w:highlight w:val="none"/>
              </w:rPr>
              <w:t xml:space="preserve">品牌型号</w:t>
            </w:r>
            <w:r>
              <w:rPr>
                <w:color w:val="000000" w:themeColor="text1"/>
                <w:sz w:val="18"/>
                <w:highlight w:val="none"/>
              </w:rPr>
            </w:r>
            <w:r>
              <w:rPr>
                <w:color w:val="000000" w:themeColor="text1"/>
                <w:highlight w:val="none"/>
              </w:rPr>
            </w:r>
          </w:p>
        </w:tc>
        <w:tc>
          <w:tcPr>
            <w:tcMar>
              <w:left w:w="15" w:type="dxa"/>
              <w:top w:w="15" w:type="dxa"/>
              <w:right w:w="15" w:type="dxa"/>
              <w:bottom w:w="0" w:type="dxa"/>
            </w:tcMar>
            <w:tcW w:w="3045" w:type="dxa"/>
            <w:vAlign w:val="center"/>
            <w:textDirection w:val="lrTb"/>
            <w:noWrap/>
          </w:tcPr>
          <w:p>
            <w:pPr>
              <w:pStyle w:val="883"/>
              <w:jc w:val="center"/>
              <w:spacing w:before="5"/>
              <w:rPr>
                <w:color w:val="000000" w:themeColor="text1"/>
                <w:sz w:val="18"/>
                <w:highlight w:val="none"/>
              </w:rPr>
            </w:pPr>
            <w:r>
              <w:rPr>
                <w:rFonts w:hint="eastAsia"/>
                <w:color w:val="000000" w:themeColor="text1"/>
                <w:sz w:val="18"/>
                <w:highlight w:val="none"/>
              </w:rPr>
              <w:t xml:space="preserve">性能指标</w:t>
            </w:r>
            <w:r>
              <w:rPr>
                <w:color w:val="000000" w:themeColor="text1"/>
                <w:sz w:val="18"/>
                <w:highlight w:val="none"/>
              </w:rPr>
            </w:r>
            <w:r>
              <w:rPr>
                <w:color w:val="000000" w:themeColor="text1"/>
                <w:highlight w:val="none"/>
              </w:rPr>
            </w:r>
          </w:p>
        </w:tc>
        <w:tc>
          <w:tcPr>
            <w:tcMar>
              <w:left w:w="15" w:type="dxa"/>
              <w:top w:w="15" w:type="dxa"/>
              <w:right w:w="15" w:type="dxa"/>
              <w:bottom w:w="0" w:type="dxa"/>
            </w:tcMar>
            <w:tcW w:w="599" w:type="dxa"/>
            <w:vAlign w:val="center"/>
            <w:textDirection w:val="lrTb"/>
            <w:noWrap w:val="false"/>
          </w:tcPr>
          <w:p>
            <w:pPr>
              <w:pStyle w:val="883"/>
              <w:jc w:val="center"/>
              <w:spacing w:before="5"/>
              <w:rPr>
                <w:color w:val="000000" w:themeColor="text1"/>
                <w:sz w:val="18"/>
                <w:highlight w:val="none"/>
              </w:rPr>
            </w:pPr>
            <w:r>
              <w:rPr>
                <w:rFonts w:hint="eastAsia"/>
                <w:color w:val="000000" w:themeColor="text1"/>
                <w:sz w:val="18"/>
                <w:highlight w:val="none"/>
              </w:rPr>
              <w:t xml:space="preserve">数量</w:t>
            </w:r>
            <w:r>
              <w:rPr>
                <w:color w:val="000000" w:themeColor="text1"/>
                <w:sz w:val="18"/>
                <w:highlight w:val="none"/>
              </w:rPr>
            </w:r>
            <w:r>
              <w:rPr>
                <w:color w:val="000000" w:themeColor="text1"/>
                <w:highlight w:val="none"/>
              </w:rPr>
            </w:r>
          </w:p>
        </w:tc>
        <w:tc>
          <w:tcPr>
            <w:tcW w:w="1276" w:type="dxa"/>
            <w:vAlign w:val="center"/>
            <w:textDirection w:val="lrTb"/>
            <w:noWrap w:val="false"/>
          </w:tcPr>
          <w:p>
            <w:pPr>
              <w:pStyle w:val="883"/>
              <w:jc w:val="center"/>
              <w:spacing w:before="5"/>
              <w:rPr>
                <w:color w:val="000000" w:themeColor="text1"/>
                <w:sz w:val="18"/>
                <w:highlight w:val="none"/>
              </w:rPr>
            </w:pPr>
            <w:r>
              <w:rPr>
                <w:rFonts w:hint="eastAsia"/>
                <w:color w:val="000000" w:themeColor="text1"/>
                <w:sz w:val="18"/>
                <w:highlight w:val="none"/>
              </w:rPr>
              <w:t xml:space="preserve">产地</w:t>
            </w:r>
            <w:r>
              <w:rPr>
                <w:color w:val="000000" w:themeColor="text1"/>
                <w:sz w:val="18"/>
                <w:highlight w:val="none"/>
              </w:rPr>
            </w:r>
            <w:r>
              <w:rPr>
                <w:color w:val="000000" w:themeColor="text1"/>
                <w:highlight w:val="none"/>
              </w:rPr>
            </w:r>
          </w:p>
        </w:tc>
        <w:tc>
          <w:tcPr>
            <w:tcMar>
              <w:left w:w="15" w:type="dxa"/>
              <w:top w:w="15" w:type="dxa"/>
              <w:right w:w="15" w:type="dxa"/>
              <w:bottom w:w="0" w:type="dxa"/>
            </w:tcMar>
            <w:tcW w:w="992" w:type="dxa"/>
            <w:vAlign w:val="center"/>
            <w:textDirection w:val="lrTb"/>
            <w:noWrap/>
          </w:tcPr>
          <w:p>
            <w:pPr>
              <w:pStyle w:val="883"/>
              <w:jc w:val="center"/>
              <w:spacing w:before="5"/>
              <w:rPr>
                <w:color w:val="000000" w:themeColor="text1"/>
                <w:sz w:val="18"/>
                <w:highlight w:val="none"/>
              </w:rPr>
            </w:pPr>
            <w:r>
              <w:rPr>
                <w:rFonts w:hint="eastAsia"/>
                <w:color w:val="000000" w:themeColor="text1"/>
                <w:sz w:val="18"/>
                <w:highlight w:val="none"/>
              </w:rPr>
              <w:t xml:space="preserve">质保期</w:t>
            </w:r>
            <w:r>
              <w:rPr>
                <w:color w:val="000000" w:themeColor="text1"/>
                <w:sz w:val="18"/>
                <w:highlight w:val="none"/>
              </w:rPr>
            </w:r>
            <w:r>
              <w:rPr>
                <w:color w:val="000000" w:themeColor="text1"/>
                <w:highlight w:val="none"/>
              </w:rPr>
            </w:r>
          </w:p>
        </w:tc>
        <w:tc>
          <w:tcPr>
            <w:tcW w:w="709" w:type="dxa"/>
            <w:vAlign w:val="center"/>
            <w:textDirection w:val="lrTb"/>
            <w:noWrap w:val="false"/>
          </w:tcPr>
          <w:p>
            <w:pPr>
              <w:pStyle w:val="883"/>
              <w:jc w:val="center"/>
              <w:spacing w:before="5"/>
              <w:rPr>
                <w:color w:val="000000" w:themeColor="text1"/>
                <w:sz w:val="18"/>
                <w:highlight w:val="none"/>
              </w:rPr>
            </w:pPr>
            <w:r>
              <w:rPr>
                <w:rFonts w:hint="eastAsia"/>
                <w:color w:val="000000" w:themeColor="text1"/>
                <w:sz w:val="18"/>
                <w:highlight w:val="none"/>
              </w:rPr>
              <w:t xml:space="preserve">单报价</w:t>
            </w:r>
            <w:r>
              <w:rPr>
                <w:color w:val="000000" w:themeColor="text1"/>
                <w:sz w:val="18"/>
                <w:highlight w:val="none"/>
              </w:rPr>
            </w:r>
            <w:r>
              <w:rPr>
                <w:color w:val="000000" w:themeColor="text1"/>
                <w:highlight w:val="none"/>
              </w:rPr>
            </w:r>
          </w:p>
        </w:tc>
        <w:tc>
          <w:tcPr>
            <w:tcW w:w="939" w:type="dxa"/>
            <w:vAlign w:val="center"/>
            <w:textDirection w:val="lrTb"/>
            <w:noWrap w:val="false"/>
          </w:tcPr>
          <w:p>
            <w:pPr>
              <w:pStyle w:val="883"/>
              <w:jc w:val="center"/>
              <w:spacing w:before="5"/>
              <w:rPr>
                <w:color w:val="000000" w:themeColor="text1"/>
                <w:sz w:val="18"/>
                <w:highlight w:val="none"/>
              </w:rPr>
            </w:pPr>
            <w:r>
              <w:rPr>
                <w:rFonts w:hint="eastAsia"/>
                <w:color w:val="000000" w:themeColor="text1"/>
                <w:sz w:val="18"/>
                <w:highlight w:val="none"/>
              </w:rPr>
              <w:t xml:space="preserve">分项总报价</w:t>
            </w:r>
            <w:r>
              <w:rPr>
                <w:color w:val="000000" w:themeColor="text1"/>
                <w:sz w:val="18"/>
                <w:highlight w:val="none"/>
              </w:rPr>
            </w:r>
            <w:r>
              <w:rPr>
                <w:color w:val="000000" w:themeColor="text1"/>
                <w:highlight w:val="none"/>
              </w:rPr>
            </w:r>
          </w:p>
        </w:tc>
      </w:tr>
      <w:tr>
        <w:trPr>
          <w:cantSplit/>
          <w:trHeight w:val="717"/>
        </w:trPr>
        <w:tc>
          <w:tcPr>
            <w:tcMar>
              <w:left w:w="15" w:type="dxa"/>
              <w:top w:w="15" w:type="dxa"/>
              <w:right w:w="15" w:type="dxa"/>
              <w:bottom w:w="0" w:type="dxa"/>
            </w:tcMar>
            <w:tcW w:w="420" w:type="dxa"/>
            <w:vAlign w:val="center"/>
            <w:textDirection w:val="lrTb"/>
            <w:noWrap/>
          </w:tcPr>
          <w:p>
            <w:pPr>
              <w:pStyle w:val="933"/>
              <w:spacing w:before="5"/>
              <w:tabs>
                <w:tab w:val="clear" w:pos="4153" w:leader="none"/>
                <w:tab w:val="clear" w:pos="8306" w:leader="none"/>
              </w:tabs>
              <w:rPr>
                <w:rFonts w:ascii="宋体"/>
                <w:color w:val="000000" w:themeColor="text1"/>
                <w:highlight w:val="none"/>
              </w:rPr>
              <w:pBdr>
                <w:bottom w:val="none" w:color="000000" w:sz="0" w:space="0"/>
              </w:pBdr>
            </w:pPr>
            <w:r>
              <w:rPr>
                <w:rFonts w:hint="eastAsia" w:ascii="宋体"/>
                <w:color w:val="000000" w:themeColor="text1"/>
                <w:highlight w:val="none"/>
              </w:rPr>
              <w:t xml:space="preserve">1</w:t>
            </w:r>
            <w:r>
              <w:rPr>
                <w:rFonts w:ascii="宋体"/>
                <w:color w:val="000000" w:themeColor="text1"/>
                <w:highlight w:val="none"/>
              </w:rPr>
            </w:r>
            <w:r>
              <w:rPr>
                <w:color w:val="000000" w:themeColor="text1"/>
                <w:highlight w:val="none"/>
              </w:rPr>
            </w:r>
          </w:p>
        </w:tc>
        <w:tc>
          <w:tcPr>
            <w:tcMar>
              <w:left w:w="15" w:type="dxa"/>
              <w:top w:w="15" w:type="dxa"/>
              <w:right w:w="15" w:type="dxa"/>
              <w:bottom w:w="0" w:type="dxa"/>
            </w:tcMar>
            <w:tcW w:w="1050" w:type="dxa"/>
            <w:vAlign w:val="center"/>
            <w:textDirection w:val="lrTb"/>
            <w:noWrap/>
          </w:tcPr>
          <w:p>
            <w:pPr>
              <w:pStyle w:val="933"/>
              <w:tabs>
                <w:tab w:val="clear" w:pos="4153" w:leader="none"/>
                <w:tab w:val="clear" w:pos="8306" w:leader="none"/>
              </w:tabs>
              <w:rPr>
                <w:rFonts w:ascii="宋体"/>
                <w:bCs/>
                <w:color w:val="000000" w:themeColor="text1"/>
                <w:highlight w:val="none"/>
              </w:rPr>
              <w:pBdr>
                <w:bottom w:val="none" w:color="000000" w:sz="0" w:space="0"/>
              </w:pBdr>
            </w:pPr>
            <w:r>
              <w:rPr>
                <w:rFonts w:ascii="宋体"/>
                <w:bCs/>
                <w:color w:val="000000" w:themeColor="text1"/>
                <w:highlight w:val="none"/>
              </w:rPr>
            </w:r>
            <w:r>
              <w:rPr>
                <w:color w:val="000000" w:themeColor="text1"/>
                <w:highlight w:val="none"/>
              </w:rPr>
            </w:r>
          </w:p>
        </w:tc>
        <w:tc>
          <w:tcPr>
            <w:tcMar>
              <w:left w:w="15" w:type="dxa"/>
              <w:top w:w="15" w:type="dxa"/>
              <w:right w:w="15" w:type="dxa"/>
              <w:bottom w:w="0" w:type="dxa"/>
            </w:tcMar>
            <w:tcW w:w="945" w:type="dxa"/>
            <w:vAlign w:val="center"/>
            <w:textDirection w:val="lrTb"/>
            <w:noWrap w:val="false"/>
          </w:tcPr>
          <w:p>
            <w:pPr>
              <w:pStyle w:val="933"/>
              <w:tabs>
                <w:tab w:val="clear" w:pos="4153" w:leader="none"/>
                <w:tab w:val="clear" w:pos="8306" w:leader="none"/>
              </w:tabs>
              <w:rPr>
                <w:rFonts w:ascii="宋体"/>
                <w:bCs/>
                <w:color w:val="000000" w:themeColor="text1"/>
                <w:highlight w:val="none"/>
              </w:rPr>
              <w:pBdr>
                <w:bottom w:val="none" w:color="000000" w:sz="0" w:space="0"/>
              </w:pBdr>
            </w:pPr>
            <w:r>
              <w:rPr>
                <w:rFonts w:ascii="宋体"/>
                <w:bCs/>
                <w:color w:val="000000" w:themeColor="text1"/>
                <w:highlight w:val="none"/>
              </w:rPr>
            </w:r>
            <w:r>
              <w:rPr>
                <w:color w:val="000000" w:themeColor="text1"/>
                <w:highlight w:val="none"/>
              </w:rPr>
            </w:r>
          </w:p>
        </w:tc>
        <w:tc>
          <w:tcPr>
            <w:tcMar>
              <w:left w:w="15" w:type="dxa"/>
              <w:top w:w="15" w:type="dxa"/>
              <w:right w:w="15" w:type="dxa"/>
              <w:bottom w:w="0" w:type="dxa"/>
            </w:tcMar>
            <w:tcW w:w="3045" w:type="dxa"/>
            <w:vAlign w:val="top"/>
            <w:textDirection w:val="lrTb"/>
            <w:noWrap w:val="false"/>
          </w:tcPr>
          <w:p>
            <w:pPr>
              <w:pStyle w:val="883"/>
              <w:jc w:val="center"/>
              <w:rPr>
                <w:rFonts w:ascii="宋体"/>
                <w:bCs/>
                <w:color w:val="000000" w:themeColor="text1"/>
                <w:sz w:val="18"/>
                <w:highlight w:val="none"/>
              </w:rPr>
            </w:pPr>
            <w:r>
              <w:rPr>
                <w:rFonts w:ascii="宋体"/>
                <w:bCs/>
                <w:color w:val="000000" w:themeColor="text1"/>
                <w:sz w:val="18"/>
                <w:highlight w:val="none"/>
              </w:rPr>
            </w:r>
            <w:r>
              <w:rPr>
                <w:color w:val="000000" w:themeColor="text1"/>
                <w:highlight w:val="none"/>
              </w:rPr>
            </w:r>
          </w:p>
        </w:tc>
        <w:tc>
          <w:tcPr>
            <w:tcMar>
              <w:left w:w="15" w:type="dxa"/>
              <w:top w:w="15" w:type="dxa"/>
              <w:right w:w="15" w:type="dxa"/>
              <w:bottom w:w="0" w:type="dxa"/>
            </w:tcMar>
            <w:tcW w:w="599" w:type="dxa"/>
            <w:vAlign w:val="center"/>
            <w:textDirection w:val="lrTb"/>
            <w:noWrap w:val="false"/>
          </w:tcPr>
          <w:p>
            <w:pPr>
              <w:pStyle w:val="883"/>
              <w:jc w:val="center"/>
              <w:rPr>
                <w:rFonts w:ascii="黑体" w:hAnsi="宋体" w:eastAsia="黑体"/>
                <w:b/>
                <w:bCs/>
                <w:color w:val="000000" w:themeColor="text1"/>
                <w:sz w:val="24"/>
                <w:szCs w:val="24"/>
                <w:highlight w:val="none"/>
              </w:rPr>
            </w:pPr>
            <w:r>
              <w:rPr>
                <w:rFonts w:hint="eastAsia" w:ascii="黑体" w:eastAsia="黑体"/>
                <w:b/>
                <w:bCs/>
                <w:color w:val="000000" w:themeColor="text1"/>
                <w:highlight w:val="none"/>
              </w:rPr>
              <w:t xml:space="preserve">　</w:t>
            </w:r>
            <w:r>
              <w:rPr>
                <w:rFonts w:ascii="黑体" w:hAnsi="宋体" w:eastAsia="黑体"/>
                <w:b/>
                <w:bCs/>
                <w:color w:val="000000" w:themeColor="text1"/>
                <w:sz w:val="24"/>
                <w:szCs w:val="24"/>
                <w:highlight w:val="none"/>
              </w:rPr>
            </w:r>
            <w:r>
              <w:rPr>
                <w:color w:val="000000" w:themeColor="text1"/>
                <w:highlight w:val="none"/>
              </w:rPr>
            </w:r>
          </w:p>
        </w:tc>
        <w:tc>
          <w:tcPr>
            <w:tcW w:w="1276" w:type="dxa"/>
            <w:vAlign w:val="center"/>
            <w:textDirection w:val="lrTb"/>
            <w:noWrap w:val="false"/>
          </w:tcPr>
          <w:p>
            <w:pPr>
              <w:pStyle w:val="883"/>
              <w:jc w:val="center"/>
              <w:rPr>
                <w:rFonts w:ascii="黑体" w:hAnsi="宋体" w:eastAsia="黑体"/>
                <w:b/>
                <w:bCs/>
                <w:color w:val="000000" w:themeColor="text1"/>
                <w:sz w:val="24"/>
                <w:szCs w:val="24"/>
                <w:highlight w:val="none"/>
              </w:rPr>
            </w:pPr>
            <w:r>
              <w:rPr>
                <w:rFonts w:ascii="黑体" w:hAnsi="宋体" w:eastAsia="黑体"/>
                <w:b/>
                <w:bCs/>
                <w:color w:val="000000" w:themeColor="text1"/>
                <w:sz w:val="24"/>
                <w:szCs w:val="24"/>
                <w:highlight w:val="none"/>
              </w:rPr>
            </w:r>
            <w:r>
              <w:rPr>
                <w:color w:val="000000" w:themeColor="text1"/>
                <w:highlight w:val="none"/>
              </w:rPr>
            </w:r>
          </w:p>
        </w:tc>
        <w:tc>
          <w:tcPr>
            <w:tcMar>
              <w:left w:w="15" w:type="dxa"/>
              <w:top w:w="15" w:type="dxa"/>
              <w:right w:w="15" w:type="dxa"/>
              <w:bottom w:w="0" w:type="dxa"/>
            </w:tcMar>
            <w:tcW w:w="992" w:type="dxa"/>
            <w:vAlign w:val="center"/>
            <w:textDirection w:val="lrTb"/>
            <w:noWrap/>
          </w:tcPr>
          <w:p>
            <w:pPr>
              <w:pStyle w:val="883"/>
              <w:jc w:val="center"/>
              <w:rPr>
                <w:rFonts w:ascii="黑体" w:hAnsi="宋体" w:eastAsia="黑体"/>
                <w:b/>
                <w:bCs/>
                <w:color w:val="000000" w:themeColor="text1"/>
                <w:sz w:val="24"/>
                <w:szCs w:val="24"/>
                <w:highlight w:val="none"/>
              </w:rPr>
            </w:pPr>
            <w:r>
              <w:rPr>
                <w:rFonts w:hint="eastAsia" w:ascii="黑体" w:eastAsia="黑体"/>
                <w:b/>
                <w:bCs/>
                <w:color w:val="000000" w:themeColor="text1"/>
                <w:highlight w:val="none"/>
              </w:rPr>
              <w:t xml:space="preserve">　</w:t>
            </w:r>
            <w:r>
              <w:rPr>
                <w:rFonts w:ascii="黑体" w:hAnsi="宋体" w:eastAsia="黑体"/>
                <w:b/>
                <w:bCs/>
                <w:color w:val="000000" w:themeColor="text1"/>
                <w:sz w:val="24"/>
                <w:szCs w:val="24"/>
                <w:highlight w:val="none"/>
              </w:rPr>
            </w:r>
            <w:r>
              <w:rPr>
                <w:color w:val="000000" w:themeColor="text1"/>
                <w:highlight w:val="none"/>
              </w:rPr>
            </w:r>
          </w:p>
        </w:tc>
        <w:tc>
          <w:tcPr>
            <w:tcW w:w="709" w:type="dxa"/>
            <w:vAlign w:val="center"/>
            <w:textDirection w:val="lrTb"/>
            <w:noWrap w:val="false"/>
          </w:tcPr>
          <w:p>
            <w:pPr>
              <w:pStyle w:val="883"/>
              <w:jc w:val="center"/>
              <w:rPr>
                <w:rFonts w:ascii="黑体" w:hAnsi="宋体" w:eastAsia="黑体"/>
                <w:b/>
                <w:bCs/>
                <w:color w:val="000000" w:themeColor="text1"/>
                <w:sz w:val="24"/>
                <w:szCs w:val="24"/>
                <w:highlight w:val="none"/>
              </w:rPr>
            </w:pPr>
            <w:r>
              <w:rPr>
                <w:rFonts w:ascii="黑体" w:hAnsi="宋体" w:eastAsia="黑体"/>
                <w:b/>
                <w:bCs/>
                <w:color w:val="000000" w:themeColor="text1"/>
                <w:sz w:val="24"/>
                <w:szCs w:val="24"/>
                <w:highlight w:val="none"/>
              </w:rPr>
            </w:r>
            <w:r>
              <w:rPr>
                <w:color w:val="000000" w:themeColor="text1"/>
                <w:highlight w:val="none"/>
              </w:rPr>
            </w:r>
          </w:p>
        </w:tc>
        <w:tc>
          <w:tcPr>
            <w:tcW w:w="939" w:type="dxa"/>
            <w:vAlign w:val="center"/>
            <w:textDirection w:val="lrTb"/>
            <w:noWrap w:val="false"/>
          </w:tcPr>
          <w:p>
            <w:pPr>
              <w:pStyle w:val="883"/>
              <w:jc w:val="center"/>
              <w:rPr>
                <w:rFonts w:ascii="黑体" w:hAnsi="宋体" w:eastAsia="黑体"/>
                <w:b/>
                <w:bCs/>
                <w:color w:val="000000" w:themeColor="text1"/>
                <w:sz w:val="24"/>
                <w:szCs w:val="24"/>
                <w:highlight w:val="none"/>
              </w:rPr>
            </w:pPr>
            <w:r>
              <w:rPr>
                <w:rFonts w:ascii="黑体" w:hAnsi="宋体" w:eastAsia="黑体"/>
                <w:b/>
                <w:bCs/>
                <w:color w:val="000000" w:themeColor="text1"/>
                <w:sz w:val="24"/>
                <w:szCs w:val="24"/>
                <w:highlight w:val="none"/>
              </w:rPr>
            </w:r>
            <w:r>
              <w:rPr>
                <w:color w:val="000000" w:themeColor="text1"/>
                <w:highlight w:val="none"/>
              </w:rPr>
            </w:r>
          </w:p>
        </w:tc>
      </w:tr>
      <w:tr>
        <w:trPr>
          <w:cantSplit/>
          <w:trHeight w:val="898"/>
        </w:trPr>
        <w:tc>
          <w:tcPr>
            <w:tcMar>
              <w:left w:w="15" w:type="dxa"/>
              <w:top w:w="15" w:type="dxa"/>
              <w:right w:w="15" w:type="dxa"/>
              <w:bottom w:w="0" w:type="dxa"/>
            </w:tcMar>
            <w:tcW w:w="420" w:type="dxa"/>
            <w:vAlign w:val="center"/>
            <w:textDirection w:val="lrTb"/>
            <w:noWrap/>
          </w:tcPr>
          <w:p>
            <w:pPr>
              <w:pStyle w:val="883"/>
              <w:jc w:val="center"/>
              <w:rPr>
                <w:rFonts w:ascii="宋体"/>
                <w:color w:val="000000" w:themeColor="text1"/>
                <w:sz w:val="18"/>
                <w:highlight w:val="none"/>
              </w:rPr>
            </w:pPr>
            <w:r>
              <w:rPr>
                <w:rFonts w:hint="eastAsia" w:ascii="宋体"/>
                <w:color w:val="000000" w:themeColor="text1"/>
                <w:sz w:val="18"/>
                <w:highlight w:val="none"/>
              </w:rPr>
              <w:t xml:space="preserve">2</w:t>
            </w:r>
            <w:r>
              <w:rPr>
                <w:rFonts w:ascii="宋体"/>
                <w:color w:val="000000" w:themeColor="text1"/>
                <w:sz w:val="18"/>
                <w:highlight w:val="none"/>
              </w:rPr>
            </w:r>
            <w:r>
              <w:rPr>
                <w:color w:val="000000" w:themeColor="text1"/>
                <w:highlight w:val="none"/>
              </w:rPr>
            </w:r>
          </w:p>
        </w:tc>
        <w:tc>
          <w:tcPr>
            <w:tcMar>
              <w:left w:w="15" w:type="dxa"/>
              <w:top w:w="15" w:type="dxa"/>
              <w:right w:w="15" w:type="dxa"/>
              <w:bottom w:w="0" w:type="dxa"/>
            </w:tcMar>
            <w:tcW w:w="1050" w:type="dxa"/>
            <w:vAlign w:val="center"/>
            <w:textDirection w:val="lrTb"/>
            <w:noWrap/>
          </w:tcPr>
          <w:p>
            <w:pPr>
              <w:pStyle w:val="883"/>
              <w:jc w:val="center"/>
              <w:rPr>
                <w:rFonts w:ascii="宋体"/>
                <w:color w:val="000000" w:themeColor="text1"/>
                <w:highlight w:val="none"/>
              </w:rPr>
            </w:pPr>
            <w:r>
              <w:rPr>
                <w:rFonts w:ascii="宋体"/>
                <w:color w:val="000000" w:themeColor="text1"/>
                <w:highlight w:val="none"/>
              </w:rPr>
            </w:r>
            <w:r>
              <w:rPr>
                <w:color w:val="000000" w:themeColor="text1"/>
                <w:highlight w:val="none"/>
              </w:rPr>
            </w:r>
          </w:p>
        </w:tc>
        <w:tc>
          <w:tcPr>
            <w:tcMar>
              <w:left w:w="15" w:type="dxa"/>
              <w:top w:w="15" w:type="dxa"/>
              <w:right w:w="15" w:type="dxa"/>
              <w:bottom w:w="0" w:type="dxa"/>
            </w:tcMar>
            <w:tcW w:w="945" w:type="dxa"/>
            <w:vAlign w:val="center"/>
            <w:textDirection w:val="lrTb"/>
            <w:noWrap w:val="false"/>
          </w:tcPr>
          <w:p>
            <w:pPr>
              <w:pStyle w:val="933"/>
              <w:tabs>
                <w:tab w:val="clear" w:pos="4153" w:leader="none"/>
                <w:tab w:val="clear" w:pos="8306" w:leader="none"/>
              </w:tabs>
              <w:rPr>
                <w:rFonts w:ascii="宋体"/>
                <w:bCs/>
                <w:color w:val="000000" w:themeColor="text1"/>
                <w:highlight w:val="none"/>
              </w:rPr>
              <w:pBdr>
                <w:bottom w:val="none" w:color="000000" w:sz="0" w:space="0"/>
              </w:pBdr>
            </w:pPr>
            <w:r>
              <w:rPr>
                <w:rFonts w:ascii="宋体"/>
                <w:bCs/>
                <w:color w:val="000000" w:themeColor="text1"/>
                <w:highlight w:val="none"/>
              </w:rPr>
            </w:r>
            <w:r>
              <w:rPr>
                <w:color w:val="000000" w:themeColor="text1"/>
                <w:highlight w:val="none"/>
              </w:rPr>
            </w:r>
          </w:p>
        </w:tc>
        <w:tc>
          <w:tcPr>
            <w:tcMar>
              <w:left w:w="15" w:type="dxa"/>
              <w:top w:w="15" w:type="dxa"/>
              <w:right w:w="15" w:type="dxa"/>
              <w:bottom w:w="0" w:type="dxa"/>
            </w:tcMar>
            <w:tcW w:w="3045" w:type="dxa"/>
            <w:vAlign w:val="center"/>
            <w:textDirection w:val="lrTb"/>
            <w:noWrap w:val="false"/>
          </w:tcPr>
          <w:p>
            <w:pPr>
              <w:pStyle w:val="883"/>
              <w:jc w:val="center"/>
              <w:rPr>
                <w:rFonts w:ascii="宋体"/>
                <w:bCs/>
                <w:color w:val="000000" w:themeColor="text1"/>
                <w:sz w:val="18"/>
                <w:highlight w:val="none"/>
              </w:rPr>
            </w:pPr>
            <w:r>
              <w:rPr>
                <w:rFonts w:ascii="宋体"/>
                <w:bCs/>
                <w:color w:val="000000" w:themeColor="text1"/>
                <w:sz w:val="18"/>
                <w:highlight w:val="none"/>
              </w:rPr>
            </w:r>
            <w:r>
              <w:rPr>
                <w:color w:val="000000" w:themeColor="text1"/>
                <w:highlight w:val="none"/>
              </w:rPr>
            </w:r>
          </w:p>
        </w:tc>
        <w:tc>
          <w:tcPr>
            <w:tcMar>
              <w:left w:w="15" w:type="dxa"/>
              <w:top w:w="15" w:type="dxa"/>
              <w:right w:w="15" w:type="dxa"/>
              <w:bottom w:w="0" w:type="dxa"/>
            </w:tcMar>
            <w:tcW w:w="599" w:type="dxa"/>
            <w:vAlign w:val="center"/>
            <w:textDirection w:val="lrTb"/>
            <w:noWrap w:val="false"/>
          </w:tcPr>
          <w:p>
            <w:pPr>
              <w:pStyle w:val="883"/>
              <w:jc w:val="center"/>
              <w:rPr>
                <w:rFonts w:ascii="黑体" w:hAnsi="宋体" w:eastAsia="黑体"/>
                <w:b/>
                <w:bCs/>
                <w:color w:val="000000" w:themeColor="text1"/>
                <w:sz w:val="24"/>
                <w:szCs w:val="24"/>
                <w:highlight w:val="none"/>
              </w:rPr>
            </w:pPr>
            <w:r>
              <w:rPr>
                <w:rFonts w:hint="eastAsia" w:ascii="黑体" w:eastAsia="黑体"/>
                <w:b/>
                <w:bCs/>
                <w:color w:val="000000" w:themeColor="text1"/>
                <w:highlight w:val="none"/>
              </w:rPr>
              <w:t xml:space="preserve">　</w:t>
            </w:r>
            <w:r>
              <w:rPr>
                <w:rFonts w:ascii="黑体" w:hAnsi="宋体" w:eastAsia="黑体"/>
                <w:b/>
                <w:bCs/>
                <w:color w:val="000000" w:themeColor="text1"/>
                <w:sz w:val="24"/>
                <w:szCs w:val="24"/>
                <w:highlight w:val="none"/>
              </w:rPr>
            </w:r>
            <w:r>
              <w:rPr>
                <w:color w:val="000000" w:themeColor="text1"/>
                <w:highlight w:val="none"/>
              </w:rPr>
            </w:r>
          </w:p>
        </w:tc>
        <w:tc>
          <w:tcPr>
            <w:tcW w:w="1276" w:type="dxa"/>
            <w:vAlign w:val="center"/>
            <w:textDirection w:val="lrTb"/>
            <w:noWrap w:val="false"/>
          </w:tcPr>
          <w:p>
            <w:pPr>
              <w:pStyle w:val="883"/>
              <w:jc w:val="center"/>
              <w:rPr>
                <w:rFonts w:ascii="黑体" w:hAnsi="宋体" w:eastAsia="黑体"/>
                <w:b/>
                <w:bCs/>
                <w:color w:val="000000" w:themeColor="text1"/>
                <w:sz w:val="24"/>
                <w:szCs w:val="24"/>
                <w:highlight w:val="none"/>
              </w:rPr>
            </w:pPr>
            <w:r>
              <w:rPr>
                <w:rFonts w:ascii="黑体" w:hAnsi="宋体" w:eastAsia="黑体"/>
                <w:b/>
                <w:bCs/>
                <w:color w:val="000000" w:themeColor="text1"/>
                <w:sz w:val="24"/>
                <w:szCs w:val="24"/>
                <w:highlight w:val="none"/>
              </w:rPr>
            </w:r>
            <w:r>
              <w:rPr>
                <w:color w:val="000000" w:themeColor="text1"/>
                <w:highlight w:val="none"/>
              </w:rPr>
            </w:r>
          </w:p>
        </w:tc>
        <w:tc>
          <w:tcPr>
            <w:tcMar>
              <w:left w:w="15" w:type="dxa"/>
              <w:top w:w="15" w:type="dxa"/>
              <w:right w:w="15" w:type="dxa"/>
              <w:bottom w:w="0" w:type="dxa"/>
            </w:tcMar>
            <w:tcW w:w="992" w:type="dxa"/>
            <w:vAlign w:val="center"/>
            <w:textDirection w:val="lrTb"/>
            <w:noWrap/>
          </w:tcPr>
          <w:p>
            <w:pPr>
              <w:pStyle w:val="883"/>
              <w:jc w:val="center"/>
              <w:rPr>
                <w:rFonts w:ascii="黑体" w:hAnsi="宋体" w:eastAsia="黑体"/>
                <w:b/>
                <w:bCs/>
                <w:color w:val="000000" w:themeColor="text1"/>
                <w:sz w:val="24"/>
                <w:szCs w:val="24"/>
                <w:highlight w:val="none"/>
              </w:rPr>
            </w:pPr>
            <w:r>
              <w:rPr>
                <w:rFonts w:hint="eastAsia" w:ascii="黑体" w:eastAsia="黑体"/>
                <w:b/>
                <w:bCs/>
                <w:color w:val="000000" w:themeColor="text1"/>
                <w:highlight w:val="none"/>
              </w:rPr>
              <w:t xml:space="preserve">　</w:t>
            </w:r>
            <w:r>
              <w:rPr>
                <w:rFonts w:ascii="黑体" w:hAnsi="宋体" w:eastAsia="黑体"/>
                <w:b/>
                <w:bCs/>
                <w:color w:val="000000" w:themeColor="text1"/>
                <w:sz w:val="24"/>
                <w:szCs w:val="24"/>
                <w:highlight w:val="none"/>
              </w:rPr>
            </w:r>
            <w:r>
              <w:rPr>
                <w:color w:val="000000" w:themeColor="text1"/>
                <w:highlight w:val="none"/>
              </w:rPr>
            </w:r>
          </w:p>
        </w:tc>
        <w:tc>
          <w:tcPr>
            <w:tcW w:w="709" w:type="dxa"/>
            <w:vAlign w:val="center"/>
            <w:textDirection w:val="lrTb"/>
            <w:noWrap w:val="false"/>
          </w:tcPr>
          <w:p>
            <w:pPr>
              <w:pStyle w:val="883"/>
              <w:jc w:val="center"/>
              <w:rPr>
                <w:rFonts w:ascii="黑体" w:hAnsi="宋体" w:eastAsia="黑体"/>
                <w:b/>
                <w:bCs/>
                <w:color w:val="000000" w:themeColor="text1"/>
                <w:sz w:val="24"/>
                <w:szCs w:val="24"/>
                <w:highlight w:val="none"/>
              </w:rPr>
            </w:pPr>
            <w:r>
              <w:rPr>
                <w:rFonts w:ascii="黑体" w:hAnsi="宋体" w:eastAsia="黑体"/>
                <w:b/>
                <w:bCs/>
                <w:color w:val="000000" w:themeColor="text1"/>
                <w:sz w:val="24"/>
                <w:szCs w:val="24"/>
                <w:highlight w:val="none"/>
              </w:rPr>
            </w:r>
            <w:r>
              <w:rPr>
                <w:color w:val="000000" w:themeColor="text1"/>
                <w:highlight w:val="none"/>
              </w:rPr>
            </w:r>
          </w:p>
        </w:tc>
        <w:tc>
          <w:tcPr>
            <w:tcW w:w="939" w:type="dxa"/>
            <w:vAlign w:val="center"/>
            <w:textDirection w:val="lrTb"/>
            <w:noWrap w:val="false"/>
          </w:tcPr>
          <w:p>
            <w:pPr>
              <w:pStyle w:val="883"/>
              <w:jc w:val="center"/>
              <w:rPr>
                <w:rFonts w:ascii="黑体" w:hAnsi="宋体" w:eastAsia="黑体"/>
                <w:b/>
                <w:bCs/>
                <w:color w:val="000000" w:themeColor="text1"/>
                <w:sz w:val="24"/>
                <w:szCs w:val="24"/>
                <w:highlight w:val="none"/>
              </w:rPr>
            </w:pPr>
            <w:r>
              <w:rPr>
                <w:rFonts w:ascii="黑体" w:hAnsi="宋体" w:eastAsia="黑体"/>
                <w:b/>
                <w:bCs/>
                <w:color w:val="000000" w:themeColor="text1"/>
                <w:sz w:val="24"/>
                <w:szCs w:val="24"/>
                <w:highlight w:val="none"/>
              </w:rPr>
            </w:r>
            <w:r>
              <w:rPr>
                <w:color w:val="000000" w:themeColor="text1"/>
                <w:highlight w:val="none"/>
              </w:rPr>
            </w:r>
          </w:p>
        </w:tc>
      </w:tr>
      <w:tr>
        <w:trPr>
          <w:cantSplit/>
          <w:trHeight w:val="834"/>
        </w:trPr>
        <w:tc>
          <w:tcPr>
            <w:tcMar>
              <w:left w:w="15" w:type="dxa"/>
              <w:top w:w="15" w:type="dxa"/>
              <w:right w:w="15" w:type="dxa"/>
              <w:bottom w:w="0" w:type="dxa"/>
            </w:tcMar>
            <w:tcW w:w="420" w:type="dxa"/>
            <w:vAlign w:val="center"/>
            <w:textDirection w:val="lrTb"/>
            <w:noWrap/>
          </w:tcPr>
          <w:p>
            <w:pPr>
              <w:pStyle w:val="883"/>
              <w:jc w:val="center"/>
              <w:rPr>
                <w:rFonts w:hint="eastAsia" w:ascii="宋体"/>
                <w:color w:val="000000" w:themeColor="text1"/>
                <w:sz w:val="18"/>
                <w:highlight w:val="none"/>
              </w:rPr>
            </w:pPr>
            <w:r>
              <w:rPr>
                <w:rFonts w:hint="eastAsia" w:ascii="宋体"/>
                <w:color w:val="000000" w:themeColor="text1"/>
                <w:sz w:val="18"/>
                <w:highlight w:val="none"/>
              </w:rPr>
            </w:r>
            <w:r>
              <w:rPr>
                <w:color w:val="000000" w:themeColor="text1"/>
                <w:highlight w:val="none"/>
              </w:rPr>
            </w:r>
          </w:p>
        </w:tc>
        <w:tc>
          <w:tcPr>
            <w:tcMar>
              <w:left w:w="15" w:type="dxa"/>
              <w:top w:w="15" w:type="dxa"/>
              <w:right w:w="15" w:type="dxa"/>
              <w:bottom w:w="0" w:type="dxa"/>
            </w:tcMar>
            <w:tcW w:w="1050" w:type="dxa"/>
            <w:vAlign w:val="center"/>
            <w:textDirection w:val="lrTb"/>
            <w:noWrap/>
          </w:tcPr>
          <w:p>
            <w:pPr>
              <w:pStyle w:val="883"/>
              <w:jc w:val="center"/>
              <w:rPr>
                <w:rFonts w:ascii="宋体"/>
                <w:color w:val="000000" w:themeColor="text1"/>
                <w:highlight w:val="none"/>
              </w:rPr>
            </w:pPr>
            <w:r>
              <w:rPr>
                <w:rFonts w:hint="eastAsia" w:ascii="宋体"/>
                <w:color w:val="000000" w:themeColor="text1"/>
                <w:highlight w:val="none"/>
              </w:rPr>
              <w:t xml:space="preserve">......</w:t>
            </w:r>
            <w:r>
              <w:rPr>
                <w:rFonts w:ascii="宋体"/>
                <w:color w:val="000000" w:themeColor="text1"/>
                <w:highlight w:val="none"/>
              </w:rPr>
            </w:r>
            <w:r>
              <w:rPr>
                <w:color w:val="000000" w:themeColor="text1"/>
                <w:highlight w:val="none"/>
              </w:rPr>
            </w:r>
          </w:p>
        </w:tc>
        <w:tc>
          <w:tcPr>
            <w:tcMar>
              <w:left w:w="15" w:type="dxa"/>
              <w:top w:w="15" w:type="dxa"/>
              <w:right w:w="15" w:type="dxa"/>
              <w:bottom w:w="0" w:type="dxa"/>
            </w:tcMar>
            <w:tcW w:w="945" w:type="dxa"/>
            <w:vAlign w:val="center"/>
            <w:textDirection w:val="lrTb"/>
            <w:noWrap w:val="false"/>
          </w:tcPr>
          <w:p>
            <w:pPr>
              <w:pStyle w:val="933"/>
              <w:tabs>
                <w:tab w:val="clear" w:pos="4153" w:leader="none"/>
                <w:tab w:val="clear" w:pos="8306" w:leader="none"/>
              </w:tabs>
              <w:rPr>
                <w:rFonts w:ascii="宋体"/>
                <w:bCs/>
                <w:color w:val="000000" w:themeColor="text1"/>
                <w:highlight w:val="none"/>
              </w:rPr>
              <w:pBdr>
                <w:bottom w:val="none" w:color="000000" w:sz="0" w:space="0"/>
              </w:pBdr>
            </w:pPr>
            <w:r>
              <w:rPr>
                <w:rFonts w:ascii="宋体"/>
                <w:bCs/>
                <w:color w:val="000000" w:themeColor="text1"/>
                <w:highlight w:val="none"/>
              </w:rPr>
            </w:r>
            <w:r>
              <w:rPr>
                <w:color w:val="000000" w:themeColor="text1"/>
                <w:highlight w:val="none"/>
              </w:rPr>
            </w:r>
          </w:p>
        </w:tc>
        <w:tc>
          <w:tcPr>
            <w:tcMar>
              <w:left w:w="15" w:type="dxa"/>
              <w:top w:w="15" w:type="dxa"/>
              <w:right w:w="15" w:type="dxa"/>
              <w:bottom w:w="0" w:type="dxa"/>
            </w:tcMar>
            <w:tcW w:w="3045" w:type="dxa"/>
            <w:vAlign w:val="center"/>
            <w:textDirection w:val="lrTb"/>
            <w:noWrap w:val="false"/>
          </w:tcPr>
          <w:p>
            <w:pPr>
              <w:pStyle w:val="883"/>
              <w:jc w:val="center"/>
              <w:rPr>
                <w:rFonts w:ascii="宋体"/>
                <w:bCs/>
                <w:color w:val="000000" w:themeColor="text1"/>
                <w:sz w:val="18"/>
                <w:highlight w:val="none"/>
              </w:rPr>
            </w:pPr>
            <w:r>
              <w:rPr>
                <w:rFonts w:ascii="宋体"/>
                <w:bCs/>
                <w:color w:val="000000" w:themeColor="text1"/>
                <w:sz w:val="18"/>
                <w:highlight w:val="none"/>
              </w:rPr>
            </w:r>
            <w:r>
              <w:rPr>
                <w:color w:val="000000" w:themeColor="text1"/>
                <w:highlight w:val="none"/>
              </w:rPr>
            </w:r>
          </w:p>
        </w:tc>
        <w:tc>
          <w:tcPr>
            <w:tcMar>
              <w:left w:w="15" w:type="dxa"/>
              <w:top w:w="15" w:type="dxa"/>
              <w:right w:w="15" w:type="dxa"/>
              <w:bottom w:w="0" w:type="dxa"/>
            </w:tcMar>
            <w:tcW w:w="599" w:type="dxa"/>
            <w:vAlign w:val="center"/>
            <w:textDirection w:val="lrTb"/>
            <w:noWrap w:val="false"/>
          </w:tcPr>
          <w:p>
            <w:pPr>
              <w:pStyle w:val="883"/>
              <w:jc w:val="center"/>
              <w:rPr>
                <w:rFonts w:hint="eastAsia" w:ascii="黑体" w:eastAsia="黑体"/>
                <w:b/>
                <w:bCs/>
                <w:color w:val="000000" w:themeColor="text1"/>
                <w:highlight w:val="none"/>
              </w:rPr>
            </w:pPr>
            <w:r>
              <w:rPr>
                <w:rFonts w:hint="eastAsia" w:ascii="黑体" w:eastAsia="黑体"/>
                <w:b/>
                <w:bCs/>
                <w:color w:val="000000" w:themeColor="text1"/>
                <w:highlight w:val="none"/>
              </w:rPr>
            </w:r>
            <w:r>
              <w:rPr>
                <w:color w:val="000000" w:themeColor="text1"/>
                <w:highlight w:val="none"/>
              </w:rPr>
            </w:r>
          </w:p>
        </w:tc>
        <w:tc>
          <w:tcPr>
            <w:tcW w:w="1276" w:type="dxa"/>
            <w:vAlign w:val="center"/>
            <w:textDirection w:val="lrTb"/>
            <w:noWrap w:val="false"/>
          </w:tcPr>
          <w:p>
            <w:pPr>
              <w:pStyle w:val="883"/>
              <w:jc w:val="center"/>
              <w:rPr>
                <w:rFonts w:ascii="黑体" w:hAnsi="宋体" w:eastAsia="黑体"/>
                <w:b/>
                <w:bCs/>
                <w:color w:val="000000" w:themeColor="text1"/>
                <w:sz w:val="24"/>
                <w:szCs w:val="24"/>
                <w:highlight w:val="none"/>
              </w:rPr>
            </w:pPr>
            <w:r>
              <w:rPr>
                <w:rFonts w:ascii="黑体" w:hAnsi="宋体" w:eastAsia="黑体"/>
                <w:b/>
                <w:bCs/>
                <w:color w:val="000000" w:themeColor="text1"/>
                <w:sz w:val="24"/>
                <w:szCs w:val="24"/>
                <w:highlight w:val="none"/>
              </w:rPr>
            </w:r>
            <w:r>
              <w:rPr>
                <w:color w:val="000000" w:themeColor="text1"/>
                <w:highlight w:val="none"/>
              </w:rPr>
            </w:r>
          </w:p>
        </w:tc>
        <w:tc>
          <w:tcPr>
            <w:tcMar>
              <w:left w:w="15" w:type="dxa"/>
              <w:top w:w="15" w:type="dxa"/>
              <w:right w:w="15" w:type="dxa"/>
              <w:bottom w:w="0" w:type="dxa"/>
            </w:tcMar>
            <w:tcW w:w="992" w:type="dxa"/>
            <w:vAlign w:val="center"/>
            <w:textDirection w:val="lrTb"/>
            <w:noWrap/>
          </w:tcPr>
          <w:p>
            <w:pPr>
              <w:pStyle w:val="883"/>
              <w:jc w:val="center"/>
              <w:rPr>
                <w:rFonts w:hint="eastAsia" w:ascii="黑体" w:eastAsia="黑体"/>
                <w:b/>
                <w:bCs/>
                <w:color w:val="000000" w:themeColor="text1"/>
                <w:highlight w:val="none"/>
              </w:rPr>
            </w:pPr>
            <w:r>
              <w:rPr>
                <w:rFonts w:hint="eastAsia" w:ascii="黑体" w:eastAsia="黑体"/>
                <w:b/>
                <w:bCs/>
                <w:color w:val="000000" w:themeColor="text1"/>
                <w:highlight w:val="none"/>
              </w:rPr>
            </w:r>
            <w:r>
              <w:rPr>
                <w:color w:val="000000" w:themeColor="text1"/>
                <w:highlight w:val="none"/>
              </w:rPr>
            </w:r>
          </w:p>
        </w:tc>
        <w:tc>
          <w:tcPr>
            <w:tcW w:w="709" w:type="dxa"/>
            <w:vAlign w:val="center"/>
            <w:textDirection w:val="lrTb"/>
            <w:noWrap w:val="false"/>
          </w:tcPr>
          <w:p>
            <w:pPr>
              <w:pStyle w:val="883"/>
              <w:jc w:val="center"/>
              <w:rPr>
                <w:rFonts w:ascii="黑体" w:hAnsi="宋体" w:eastAsia="黑体"/>
                <w:b/>
                <w:bCs/>
                <w:color w:val="000000" w:themeColor="text1"/>
                <w:sz w:val="24"/>
                <w:szCs w:val="24"/>
                <w:highlight w:val="none"/>
              </w:rPr>
            </w:pPr>
            <w:r>
              <w:rPr>
                <w:rFonts w:ascii="黑体" w:hAnsi="宋体" w:eastAsia="黑体"/>
                <w:b/>
                <w:bCs/>
                <w:color w:val="000000" w:themeColor="text1"/>
                <w:sz w:val="24"/>
                <w:szCs w:val="24"/>
                <w:highlight w:val="none"/>
              </w:rPr>
            </w:r>
            <w:r>
              <w:rPr>
                <w:color w:val="000000" w:themeColor="text1"/>
                <w:highlight w:val="none"/>
              </w:rPr>
            </w:r>
          </w:p>
        </w:tc>
        <w:tc>
          <w:tcPr>
            <w:tcW w:w="939" w:type="dxa"/>
            <w:vAlign w:val="center"/>
            <w:textDirection w:val="lrTb"/>
            <w:noWrap w:val="false"/>
          </w:tcPr>
          <w:p>
            <w:pPr>
              <w:pStyle w:val="883"/>
              <w:jc w:val="center"/>
              <w:rPr>
                <w:rFonts w:ascii="黑体" w:hAnsi="宋体" w:eastAsia="黑体"/>
                <w:b/>
                <w:bCs/>
                <w:color w:val="000000" w:themeColor="text1"/>
                <w:sz w:val="24"/>
                <w:szCs w:val="24"/>
                <w:highlight w:val="none"/>
              </w:rPr>
            </w:pPr>
            <w:r>
              <w:rPr>
                <w:rFonts w:ascii="黑体" w:hAnsi="宋体" w:eastAsia="黑体"/>
                <w:b/>
                <w:bCs/>
                <w:color w:val="000000" w:themeColor="text1"/>
                <w:sz w:val="24"/>
                <w:szCs w:val="24"/>
                <w:highlight w:val="none"/>
              </w:rPr>
            </w:r>
            <w:r>
              <w:rPr>
                <w:color w:val="000000" w:themeColor="text1"/>
                <w:highlight w:val="none"/>
              </w:rPr>
            </w:r>
          </w:p>
        </w:tc>
      </w:tr>
      <w:tr>
        <w:trPr>
          <w:cantSplit/>
          <w:trHeight w:val="200"/>
        </w:trPr>
        <w:tc>
          <w:tcPr>
            <w:gridSpan w:val="9"/>
            <w:shd w:val="clear" w:color="auto" w:fill="bebebe"/>
            <w:tcMar>
              <w:left w:w="15" w:type="dxa"/>
              <w:top w:w="15" w:type="dxa"/>
              <w:right w:w="15" w:type="dxa"/>
              <w:bottom w:w="0" w:type="dxa"/>
            </w:tcMar>
            <w:tcW w:w="9975" w:type="dxa"/>
            <w:vAlign w:val="center"/>
            <w:textDirection w:val="lrTb"/>
            <w:noWrap/>
          </w:tcPr>
          <w:p>
            <w:pPr>
              <w:pStyle w:val="883"/>
              <w:spacing w:before="5"/>
              <w:rPr>
                <w:rFonts w:hint="eastAsia"/>
                <w:b/>
                <w:bCs/>
                <w:color w:val="000000" w:themeColor="text1"/>
                <w:sz w:val="24"/>
                <w:szCs w:val="24"/>
                <w:highlight w:val="none"/>
              </w:rPr>
            </w:pPr>
            <w:r>
              <w:rPr>
                <w:rFonts w:hint="eastAsia"/>
                <w:b/>
                <w:bCs/>
                <w:color w:val="000000" w:themeColor="text1"/>
                <w:sz w:val="24"/>
                <w:szCs w:val="24"/>
                <w:highlight w:val="none"/>
              </w:rPr>
            </w:r>
            <w:r>
              <w:rPr>
                <w:color w:val="000000" w:themeColor="text1"/>
                <w:highlight w:val="none"/>
              </w:rPr>
            </w:r>
          </w:p>
        </w:tc>
      </w:tr>
      <w:tr>
        <w:trPr>
          <w:cantSplit/>
          <w:trHeight w:val="495"/>
        </w:trPr>
        <w:tc>
          <w:tcPr>
            <w:gridSpan w:val="9"/>
            <w:tcMar>
              <w:left w:w="15" w:type="dxa"/>
              <w:top w:w="15" w:type="dxa"/>
              <w:right w:w="15" w:type="dxa"/>
              <w:bottom w:w="0" w:type="dxa"/>
            </w:tcMar>
            <w:tcW w:w="9975" w:type="dxa"/>
            <w:vAlign w:val="center"/>
            <w:textDirection w:val="lrTb"/>
            <w:noWrap/>
          </w:tcPr>
          <w:p>
            <w:pPr>
              <w:pStyle w:val="883"/>
              <w:spacing w:before="5"/>
              <w:rPr>
                <w:rFonts w:hint="eastAsia"/>
                <w:color w:val="000000" w:themeColor="text1"/>
                <w:sz w:val="18"/>
                <w:highlight w:val="none"/>
              </w:rPr>
            </w:pPr>
            <w:r>
              <w:rPr>
                <w:rFonts w:hint="eastAsia"/>
                <w:b/>
                <w:bCs/>
                <w:color w:val="000000" w:themeColor="text1"/>
                <w:sz w:val="24"/>
                <w:szCs w:val="24"/>
                <w:highlight w:val="none"/>
              </w:rPr>
              <w:t xml:space="preserve">服务部分</w:t>
            </w:r>
            <w:r>
              <w:rPr>
                <w:rFonts w:hint="eastAsia"/>
                <w:color w:val="000000" w:themeColor="text1"/>
                <w:sz w:val="18"/>
                <w:highlight w:val="none"/>
              </w:rPr>
            </w:r>
            <w:r>
              <w:rPr>
                <w:color w:val="000000" w:themeColor="text1"/>
                <w:highlight w:val="none"/>
              </w:rPr>
            </w:r>
          </w:p>
        </w:tc>
      </w:tr>
      <w:tr>
        <w:trPr>
          <w:cantSplit/>
          <w:trHeight w:val="495"/>
        </w:trPr>
        <w:tc>
          <w:tcPr>
            <w:tcMar>
              <w:left w:w="15" w:type="dxa"/>
              <w:top w:w="15" w:type="dxa"/>
              <w:right w:w="15" w:type="dxa"/>
              <w:bottom w:w="0" w:type="dxa"/>
            </w:tcMar>
            <w:tcW w:w="420" w:type="dxa"/>
            <w:vAlign w:val="center"/>
            <w:textDirection w:val="lrTb"/>
            <w:noWrap/>
          </w:tcPr>
          <w:p>
            <w:pPr>
              <w:pStyle w:val="883"/>
              <w:jc w:val="center"/>
              <w:spacing w:before="5"/>
              <w:rPr>
                <w:color w:val="000000" w:themeColor="text1"/>
                <w:sz w:val="18"/>
                <w:highlight w:val="none"/>
              </w:rPr>
            </w:pPr>
            <w:r>
              <w:rPr>
                <w:rFonts w:hint="eastAsia"/>
                <w:color w:val="000000" w:themeColor="text1"/>
                <w:sz w:val="18"/>
                <w:highlight w:val="none"/>
              </w:rPr>
              <w:t xml:space="preserve">序号</w:t>
            </w:r>
            <w:r>
              <w:rPr>
                <w:color w:val="000000" w:themeColor="text1"/>
                <w:sz w:val="18"/>
                <w:highlight w:val="none"/>
              </w:rPr>
            </w:r>
            <w:r>
              <w:rPr>
                <w:color w:val="000000" w:themeColor="text1"/>
                <w:highlight w:val="none"/>
              </w:rPr>
            </w:r>
          </w:p>
        </w:tc>
        <w:tc>
          <w:tcPr>
            <w:gridSpan w:val="4"/>
            <w:tcMar>
              <w:left w:w="15" w:type="dxa"/>
              <w:top w:w="15" w:type="dxa"/>
              <w:right w:w="15" w:type="dxa"/>
              <w:bottom w:w="0" w:type="dxa"/>
            </w:tcMar>
            <w:tcW w:w="5639" w:type="dxa"/>
            <w:vAlign w:val="center"/>
            <w:textDirection w:val="lrTb"/>
            <w:noWrap/>
          </w:tcPr>
          <w:p>
            <w:pPr>
              <w:pStyle w:val="883"/>
              <w:jc w:val="center"/>
              <w:spacing w:before="5"/>
              <w:rPr>
                <w:rFonts w:hint="eastAsia"/>
                <w:color w:val="000000" w:themeColor="text1"/>
                <w:sz w:val="18"/>
                <w:highlight w:val="none"/>
              </w:rPr>
            </w:pPr>
            <w:r>
              <w:rPr>
                <w:rFonts w:hint="eastAsia"/>
                <w:color w:val="000000" w:themeColor="text1"/>
                <w:sz w:val="18"/>
                <w:highlight w:val="none"/>
              </w:rPr>
              <w:t xml:space="preserve">服务内容</w:t>
            </w:r>
            <w:r>
              <w:rPr>
                <w:color w:val="000000" w:themeColor="text1"/>
                <w:highlight w:val="none"/>
              </w:rPr>
            </w:r>
          </w:p>
        </w:tc>
        <w:tc>
          <w:tcPr>
            <w:tcW w:w="1276" w:type="dxa"/>
            <w:vAlign w:val="center"/>
            <w:textDirection w:val="lrTb"/>
            <w:noWrap w:val="false"/>
          </w:tcPr>
          <w:p>
            <w:pPr>
              <w:pStyle w:val="883"/>
              <w:jc w:val="center"/>
              <w:spacing w:before="5"/>
              <w:rPr>
                <w:rFonts w:hint="eastAsia"/>
                <w:color w:val="000000" w:themeColor="text1"/>
                <w:sz w:val="18"/>
                <w:highlight w:val="none"/>
              </w:rPr>
            </w:pPr>
            <w:r>
              <w:rPr>
                <w:rFonts w:hint="eastAsia"/>
                <w:color w:val="000000" w:themeColor="text1"/>
                <w:sz w:val="18"/>
                <w:highlight w:val="none"/>
              </w:rPr>
              <w:t xml:space="preserve">数量</w:t>
            </w:r>
            <w:r>
              <w:rPr>
                <w:color w:val="000000" w:themeColor="text1"/>
                <w:highlight w:val="none"/>
              </w:rPr>
            </w:r>
          </w:p>
        </w:tc>
        <w:tc>
          <w:tcPr>
            <w:tcMar>
              <w:left w:w="15" w:type="dxa"/>
              <w:top w:w="15" w:type="dxa"/>
              <w:right w:w="15" w:type="dxa"/>
              <w:bottom w:w="0" w:type="dxa"/>
            </w:tcMar>
            <w:tcW w:w="992" w:type="dxa"/>
            <w:vAlign w:val="center"/>
            <w:textDirection w:val="lrTb"/>
            <w:noWrap/>
          </w:tcPr>
          <w:p>
            <w:pPr>
              <w:pStyle w:val="883"/>
              <w:jc w:val="center"/>
              <w:spacing w:before="5"/>
              <w:rPr>
                <w:rFonts w:hint="eastAsia"/>
                <w:color w:val="000000" w:themeColor="text1"/>
                <w:sz w:val="18"/>
                <w:highlight w:val="none"/>
              </w:rPr>
            </w:pPr>
            <w:r>
              <w:rPr>
                <w:rFonts w:hint="eastAsia"/>
                <w:color w:val="000000" w:themeColor="text1"/>
                <w:sz w:val="18"/>
                <w:highlight w:val="none"/>
              </w:rPr>
              <w:t xml:space="preserve">单位</w:t>
            </w:r>
            <w:r>
              <w:rPr>
                <w:color w:val="000000" w:themeColor="text1"/>
                <w:highlight w:val="none"/>
              </w:rPr>
            </w:r>
          </w:p>
        </w:tc>
        <w:tc>
          <w:tcPr>
            <w:tcW w:w="709" w:type="dxa"/>
            <w:vAlign w:val="center"/>
            <w:textDirection w:val="lrTb"/>
            <w:noWrap w:val="false"/>
          </w:tcPr>
          <w:p>
            <w:pPr>
              <w:pStyle w:val="883"/>
              <w:jc w:val="center"/>
              <w:spacing w:before="5"/>
              <w:rPr>
                <w:color w:val="000000" w:themeColor="text1"/>
                <w:sz w:val="18"/>
                <w:highlight w:val="none"/>
              </w:rPr>
            </w:pPr>
            <w:r>
              <w:rPr>
                <w:rFonts w:hint="eastAsia"/>
                <w:color w:val="000000" w:themeColor="text1"/>
                <w:sz w:val="18"/>
                <w:highlight w:val="none"/>
              </w:rPr>
              <w:t xml:space="preserve">单报价</w:t>
            </w:r>
            <w:r>
              <w:rPr>
                <w:color w:val="000000" w:themeColor="text1"/>
                <w:sz w:val="18"/>
                <w:highlight w:val="none"/>
              </w:rPr>
            </w:r>
            <w:r>
              <w:rPr>
                <w:color w:val="000000" w:themeColor="text1"/>
                <w:highlight w:val="none"/>
              </w:rPr>
            </w:r>
          </w:p>
        </w:tc>
        <w:tc>
          <w:tcPr>
            <w:tcW w:w="939" w:type="dxa"/>
            <w:vAlign w:val="center"/>
            <w:textDirection w:val="lrTb"/>
            <w:noWrap w:val="false"/>
          </w:tcPr>
          <w:p>
            <w:pPr>
              <w:pStyle w:val="883"/>
              <w:jc w:val="center"/>
              <w:spacing w:before="5"/>
              <w:rPr>
                <w:color w:val="000000" w:themeColor="text1"/>
                <w:sz w:val="18"/>
                <w:highlight w:val="none"/>
              </w:rPr>
            </w:pPr>
            <w:r>
              <w:rPr>
                <w:rFonts w:hint="eastAsia"/>
                <w:color w:val="000000" w:themeColor="text1"/>
                <w:sz w:val="18"/>
                <w:highlight w:val="none"/>
              </w:rPr>
              <w:t xml:space="preserve">分项总报价</w:t>
            </w:r>
            <w:r>
              <w:rPr>
                <w:color w:val="000000" w:themeColor="text1"/>
                <w:sz w:val="18"/>
                <w:highlight w:val="none"/>
              </w:rPr>
            </w:r>
            <w:r>
              <w:rPr>
                <w:color w:val="000000" w:themeColor="text1"/>
                <w:highlight w:val="none"/>
              </w:rPr>
            </w:r>
          </w:p>
        </w:tc>
      </w:tr>
      <w:tr>
        <w:trPr>
          <w:cantSplit/>
          <w:trHeight w:val="717"/>
        </w:trPr>
        <w:tc>
          <w:tcPr>
            <w:tcMar>
              <w:left w:w="15" w:type="dxa"/>
              <w:top w:w="15" w:type="dxa"/>
              <w:right w:w="15" w:type="dxa"/>
              <w:bottom w:w="0" w:type="dxa"/>
            </w:tcMar>
            <w:tcW w:w="420" w:type="dxa"/>
            <w:vAlign w:val="center"/>
            <w:textDirection w:val="lrTb"/>
            <w:noWrap/>
          </w:tcPr>
          <w:p>
            <w:pPr>
              <w:pStyle w:val="933"/>
              <w:spacing w:before="5"/>
              <w:tabs>
                <w:tab w:val="clear" w:pos="4153" w:leader="none"/>
                <w:tab w:val="clear" w:pos="8306" w:leader="none"/>
              </w:tabs>
              <w:rPr>
                <w:rFonts w:ascii="宋体"/>
                <w:color w:val="000000" w:themeColor="text1"/>
                <w:highlight w:val="none"/>
              </w:rPr>
              <w:pBdr>
                <w:bottom w:val="none" w:color="000000" w:sz="0" w:space="0"/>
              </w:pBdr>
            </w:pPr>
            <w:r>
              <w:rPr>
                <w:rFonts w:hint="eastAsia" w:ascii="宋体"/>
                <w:color w:val="000000" w:themeColor="text1"/>
                <w:highlight w:val="none"/>
              </w:rPr>
              <w:t xml:space="preserve">1</w:t>
            </w:r>
            <w:r>
              <w:rPr>
                <w:rFonts w:ascii="宋体"/>
                <w:color w:val="000000" w:themeColor="text1"/>
                <w:highlight w:val="none"/>
              </w:rPr>
            </w:r>
            <w:r>
              <w:rPr>
                <w:color w:val="000000" w:themeColor="text1"/>
                <w:highlight w:val="none"/>
              </w:rPr>
            </w:r>
          </w:p>
        </w:tc>
        <w:tc>
          <w:tcPr>
            <w:gridSpan w:val="4"/>
            <w:tcMar>
              <w:left w:w="15" w:type="dxa"/>
              <w:top w:w="15" w:type="dxa"/>
              <w:right w:w="15" w:type="dxa"/>
              <w:bottom w:w="0" w:type="dxa"/>
            </w:tcMar>
            <w:tcW w:w="5639" w:type="dxa"/>
            <w:vAlign w:val="center"/>
            <w:textDirection w:val="lrTb"/>
            <w:noWrap/>
          </w:tcPr>
          <w:p>
            <w:pPr>
              <w:pStyle w:val="883"/>
              <w:jc w:val="center"/>
              <w:rPr>
                <w:rFonts w:ascii="黑体" w:hAnsi="宋体" w:eastAsia="黑体"/>
                <w:b/>
                <w:bCs/>
                <w:color w:val="000000" w:themeColor="text1"/>
                <w:sz w:val="24"/>
                <w:szCs w:val="24"/>
                <w:highlight w:val="none"/>
              </w:rPr>
            </w:pPr>
            <w:r>
              <w:rPr>
                <w:rFonts w:hint="eastAsia" w:ascii="黑体" w:eastAsia="黑体"/>
                <w:b/>
                <w:bCs/>
                <w:color w:val="000000" w:themeColor="text1"/>
                <w:highlight w:val="none"/>
              </w:rPr>
              <w:t xml:space="preserve">　</w:t>
            </w:r>
            <w:r>
              <w:rPr>
                <w:rFonts w:ascii="黑体" w:hAnsi="宋体" w:eastAsia="黑体"/>
                <w:b/>
                <w:bCs/>
                <w:color w:val="000000" w:themeColor="text1"/>
                <w:sz w:val="24"/>
                <w:szCs w:val="24"/>
                <w:highlight w:val="none"/>
              </w:rPr>
            </w:r>
            <w:r>
              <w:rPr>
                <w:color w:val="000000" w:themeColor="text1"/>
                <w:highlight w:val="none"/>
              </w:rPr>
            </w:r>
          </w:p>
        </w:tc>
        <w:tc>
          <w:tcPr>
            <w:tcW w:w="1276" w:type="dxa"/>
            <w:vAlign w:val="center"/>
            <w:textDirection w:val="lrTb"/>
            <w:noWrap w:val="false"/>
          </w:tcPr>
          <w:p>
            <w:pPr>
              <w:pStyle w:val="883"/>
              <w:jc w:val="center"/>
              <w:rPr>
                <w:rFonts w:ascii="黑体" w:hAnsi="宋体" w:eastAsia="黑体"/>
                <w:b/>
                <w:bCs/>
                <w:color w:val="000000" w:themeColor="text1"/>
                <w:sz w:val="24"/>
                <w:szCs w:val="24"/>
                <w:highlight w:val="none"/>
              </w:rPr>
            </w:pPr>
            <w:r>
              <w:rPr>
                <w:rFonts w:ascii="黑体" w:hAnsi="宋体" w:eastAsia="黑体"/>
                <w:b/>
                <w:bCs/>
                <w:color w:val="000000" w:themeColor="text1"/>
                <w:sz w:val="24"/>
                <w:szCs w:val="24"/>
                <w:highlight w:val="none"/>
              </w:rPr>
            </w:r>
            <w:r>
              <w:rPr>
                <w:color w:val="000000" w:themeColor="text1"/>
                <w:highlight w:val="none"/>
              </w:rPr>
            </w:r>
          </w:p>
        </w:tc>
        <w:tc>
          <w:tcPr>
            <w:tcMar>
              <w:left w:w="15" w:type="dxa"/>
              <w:top w:w="15" w:type="dxa"/>
              <w:right w:w="15" w:type="dxa"/>
              <w:bottom w:w="0" w:type="dxa"/>
            </w:tcMar>
            <w:tcW w:w="992" w:type="dxa"/>
            <w:vAlign w:val="center"/>
            <w:textDirection w:val="lrTb"/>
            <w:noWrap/>
          </w:tcPr>
          <w:p>
            <w:pPr>
              <w:pStyle w:val="883"/>
              <w:jc w:val="center"/>
              <w:rPr>
                <w:rFonts w:ascii="黑体" w:hAnsi="宋体" w:eastAsia="黑体"/>
                <w:b/>
                <w:bCs/>
                <w:color w:val="000000" w:themeColor="text1"/>
                <w:sz w:val="24"/>
                <w:szCs w:val="24"/>
                <w:highlight w:val="none"/>
              </w:rPr>
            </w:pPr>
            <w:r>
              <w:rPr>
                <w:rFonts w:hint="eastAsia" w:ascii="黑体" w:eastAsia="黑体"/>
                <w:b/>
                <w:bCs/>
                <w:color w:val="000000" w:themeColor="text1"/>
                <w:highlight w:val="none"/>
              </w:rPr>
              <w:t xml:space="preserve">　</w:t>
            </w:r>
            <w:r>
              <w:rPr>
                <w:rFonts w:ascii="黑体" w:hAnsi="宋体" w:eastAsia="黑体"/>
                <w:b/>
                <w:bCs/>
                <w:color w:val="000000" w:themeColor="text1"/>
                <w:sz w:val="24"/>
                <w:szCs w:val="24"/>
                <w:highlight w:val="none"/>
              </w:rPr>
            </w:r>
            <w:r>
              <w:rPr>
                <w:color w:val="000000" w:themeColor="text1"/>
                <w:highlight w:val="none"/>
              </w:rPr>
            </w:r>
          </w:p>
        </w:tc>
        <w:tc>
          <w:tcPr>
            <w:tcW w:w="709" w:type="dxa"/>
            <w:vAlign w:val="center"/>
            <w:textDirection w:val="lrTb"/>
            <w:noWrap w:val="false"/>
          </w:tcPr>
          <w:p>
            <w:pPr>
              <w:pStyle w:val="883"/>
              <w:jc w:val="center"/>
              <w:rPr>
                <w:rFonts w:ascii="黑体" w:hAnsi="宋体" w:eastAsia="黑体"/>
                <w:b/>
                <w:bCs/>
                <w:color w:val="000000" w:themeColor="text1"/>
                <w:sz w:val="24"/>
                <w:szCs w:val="24"/>
                <w:highlight w:val="none"/>
              </w:rPr>
            </w:pPr>
            <w:r>
              <w:rPr>
                <w:rFonts w:ascii="黑体" w:hAnsi="宋体" w:eastAsia="黑体"/>
                <w:b/>
                <w:bCs/>
                <w:color w:val="000000" w:themeColor="text1"/>
                <w:sz w:val="24"/>
                <w:szCs w:val="24"/>
                <w:highlight w:val="none"/>
              </w:rPr>
            </w:r>
            <w:r>
              <w:rPr>
                <w:color w:val="000000" w:themeColor="text1"/>
                <w:highlight w:val="none"/>
              </w:rPr>
            </w:r>
          </w:p>
        </w:tc>
        <w:tc>
          <w:tcPr>
            <w:tcW w:w="939" w:type="dxa"/>
            <w:vAlign w:val="center"/>
            <w:textDirection w:val="lrTb"/>
            <w:noWrap w:val="false"/>
          </w:tcPr>
          <w:p>
            <w:pPr>
              <w:pStyle w:val="883"/>
              <w:jc w:val="center"/>
              <w:rPr>
                <w:rFonts w:ascii="黑体" w:hAnsi="宋体" w:eastAsia="黑体"/>
                <w:b/>
                <w:bCs/>
                <w:color w:val="000000" w:themeColor="text1"/>
                <w:sz w:val="24"/>
                <w:szCs w:val="24"/>
                <w:highlight w:val="none"/>
              </w:rPr>
            </w:pPr>
            <w:r>
              <w:rPr>
                <w:rFonts w:ascii="黑体" w:hAnsi="宋体" w:eastAsia="黑体"/>
                <w:b/>
                <w:bCs/>
                <w:color w:val="000000" w:themeColor="text1"/>
                <w:sz w:val="24"/>
                <w:szCs w:val="24"/>
                <w:highlight w:val="none"/>
              </w:rPr>
            </w:r>
            <w:r>
              <w:rPr>
                <w:color w:val="000000" w:themeColor="text1"/>
                <w:highlight w:val="none"/>
              </w:rPr>
            </w:r>
          </w:p>
        </w:tc>
      </w:tr>
      <w:tr>
        <w:trPr>
          <w:cantSplit/>
          <w:trHeight w:val="898"/>
        </w:trPr>
        <w:tc>
          <w:tcPr>
            <w:tcMar>
              <w:left w:w="15" w:type="dxa"/>
              <w:top w:w="15" w:type="dxa"/>
              <w:right w:w="15" w:type="dxa"/>
              <w:bottom w:w="0" w:type="dxa"/>
            </w:tcMar>
            <w:tcW w:w="420" w:type="dxa"/>
            <w:vAlign w:val="center"/>
            <w:textDirection w:val="lrTb"/>
            <w:noWrap/>
          </w:tcPr>
          <w:p>
            <w:pPr>
              <w:pStyle w:val="883"/>
              <w:jc w:val="center"/>
              <w:rPr>
                <w:rFonts w:ascii="宋体"/>
                <w:color w:val="000000" w:themeColor="text1"/>
                <w:sz w:val="18"/>
                <w:highlight w:val="none"/>
              </w:rPr>
            </w:pPr>
            <w:r>
              <w:rPr>
                <w:rFonts w:hint="eastAsia" w:ascii="宋体"/>
                <w:color w:val="000000" w:themeColor="text1"/>
                <w:sz w:val="18"/>
                <w:highlight w:val="none"/>
              </w:rPr>
              <w:t xml:space="preserve">2</w:t>
            </w:r>
            <w:r>
              <w:rPr>
                <w:rFonts w:ascii="宋体"/>
                <w:color w:val="000000" w:themeColor="text1"/>
                <w:sz w:val="18"/>
                <w:highlight w:val="none"/>
              </w:rPr>
            </w:r>
            <w:r>
              <w:rPr>
                <w:color w:val="000000" w:themeColor="text1"/>
                <w:highlight w:val="none"/>
              </w:rPr>
            </w:r>
          </w:p>
        </w:tc>
        <w:tc>
          <w:tcPr>
            <w:gridSpan w:val="4"/>
            <w:tcMar>
              <w:left w:w="15" w:type="dxa"/>
              <w:top w:w="15" w:type="dxa"/>
              <w:right w:w="15" w:type="dxa"/>
              <w:bottom w:w="0" w:type="dxa"/>
            </w:tcMar>
            <w:tcW w:w="5639" w:type="dxa"/>
            <w:vAlign w:val="center"/>
            <w:textDirection w:val="lrTb"/>
            <w:noWrap/>
          </w:tcPr>
          <w:p>
            <w:pPr>
              <w:pStyle w:val="883"/>
              <w:jc w:val="center"/>
              <w:rPr>
                <w:rFonts w:ascii="黑体" w:hAnsi="宋体" w:eastAsia="黑体"/>
                <w:b/>
                <w:bCs/>
                <w:color w:val="000000" w:themeColor="text1"/>
                <w:sz w:val="24"/>
                <w:szCs w:val="24"/>
                <w:highlight w:val="none"/>
              </w:rPr>
            </w:pPr>
            <w:r>
              <w:rPr>
                <w:rFonts w:hint="eastAsia" w:ascii="黑体" w:eastAsia="黑体"/>
                <w:b/>
                <w:bCs/>
                <w:color w:val="000000" w:themeColor="text1"/>
                <w:highlight w:val="none"/>
              </w:rPr>
              <w:t xml:space="preserve">　</w:t>
            </w:r>
            <w:r>
              <w:rPr>
                <w:rFonts w:ascii="黑体" w:hAnsi="宋体" w:eastAsia="黑体"/>
                <w:b/>
                <w:bCs/>
                <w:color w:val="000000" w:themeColor="text1"/>
                <w:sz w:val="24"/>
                <w:szCs w:val="24"/>
                <w:highlight w:val="none"/>
              </w:rPr>
            </w:r>
            <w:r>
              <w:rPr>
                <w:color w:val="000000" w:themeColor="text1"/>
                <w:highlight w:val="none"/>
              </w:rPr>
            </w:r>
          </w:p>
        </w:tc>
        <w:tc>
          <w:tcPr>
            <w:tcW w:w="1276" w:type="dxa"/>
            <w:vAlign w:val="center"/>
            <w:textDirection w:val="lrTb"/>
            <w:noWrap w:val="false"/>
          </w:tcPr>
          <w:p>
            <w:pPr>
              <w:pStyle w:val="883"/>
              <w:jc w:val="center"/>
              <w:rPr>
                <w:rFonts w:ascii="黑体" w:hAnsi="宋体" w:eastAsia="黑体"/>
                <w:b/>
                <w:bCs/>
                <w:color w:val="000000" w:themeColor="text1"/>
                <w:sz w:val="24"/>
                <w:szCs w:val="24"/>
                <w:highlight w:val="none"/>
              </w:rPr>
            </w:pPr>
            <w:r>
              <w:rPr>
                <w:rFonts w:ascii="黑体" w:hAnsi="宋体" w:eastAsia="黑体"/>
                <w:b/>
                <w:bCs/>
                <w:color w:val="000000" w:themeColor="text1"/>
                <w:sz w:val="24"/>
                <w:szCs w:val="24"/>
                <w:highlight w:val="none"/>
              </w:rPr>
            </w:r>
            <w:r>
              <w:rPr>
                <w:color w:val="000000" w:themeColor="text1"/>
                <w:highlight w:val="none"/>
              </w:rPr>
            </w:r>
          </w:p>
        </w:tc>
        <w:tc>
          <w:tcPr>
            <w:tcMar>
              <w:left w:w="15" w:type="dxa"/>
              <w:top w:w="15" w:type="dxa"/>
              <w:right w:w="15" w:type="dxa"/>
              <w:bottom w:w="0" w:type="dxa"/>
            </w:tcMar>
            <w:tcW w:w="992" w:type="dxa"/>
            <w:vAlign w:val="center"/>
            <w:textDirection w:val="lrTb"/>
            <w:noWrap/>
          </w:tcPr>
          <w:p>
            <w:pPr>
              <w:pStyle w:val="883"/>
              <w:jc w:val="center"/>
              <w:rPr>
                <w:rFonts w:ascii="黑体" w:hAnsi="宋体" w:eastAsia="黑体"/>
                <w:b/>
                <w:bCs/>
                <w:color w:val="000000" w:themeColor="text1"/>
                <w:sz w:val="24"/>
                <w:szCs w:val="24"/>
                <w:highlight w:val="none"/>
              </w:rPr>
            </w:pPr>
            <w:r>
              <w:rPr>
                <w:rFonts w:hint="eastAsia" w:ascii="黑体" w:eastAsia="黑体"/>
                <w:b/>
                <w:bCs/>
                <w:color w:val="000000" w:themeColor="text1"/>
                <w:highlight w:val="none"/>
              </w:rPr>
              <w:t xml:space="preserve">　</w:t>
            </w:r>
            <w:r>
              <w:rPr>
                <w:rFonts w:ascii="黑体" w:hAnsi="宋体" w:eastAsia="黑体"/>
                <w:b/>
                <w:bCs/>
                <w:color w:val="000000" w:themeColor="text1"/>
                <w:sz w:val="24"/>
                <w:szCs w:val="24"/>
                <w:highlight w:val="none"/>
              </w:rPr>
            </w:r>
            <w:r>
              <w:rPr>
                <w:color w:val="000000" w:themeColor="text1"/>
                <w:highlight w:val="none"/>
              </w:rPr>
            </w:r>
          </w:p>
        </w:tc>
        <w:tc>
          <w:tcPr>
            <w:tcW w:w="709" w:type="dxa"/>
            <w:vAlign w:val="center"/>
            <w:textDirection w:val="lrTb"/>
            <w:noWrap w:val="false"/>
          </w:tcPr>
          <w:p>
            <w:pPr>
              <w:pStyle w:val="883"/>
              <w:jc w:val="center"/>
              <w:rPr>
                <w:rFonts w:ascii="黑体" w:hAnsi="宋体" w:eastAsia="黑体"/>
                <w:b/>
                <w:bCs/>
                <w:color w:val="000000" w:themeColor="text1"/>
                <w:sz w:val="24"/>
                <w:szCs w:val="24"/>
                <w:highlight w:val="none"/>
              </w:rPr>
            </w:pPr>
            <w:r>
              <w:rPr>
                <w:rFonts w:ascii="黑体" w:hAnsi="宋体" w:eastAsia="黑体"/>
                <w:b/>
                <w:bCs/>
                <w:color w:val="000000" w:themeColor="text1"/>
                <w:sz w:val="24"/>
                <w:szCs w:val="24"/>
                <w:highlight w:val="none"/>
              </w:rPr>
            </w:r>
            <w:r>
              <w:rPr>
                <w:color w:val="000000" w:themeColor="text1"/>
                <w:highlight w:val="none"/>
              </w:rPr>
            </w:r>
          </w:p>
        </w:tc>
        <w:tc>
          <w:tcPr>
            <w:tcW w:w="939" w:type="dxa"/>
            <w:vAlign w:val="center"/>
            <w:textDirection w:val="lrTb"/>
            <w:noWrap w:val="false"/>
          </w:tcPr>
          <w:p>
            <w:pPr>
              <w:pStyle w:val="883"/>
              <w:jc w:val="center"/>
              <w:rPr>
                <w:rFonts w:ascii="黑体" w:hAnsi="宋体" w:eastAsia="黑体"/>
                <w:b/>
                <w:bCs/>
                <w:color w:val="000000" w:themeColor="text1"/>
                <w:sz w:val="24"/>
                <w:szCs w:val="24"/>
                <w:highlight w:val="none"/>
              </w:rPr>
            </w:pPr>
            <w:r>
              <w:rPr>
                <w:rFonts w:ascii="黑体" w:hAnsi="宋体" w:eastAsia="黑体"/>
                <w:b/>
                <w:bCs/>
                <w:color w:val="000000" w:themeColor="text1"/>
                <w:sz w:val="24"/>
                <w:szCs w:val="24"/>
                <w:highlight w:val="none"/>
              </w:rPr>
            </w:r>
            <w:r>
              <w:rPr>
                <w:color w:val="000000" w:themeColor="text1"/>
                <w:highlight w:val="none"/>
              </w:rPr>
            </w:r>
          </w:p>
        </w:tc>
      </w:tr>
      <w:tr>
        <w:trPr>
          <w:cantSplit/>
          <w:trHeight w:val="775"/>
        </w:trPr>
        <w:tc>
          <w:tcPr>
            <w:tcMar>
              <w:left w:w="15" w:type="dxa"/>
              <w:top w:w="15" w:type="dxa"/>
              <w:right w:w="15" w:type="dxa"/>
              <w:bottom w:w="0" w:type="dxa"/>
            </w:tcMar>
            <w:tcW w:w="420" w:type="dxa"/>
            <w:vAlign w:val="center"/>
            <w:textDirection w:val="lrTb"/>
            <w:noWrap/>
          </w:tcPr>
          <w:p>
            <w:pPr>
              <w:pStyle w:val="883"/>
              <w:jc w:val="center"/>
              <w:rPr>
                <w:rFonts w:ascii="宋体"/>
                <w:color w:val="000000" w:themeColor="text1"/>
                <w:sz w:val="18"/>
                <w:highlight w:val="none"/>
              </w:rPr>
            </w:pPr>
            <w:r>
              <w:rPr>
                <w:rFonts w:ascii="宋体"/>
                <w:color w:val="000000" w:themeColor="text1"/>
                <w:sz w:val="18"/>
                <w:highlight w:val="none"/>
              </w:rPr>
            </w:r>
            <w:r>
              <w:rPr>
                <w:color w:val="000000" w:themeColor="text1"/>
                <w:highlight w:val="none"/>
              </w:rPr>
            </w:r>
          </w:p>
        </w:tc>
        <w:tc>
          <w:tcPr>
            <w:gridSpan w:val="4"/>
            <w:tcMar>
              <w:left w:w="15" w:type="dxa"/>
              <w:top w:w="15" w:type="dxa"/>
              <w:right w:w="15" w:type="dxa"/>
              <w:bottom w:w="0" w:type="dxa"/>
            </w:tcMar>
            <w:tcW w:w="5639" w:type="dxa"/>
            <w:vAlign w:val="center"/>
            <w:textDirection w:val="lrTb"/>
            <w:noWrap/>
          </w:tcPr>
          <w:p>
            <w:pPr>
              <w:pStyle w:val="883"/>
              <w:jc w:val="center"/>
              <w:rPr>
                <w:rFonts w:hint="eastAsia" w:ascii="黑体" w:eastAsia="黑体"/>
                <w:b/>
                <w:bCs/>
                <w:color w:val="000000" w:themeColor="text1"/>
                <w:highlight w:val="none"/>
              </w:rPr>
            </w:pPr>
            <w:r>
              <w:rPr>
                <w:rFonts w:ascii="宋体"/>
                <w:color w:val="000000" w:themeColor="text1"/>
                <w:highlight w:val="none"/>
              </w:rPr>
              <w:t xml:space="preserve">……</w:t>
            </w:r>
            <w:r>
              <w:rPr>
                <w:rFonts w:hint="eastAsia" w:ascii="黑体" w:eastAsia="黑体"/>
                <w:b/>
                <w:bCs/>
                <w:color w:val="000000" w:themeColor="text1"/>
                <w:highlight w:val="none"/>
              </w:rPr>
            </w:r>
            <w:r>
              <w:rPr>
                <w:color w:val="000000" w:themeColor="text1"/>
                <w:highlight w:val="none"/>
              </w:rPr>
            </w:r>
          </w:p>
        </w:tc>
        <w:tc>
          <w:tcPr>
            <w:tcW w:w="1276" w:type="dxa"/>
            <w:vAlign w:val="center"/>
            <w:textDirection w:val="lrTb"/>
            <w:noWrap w:val="false"/>
          </w:tcPr>
          <w:p>
            <w:pPr>
              <w:pStyle w:val="883"/>
              <w:jc w:val="center"/>
              <w:rPr>
                <w:rFonts w:ascii="黑体" w:hAnsi="宋体" w:eastAsia="黑体"/>
                <w:b/>
                <w:bCs/>
                <w:color w:val="000000" w:themeColor="text1"/>
                <w:sz w:val="24"/>
                <w:szCs w:val="24"/>
                <w:highlight w:val="none"/>
              </w:rPr>
            </w:pPr>
            <w:r>
              <w:rPr>
                <w:rFonts w:ascii="黑体" w:hAnsi="宋体" w:eastAsia="黑体"/>
                <w:b/>
                <w:bCs/>
                <w:color w:val="000000" w:themeColor="text1"/>
                <w:sz w:val="24"/>
                <w:szCs w:val="24"/>
                <w:highlight w:val="none"/>
              </w:rPr>
            </w:r>
            <w:r>
              <w:rPr>
                <w:color w:val="000000" w:themeColor="text1"/>
                <w:highlight w:val="none"/>
              </w:rPr>
            </w:r>
          </w:p>
        </w:tc>
        <w:tc>
          <w:tcPr>
            <w:tcMar>
              <w:left w:w="15" w:type="dxa"/>
              <w:top w:w="15" w:type="dxa"/>
              <w:right w:w="15" w:type="dxa"/>
              <w:bottom w:w="0" w:type="dxa"/>
            </w:tcMar>
            <w:tcW w:w="992" w:type="dxa"/>
            <w:vAlign w:val="center"/>
            <w:textDirection w:val="lrTb"/>
            <w:noWrap/>
          </w:tcPr>
          <w:p>
            <w:pPr>
              <w:pStyle w:val="883"/>
              <w:jc w:val="center"/>
              <w:rPr>
                <w:rFonts w:hint="eastAsia" w:ascii="黑体" w:eastAsia="黑体"/>
                <w:b/>
                <w:bCs/>
                <w:color w:val="000000" w:themeColor="text1"/>
                <w:highlight w:val="none"/>
              </w:rPr>
            </w:pPr>
            <w:r>
              <w:rPr>
                <w:rFonts w:hint="eastAsia" w:ascii="黑体" w:eastAsia="黑体"/>
                <w:b/>
                <w:bCs/>
                <w:color w:val="000000" w:themeColor="text1"/>
                <w:highlight w:val="none"/>
              </w:rPr>
            </w:r>
            <w:r>
              <w:rPr>
                <w:color w:val="000000" w:themeColor="text1"/>
                <w:highlight w:val="none"/>
              </w:rPr>
            </w:r>
          </w:p>
        </w:tc>
        <w:tc>
          <w:tcPr>
            <w:tcW w:w="709" w:type="dxa"/>
            <w:vAlign w:val="center"/>
            <w:textDirection w:val="lrTb"/>
            <w:noWrap w:val="false"/>
          </w:tcPr>
          <w:p>
            <w:pPr>
              <w:pStyle w:val="883"/>
              <w:jc w:val="center"/>
              <w:rPr>
                <w:rFonts w:ascii="黑体" w:hAnsi="宋体" w:eastAsia="黑体"/>
                <w:b/>
                <w:bCs/>
                <w:color w:val="000000" w:themeColor="text1"/>
                <w:sz w:val="24"/>
                <w:szCs w:val="24"/>
                <w:highlight w:val="none"/>
              </w:rPr>
            </w:pPr>
            <w:r>
              <w:rPr>
                <w:rFonts w:ascii="黑体" w:hAnsi="宋体" w:eastAsia="黑体"/>
                <w:b/>
                <w:bCs/>
                <w:color w:val="000000" w:themeColor="text1"/>
                <w:sz w:val="24"/>
                <w:szCs w:val="24"/>
                <w:highlight w:val="none"/>
              </w:rPr>
            </w:r>
            <w:r>
              <w:rPr>
                <w:color w:val="000000" w:themeColor="text1"/>
                <w:highlight w:val="none"/>
              </w:rPr>
            </w:r>
          </w:p>
        </w:tc>
        <w:tc>
          <w:tcPr>
            <w:tcW w:w="939" w:type="dxa"/>
            <w:vAlign w:val="center"/>
            <w:textDirection w:val="lrTb"/>
            <w:noWrap w:val="false"/>
          </w:tcPr>
          <w:p>
            <w:pPr>
              <w:pStyle w:val="883"/>
              <w:jc w:val="center"/>
              <w:rPr>
                <w:rFonts w:ascii="黑体" w:hAnsi="宋体" w:eastAsia="黑体"/>
                <w:b/>
                <w:bCs/>
                <w:color w:val="000000" w:themeColor="text1"/>
                <w:sz w:val="24"/>
                <w:szCs w:val="24"/>
                <w:highlight w:val="none"/>
              </w:rPr>
            </w:pPr>
            <w:r>
              <w:rPr>
                <w:rFonts w:ascii="黑体" w:hAnsi="宋体" w:eastAsia="黑体"/>
                <w:b/>
                <w:bCs/>
                <w:color w:val="000000" w:themeColor="text1"/>
                <w:sz w:val="24"/>
                <w:szCs w:val="24"/>
                <w:highlight w:val="none"/>
              </w:rPr>
            </w:r>
            <w:r>
              <w:rPr>
                <w:color w:val="000000" w:themeColor="text1"/>
                <w:highlight w:val="none"/>
              </w:rPr>
            </w:r>
          </w:p>
        </w:tc>
      </w:tr>
    </w:tbl>
    <w:p>
      <w:pPr>
        <w:pStyle w:val="883"/>
        <w:spacing w:before="5" w:line="560" w:lineRule="atLeast"/>
        <w:rPr>
          <w:b/>
          <w:bCs/>
          <w:color w:val="000000" w:themeColor="text1"/>
          <w:sz w:val="24"/>
          <w:szCs w:val="24"/>
          <w:highlight w:val="none"/>
        </w:rPr>
      </w:pPr>
      <w:r>
        <w:rPr>
          <w:rFonts w:hint="eastAsia"/>
          <w:b/>
          <w:bCs/>
          <w:color w:val="000000" w:themeColor="text1"/>
          <w:sz w:val="24"/>
          <w:szCs w:val="24"/>
          <w:highlight w:val="none"/>
        </w:rPr>
        <w:t xml:space="preserve">投标人名称（盖章）：</w:t>
      </w:r>
      <w:r>
        <w:rPr>
          <w:b/>
          <w:bCs/>
          <w:color w:val="000000" w:themeColor="text1"/>
          <w:sz w:val="24"/>
          <w:szCs w:val="24"/>
          <w:highlight w:val="none"/>
        </w:rPr>
      </w:r>
      <w:r>
        <w:rPr>
          <w:color w:val="000000" w:themeColor="text1"/>
          <w:highlight w:val="none"/>
        </w:rPr>
      </w:r>
    </w:p>
    <w:p>
      <w:pPr>
        <w:pStyle w:val="883"/>
        <w:spacing w:line="400" w:lineRule="exact"/>
        <w:rPr>
          <w:rFonts w:hint="eastAsia" w:ascii="宋体" w:hAnsi="宋体"/>
          <w:b/>
          <w:color w:val="000000" w:themeColor="text1"/>
          <w:highlight w:val="none"/>
        </w:rPr>
        <w:outlineLvl w:val="0"/>
      </w:pPr>
      <w:r>
        <w:rPr>
          <w:rFonts w:hint="eastAsia" w:ascii="宋体" w:hAnsi="宋体"/>
          <w:b/>
          <w:color w:val="000000" w:themeColor="text1"/>
          <w:highlight w:val="none"/>
        </w:rPr>
      </w:r>
      <w:r>
        <w:rPr>
          <w:color w:val="000000" w:themeColor="text1"/>
          <w:highlight w:val="none"/>
        </w:rPr>
      </w:r>
    </w:p>
    <w:p>
      <w:pPr>
        <w:pStyle w:val="883"/>
        <w:spacing w:line="400" w:lineRule="exact"/>
        <w:rPr>
          <w:rFonts w:ascii="宋体"/>
          <w:bCs/>
          <w:color w:val="000000" w:themeColor="text1"/>
          <w:highlight w:val="none"/>
        </w:rPr>
        <w:outlineLvl w:val="0"/>
      </w:pPr>
      <w:r>
        <w:rPr>
          <w:rFonts w:hint="eastAsia" w:ascii="宋体" w:hAnsi="宋体"/>
          <w:b/>
          <w:color w:val="000000" w:themeColor="text1"/>
          <w:highlight w:val="none"/>
        </w:rPr>
        <w:t xml:space="preserve">注：</w:t>
      </w:r>
      <w:r>
        <w:rPr>
          <w:rFonts w:hint="eastAsia" w:ascii="宋体" w:hAnsi="宋体"/>
          <w:bCs/>
          <w:color w:val="000000" w:themeColor="text1"/>
          <w:highlight w:val="none"/>
        </w:rPr>
        <w:t xml:space="preserve">（</w:t>
      </w:r>
      <w:r>
        <w:rPr>
          <w:rFonts w:ascii="宋体" w:hAnsi="宋体"/>
          <w:bCs/>
          <w:color w:val="000000" w:themeColor="text1"/>
          <w:highlight w:val="none"/>
        </w:rPr>
        <w:t xml:space="preserve">1</w:t>
      </w:r>
      <w:r>
        <w:rPr>
          <w:rFonts w:hint="eastAsia" w:ascii="宋体" w:hAnsi="宋体"/>
          <w:bCs/>
          <w:color w:val="000000" w:themeColor="text1"/>
          <w:highlight w:val="none"/>
        </w:rPr>
        <w:t xml:space="preserve">）</w:t>
      </w:r>
      <w:r>
        <w:rPr>
          <w:rFonts w:hint="eastAsia" w:ascii="宋体"/>
          <w:bCs/>
          <w:color w:val="000000" w:themeColor="text1"/>
          <w:highlight w:val="none"/>
        </w:rPr>
        <w:t xml:space="preserve">投标人本项目提供的货物全部由符合政策要求的中小企业制造的，须提供按格式填写的《中小企业声明函》（货物）（《中小企业声明函》（货物）相应内容须与上表填列内容保持一致）；</w:t>
      </w:r>
      <w:r>
        <w:rPr>
          <w:rFonts w:hint="eastAsia" w:ascii="宋体"/>
          <w:bCs/>
          <w:color w:val="000000" w:themeColor="text1"/>
          <w:highlight w:val="none"/>
        </w:rPr>
        <w:t xml:space="preserve">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公共资源交易中心有权将相关内容进行公示；</w:t>
      </w:r>
      <w:r>
        <w:rPr>
          <w:rFonts w:ascii="宋体"/>
          <w:bCs/>
          <w:color w:val="000000" w:themeColor="text1"/>
          <w:highlight w:val="none"/>
        </w:rPr>
      </w:r>
      <w:r>
        <w:rPr>
          <w:color w:val="000000" w:themeColor="text1"/>
          <w:highlight w:val="none"/>
        </w:rPr>
      </w:r>
    </w:p>
    <w:p>
      <w:pPr>
        <w:pStyle w:val="883"/>
        <w:ind w:firstLine="315"/>
        <w:spacing w:line="400" w:lineRule="exact"/>
        <w:rPr>
          <w:rFonts w:ascii="宋体"/>
          <w:bCs/>
          <w:color w:val="000000" w:themeColor="text1"/>
          <w:highlight w:val="none"/>
        </w:rPr>
        <w:outlineLvl w:val="0"/>
      </w:pPr>
      <w:r>
        <w:rPr>
          <w:rFonts w:hint="eastAsia" w:ascii="宋体" w:hAnsi="宋体"/>
          <w:bCs/>
          <w:color w:val="000000" w:themeColor="text1"/>
          <w:highlight w:val="none"/>
        </w:rPr>
        <w:t xml:space="preserve">（</w:t>
      </w:r>
      <w:r>
        <w:rPr>
          <w:rFonts w:ascii="宋体" w:hAnsi="宋体"/>
          <w:bCs/>
          <w:color w:val="000000" w:themeColor="text1"/>
          <w:highlight w:val="none"/>
        </w:rPr>
        <w:t xml:space="preserve">2</w:t>
      </w:r>
      <w:r>
        <w:rPr>
          <w:rFonts w:hint="eastAsia" w:ascii="宋体" w:hAnsi="宋体"/>
          <w:bCs/>
          <w:color w:val="000000" w:themeColor="text1"/>
          <w:highlight w:val="none"/>
        </w:rPr>
        <w:t xml:space="preserve">）投标人应当根据“</w:t>
      </w:r>
      <w:r>
        <w:rPr>
          <w:rFonts w:hint="eastAsia" w:ascii="宋体" w:hAnsi="宋体"/>
          <w:bCs/>
          <w:color w:val="000000" w:themeColor="text1"/>
          <w:highlight w:val="none"/>
        </w:rPr>
        <w:t xml:space="preserve">采购需求</w:t>
      </w:r>
      <w:r>
        <w:rPr>
          <w:rFonts w:hint="eastAsia" w:ascii="宋体" w:hAnsi="宋体"/>
          <w:bCs/>
          <w:color w:val="000000" w:themeColor="text1"/>
          <w:highlight w:val="none"/>
        </w:rPr>
        <w:t xml:space="preserve">”的内容在上表中详细填写；</w:t>
      </w:r>
      <w:r>
        <w:rPr>
          <w:rFonts w:ascii="宋体"/>
          <w:bCs/>
          <w:color w:val="000000" w:themeColor="text1"/>
          <w:highlight w:val="none"/>
        </w:rPr>
      </w:r>
      <w:r>
        <w:rPr>
          <w:color w:val="000000" w:themeColor="text1"/>
          <w:highlight w:val="none"/>
        </w:rPr>
      </w:r>
    </w:p>
    <w:p>
      <w:pPr>
        <w:pStyle w:val="883"/>
        <w:ind w:firstLine="315"/>
        <w:spacing w:line="400" w:lineRule="exact"/>
        <w:rPr>
          <w:rFonts w:ascii="宋体" w:hAnsi="宋体"/>
          <w:bCs/>
          <w:color w:val="000000" w:themeColor="text1"/>
          <w:highlight w:val="none"/>
        </w:rPr>
        <w:outlineLvl w:val="0"/>
      </w:pPr>
      <w:r>
        <w:rPr>
          <w:rFonts w:hint="eastAsia" w:ascii="宋体" w:hAnsi="宋体"/>
          <w:bCs/>
          <w:color w:val="000000" w:themeColor="text1"/>
          <w:highlight w:val="none"/>
        </w:rPr>
        <w:t xml:space="preserve">（</w:t>
      </w:r>
      <w:r>
        <w:rPr>
          <w:rFonts w:ascii="宋体" w:hAnsi="宋体"/>
          <w:bCs/>
          <w:color w:val="000000" w:themeColor="text1"/>
          <w:highlight w:val="none"/>
        </w:rPr>
        <w:t xml:space="preserve">3</w:t>
      </w:r>
      <w:r>
        <w:rPr>
          <w:rFonts w:hint="eastAsia" w:ascii="宋体" w:hAnsi="宋体"/>
          <w:bCs/>
          <w:color w:val="000000" w:themeColor="text1"/>
          <w:highlight w:val="none"/>
        </w:rPr>
        <w:t xml:space="preserve">）表格不够可自行延长。</w:t>
      </w:r>
      <w:r>
        <w:rPr>
          <w:rFonts w:ascii="宋体" w:hAnsi="宋体"/>
          <w:bCs/>
          <w:color w:val="000000" w:themeColor="text1"/>
          <w:highlight w:val="none"/>
        </w:rPr>
      </w:r>
      <w:r>
        <w:rPr>
          <w:color w:val="000000" w:themeColor="text1"/>
          <w:highlight w:val="none"/>
        </w:rPr>
      </w:r>
    </w:p>
    <w:p>
      <w:pPr>
        <w:pStyle w:val="883"/>
        <w:spacing w:line="400" w:lineRule="exact"/>
        <w:rPr>
          <w:rFonts w:ascii="宋体" w:hAnsi="宋体" w:cs="宋体"/>
          <w:color w:val="000000" w:themeColor="text1"/>
          <w:highlight w:val="none"/>
        </w:rPr>
        <w:outlineLvl w:val="0"/>
      </w:pPr>
      <w:r>
        <w:rPr>
          <w:rFonts w:ascii="宋体" w:hAnsi="宋体" w:cs="宋体"/>
          <w:color w:val="000000" w:themeColor="text1"/>
          <w:highlight w:val="none"/>
          <w:lang w:val="zh-CN"/>
        </w:rPr>
        <w:t xml:space="preserve"> </w:t>
      </w:r>
      <w:r>
        <w:rPr>
          <w:color w:val="000000" w:themeColor="text1"/>
          <w:highlight w:val="none"/>
        </w:rPr>
      </w:r>
    </w:p>
    <w:p>
      <w:pPr>
        <w:pStyle w:val="883"/>
        <w:spacing w:line="360" w:lineRule="auto"/>
        <w:rPr>
          <w:rFonts w:hint="eastAsia"/>
          <w:b/>
          <w:color w:val="000000" w:themeColor="text1"/>
          <w:sz w:val="28"/>
          <w:szCs w:val="28"/>
          <w:highlight w:val="none"/>
        </w:rPr>
      </w:pPr>
      <w:r>
        <w:rPr>
          <w:rFonts w:hint="eastAsia" w:ascii="宋体" w:hAnsi="宋体"/>
          <w:bCs/>
          <w:color w:val="000000" w:themeColor="text1"/>
          <w:highlight w:val="none"/>
        </w:rPr>
        <w:br w:type="page" w:clear="all"/>
      </w:r>
      <w:r>
        <w:rPr>
          <w:rFonts w:hint="eastAsia"/>
          <w:b/>
          <w:color w:val="000000" w:themeColor="text1"/>
          <w:sz w:val="28"/>
          <w:szCs w:val="28"/>
          <w:highlight w:val="none"/>
        </w:rPr>
        <w:t xml:space="preserve">十</w:t>
      </w:r>
      <w:r>
        <w:rPr>
          <w:b/>
          <w:color w:val="000000" w:themeColor="text1"/>
          <w:sz w:val="28"/>
          <w:szCs w:val="28"/>
          <w:highlight w:val="none"/>
        </w:rPr>
        <w:t xml:space="preserve">、</w:t>
      </w:r>
      <w:r>
        <w:rPr>
          <w:rFonts w:hint="eastAsia"/>
          <w:b/>
          <w:color w:val="000000" w:themeColor="text1"/>
          <w:sz w:val="28"/>
          <w:szCs w:val="28"/>
          <w:highlight w:val="none"/>
        </w:rPr>
        <w:t xml:space="preserve">投标偏离表（给定格式）：</w:t>
      </w:r>
      <w:r>
        <w:rPr>
          <w:color w:val="000000" w:themeColor="text1"/>
          <w:highlight w:val="none"/>
        </w:rPr>
      </w:r>
    </w:p>
    <w:p>
      <w:pPr>
        <w:pStyle w:val="883"/>
        <w:ind w:firstLine="490"/>
        <w:jc w:val="center"/>
        <w:rPr>
          <w:rFonts w:ascii="黑体" w:eastAsia="黑体"/>
          <w:bCs/>
          <w:color w:val="000000" w:themeColor="text1"/>
          <w:sz w:val="28"/>
          <w:szCs w:val="28"/>
          <w:highlight w:val="none"/>
        </w:rPr>
        <w:outlineLvl w:val="0"/>
      </w:pPr>
      <w:r>
        <w:rPr>
          <w:rFonts w:ascii="黑体" w:eastAsia="黑体"/>
          <w:bCs/>
          <w:color w:val="000000" w:themeColor="text1"/>
          <w:sz w:val="28"/>
          <w:szCs w:val="28"/>
          <w:highlight w:val="none"/>
        </w:rPr>
      </w:r>
      <w:r>
        <w:rPr>
          <w:color w:val="000000" w:themeColor="text1"/>
          <w:highlight w:val="none"/>
        </w:rPr>
      </w:r>
    </w:p>
    <w:p>
      <w:pPr>
        <w:pStyle w:val="883"/>
        <w:ind w:firstLine="490"/>
        <w:jc w:val="center"/>
        <w:rPr>
          <w:rFonts w:ascii="黑体" w:eastAsia="黑体"/>
          <w:bCs/>
          <w:color w:val="000000" w:themeColor="text1"/>
          <w:sz w:val="28"/>
          <w:szCs w:val="28"/>
          <w:highlight w:val="none"/>
        </w:rPr>
        <w:outlineLvl w:val="0"/>
      </w:pPr>
      <w:r>
        <w:rPr>
          <w:rFonts w:hint="eastAsia" w:ascii="黑体" w:eastAsia="黑体"/>
          <w:bCs/>
          <w:color w:val="000000" w:themeColor="text1"/>
          <w:sz w:val="28"/>
          <w:szCs w:val="28"/>
          <w:highlight w:val="none"/>
        </w:rPr>
        <w:t xml:space="preserve">投标偏离表</w:t>
      </w:r>
      <w:r>
        <w:rPr>
          <w:rFonts w:ascii="黑体" w:eastAsia="黑体"/>
          <w:bCs/>
          <w:color w:val="000000" w:themeColor="text1"/>
          <w:sz w:val="28"/>
          <w:szCs w:val="28"/>
          <w:highlight w:val="none"/>
        </w:rPr>
      </w:r>
      <w:r>
        <w:rPr>
          <w:color w:val="000000" w:themeColor="text1"/>
          <w:highlight w:val="none"/>
        </w:rPr>
      </w:r>
    </w:p>
    <w:p>
      <w:pPr>
        <w:pStyle w:val="883"/>
        <w:jc w:val="center"/>
        <w:spacing w:line="400" w:lineRule="exact"/>
        <w:rPr>
          <w:rFonts w:ascii="黑体" w:eastAsia="黑体"/>
          <w:bCs/>
          <w:color w:val="000000" w:themeColor="text1"/>
          <w:sz w:val="28"/>
          <w:szCs w:val="28"/>
          <w:highlight w:val="none"/>
        </w:rPr>
        <w:outlineLvl w:val="0"/>
      </w:pPr>
      <w:r>
        <w:rPr>
          <w:rFonts w:ascii="黑体" w:eastAsia="黑体"/>
          <w:bCs/>
          <w:color w:val="000000" w:themeColor="text1"/>
          <w:sz w:val="28"/>
          <w:szCs w:val="28"/>
          <w:highlight w:val="none"/>
        </w:rPr>
      </w:r>
      <w:r>
        <w:rPr>
          <w:color w:val="000000" w:themeColor="text1"/>
          <w:highlight w:val="none"/>
        </w:rPr>
      </w:r>
    </w:p>
    <w:p>
      <w:pPr>
        <w:pStyle w:val="883"/>
        <w:jc w:val="center"/>
        <w:spacing w:line="400" w:lineRule="exact"/>
        <w:rPr>
          <w:rFonts w:ascii="黑体" w:eastAsia="黑体"/>
          <w:bCs/>
          <w:color w:val="000000" w:themeColor="text1"/>
          <w:sz w:val="28"/>
          <w:szCs w:val="28"/>
          <w:highlight w:val="none"/>
        </w:rPr>
        <w:outlineLvl w:val="0"/>
      </w:pPr>
      <w:r>
        <w:rPr>
          <w:rFonts w:ascii="黑体" w:eastAsia="黑体"/>
          <w:bCs/>
          <w:color w:val="000000" w:themeColor="text1"/>
          <w:sz w:val="28"/>
          <w:szCs w:val="28"/>
          <w:highlight w:val="none"/>
        </w:rPr>
      </w:r>
      <w:r>
        <w:rPr>
          <w:color w:val="000000" w:themeColor="text1"/>
          <w:highlight w:val="none"/>
        </w:rPr>
      </w:r>
    </w:p>
    <w:p>
      <w:pPr>
        <w:pStyle w:val="883"/>
        <w:spacing w:line="400" w:lineRule="exact"/>
        <w:rPr>
          <w:rFonts w:ascii="黑体" w:eastAsia="黑体"/>
          <w:bCs/>
          <w:color w:val="000000" w:themeColor="text1"/>
          <w:sz w:val="24"/>
          <w:szCs w:val="24"/>
          <w:highlight w:val="none"/>
        </w:rPr>
      </w:pPr>
      <w:r>
        <w:rPr>
          <w:rFonts w:hint="eastAsia" w:ascii="黑体" w:eastAsia="黑体"/>
          <w:bCs/>
          <w:color w:val="000000" w:themeColor="text1"/>
          <w:sz w:val="24"/>
          <w:szCs w:val="24"/>
          <w:highlight w:val="none"/>
        </w:rPr>
        <w:t xml:space="preserve">项目编号：</w:t>
      </w:r>
      <w:r>
        <w:rPr>
          <w:rFonts w:hint="eastAsia" w:ascii="黑体" w:eastAsia="黑体"/>
          <w:bCs/>
          <w:color w:val="000000" w:themeColor="text1"/>
          <w:sz w:val="24"/>
          <w:szCs w:val="24"/>
          <w:highlight w:val="none"/>
        </w:rPr>
        <w:t xml:space="preserve">JSZC-320200-JZCG-G2025-0021</w:t>
      </w:r>
      <w:r>
        <w:rPr>
          <w:rFonts w:ascii="黑体" w:eastAsia="黑体"/>
          <w:bCs/>
          <w:color w:val="000000" w:themeColor="text1"/>
          <w:sz w:val="24"/>
          <w:szCs w:val="24"/>
          <w:highlight w:val="none"/>
        </w:rPr>
      </w:r>
      <w:r>
        <w:rPr>
          <w:color w:val="000000" w:themeColor="text1"/>
          <w:highlight w:val="none"/>
        </w:rPr>
      </w:r>
    </w:p>
    <w:tbl>
      <w:tblPr>
        <w:tblW w:w="9885"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883"/>
              <w:jc w:val="center"/>
              <w:rPr>
                <w:rFonts w:ascii="宋体"/>
                <w:b/>
                <w:bCs/>
                <w:color w:val="000000" w:themeColor="text1"/>
                <w:sz w:val="24"/>
                <w:szCs w:val="24"/>
                <w:highlight w:val="none"/>
              </w:rPr>
            </w:pPr>
            <w:r>
              <w:rPr>
                <w:rFonts w:hint="eastAsia" w:ascii="宋体" w:hAnsi="宋体"/>
                <w:b/>
                <w:bCs/>
                <w:color w:val="000000" w:themeColor="text1"/>
                <w:sz w:val="24"/>
                <w:szCs w:val="24"/>
                <w:highlight w:val="none"/>
              </w:rPr>
              <w:t xml:space="preserve">名称</w:t>
            </w:r>
            <w:r>
              <w:rPr>
                <w:rFonts w:ascii="宋体"/>
                <w:b/>
                <w:bCs/>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83"/>
              <w:jc w:val="center"/>
              <w:rPr>
                <w:rFonts w:ascii="宋体"/>
                <w:b/>
                <w:bCs/>
                <w:color w:val="000000" w:themeColor="text1"/>
                <w:sz w:val="24"/>
                <w:szCs w:val="24"/>
                <w:highlight w:val="none"/>
              </w:rPr>
            </w:pPr>
            <w:r>
              <w:rPr>
                <w:rFonts w:hint="eastAsia" w:ascii="宋体" w:hAnsi="宋体"/>
                <w:b/>
                <w:bCs/>
                <w:color w:val="000000" w:themeColor="text1"/>
                <w:sz w:val="24"/>
                <w:szCs w:val="24"/>
                <w:highlight w:val="none"/>
              </w:rPr>
              <w:t xml:space="preserve">采购要求</w:t>
            </w:r>
            <w:r>
              <w:rPr>
                <w:rFonts w:ascii="宋体"/>
                <w:b/>
                <w:bCs/>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83"/>
              <w:jc w:val="center"/>
              <w:rPr>
                <w:rFonts w:ascii="宋体"/>
                <w:b/>
                <w:bCs/>
                <w:color w:val="000000" w:themeColor="text1"/>
                <w:sz w:val="24"/>
                <w:szCs w:val="24"/>
                <w:highlight w:val="none"/>
              </w:rPr>
            </w:pPr>
            <w:r>
              <w:rPr>
                <w:rFonts w:hint="eastAsia" w:ascii="宋体" w:hAnsi="宋体"/>
                <w:b/>
                <w:bCs/>
                <w:color w:val="000000" w:themeColor="text1"/>
                <w:sz w:val="24"/>
                <w:szCs w:val="24"/>
                <w:highlight w:val="none"/>
              </w:rPr>
              <w:t xml:space="preserve">实报内容</w:t>
            </w:r>
            <w:r>
              <w:rPr>
                <w:rFonts w:ascii="宋体"/>
                <w:b/>
                <w:bCs/>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83"/>
              <w:jc w:val="center"/>
              <w:rPr>
                <w:rFonts w:ascii="宋体"/>
                <w:b/>
                <w:bCs/>
                <w:color w:val="000000" w:themeColor="text1"/>
                <w:sz w:val="24"/>
                <w:szCs w:val="24"/>
                <w:highlight w:val="none"/>
              </w:rPr>
            </w:pPr>
            <w:r>
              <w:rPr>
                <w:rFonts w:hint="eastAsia" w:ascii="宋体" w:hAnsi="宋体"/>
                <w:b/>
                <w:bCs/>
                <w:color w:val="000000" w:themeColor="text1"/>
                <w:sz w:val="24"/>
                <w:szCs w:val="24"/>
                <w:highlight w:val="none"/>
              </w:rPr>
              <w:t xml:space="preserve">偏离说明</w:t>
            </w:r>
            <w:r>
              <w:rPr>
                <w:rFonts w:ascii="宋体"/>
                <w:b/>
                <w:bCs/>
                <w:color w:val="000000" w:themeColor="text1"/>
                <w:sz w:val="24"/>
                <w:szCs w:val="24"/>
                <w:highlight w:val="none"/>
              </w:rPr>
            </w:r>
            <w:r>
              <w:rPr>
                <w:color w:val="000000" w:themeColor="text1"/>
                <w:highlight w:val="none"/>
              </w:rP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883"/>
              <w:jc w:val="center"/>
              <w:rPr>
                <w:rFonts w:ascii="宋体"/>
                <w:bCs/>
                <w:color w:val="000000" w:themeColor="text1"/>
                <w:highlight w:val="none"/>
              </w:rPr>
            </w:pPr>
            <w:r>
              <w:rPr>
                <w:rFonts w:ascii="宋体"/>
                <w:bCs/>
                <w:color w:val="000000" w:themeColor="text1"/>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83"/>
              <w:rPr>
                <w:rFonts w:ascii="宋体"/>
                <w:bCs/>
                <w:color w:val="000000" w:themeColor="text1"/>
                <w:highlight w:val="none"/>
              </w:rPr>
            </w:pPr>
            <w:r>
              <w:rPr>
                <w:rFonts w:ascii="宋体"/>
                <w:bCs/>
                <w:color w:val="000000" w:themeColor="text1"/>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83"/>
              <w:jc w:val="center"/>
              <w:rPr>
                <w:rFonts w:ascii="宋体"/>
                <w:bCs/>
                <w:color w:val="000000" w:themeColor="text1"/>
                <w:highlight w:val="none"/>
              </w:rPr>
            </w:pPr>
            <w:r>
              <w:rPr>
                <w:rFonts w:ascii="宋体"/>
                <w:bCs/>
                <w:color w:val="000000" w:themeColor="text1"/>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83"/>
              <w:jc w:val="center"/>
              <w:rPr>
                <w:rFonts w:ascii="宋体"/>
                <w:bCs/>
                <w:color w:val="000000" w:themeColor="text1"/>
                <w:highlight w:val="none"/>
              </w:rPr>
            </w:pPr>
            <w:r>
              <w:rPr>
                <w:rFonts w:ascii="宋体"/>
                <w:bCs/>
                <w:color w:val="000000" w:themeColor="text1"/>
                <w:highlight w:val="none"/>
              </w:rPr>
            </w:r>
            <w:r>
              <w:rPr>
                <w:color w:val="000000" w:themeColor="text1"/>
                <w:highlight w:val="none"/>
              </w:rPr>
            </w:r>
          </w:p>
        </w:tc>
      </w:tr>
    </w:tbl>
    <w:p>
      <w:pPr>
        <w:pStyle w:val="883"/>
        <w:rPr>
          <w:rFonts w:hint="eastAsia" w:ascii="宋体" w:eastAsia="黑体"/>
          <w:b/>
          <w:color w:val="000000" w:themeColor="text1"/>
          <w:sz w:val="24"/>
          <w:szCs w:val="24"/>
          <w:highlight w:val="none"/>
        </w:rPr>
      </w:pPr>
      <w:r>
        <w:rPr>
          <w:rFonts w:hint="eastAsia" w:ascii="黑体" w:eastAsia="黑体"/>
          <w:bCs/>
          <w:color w:val="000000" w:themeColor="text1"/>
          <w:sz w:val="24"/>
          <w:szCs w:val="24"/>
          <w:highlight w:val="none"/>
        </w:rPr>
        <w:t xml:space="preserve">投标人名称（盖章）：</w:t>
      </w:r>
      <w:r>
        <w:rPr>
          <w:rFonts w:hint="eastAsia" w:ascii="宋体" w:eastAsia="黑体"/>
          <w:b/>
          <w:color w:val="000000" w:themeColor="text1"/>
          <w:sz w:val="24"/>
          <w:szCs w:val="24"/>
          <w:highlight w:val="none"/>
        </w:rPr>
      </w:r>
      <w:r>
        <w:rPr>
          <w:color w:val="000000" w:themeColor="text1"/>
          <w:highlight w:val="none"/>
        </w:rPr>
      </w:r>
    </w:p>
    <w:p>
      <w:pPr>
        <w:pStyle w:val="883"/>
        <w:rPr>
          <w:rFonts w:ascii="宋体"/>
          <w:bCs/>
          <w:color w:val="000000" w:themeColor="text1"/>
          <w:sz w:val="30"/>
          <w:highlight w:val="none"/>
        </w:rPr>
      </w:pPr>
      <w:r>
        <w:rPr>
          <w:rFonts w:ascii="宋体"/>
          <w:bCs/>
          <w:color w:val="000000" w:themeColor="text1"/>
          <w:sz w:val="30"/>
          <w:highlight w:val="none"/>
        </w:rPr>
      </w:r>
      <w:r>
        <w:rPr>
          <w:color w:val="000000" w:themeColor="text1"/>
          <w:highlight w:val="none"/>
        </w:rPr>
      </w:r>
    </w:p>
    <w:p>
      <w:pPr>
        <w:pStyle w:val="883"/>
        <w:ind w:firstLine="420"/>
        <w:rPr>
          <w:rFonts w:ascii="宋体" w:hAnsi="宋体"/>
          <w:bCs/>
          <w:color w:val="000000" w:themeColor="text1"/>
          <w:sz w:val="24"/>
          <w:szCs w:val="24"/>
          <w:highlight w:val="none"/>
        </w:rPr>
        <w:outlineLvl w:val="0"/>
      </w:pPr>
      <w:r>
        <w:rPr>
          <w:rFonts w:hint="eastAsia" w:ascii="宋体" w:hAnsi="宋体"/>
          <w:bCs/>
          <w:color w:val="000000" w:themeColor="text1"/>
          <w:sz w:val="24"/>
          <w:szCs w:val="24"/>
          <w:highlight w:val="none"/>
        </w:rPr>
        <w:t xml:space="preserve">注：（</w:t>
      </w:r>
      <w:r>
        <w:rPr>
          <w:rFonts w:ascii="宋体" w:hAnsi="宋体"/>
          <w:bCs/>
          <w:color w:val="000000" w:themeColor="text1"/>
          <w:sz w:val="24"/>
          <w:szCs w:val="24"/>
          <w:highlight w:val="none"/>
        </w:rPr>
        <w:t xml:space="preserve">1</w:t>
      </w:r>
      <w:r>
        <w:rPr>
          <w:rFonts w:hint="eastAsia" w:ascii="宋体" w:hAnsi="宋体"/>
          <w:bCs/>
          <w:color w:val="000000" w:themeColor="text1"/>
          <w:sz w:val="24"/>
          <w:szCs w:val="24"/>
          <w:highlight w:val="none"/>
        </w:rPr>
        <w:t xml:space="preserve">）本表不得删除；</w:t>
      </w:r>
      <w:r>
        <w:rPr>
          <w:rFonts w:ascii="宋体" w:hAnsi="宋体"/>
          <w:bCs/>
          <w:color w:val="000000" w:themeColor="text1"/>
          <w:sz w:val="24"/>
          <w:szCs w:val="24"/>
          <w:highlight w:val="none"/>
        </w:rPr>
      </w:r>
      <w:r>
        <w:rPr>
          <w:color w:val="000000" w:themeColor="text1"/>
          <w:highlight w:val="none"/>
        </w:rPr>
      </w:r>
    </w:p>
    <w:p>
      <w:pPr>
        <w:pStyle w:val="883"/>
        <w:ind w:firstLine="420"/>
        <w:rPr>
          <w:rFonts w:ascii="宋体" w:hAnsi="宋体"/>
          <w:bCs/>
          <w:color w:val="000000" w:themeColor="text1"/>
          <w:sz w:val="24"/>
          <w:szCs w:val="24"/>
          <w:highlight w:val="none"/>
        </w:rPr>
        <w:outlineLvl w:val="0"/>
      </w:pPr>
      <w:r>
        <w:rPr>
          <w:rFonts w:ascii="宋体" w:hAnsi="宋体"/>
          <w:bCs/>
          <w:color w:val="000000" w:themeColor="text1"/>
          <w:sz w:val="24"/>
          <w:szCs w:val="24"/>
          <w:highlight w:val="none"/>
        </w:rPr>
        <w:t xml:space="preserve">   </w:t>
      </w:r>
      <w:r>
        <w:rPr>
          <w:rFonts w:hint="eastAsia" w:ascii="宋体" w:hAnsi="宋体"/>
          <w:bCs/>
          <w:color w:val="000000" w:themeColor="text1"/>
          <w:sz w:val="24"/>
          <w:szCs w:val="24"/>
          <w:highlight w:val="none"/>
        </w:rPr>
        <w:t xml:space="preserve">（</w:t>
      </w:r>
      <w:r>
        <w:rPr>
          <w:rFonts w:ascii="宋体" w:hAnsi="宋体"/>
          <w:bCs/>
          <w:color w:val="000000" w:themeColor="text1"/>
          <w:sz w:val="24"/>
          <w:szCs w:val="24"/>
          <w:highlight w:val="none"/>
        </w:rPr>
        <w:t xml:space="preserve">2</w:t>
      </w:r>
      <w:r>
        <w:rPr>
          <w:rFonts w:hint="eastAsia" w:ascii="宋体" w:hAnsi="宋体"/>
          <w:bCs/>
          <w:color w:val="000000" w:themeColor="text1"/>
          <w:sz w:val="24"/>
          <w:szCs w:val="24"/>
          <w:highlight w:val="none"/>
        </w:rPr>
        <w:t xml:space="preserve">）如无任何技术偏离，请于本表 “偏离说明”中注明“无偏离”；</w:t>
      </w:r>
      <w:r>
        <w:rPr>
          <w:rFonts w:ascii="宋体" w:hAnsi="宋体"/>
          <w:bCs/>
          <w:color w:val="000000" w:themeColor="text1"/>
          <w:sz w:val="24"/>
          <w:szCs w:val="24"/>
          <w:highlight w:val="none"/>
        </w:rPr>
      </w:r>
      <w:r>
        <w:rPr>
          <w:color w:val="000000" w:themeColor="text1"/>
          <w:highlight w:val="none"/>
        </w:rPr>
      </w:r>
    </w:p>
    <w:p>
      <w:pPr>
        <w:pStyle w:val="883"/>
        <w:ind w:firstLine="420"/>
        <w:rPr>
          <w:rFonts w:hint="eastAsia" w:ascii="宋体" w:hAnsi="宋体"/>
          <w:bCs/>
          <w:color w:val="000000" w:themeColor="text1"/>
          <w:sz w:val="24"/>
          <w:szCs w:val="24"/>
          <w:highlight w:val="none"/>
        </w:rPr>
        <w:outlineLvl w:val="0"/>
      </w:pPr>
      <w:r>
        <w:rPr>
          <w:rFonts w:hint="eastAsia" w:ascii="宋体" w:hAnsi="宋体"/>
          <w:bCs/>
          <w:color w:val="000000" w:themeColor="text1"/>
          <w:sz w:val="24"/>
          <w:szCs w:val="24"/>
          <w:highlight w:val="none"/>
        </w:rPr>
        <w:t xml:space="preserve">   （3）如有技术偏离项，请于本表中列明偏离内容，如需要可自行延长，其余无偏离内容不须赘述。</w:t>
      </w:r>
      <w:bookmarkEnd w:id="189"/>
      <w:r>
        <w:rPr>
          <w:color w:val="000000" w:themeColor="text1"/>
          <w:highlight w:val="none"/>
        </w:rPr>
      </w:r>
      <w:bookmarkEnd w:id="190"/>
      <w:r>
        <w:rPr>
          <w:color w:val="000000" w:themeColor="text1"/>
          <w:highlight w:val="none"/>
        </w:rPr>
      </w:r>
      <w:bookmarkEnd w:id="200"/>
      <w:r>
        <w:rPr>
          <w:color w:val="000000" w:themeColor="text1"/>
          <w:highlight w:val="none"/>
        </w:rPr>
      </w:r>
      <w:bookmarkStart w:id="201" w:name="_Hlt26609389"/>
      <w:r>
        <w:rPr>
          <w:color w:val="000000" w:themeColor="text1"/>
          <w:highlight w:val="none"/>
        </w:rPr>
      </w:r>
      <w:bookmarkEnd w:id="201"/>
      <w:r>
        <w:rPr>
          <w:color w:val="000000" w:themeColor="text1"/>
          <w:highlight w:val="none"/>
        </w:rPr>
      </w:r>
      <w:bookmarkStart w:id="202" w:name="_Hlt26955066"/>
      <w:r>
        <w:rPr>
          <w:color w:val="000000" w:themeColor="text1"/>
          <w:highlight w:val="none"/>
        </w:rPr>
      </w:r>
      <w:bookmarkEnd w:id="202"/>
      <w:r>
        <w:rPr>
          <w:color w:val="000000" w:themeColor="text1"/>
          <w:highlight w:val="none"/>
        </w:rPr>
      </w:r>
      <w:bookmarkStart w:id="203" w:name="_格式2__法定代表人授权书"/>
      <w:r>
        <w:rPr>
          <w:color w:val="000000" w:themeColor="text1"/>
          <w:highlight w:val="none"/>
        </w:rPr>
      </w:r>
      <w:bookmarkEnd w:id="203"/>
      <w:r>
        <w:rPr>
          <w:color w:val="000000" w:themeColor="text1"/>
          <w:highlight w:val="none"/>
        </w:rPr>
      </w:r>
      <w:bookmarkStart w:id="204" w:name="_Hlt26671374"/>
      <w:r>
        <w:rPr>
          <w:color w:val="000000" w:themeColor="text1"/>
          <w:highlight w:val="none"/>
        </w:rPr>
      </w:r>
      <w:bookmarkEnd w:id="204"/>
      <w:r>
        <w:rPr>
          <w:rFonts w:hint="eastAsia" w:ascii="宋体" w:hAnsi="宋体"/>
          <w:bCs/>
          <w:color w:val="000000" w:themeColor="text1"/>
          <w:sz w:val="24"/>
          <w:szCs w:val="24"/>
          <w:highlight w:val="none"/>
        </w:rPr>
      </w:r>
      <w:r>
        <w:rPr>
          <w:color w:val="000000" w:themeColor="text1"/>
          <w:highlight w:val="none"/>
        </w:rPr>
      </w:r>
    </w:p>
    <w:p>
      <w:pPr>
        <w:pStyle w:val="883"/>
        <w:ind w:firstLine="420"/>
        <w:rPr>
          <w:rFonts w:ascii="宋体" w:hAnsi="宋体"/>
          <w:bCs/>
          <w:color w:val="000000" w:themeColor="text1"/>
          <w:sz w:val="24"/>
          <w:szCs w:val="24"/>
          <w:highlight w:val="none"/>
        </w:rPr>
        <w:outlineLvl w:val="0"/>
      </w:pPr>
      <w:r>
        <w:rPr>
          <w:rFonts w:ascii="宋体" w:hAnsi="宋体"/>
          <w:bCs/>
          <w:color w:val="000000" w:themeColor="text1"/>
          <w:sz w:val="24"/>
          <w:szCs w:val="24"/>
          <w:highlight w:val="none"/>
        </w:rPr>
      </w:r>
      <w:r>
        <w:rPr>
          <w:color w:val="000000" w:themeColor="text1"/>
          <w:highlight w:val="none"/>
        </w:rPr>
      </w:r>
    </w:p>
    <w:p>
      <w:pPr>
        <w:pStyle w:val="883"/>
        <w:spacing w:line="360" w:lineRule="auto"/>
        <w:rPr>
          <w:b/>
          <w:color w:val="000000" w:themeColor="text1"/>
          <w:sz w:val="28"/>
          <w:szCs w:val="28"/>
          <w:highlight w:val="none"/>
        </w:rPr>
      </w:pPr>
      <w:r>
        <w:rPr>
          <w:rFonts w:ascii="宋体" w:hAnsi="宋体"/>
          <w:bCs/>
          <w:color w:val="000000" w:themeColor="text1"/>
          <w:sz w:val="24"/>
          <w:szCs w:val="24"/>
          <w:highlight w:val="none"/>
        </w:rPr>
        <w:br w:type="page" w:clear="all"/>
      </w:r>
      <w:r>
        <w:rPr>
          <w:rFonts w:hint="eastAsia"/>
          <w:b/>
          <w:color w:val="000000" w:themeColor="text1"/>
          <w:sz w:val="28"/>
          <w:szCs w:val="28"/>
          <w:highlight w:val="none"/>
        </w:rPr>
        <w:t xml:space="preserve">十一、项目人员配置清单（格式）</w:t>
      </w:r>
      <w:r>
        <w:rPr>
          <w:b/>
          <w:color w:val="000000" w:themeColor="text1"/>
          <w:sz w:val="28"/>
          <w:szCs w:val="28"/>
          <w:highlight w:val="none"/>
        </w:rPr>
      </w:r>
      <w:r>
        <w:rPr>
          <w:color w:val="000000" w:themeColor="text1"/>
          <w:highlight w:val="none"/>
        </w:rPr>
      </w:r>
    </w:p>
    <w:p>
      <w:pPr>
        <w:pStyle w:val="883"/>
        <w:spacing w:line="400" w:lineRule="exact"/>
        <w:rPr>
          <w:rFonts w:ascii="黑体" w:eastAsia="黑体"/>
          <w:bCs/>
          <w:color w:val="000000" w:themeColor="text1"/>
          <w:sz w:val="28"/>
          <w:szCs w:val="28"/>
          <w:highlight w:val="none"/>
        </w:rPr>
      </w:pPr>
      <w:r>
        <w:rPr>
          <w:rFonts w:ascii="黑体" w:eastAsia="黑体"/>
          <w:bCs/>
          <w:color w:val="000000" w:themeColor="text1"/>
          <w:sz w:val="28"/>
          <w:szCs w:val="28"/>
          <w:highlight w:val="none"/>
        </w:rPr>
      </w:r>
      <w:r>
        <w:rPr>
          <w:color w:val="000000" w:themeColor="text1"/>
          <w:highlight w:val="none"/>
        </w:rPr>
      </w:r>
    </w:p>
    <w:p>
      <w:pPr>
        <w:pStyle w:val="883"/>
        <w:jc w:val="center"/>
        <w:spacing w:line="400" w:lineRule="exact"/>
        <w:rPr>
          <w:rFonts w:hint="eastAsia" w:ascii="黑体" w:eastAsia="黑体"/>
          <w:bCs/>
          <w:color w:val="000000" w:themeColor="text1"/>
          <w:sz w:val="28"/>
          <w:szCs w:val="28"/>
          <w:highlight w:val="none"/>
        </w:rPr>
      </w:pPr>
      <w:r>
        <w:rPr>
          <w:rFonts w:hint="eastAsia" w:ascii="黑体" w:eastAsia="黑体"/>
          <w:bCs/>
          <w:color w:val="000000" w:themeColor="text1"/>
          <w:sz w:val="28"/>
          <w:szCs w:val="28"/>
          <w:highlight w:val="none"/>
        </w:rPr>
        <w:t xml:space="preserve">项目人员配置清单</w:t>
      </w:r>
      <w:r>
        <w:rPr>
          <w:color w:val="000000" w:themeColor="text1"/>
          <w:highlight w:val="none"/>
        </w:rPr>
      </w:r>
    </w:p>
    <w:p>
      <w:pPr>
        <w:pStyle w:val="883"/>
        <w:jc w:val="center"/>
        <w:spacing w:line="400" w:lineRule="exact"/>
        <w:rPr>
          <w:rFonts w:ascii="黑体" w:eastAsia="黑体"/>
          <w:bCs/>
          <w:color w:val="000000" w:themeColor="text1"/>
          <w:sz w:val="28"/>
          <w:szCs w:val="28"/>
          <w:highlight w:val="none"/>
        </w:rPr>
      </w:pPr>
      <w:r>
        <w:rPr>
          <w:rFonts w:ascii="黑体" w:eastAsia="黑体"/>
          <w:bCs/>
          <w:color w:val="000000" w:themeColor="text1"/>
          <w:sz w:val="28"/>
          <w:szCs w:val="28"/>
          <w:highlight w:val="none"/>
        </w:rPr>
      </w:r>
      <w:r>
        <w:rPr>
          <w:color w:val="000000" w:themeColor="text1"/>
          <w:highlight w:val="none"/>
        </w:rPr>
      </w:r>
    </w:p>
    <w:p>
      <w:pPr>
        <w:pStyle w:val="883"/>
        <w:rPr>
          <w:rFonts w:ascii="黑体" w:eastAsia="黑体"/>
          <w:bCs/>
          <w:color w:val="000000" w:themeColor="text1"/>
          <w:sz w:val="24"/>
          <w:szCs w:val="24"/>
          <w:highlight w:val="none"/>
        </w:rPr>
      </w:pPr>
      <w:r>
        <w:rPr>
          <w:rFonts w:hint="eastAsia" w:ascii="黑体" w:eastAsia="黑体"/>
          <w:bCs/>
          <w:color w:val="000000" w:themeColor="text1"/>
          <w:sz w:val="24"/>
          <w:szCs w:val="24"/>
          <w:highlight w:val="none"/>
        </w:rPr>
        <w:t xml:space="preserve">项目编号：</w:t>
      </w:r>
      <w:r>
        <w:rPr>
          <w:rFonts w:hint="eastAsia" w:ascii="黑体" w:eastAsia="黑体"/>
          <w:bCs/>
          <w:color w:val="000000" w:themeColor="text1"/>
          <w:sz w:val="24"/>
          <w:szCs w:val="24"/>
          <w:highlight w:val="none"/>
        </w:rPr>
        <w:t xml:space="preserve">JSZC-320200-JZCG-G2025-0021</w:t>
      </w:r>
      <w:r>
        <w:rPr>
          <w:rFonts w:ascii="黑体" w:eastAsia="黑体"/>
          <w:bCs/>
          <w:color w:val="000000" w:themeColor="text1"/>
          <w:sz w:val="24"/>
          <w:szCs w:val="24"/>
          <w:highlight w:val="none"/>
        </w:rPr>
      </w:r>
      <w:r>
        <w:rPr>
          <w:color w:val="000000" w:themeColor="text1"/>
          <w:highlight w:val="none"/>
        </w:rP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trHeight w:val="865"/>
        </w:trPr>
        <w:tc>
          <w:tcPr>
            <w:tcW w:w="704" w:type="dxa"/>
            <w:vAlign w:val="center"/>
            <w:textDirection w:val="lrTb"/>
            <w:noWrap w:val="false"/>
          </w:tcPr>
          <w:p>
            <w:pPr>
              <w:pStyle w:val="883"/>
              <w:jc w:val="center"/>
              <w:rPr>
                <w:b/>
                <w:color w:val="000000" w:themeColor="text1"/>
                <w:sz w:val="24"/>
                <w:highlight w:val="none"/>
              </w:rPr>
            </w:pPr>
            <w:r>
              <w:rPr>
                <w:rFonts w:hint="eastAsia"/>
                <w:b/>
                <w:color w:val="000000" w:themeColor="text1"/>
                <w:sz w:val="24"/>
                <w:highlight w:val="none"/>
              </w:rPr>
              <w:t xml:space="preserve">序号</w:t>
            </w:r>
            <w:r>
              <w:rPr>
                <w:b/>
                <w:color w:val="000000" w:themeColor="text1"/>
                <w:sz w:val="24"/>
                <w:highlight w:val="none"/>
              </w:rPr>
            </w:r>
            <w:r>
              <w:rPr>
                <w:color w:val="000000" w:themeColor="text1"/>
                <w:highlight w:val="none"/>
              </w:rPr>
            </w:r>
          </w:p>
        </w:tc>
        <w:tc>
          <w:tcPr>
            <w:tcW w:w="1476" w:type="dxa"/>
            <w:vAlign w:val="center"/>
            <w:textDirection w:val="lrTb"/>
            <w:noWrap w:val="false"/>
          </w:tcPr>
          <w:p>
            <w:pPr>
              <w:pStyle w:val="883"/>
              <w:jc w:val="center"/>
              <w:rPr>
                <w:b/>
                <w:color w:val="000000" w:themeColor="text1"/>
                <w:sz w:val="24"/>
                <w:highlight w:val="none"/>
              </w:rPr>
            </w:pPr>
            <w:r>
              <w:rPr>
                <w:rFonts w:hint="eastAsia"/>
                <w:b/>
                <w:color w:val="000000" w:themeColor="text1"/>
                <w:sz w:val="24"/>
                <w:highlight w:val="none"/>
              </w:rPr>
              <w:t xml:space="preserve">姓名</w:t>
            </w:r>
            <w:r>
              <w:rPr>
                <w:b/>
                <w:color w:val="000000" w:themeColor="text1"/>
                <w:sz w:val="24"/>
                <w:highlight w:val="none"/>
              </w:rPr>
            </w:r>
            <w:r>
              <w:rPr>
                <w:color w:val="000000" w:themeColor="text1"/>
                <w:highlight w:val="none"/>
              </w:rPr>
            </w:r>
          </w:p>
        </w:tc>
        <w:tc>
          <w:tcPr>
            <w:tcW w:w="720" w:type="dxa"/>
            <w:vAlign w:val="center"/>
            <w:textDirection w:val="lrTb"/>
            <w:noWrap w:val="false"/>
          </w:tcPr>
          <w:p>
            <w:pPr>
              <w:pStyle w:val="883"/>
              <w:jc w:val="center"/>
              <w:rPr>
                <w:b/>
                <w:color w:val="000000" w:themeColor="text1"/>
                <w:sz w:val="24"/>
                <w:highlight w:val="none"/>
              </w:rPr>
            </w:pPr>
            <w:r>
              <w:rPr>
                <w:rFonts w:hint="eastAsia"/>
                <w:b/>
                <w:color w:val="000000" w:themeColor="text1"/>
                <w:sz w:val="24"/>
                <w:highlight w:val="none"/>
              </w:rPr>
              <w:t xml:space="preserve">年龄</w:t>
            </w:r>
            <w:r>
              <w:rPr>
                <w:b/>
                <w:color w:val="000000" w:themeColor="text1"/>
                <w:sz w:val="24"/>
                <w:highlight w:val="none"/>
              </w:rPr>
            </w:r>
            <w:r>
              <w:rPr>
                <w:color w:val="000000" w:themeColor="text1"/>
                <w:highlight w:val="none"/>
              </w:rPr>
            </w:r>
          </w:p>
        </w:tc>
        <w:tc>
          <w:tcPr>
            <w:tcW w:w="2520" w:type="dxa"/>
            <w:vAlign w:val="center"/>
            <w:textDirection w:val="lrTb"/>
            <w:noWrap w:val="false"/>
          </w:tcPr>
          <w:p>
            <w:pPr>
              <w:pStyle w:val="883"/>
              <w:jc w:val="center"/>
              <w:rPr>
                <w:b/>
                <w:color w:val="000000" w:themeColor="text1"/>
                <w:sz w:val="24"/>
                <w:highlight w:val="none"/>
              </w:rPr>
            </w:pPr>
            <w:r>
              <w:rPr>
                <w:rFonts w:hint="eastAsia"/>
                <w:b/>
                <w:color w:val="000000" w:themeColor="text1"/>
                <w:sz w:val="24"/>
                <w:highlight w:val="none"/>
              </w:rPr>
              <w:t xml:space="preserve">本项目职责</w:t>
            </w:r>
            <w:r>
              <w:rPr>
                <w:b/>
                <w:color w:val="000000" w:themeColor="text1"/>
                <w:sz w:val="24"/>
                <w:highlight w:val="none"/>
              </w:rPr>
            </w:r>
            <w:r>
              <w:rPr>
                <w:color w:val="000000" w:themeColor="text1"/>
                <w:highlight w:val="none"/>
              </w:rPr>
            </w:r>
          </w:p>
        </w:tc>
        <w:tc>
          <w:tcPr>
            <w:tcW w:w="3274" w:type="dxa"/>
            <w:vAlign w:val="center"/>
            <w:textDirection w:val="lrTb"/>
            <w:noWrap w:val="false"/>
          </w:tcPr>
          <w:p>
            <w:pPr>
              <w:pStyle w:val="883"/>
              <w:jc w:val="center"/>
              <w:rPr>
                <w:b/>
                <w:color w:val="000000" w:themeColor="text1"/>
                <w:sz w:val="24"/>
                <w:highlight w:val="none"/>
              </w:rPr>
            </w:pPr>
            <w:r>
              <w:rPr>
                <w:rFonts w:hint="eastAsia"/>
                <w:b/>
                <w:color w:val="000000" w:themeColor="text1"/>
                <w:sz w:val="24"/>
                <w:highlight w:val="none"/>
              </w:rPr>
              <w:t xml:space="preserve">人员证书名称</w:t>
            </w:r>
            <w:r>
              <w:rPr>
                <w:b/>
                <w:color w:val="000000" w:themeColor="text1"/>
                <w:sz w:val="24"/>
                <w:highlight w:val="none"/>
              </w:rPr>
            </w:r>
            <w:r>
              <w:rPr>
                <w:color w:val="000000" w:themeColor="text1"/>
                <w:highlight w:val="none"/>
              </w:rPr>
            </w:r>
          </w:p>
        </w:tc>
      </w:tr>
      <w:tr>
        <w:trPr>
          <w:trHeight w:val="680"/>
        </w:trPr>
        <w:tc>
          <w:tcPr>
            <w:tcW w:w="704" w:type="dxa"/>
            <w:vAlign w:val="top"/>
            <w:textDirection w:val="lrTb"/>
            <w:noWrap w:val="false"/>
          </w:tcPr>
          <w:p>
            <w:pPr>
              <w:pStyle w:val="883"/>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1476" w:type="dxa"/>
            <w:vAlign w:val="top"/>
            <w:textDirection w:val="lrTb"/>
            <w:noWrap w:val="false"/>
          </w:tcPr>
          <w:p>
            <w:pPr>
              <w:pStyle w:val="883"/>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720" w:type="dxa"/>
            <w:vAlign w:val="top"/>
            <w:textDirection w:val="lrTb"/>
            <w:noWrap w:val="false"/>
          </w:tcPr>
          <w:p>
            <w:pPr>
              <w:pStyle w:val="883"/>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2520" w:type="dxa"/>
            <w:vAlign w:val="top"/>
            <w:textDirection w:val="lrTb"/>
            <w:noWrap w:val="false"/>
          </w:tcPr>
          <w:p>
            <w:pPr>
              <w:pStyle w:val="883"/>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3274" w:type="dxa"/>
            <w:vAlign w:val="top"/>
            <w:textDirection w:val="lrTb"/>
            <w:noWrap w:val="false"/>
          </w:tcPr>
          <w:p>
            <w:pPr>
              <w:pStyle w:val="883"/>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r>
      <w:tr>
        <w:trPr>
          <w:trHeight w:val="680"/>
        </w:trPr>
        <w:tc>
          <w:tcPr>
            <w:tcW w:w="704" w:type="dxa"/>
            <w:vAlign w:val="top"/>
            <w:textDirection w:val="lrTb"/>
            <w:noWrap w:val="false"/>
          </w:tcPr>
          <w:p>
            <w:pPr>
              <w:pStyle w:val="883"/>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1476" w:type="dxa"/>
            <w:vAlign w:val="top"/>
            <w:textDirection w:val="lrTb"/>
            <w:noWrap w:val="false"/>
          </w:tcPr>
          <w:p>
            <w:pPr>
              <w:pStyle w:val="883"/>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720" w:type="dxa"/>
            <w:vAlign w:val="top"/>
            <w:textDirection w:val="lrTb"/>
            <w:noWrap w:val="false"/>
          </w:tcPr>
          <w:p>
            <w:pPr>
              <w:pStyle w:val="883"/>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2520" w:type="dxa"/>
            <w:vAlign w:val="top"/>
            <w:textDirection w:val="lrTb"/>
            <w:noWrap w:val="false"/>
          </w:tcPr>
          <w:p>
            <w:pPr>
              <w:pStyle w:val="883"/>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3274" w:type="dxa"/>
            <w:vAlign w:val="top"/>
            <w:textDirection w:val="lrTb"/>
            <w:noWrap w:val="false"/>
          </w:tcPr>
          <w:p>
            <w:pPr>
              <w:pStyle w:val="883"/>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r>
      <w:tr>
        <w:trPr>
          <w:trHeight w:val="680"/>
        </w:trPr>
        <w:tc>
          <w:tcPr>
            <w:tcW w:w="704" w:type="dxa"/>
            <w:vAlign w:val="top"/>
            <w:textDirection w:val="lrTb"/>
            <w:noWrap w:val="false"/>
          </w:tcPr>
          <w:p>
            <w:pPr>
              <w:pStyle w:val="883"/>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1476" w:type="dxa"/>
            <w:vAlign w:val="top"/>
            <w:textDirection w:val="lrTb"/>
            <w:noWrap w:val="false"/>
          </w:tcPr>
          <w:p>
            <w:pPr>
              <w:pStyle w:val="883"/>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720" w:type="dxa"/>
            <w:vAlign w:val="top"/>
            <w:textDirection w:val="lrTb"/>
            <w:noWrap w:val="false"/>
          </w:tcPr>
          <w:p>
            <w:pPr>
              <w:pStyle w:val="883"/>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2520" w:type="dxa"/>
            <w:vAlign w:val="top"/>
            <w:textDirection w:val="lrTb"/>
            <w:noWrap w:val="false"/>
          </w:tcPr>
          <w:p>
            <w:pPr>
              <w:pStyle w:val="883"/>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3274" w:type="dxa"/>
            <w:vAlign w:val="top"/>
            <w:textDirection w:val="lrTb"/>
            <w:noWrap w:val="false"/>
          </w:tcPr>
          <w:p>
            <w:pPr>
              <w:pStyle w:val="883"/>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r>
      <w:tr>
        <w:trPr>
          <w:trHeight w:val="680"/>
        </w:trPr>
        <w:tc>
          <w:tcPr>
            <w:tcW w:w="704" w:type="dxa"/>
            <w:vAlign w:val="top"/>
            <w:textDirection w:val="lrTb"/>
            <w:noWrap w:val="false"/>
          </w:tcPr>
          <w:p>
            <w:pPr>
              <w:pStyle w:val="883"/>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1476" w:type="dxa"/>
            <w:vAlign w:val="top"/>
            <w:textDirection w:val="lrTb"/>
            <w:noWrap w:val="false"/>
          </w:tcPr>
          <w:p>
            <w:pPr>
              <w:pStyle w:val="883"/>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720" w:type="dxa"/>
            <w:vAlign w:val="top"/>
            <w:textDirection w:val="lrTb"/>
            <w:noWrap w:val="false"/>
          </w:tcPr>
          <w:p>
            <w:pPr>
              <w:pStyle w:val="883"/>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2520" w:type="dxa"/>
            <w:vAlign w:val="top"/>
            <w:textDirection w:val="lrTb"/>
            <w:noWrap w:val="false"/>
          </w:tcPr>
          <w:p>
            <w:pPr>
              <w:pStyle w:val="883"/>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3274" w:type="dxa"/>
            <w:vAlign w:val="top"/>
            <w:textDirection w:val="lrTb"/>
            <w:noWrap w:val="false"/>
          </w:tcPr>
          <w:p>
            <w:pPr>
              <w:pStyle w:val="883"/>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r>
      <w:tr>
        <w:trPr>
          <w:trHeight w:val="680"/>
        </w:trPr>
        <w:tc>
          <w:tcPr>
            <w:tcW w:w="704" w:type="dxa"/>
            <w:vAlign w:val="top"/>
            <w:textDirection w:val="lrTb"/>
            <w:noWrap w:val="false"/>
          </w:tcPr>
          <w:p>
            <w:pPr>
              <w:pStyle w:val="883"/>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1476" w:type="dxa"/>
            <w:vAlign w:val="top"/>
            <w:textDirection w:val="lrTb"/>
            <w:noWrap w:val="false"/>
          </w:tcPr>
          <w:p>
            <w:pPr>
              <w:pStyle w:val="883"/>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720" w:type="dxa"/>
            <w:vAlign w:val="top"/>
            <w:textDirection w:val="lrTb"/>
            <w:noWrap w:val="false"/>
          </w:tcPr>
          <w:p>
            <w:pPr>
              <w:pStyle w:val="883"/>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2520" w:type="dxa"/>
            <w:vAlign w:val="top"/>
            <w:textDirection w:val="lrTb"/>
            <w:noWrap w:val="false"/>
          </w:tcPr>
          <w:p>
            <w:pPr>
              <w:pStyle w:val="883"/>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3274" w:type="dxa"/>
            <w:vAlign w:val="top"/>
            <w:textDirection w:val="lrTb"/>
            <w:noWrap w:val="false"/>
          </w:tcPr>
          <w:p>
            <w:pPr>
              <w:pStyle w:val="883"/>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r>
    </w:tbl>
    <w:p>
      <w:pPr>
        <w:pStyle w:val="883"/>
        <w:rPr>
          <w:b/>
          <w:bCs/>
          <w:color w:val="000000" w:themeColor="text1"/>
          <w:sz w:val="24"/>
          <w:szCs w:val="24"/>
          <w:highlight w:val="none"/>
        </w:rPr>
      </w:pPr>
      <w:r>
        <w:rPr>
          <w:rFonts w:hint="eastAsia" w:ascii="黑体" w:eastAsia="黑体"/>
          <w:bCs/>
          <w:color w:val="000000" w:themeColor="text1"/>
          <w:sz w:val="24"/>
          <w:szCs w:val="24"/>
          <w:highlight w:val="none"/>
        </w:rPr>
        <w:t xml:space="preserve">投标人名称（盖章）</w:t>
      </w:r>
      <w:r>
        <w:rPr>
          <w:b/>
          <w:bCs/>
          <w:color w:val="000000" w:themeColor="text1"/>
          <w:sz w:val="24"/>
          <w:szCs w:val="24"/>
          <w:highlight w:val="none"/>
        </w:rPr>
      </w:r>
      <w:r>
        <w:rPr>
          <w:color w:val="000000" w:themeColor="text1"/>
          <w:highlight w:val="none"/>
        </w:rPr>
      </w:r>
    </w:p>
    <w:p>
      <w:pPr>
        <w:pStyle w:val="883"/>
        <w:rPr>
          <w:rFonts w:hint="eastAsia" w:ascii="宋体" w:hAnsi="宋体"/>
          <w:bCs/>
          <w:color w:val="000000" w:themeColor="text1"/>
          <w:highlight w:val="none"/>
        </w:rPr>
      </w:pPr>
      <w:r>
        <w:rPr>
          <w:rFonts w:hint="eastAsia" w:ascii="宋体" w:hAnsi="宋体"/>
          <w:bCs/>
          <w:color w:val="000000" w:themeColor="text1"/>
          <w:highlight w:val="none"/>
        </w:rPr>
      </w:r>
      <w:r>
        <w:rPr>
          <w:color w:val="000000" w:themeColor="text1"/>
          <w:highlight w:val="none"/>
        </w:rPr>
      </w:r>
    </w:p>
    <w:p>
      <w:pPr>
        <w:pStyle w:val="883"/>
        <w:rPr>
          <w:rFonts w:ascii="宋体" w:hAnsi="宋体"/>
          <w:bCs/>
          <w:color w:val="000000" w:themeColor="text1"/>
          <w:highlight w:val="none"/>
        </w:rPr>
      </w:pPr>
      <w:r>
        <w:rPr>
          <w:rFonts w:hint="eastAsia" w:ascii="宋体" w:hAnsi="宋体"/>
          <w:bCs/>
          <w:color w:val="000000" w:themeColor="text1"/>
          <w:highlight w:val="none"/>
        </w:rPr>
        <w:t xml:space="preserve">注：1. 表格不够可自行延长。</w:t>
      </w:r>
      <w:r>
        <w:rPr>
          <w:rFonts w:ascii="宋体" w:hAnsi="宋体"/>
          <w:bCs/>
          <w:color w:val="000000" w:themeColor="text1"/>
          <w:highlight w:val="none"/>
        </w:rPr>
      </w:r>
      <w:r>
        <w:rPr>
          <w:color w:val="000000" w:themeColor="text1"/>
          <w:highlight w:val="none"/>
        </w:rPr>
      </w:r>
    </w:p>
    <w:p>
      <w:pPr>
        <w:pStyle w:val="883"/>
        <w:ind w:firstLine="420"/>
        <w:rPr>
          <w:color w:val="000000" w:themeColor="text1"/>
          <w:highlight w:val="none"/>
        </w:rPr>
      </w:pPr>
      <w:r>
        <w:rPr>
          <w:rFonts w:hint="eastAsia" w:ascii="宋体" w:hAnsi="宋体"/>
          <w:bCs/>
          <w:color w:val="000000" w:themeColor="text1"/>
          <w:highlight w:val="none"/>
        </w:rPr>
        <w:t xml:space="preserve">2.上表内容须提供投标人近一年中任意一个月份(不含投标当月)经社保部门确认的社保缴纳名单复印件（标注各人员所处位置）和相关证书复印件作为填列证明材料，证明材料请附在本表之后。</w:t>
      </w:r>
      <w:r>
        <w:rPr>
          <w:color w:val="000000" w:themeColor="text1"/>
          <w:highlight w:val="none"/>
        </w:rPr>
      </w:r>
    </w:p>
    <w:p>
      <w:pPr>
        <w:pStyle w:val="883"/>
        <w:rPr>
          <w:rFonts w:hint="eastAsia" w:ascii="宋体" w:hAnsi="宋体"/>
          <w:bCs/>
          <w:color w:val="000000" w:themeColor="text1"/>
          <w:highlight w:val="none"/>
        </w:rPr>
        <w:outlineLvl w:val="0"/>
      </w:pPr>
      <w:r>
        <w:rPr>
          <w:rFonts w:hint="eastAsia" w:ascii="宋体" w:hAnsi="宋体"/>
          <w:bCs/>
          <w:color w:val="000000" w:themeColor="text1"/>
          <w:highlight w:val="none"/>
        </w:rPr>
      </w:r>
      <w:r>
        <w:rPr>
          <w:color w:val="000000" w:themeColor="text1"/>
          <w:highlight w:val="none"/>
        </w:rP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rPr>
        <w:rStyle w:val="956"/>
        <w:rFonts w:ascii="宋体" w:hAnsi="宋体"/>
      </w:rPr>
      <w:framePr w:wrap="around" w:vAnchor="text" w:hAnchor="margin" w:xAlign="center" w:y="1"/>
    </w:pPr>
    <w:r>
      <w:rPr>
        <w:rFonts w:ascii="宋体" w:hAnsi="宋体"/>
      </w:rPr>
      <w:fldChar w:fldCharType="begin"/>
    </w:r>
    <w:r>
      <w:rPr>
        <w:rStyle w:val="956"/>
        <w:rFonts w:ascii="宋体" w:hAnsi="宋体"/>
      </w:rPr>
      <w:instrText xml:space="preserve">PAGE  </w:instrText>
    </w:r>
    <w:r>
      <w:rPr>
        <w:rFonts w:ascii="宋体" w:hAnsi="宋体"/>
      </w:rPr>
      <w:fldChar w:fldCharType="separate"/>
    </w:r>
    <w:r>
      <w:rPr>
        <w:rStyle w:val="956"/>
        <w:rFonts w:ascii="宋体" w:hAnsi="宋体"/>
      </w:rPr>
      <w:t xml:space="preserve">１２０</w:t>
    </w:r>
    <w:r>
      <w:rPr>
        <w:rFonts w:ascii="宋体" w:hAnsi="宋体"/>
      </w:rPr>
      <w:fldChar w:fldCharType="end"/>
    </w:r>
    <w:r>
      <w:rPr>
        <w:rStyle w:val="956"/>
        <w:rFonts w:ascii="宋体" w:hAnsi="宋体"/>
      </w:rPr>
    </w:r>
    <w:r/>
  </w:p>
  <w:p>
    <w:pPr>
      <w:pStyle w:val="931"/>
      <w:jc w:val="center"/>
      <w:rPr>
        <w:rFonts w:hint="eastAsia"/>
      </w:rPr>
    </w:pPr>
    <w:r>
      <w:rPr>
        <w:sz w:val="20"/>
      </w:rPr>
      <w:t xml:space="preserve"> </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rPr>
        <w:rStyle w:val="956"/>
      </w:rPr>
      <w:framePr w:wrap="around" w:vAnchor="text" w:hAnchor="margin" w:xAlign="center" w:y="1"/>
    </w:pPr>
    <w:r>
      <w:fldChar w:fldCharType="begin"/>
    </w:r>
    <w:r>
      <w:rPr>
        <w:rStyle w:val="956"/>
      </w:rPr>
      <w:instrText xml:space="preserve">PAGE  </w:instrText>
    </w:r>
    <w:r>
      <w:fldChar w:fldCharType="separate"/>
    </w:r>
    <w:r>
      <w:rPr>
        <w:rStyle w:val="956"/>
      </w:rPr>
      <w:t xml:space="preserve">1</w:t>
    </w:r>
    <w:r>
      <w:fldChar w:fldCharType="end"/>
    </w:r>
    <w:r>
      <w:rPr>
        <w:rStyle w:val="956"/>
      </w:rPr>
    </w:r>
    <w:r/>
  </w:p>
  <w:p>
    <w:pPr>
      <w:pStyle w:val="93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8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pStyle w:val="883"/>
        <w:ind w:left="1080" w:hanging="1080"/>
        <w:tabs>
          <w:tab w:val="num" w:pos="1080" w:leader="none"/>
        </w:tabs>
      </w:pPr>
      <w:rPr>
        <w:rFonts w:hint="eastAsia" w:cs="Times New Roman"/>
      </w:rPr>
    </w:lvl>
    <w:lvl w:ilvl="1">
      <w:start w:val="1"/>
      <w:numFmt w:val="decimal"/>
      <w:isLgl w:val="false"/>
      <w:suff w:val="tab"/>
      <w:lvlText w:val="%2."/>
      <w:lvlJc w:val="left"/>
      <w:pPr>
        <w:pStyle w:val="883"/>
        <w:ind w:left="780" w:hanging="360"/>
        <w:tabs>
          <w:tab w:val="num" w:pos="780" w:leader="none"/>
        </w:tabs>
      </w:pPr>
      <w:rPr>
        <w:rFonts w:hint="eastAsia" w:cs="Times New Roman"/>
        <w:color w:val="000000"/>
      </w:rPr>
    </w:lvl>
    <w:lvl w:ilvl="2">
      <w:start w:val="1"/>
      <w:numFmt w:val="lowerRoman"/>
      <w:isLgl w:val="false"/>
      <w:suff w:val="tab"/>
      <w:lvlText w:val="%3."/>
      <w:lvlJc w:val="right"/>
      <w:pPr>
        <w:pStyle w:val="883"/>
        <w:ind w:left="1260" w:hanging="420"/>
        <w:tabs>
          <w:tab w:val="num" w:pos="1260" w:leader="none"/>
        </w:tabs>
      </w:pPr>
      <w:rPr>
        <w:rFonts w:cs="Times New Roman"/>
      </w:rPr>
    </w:lvl>
    <w:lvl w:ilvl="3">
      <w:start w:val="1"/>
      <w:numFmt w:val="decimal"/>
      <w:isLgl w:val="false"/>
      <w:suff w:val="tab"/>
      <w:lvlText w:val="%4."/>
      <w:lvlJc w:val="left"/>
      <w:pPr>
        <w:pStyle w:val="883"/>
        <w:ind w:left="1680" w:hanging="420"/>
        <w:tabs>
          <w:tab w:val="num" w:pos="1680" w:leader="none"/>
        </w:tabs>
      </w:pPr>
      <w:rPr>
        <w:rFonts w:cs="Times New Roman"/>
      </w:rPr>
    </w:lvl>
    <w:lvl w:ilvl="4">
      <w:start w:val="1"/>
      <w:numFmt w:val="lowerLetter"/>
      <w:isLgl w:val="false"/>
      <w:suff w:val="tab"/>
      <w:lvlText w:val="%5)"/>
      <w:lvlJc w:val="left"/>
      <w:pPr>
        <w:pStyle w:val="883"/>
        <w:ind w:left="2100" w:hanging="420"/>
        <w:tabs>
          <w:tab w:val="num" w:pos="2100" w:leader="none"/>
        </w:tabs>
      </w:pPr>
      <w:rPr>
        <w:rFonts w:cs="Times New Roman"/>
      </w:rPr>
    </w:lvl>
    <w:lvl w:ilvl="5">
      <w:start w:val="1"/>
      <w:numFmt w:val="lowerRoman"/>
      <w:isLgl w:val="false"/>
      <w:suff w:val="tab"/>
      <w:lvlText w:val="%6."/>
      <w:lvlJc w:val="right"/>
      <w:pPr>
        <w:pStyle w:val="883"/>
        <w:ind w:left="2520" w:hanging="420"/>
        <w:tabs>
          <w:tab w:val="num" w:pos="2520" w:leader="none"/>
        </w:tabs>
      </w:pPr>
      <w:rPr>
        <w:rFonts w:cs="Times New Roman"/>
      </w:rPr>
    </w:lvl>
    <w:lvl w:ilvl="6">
      <w:start w:val="1"/>
      <w:numFmt w:val="decimal"/>
      <w:isLgl w:val="false"/>
      <w:suff w:val="tab"/>
      <w:lvlText w:val="%7."/>
      <w:lvlJc w:val="left"/>
      <w:pPr>
        <w:pStyle w:val="883"/>
        <w:ind w:left="2940" w:hanging="420"/>
        <w:tabs>
          <w:tab w:val="num" w:pos="2940" w:leader="none"/>
        </w:tabs>
      </w:pPr>
      <w:rPr>
        <w:rFonts w:cs="Times New Roman"/>
      </w:rPr>
    </w:lvl>
    <w:lvl w:ilvl="7">
      <w:start w:val="1"/>
      <w:numFmt w:val="lowerLetter"/>
      <w:isLgl w:val="false"/>
      <w:suff w:val="tab"/>
      <w:lvlText w:val="%8)"/>
      <w:lvlJc w:val="left"/>
      <w:pPr>
        <w:pStyle w:val="883"/>
        <w:ind w:left="3360" w:hanging="420"/>
        <w:tabs>
          <w:tab w:val="num" w:pos="3360" w:leader="none"/>
        </w:tabs>
      </w:pPr>
      <w:rPr>
        <w:rFonts w:cs="Times New Roman"/>
      </w:rPr>
    </w:lvl>
    <w:lvl w:ilvl="8">
      <w:start w:val="1"/>
      <w:numFmt w:val="lowerRoman"/>
      <w:isLgl w:val="false"/>
      <w:suff w:val="tab"/>
      <w:lvlText w:val="%9."/>
      <w:lvlJc w:val="right"/>
      <w:pPr>
        <w:pStyle w:val="883"/>
        <w:ind w:left="3780" w:hanging="420"/>
        <w:tabs>
          <w:tab w:val="num" w:pos="3780" w:leader="none"/>
        </w:tabs>
      </w:pPr>
      <w:rPr>
        <w:rFonts w:cs="Times New Roman"/>
      </w:rPr>
    </w:lvl>
  </w:abstractNum>
  <w:abstractNum w:abstractNumId="2">
    <w:multiLevelType w:val="hybridMultilevel"/>
    <w:lvl w:ilvl="0">
      <w:start w:val="1"/>
      <w:numFmt w:val="decimal"/>
      <w:isLgl w:val="false"/>
      <w:suff w:val="nothing"/>
      <w:lvlText w:val="（%1）"/>
      <w:lvlJc w:val="left"/>
      <w:pPr>
        <w:pStyle w:val="88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963"/>
      <w:isLgl w:val="false"/>
      <w:suff w:val="tab"/>
      <w:lvlText w:val="附录%1."/>
      <w:lvlJc w:val="left"/>
      <w:pPr>
        <w:pStyle w:val="883"/>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1）"/>
      <w:lvlJc w:val="left"/>
      <w:pPr>
        <w:pStyle w:val="883"/>
        <w:ind w:left="1080" w:hanging="1080"/>
        <w:tabs>
          <w:tab w:val="num" w:pos="1080" w:leader="none"/>
        </w:tabs>
      </w:pPr>
      <w:rPr>
        <w:rFonts w:hint="eastAsia" w:cs="Times New Roman"/>
      </w:rPr>
    </w:lvl>
    <w:lvl w:ilvl="1">
      <w:start w:val="1"/>
      <w:numFmt w:val="decimal"/>
      <w:isLgl w:val="false"/>
      <w:suff w:val="tab"/>
      <w:lvlText w:val="%2."/>
      <w:lvlJc w:val="left"/>
      <w:pPr>
        <w:pStyle w:val="883"/>
        <w:ind w:left="780" w:hanging="360"/>
        <w:tabs>
          <w:tab w:val="num" w:pos="780" w:leader="none"/>
        </w:tabs>
      </w:pPr>
      <w:rPr>
        <w:rFonts w:hint="eastAsia" w:cs="Times New Roman"/>
        <w:color w:val="000000"/>
      </w:rPr>
    </w:lvl>
    <w:lvl w:ilvl="2">
      <w:start w:val="1"/>
      <w:numFmt w:val="lowerRoman"/>
      <w:isLgl w:val="false"/>
      <w:suff w:val="tab"/>
      <w:lvlText w:val="%3."/>
      <w:lvlJc w:val="right"/>
      <w:pPr>
        <w:pStyle w:val="883"/>
        <w:ind w:left="1260" w:hanging="420"/>
        <w:tabs>
          <w:tab w:val="num" w:pos="1260" w:leader="none"/>
        </w:tabs>
      </w:pPr>
      <w:rPr>
        <w:rFonts w:cs="Times New Roman"/>
      </w:rPr>
    </w:lvl>
    <w:lvl w:ilvl="3">
      <w:start w:val="1"/>
      <w:numFmt w:val="decimal"/>
      <w:isLgl w:val="false"/>
      <w:suff w:val="tab"/>
      <w:lvlText w:val="%4."/>
      <w:lvlJc w:val="left"/>
      <w:pPr>
        <w:pStyle w:val="883"/>
        <w:ind w:left="1680" w:hanging="420"/>
        <w:tabs>
          <w:tab w:val="num" w:pos="1680" w:leader="none"/>
        </w:tabs>
      </w:pPr>
      <w:rPr>
        <w:rFonts w:cs="Times New Roman"/>
      </w:rPr>
    </w:lvl>
    <w:lvl w:ilvl="4">
      <w:start w:val="1"/>
      <w:numFmt w:val="lowerLetter"/>
      <w:isLgl w:val="false"/>
      <w:suff w:val="tab"/>
      <w:lvlText w:val="%5)"/>
      <w:lvlJc w:val="left"/>
      <w:pPr>
        <w:pStyle w:val="883"/>
        <w:ind w:left="2100" w:hanging="420"/>
        <w:tabs>
          <w:tab w:val="num" w:pos="2100" w:leader="none"/>
        </w:tabs>
      </w:pPr>
      <w:rPr>
        <w:rFonts w:cs="Times New Roman"/>
      </w:rPr>
    </w:lvl>
    <w:lvl w:ilvl="5">
      <w:start w:val="1"/>
      <w:numFmt w:val="lowerRoman"/>
      <w:isLgl w:val="false"/>
      <w:suff w:val="tab"/>
      <w:lvlText w:val="%6."/>
      <w:lvlJc w:val="right"/>
      <w:pPr>
        <w:pStyle w:val="883"/>
        <w:ind w:left="2520" w:hanging="420"/>
        <w:tabs>
          <w:tab w:val="num" w:pos="2520" w:leader="none"/>
        </w:tabs>
      </w:pPr>
      <w:rPr>
        <w:rFonts w:cs="Times New Roman"/>
      </w:rPr>
    </w:lvl>
    <w:lvl w:ilvl="6">
      <w:start w:val="1"/>
      <w:numFmt w:val="decimal"/>
      <w:isLgl w:val="false"/>
      <w:suff w:val="tab"/>
      <w:lvlText w:val="%7."/>
      <w:lvlJc w:val="left"/>
      <w:pPr>
        <w:pStyle w:val="883"/>
        <w:ind w:left="2940" w:hanging="420"/>
        <w:tabs>
          <w:tab w:val="num" w:pos="2940" w:leader="none"/>
        </w:tabs>
      </w:pPr>
      <w:rPr>
        <w:rFonts w:cs="Times New Roman"/>
      </w:rPr>
    </w:lvl>
    <w:lvl w:ilvl="7">
      <w:start w:val="1"/>
      <w:numFmt w:val="lowerLetter"/>
      <w:isLgl w:val="false"/>
      <w:suff w:val="tab"/>
      <w:lvlText w:val="%8)"/>
      <w:lvlJc w:val="left"/>
      <w:pPr>
        <w:pStyle w:val="883"/>
        <w:ind w:left="3360" w:hanging="420"/>
        <w:tabs>
          <w:tab w:val="num" w:pos="3360" w:leader="none"/>
        </w:tabs>
      </w:pPr>
      <w:rPr>
        <w:rFonts w:cs="Times New Roman"/>
      </w:rPr>
    </w:lvl>
    <w:lvl w:ilvl="8">
      <w:start w:val="1"/>
      <w:numFmt w:val="lowerRoman"/>
      <w:isLgl w:val="false"/>
      <w:suff w:val="tab"/>
      <w:lvlText w:val="%9."/>
      <w:lvlJc w:val="right"/>
      <w:pPr>
        <w:pStyle w:val="883"/>
        <w:ind w:left="3780" w:hanging="420"/>
        <w:tabs>
          <w:tab w:val="num" w:pos="3780" w:leader="none"/>
        </w:tabs>
      </w:pPr>
      <w:rPr>
        <w:rFonts w:cs="Times New Roman"/>
      </w:rPr>
    </w:lvl>
  </w:abstractNum>
  <w:abstractNum w:abstractNumId="5">
    <w:multiLevelType w:val="hybridMultilevel"/>
    <w:lvl w:ilvl="0">
      <w:start w:val="1"/>
      <w:numFmt w:val="decimal"/>
      <w:pStyle w:val="980"/>
      <w:isLgl w:val="false"/>
      <w:suff w:val="tab"/>
      <w:lvlText w:val="%1."/>
      <w:lvlJc w:val="left"/>
      <w:pPr>
        <w:pStyle w:val="883"/>
        <w:ind w:left="709" w:hanging="709"/>
        <w:tabs>
          <w:tab w:val="num" w:pos="709" w:leader="none"/>
        </w:tabs>
      </w:pPr>
      <w:rPr>
        <w:rFonts w:hint="eastAsia"/>
      </w:rPr>
    </w:lvl>
    <w:lvl w:ilvl="1">
      <w:start w:val="1"/>
      <w:numFmt w:val="decimal"/>
      <w:isLgl w:val="false"/>
      <w:suff w:val="tab"/>
      <w:lvlText w:val="%1.%2"/>
      <w:lvlJc w:val="left"/>
      <w:pPr>
        <w:pStyle w:val="883"/>
        <w:ind w:left="709" w:hanging="709"/>
        <w:tabs>
          <w:tab w:val="num" w:pos="709" w:leader="none"/>
        </w:tabs>
      </w:pPr>
      <w:rPr>
        <w:rFonts w:hint="eastAsia"/>
      </w:rPr>
    </w:lvl>
    <w:lvl w:ilvl="2">
      <w:start w:val="1"/>
      <w:numFmt w:val="decimal"/>
      <w:isLgl w:val="false"/>
      <w:suff w:val="tab"/>
      <w:lvlText w:val="%1.%2.%3."/>
      <w:lvlJc w:val="left"/>
      <w:pPr>
        <w:pStyle w:val="883"/>
        <w:ind w:left="425" w:hanging="425"/>
        <w:tabs>
          <w:tab w:val="num" w:pos="425" w:leader="none"/>
        </w:tabs>
      </w:pPr>
      <w:rPr>
        <w:rFonts w:hint="eastAsia"/>
      </w:rPr>
    </w:lvl>
    <w:lvl w:ilvl="3">
      <w:start w:val="1"/>
      <w:numFmt w:val="decimal"/>
      <w:isLgl w:val="false"/>
      <w:suff w:val="tab"/>
      <w:lvlText w:val="%1.%2.%3.%4."/>
      <w:lvlJc w:val="left"/>
      <w:pPr>
        <w:pStyle w:val="883"/>
        <w:ind w:left="851" w:hanging="851"/>
        <w:tabs>
          <w:tab w:val="num" w:pos="851" w:leader="none"/>
        </w:tabs>
      </w:pPr>
      <w:rPr>
        <w:rFonts w:hint="eastAsia"/>
      </w:rPr>
    </w:lvl>
    <w:lvl w:ilvl="4">
      <w:start w:val="1"/>
      <w:numFmt w:val="decimal"/>
      <w:isLgl w:val="false"/>
      <w:suff w:val="tab"/>
      <w:lvlText w:val="%1.%2.%3.%4.%5."/>
      <w:lvlJc w:val="left"/>
      <w:pPr>
        <w:pStyle w:val="883"/>
        <w:ind w:left="992" w:hanging="992"/>
        <w:tabs>
          <w:tab w:val="num" w:pos="992" w:leader="none"/>
        </w:tabs>
      </w:pPr>
      <w:rPr>
        <w:rFonts w:hint="eastAsia"/>
      </w:rPr>
    </w:lvl>
    <w:lvl w:ilvl="5">
      <w:start w:val="1"/>
      <w:numFmt w:val="decimal"/>
      <w:isLgl w:val="false"/>
      <w:suff w:val="tab"/>
      <w:lvlText w:val="%1.%2.%3.%4.%5.%6."/>
      <w:lvlJc w:val="left"/>
      <w:pPr>
        <w:pStyle w:val="883"/>
        <w:ind w:left="1134" w:hanging="1134"/>
        <w:tabs>
          <w:tab w:val="num" w:pos="1134" w:leader="none"/>
        </w:tabs>
      </w:pPr>
      <w:rPr>
        <w:rFonts w:hint="eastAsia"/>
      </w:rPr>
    </w:lvl>
    <w:lvl w:ilvl="6">
      <w:start w:val="1"/>
      <w:numFmt w:val="decimal"/>
      <w:isLgl w:val="false"/>
      <w:suff w:val="tab"/>
      <w:lvlText w:val="%1.%2.%3.%4.%5.%6.%7."/>
      <w:lvlJc w:val="left"/>
      <w:pPr>
        <w:pStyle w:val="883"/>
        <w:ind w:left="1276" w:hanging="1276"/>
        <w:tabs>
          <w:tab w:val="num" w:pos="1276" w:leader="none"/>
        </w:tabs>
      </w:pPr>
      <w:rPr>
        <w:rFonts w:hint="eastAsia"/>
      </w:rPr>
    </w:lvl>
    <w:lvl w:ilvl="7">
      <w:start w:val="1"/>
      <w:numFmt w:val="decimal"/>
      <w:isLgl w:val="false"/>
      <w:suff w:val="tab"/>
      <w:lvlText w:val="%1.%2.%3.%4.%5.%6.%7.%8."/>
      <w:lvlJc w:val="left"/>
      <w:pPr>
        <w:pStyle w:val="883"/>
        <w:ind w:left="1418" w:hanging="1418"/>
        <w:tabs>
          <w:tab w:val="num" w:pos="1418" w:leader="none"/>
        </w:tabs>
      </w:pPr>
      <w:rPr>
        <w:rFonts w:hint="eastAsia"/>
      </w:rPr>
    </w:lvl>
    <w:lvl w:ilvl="8">
      <w:start w:val="1"/>
      <w:numFmt w:val="decimal"/>
      <w:isLgl w:val="false"/>
      <w:suff w:val="tab"/>
      <w:lvlText w:val="%1.%2.%3.%4.%5.%6.%7.%8.%9."/>
      <w:lvlJc w:val="left"/>
      <w:pPr>
        <w:pStyle w:val="883"/>
        <w:ind w:left="1559" w:hanging="1559"/>
        <w:tabs>
          <w:tab w:val="num" w:pos="1559" w:leader="none"/>
        </w:tabs>
      </w:pPr>
      <w:rPr>
        <w:rFonts w:hint="eastAsia"/>
      </w:rPr>
    </w:lvl>
  </w:abstractNum>
  <w:abstractNum w:abstractNumId="6">
    <w:multiLevelType w:val="hybridMultilevel"/>
    <w:lvl w:ilvl="0">
      <w:start w:val="1"/>
      <w:numFmt w:val="chineseCountingThousand"/>
      <w:isLgl w:val="false"/>
      <w:suff w:val="nothing"/>
      <w:lvlText w:val="第%1章 "/>
      <w:lvlJc w:val="left"/>
      <w:pPr>
        <w:pStyle w:val="883"/>
        <w:ind w:left="0" w:firstLine="0"/>
      </w:pPr>
      <w:rPr>
        <w:rFonts w:hint="eastAsia"/>
      </w:rPr>
    </w:lvl>
    <w:lvl w:ilvl="1">
      <w:start w:val="1"/>
      <w:numFmt w:val="decimal"/>
      <w:isLgl w:val="false"/>
      <w:suff w:val="nothing"/>
      <w:lvlText w:val="%2、"/>
      <w:lvlJc w:val="left"/>
      <w:pPr>
        <w:pStyle w:val="883"/>
        <w:ind w:left="0" w:firstLine="0"/>
      </w:pPr>
      <w:rPr>
        <w:rFonts w:hint="eastAsia"/>
      </w:rPr>
    </w:lvl>
    <w:lvl w:ilvl="2">
      <w:start w:val="1"/>
      <w:numFmt w:val="decimal"/>
      <w:isLgl w:val="false"/>
      <w:suff w:val="nothing"/>
      <w:lvlText w:val="%2.%3 "/>
      <w:lvlJc w:val="left"/>
      <w:pPr>
        <w:pStyle w:val="883"/>
        <w:ind w:left="0" w:firstLine="0"/>
      </w:pPr>
      <w:rPr>
        <w:rFonts w:hint="eastAsia"/>
      </w:rPr>
    </w:lvl>
    <w:lvl w:ilvl="3">
      <w:start w:val="1"/>
      <w:numFmt w:val="decimal"/>
      <w:isLgl w:val="false"/>
      <w:suff w:val="nothing"/>
      <w:lvlText w:val="%2.%3.%4 "/>
      <w:lvlJc w:val="left"/>
      <w:pPr>
        <w:pStyle w:val="883"/>
        <w:ind w:left="0" w:firstLine="0"/>
      </w:pPr>
      <w:rPr>
        <w:rFonts w:hint="eastAsia"/>
      </w:rPr>
    </w:lvl>
    <w:lvl w:ilvl="4">
      <w:start w:val="1"/>
      <w:numFmt w:val="decimal"/>
      <w:isLgl w:val="false"/>
      <w:suff w:val="nothing"/>
      <w:lvlText w:val="%2.%3.%4.%5 "/>
      <w:lvlJc w:val="left"/>
      <w:pPr>
        <w:pStyle w:val="883"/>
        <w:ind w:left="0" w:firstLine="0"/>
      </w:pPr>
      <w:rPr>
        <w:rFonts w:hint="eastAsia"/>
      </w:rPr>
    </w:lvl>
    <w:lvl w:ilvl="5">
      <w:start w:val="1"/>
      <w:numFmt w:val="decimal"/>
      <w:pStyle w:val="889"/>
      <w:isLgl w:val="false"/>
      <w:suff w:val="nothing"/>
      <w:lvlText w:val=""/>
      <w:lvlJc w:val="left"/>
      <w:pPr>
        <w:pStyle w:val="883"/>
        <w:ind w:left="0" w:firstLine="0"/>
      </w:pPr>
      <w:rPr>
        <w:rFonts w:hint="eastAsia"/>
      </w:rPr>
    </w:lvl>
    <w:lvl w:ilvl="6">
      <w:start w:val="1"/>
      <w:numFmt w:val="decimal"/>
      <w:pStyle w:val="890"/>
      <w:isLgl w:val="false"/>
      <w:suff w:val="nothing"/>
      <w:lvlText w:val=""/>
      <w:lvlJc w:val="left"/>
      <w:pPr>
        <w:pStyle w:val="883"/>
        <w:ind w:left="0" w:firstLine="0"/>
      </w:pPr>
      <w:rPr>
        <w:rFonts w:hint="eastAsia"/>
      </w:rPr>
    </w:lvl>
    <w:lvl w:ilvl="7">
      <w:start w:val="1"/>
      <w:numFmt w:val="decimal"/>
      <w:pStyle w:val="891"/>
      <w:isLgl w:val="false"/>
      <w:suff w:val="nothing"/>
      <w:lvlText w:val=""/>
      <w:lvlJc w:val="left"/>
      <w:pPr>
        <w:pStyle w:val="883"/>
        <w:ind w:left="0" w:firstLine="0"/>
      </w:pPr>
      <w:rPr>
        <w:rFonts w:hint="eastAsia"/>
      </w:rPr>
    </w:lvl>
    <w:lvl w:ilvl="8">
      <w:start w:val="1"/>
      <w:numFmt w:val="decimal"/>
      <w:pStyle w:val="892"/>
      <w:isLgl w:val="false"/>
      <w:suff w:val="nothing"/>
      <w:lvlText w:val=""/>
      <w:lvlJc w:val="left"/>
      <w:pPr>
        <w:pStyle w:val="883"/>
        <w:ind w:left="0" w:firstLine="0"/>
      </w:pPr>
      <w:rPr>
        <w:rFonts w:hint="eastAsia"/>
      </w:rPr>
    </w:lvl>
  </w:abstractNum>
  <w:abstractNum w:abstractNumId="7">
    <w:multiLevelType w:val="hybridMultilevel"/>
    <w:lvl w:ilvl="0">
      <w:start w:val="1"/>
      <w:numFmt w:val="decimal"/>
      <w:isLgl w:val="false"/>
      <w:suff w:val="tab"/>
      <w:lvlText w:val="%1."/>
      <w:lvlJc w:val="left"/>
      <w:pPr>
        <w:pStyle w:val="883"/>
        <w:ind w:left="510" w:hanging="360"/>
        <w:tabs>
          <w:tab w:val="num" w:pos="510" w:leader="none"/>
        </w:tabs>
      </w:pPr>
      <w:rPr>
        <w:rFonts w:hint="eastAsia" w:cs="Times New Roman"/>
      </w:rPr>
    </w:lvl>
    <w:lvl w:ilvl="1">
      <w:start w:val="1"/>
      <w:numFmt w:val="decimal"/>
      <w:isLgl w:val="false"/>
      <w:suff w:val="tab"/>
      <w:lvlText w:val="%2．"/>
      <w:lvlJc w:val="left"/>
      <w:pPr>
        <w:pStyle w:val="883"/>
        <w:ind w:left="1290" w:hanging="720"/>
        <w:tabs>
          <w:tab w:val="num" w:pos="1290" w:leader="none"/>
        </w:tabs>
      </w:pPr>
      <w:rPr>
        <w:rFonts w:hint="eastAsia" w:cs="Times New Roman"/>
      </w:rPr>
    </w:lvl>
    <w:lvl w:ilvl="2">
      <w:start w:val="3"/>
      <w:numFmt w:val="decimal"/>
      <w:isLgl w:val="false"/>
      <w:suff w:val="tab"/>
      <w:lvlText w:val="（%3）"/>
      <w:lvlJc w:val="left"/>
      <w:pPr>
        <w:pStyle w:val="883"/>
        <w:ind w:left="1140" w:hanging="720"/>
        <w:tabs>
          <w:tab w:val="num" w:pos="1140" w:leader="none"/>
        </w:tabs>
      </w:pPr>
      <w:rPr>
        <w:rFonts w:hint="eastAsia" w:cs="Times New Roman"/>
      </w:rPr>
    </w:lvl>
    <w:lvl w:ilvl="3">
      <w:start w:val="1"/>
      <w:numFmt w:val="decimal"/>
      <w:isLgl w:val="false"/>
      <w:suff w:val="tab"/>
      <w:lvlText w:val="（%4）"/>
      <w:lvlJc w:val="left"/>
      <w:pPr>
        <w:pStyle w:val="883"/>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883"/>
        <w:ind w:left="2250" w:hanging="420"/>
        <w:tabs>
          <w:tab w:val="num" w:pos="2250" w:leader="none"/>
        </w:tabs>
      </w:pPr>
      <w:rPr>
        <w:rFonts w:hint="eastAsia"/>
        <w:b/>
        <w:lang w:val="en-US"/>
      </w:rPr>
    </w:lvl>
    <w:lvl w:ilvl="5">
      <w:start w:val="10"/>
      <w:numFmt w:val="japaneseCounting"/>
      <w:isLgl w:val="false"/>
      <w:suff w:val="tab"/>
      <w:lvlText w:val="（%6）"/>
      <w:lvlJc w:val="left"/>
      <w:pPr>
        <w:pStyle w:val="883"/>
        <w:ind w:left="2970" w:hanging="720"/>
      </w:pPr>
      <w:rPr>
        <w:rFonts w:cs="Times New Roman"/>
      </w:rPr>
    </w:lvl>
    <w:lvl w:ilvl="6">
      <w:start w:val="1"/>
      <w:numFmt w:val="decimal"/>
      <w:isLgl w:val="false"/>
      <w:suff w:val="tab"/>
      <w:lvlText w:val="（%7）"/>
      <w:lvlJc w:val="left"/>
      <w:pPr>
        <w:pStyle w:val="883"/>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883"/>
        <w:ind w:left="3510" w:hanging="420"/>
        <w:tabs>
          <w:tab w:val="num" w:pos="3510" w:leader="none"/>
        </w:tabs>
      </w:pPr>
      <w:rPr>
        <w:rFonts w:cs="Times New Roman"/>
      </w:rPr>
    </w:lvl>
    <w:lvl w:ilvl="8">
      <w:start w:val="1"/>
      <w:numFmt w:val="lowerRoman"/>
      <w:isLgl w:val="false"/>
      <w:suff w:val="tab"/>
      <w:lvlText w:val="%9."/>
      <w:lvlJc w:val="right"/>
      <w:pPr>
        <w:pStyle w:val="883"/>
        <w:ind w:left="3930" w:hanging="420"/>
        <w:tabs>
          <w:tab w:val="num" w:pos="3930" w:leader="none"/>
        </w:tabs>
      </w:pPr>
      <w:rPr>
        <w:rFonts w:cs="Times New Roman"/>
      </w:rPr>
    </w:lvl>
  </w:abstractNum>
  <w:abstractNum w:abstractNumId="8">
    <w:multiLevelType w:val="hybridMultilevel"/>
    <w:lvl w:ilvl="0">
      <w:start w:val="1"/>
      <w:numFmt w:val="japaneseCounting"/>
      <w:isLgl w:val="false"/>
      <w:suff w:val="tab"/>
      <w:lvlText w:val="%1、"/>
      <w:lvlJc w:val="left"/>
      <w:pPr>
        <w:pStyle w:val="883"/>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883"/>
        <w:ind w:left="840" w:hanging="420"/>
        <w:tabs>
          <w:tab w:val="num" w:pos="840" w:leader="none"/>
        </w:tabs>
      </w:pPr>
      <w:rPr>
        <w:rFonts w:cs="Times New Roman"/>
      </w:rPr>
    </w:lvl>
    <w:lvl w:ilvl="2">
      <w:start w:val="10"/>
      <w:numFmt w:val="decimal"/>
      <w:isLgl w:val="false"/>
      <w:suff w:val="tab"/>
      <w:lvlText w:val="%3."/>
      <w:lvlJc w:val="left"/>
      <w:pPr>
        <w:pStyle w:val="883"/>
        <w:ind w:left="1200" w:hanging="360"/>
        <w:tabs>
          <w:tab w:val="num" w:pos="1200" w:leader="none"/>
        </w:tabs>
      </w:pPr>
      <w:rPr>
        <w:rFonts w:cs="Times New Roman"/>
      </w:rPr>
    </w:lvl>
    <w:lvl w:ilvl="3">
      <w:start w:val="1"/>
      <w:numFmt w:val="decimal"/>
      <w:isLgl w:val="false"/>
      <w:suff w:val="tab"/>
      <w:lvlText w:val="%4."/>
      <w:lvlJc w:val="left"/>
      <w:pPr>
        <w:pStyle w:val="883"/>
        <w:ind w:left="1680" w:hanging="420"/>
        <w:tabs>
          <w:tab w:val="num" w:pos="1680" w:leader="none"/>
        </w:tabs>
      </w:pPr>
      <w:rPr>
        <w:rFonts w:cs="Times New Roman"/>
      </w:rPr>
    </w:lvl>
    <w:lvl w:ilvl="4">
      <w:start w:val="1"/>
      <w:numFmt w:val="lowerLetter"/>
      <w:isLgl w:val="false"/>
      <w:suff w:val="tab"/>
      <w:lvlText w:val="%5)"/>
      <w:lvlJc w:val="left"/>
      <w:pPr>
        <w:pStyle w:val="883"/>
        <w:ind w:left="2100" w:hanging="420"/>
        <w:tabs>
          <w:tab w:val="num" w:pos="2100" w:leader="none"/>
        </w:tabs>
      </w:pPr>
      <w:rPr>
        <w:rFonts w:cs="Times New Roman"/>
      </w:rPr>
    </w:lvl>
    <w:lvl w:ilvl="5">
      <w:start w:val="1"/>
      <w:numFmt w:val="lowerRoman"/>
      <w:isLgl w:val="false"/>
      <w:suff w:val="tab"/>
      <w:lvlText w:val="%6."/>
      <w:lvlJc w:val="right"/>
      <w:pPr>
        <w:pStyle w:val="883"/>
        <w:ind w:left="2520" w:hanging="420"/>
        <w:tabs>
          <w:tab w:val="num" w:pos="2520" w:leader="none"/>
        </w:tabs>
      </w:pPr>
      <w:rPr>
        <w:rFonts w:cs="Times New Roman"/>
      </w:rPr>
    </w:lvl>
    <w:lvl w:ilvl="6">
      <w:start w:val="1"/>
      <w:numFmt w:val="decimal"/>
      <w:isLgl w:val="false"/>
      <w:suff w:val="tab"/>
      <w:lvlText w:val="%7."/>
      <w:lvlJc w:val="left"/>
      <w:pPr>
        <w:pStyle w:val="883"/>
        <w:ind w:left="2940" w:hanging="420"/>
        <w:tabs>
          <w:tab w:val="num" w:pos="2940" w:leader="none"/>
        </w:tabs>
      </w:pPr>
      <w:rPr>
        <w:rFonts w:cs="Times New Roman"/>
      </w:rPr>
    </w:lvl>
    <w:lvl w:ilvl="7">
      <w:start w:val="1"/>
      <w:numFmt w:val="lowerLetter"/>
      <w:isLgl w:val="false"/>
      <w:suff w:val="tab"/>
      <w:lvlText w:val="%8)"/>
      <w:lvlJc w:val="left"/>
      <w:pPr>
        <w:pStyle w:val="883"/>
        <w:ind w:left="3360" w:hanging="420"/>
        <w:tabs>
          <w:tab w:val="num" w:pos="3360" w:leader="none"/>
        </w:tabs>
      </w:pPr>
      <w:rPr>
        <w:rFonts w:cs="Times New Roman"/>
      </w:rPr>
    </w:lvl>
    <w:lvl w:ilvl="8">
      <w:start w:val="1"/>
      <w:numFmt w:val="lowerRoman"/>
      <w:isLgl w:val="false"/>
      <w:suff w:val="tab"/>
      <w:lvlText w:val="%9."/>
      <w:lvlJc w:val="right"/>
      <w:pPr>
        <w:pStyle w:val="883"/>
        <w:ind w:left="3780" w:hanging="420"/>
        <w:tabs>
          <w:tab w:val="num" w:pos="3780" w:leader="none"/>
        </w:tabs>
      </w:pPr>
      <w:rPr>
        <w:rFonts w:cs="Times New Roman"/>
      </w:rPr>
    </w:lvl>
  </w:abstractNum>
  <w:abstractNum w:abstractNumId="9">
    <w:multiLevelType w:val="hybridMultilevel"/>
    <w:lvl w:ilvl="0">
      <w:start w:val="1"/>
      <w:numFmt w:val="decimal"/>
      <w:isLgl w:val="false"/>
      <w:suff w:val="nothing"/>
      <w:lvlText w:val="（%1）"/>
      <w:lvlJc w:val="left"/>
      <w:pPr>
        <w:pStyle w:val="88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japaneseCounting"/>
      <w:isLgl w:val="false"/>
      <w:suff w:val="tab"/>
      <w:lvlText w:val="第%1章"/>
      <w:lvlJc w:val="left"/>
      <w:pPr>
        <w:pStyle w:val="883"/>
        <w:ind w:left="1440" w:hanging="1440"/>
        <w:tabs>
          <w:tab w:val="num"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3"/>
  </w:num>
  <w:num w:numId="3">
    <w:abstractNumId w:val="5"/>
  </w:num>
  <w:num w:numId="4">
    <w:abstractNumId w:val="10"/>
  </w:num>
  <w:num w:numId="5">
    <w:abstractNumId w:val="4"/>
  </w:num>
  <w:num w:numId="6">
    <w:abstractNumId w:val="1"/>
  </w:num>
  <w:num w:numId="7">
    <w:abstractNumId w:val="7"/>
  </w:num>
  <w:num w:numId="8">
    <w:abstractNumId w:val="2"/>
  </w:num>
  <w:num w:numId="9">
    <w:abstractNumId w:val="9"/>
  </w:num>
  <w:num w:numId="10">
    <w:abstractNumId w:val="0"/>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5">
    <w:name w:val="Heading 1"/>
    <w:basedOn w:val="883"/>
    <w:next w:val="883"/>
    <w:link w:val="706"/>
    <w:uiPriority w:val="9"/>
    <w:qFormat/>
    <w:pPr>
      <w:keepLines/>
      <w:keepNext/>
      <w:spacing w:before="480" w:after="200"/>
      <w:outlineLvl w:val="0"/>
    </w:pPr>
    <w:rPr>
      <w:rFonts w:ascii="Arial" w:hAnsi="Arial" w:eastAsia="Arial" w:cs="Arial"/>
      <w:sz w:val="40"/>
      <w:szCs w:val="40"/>
    </w:rPr>
  </w:style>
  <w:style w:type="character" w:styleId="706">
    <w:name w:val="Heading 1 Char"/>
    <w:link w:val="705"/>
    <w:uiPriority w:val="9"/>
    <w:rPr>
      <w:rFonts w:ascii="Arial" w:hAnsi="Arial" w:eastAsia="Arial" w:cs="Arial"/>
      <w:sz w:val="40"/>
      <w:szCs w:val="40"/>
    </w:rPr>
  </w:style>
  <w:style w:type="paragraph" w:styleId="707">
    <w:name w:val="Heading 2"/>
    <w:basedOn w:val="883"/>
    <w:next w:val="883"/>
    <w:link w:val="708"/>
    <w:uiPriority w:val="9"/>
    <w:unhideWhenUsed/>
    <w:qFormat/>
    <w:pPr>
      <w:keepLines/>
      <w:keepNext/>
      <w:spacing w:before="360" w:after="200"/>
      <w:outlineLvl w:val="1"/>
    </w:pPr>
    <w:rPr>
      <w:rFonts w:ascii="Arial" w:hAnsi="Arial" w:eastAsia="Arial" w:cs="Arial"/>
      <w:sz w:val="34"/>
    </w:rPr>
  </w:style>
  <w:style w:type="character" w:styleId="708">
    <w:name w:val="Heading 2 Char"/>
    <w:link w:val="707"/>
    <w:uiPriority w:val="9"/>
    <w:rPr>
      <w:rFonts w:ascii="Arial" w:hAnsi="Arial" w:eastAsia="Arial" w:cs="Arial"/>
      <w:sz w:val="34"/>
    </w:rPr>
  </w:style>
  <w:style w:type="paragraph" w:styleId="709">
    <w:name w:val="Heading 3"/>
    <w:basedOn w:val="883"/>
    <w:next w:val="883"/>
    <w:link w:val="710"/>
    <w:uiPriority w:val="9"/>
    <w:unhideWhenUsed/>
    <w:qFormat/>
    <w:pPr>
      <w:keepLines/>
      <w:keepNext/>
      <w:spacing w:before="320" w:after="200"/>
      <w:outlineLvl w:val="2"/>
    </w:pPr>
    <w:rPr>
      <w:rFonts w:ascii="Arial" w:hAnsi="Arial" w:eastAsia="Arial" w:cs="Arial"/>
      <w:sz w:val="30"/>
      <w:szCs w:val="30"/>
    </w:rPr>
  </w:style>
  <w:style w:type="character" w:styleId="710">
    <w:name w:val="Heading 3 Char"/>
    <w:link w:val="709"/>
    <w:uiPriority w:val="9"/>
    <w:rPr>
      <w:rFonts w:ascii="Arial" w:hAnsi="Arial" w:eastAsia="Arial" w:cs="Arial"/>
      <w:sz w:val="30"/>
      <w:szCs w:val="30"/>
    </w:rPr>
  </w:style>
  <w:style w:type="paragraph" w:styleId="711">
    <w:name w:val="Heading 4"/>
    <w:basedOn w:val="883"/>
    <w:next w:val="883"/>
    <w:link w:val="712"/>
    <w:uiPriority w:val="9"/>
    <w:unhideWhenUsed/>
    <w:qFormat/>
    <w:pPr>
      <w:keepLines/>
      <w:keepNext/>
      <w:spacing w:before="320" w:after="200"/>
      <w:outlineLvl w:val="3"/>
    </w:pPr>
    <w:rPr>
      <w:rFonts w:ascii="Arial" w:hAnsi="Arial" w:eastAsia="Arial" w:cs="Arial"/>
      <w:b/>
      <w:bCs/>
      <w:sz w:val="26"/>
      <w:szCs w:val="26"/>
    </w:rPr>
  </w:style>
  <w:style w:type="character" w:styleId="712">
    <w:name w:val="Heading 4 Char"/>
    <w:link w:val="711"/>
    <w:uiPriority w:val="9"/>
    <w:rPr>
      <w:rFonts w:ascii="Arial" w:hAnsi="Arial" w:eastAsia="Arial" w:cs="Arial"/>
      <w:b/>
      <w:bCs/>
      <w:sz w:val="26"/>
      <w:szCs w:val="26"/>
    </w:rPr>
  </w:style>
  <w:style w:type="paragraph" w:styleId="713">
    <w:name w:val="Heading 5"/>
    <w:basedOn w:val="883"/>
    <w:next w:val="883"/>
    <w:link w:val="714"/>
    <w:uiPriority w:val="9"/>
    <w:unhideWhenUsed/>
    <w:qFormat/>
    <w:pPr>
      <w:keepLines/>
      <w:keepNext/>
      <w:spacing w:before="320" w:after="200"/>
      <w:outlineLvl w:val="4"/>
    </w:pPr>
    <w:rPr>
      <w:rFonts w:ascii="Arial" w:hAnsi="Arial" w:eastAsia="Arial" w:cs="Arial"/>
      <w:b/>
      <w:bCs/>
      <w:sz w:val="24"/>
      <w:szCs w:val="24"/>
    </w:rPr>
  </w:style>
  <w:style w:type="character" w:styleId="714">
    <w:name w:val="Heading 5 Char"/>
    <w:link w:val="713"/>
    <w:uiPriority w:val="9"/>
    <w:rPr>
      <w:rFonts w:ascii="Arial" w:hAnsi="Arial" w:eastAsia="Arial" w:cs="Arial"/>
      <w:b/>
      <w:bCs/>
      <w:sz w:val="24"/>
      <w:szCs w:val="24"/>
    </w:rPr>
  </w:style>
  <w:style w:type="paragraph" w:styleId="715">
    <w:name w:val="Heading 6"/>
    <w:basedOn w:val="883"/>
    <w:next w:val="883"/>
    <w:link w:val="716"/>
    <w:uiPriority w:val="9"/>
    <w:unhideWhenUsed/>
    <w:qFormat/>
    <w:pPr>
      <w:keepLines/>
      <w:keepNext/>
      <w:spacing w:before="320" w:after="200"/>
      <w:outlineLvl w:val="5"/>
    </w:pPr>
    <w:rPr>
      <w:rFonts w:ascii="Arial" w:hAnsi="Arial" w:eastAsia="Arial" w:cs="Arial"/>
      <w:b/>
      <w:bCs/>
      <w:sz w:val="22"/>
      <w:szCs w:val="22"/>
    </w:rPr>
  </w:style>
  <w:style w:type="character" w:styleId="716">
    <w:name w:val="Heading 6 Char"/>
    <w:link w:val="715"/>
    <w:uiPriority w:val="9"/>
    <w:rPr>
      <w:rFonts w:ascii="Arial" w:hAnsi="Arial" w:eastAsia="Arial" w:cs="Arial"/>
      <w:b/>
      <w:bCs/>
      <w:sz w:val="22"/>
      <w:szCs w:val="22"/>
    </w:rPr>
  </w:style>
  <w:style w:type="paragraph" w:styleId="717">
    <w:name w:val="Heading 7"/>
    <w:basedOn w:val="883"/>
    <w:next w:val="883"/>
    <w:link w:val="718"/>
    <w:uiPriority w:val="9"/>
    <w:unhideWhenUsed/>
    <w:qFormat/>
    <w:pPr>
      <w:keepLines/>
      <w:keepNext/>
      <w:spacing w:before="320" w:after="200"/>
      <w:outlineLvl w:val="6"/>
    </w:pPr>
    <w:rPr>
      <w:rFonts w:ascii="Arial" w:hAnsi="Arial" w:eastAsia="Arial" w:cs="Arial"/>
      <w:b/>
      <w:bCs/>
      <w:i/>
      <w:iCs/>
      <w:sz w:val="22"/>
      <w:szCs w:val="22"/>
    </w:rPr>
  </w:style>
  <w:style w:type="character" w:styleId="718">
    <w:name w:val="Heading 7 Char"/>
    <w:link w:val="717"/>
    <w:uiPriority w:val="9"/>
    <w:rPr>
      <w:rFonts w:ascii="Arial" w:hAnsi="Arial" w:eastAsia="Arial" w:cs="Arial"/>
      <w:b/>
      <w:bCs/>
      <w:i/>
      <w:iCs/>
      <w:sz w:val="22"/>
      <w:szCs w:val="22"/>
    </w:rPr>
  </w:style>
  <w:style w:type="paragraph" w:styleId="719">
    <w:name w:val="Heading 8"/>
    <w:basedOn w:val="883"/>
    <w:next w:val="883"/>
    <w:link w:val="720"/>
    <w:uiPriority w:val="9"/>
    <w:unhideWhenUsed/>
    <w:qFormat/>
    <w:pPr>
      <w:keepLines/>
      <w:keepNext/>
      <w:spacing w:before="320" w:after="200"/>
      <w:outlineLvl w:val="7"/>
    </w:pPr>
    <w:rPr>
      <w:rFonts w:ascii="Arial" w:hAnsi="Arial" w:eastAsia="Arial" w:cs="Arial"/>
      <w:i/>
      <w:iCs/>
      <w:sz w:val="22"/>
      <w:szCs w:val="22"/>
    </w:rPr>
  </w:style>
  <w:style w:type="character" w:styleId="720">
    <w:name w:val="Heading 8 Char"/>
    <w:link w:val="719"/>
    <w:uiPriority w:val="9"/>
    <w:rPr>
      <w:rFonts w:ascii="Arial" w:hAnsi="Arial" w:eastAsia="Arial" w:cs="Arial"/>
      <w:i/>
      <w:iCs/>
      <w:sz w:val="22"/>
      <w:szCs w:val="22"/>
    </w:rPr>
  </w:style>
  <w:style w:type="paragraph" w:styleId="721">
    <w:name w:val="Heading 9"/>
    <w:basedOn w:val="883"/>
    <w:next w:val="883"/>
    <w:link w:val="722"/>
    <w:uiPriority w:val="9"/>
    <w:unhideWhenUsed/>
    <w:qFormat/>
    <w:pPr>
      <w:keepLines/>
      <w:keepNext/>
      <w:spacing w:before="320" w:after="200"/>
      <w:outlineLvl w:val="8"/>
    </w:pPr>
    <w:rPr>
      <w:rFonts w:ascii="Arial" w:hAnsi="Arial" w:eastAsia="Arial" w:cs="Arial"/>
      <w:i/>
      <w:iCs/>
      <w:sz w:val="21"/>
      <w:szCs w:val="21"/>
    </w:rPr>
  </w:style>
  <w:style w:type="character" w:styleId="722">
    <w:name w:val="Heading 9 Char"/>
    <w:link w:val="721"/>
    <w:uiPriority w:val="9"/>
    <w:rPr>
      <w:rFonts w:ascii="Arial" w:hAnsi="Arial" w:eastAsia="Arial" w:cs="Arial"/>
      <w:i/>
      <w:iCs/>
      <w:sz w:val="21"/>
      <w:szCs w:val="21"/>
    </w:rPr>
  </w:style>
  <w:style w:type="paragraph" w:styleId="723">
    <w:name w:val="List Paragraph"/>
    <w:basedOn w:val="883"/>
    <w:uiPriority w:val="34"/>
    <w:qFormat/>
    <w:pPr>
      <w:contextualSpacing/>
      <w:ind w:left="720"/>
    </w:pPr>
  </w:style>
  <w:style w:type="paragraph" w:styleId="724">
    <w:name w:val="No Spacing"/>
    <w:uiPriority w:val="1"/>
    <w:qFormat/>
    <w:pPr>
      <w:spacing w:before="0" w:after="0" w:line="240" w:lineRule="auto"/>
    </w:pPr>
  </w:style>
  <w:style w:type="paragraph" w:styleId="725">
    <w:name w:val="Title"/>
    <w:basedOn w:val="883"/>
    <w:next w:val="883"/>
    <w:link w:val="726"/>
    <w:uiPriority w:val="10"/>
    <w:qFormat/>
    <w:pPr>
      <w:contextualSpacing/>
      <w:spacing w:before="300" w:after="200"/>
    </w:pPr>
    <w:rPr>
      <w:sz w:val="48"/>
      <w:szCs w:val="48"/>
    </w:rPr>
  </w:style>
  <w:style w:type="character" w:styleId="726">
    <w:name w:val="Title Char"/>
    <w:link w:val="725"/>
    <w:uiPriority w:val="10"/>
    <w:rPr>
      <w:sz w:val="48"/>
      <w:szCs w:val="48"/>
    </w:rPr>
  </w:style>
  <w:style w:type="paragraph" w:styleId="727">
    <w:name w:val="Subtitle"/>
    <w:basedOn w:val="883"/>
    <w:next w:val="883"/>
    <w:link w:val="728"/>
    <w:uiPriority w:val="11"/>
    <w:qFormat/>
    <w:pPr>
      <w:spacing w:before="200" w:after="200"/>
    </w:pPr>
    <w:rPr>
      <w:sz w:val="24"/>
      <w:szCs w:val="24"/>
    </w:rPr>
  </w:style>
  <w:style w:type="character" w:styleId="728">
    <w:name w:val="Subtitle Char"/>
    <w:link w:val="727"/>
    <w:uiPriority w:val="11"/>
    <w:rPr>
      <w:sz w:val="24"/>
      <w:szCs w:val="24"/>
    </w:rPr>
  </w:style>
  <w:style w:type="paragraph" w:styleId="729">
    <w:name w:val="Quote"/>
    <w:basedOn w:val="883"/>
    <w:next w:val="883"/>
    <w:link w:val="730"/>
    <w:uiPriority w:val="29"/>
    <w:qFormat/>
    <w:pPr>
      <w:ind w:left="720" w:right="720"/>
    </w:pPr>
    <w:rPr>
      <w:i/>
    </w:rPr>
  </w:style>
  <w:style w:type="character" w:styleId="730">
    <w:name w:val="Quote Char"/>
    <w:link w:val="729"/>
    <w:uiPriority w:val="29"/>
    <w:rPr>
      <w:i/>
    </w:rPr>
  </w:style>
  <w:style w:type="paragraph" w:styleId="731">
    <w:name w:val="Intense Quote"/>
    <w:basedOn w:val="883"/>
    <w:next w:val="883"/>
    <w:link w:val="7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2">
    <w:name w:val="Intense Quote Char"/>
    <w:link w:val="731"/>
    <w:uiPriority w:val="30"/>
    <w:rPr>
      <w:i/>
    </w:rPr>
  </w:style>
  <w:style w:type="paragraph" w:styleId="733">
    <w:name w:val="Header"/>
    <w:basedOn w:val="883"/>
    <w:link w:val="734"/>
    <w:uiPriority w:val="99"/>
    <w:unhideWhenUsed/>
    <w:pPr>
      <w:spacing w:after="0" w:line="240" w:lineRule="auto"/>
      <w:tabs>
        <w:tab w:val="center" w:pos="7143" w:leader="none"/>
        <w:tab w:val="right" w:pos="14287" w:leader="none"/>
      </w:tabs>
    </w:pPr>
  </w:style>
  <w:style w:type="character" w:styleId="734">
    <w:name w:val="Header Char"/>
    <w:link w:val="733"/>
    <w:uiPriority w:val="99"/>
  </w:style>
  <w:style w:type="paragraph" w:styleId="735">
    <w:name w:val="Footer"/>
    <w:basedOn w:val="883"/>
    <w:link w:val="738"/>
    <w:uiPriority w:val="99"/>
    <w:unhideWhenUsed/>
    <w:pPr>
      <w:spacing w:after="0" w:line="240" w:lineRule="auto"/>
      <w:tabs>
        <w:tab w:val="center" w:pos="7143" w:leader="none"/>
        <w:tab w:val="right" w:pos="14287" w:leader="none"/>
      </w:tabs>
    </w:pPr>
  </w:style>
  <w:style w:type="character" w:styleId="736">
    <w:name w:val="Footer Char"/>
    <w:link w:val="735"/>
    <w:uiPriority w:val="99"/>
  </w:style>
  <w:style w:type="paragraph" w:styleId="737">
    <w:name w:val="Caption"/>
    <w:basedOn w:val="883"/>
    <w:next w:val="883"/>
    <w:uiPriority w:val="35"/>
    <w:semiHidden/>
    <w:unhideWhenUsed/>
    <w:qFormat/>
    <w:pPr>
      <w:spacing w:line="276" w:lineRule="auto"/>
    </w:pPr>
    <w:rPr>
      <w:b/>
      <w:bCs/>
      <w:color w:val="4f81bd" w:themeColor="accent1"/>
      <w:sz w:val="18"/>
      <w:szCs w:val="18"/>
    </w:rPr>
  </w:style>
  <w:style w:type="character" w:styleId="738">
    <w:name w:val="Caption Char"/>
    <w:basedOn w:val="737"/>
    <w:link w:val="735"/>
    <w:uiPriority w:val="99"/>
  </w:style>
  <w:style w:type="table" w:styleId="73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5">
    <w:name w:val="Hyperlink"/>
    <w:uiPriority w:val="99"/>
    <w:unhideWhenUsed/>
    <w:rPr>
      <w:color w:val="0000ff" w:themeColor="hyperlink"/>
      <w:u w:val="single"/>
    </w:rPr>
  </w:style>
  <w:style w:type="paragraph" w:styleId="866">
    <w:name w:val="footnote text"/>
    <w:basedOn w:val="883"/>
    <w:link w:val="867"/>
    <w:uiPriority w:val="99"/>
    <w:semiHidden/>
    <w:unhideWhenUsed/>
    <w:pPr>
      <w:spacing w:after="40" w:line="240" w:lineRule="auto"/>
    </w:pPr>
    <w:rPr>
      <w:sz w:val="18"/>
    </w:rPr>
  </w:style>
  <w:style w:type="character" w:styleId="867">
    <w:name w:val="Footnote Text Char"/>
    <w:link w:val="866"/>
    <w:uiPriority w:val="99"/>
    <w:rPr>
      <w:sz w:val="18"/>
    </w:rPr>
  </w:style>
  <w:style w:type="character" w:styleId="868">
    <w:name w:val="footnote reference"/>
    <w:uiPriority w:val="99"/>
    <w:unhideWhenUsed/>
    <w:rPr>
      <w:vertAlign w:val="superscript"/>
    </w:rPr>
  </w:style>
  <w:style w:type="paragraph" w:styleId="869">
    <w:name w:val="endnote text"/>
    <w:basedOn w:val="883"/>
    <w:link w:val="870"/>
    <w:uiPriority w:val="99"/>
    <w:semiHidden/>
    <w:unhideWhenUsed/>
    <w:pPr>
      <w:spacing w:after="0" w:line="240" w:lineRule="auto"/>
    </w:pPr>
    <w:rPr>
      <w:sz w:val="20"/>
    </w:rPr>
  </w:style>
  <w:style w:type="character" w:styleId="870">
    <w:name w:val="Endnote Text Char"/>
    <w:link w:val="869"/>
    <w:uiPriority w:val="99"/>
    <w:rPr>
      <w:sz w:val="20"/>
    </w:rPr>
  </w:style>
  <w:style w:type="character" w:styleId="871">
    <w:name w:val="endnote reference"/>
    <w:uiPriority w:val="99"/>
    <w:semiHidden/>
    <w:unhideWhenUsed/>
    <w:rPr>
      <w:vertAlign w:val="superscript"/>
    </w:rPr>
  </w:style>
  <w:style w:type="paragraph" w:styleId="872">
    <w:name w:val="toc 1"/>
    <w:basedOn w:val="883"/>
    <w:next w:val="883"/>
    <w:uiPriority w:val="39"/>
    <w:unhideWhenUsed/>
    <w:pPr>
      <w:ind w:left="0" w:right="0" w:firstLine="0"/>
      <w:spacing w:after="57"/>
    </w:pPr>
  </w:style>
  <w:style w:type="paragraph" w:styleId="873">
    <w:name w:val="toc 2"/>
    <w:basedOn w:val="883"/>
    <w:next w:val="883"/>
    <w:uiPriority w:val="39"/>
    <w:unhideWhenUsed/>
    <w:pPr>
      <w:ind w:left="283" w:right="0" w:firstLine="0"/>
      <w:spacing w:after="57"/>
    </w:pPr>
  </w:style>
  <w:style w:type="paragraph" w:styleId="874">
    <w:name w:val="toc 3"/>
    <w:basedOn w:val="883"/>
    <w:next w:val="883"/>
    <w:uiPriority w:val="39"/>
    <w:unhideWhenUsed/>
    <w:pPr>
      <w:ind w:left="567" w:right="0" w:firstLine="0"/>
      <w:spacing w:after="57"/>
    </w:pPr>
  </w:style>
  <w:style w:type="paragraph" w:styleId="875">
    <w:name w:val="toc 4"/>
    <w:basedOn w:val="883"/>
    <w:next w:val="883"/>
    <w:uiPriority w:val="39"/>
    <w:unhideWhenUsed/>
    <w:pPr>
      <w:ind w:left="850" w:right="0" w:firstLine="0"/>
      <w:spacing w:after="57"/>
    </w:pPr>
  </w:style>
  <w:style w:type="paragraph" w:styleId="876">
    <w:name w:val="toc 5"/>
    <w:basedOn w:val="883"/>
    <w:next w:val="883"/>
    <w:uiPriority w:val="39"/>
    <w:unhideWhenUsed/>
    <w:pPr>
      <w:ind w:left="1134" w:right="0" w:firstLine="0"/>
      <w:spacing w:after="57"/>
    </w:pPr>
  </w:style>
  <w:style w:type="paragraph" w:styleId="877">
    <w:name w:val="toc 6"/>
    <w:basedOn w:val="883"/>
    <w:next w:val="883"/>
    <w:uiPriority w:val="39"/>
    <w:unhideWhenUsed/>
    <w:pPr>
      <w:ind w:left="1417" w:right="0" w:firstLine="0"/>
      <w:spacing w:after="57"/>
    </w:pPr>
  </w:style>
  <w:style w:type="paragraph" w:styleId="878">
    <w:name w:val="toc 7"/>
    <w:basedOn w:val="883"/>
    <w:next w:val="883"/>
    <w:uiPriority w:val="39"/>
    <w:unhideWhenUsed/>
    <w:pPr>
      <w:ind w:left="1701" w:right="0" w:firstLine="0"/>
      <w:spacing w:after="57"/>
    </w:pPr>
  </w:style>
  <w:style w:type="paragraph" w:styleId="879">
    <w:name w:val="toc 8"/>
    <w:basedOn w:val="883"/>
    <w:next w:val="883"/>
    <w:uiPriority w:val="39"/>
    <w:unhideWhenUsed/>
    <w:pPr>
      <w:ind w:left="1984" w:right="0" w:firstLine="0"/>
      <w:spacing w:after="57"/>
    </w:pPr>
  </w:style>
  <w:style w:type="paragraph" w:styleId="880">
    <w:name w:val="toc 9"/>
    <w:basedOn w:val="883"/>
    <w:next w:val="883"/>
    <w:uiPriority w:val="39"/>
    <w:unhideWhenUsed/>
    <w:pPr>
      <w:ind w:left="2268" w:right="0" w:firstLine="0"/>
      <w:spacing w:after="57"/>
    </w:pPr>
  </w:style>
  <w:style w:type="paragraph" w:styleId="881">
    <w:name w:val="TOC Heading"/>
    <w:uiPriority w:val="39"/>
    <w:unhideWhenUsed/>
  </w:style>
  <w:style w:type="paragraph" w:styleId="882">
    <w:name w:val="table of figures"/>
    <w:basedOn w:val="883"/>
    <w:next w:val="883"/>
    <w:uiPriority w:val="99"/>
    <w:unhideWhenUsed/>
    <w:pPr>
      <w:spacing w:after="0" w:afterAutospacing="0"/>
    </w:pPr>
  </w:style>
  <w:style w:type="paragraph" w:styleId="883" w:default="1">
    <w:name w:val="Normal"/>
    <w:next w:val="883"/>
    <w:link w:val="883"/>
    <w:qFormat/>
    <w:pPr>
      <w:jc w:val="both"/>
      <w:widowControl w:val="off"/>
    </w:pPr>
    <w:rPr>
      <w:rFonts w:ascii="Times New Roman" w:hAnsi="Times New Roman"/>
      <w:sz w:val="21"/>
      <w:szCs w:val="21"/>
      <w:lang w:val="en-US" w:eastAsia="zh-CN" w:bidi="ar-SA"/>
    </w:rPr>
  </w:style>
  <w:style w:type="paragraph" w:styleId="884">
    <w:name w:val="标题 1"/>
    <w:basedOn w:val="883"/>
    <w:next w:val="883"/>
    <w:link w:val="896"/>
    <w:qFormat/>
    <w:pPr>
      <w:jc w:val="center"/>
      <w:keepNext/>
      <w:outlineLvl w:val="0"/>
    </w:pPr>
    <w:rPr>
      <w:rFonts w:ascii="楷体_GB2312" w:eastAsia="楷体_GB2312"/>
      <w:sz w:val="28"/>
      <w:szCs w:val="28"/>
    </w:rPr>
  </w:style>
  <w:style w:type="paragraph" w:styleId="885">
    <w:name w:val="标题 2"/>
    <w:basedOn w:val="883"/>
    <w:next w:val="898"/>
    <w:link w:val="897"/>
    <w:qFormat/>
    <w:pPr>
      <w:jc w:val="center"/>
      <w:keepLines/>
      <w:keepNext/>
      <w:spacing w:before="260" w:after="260" w:line="416" w:lineRule="auto"/>
      <w:outlineLvl w:val="1"/>
    </w:pPr>
    <w:rPr>
      <w:rFonts w:ascii="Arial" w:hAnsi="Arial" w:eastAsia="幼圆"/>
      <w:b/>
      <w:bCs/>
      <w:sz w:val="44"/>
      <w:szCs w:val="44"/>
    </w:rPr>
  </w:style>
  <w:style w:type="paragraph" w:styleId="886">
    <w:name w:val="标题 3"/>
    <w:basedOn w:val="883"/>
    <w:next w:val="883"/>
    <w:link w:val="900"/>
    <w:qFormat/>
    <w:pPr>
      <w:keepLines/>
      <w:keepNext/>
      <w:spacing w:before="260" w:after="260" w:line="416" w:lineRule="auto"/>
      <w:outlineLvl w:val="2"/>
    </w:pPr>
    <w:rPr>
      <w:b/>
      <w:bCs/>
      <w:sz w:val="32"/>
      <w:szCs w:val="32"/>
    </w:rPr>
  </w:style>
  <w:style w:type="paragraph" w:styleId="887">
    <w:name w:val="标题 4"/>
    <w:basedOn w:val="883"/>
    <w:next w:val="898"/>
    <w:link w:val="901"/>
    <w:qFormat/>
    <w:pPr>
      <w:keepLines/>
      <w:keepNext/>
      <w:spacing w:before="280" w:after="290" w:line="376" w:lineRule="auto"/>
      <w:outlineLvl w:val="3"/>
    </w:pPr>
    <w:rPr>
      <w:rFonts w:ascii="Arial" w:hAnsi="Arial" w:eastAsia="黑体"/>
      <w:b/>
      <w:bCs/>
      <w:sz w:val="28"/>
      <w:szCs w:val="28"/>
    </w:rPr>
  </w:style>
  <w:style w:type="paragraph" w:styleId="888">
    <w:name w:val="标题 5"/>
    <w:basedOn w:val="883"/>
    <w:next w:val="898"/>
    <w:link w:val="902"/>
    <w:qFormat/>
    <w:pPr>
      <w:keepNext/>
      <w:outlineLvl w:val="4"/>
    </w:pPr>
    <w:rPr>
      <w:rFonts w:ascii="宋体"/>
      <w:color w:val="000000"/>
      <w:sz w:val="28"/>
      <w:szCs w:val="28"/>
    </w:rPr>
  </w:style>
  <w:style w:type="paragraph" w:styleId="889">
    <w:name w:val="标题 6"/>
    <w:basedOn w:val="883"/>
    <w:next w:val="883"/>
    <w:link w:val="903"/>
    <w:qFormat/>
    <w:pPr>
      <w:numPr>
        <w:ilvl w:val="5"/>
        <w:numId w:val="1"/>
      </w:numPr>
      <w:keepLines/>
      <w:keepNext/>
      <w:spacing w:before="240" w:after="64" w:line="320" w:lineRule="auto"/>
      <w:outlineLvl w:val="5"/>
    </w:pPr>
    <w:rPr>
      <w:rFonts w:ascii="Arial" w:hAnsi="Arial" w:eastAsia="黑体"/>
      <w:b/>
      <w:bCs/>
      <w:sz w:val="24"/>
      <w:szCs w:val="24"/>
    </w:rPr>
  </w:style>
  <w:style w:type="paragraph" w:styleId="890">
    <w:name w:val="标题 7"/>
    <w:basedOn w:val="883"/>
    <w:next w:val="883"/>
    <w:link w:val="904"/>
    <w:qFormat/>
    <w:pPr>
      <w:numPr>
        <w:ilvl w:val="6"/>
        <w:numId w:val="1"/>
      </w:numPr>
      <w:keepLines/>
      <w:keepNext/>
      <w:spacing w:before="240" w:after="64" w:line="320" w:lineRule="auto"/>
      <w:outlineLvl w:val="6"/>
    </w:pPr>
    <w:rPr>
      <w:b/>
      <w:bCs/>
      <w:sz w:val="24"/>
      <w:szCs w:val="24"/>
    </w:rPr>
  </w:style>
  <w:style w:type="paragraph" w:styleId="891">
    <w:name w:val="标题 8"/>
    <w:basedOn w:val="883"/>
    <w:next w:val="883"/>
    <w:link w:val="905"/>
    <w:qFormat/>
    <w:pPr>
      <w:numPr>
        <w:ilvl w:val="7"/>
        <w:numId w:val="1"/>
      </w:numPr>
      <w:keepLines/>
      <w:keepNext/>
      <w:spacing w:before="240" w:after="64" w:line="320" w:lineRule="auto"/>
      <w:outlineLvl w:val="7"/>
    </w:pPr>
    <w:rPr>
      <w:rFonts w:ascii="Arial" w:hAnsi="Arial" w:eastAsia="黑体"/>
      <w:sz w:val="24"/>
      <w:szCs w:val="24"/>
    </w:rPr>
  </w:style>
  <w:style w:type="paragraph" w:styleId="892">
    <w:name w:val="标题 9"/>
    <w:basedOn w:val="883"/>
    <w:next w:val="883"/>
    <w:link w:val="906"/>
    <w:qFormat/>
    <w:pPr>
      <w:numPr>
        <w:ilvl w:val="8"/>
        <w:numId w:val="1"/>
      </w:numPr>
      <w:keepLines/>
      <w:keepNext/>
      <w:spacing w:before="240" w:after="64" w:line="320" w:lineRule="auto"/>
      <w:outlineLvl w:val="8"/>
    </w:pPr>
    <w:rPr>
      <w:rFonts w:ascii="Arial" w:hAnsi="Arial" w:eastAsia="黑体"/>
      <w:sz w:val="20"/>
    </w:rPr>
  </w:style>
  <w:style w:type="character" w:styleId="893">
    <w:name w:val="默认段落字体"/>
    <w:next w:val="893"/>
    <w:link w:val="883"/>
    <w:uiPriority w:val="1"/>
    <w:unhideWhenUsed/>
  </w:style>
  <w:style w:type="table" w:styleId="894">
    <w:name w:val="普通表格"/>
    <w:next w:val="894"/>
    <w:link w:val="883"/>
    <w:uiPriority w:val="99"/>
    <w:unhideWhenUsed/>
    <w:tblPr/>
  </w:style>
  <w:style w:type="numbering" w:styleId="895">
    <w:name w:val="无列表"/>
    <w:next w:val="895"/>
    <w:link w:val="883"/>
    <w:uiPriority w:val="99"/>
    <w:semiHidden/>
    <w:unhideWhenUsed/>
  </w:style>
  <w:style w:type="character" w:styleId="896">
    <w:name w:val="标题 1 Char"/>
    <w:next w:val="896"/>
    <w:link w:val="884"/>
    <w:rPr>
      <w:rFonts w:ascii="楷体_GB2312" w:hAnsi="Times New Roman" w:eastAsia="楷体_GB2312" w:cs="Times New Roman"/>
      <w:sz w:val="28"/>
      <w:szCs w:val="28"/>
    </w:rPr>
  </w:style>
  <w:style w:type="character" w:styleId="897">
    <w:name w:val="标题 2 Char"/>
    <w:next w:val="897"/>
    <w:link w:val="885"/>
    <w:rPr>
      <w:rFonts w:ascii="Arial" w:hAnsi="Arial" w:eastAsia="幼圆" w:cs="Arial"/>
      <w:b/>
      <w:bCs/>
      <w:sz w:val="44"/>
      <w:szCs w:val="44"/>
    </w:rPr>
  </w:style>
  <w:style w:type="paragraph" w:styleId="898">
    <w:name w:val="正文缩进"/>
    <w:basedOn w:val="883"/>
    <w:next w:val="898"/>
    <w:link w:val="899"/>
    <w:pPr>
      <w:ind w:firstLine="420"/>
    </w:pPr>
    <w:rPr>
      <w:sz w:val="20"/>
    </w:rPr>
  </w:style>
  <w:style w:type="character" w:styleId="899">
    <w:name w:val="正文缩进 Char"/>
    <w:next w:val="899"/>
    <w:link w:val="898"/>
    <w:rPr>
      <w:rFonts w:ascii="Times New Roman" w:hAnsi="Times New Roman" w:eastAsia="宋体" w:cs="Times New Roman"/>
      <w:szCs w:val="21"/>
    </w:rPr>
  </w:style>
  <w:style w:type="character" w:styleId="900">
    <w:name w:val="标题 3 Char"/>
    <w:next w:val="900"/>
    <w:link w:val="886"/>
    <w:rPr>
      <w:rFonts w:ascii="Times New Roman" w:hAnsi="Times New Roman" w:eastAsia="宋体" w:cs="Times New Roman"/>
      <w:b/>
      <w:bCs/>
      <w:sz w:val="32"/>
      <w:szCs w:val="32"/>
    </w:rPr>
  </w:style>
  <w:style w:type="character" w:styleId="901">
    <w:name w:val="标题 4 Char"/>
    <w:next w:val="901"/>
    <w:link w:val="887"/>
    <w:rPr>
      <w:rFonts w:ascii="Arial" w:hAnsi="Arial" w:eastAsia="黑体" w:cs="Arial"/>
      <w:b/>
      <w:bCs/>
      <w:sz w:val="28"/>
      <w:szCs w:val="28"/>
    </w:rPr>
  </w:style>
  <w:style w:type="character" w:styleId="902">
    <w:name w:val="标题 5 Char"/>
    <w:next w:val="902"/>
    <w:link w:val="888"/>
    <w:rPr>
      <w:rFonts w:ascii="宋体" w:hAnsi="Times New Roman" w:eastAsia="宋体" w:cs="Times New Roman"/>
      <w:color w:val="000000"/>
      <w:sz w:val="28"/>
      <w:szCs w:val="28"/>
    </w:rPr>
  </w:style>
  <w:style w:type="character" w:styleId="903">
    <w:name w:val="标题 6 Char"/>
    <w:next w:val="903"/>
    <w:link w:val="889"/>
    <w:rPr>
      <w:rFonts w:ascii="Arial" w:hAnsi="Arial" w:eastAsia="黑体" w:cs="Times New Roman"/>
      <w:b/>
      <w:bCs/>
      <w:sz w:val="24"/>
      <w:szCs w:val="24"/>
    </w:rPr>
  </w:style>
  <w:style w:type="character" w:styleId="904">
    <w:name w:val="标题 7 Char"/>
    <w:next w:val="904"/>
    <w:link w:val="890"/>
    <w:rPr>
      <w:rFonts w:ascii="Times New Roman" w:hAnsi="Times New Roman" w:eastAsia="宋体" w:cs="Times New Roman"/>
      <w:b/>
      <w:bCs/>
      <w:sz w:val="24"/>
      <w:szCs w:val="24"/>
    </w:rPr>
  </w:style>
  <w:style w:type="character" w:styleId="905">
    <w:name w:val="标题 8 Char"/>
    <w:next w:val="905"/>
    <w:link w:val="891"/>
    <w:rPr>
      <w:rFonts w:ascii="Arial" w:hAnsi="Arial" w:eastAsia="黑体" w:cs="Times New Roman"/>
      <w:sz w:val="24"/>
      <w:szCs w:val="24"/>
    </w:rPr>
  </w:style>
  <w:style w:type="character" w:styleId="906">
    <w:name w:val="标题 9 Char"/>
    <w:next w:val="906"/>
    <w:link w:val="892"/>
    <w:rPr>
      <w:rFonts w:ascii="Arial" w:hAnsi="Arial" w:eastAsia="黑体" w:cs="Times New Roman"/>
      <w:szCs w:val="21"/>
    </w:rPr>
  </w:style>
  <w:style w:type="paragraph" w:styleId="907">
    <w:name w:val="列表 3"/>
    <w:basedOn w:val="883"/>
    <w:next w:val="907"/>
    <w:link w:val="883"/>
    <w:pPr>
      <w:ind w:left="100" w:hanging="200"/>
    </w:pPr>
  </w:style>
  <w:style w:type="paragraph" w:styleId="908">
    <w:name w:val="目录 7"/>
    <w:basedOn w:val="883"/>
    <w:next w:val="883"/>
    <w:link w:val="883"/>
    <w:semiHidden/>
    <w:pPr>
      <w:ind w:left="1260"/>
      <w:jc w:val="left"/>
    </w:pPr>
  </w:style>
  <w:style w:type="paragraph" w:styleId="909">
    <w:name w:val="文档结构图"/>
    <w:basedOn w:val="883"/>
    <w:next w:val="909"/>
    <w:link w:val="910"/>
    <w:semiHidden/>
    <w:pPr>
      <w:shd w:val="clear" w:color="auto" w:fill="000080"/>
    </w:pPr>
    <w:rPr>
      <w:sz w:val="20"/>
    </w:rPr>
  </w:style>
  <w:style w:type="character" w:styleId="910">
    <w:name w:val="文档结构图 Char"/>
    <w:next w:val="910"/>
    <w:link w:val="909"/>
    <w:semiHidden/>
    <w:rPr>
      <w:rFonts w:ascii="Times New Roman" w:hAnsi="Times New Roman" w:eastAsia="宋体" w:cs="Times New Roman"/>
      <w:szCs w:val="21"/>
      <w:shd w:val="clear" w:color="auto" w:fill="000080"/>
    </w:rPr>
  </w:style>
  <w:style w:type="paragraph" w:styleId="911">
    <w:name w:val="批注文字"/>
    <w:basedOn w:val="883"/>
    <w:next w:val="911"/>
    <w:link w:val="912"/>
    <w:semiHidden/>
    <w:pPr>
      <w:jc w:val="left"/>
    </w:pPr>
    <w:rPr>
      <w:sz w:val="20"/>
    </w:rPr>
  </w:style>
  <w:style w:type="character" w:styleId="912">
    <w:name w:val="批注文字 Char"/>
    <w:next w:val="912"/>
    <w:link w:val="911"/>
    <w:semiHidden/>
    <w:rPr>
      <w:rFonts w:ascii="Times New Roman" w:hAnsi="Times New Roman" w:eastAsia="宋体" w:cs="Times New Roman"/>
      <w:szCs w:val="21"/>
    </w:rPr>
  </w:style>
  <w:style w:type="paragraph" w:styleId="913">
    <w:name w:val="正文文本 3"/>
    <w:basedOn w:val="883"/>
    <w:next w:val="913"/>
    <w:link w:val="914"/>
    <w:rPr>
      <w:rFonts w:ascii="仿宋_GB2312" w:hAnsi="Arial" w:eastAsia="仿宋_GB2312"/>
      <w:sz w:val="32"/>
      <w:szCs w:val="32"/>
    </w:rPr>
  </w:style>
  <w:style w:type="character" w:styleId="914">
    <w:name w:val="正文文本 3 Char"/>
    <w:next w:val="914"/>
    <w:link w:val="913"/>
    <w:rPr>
      <w:rFonts w:ascii="仿宋_GB2312" w:hAnsi="Arial" w:eastAsia="仿宋_GB2312" w:cs="Times New Roman"/>
      <w:sz w:val="32"/>
      <w:szCs w:val="32"/>
    </w:rPr>
  </w:style>
  <w:style w:type="paragraph" w:styleId="915">
    <w:name w:val="正文文本"/>
    <w:basedOn w:val="883"/>
    <w:next w:val="915"/>
    <w:link w:val="916"/>
    <w:rPr>
      <w:rFonts w:ascii="楷体_GB2312" w:hAnsi="Arial" w:eastAsia="楷体_GB2312"/>
      <w:sz w:val="28"/>
      <w:szCs w:val="28"/>
    </w:rPr>
  </w:style>
  <w:style w:type="character" w:styleId="916">
    <w:name w:val="正文文本 Char"/>
    <w:next w:val="916"/>
    <w:link w:val="915"/>
    <w:rPr>
      <w:rFonts w:ascii="楷体_GB2312" w:hAnsi="Arial" w:eastAsia="楷体_GB2312" w:cs="Times New Roman"/>
      <w:sz w:val="28"/>
      <w:szCs w:val="28"/>
    </w:rPr>
  </w:style>
  <w:style w:type="paragraph" w:styleId="917">
    <w:name w:val="正文文本缩进"/>
    <w:basedOn w:val="883"/>
    <w:next w:val="917"/>
    <w:link w:val="918"/>
    <w:pPr>
      <w:ind w:firstLine="645"/>
    </w:pPr>
    <w:rPr>
      <w:rFonts w:ascii="楷体_GB2312" w:eastAsia="楷体_GB2312"/>
      <w:sz w:val="32"/>
      <w:szCs w:val="32"/>
    </w:rPr>
  </w:style>
  <w:style w:type="character" w:styleId="918">
    <w:name w:val="正文文本缩进 Char"/>
    <w:next w:val="918"/>
    <w:link w:val="917"/>
    <w:rPr>
      <w:rFonts w:ascii="楷体_GB2312" w:hAnsi="Times New Roman" w:eastAsia="楷体_GB2312" w:cs="Times New Roman"/>
      <w:sz w:val="32"/>
      <w:szCs w:val="32"/>
    </w:rPr>
  </w:style>
  <w:style w:type="paragraph" w:styleId="919">
    <w:name w:val="列表 2"/>
    <w:basedOn w:val="883"/>
    <w:next w:val="919"/>
    <w:link w:val="883"/>
    <w:pPr>
      <w:ind w:left="100" w:hanging="200"/>
    </w:pPr>
  </w:style>
  <w:style w:type="paragraph" w:styleId="920">
    <w:name w:val="目录 5"/>
    <w:basedOn w:val="883"/>
    <w:next w:val="883"/>
    <w:link w:val="883"/>
    <w:semiHidden/>
    <w:pPr>
      <w:ind w:left="840"/>
      <w:jc w:val="left"/>
    </w:pPr>
  </w:style>
  <w:style w:type="paragraph" w:styleId="921">
    <w:name w:val="目录 3"/>
    <w:basedOn w:val="883"/>
    <w:next w:val="883"/>
    <w:link w:val="883"/>
    <w:semiHidden/>
    <w:pPr>
      <w:ind w:left="420"/>
      <w:jc w:val="left"/>
    </w:pPr>
    <w:rPr>
      <w:i/>
      <w:iCs/>
      <w:szCs w:val="24"/>
    </w:rPr>
  </w:style>
  <w:style w:type="paragraph" w:styleId="922">
    <w:name w:val="纯文本"/>
    <w:basedOn w:val="883"/>
    <w:next w:val="922"/>
    <w:link w:val="923"/>
    <w:rPr>
      <w:rFonts w:ascii="宋体" w:hAnsi="Courier New"/>
      <w:sz w:val="20"/>
    </w:rPr>
  </w:style>
  <w:style w:type="character" w:styleId="923">
    <w:name w:val="纯文本 Char"/>
    <w:next w:val="923"/>
    <w:link w:val="922"/>
    <w:rPr>
      <w:rFonts w:ascii="宋体" w:hAnsi="Courier New" w:eastAsia="宋体" w:cs="Courier New"/>
      <w:szCs w:val="21"/>
    </w:rPr>
  </w:style>
  <w:style w:type="paragraph" w:styleId="924">
    <w:name w:val="目录 8"/>
    <w:basedOn w:val="883"/>
    <w:next w:val="883"/>
    <w:link w:val="883"/>
    <w:semiHidden/>
    <w:pPr>
      <w:ind w:left="1470"/>
      <w:jc w:val="left"/>
    </w:pPr>
  </w:style>
  <w:style w:type="paragraph" w:styleId="925">
    <w:name w:val="日期"/>
    <w:basedOn w:val="883"/>
    <w:next w:val="883"/>
    <w:link w:val="926"/>
    <w:rPr>
      <w:sz w:val="24"/>
      <w:szCs w:val="24"/>
    </w:rPr>
  </w:style>
  <w:style w:type="character" w:styleId="926">
    <w:name w:val="日期 Char"/>
    <w:next w:val="926"/>
    <w:link w:val="925"/>
    <w:rPr>
      <w:rFonts w:ascii="Times New Roman" w:hAnsi="Times New Roman" w:eastAsia="宋体" w:cs="Times New Roman"/>
      <w:sz w:val="24"/>
      <w:szCs w:val="24"/>
    </w:rPr>
  </w:style>
  <w:style w:type="paragraph" w:styleId="927">
    <w:name w:val="正文文本缩进 2"/>
    <w:basedOn w:val="883"/>
    <w:next w:val="927"/>
    <w:link w:val="928"/>
    <w:pPr>
      <w:ind w:left="630" w:firstLine="645"/>
    </w:pPr>
    <w:rPr>
      <w:rFonts w:ascii="Arial" w:hAnsi="Arial" w:eastAsia="仿宋_GB2312"/>
      <w:sz w:val="32"/>
      <w:szCs w:val="32"/>
    </w:rPr>
  </w:style>
  <w:style w:type="character" w:styleId="928">
    <w:name w:val="正文文本缩进 2 Char"/>
    <w:next w:val="928"/>
    <w:link w:val="927"/>
    <w:rPr>
      <w:rFonts w:ascii="Arial" w:hAnsi="Arial" w:eastAsia="仿宋_GB2312" w:cs="Arial"/>
      <w:sz w:val="32"/>
      <w:szCs w:val="32"/>
    </w:rPr>
  </w:style>
  <w:style w:type="paragraph" w:styleId="929">
    <w:name w:val="批注框文本"/>
    <w:basedOn w:val="883"/>
    <w:next w:val="929"/>
    <w:link w:val="930"/>
    <w:semiHidden/>
    <w:rPr>
      <w:sz w:val="18"/>
      <w:szCs w:val="18"/>
    </w:rPr>
  </w:style>
  <w:style w:type="character" w:styleId="930">
    <w:name w:val="批注框文本 Char"/>
    <w:next w:val="930"/>
    <w:link w:val="929"/>
    <w:semiHidden/>
    <w:rPr>
      <w:rFonts w:ascii="Times New Roman" w:hAnsi="Times New Roman" w:eastAsia="宋体" w:cs="Times New Roman"/>
      <w:sz w:val="18"/>
      <w:szCs w:val="18"/>
    </w:rPr>
  </w:style>
  <w:style w:type="paragraph" w:styleId="931">
    <w:name w:val="页脚"/>
    <w:basedOn w:val="883"/>
    <w:next w:val="931"/>
    <w:link w:val="932"/>
    <w:pPr>
      <w:jc w:val="left"/>
      <w:tabs>
        <w:tab w:val="center" w:pos="4153" w:leader="none"/>
        <w:tab w:val="right" w:pos="8306" w:leader="none"/>
      </w:tabs>
    </w:pPr>
    <w:rPr>
      <w:sz w:val="18"/>
      <w:szCs w:val="18"/>
    </w:rPr>
  </w:style>
  <w:style w:type="character" w:styleId="932">
    <w:name w:val="页脚 Char"/>
    <w:next w:val="932"/>
    <w:link w:val="931"/>
    <w:rPr>
      <w:rFonts w:ascii="Times New Roman" w:hAnsi="Times New Roman" w:eastAsia="宋体" w:cs="Times New Roman"/>
      <w:sz w:val="18"/>
      <w:szCs w:val="18"/>
    </w:rPr>
  </w:style>
  <w:style w:type="paragraph" w:styleId="933">
    <w:name w:val="页眉"/>
    <w:basedOn w:val="883"/>
    <w:next w:val="933"/>
    <w:link w:val="934"/>
    <w:uiPriority w:val="99"/>
    <w:qFormat/>
    <w:pPr>
      <w:jc w:val="center"/>
      <w:tabs>
        <w:tab w:val="center" w:pos="4153" w:leader="none"/>
        <w:tab w:val="right" w:pos="8306" w:leader="none"/>
      </w:tabs>
      <w:pBdr>
        <w:bottom w:val="single" w:color="000000" w:sz="6" w:space="1"/>
      </w:pBdr>
    </w:pPr>
    <w:rPr>
      <w:sz w:val="18"/>
      <w:szCs w:val="18"/>
    </w:rPr>
  </w:style>
  <w:style w:type="character" w:styleId="934">
    <w:name w:val="页眉 Char"/>
    <w:next w:val="934"/>
    <w:link w:val="933"/>
    <w:uiPriority w:val="99"/>
    <w:qFormat/>
    <w:rPr>
      <w:rFonts w:ascii="Times New Roman" w:hAnsi="Times New Roman" w:eastAsia="宋体" w:cs="Times New Roman"/>
      <w:sz w:val="18"/>
      <w:szCs w:val="18"/>
    </w:rPr>
  </w:style>
  <w:style w:type="paragraph" w:styleId="935">
    <w:name w:val="目录 1"/>
    <w:basedOn w:val="883"/>
    <w:next w:val="883"/>
    <w:link w:val="883"/>
    <w:semiHidden/>
    <w:pPr>
      <w:jc w:val="left"/>
      <w:spacing w:before="120" w:after="120" w:line="400" w:lineRule="exact"/>
      <w:tabs>
        <w:tab w:val="right" w:pos="8720" w:leader="dot"/>
      </w:tabs>
    </w:pPr>
    <w:rPr>
      <w:rFonts w:ascii="宋体" w:hAnsi="宋体"/>
      <w:caps/>
      <w:sz w:val="24"/>
      <w:szCs w:val="24"/>
    </w:rPr>
  </w:style>
  <w:style w:type="paragraph" w:styleId="936">
    <w:name w:val="目录 4"/>
    <w:basedOn w:val="883"/>
    <w:next w:val="883"/>
    <w:link w:val="883"/>
    <w:semiHidden/>
    <w:pPr>
      <w:ind w:left="630"/>
      <w:jc w:val="left"/>
    </w:pPr>
  </w:style>
  <w:style w:type="paragraph" w:styleId="937">
    <w:name w:val="列表"/>
    <w:basedOn w:val="883"/>
    <w:next w:val="937"/>
    <w:link w:val="883"/>
    <w:pPr>
      <w:ind w:left="200" w:hanging="200"/>
    </w:pPr>
  </w:style>
  <w:style w:type="paragraph" w:styleId="938">
    <w:name w:val="目录 6"/>
    <w:basedOn w:val="883"/>
    <w:next w:val="883"/>
    <w:link w:val="883"/>
    <w:semiHidden/>
    <w:pPr>
      <w:ind w:left="1050"/>
      <w:jc w:val="left"/>
    </w:pPr>
  </w:style>
  <w:style w:type="paragraph" w:styleId="939">
    <w:name w:val="正文文本缩进 3"/>
    <w:basedOn w:val="883"/>
    <w:next w:val="939"/>
    <w:link w:val="940"/>
    <w:pPr>
      <w:ind w:left="645" w:firstLine="645"/>
    </w:pPr>
    <w:rPr>
      <w:rFonts w:ascii="Arial" w:hAnsi="Arial" w:eastAsia="仿宋_GB2312"/>
      <w:color w:val="ffff00"/>
      <w:sz w:val="32"/>
      <w:szCs w:val="32"/>
    </w:rPr>
  </w:style>
  <w:style w:type="character" w:styleId="940">
    <w:name w:val="正文文本缩进 3 Char"/>
    <w:next w:val="940"/>
    <w:link w:val="939"/>
    <w:rPr>
      <w:rFonts w:ascii="Arial" w:hAnsi="Arial" w:eastAsia="仿宋_GB2312" w:cs="Arial"/>
      <w:color w:val="ffff00"/>
      <w:sz w:val="32"/>
      <w:szCs w:val="32"/>
    </w:rPr>
  </w:style>
  <w:style w:type="paragraph" w:styleId="941">
    <w:name w:val="图表目录"/>
    <w:basedOn w:val="883"/>
    <w:next w:val="883"/>
    <w:link w:val="883"/>
    <w:semiHidden/>
    <w:pPr>
      <w:ind w:left="840" w:hanging="420"/>
    </w:pPr>
  </w:style>
  <w:style w:type="paragraph" w:styleId="942">
    <w:name w:val="目录 2"/>
    <w:basedOn w:val="883"/>
    <w:next w:val="883"/>
    <w:link w:val="883"/>
    <w:semiHidden/>
    <w:pPr>
      <w:ind w:left="210"/>
      <w:jc w:val="left"/>
    </w:pPr>
    <w:rPr>
      <w:smallCaps/>
      <w:szCs w:val="24"/>
    </w:rPr>
  </w:style>
  <w:style w:type="paragraph" w:styleId="943">
    <w:name w:val="目录 9"/>
    <w:basedOn w:val="883"/>
    <w:next w:val="883"/>
    <w:link w:val="883"/>
    <w:semiHidden/>
    <w:pPr>
      <w:ind w:left="1680"/>
      <w:jc w:val="left"/>
    </w:pPr>
  </w:style>
  <w:style w:type="paragraph" w:styleId="944">
    <w:name w:val="正文文本 2"/>
    <w:basedOn w:val="883"/>
    <w:next w:val="944"/>
    <w:link w:val="945"/>
    <w:pPr>
      <w:jc w:val="center"/>
      <w:widowControl/>
    </w:pPr>
    <w:rPr>
      <w:rFonts w:ascii="楷体_GB2312" w:eastAsia="楷体_GB2312"/>
      <w:sz w:val="28"/>
      <w:szCs w:val="28"/>
    </w:rPr>
  </w:style>
  <w:style w:type="character" w:styleId="945">
    <w:name w:val="正文文本 2 Char"/>
    <w:next w:val="945"/>
    <w:link w:val="944"/>
    <w:rPr>
      <w:rFonts w:ascii="楷体_GB2312" w:hAnsi="Times New Roman" w:eastAsia="楷体_GB2312" w:cs="Times New Roman"/>
      <w:sz w:val="28"/>
      <w:szCs w:val="28"/>
    </w:rPr>
  </w:style>
  <w:style w:type="paragraph" w:styleId="946">
    <w:name w:val="普通(网站)"/>
    <w:basedOn w:val="883"/>
    <w:next w:val="946"/>
    <w:link w:val="883"/>
    <w:uiPriority w:val="99"/>
    <w:pPr>
      <w:jc w:val="left"/>
      <w:spacing w:before="100" w:beforeAutospacing="1" w:after="100" w:afterAutospacing="1"/>
      <w:widowControl/>
    </w:pPr>
    <w:rPr>
      <w:rFonts w:ascii="宋体" w:hAnsi="宋体" w:cs="宋体"/>
      <w:sz w:val="24"/>
      <w:szCs w:val="24"/>
    </w:rPr>
  </w:style>
  <w:style w:type="paragraph" w:styleId="947">
    <w:name w:val="索引 1"/>
    <w:basedOn w:val="883"/>
    <w:next w:val="883"/>
    <w:link w:val="883"/>
    <w:semiHidden/>
    <w:pPr>
      <w:spacing w:line="240" w:lineRule="atLeast"/>
    </w:pPr>
    <w:rPr>
      <w:b/>
      <w:bCs/>
    </w:rPr>
  </w:style>
  <w:style w:type="paragraph" w:styleId="948">
    <w:name w:val="批注主题"/>
    <w:basedOn w:val="911"/>
    <w:next w:val="911"/>
    <w:link w:val="949"/>
    <w:semiHidden/>
    <w:rPr>
      <w:b/>
      <w:bCs/>
    </w:rPr>
  </w:style>
  <w:style w:type="character" w:styleId="949">
    <w:name w:val="批注主题 Char"/>
    <w:next w:val="949"/>
    <w:link w:val="948"/>
    <w:semiHidden/>
    <w:rPr>
      <w:rFonts w:ascii="Times New Roman" w:hAnsi="Times New Roman" w:eastAsia="宋体" w:cs="Times New Roman"/>
      <w:b/>
      <w:bCs/>
      <w:szCs w:val="21"/>
    </w:rPr>
  </w:style>
  <w:style w:type="paragraph" w:styleId="950">
    <w:name w:val="正文首行缩进"/>
    <w:basedOn w:val="883"/>
    <w:next w:val="950"/>
    <w:link w:val="951"/>
    <w:pPr>
      <w:ind w:firstLine="200"/>
      <w:spacing w:line="360" w:lineRule="auto"/>
    </w:pPr>
    <w:rPr>
      <w:rFonts w:ascii="仿宋_GB2312" w:eastAsia="仿宋_GB2312"/>
      <w:sz w:val="30"/>
      <w:szCs w:val="30"/>
    </w:rPr>
  </w:style>
  <w:style w:type="character" w:styleId="951">
    <w:name w:val="正文首行缩进 Char"/>
    <w:next w:val="951"/>
    <w:link w:val="950"/>
    <w:rPr>
      <w:rFonts w:ascii="仿宋_GB2312" w:hAnsi="Times New Roman" w:eastAsia="仿宋_GB2312" w:cs="Times New Roman"/>
      <w:sz w:val="30"/>
      <w:szCs w:val="30"/>
    </w:rPr>
  </w:style>
  <w:style w:type="paragraph" w:styleId="952">
    <w:name w:val="正文首行缩进 2"/>
    <w:basedOn w:val="917"/>
    <w:next w:val="952"/>
    <w:link w:val="953"/>
    <w:pPr>
      <w:ind w:firstLine="420"/>
      <w:spacing w:line="360" w:lineRule="auto"/>
    </w:pPr>
    <w:rPr>
      <w:rFonts w:ascii="宋体" w:hAnsi="宋体" w:eastAsia="宋体"/>
      <w:szCs w:val="20"/>
    </w:rPr>
  </w:style>
  <w:style w:type="character" w:styleId="953">
    <w:name w:val="正文首行缩进 2 Char"/>
    <w:next w:val="953"/>
    <w:link w:val="952"/>
    <w:rPr>
      <w:rFonts w:ascii="宋体" w:hAnsi="宋体" w:eastAsia="宋体" w:cs="Times New Roman"/>
      <w:sz w:val="32"/>
      <w:szCs w:val="20"/>
    </w:rPr>
  </w:style>
  <w:style w:type="table" w:styleId="954">
    <w:name w:val="网格型"/>
    <w:basedOn w:val="894"/>
    <w:next w:val="954"/>
    <w:link w:val="883"/>
    <w:pPr>
      <w:jc w:val="both"/>
      <w:widowControl w:val="off"/>
    </w:pPr>
    <w:rPr>
      <w:rFonts w:ascii="Times New Roman" w:hAnsi="Times New Roman" w:eastAsia="宋体" w:cs="Times New Roman"/>
      <w:sz w:val="20"/>
      <w:szCs w:val="20"/>
    </w:rPr>
    <w:tblPr/>
  </w:style>
  <w:style w:type="character" w:styleId="955">
    <w:name w:val="要点"/>
    <w:next w:val="955"/>
    <w:link w:val="883"/>
    <w:qFormat/>
    <w:rPr>
      <w:b/>
      <w:bCs/>
    </w:rPr>
  </w:style>
  <w:style w:type="character" w:styleId="956">
    <w:name w:val="页码"/>
    <w:next w:val="956"/>
    <w:link w:val="883"/>
  </w:style>
  <w:style w:type="character" w:styleId="957">
    <w:name w:val="访问过的超链接"/>
    <w:next w:val="957"/>
    <w:link w:val="883"/>
    <w:rPr>
      <w:color w:val="800080"/>
      <w:u w:val="single"/>
    </w:rPr>
  </w:style>
  <w:style w:type="character" w:styleId="958">
    <w:name w:val="HTML 打字机"/>
    <w:next w:val="958"/>
    <w:link w:val="883"/>
    <w:uiPriority w:val="99"/>
    <w:rPr>
      <w:rFonts w:ascii="宋体" w:hAnsi="宋体" w:eastAsia="宋体" w:cs="宋体"/>
      <w:sz w:val="24"/>
      <w:szCs w:val="24"/>
    </w:rPr>
  </w:style>
  <w:style w:type="character" w:styleId="959">
    <w:name w:val="超链接"/>
    <w:next w:val="959"/>
    <w:link w:val="883"/>
    <w:rPr>
      <w:color w:val="0000ff"/>
      <w:u w:val="single"/>
    </w:rPr>
  </w:style>
  <w:style w:type="character" w:styleId="960">
    <w:name w:val="批注引用"/>
    <w:next w:val="960"/>
    <w:link w:val="883"/>
    <w:semiHidden/>
    <w:rPr>
      <w:sz w:val="21"/>
      <w:szCs w:val="21"/>
    </w:rPr>
  </w:style>
  <w:style w:type="character" w:styleId="961">
    <w:name w:val="font5 Char"/>
    <w:next w:val="961"/>
    <w:link w:val="883"/>
    <w:rPr>
      <w:rFonts w:ascii="宋体" w:hAnsi="宋体" w:eastAsia="宋体"/>
      <w:sz w:val="28"/>
      <w:szCs w:val="28"/>
      <w:lang w:val="en-US" w:eastAsia="zh-CN" w:bidi="ar-SA"/>
    </w:rPr>
  </w:style>
  <w:style w:type="character" w:styleId="962">
    <w:name w:val="二级目录 Char"/>
    <w:next w:val="962"/>
    <w:link w:val="963"/>
    <w:rPr>
      <w:b/>
      <w:sz w:val="30"/>
      <w:szCs w:val="28"/>
      <w:lang w:val="en-US" w:eastAsia="zh-CN" w:bidi="ar-SA"/>
    </w:rPr>
  </w:style>
  <w:style w:type="paragraph" w:styleId="963">
    <w:name w:val="二级目录"/>
    <w:next w:val="883"/>
    <w:link w:val="962"/>
    <w:pPr>
      <w:numPr>
        <w:ilvl w:val="0"/>
        <w:numId w:val="2"/>
      </w:numPr>
      <w:tabs>
        <w:tab w:val="left" w:pos="907" w:leader="none"/>
        <w:tab w:val="left" w:pos="1145" w:leader="none"/>
      </w:tabs>
      <w:outlineLvl w:val="1"/>
    </w:pPr>
    <w:rPr>
      <w:b/>
      <w:sz w:val="30"/>
      <w:szCs w:val="28"/>
      <w:lang w:val="en-US" w:eastAsia="zh-CN" w:bidi="ar-SA"/>
    </w:rPr>
  </w:style>
  <w:style w:type="character" w:styleId="964">
    <w:name w:val="列出段落 Char,Bullet List Char,numbered Char,FooterText Char,List Paragraph1 Char,Paragraphe de liste1 Char"/>
    <w:next w:val="964"/>
    <w:link w:val="965"/>
    <w:rPr>
      <w:rFonts w:ascii="Calibri" w:hAnsi="Calibri"/>
      <w:sz w:val="24"/>
      <w:szCs w:val="24"/>
      <w:lang w:eastAsia="en-US" w:bidi="en-US"/>
    </w:rPr>
  </w:style>
  <w:style w:type="paragraph" w:styleId="965">
    <w:name w:val="列出段落1"/>
    <w:basedOn w:val="883"/>
    <w:next w:val="965"/>
    <w:link w:val="964"/>
    <w:qFormat/>
    <w:pPr>
      <w:contextualSpacing/>
      <w:ind w:left="720"/>
      <w:jc w:val="left"/>
      <w:widowControl/>
    </w:pPr>
    <w:rPr>
      <w:rFonts w:ascii="Calibri" w:hAnsi="Calibri"/>
      <w:sz w:val="24"/>
      <w:szCs w:val="24"/>
      <w:lang w:eastAsia="en-US" w:bidi="en-US"/>
    </w:rPr>
  </w:style>
  <w:style w:type="paragraph" w:styleId="966">
    <w:name w:val="Body Text(ch)"/>
    <w:basedOn w:val="883"/>
    <w:next w:val="915"/>
    <w:link w:val="883"/>
    <w:pPr>
      <w:spacing w:after="120"/>
    </w:pPr>
    <w:rPr>
      <w:rFonts w:ascii="宋体" w:hAnsi="Arial"/>
      <w:bCs/>
      <w:iCs/>
      <w:szCs w:val="24"/>
    </w:rPr>
  </w:style>
  <w:style w:type="paragraph" w:styleId="967">
    <w:name w:val="xl27"/>
    <w:basedOn w:val="883"/>
    <w:next w:val="967"/>
    <w:link w:val="88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8">
    <w:name w:val="xl26"/>
    <w:basedOn w:val="883"/>
    <w:next w:val="968"/>
    <w:link w:val="88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69">
    <w:name w:val="Char"/>
    <w:basedOn w:val="883"/>
    <w:next w:val="969"/>
    <w:link w:val="883"/>
    <w:pPr>
      <w:ind w:firstLine="200"/>
      <w:tabs>
        <w:tab w:val="left" w:pos="360" w:leader="none"/>
      </w:tabs>
    </w:pPr>
    <w:rPr>
      <w:sz w:val="28"/>
      <w:szCs w:val="30"/>
    </w:rPr>
  </w:style>
  <w:style w:type="paragraph" w:styleId="970">
    <w:name w:val=" Char"/>
    <w:basedOn w:val="909"/>
    <w:next w:val="970"/>
    <w:link w:val="883"/>
    <w:rPr>
      <w:rFonts w:ascii="Tahoma" w:hAnsi="Tahoma"/>
      <w:sz w:val="24"/>
      <w:szCs w:val="24"/>
    </w:rPr>
  </w:style>
  <w:style w:type="paragraph" w:styleId="971">
    <w:name w:val="普通正文"/>
    <w:basedOn w:val="883"/>
    <w:next w:val="971"/>
    <w:link w:val="883"/>
    <w:pPr>
      <w:ind w:firstLine="480"/>
      <w:jc w:val="left"/>
      <w:spacing w:before="120" w:after="120" w:line="360" w:lineRule="auto"/>
    </w:pPr>
    <w:rPr>
      <w:rFonts w:ascii="Arial" w:hAnsi="Arial"/>
      <w:sz w:val="24"/>
      <w:szCs w:val="24"/>
    </w:rPr>
  </w:style>
  <w:style w:type="paragraph" w:styleId="972">
    <w:name w:val="table_lines"/>
    <w:basedOn w:val="883"/>
    <w:next w:val="972"/>
    <w:link w:val="883"/>
    <w:pPr>
      <w:jc w:val="left"/>
      <w:widowControl/>
    </w:pPr>
    <w:rPr>
      <w:sz w:val="20"/>
      <w:szCs w:val="20"/>
      <w:lang w:val="de-DE" w:eastAsia="de-DE"/>
    </w:rPr>
  </w:style>
  <w:style w:type="paragraph" w:styleId="973">
    <w:name w:val="附录1"/>
    <w:next w:val="973"/>
    <w:link w:val="883"/>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74">
    <w:name w:val="font7"/>
    <w:basedOn w:val="883"/>
    <w:next w:val="974"/>
    <w:link w:val="883"/>
    <w:pPr>
      <w:jc w:val="left"/>
      <w:spacing w:before="100" w:beforeAutospacing="1" w:after="100" w:afterAutospacing="1"/>
      <w:widowControl/>
    </w:pPr>
    <w:rPr>
      <w:rFonts w:hint="eastAsia" w:ascii="宋体" w:hAnsi="宋体"/>
      <w:sz w:val="18"/>
      <w:szCs w:val="18"/>
    </w:rPr>
  </w:style>
  <w:style w:type="paragraph" w:styleId="975">
    <w:name w:val=" Char Char Char Char"/>
    <w:basedOn w:val="909"/>
    <w:next w:val="975"/>
    <w:link w:val="883"/>
    <w:pPr>
      <w:spacing w:line="360" w:lineRule="auto"/>
    </w:pPr>
    <w:rPr>
      <w:rFonts w:ascii="Tahoma" w:hAnsi="Tahoma"/>
      <w:sz w:val="24"/>
      <w:szCs w:val="24"/>
    </w:rPr>
  </w:style>
  <w:style w:type="paragraph" w:styleId="976">
    <w:name w:val="列出段落"/>
    <w:basedOn w:val="883"/>
    <w:next w:val="976"/>
    <w:link w:val="883"/>
    <w:uiPriority w:val="99"/>
    <w:qFormat/>
    <w:pPr>
      <w:contextualSpacing/>
      <w:ind w:left="720"/>
      <w:jc w:val="left"/>
      <w:widowControl/>
    </w:pPr>
    <w:rPr>
      <w:rFonts w:ascii="Calibri" w:hAnsi="Calibri"/>
      <w:sz w:val="24"/>
      <w:szCs w:val="24"/>
      <w:lang w:eastAsia="en-US" w:bidi="en-US"/>
    </w:rPr>
  </w:style>
  <w:style w:type="paragraph" w:styleId="977">
    <w:name w:val="4"/>
    <w:basedOn w:val="883"/>
    <w:next w:val="939"/>
    <w:link w:val="883"/>
    <w:pPr>
      <w:ind w:firstLine="420"/>
      <w:spacing w:line="360" w:lineRule="auto"/>
    </w:pPr>
    <w:rPr>
      <w:color w:val="ff0000"/>
      <w:sz w:val="24"/>
      <w:szCs w:val="24"/>
    </w:rPr>
  </w:style>
  <w:style w:type="paragraph" w:styleId="978">
    <w:name w:val="普通 (Web)"/>
    <w:basedOn w:val="883"/>
    <w:next w:val="978"/>
    <w:link w:val="883"/>
    <w:pPr>
      <w:jc w:val="left"/>
      <w:spacing w:before="100" w:beforeAutospacing="1" w:after="100" w:afterAutospacing="1"/>
      <w:widowControl/>
    </w:pPr>
    <w:rPr>
      <w:rFonts w:ascii="宋体" w:hAnsi="宋体"/>
      <w:sz w:val="24"/>
      <w:szCs w:val="24"/>
    </w:rPr>
  </w:style>
  <w:style w:type="paragraph" w:styleId="979">
    <w:name w:val=" Char Char Char Char Char Char Char Char Char Char"/>
    <w:basedOn w:val="883"/>
    <w:next w:val="979"/>
    <w:link w:val="883"/>
    <w:pPr>
      <w:spacing w:line="360" w:lineRule="auto"/>
    </w:pPr>
    <w:rPr>
      <w:sz w:val="24"/>
      <w:szCs w:val="20"/>
    </w:rPr>
  </w:style>
  <w:style w:type="paragraph" w:styleId="980">
    <w:name w:val="样式1"/>
    <w:basedOn w:val="883"/>
    <w:next w:val="980"/>
    <w:link w:val="883"/>
    <w:pPr>
      <w:numPr>
        <w:ilvl w:val="0"/>
        <w:numId w:val="3"/>
      </w:numPr>
      <w:tabs>
        <w:tab w:val="left" w:pos="709" w:leader="none"/>
      </w:tabs>
    </w:pPr>
    <w:rPr>
      <w:rFonts w:ascii="宋体" w:hAnsi="宋体"/>
    </w:rPr>
  </w:style>
  <w:style w:type="paragraph" w:styleId="981">
    <w:name w:val="font6"/>
    <w:basedOn w:val="883"/>
    <w:next w:val="981"/>
    <w:link w:val="883"/>
    <w:pPr>
      <w:jc w:val="left"/>
      <w:spacing w:before="100" w:beforeAutospacing="1" w:after="100" w:afterAutospacing="1"/>
      <w:widowControl/>
    </w:pPr>
    <w:rPr>
      <w:rFonts w:hint="eastAsia" w:ascii="宋体" w:hAnsi="宋体"/>
      <w:sz w:val="28"/>
      <w:szCs w:val="28"/>
      <w:u w:val="single"/>
    </w:rPr>
  </w:style>
  <w:style w:type="paragraph" w:styleId="982">
    <w:name w:val="xl25"/>
    <w:basedOn w:val="883"/>
    <w:next w:val="982"/>
    <w:link w:val="883"/>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3">
    <w:name w:val="图标"/>
    <w:basedOn w:val="883"/>
    <w:next w:val="883"/>
    <w:link w:val="883"/>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84">
    <w:name w:val="标题3"/>
    <w:basedOn w:val="883"/>
    <w:next w:val="883"/>
    <w:link w:val="883"/>
    <w:pPr>
      <w:ind w:firstLine="624"/>
      <w:spacing w:line="590" w:lineRule="atLeast"/>
    </w:pPr>
    <w:rPr>
      <w:rFonts w:ascii="方正黑体_GBK" w:eastAsia="方正黑体_GBK"/>
      <w:sz w:val="32"/>
      <w:szCs w:val="32"/>
    </w:rPr>
  </w:style>
  <w:style w:type="paragraph" w:styleId="985">
    <w:name w:val="xl24"/>
    <w:basedOn w:val="883"/>
    <w:next w:val="985"/>
    <w:link w:val="88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6">
    <w:name w:val="xl29"/>
    <w:basedOn w:val="883"/>
    <w:next w:val="986"/>
    <w:link w:val="883"/>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87">
    <w:name w:val="Char Char Char Char Char Char Char Char"/>
    <w:basedOn w:val="883"/>
    <w:next w:val="987"/>
    <w:link w:val="883"/>
    <w:pPr>
      <w:jc w:val="left"/>
      <w:spacing w:after="160" w:line="240" w:lineRule="exact"/>
      <w:widowControl/>
    </w:pPr>
    <w:rPr>
      <w:rFonts w:ascii="Verdana" w:hAnsi="Verdana"/>
      <w:sz w:val="20"/>
      <w:szCs w:val="20"/>
      <w:lang w:eastAsia="en-US"/>
    </w:rPr>
  </w:style>
  <w:style w:type="paragraph" w:styleId="988">
    <w:name w:val="xl28"/>
    <w:basedOn w:val="883"/>
    <w:next w:val="988"/>
    <w:link w:val="88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89">
    <w:name w:val=" Char Char Char Char Char Char Char Char"/>
    <w:basedOn w:val="883"/>
    <w:next w:val="989"/>
    <w:link w:val="883"/>
    <w:pPr>
      <w:jc w:val="left"/>
      <w:spacing w:after="160" w:line="240" w:lineRule="exact"/>
      <w:widowControl/>
    </w:pPr>
    <w:rPr>
      <w:rFonts w:ascii="Verdana" w:hAnsi="Verdana"/>
      <w:sz w:val="20"/>
      <w:szCs w:val="20"/>
      <w:lang w:eastAsia="en-US"/>
    </w:rPr>
  </w:style>
  <w:style w:type="paragraph" w:styleId="990">
    <w:name w:val="xl30"/>
    <w:basedOn w:val="883"/>
    <w:next w:val="990"/>
    <w:link w:val="883"/>
    <w:pPr>
      <w:jc w:val="center"/>
      <w:spacing w:before="100" w:beforeAutospacing="1" w:after="100" w:afterAutospacing="1"/>
      <w:widowControl/>
    </w:pPr>
    <w:rPr>
      <w:rFonts w:ascii="宋体" w:hAnsi="宋体"/>
      <w:b/>
      <w:bCs/>
      <w:sz w:val="36"/>
      <w:szCs w:val="36"/>
    </w:rPr>
  </w:style>
  <w:style w:type="paragraph" w:styleId="991">
    <w:name w:val="Char Char Char Char"/>
    <w:basedOn w:val="909"/>
    <w:next w:val="991"/>
    <w:link w:val="883"/>
    <w:pPr>
      <w:spacing w:line="360" w:lineRule="auto"/>
    </w:pPr>
    <w:rPr>
      <w:rFonts w:ascii="Tahoma" w:hAnsi="Tahoma"/>
      <w:sz w:val="24"/>
      <w:szCs w:val="24"/>
    </w:rPr>
  </w:style>
  <w:style w:type="paragraph" w:styleId="992">
    <w:name w:val="table_1stline"/>
    <w:basedOn w:val="883"/>
    <w:next w:val="992"/>
    <w:link w:val="883"/>
    <w:pPr>
      <w:jc w:val="left"/>
      <w:spacing w:before="120"/>
      <w:widowControl/>
    </w:pPr>
    <w:rPr>
      <w:bCs/>
      <w:sz w:val="20"/>
      <w:szCs w:val="20"/>
      <w:lang w:val="de-DE" w:eastAsia="de-DE"/>
    </w:rPr>
  </w:style>
  <w:style w:type="paragraph" w:styleId="993">
    <w:name w:val="font5"/>
    <w:basedOn w:val="883"/>
    <w:next w:val="993"/>
    <w:link w:val="883"/>
    <w:pPr>
      <w:jc w:val="left"/>
      <w:spacing w:before="100" w:beforeAutospacing="1" w:after="100" w:afterAutospacing="1"/>
      <w:widowControl/>
    </w:pPr>
    <w:rPr>
      <w:rFonts w:hint="eastAsia" w:ascii="宋体" w:hAnsi="宋体"/>
      <w:sz w:val="28"/>
      <w:szCs w:val="28"/>
    </w:rPr>
  </w:style>
  <w:style w:type="paragraph" w:styleId="994">
    <w:name w:val="标题1"/>
    <w:basedOn w:val="883"/>
    <w:next w:val="883"/>
    <w:link w:val="883"/>
    <w:pPr>
      <w:jc w:val="center"/>
      <w:spacing w:line="700" w:lineRule="atLeast"/>
      <w:tabs>
        <w:tab w:val="left" w:pos="9193" w:leader="none"/>
        <w:tab w:val="left" w:pos="9827" w:leader="none"/>
      </w:tabs>
    </w:pPr>
    <w:rPr>
      <w:rFonts w:ascii="方正小标宋_GBK" w:eastAsia="方正小标宋_GBK"/>
      <w:sz w:val="44"/>
      <w:szCs w:val="20"/>
    </w:rPr>
  </w:style>
  <w:style w:type="paragraph" w:styleId="995">
    <w:name w:val="修订"/>
    <w:next w:val="995"/>
    <w:link w:val="883"/>
    <w:uiPriority w:val="99"/>
    <w:semiHidden/>
    <w:rPr>
      <w:rFonts w:ascii="Times New Roman" w:hAnsi="Times New Roman"/>
      <w:sz w:val="21"/>
      <w:szCs w:val="21"/>
      <w:lang w:val="en-US" w:eastAsia="zh-CN" w:bidi="ar-SA"/>
    </w:rPr>
  </w:style>
  <w:style w:type="paragraph" w:styleId="996">
    <w:name w:val="无间隔"/>
    <w:next w:val="996"/>
    <w:link w:val="883"/>
    <w:uiPriority w:val="99"/>
    <w:qFormat/>
    <w:pPr>
      <w:jc w:val="both"/>
      <w:widowControl w:val="off"/>
    </w:pPr>
    <w:rPr>
      <w:rFonts w:ascii="Times New Roman" w:hAnsi="Times New Roman"/>
      <w:sz w:val="21"/>
      <w:szCs w:val="21"/>
      <w:lang w:val="en-US" w:eastAsia="zh-CN" w:bidi="ar-SA"/>
    </w:rPr>
  </w:style>
  <w:style w:type="paragraph" w:styleId="997">
    <w:name w:val="普通文字"/>
    <w:basedOn w:val="883"/>
    <w:next w:val="883"/>
    <w:link w:val="883"/>
    <w:uiPriority w:val="99"/>
    <w:rPr>
      <w:rFonts w:ascii="宋体" w:hAnsi="Times New Roman" w:eastAsia="宋体" w:cs="Times New Roman"/>
      <w:sz w:val="24"/>
      <w:szCs w:val="20"/>
      <w:u w:val="none"/>
    </w:rPr>
  </w:style>
  <w:style w:type="paragraph" w:styleId="998">
    <w:name w:val="目录 111"/>
    <w:basedOn w:val="883"/>
    <w:next w:val="883"/>
    <w:link w:val="883"/>
    <w:uiPriority w:val="39"/>
    <w:unhideWhenUsed/>
    <w:qFormat/>
    <w:pPr>
      <w:jc w:val="left"/>
      <w:spacing w:after="100" w:line="259" w:lineRule="auto"/>
      <w:widowControl/>
    </w:pPr>
    <w:rPr>
      <w:rFonts w:ascii="Calibri" w:hAnsi="Calibri" w:eastAsia="宋体"/>
      <w:sz w:val="22"/>
      <w:szCs w:val="22"/>
    </w:rPr>
  </w:style>
  <w:style w:type="character" w:styleId="999" w:default="1">
    <w:name w:val="Default Paragraph Font"/>
    <w:uiPriority w:val="1"/>
    <w:semiHidden/>
    <w:unhideWhenUsed/>
  </w:style>
  <w:style w:type="numbering" w:styleId="1000" w:default="1">
    <w:name w:val="No List"/>
    <w:uiPriority w:val="99"/>
    <w:semiHidden/>
    <w:unhideWhenUsed/>
  </w:style>
  <w:style w:type="table" w:styleId="100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 Id="rId13" Type="http://schemas.openxmlformats.org/officeDocument/2006/relationships/image" Target="media/image2.png"/><Relationship Id="rId14" Type="http://schemas.openxmlformats.org/officeDocument/2006/relationships/image" Target="media/image3.png"/><Relationship Id="rId15"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34" Type="http://schemas.openxmlformats.org/officeDocument/2006/relationships/image" Target="media/image23.png"/><Relationship Id="rId35" Type="http://schemas.openxmlformats.org/officeDocument/2006/relationships/image" Target="media/image24.png"/><Relationship Id="rId36" Type="http://schemas.openxmlformats.org/officeDocument/2006/relationships/image" Target="media/image25.png"/><Relationship Id="rId37" Type="http://schemas.openxmlformats.org/officeDocument/2006/relationships/image" Target="media/image26.png"/><Relationship Id="rId38" Type="http://schemas.openxmlformats.org/officeDocument/2006/relationships/image" Target="media/image27.png"/><Relationship Id="rId39" Type="http://schemas.openxmlformats.org/officeDocument/2006/relationships/image" Target="media/image28.png"/><Relationship Id="rId40" Type="http://schemas.openxmlformats.org/officeDocument/2006/relationships/image" Target="media/image29.png"/><Relationship Id="rId41" Type="http://schemas.openxmlformats.org/officeDocument/2006/relationships/image" Target="media/image30.png"/><Relationship Id="rId42" Type="http://schemas.openxmlformats.org/officeDocument/2006/relationships/image" Target="media/image31.png"/><Relationship Id="rId43" Type="http://schemas.openxmlformats.org/officeDocument/2006/relationships/image" Target="media/image32.png"/><Relationship Id="rId44" Type="http://schemas.openxmlformats.org/officeDocument/2006/relationships/image" Target="media/image33.png"/><Relationship Id="rId45" Type="http://schemas.openxmlformats.org/officeDocument/2006/relationships/image" Target="media/image34.png"/><Relationship Id="rId46" Type="http://schemas.openxmlformats.org/officeDocument/2006/relationships/image" Target="media/image35.png"/><Relationship Id="rId47" Type="http://schemas.openxmlformats.org/officeDocument/2006/relationships/image" Target="media/image36.png"/><Relationship Id="rId48" Type="http://schemas.openxmlformats.org/officeDocument/2006/relationships/image" Target="media/image37.png"/><Relationship Id="rId49" Type="http://schemas.openxmlformats.org/officeDocument/2006/relationships/image" Target="media/image38.png"/><Relationship Id="rId50" Type="http://schemas.openxmlformats.org/officeDocument/2006/relationships/image" Target="media/image39.png"/><Relationship Id="rId51" Type="http://schemas.openxmlformats.org/officeDocument/2006/relationships/image" Target="media/image40.png"/><Relationship Id="rId52" Type="http://schemas.openxmlformats.org/officeDocument/2006/relationships/image" Target="media/image41.png"/><Relationship Id="rId53" Type="http://schemas.openxmlformats.org/officeDocument/2006/relationships/image" Target="media/image42.png"/><Relationship Id="rId54" Type="http://schemas.openxmlformats.org/officeDocument/2006/relationships/image" Target="media/image43.png"/><Relationship Id="rId55" Type="http://schemas.openxmlformats.org/officeDocument/2006/relationships/image" Target="media/image44.png"/><Relationship Id="rId56" Type="http://schemas.openxmlformats.org/officeDocument/2006/relationships/image" Target="media/image45.png"/><Relationship Id="rId57" Type="http://schemas.openxmlformats.org/officeDocument/2006/relationships/image" Target="media/image46.png"/><Relationship Id="rId58" Type="http://schemas.openxmlformats.org/officeDocument/2006/relationships/image" Target="media/image47.png"/><Relationship Id="rId59" Type="http://schemas.openxmlformats.org/officeDocument/2006/relationships/image" Target="media/image48.png"/><Relationship Id="rId60" Type="http://schemas.openxmlformats.org/officeDocument/2006/relationships/image" Target="media/image49.png"/><Relationship Id="rId61" Type="http://schemas.openxmlformats.org/officeDocument/2006/relationships/image" Target="media/image50.png"/><Relationship Id="rId62" Type="http://schemas.openxmlformats.org/officeDocument/2006/relationships/image" Target="media/image51.png"/><Relationship Id="rId63" Type="http://schemas.openxmlformats.org/officeDocument/2006/relationships/image" Target="media/image52.png"/><Relationship Id="rId64" Type="http://schemas.openxmlformats.org/officeDocument/2006/relationships/image" Target="media/image53.png"/><Relationship Id="rId65" Type="http://schemas.openxmlformats.org/officeDocument/2006/relationships/image" Target="media/image54.png"/><Relationship Id="rId66" Type="http://schemas.openxmlformats.org/officeDocument/2006/relationships/image" Target="media/image55.png"/><Relationship Id="rId67" Type="http://schemas.openxmlformats.org/officeDocument/2006/relationships/image" Target="media/image56.png"/><Relationship Id="rId68" Type="http://schemas.openxmlformats.org/officeDocument/2006/relationships/image" Target="media/image57.png"/><Relationship Id="rId69" Type="http://schemas.openxmlformats.org/officeDocument/2006/relationships/image" Target="media/image58.png"/><Relationship Id="rId70" Type="http://schemas.openxmlformats.org/officeDocument/2006/relationships/image" Target="media/image59.png"/><Relationship Id="rId71" Type="http://schemas.openxmlformats.org/officeDocument/2006/relationships/image" Target="media/image60.png"/><Relationship Id="rId72" Type="http://schemas.openxmlformats.org/officeDocument/2006/relationships/image" Target="media/image61.png"/><Relationship Id="rId73" Type="http://schemas.openxmlformats.org/officeDocument/2006/relationships/image" Target="media/image62.png"/><Relationship Id="rId74" Type="http://schemas.openxmlformats.org/officeDocument/2006/relationships/image" Target="media/image63.png"/><Relationship Id="rId75" Type="http://schemas.openxmlformats.org/officeDocument/2006/relationships/image" Target="media/image64.png"/><Relationship Id="rId76" Type="http://schemas.openxmlformats.org/officeDocument/2006/relationships/image" Target="media/image65.png"/><Relationship Id="rId77" Type="http://schemas.openxmlformats.org/officeDocument/2006/relationships/image" Target="media/image66.png"/><Relationship Id="rId78" Type="http://schemas.openxmlformats.org/officeDocument/2006/relationships/image" Target="media/image67.png"/><Relationship Id="rId79" Type="http://schemas.openxmlformats.org/officeDocument/2006/relationships/image" Target="media/image68.png"/><Relationship Id="rId80" Type="http://schemas.openxmlformats.org/officeDocument/2006/relationships/image" Target="media/image69.png"/><Relationship Id="rId81" Type="http://schemas.openxmlformats.org/officeDocument/2006/relationships/image" Target="media/image70.png"/><Relationship Id="rId82" Type="http://schemas.openxmlformats.org/officeDocument/2006/relationships/image" Target="media/image71.png"/><Relationship Id="rId83" Type="http://schemas.openxmlformats.org/officeDocument/2006/relationships/image" Target="media/image72.png"/><Relationship Id="rId84" Type="http://schemas.openxmlformats.org/officeDocument/2006/relationships/image" Target="media/image73.png"/><Relationship Id="rId85" Type="http://schemas.openxmlformats.org/officeDocument/2006/relationships/image" Target="media/image74.png"/><Relationship Id="rId86" Type="http://schemas.openxmlformats.org/officeDocument/2006/relationships/image" Target="media/image75.png"/><Relationship Id="rId87" Type="http://schemas.openxmlformats.org/officeDocument/2006/relationships/image" Target="media/image76.png"/><Relationship Id="rId88" Type="http://schemas.openxmlformats.org/officeDocument/2006/relationships/image" Target="media/image77.png"/><Relationship Id="rId89" Type="http://schemas.openxmlformats.org/officeDocument/2006/relationships/image" Target="media/image78.png"/><Relationship Id="rId90" Type="http://schemas.openxmlformats.org/officeDocument/2006/relationships/image" Target="media/image79.png"/><Relationship Id="rId91" Type="http://schemas.openxmlformats.org/officeDocument/2006/relationships/image" Target="media/image80.png"/><Relationship Id="rId92" Type="http://schemas.openxmlformats.org/officeDocument/2006/relationships/image" Target="media/image81.png"/><Relationship Id="rId93" Type="http://schemas.openxmlformats.org/officeDocument/2006/relationships/image" Target="media/image82.png"/><Relationship Id="rId94" Type="http://schemas.openxmlformats.org/officeDocument/2006/relationships/image" Target="media/image83.png"/><Relationship Id="rId95" Type="http://schemas.openxmlformats.org/officeDocument/2006/relationships/image" Target="media/image84.png"/><Relationship Id="rId96" Type="http://schemas.openxmlformats.org/officeDocument/2006/relationships/image" Target="media/image85.png"/><Relationship Id="rId97" Type="http://schemas.openxmlformats.org/officeDocument/2006/relationships/image" Target="media/image86.png"/><Relationship Id="rId98" Type="http://schemas.openxmlformats.org/officeDocument/2006/relationships/image" Target="media/image87.png"/><Relationship Id="rId99" Type="http://schemas.openxmlformats.org/officeDocument/2006/relationships/image" Target="media/image88.png"/><Relationship Id="rId100" Type="http://schemas.openxmlformats.org/officeDocument/2006/relationships/image" Target="media/image89.png"/><Relationship Id="rId101" Type="http://schemas.openxmlformats.org/officeDocument/2006/relationships/image" Target="media/image90.png"/><Relationship Id="rId102" Type="http://schemas.openxmlformats.org/officeDocument/2006/relationships/image" Target="media/image91.png"/><Relationship Id="rId103" Type="http://schemas.openxmlformats.org/officeDocument/2006/relationships/image" Target="media/image92.png"/><Relationship Id="rId104" Type="http://schemas.openxmlformats.org/officeDocument/2006/relationships/image" Target="media/image93.png"/><Relationship Id="rId105" Type="http://schemas.openxmlformats.org/officeDocument/2006/relationships/image" Target="media/image94.png"/><Relationship Id="rId106" Type="http://schemas.openxmlformats.org/officeDocument/2006/relationships/image" Target="media/image95.png"/><Relationship Id="rId107" Type="http://schemas.openxmlformats.org/officeDocument/2006/relationships/image" Target="media/image96.png"/><Relationship Id="rId108" Type="http://schemas.openxmlformats.org/officeDocument/2006/relationships/image" Target="media/image97.png"/><Relationship Id="rId109" Type="http://schemas.openxmlformats.org/officeDocument/2006/relationships/image" Target="media/image98.png"/><Relationship Id="rId110" Type="http://schemas.openxmlformats.org/officeDocument/2006/relationships/image" Target="media/image99.png"/><Relationship Id="rId111" Type="http://schemas.openxmlformats.org/officeDocument/2006/relationships/image" Target="media/image100.png"/><Relationship Id="rId112" Type="http://schemas.openxmlformats.org/officeDocument/2006/relationships/image" Target="media/image101.png"/><Relationship Id="rId113" Type="http://schemas.openxmlformats.org/officeDocument/2006/relationships/image" Target="media/image102.png"/><Relationship Id="rId114" Type="http://schemas.openxmlformats.org/officeDocument/2006/relationships/image" Target="media/image103.png"/><Relationship Id="rId115" Type="http://schemas.openxmlformats.org/officeDocument/2006/relationships/image" Target="media/image104.png"/><Relationship Id="rId116" Type="http://schemas.openxmlformats.org/officeDocument/2006/relationships/image" Target="media/image105.png"/><Relationship Id="rId117" Type="http://schemas.openxmlformats.org/officeDocument/2006/relationships/image" Target="media/image106.png"/><Relationship Id="rId118" Type="http://schemas.openxmlformats.org/officeDocument/2006/relationships/image" Target="media/image107.png"/><Relationship Id="rId119" Type="http://schemas.openxmlformats.org/officeDocument/2006/relationships/image" Target="media/image108.png"/><Relationship Id="rId120" Type="http://schemas.openxmlformats.org/officeDocument/2006/relationships/image" Target="media/image109.png"/><Relationship Id="rId121" Type="http://schemas.openxmlformats.org/officeDocument/2006/relationships/image" Target="media/image110.png"/><Relationship Id="rId122" Type="http://schemas.openxmlformats.org/officeDocument/2006/relationships/image" Target="media/image111.png"/><Relationship Id="rId123" Type="http://schemas.openxmlformats.org/officeDocument/2006/relationships/image" Target="media/image112.png"/><Relationship Id="rId124" Type="http://schemas.openxmlformats.org/officeDocument/2006/relationships/image" Target="media/image113.png"/><Relationship Id="rId125" Type="http://schemas.openxmlformats.org/officeDocument/2006/relationships/image" Target="media/image114.png"/><Relationship Id="rId126" Type="http://schemas.openxmlformats.org/officeDocument/2006/relationships/image" Target="media/image115.png"/><Relationship Id="rId127" Type="http://schemas.openxmlformats.org/officeDocument/2006/relationships/image" Target="media/image116.png"/><Relationship Id="rId128" Type="http://schemas.openxmlformats.org/officeDocument/2006/relationships/image" Target="media/image117.png"/><Relationship Id="rId129" Type="http://schemas.openxmlformats.org/officeDocument/2006/relationships/image" Target="media/image118.png"/><Relationship Id="rId130" Type="http://schemas.openxmlformats.org/officeDocument/2006/relationships/image" Target="media/image119.png"/><Relationship Id="rId131" Type="http://schemas.openxmlformats.org/officeDocument/2006/relationships/image" Target="media/image120.png"/><Relationship Id="rId132" Type="http://schemas.openxmlformats.org/officeDocument/2006/relationships/image" Target="media/image121.png"/><Relationship Id="rId133" Type="http://schemas.openxmlformats.org/officeDocument/2006/relationships/image" Target="media/image122.png"/><Relationship Id="rId134" Type="http://schemas.openxmlformats.org/officeDocument/2006/relationships/image" Target="media/image123.png"/><Relationship Id="rId135" Type="http://schemas.openxmlformats.org/officeDocument/2006/relationships/image" Target="media/image124.png"/><Relationship Id="rId136" Type="http://schemas.openxmlformats.org/officeDocument/2006/relationships/image" Target="media/image125.png"/><Relationship Id="rId137" Type="http://schemas.openxmlformats.org/officeDocument/2006/relationships/image" Target="media/image126.png"/><Relationship Id="rId138" Type="http://schemas.openxmlformats.org/officeDocument/2006/relationships/image" Target="media/image127.png"/><Relationship Id="rId139" Type="http://schemas.openxmlformats.org/officeDocument/2006/relationships/image" Target="media/image128.png"/><Relationship Id="rId140" Type="http://schemas.openxmlformats.org/officeDocument/2006/relationships/image" Target="media/image129.png"/><Relationship Id="rId141" Type="http://schemas.openxmlformats.org/officeDocument/2006/relationships/image" Target="media/image130.png"/><Relationship Id="rId142" Type="http://schemas.openxmlformats.org/officeDocument/2006/relationships/image" Target="media/image131.png"/><Relationship Id="rId143" Type="http://schemas.openxmlformats.org/officeDocument/2006/relationships/image" Target="media/image132.png"/><Relationship Id="rId144" Type="http://schemas.openxmlformats.org/officeDocument/2006/relationships/image" Target="media/image133.png"/><Relationship Id="rId145" Type="http://schemas.openxmlformats.org/officeDocument/2006/relationships/image" Target="media/image134.png"/><Relationship Id="rId146" Type="http://schemas.openxmlformats.org/officeDocument/2006/relationships/image" Target="media/image135.png"/><Relationship Id="rId147" Type="http://schemas.openxmlformats.org/officeDocument/2006/relationships/image" Target="media/image136.png"/><Relationship Id="rId148" Type="http://schemas.openxmlformats.org/officeDocument/2006/relationships/image" Target="media/image137.png"/><Relationship Id="rId149" Type="http://schemas.openxmlformats.org/officeDocument/2006/relationships/image" Target="media/image138.png"/><Relationship Id="rId150" Type="http://schemas.openxmlformats.org/officeDocument/2006/relationships/image" Target="media/image139.png"/><Relationship Id="rId151" Type="http://schemas.openxmlformats.org/officeDocument/2006/relationships/image" Target="media/image140.png"/><Relationship Id="rId152" Type="http://schemas.openxmlformats.org/officeDocument/2006/relationships/image" Target="media/image141.png"/><Relationship Id="rId153" Type="http://schemas.openxmlformats.org/officeDocument/2006/relationships/image" Target="media/image142.png"/><Relationship Id="rId154" Type="http://schemas.openxmlformats.org/officeDocument/2006/relationships/image" Target="media/image143.png"/><Relationship Id="rId155" Type="http://schemas.openxmlformats.org/officeDocument/2006/relationships/image" Target="media/image144.png"/><Relationship Id="rId156" Type="http://schemas.openxmlformats.org/officeDocument/2006/relationships/image" Target="media/image145.png"/><Relationship Id="rId157" Type="http://schemas.openxmlformats.org/officeDocument/2006/relationships/image" Target="media/image146.png"/><Relationship Id="rId158" Type="http://schemas.openxmlformats.org/officeDocument/2006/relationships/image" Target="media/image147.png"/><Relationship Id="rId159" Type="http://schemas.openxmlformats.org/officeDocument/2006/relationships/image" Target="media/image148.png"/><Relationship Id="rId160" Type="http://schemas.openxmlformats.org/officeDocument/2006/relationships/image" Target="media/image149.png"/><Relationship Id="rId161" Type="http://schemas.openxmlformats.org/officeDocument/2006/relationships/image" Target="media/image150.png"/><Relationship Id="rId162" Type="http://schemas.openxmlformats.org/officeDocument/2006/relationships/image" Target="media/image151.png"/><Relationship Id="rId163" Type="http://schemas.openxmlformats.org/officeDocument/2006/relationships/image" Target="media/image152.png"/><Relationship Id="rId164" Type="http://schemas.openxmlformats.org/officeDocument/2006/relationships/image" Target="media/image153.png"/><Relationship Id="rId165" Type="http://schemas.openxmlformats.org/officeDocument/2006/relationships/image" Target="media/image154.png"/><Relationship Id="rId166" Type="http://schemas.openxmlformats.org/officeDocument/2006/relationships/image" Target="media/image155.png"/><Relationship Id="rId167" Type="http://schemas.openxmlformats.org/officeDocument/2006/relationships/image" Target="media/image156.png"/><Relationship Id="rId168" Type="http://schemas.openxmlformats.org/officeDocument/2006/relationships/image" Target="media/image157.png"/><Relationship Id="rId169" Type="http://schemas.openxmlformats.org/officeDocument/2006/relationships/image" Target="media/image158.png"/><Relationship Id="rId170" Type="http://schemas.openxmlformats.org/officeDocument/2006/relationships/image" Target="media/image159.png"/><Relationship Id="rId171" Type="http://schemas.openxmlformats.org/officeDocument/2006/relationships/image" Target="media/image160.png"/><Relationship Id="rId172" Type="http://schemas.openxmlformats.org/officeDocument/2006/relationships/image" Target="media/image161.png"/><Relationship Id="rId173" Type="http://schemas.openxmlformats.org/officeDocument/2006/relationships/image" Target="media/image162.png"/><Relationship Id="rId174" Type="http://schemas.openxmlformats.org/officeDocument/2006/relationships/image" Target="media/image163.png"/><Relationship Id="rId175" Type="http://schemas.openxmlformats.org/officeDocument/2006/relationships/image" Target="media/image164.png"/><Relationship Id="rId176" Type="http://schemas.openxmlformats.org/officeDocument/2006/relationships/image" Target="media/image165.png"/><Relationship Id="rId177" Type="http://schemas.openxmlformats.org/officeDocument/2006/relationships/image" Target="media/image166.png"/><Relationship Id="rId178" Type="http://schemas.openxmlformats.org/officeDocument/2006/relationships/image" Target="media/image167.png"/><Relationship Id="rId179" Type="http://schemas.openxmlformats.org/officeDocument/2006/relationships/image" Target="media/image168.png"/><Relationship Id="rId180" Type="http://schemas.openxmlformats.org/officeDocument/2006/relationships/image" Target="media/image169.png"/><Relationship Id="rId181" Type="http://schemas.openxmlformats.org/officeDocument/2006/relationships/image" Target="media/image170.png"/><Relationship Id="rId182" Type="http://schemas.openxmlformats.org/officeDocument/2006/relationships/image" Target="media/image171.png"/><Relationship Id="rId183" Type="http://schemas.openxmlformats.org/officeDocument/2006/relationships/image" Target="media/image172.png"/><Relationship Id="rId184" Type="http://schemas.openxmlformats.org/officeDocument/2006/relationships/image" Target="media/image173.png"/><Relationship Id="rId185" Type="http://schemas.openxmlformats.org/officeDocument/2006/relationships/image" Target="media/image174.png"/><Relationship Id="rId186" Type="http://schemas.openxmlformats.org/officeDocument/2006/relationships/image" Target="media/image175.png"/><Relationship Id="rId187" Type="http://schemas.openxmlformats.org/officeDocument/2006/relationships/image" Target="media/image176.png"/><Relationship Id="rId188" Type="http://schemas.openxmlformats.org/officeDocument/2006/relationships/image" Target="media/image177.png"/><Relationship Id="rId189" Type="http://schemas.openxmlformats.org/officeDocument/2006/relationships/image" Target="media/image178.png"/><Relationship Id="rId190" Type="http://schemas.openxmlformats.org/officeDocument/2006/relationships/image" Target="media/image179.png"/><Relationship Id="rId191" Type="http://schemas.openxmlformats.org/officeDocument/2006/relationships/image" Target="media/image180.png"/><Relationship Id="rId192" Type="http://schemas.openxmlformats.org/officeDocument/2006/relationships/image" Target="media/image181.png"/><Relationship Id="rId193" Type="http://schemas.openxmlformats.org/officeDocument/2006/relationships/image" Target="media/image182.png"/><Relationship Id="rId194" Type="http://schemas.openxmlformats.org/officeDocument/2006/relationships/image" Target="media/image183.png"/><Relationship Id="rId195" Type="http://schemas.openxmlformats.org/officeDocument/2006/relationships/image" Target="media/image184.png"/><Relationship Id="rId196" Type="http://schemas.openxmlformats.org/officeDocument/2006/relationships/image" Target="media/image185.png"/><Relationship Id="rId197" Type="http://schemas.openxmlformats.org/officeDocument/2006/relationships/image" Target="media/image186.png"/><Relationship Id="rId198" Type="http://schemas.openxmlformats.org/officeDocument/2006/relationships/image" Target="media/image187.png"/><Relationship Id="rId199" Type="http://schemas.openxmlformats.org/officeDocument/2006/relationships/image" Target="media/image188.png"/><Relationship Id="rId200" Type="http://schemas.openxmlformats.org/officeDocument/2006/relationships/image" Target="media/image189.png"/><Relationship Id="rId201" Type="http://schemas.openxmlformats.org/officeDocument/2006/relationships/image" Target="media/image190.png"/><Relationship Id="rId202" Type="http://schemas.openxmlformats.org/officeDocument/2006/relationships/image" Target="media/image191.png"/><Relationship Id="rId203" Type="http://schemas.openxmlformats.org/officeDocument/2006/relationships/image" Target="media/image192.png"/><Relationship Id="rId204" Type="http://schemas.openxmlformats.org/officeDocument/2006/relationships/image" Target="media/image193.png"/><Relationship Id="rId205" Type="http://schemas.openxmlformats.org/officeDocument/2006/relationships/image" Target="media/image194.png"/><Relationship Id="rId206" Type="http://schemas.openxmlformats.org/officeDocument/2006/relationships/image" Target="media/image195.png"/><Relationship Id="rId207" Type="http://schemas.openxmlformats.org/officeDocument/2006/relationships/image" Target="media/image196.png"/><Relationship Id="rId208" Type="http://schemas.openxmlformats.org/officeDocument/2006/relationships/image" Target="media/image197.png"/><Relationship Id="rId209" Type="http://schemas.openxmlformats.org/officeDocument/2006/relationships/image" Target="media/image198.png"/><Relationship Id="rId210" Type="http://schemas.openxmlformats.org/officeDocument/2006/relationships/image" Target="media/image199.png"/><Relationship Id="rId211" Type="http://schemas.openxmlformats.org/officeDocument/2006/relationships/image" Target="media/image200.png"/><Relationship Id="rId212" Type="http://schemas.openxmlformats.org/officeDocument/2006/relationships/image" Target="media/image201.png"/><Relationship Id="rId213" Type="http://schemas.openxmlformats.org/officeDocument/2006/relationships/image" Target="media/image202.png"/><Relationship Id="rId214" Type="http://schemas.openxmlformats.org/officeDocument/2006/relationships/image" Target="media/image203.png"/><Relationship Id="rId215" Type="http://schemas.openxmlformats.org/officeDocument/2006/relationships/image" Target="media/image204.png"/><Relationship Id="rId216" Type="http://schemas.openxmlformats.org/officeDocument/2006/relationships/image" Target="media/image205.png"/><Relationship Id="rId217" Type="http://schemas.openxmlformats.org/officeDocument/2006/relationships/image" Target="media/image206.png"/><Relationship Id="rId218" Type="http://schemas.openxmlformats.org/officeDocument/2006/relationships/image" Target="media/image207.png"/><Relationship Id="rId219" Type="http://schemas.openxmlformats.org/officeDocument/2006/relationships/image" Target="media/image208.png"/><Relationship Id="rId220" Type="http://schemas.openxmlformats.org/officeDocument/2006/relationships/image" Target="media/image209.png"/><Relationship Id="rId221" Type="http://schemas.openxmlformats.org/officeDocument/2006/relationships/image" Target="media/image210.png"/><Relationship Id="rId222" Type="http://schemas.openxmlformats.org/officeDocument/2006/relationships/image" Target="media/image211.png"/><Relationship Id="rId223" Type="http://schemas.openxmlformats.org/officeDocument/2006/relationships/image" Target="media/image212.png"/><Relationship Id="rId224" Type="http://schemas.openxmlformats.org/officeDocument/2006/relationships/image" Target="media/image213.png"/><Relationship Id="rId225" Type="http://schemas.openxmlformats.org/officeDocument/2006/relationships/image" Target="media/image214.png"/><Relationship Id="rId226" Type="http://schemas.openxmlformats.org/officeDocument/2006/relationships/image" Target="media/image215.png"/><Relationship Id="rId227" Type="http://schemas.openxmlformats.org/officeDocument/2006/relationships/image" Target="media/image216.png"/><Relationship Id="rId228" Type="http://schemas.openxmlformats.org/officeDocument/2006/relationships/image" Target="media/image217.png"/><Relationship Id="rId229" Type="http://schemas.openxmlformats.org/officeDocument/2006/relationships/image" Target="media/image218.png"/><Relationship Id="rId230" Type="http://schemas.openxmlformats.org/officeDocument/2006/relationships/image" Target="media/image219.png"/><Relationship Id="rId231" Type="http://schemas.openxmlformats.org/officeDocument/2006/relationships/image" Target="media/image220.png"/><Relationship Id="rId232" Type="http://schemas.openxmlformats.org/officeDocument/2006/relationships/image" Target="media/image221.png"/><Relationship Id="rId233" Type="http://schemas.openxmlformats.org/officeDocument/2006/relationships/image" Target="media/image222.png"/><Relationship Id="rId234" Type="http://schemas.openxmlformats.org/officeDocument/2006/relationships/image" Target="media/image223.png"/><Relationship Id="rId235" Type="http://schemas.openxmlformats.org/officeDocument/2006/relationships/image" Target="media/image224.png"/><Relationship Id="rId236" Type="http://schemas.openxmlformats.org/officeDocument/2006/relationships/image" Target="media/image225.png"/><Relationship Id="rId237" Type="http://schemas.openxmlformats.org/officeDocument/2006/relationships/image" Target="media/image226.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TYX</dc:creator>
  <cp:lastModifiedBy>邰云祥</cp:lastModifiedBy>
  <cp:revision>21</cp:revision>
  <dcterms:created xsi:type="dcterms:W3CDTF">2023-03-16T02:16:00Z</dcterms:created>
  <dcterms:modified xsi:type="dcterms:W3CDTF">2025-02-19T02:46:49Z</dcterms:modified>
  <cp:version>917504</cp:version>
</cp:coreProperties>
</file>