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534"/>
        <w:rPr>
          <w:rFonts w:hint="eastAsia" w:ascii="宋体" w:hAnsi="宋体" w:cs="宋体"/>
          <w:b/>
          <w:bCs/>
          <w:sz w:val="32"/>
          <w:szCs w:val="32"/>
        </w:rPr>
      </w:pPr>
      <w:r>
        <w:rPr>
          <w:rFonts w:hint="eastAsia" w:ascii="宋体" w:hAnsi="宋体" w:cs="宋体"/>
          <w:b/>
          <w:bCs/>
          <w:sz w:val="32"/>
          <w:szCs w:val="32"/>
        </w:rPr>
      </w:r>
      <w:r/>
    </w:p>
    <w:p>
      <w:pPr>
        <w:ind w:firstLine="3534"/>
        <w:rPr>
          <w:rFonts w:ascii="宋体" w:hAnsi="宋体" w:cs="宋体"/>
          <w:b/>
          <w:bCs/>
          <w:sz w:val="32"/>
          <w:szCs w:val="32"/>
        </w:rPr>
      </w:pPr>
      <w:r>
        <w:rPr>
          <w:rFonts w:hint="eastAsia" w:ascii="宋体" w:hAnsi="宋体" w:cs="宋体"/>
          <w:b/>
          <w:bCs/>
          <w:sz w:val="32"/>
          <w:szCs w:val="32"/>
        </w:rPr>
        <w:t xml:space="preserve">JSZC-321000-GHSJ-C2025-0005号</w:t>
      </w:r>
      <w:r/>
    </w:p>
    <w:p>
      <w:pPr>
        <w:pStyle w:val="951"/>
        <w:rPr>
          <w:rFonts w:hAnsi="宋体" w:cs="宋体"/>
        </w:rPr>
      </w:pPr>
      <w:r>
        <w:rPr>
          <w:rFonts w:hAnsi="宋体" w:cs="宋体"/>
        </w:rPr>
      </w:r>
      <w:r/>
    </w:p>
    <w:p>
      <w:pPr>
        <w:pStyle w:val="951"/>
        <w:rPr>
          <w:rFonts w:hAnsi="宋体" w:cs="宋体"/>
        </w:rPr>
      </w:pPr>
      <w:r>
        <w:rPr>
          <w:rFonts w:hAnsi="宋体" w:cs="宋体"/>
        </w:rPr>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lang w:eastAsia="zh-CN"/>
        </w:rPr>
        <w:t xml:space="preserve">2025年度市区80周岁以上老年人意外伤害综合保险服务项目</w:t>
      </w:r>
      <w:r>
        <w:rPr>
          <w:rFonts w:hint="eastAsia" w:ascii="宋体" w:hAnsi="宋体" w:cs="宋体"/>
          <w:b/>
          <w:bCs/>
          <w:sz w:val="44"/>
          <w:szCs w:val="44"/>
        </w:rPr>
        <w:t xml:space="preserve">竞争性磋商文件</w:t>
      </w:r>
      <w:bookmarkStart w:id="92" w:name="_GoBack"/>
      <w:r/>
      <w:bookmarkEnd w:id="92"/>
      <w:r/>
      <w:r/>
    </w:p>
    <w:p>
      <w:pPr>
        <w:rPr>
          <w:rFonts w:ascii="宋体" w:hAnsi="宋体" w:cs="宋体"/>
          <w:b/>
          <w:sz w:val="36"/>
        </w:rPr>
      </w:pPr>
      <w:r>
        <w:rPr>
          <w:rFonts w:ascii="宋体" w:hAnsi="宋体" w:cs="宋体"/>
          <w:b/>
          <w:sz w:val="36"/>
        </w:rPr>
      </w:r>
      <w:r/>
    </w:p>
    <w:p>
      <w:pPr>
        <w:rPr>
          <w:rFonts w:ascii="宋体" w:hAnsi="宋体" w:cs="宋体"/>
          <w:b/>
          <w:sz w:val="36"/>
        </w:rPr>
      </w:pPr>
      <w:r>
        <w:rPr>
          <w:rFonts w:ascii="宋体" w:hAnsi="宋体" w:cs="宋体"/>
          <w:b/>
          <w:sz w:val="36"/>
        </w:rPr>
      </w:r>
      <w:r/>
    </w:p>
    <w:p>
      <w:pPr>
        <w:pStyle w:val="791"/>
      </w:pPr>
      <w:r/>
      <w:r/>
    </w:p>
    <w:p>
      <w:pPr>
        <w:pStyle w:val="957"/>
        <w:numPr>
          <w:ilvl w:val="0"/>
          <w:numId w:val="0"/>
        </w:numPr>
        <w:ind w:left="420"/>
      </w:pPr>
      <w:r/>
      <w:r/>
    </w:p>
    <w:p>
      <w:pPr>
        <w:rPr>
          <w:rFonts w:ascii="宋体" w:hAnsi="宋体" w:cs="宋体"/>
          <w:b/>
          <w:sz w:val="36"/>
        </w:rPr>
      </w:pPr>
      <w:r>
        <w:rPr>
          <w:rFonts w:ascii="宋体" w:hAnsi="宋体" w:cs="宋体"/>
          <w:b/>
          <w:sz w:val="36"/>
        </w:rPr>
      </w:r>
      <w:r/>
    </w:p>
    <w:p>
      <w:pPr>
        <w:jc w:val="center"/>
        <w:rPr>
          <w:rFonts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378450" cy="28829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378577" cy="28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3.5pt;height:227.0pt;mso-wrap-distance-left:0.0pt;mso-wrap-distance-top:0.0pt;mso-wrap-distance-right:0.0pt;mso-wrap-distance-bottom:0.0pt;" stroked="f">
                <v:path textboxrect="0,0,0,0"/>
                <v:imagedata r:id="rId15" o:title=""/>
              </v:shape>
            </w:pict>
          </mc:Fallback>
        </mc:AlternateContent>
      </w:r>
      <w:r/>
    </w:p>
    <w:p>
      <w:pPr>
        <w:jc w:val="center"/>
        <w:rPr>
          <w:rFonts w:ascii="宋体" w:hAnsi="宋体" w:cs="宋体"/>
          <w:sz w:val="36"/>
        </w:rPr>
      </w:pPr>
      <w:r>
        <w:rPr>
          <w:rFonts w:ascii="宋体" w:hAnsi="宋体" w:cs="宋体"/>
          <w:sz w:val="36"/>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sz w:val="36"/>
        </w:rPr>
      </w:pPr>
      <w:r>
        <w:rPr>
          <w:rFonts w:hint="eastAsia" w:ascii="宋体" w:hAnsi="宋体" w:cs="宋体"/>
          <w:sz w:val="36"/>
        </w:rPr>
        <w:t xml:space="preserve">扬州市城市规划设计研究院有限责任公司</w:t>
      </w:r>
      <w:r/>
    </w:p>
    <w:p>
      <w:pPr>
        <w:jc w:val="center"/>
        <w:spacing w:line="360" w:lineRule="auto"/>
        <w:rPr>
          <w:rFonts w:hint="eastAsia" w:ascii="宋体" w:hAnsi="宋体" w:cs="宋体"/>
          <w:sz w:val="36"/>
        </w:rPr>
      </w:pPr>
      <w:r>
        <w:rPr>
          <w:rFonts w:hint="eastAsia" w:ascii="宋体" w:hAnsi="宋体" w:cs="宋体"/>
          <w:sz w:val="36"/>
        </w:rPr>
        <w:t xml:space="preserve">2025年</w:t>
      </w:r>
      <w:r>
        <w:rPr>
          <w:rFonts w:hint="eastAsia" w:ascii="宋体" w:hAnsi="宋体" w:cs="宋体"/>
          <w:sz w:val="36"/>
          <w:lang w:val="en-US" w:eastAsia="zh-CN"/>
        </w:rPr>
        <w:t xml:space="preserve">9</w:t>
      </w:r>
      <w:r>
        <w:rPr>
          <w:rFonts w:hint="eastAsia" w:ascii="宋体" w:hAnsi="宋体" w:cs="宋体"/>
          <w:sz w:val="36"/>
        </w:rPr>
        <w:t xml:space="preserve">月</w:t>
      </w:r>
      <w:r>
        <w:rPr>
          <w:rFonts w:hint="eastAsia" w:ascii="宋体" w:hAnsi="宋体" w:cs="宋体"/>
          <w:sz w:val="36"/>
          <w:lang w:val="en-US" w:eastAsia="zh-CN"/>
        </w:rPr>
        <w:t xml:space="preserve">15</w:t>
      </w:r>
      <w:r>
        <w:rPr>
          <w:rFonts w:hint="eastAsia" w:ascii="宋体" w:hAnsi="宋体" w:cs="宋体"/>
          <w:sz w:val="36"/>
        </w:rPr>
        <w:t xml:space="preserve">日</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948"/>
        <w:spacing w:line="360" w:lineRule="auto"/>
        <w:tabs>
          <w:tab w:val="right" w:pos="8306" w:leader="dot"/>
        </w:tabs>
        <w:rPr>
          <w:rFonts w:ascii="宋体" w:hAnsi="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"_Toc12965" </w:instrText>
      </w:r>
      <w:r>
        <w:fldChar w:fldCharType="separate"/>
      </w:r>
      <w:r>
        <w:rPr>
          <w:rFonts w:hint="eastAsia" w:ascii="宋体" w:hAnsi="宋体" w:cs="宋体"/>
          <w:bCs/>
          <w:szCs w:val="44"/>
        </w:rPr>
        <w:t xml:space="preserve">第一章 磋商公告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_Toc12965 \h </w:instrText>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ascii="宋体" w:hAnsi="宋体" w:cs="宋体"/>
        </w:rPr>
      </w:pPr>
      <w:r>
        <w:fldChar w:fldCharType="begin"/>
      </w:r>
      <w:r>
        <w:instrText xml:space="preserve"> HYPERLINK \l "_Toc11871" </w:instrText>
      </w:r>
      <w:r>
        <w:fldChar w:fldCharType="separate"/>
      </w:r>
      <w:r>
        <w:rPr>
          <w:rFonts w:hint="eastAsia" w:ascii="宋体" w:hAnsi="宋体" w:cs="宋体"/>
          <w:bCs/>
          <w:szCs w:val="44"/>
        </w:rPr>
        <w:t xml:space="preserve">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_Toc11871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"_Toc16834" </w:instrText>
      </w:r>
      <w:r>
        <w:fldChar w:fldCharType="separate"/>
      </w:r>
      <w:r>
        <w:rPr>
          <w:rFonts w:hint="eastAsia" w:ascii="宋体" w:hAnsi="宋体" w:cs="宋体"/>
          <w:bCs/>
          <w:szCs w:val="28"/>
        </w:rPr>
        <w:t xml:space="preserve">第三章 合同文本</w:t>
      </w:r>
      <w:r>
        <w:rPr>
          <w:rFonts w:hint="eastAsia" w:ascii="宋体" w:hAnsi="宋体" w:cs="宋体"/>
        </w:rPr>
        <w:tab/>
      </w:r>
      <w:r>
        <w:rPr>
          <w:rFonts w:hint="eastAsia" w:ascii="宋体" w:hAnsi="宋体" w:cs="宋体"/>
          <w:lang w:val="en-US" w:eastAsia="zh-CN"/>
        </w:rPr>
        <w:t xml:space="preserve">1</w:t>
      </w:r>
      <w:r>
        <w:rPr>
          <w:rFonts w:hint="eastAsia" w:ascii="宋体" w:hAnsi="宋体" w:cs="宋体"/>
        </w:rPr>
        <w:fldChar w:fldCharType="end"/>
      </w:r>
      <w:r>
        <w:rPr>
          <w:rFonts w:hint="eastAsia" w:ascii="宋体" w:hAnsi="宋体" w:cs="宋体"/>
          <w:lang w:val="en-US" w:eastAsia="zh-CN"/>
        </w:rPr>
        <w:t xml:space="preserve">7</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"_Toc23319" </w:instrText>
      </w:r>
      <w:r>
        <w:fldChar w:fldCharType="separate"/>
      </w:r>
      <w:r>
        <w:rPr>
          <w:rFonts w:hint="eastAsia" w:ascii="宋体" w:hAnsi="宋体" w:cs="宋体"/>
          <w:szCs w:val="21"/>
        </w:rPr>
        <w:t xml:space="preserve">第四章 采购需求</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1</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"_Toc7946" </w:instrText>
      </w:r>
      <w:r>
        <w:fldChar w:fldCharType="separate"/>
      </w:r>
      <w:r>
        <w:rPr>
          <w:rFonts w:hint="eastAsia" w:ascii="宋体" w:hAnsi="宋体" w:cs="宋体"/>
          <w:szCs w:val="28"/>
        </w:rPr>
        <w:t xml:space="preserve">第五章 评审方法与评审标</w:t>
      </w:r>
      <w:r>
        <w:rPr>
          <w:rFonts w:hint="eastAsia" w:ascii="宋体" w:hAnsi="宋体" w:cs="宋体"/>
          <w:bCs/>
          <w:szCs w:val="28"/>
        </w:rPr>
        <w:t xml:space="preserve">准</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4</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"_Toc17424" </w:instrText>
      </w:r>
      <w:r>
        <w:fldChar w:fldCharType="separate"/>
      </w:r>
      <w:r>
        <w:rPr>
          <w:rFonts w:hint="eastAsia" w:ascii="宋体" w:hAnsi="宋体" w:cs="宋体"/>
          <w:bCs/>
          <w:szCs w:val="28"/>
        </w:rPr>
        <w:t xml:space="preserve">第六章 响应文件格式</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cs="宋体"/>
          <w:lang w:val="en-US" w:eastAsia="zh-CN"/>
        </w:rPr>
        <w:t xml:space="preserve">7</w:t>
      </w:r>
      <w:r/>
    </w:p>
    <w:p>
      <w:pPr>
        <w:spacing w:line="360" w:lineRule="auto"/>
        <w:rPr>
          <w:rFonts w:ascii="宋体" w:hAnsi="宋体" w:cs="宋体"/>
          <w:szCs w:val="21"/>
        </w:rPr>
      </w:pPr>
      <w:r>
        <w:rPr>
          <w:rFonts w:hint="eastAsia" w:ascii="宋体" w:hAnsi="宋体" w:cs="宋体"/>
          <w:szCs w:val="21"/>
        </w:rPr>
        <w:fldChar w:fldCharType="end"/>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numPr>
          <w:ilvl w:val="0"/>
          <w:numId w:val="3"/>
        </w:numPr>
        <w:jc w:val="center"/>
        <w:keepNext/>
        <w:rPr>
          <w:rFonts w:ascii="宋体" w:hAnsi="宋体" w:cs="宋体"/>
          <w:b/>
          <w:bCs/>
          <w:sz w:val="44"/>
          <w:szCs w:val="44"/>
        </w:rPr>
        <w:outlineLvl w:val="0"/>
      </w:pPr>
      <w:r>
        <w:rPr>
          <w:rFonts w:hint="eastAsia" w:ascii="宋体" w:hAnsi="宋体" w:cs="宋体"/>
          <w:b/>
          <w:bCs/>
          <w:sz w:val="44"/>
          <w:szCs w:val="44"/>
        </w:rPr>
        <w:t xml:space="preserve"> </w:t>
      </w:r>
      <w:bookmarkStart w:id="0" w:name="_Toc12965"/>
      <w:r>
        <w:rPr>
          <w:rFonts w:hint="eastAsia" w:ascii="宋体" w:hAnsi="宋体" w:cs="宋体"/>
          <w:b/>
          <w:bCs/>
          <w:sz w:val="44"/>
          <w:szCs w:val="44"/>
        </w:rPr>
        <w:t xml:space="preserve">磋商公告</w:t>
      </w:r>
      <w:bookmarkEnd w:id="0"/>
      <w:r/>
      <w:r/>
    </w:p>
    <w:p>
      <w:pPr>
        <w:spacing w:line="360" w:lineRule="auto"/>
        <w:widowControl/>
        <w:rPr>
          <w:rFonts w:ascii="宋体" w:hAnsi="宋体" w:cs="宋体"/>
          <w:szCs w:val="21"/>
        </w:rPr>
      </w:pPr>
      <w:r>
        <w:rPr>
          <w:rFonts w:ascii="宋体" w:hAnsi="宋体" w:cs="宋体"/>
          <w:szCs w:val="21"/>
        </w:rPr>
      </w:r>
      <w:r/>
    </w:p>
    <w:p>
      <w:pPr>
        <w:ind w:firstLine="420"/>
        <w:spacing w:line="360" w:lineRule="auto"/>
        <w:widowControl/>
        <w:rPr>
          <w:rFonts w:ascii="宋体" w:hAnsi="宋体" w:eastAsia="宋体" w:cs="宋体"/>
          <w:color w:val="000000"/>
          <w:szCs w:val="21"/>
          <w:lang w:val="en-US" w:eastAsia="zh-CN"/>
        </w:rPr>
      </w:pPr>
      <w:r>
        <w:rPr>
          <w:rFonts w:hint="eastAsia" w:ascii="宋体" w:hAnsi="宋体" w:cs="宋体"/>
          <w:szCs w:val="21"/>
        </w:rPr>
        <w:t xml:space="preserve">受</w:t>
      </w:r>
      <w:r>
        <w:rPr>
          <w:rFonts w:hint="eastAsia" w:ascii="宋体" w:hAnsi="宋体" w:cs="宋体"/>
          <w:szCs w:val="21"/>
          <w:lang w:eastAsia="zh-CN"/>
        </w:rPr>
        <w:t xml:space="preserve">扬州市民政局</w:t>
      </w:r>
      <w:r>
        <w:rPr>
          <w:rFonts w:hint="eastAsia" w:ascii="宋体" w:hAnsi="宋体" w:cs="宋体"/>
          <w:szCs w:val="21"/>
        </w:rPr>
        <w:t xml:space="preserve">的委托，扬州市城市规划设计研究院有限责任公司就</w:t>
      </w:r>
      <w:r>
        <w:rPr>
          <w:rFonts w:hint="eastAsia" w:ascii="宋体" w:hAnsi="宋体" w:cs="宋体"/>
          <w:color w:val="000000"/>
          <w:szCs w:val="21"/>
          <w:lang w:val="en-US" w:eastAsia="zh-CN"/>
        </w:rPr>
        <w:t xml:space="preserve">2025年度市区80周岁以上老年人意外伤害综合保险服务项目</w:t>
      </w:r>
      <w:r>
        <w:rPr>
          <w:rFonts w:hint="eastAsia" w:ascii="宋体" w:hAnsi="宋体" w:cs="宋体"/>
          <w:color w:val="000000"/>
          <w:szCs w:val="21"/>
        </w:rPr>
        <w:t xml:space="preserve">实施政府采购，本次采购采用竞争性磋商方式，欢迎符合条件的供应商参加磋商</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_Toc38985263"/>
      <w:r/>
      <w:bookmarkStart w:id="2" w:name="_Toc28359079"/>
      <w:r/>
      <w:bookmarkStart w:id="3" w:name="_Toc35393621"/>
      <w:r/>
      <w:bookmarkStart w:id="4" w:name="_Toc35393790"/>
      <w:r/>
      <w:bookmarkStart w:id="5" w:name="_Toc28359002"/>
      <w:r/>
      <w:bookmarkStart w:id="6" w:name="_Hlk24379207"/>
      <w:r>
        <w:rPr>
          <w:rFonts w:hint="eastAsia" w:ascii="宋体" w:hAnsi="宋体" w:cs="宋体"/>
          <w:b/>
          <w:color w:val="000000"/>
          <w:szCs w:val="21"/>
        </w:rPr>
        <w:t xml:space="preserve">项目概况：</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val="en-US" w:eastAsia="zh-CN"/>
        </w:rPr>
        <w:t xml:space="preserve">2025年度市区80周岁以上老年人意外伤害综合保险服务</w:t>
      </w:r>
      <w:r>
        <w:rPr>
          <w:rFonts w:hint="eastAsia" w:ascii="宋体" w:hAnsi="宋体" w:cs="宋体"/>
          <w:color w:val="000000"/>
          <w:szCs w:val="21"/>
          <w:u w:val="none"/>
          <w:lang w:val="en-US" w:eastAsia="zh-CN"/>
        </w:rPr>
        <w:t xml:space="preserve">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“扬州市政府采购网”、“江苏省政府采购网”、“中国政府采购网”</w:t>
      </w:r>
      <w:r>
        <w:rPr>
          <w:rFonts w:hint="eastAsia" w:ascii="宋体" w:hAnsi="宋体" w:cs="宋体"/>
          <w:color w:val="000000"/>
          <w:szCs w:val="21"/>
        </w:rPr>
        <w:t xml:space="preserve">获取采购文件，并于</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color w:val="000000"/>
          <w:szCs w:val="21"/>
        </w:rPr>
        <w:t xml:space="preserve">（北京时间）前递交响应文件</w:t>
      </w:r>
      <w:r>
        <w:rPr>
          <w:rFonts w:hint="eastAsia" w:ascii="宋体" w:hAnsi="宋体" w:cs="宋体"/>
          <w:color w:val="000000"/>
          <w:szCs w:val="21"/>
        </w:rPr>
        <w:t xml:space="preserve">。</w:t>
      </w:r>
      <w:r/>
    </w:p>
    <w:p>
      <w:pPr>
        <w:ind w:firstLine="422"/>
        <w:spacing w:line="360" w:lineRule="auto"/>
        <w:rPr>
          <w:b/>
          <w:bCs/>
          <w:color w:val="000000"/>
        </w:rPr>
      </w:pPr>
      <w:r>
        <w:rPr>
          <w:rFonts w:hint="eastAsia"/>
          <w:b/>
          <w:bCs/>
          <w:color w:val="000000"/>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JSZC-321000-GHSJ-C2025-0005</w:t>
      </w:r>
      <w:r/>
    </w:p>
    <w:p>
      <w:pPr>
        <w:ind w:firstLine="420"/>
        <w:spacing w:line="360" w:lineRule="auto"/>
        <w:rPr>
          <w:rFonts w:hint="eastAsia" w:ascii="宋体" w:hAnsi="宋体" w:cs="宋体"/>
          <w:color w:val="000000"/>
          <w:szCs w:val="21"/>
          <w:lang w:eastAsia="zh-CN"/>
        </w:rPr>
      </w:pPr>
      <w:r>
        <w:rPr>
          <w:rFonts w:hint="eastAsia" w:ascii="宋体" w:hAnsi="宋体" w:cs="宋体"/>
          <w:color w:val="000000"/>
          <w:szCs w:val="21"/>
        </w:rPr>
        <w:t xml:space="preserve">2.项目名称：</w:t>
      </w:r>
      <w:bookmarkEnd w:id="6"/>
      <w:r>
        <w:rPr>
          <w:rFonts w:hint="eastAsia" w:ascii="宋体" w:hAnsi="宋体" w:cs="宋体"/>
          <w:color w:val="000000"/>
          <w:szCs w:val="21"/>
          <w:lang w:val="en-US" w:eastAsia="zh-CN"/>
        </w:rPr>
        <w:t xml:space="preserve">2025年度市区80周岁以上老年人意外伤害综合保险服务项目</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3.预算金额：</w:t>
      </w:r>
      <w:r>
        <w:rPr>
          <w:rFonts w:hint="eastAsia" w:ascii="宋体" w:hAnsi="宋体" w:cs="宋体"/>
          <w:szCs w:val="21"/>
          <w:lang w:val="en-US" w:eastAsia="zh-CN"/>
        </w:rPr>
        <w:t xml:space="preserve">100</w:t>
      </w:r>
      <w:r>
        <w:rPr>
          <w:rFonts w:hint="eastAsia" w:ascii="宋体" w:hAnsi="宋体" w:cs="宋体"/>
          <w:szCs w:val="21"/>
        </w:rPr>
        <w:t xml:space="preserve">万元</w:t>
      </w:r>
      <w:bookmarkStart w:id="7" w:name="_Toc28359003"/>
      <w:r/>
      <w:bookmarkStart w:id="8" w:name="_Toc35393791"/>
      <w:r/>
      <w:bookmarkStart w:id="9" w:name="_Toc28359080"/>
      <w:r/>
      <w:bookmarkStart w:id="10" w:name="_Toc38985264"/>
      <w:r/>
      <w:bookmarkStart w:id="11" w:name="_Toc35393622"/>
      <w:r/>
      <w:r/>
    </w:p>
    <w:p>
      <w:pPr>
        <w:ind w:firstLine="420"/>
        <w:spacing w:line="360" w:lineRule="auto"/>
        <w:rPr>
          <w:rFonts w:ascii="宋体" w:hAnsi="宋体" w:cs="宋体"/>
          <w:szCs w:val="21"/>
        </w:rPr>
      </w:pPr>
      <w:r>
        <w:rPr>
          <w:rFonts w:hint="eastAsia" w:ascii="宋体" w:hAnsi="宋体" w:cs="宋体"/>
          <w:szCs w:val="21"/>
        </w:rPr>
        <w:t xml:space="preserve">4.最高限价：本项目设置最高限价，最高限价为</w:t>
      </w:r>
      <w:r>
        <w:rPr>
          <w:rFonts w:hint="eastAsia" w:ascii="宋体" w:hAnsi="宋体" w:cs="宋体"/>
          <w:szCs w:val="21"/>
          <w:lang w:val="en-US" w:eastAsia="zh-CN"/>
        </w:rPr>
        <w:t xml:space="preserve">100</w:t>
      </w:r>
      <w:r>
        <w:rPr>
          <w:rFonts w:hint="eastAsia" w:ascii="宋体" w:hAnsi="宋体" w:cs="宋体"/>
          <w:szCs w:val="21"/>
        </w:rPr>
        <w:t xml:space="preserve">万元。</w:t>
      </w:r>
      <w:r/>
    </w:p>
    <w:p>
      <w:pPr>
        <w:ind w:firstLine="420"/>
        <w:spacing w:line="360" w:lineRule="auto"/>
        <w:rPr>
          <w:rFonts w:ascii="宋体" w:hAnsi="宋体" w:cs="宋体"/>
          <w:szCs w:val="21"/>
          <w:u w:val="single"/>
        </w:rPr>
      </w:pPr>
      <w:r>
        <w:rPr>
          <w:rFonts w:hint="eastAsia" w:ascii="宋体" w:hAnsi="宋体" w:cs="宋体"/>
          <w:szCs w:val="21"/>
        </w:rPr>
        <w:t xml:space="preserve">5.采购需求：见磋商文件第四章</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6.合同履行期限：</w:t>
      </w:r>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7.本项目（是/否）接受联合体投标：不接受联合体</w:t>
      </w:r>
      <w:bookmarkEnd w:id="7"/>
      <w:r/>
      <w:bookmarkEnd w:id="8"/>
      <w:r/>
      <w:bookmarkEnd w:id="9"/>
      <w:r/>
      <w:bookmarkEnd w:id="10"/>
      <w:r/>
      <w:bookmarkEnd w:id="11"/>
      <w:r/>
      <w:r/>
    </w:p>
    <w:p>
      <w:pPr>
        <w:ind w:firstLine="422"/>
        <w:spacing w:line="360" w:lineRule="auto"/>
        <w:rPr>
          <w:b/>
          <w:bCs/>
        </w:rPr>
      </w:pPr>
      <w:r/>
      <w:bookmarkStart w:id="12" w:name="_Toc38985265"/>
      <w:r/>
      <w:bookmarkStart w:id="13" w:name="_Toc28359081"/>
      <w:r/>
      <w:bookmarkStart w:id="14" w:name="_Toc28359004"/>
      <w:r/>
      <w:bookmarkStart w:id="15" w:name="_Toc35393792"/>
      <w:r/>
      <w:bookmarkStart w:id="16" w:name="_Toc35393623"/>
      <w:r>
        <w:rPr>
          <w:rFonts w:hint="eastAsia"/>
          <w:b/>
          <w:bCs/>
        </w:rPr>
        <w:t xml:space="preserve">二、申请人的资格要求：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spacing w:line="360" w:lineRule="auto"/>
        <w:rPr>
          <w:rFonts w:hint="eastAsia" w:ascii="宋体" w:hAnsi="宋体" w:eastAsia="宋体" w:cs="宋体"/>
          <w:bCs/>
          <w:i/>
          <w:iCs w:val="0"/>
          <w:color w:val="000000"/>
          <w:szCs w:val="21"/>
          <w:highlight w:val="none"/>
          <w:u w:val="single"/>
          <w:lang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Cs/>
          <w:i/>
          <w:iCs w:val="0"/>
          <w:color w:val="000000"/>
          <w:highlight w:val="none"/>
          <w:u w:val="single"/>
          <w:lang w:val="en-US" w:eastAsia="zh-CN"/>
        </w:rPr>
        <w:t xml:space="preserve">无</w:t>
      </w:r>
      <w:r>
        <w:rPr>
          <w:rFonts w:hint="eastAsia" w:ascii="宋体" w:hAnsi="宋体" w:cs="宋体"/>
          <w:bCs/>
          <w:i/>
          <w:iCs w:val="0"/>
          <w:color w:val="000000"/>
          <w:highlight w:val="none"/>
          <w:u w:val="single"/>
          <w:lang w:val="en-US" w:eastAsia="zh-CN"/>
        </w:rPr>
      </w:r>
      <w:r/>
    </w:p>
    <w:p>
      <w:pPr>
        <w:ind w:firstLine="420"/>
        <w:spacing w:line="360" w:lineRule="auto"/>
        <w:rPr>
          <w:rStyle w:val="950"/>
          <w:rFonts w:hint="eastAsia" w:ascii="宋体" w:hAnsi="宋体" w:cs="宋体"/>
          <w:iCs/>
          <w:szCs w:val="21"/>
          <w:u w:val="single"/>
          <w:shd w:val="clear" w:color="auto" w:fill="ffffff"/>
        </w:rPr>
        <w:outlineLvl w:val="2"/>
      </w:pPr>
      <w:r>
        <w:rPr>
          <w:rFonts w:hint="eastAsia" w:ascii="宋体" w:hAnsi="宋体" w:cs="宋体"/>
          <w:szCs w:val="21"/>
        </w:rPr>
        <w:t xml:space="preserve">本项目的特定资格要求：</w:t>
      </w: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cs="宋体"/>
          <w:i/>
          <w:iCs/>
          <w:sz w:val="24"/>
          <w:szCs w:val="24"/>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p>
      <w:pPr>
        <w:ind w:firstLine="422"/>
        <w:keepLines w:val="0"/>
        <w:keepNext w:val="0"/>
        <w:pageBreakBefore w:val="0"/>
        <w:spacing w:line="360" w:lineRule="auto"/>
        <w:widowControl w:val="off"/>
        <w:rPr>
          <w:b/>
          <w:bCs/>
        </w:rPr>
      </w:pPr>
      <w:r>
        <w:rPr>
          <w:rFonts w:hint="eastAsia"/>
          <w:b/>
          <w:bCs/>
        </w:rPr>
        <w:t xml:space="preserve">三、获取</w:t>
      </w:r>
      <w:bookmarkEnd w:id="12"/>
      <w:r/>
      <w:bookmarkEnd w:id="13"/>
      <w:r/>
      <w:bookmarkEnd w:id="14"/>
      <w:r/>
      <w:bookmarkEnd w:id="15"/>
      <w:r/>
      <w:bookmarkEnd w:id="16"/>
      <w:r>
        <w:rPr>
          <w:rFonts w:hint="eastAsia"/>
          <w:b/>
          <w:bCs/>
        </w:rPr>
        <w:t xml:space="preserve">磋商文件</w:t>
      </w:r>
      <w:r/>
    </w:p>
    <w:p>
      <w:pPr>
        <w:ind w:firstLine="397"/>
        <w:keepLines w:val="0"/>
        <w:keepNext w:val="0"/>
        <w:pageBreakBefore w:val="0"/>
        <w:spacing w:line="360" w:lineRule="auto"/>
        <w:widowControl w:val="off"/>
        <w:rPr>
          <w:rFonts w:ascii="宋体" w:hAnsi="宋体" w:cs="宋体"/>
          <w:b/>
          <w:szCs w:val="21"/>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397"/>
        <w:spacing w:line="360" w:lineRule="auto"/>
        <w:rPr>
          <w:rFonts w:ascii="宋体" w:hAnsi="宋体" w:cs="宋体"/>
          <w:szCs w:val="21"/>
        </w:rPr>
      </w:pPr>
      <w:r>
        <w:rPr>
          <w:rFonts w:hint="eastAsia" w:ascii="宋体" w:hAnsi="宋体" w:cs="宋体"/>
          <w:szCs w:val="21"/>
        </w:rPr>
        <w:t xml:space="preserve">2.方式：</w:t>
      </w:r>
      <w:r>
        <w:rPr>
          <w:rFonts w:hint="eastAsia" w:ascii="宋体" w:hAnsi="宋体" w:cs="宋体"/>
          <w:b/>
          <w:bCs/>
          <w:szCs w:val="21"/>
        </w:rPr>
        <w:t xml:space="preserve">本项目采用网上注册登记方式。</w:t>
      </w:r>
      <w:r/>
    </w:p>
    <w:p>
      <w:pPr>
        <w:ind w:firstLine="397"/>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（3）“CA数字证书”的办理材料以及供应商操作手册详见：http://zfcg.yangzhou.gov.cn/zfcg/xzzx/202309/4d7de1f7865f4a2894fc22bc452f94d8.shtml。</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（4）潜在供应商访问“苏采云”系统的网络地址和方法：“苏采云”系统的网址：http://jszfcg.jsczt.cn/。</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（6）招标代理机构（采购代理机构）将数据电文形式的采购文件加载至“苏采云”系统，供潜在供应商下载或者查阅。</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（7）苏采云系统使用谷歌浏览器参与不见面开标。</w:t>
      </w:r>
      <w:bookmarkEnd w:id="17"/>
      <w:r/>
      <w:bookmarkEnd w:id="18"/>
      <w:r/>
      <w:bookmarkEnd w:id="19"/>
      <w:r/>
      <w:bookmarkEnd w:id="20"/>
      <w:r/>
      <w:bookmarkEnd w:id="21"/>
      <w:r/>
      <w:r/>
    </w:p>
    <w:p>
      <w:pPr>
        <w:ind w:firstLine="422"/>
        <w:spacing w:line="360" w:lineRule="auto"/>
        <w:rPr>
          <w:b/>
          <w:bCs/>
        </w:rPr>
      </w:pPr>
      <w:r/>
      <w:bookmarkStart w:id="22" w:name="_Toc109304966"/>
      <w:r/>
      <w:bookmarkStart w:id="23" w:name="_Toc38985269"/>
      <w:r/>
      <w:bookmarkStart w:id="24" w:name="_Toc28359085"/>
      <w:r/>
      <w:bookmarkStart w:id="25" w:name="_Toc28359008"/>
      <w:r/>
      <w:bookmarkStart w:id="26" w:name="_Toc35393796"/>
      <w:r/>
      <w:bookmarkStart w:id="27" w:name="_Toc35393627"/>
      <w:r>
        <w:rPr>
          <w:rFonts w:hint="eastAsia"/>
          <w:b/>
          <w:bCs/>
        </w:rPr>
        <w:t xml:space="preserve">四、响应文件提交</w:t>
      </w:r>
      <w:bookmarkEnd w:id="22"/>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szCs w:val="21"/>
          <w:u w:val="single"/>
        </w:rPr>
      </w:pPr>
      <w:r/>
      <w:bookmarkStart w:id="28" w:name="_Toc109304967"/>
      <w:r>
        <w:rPr>
          <w:rFonts w:hint="eastAsia" w:ascii="宋体" w:hAnsi="宋体" w:cs="宋体"/>
          <w:szCs w:val="21"/>
        </w:rPr>
        <w:t xml:space="preserve">投标地点：“苏采云”系统（网址： http://jszfcg.jsczt.cn/）</w:t>
      </w:r>
      <w:r/>
    </w:p>
    <w:p>
      <w:pPr>
        <w:ind w:firstLine="422"/>
        <w:spacing w:line="360" w:lineRule="auto"/>
        <w:rPr>
          <w:b/>
          <w:bCs/>
        </w:rPr>
      </w:pPr>
      <w:r>
        <w:rPr>
          <w:rFonts w:hint="eastAsia"/>
          <w:b/>
          <w:bCs/>
        </w:rPr>
        <w:t xml:space="preserve">五、开启</w:t>
      </w:r>
      <w:bookmarkEnd w:id="28"/>
      <w:r/>
      <w:r/>
    </w:p>
    <w:p>
      <w:pPr>
        <w:pStyle w:val="959"/>
        <w:spacing w:line="360" w:lineRule="auto"/>
        <w:rPr>
          <w:rFonts w:ascii="宋体" w:hAnsi="宋体" w:cs="宋体"/>
          <w:bCs/>
          <w:szCs w:val="21"/>
        </w:rPr>
      </w:pPr>
      <w:r>
        <w:rPr>
          <w:rFonts w:hint="eastAsia" w:ascii="宋体" w:hAnsi="宋体" w:cs="宋体"/>
          <w:szCs w:val="21"/>
        </w:rPr>
        <w:t xml:space="preserve">时间</w:t>
      </w:r>
      <w:bookmarkStart w:id="29" w:name="XMTBJSR_3"/>
      <w:r>
        <w:rPr>
          <w:rFonts w:hint="eastAsia" w:ascii="宋体" w:hAnsi="宋体" w:cs="宋体"/>
          <w:szCs w:val="21"/>
        </w:rPr>
        <w:t xml:space="preserve">：</w:t>
      </w:r>
      <w:bookmarkEnd w:id="29"/>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10</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17</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bCs/>
          <w:szCs w:val="21"/>
        </w:rPr>
      </w:pPr>
      <w:r/>
      <w:bookmarkStart w:id="30" w:name="_Toc109304968"/>
      <w:r>
        <w:rPr>
          <w:rFonts w:hint="eastAsia" w:ascii="宋体" w:hAnsi="宋体" w:cs="宋体"/>
          <w:bCs/>
          <w:szCs w:val="21"/>
        </w:rPr>
        <w:t xml:space="preserve">开标地点：“苏采云”系统（网址： http://jszfcg.jsczt.cn/）“开标大厅”</w:t>
      </w:r>
      <w:r/>
    </w:p>
    <w:p>
      <w:pPr>
        <w:ind w:firstLine="422"/>
        <w:spacing w:line="360" w:lineRule="auto"/>
        <w:rPr>
          <w:b/>
          <w:bCs/>
        </w:rPr>
      </w:pPr>
      <w:r>
        <w:rPr>
          <w:rFonts w:hint="eastAsia"/>
          <w:b/>
          <w:bCs/>
        </w:rPr>
        <w:t xml:space="preserve">六、公告期限</w:t>
      </w:r>
      <w:bookmarkEnd w:id="30"/>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ind w:firstLine="422"/>
        <w:spacing w:line="360" w:lineRule="auto"/>
        <w:rPr>
          <w:b/>
          <w:bCs/>
        </w:rPr>
      </w:pPr>
      <w:r/>
      <w:bookmarkStart w:id="31" w:name="_Toc109304969"/>
      <w:r>
        <w:rPr>
          <w:rFonts w:hint="eastAsia"/>
          <w:b/>
          <w:bCs/>
        </w:rPr>
        <w:t xml:space="preserve">七、其他补充事宜</w:t>
      </w:r>
      <w:bookmarkEnd w:id="31"/>
      <w:r/>
      <w:r/>
    </w:p>
    <w:p>
      <w:pPr>
        <w:pStyle w:val="960"/>
        <w:ind w:firstLine="422"/>
        <w:spacing w:line="360" w:lineRule="auto"/>
        <w:rPr>
          <w:rFonts w:hAnsi="宋体" w:cs="宋体"/>
          <w:sz w:val="21"/>
          <w:szCs w:val="21"/>
        </w:rPr>
      </w:pPr>
      <w:r>
        <w:rPr>
          <w:rFonts w:hint="eastAsia" w:hAnsi="宋体" w:cs="宋体"/>
          <w:sz w:val="21"/>
          <w:szCs w:val="21"/>
        </w:rPr>
        <w:t xml:space="preserve">无</w:t>
      </w:r>
      <w:bookmarkEnd w:id="23"/>
      <w:r/>
      <w:bookmarkEnd w:id="24"/>
      <w:r/>
      <w:bookmarkEnd w:id="25"/>
      <w:r/>
      <w:bookmarkEnd w:id="26"/>
      <w:r/>
      <w:bookmarkEnd w:id="27"/>
      <w:r/>
      <w:r/>
    </w:p>
    <w:p>
      <w:pPr>
        <w:ind w:firstLine="422"/>
        <w:spacing w:line="360" w:lineRule="auto"/>
        <w:rPr>
          <w:b/>
          <w:bCs/>
        </w:rPr>
      </w:pPr>
      <w:r/>
      <w:bookmarkStart w:id="32" w:name="_Toc109304970"/>
      <w:r>
        <w:rPr>
          <w:rFonts w:hint="eastAsia"/>
          <w:b/>
          <w:bCs/>
        </w:rPr>
        <w:t xml:space="preserve">八、本次竞争性磋商联系方式</w:t>
      </w:r>
      <w:bookmarkEnd w:id="32"/>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扬州市民政局</w:t>
      </w:r>
      <w:r/>
    </w:p>
    <w:p>
      <w:pPr>
        <w:ind w:firstLine="420"/>
        <w:jc w:val="left"/>
        <w:spacing w:line="360" w:lineRule="auto"/>
        <w:rPr>
          <w:rFonts w:ascii="宋体" w:hAnsi="宋体" w:cs="宋体"/>
          <w:szCs w:val="21"/>
        </w:rPr>
      </w:pPr>
      <w:r>
        <w:rPr>
          <w:rFonts w:hint="eastAsia" w:ascii="宋体" w:hAnsi="宋体" w:cs="宋体"/>
          <w:szCs w:val="21"/>
        </w:rPr>
        <w:t xml:space="preserve">地  址：扬州市文昌中路</w:t>
      </w:r>
      <w:r>
        <w:rPr>
          <w:rFonts w:hint="eastAsia" w:ascii="宋体" w:hAnsi="宋体" w:cs="宋体"/>
          <w:szCs w:val="21"/>
          <w:lang w:val="en-US" w:eastAsia="zh-CN"/>
        </w:rPr>
        <w:t xml:space="preserve">460</w:t>
      </w:r>
      <w:r>
        <w:rPr>
          <w:rFonts w:hint="eastAsia" w:ascii="宋体" w:hAnsi="宋体" w:cs="宋体"/>
          <w:szCs w:val="21"/>
        </w:rPr>
        <w:t xml:space="preserve">号</w:t>
      </w:r>
      <w:r/>
    </w:p>
    <w:p>
      <w:pPr>
        <w:ind w:firstLine="420"/>
        <w:jc w:val="left"/>
        <w:spacing w:line="360" w:lineRule="auto"/>
        <w:rPr>
          <w:rFonts w:ascii="宋体" w:hAnsi="宋体" w:cs="宋体"/>
          <w:szCs w:val="21"/>
          <w:lang w:val="en-US"/>
        </w:rPr>
      </w:pPr>
      <w:r>
        <w:rPr>
          <w:rFonts w:hint="eastAsia" w:ascii="宋体" w:hAnsi="宋体" w:cs="宋体"/>
          <w:szCs w:val="21"/>
        </w:rPr>
        <w:t xml:space="preserve">联系人：</w:t>
      </w:r>
      <w:r>
        <w:rPr>
          <w:rFonts w:hint="eastAsia" w:ascii="宋体" w:hAnsi="宋体" w:eastAsia="宋体" w:cs="宋体"/>
          <w:sz w:val="21"/>
          <w:szCs w:val="21"/>
          <w:highlight w:val="none"/>
          <w:lang w:val="en-US" w:eastAsia="zh-CN"/>
        </w:rPr>
        <w:t xml:space="preserve">姚蓓</w:t>
      </w:r>
      <w:r/>
    </w:p>
    <w:p>
      <w:pPr>
        <w:ind w:left="0" w:right="0" w:firstLine="420"/>
        <w:jc w:val="both"/>
        <w:pageBreakBefore w:val="0"/>
        <w:spacing w:line="360" w:lineRule="auto"/>
        <w:rPr>
          <w:rFonts w:ascii="宋体" w:hAnsi="宋体" w:eastAsia="宋体" w:cs="宋体"/>
          <w:szCs w:val="21"/>
          <w:lang w:val="en-US" w:eastAsia="zh-CN"/>
        </w:rPr>
        <w:outlineLvl w:val="9"/>
      </w:pPr>
      <w:r>
        <w:rPr>
          <w:rFonts w:hint="eastAsia" w:ascii="宋体" w:hAnsi="宋体" w:cs="宋体"/>
          <w:szCs w:val="21"/>
        </w:rPr>
        <w:t xml:space="preserve">联系方式：</w:t>
      </w:r>
      <w:bookmarkStart w:id="33" w:name="_Toc28359086"/>
      <w:r/>
      <w:bookmarkStart w:id="34" w:name="_Toc28359009"/>
      <w:r>
        <w:rPr>
          <w:rFonts w:hint="eastAsia" w:ascii="宋体" w:hAnsi="宋体" w:eastAsia="宋体" w:cs="宋体"/>
          <w:color w:val="000000"/>
          <w:szCs w:val="21"/>
          <w:highlight w:val="none"/>
          <w:u w:val="none"/>
          <w:lang w:val="en-US" w:eastAsia="zh-CN"/>
        </w:rPr>
        <w:t xml:space="preserve">1381319199090</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33"/>
      <w:r/>
      <w:bookmarkEnd w:id="34"/>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称：扬州市城市规划设计研究院有限责任公司</w:t>
      </w:r>
      <w:r/>
    </w:p>
    <w:p>
      <w:pPr>
        <w:ind w:firstLine="420"/>
        <w:spacing w:line="360" w:lineRule="auto"/>
        <w:rPr>
          <w:rFonts w:ascii="宋体" w:hAnsi="宋体" w:cs="宋体"/>
          <w:szCs w:val="21"/>
        </w:rPr>
      </w:pPr>
      <w:r>
        <w:rPr>
          <w:rFonts w:hint="eastAsia" w:ascii="宋体" w:hAnsi="宋体" w:cs="宋体"/>
          <w:szCs w:val="21"/>
        </w:rPr>
        <w:t xml:space="preserve">地  址：扬州市文昌中路28号</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联系人：刘</w:t>
      </w:r>
      <w:r>
        <w:rPr>
          <w:rFonts w:hint="eastAsia" w:ascii="宋体" w:hAnsi="宋体" w:cs="宋体"/>
          <w:szCs w:val="21"/>
          <w:lang w:val="en-US" w:eastAsia="zh-CN"/>
        </w:rPr>
        <w:t xml:space="preserve">工</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w:t>
      </w:r>
      <w:r>
        <w:rPr>
          <w:rFonts w:hint="eastAsia" w:ascii="宋体" w:hAnsi="宋体" w:cs="宋体"/>
          <w:szCs w:val="21"/>
          <w:lang w:eastAsia="zh-CN"/>
        </w:rPr>
        <w:t xml:space="preserve">0514-85551830、</w:t>
      </w:r>
      <w:r>
        <w:rPr>
          <w:rFonts w:hint="eastAsia" w:ascii="宋体" w:hAnsi="宋体" w:cs="宋体"/>
          <w:szCs w:val="21"/>
          <w:lang w:val="en-US" w:eastAsia="zh-CN"/>
        </w:rPr>
        <w:t xml:space="preserve">18605218299</w:t>
      </w:r>
      <w:r/>
    </w:p>
    <w:p>
      <w:pPr>
        <w:ind w:firstLine="422"/>
        <w:spacing w:line="360" w:lineRule="auto"/>
        <w:tabs>
          <w:tab w:val="left" w:pos="266" w:leader="none"/>
        </w:tabs>
        <w:rPr>
          <w:rFonts w:ascii="宋体" w:hAnsi="宋体" w:cs="宋体"/>
          <w:b/>
          <w:bCs/>
        </w:rPr>
      </w:pPr>
      <w:r/>
      <w:bookmarkStart w:id="35" w:name="_Toc120614211"/>
      <w:r>
        <w:rPr>
          <w:rFonts w:hint="eastAsia" w:hAnsi="宋体" w:cs="宋体"/>
          <w:b/>
          <w:bCs/>
          <w:szCs w:val="21"/>
        </w:rPr>
        <w:t xml:space="preserve">九、</w:t>
      </w:r>
      <w:r>
        <w:rPr>
          <w:rFonts w:hint="eastAsia"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p>
    <w:p>
      <w:pPr>
        <w:ind w:firstLine="422"/>
        <w:spacing w:line="360" w:lineRule="auto"/>
        <w:rPr>
          <w:b/>
          <w:bCs/>
        </w:rPr>
      </w:pPr>
      <w:r/>
      <w:bookmarkStart w:id="36" w:name="_Toc109304971"/>
      <w:r>
        <w:rPr>
          <w:rFonts w:hint="eastAsia"/>
          <w:b/>
          <w:bCs/>
        </w:rPr>
        <w:t xml:space="preserve">十、其他</w:t>
      </w:r>
      <w:bookmarkEnd w:id="36"/>
      <w:r/>
      <w:r/>
    </w:p>
    <w:p>
      <w:pPr>
        <w:ind w:firstLine="422"/>
        <w:spacing w:line="360" w:lineRule="auto"/>
        <w:rPr>
          <w:rFonts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55"/>
        <w:ind w:firstLine="422"/>
        <w:spacing w:line="360" w:lineRule="auto"/>
        <w:shd w:val="clear" w:color="auto" w:fill="ffffff"/>
        <w:rPr>
          <w:rFonts w:ascii="宋体" w:hAnsi="宋体" w:cs="宋体"/>
          <w:b/>
          <w:bCs/>
          <w:szCs w:val="21"/>
        </w:rPr>
      </w:pPr>
      <w:r>
        <w:rPr>
          <w:rFonts w:hint="eastAsia" w:ascii="宋体" w:hAnsi="宋体" w:cs="宋体"/>
          <w:b/>
          <w:szCs w:val="21"/>
        </w:rPr>
        <w:t xml:space="preserve">4.</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szCs w:val="21"/>
        </w:rPr>
      </w:pPr>
      <w:r>
        <w:rPr>
          <w:rFonts w:hint="eastAsia" w:ascii="宋体" w:hAnsi="宋体" w:cs="宋体"/>
          <w:b/>
          <w:szCs w:val="21"/>
        </w:rPr>
        <w:t xml:space="preserve">6.潜在供应商对采购文件项目需求部分的询问、质疑请向采购人提出，由采购人负责答复。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w:t>
      </w:r>
      <w:r>
        <w:rPr>
          <w:rFonts w:hint="eastAsia" w:ascii="宋体" w:hAnsi="宋体" w:cs="宋体"/>
          <w:bCs/>
          <w:szCs w:val="21"/>
          <w:lang w:eastAsia="zh-CN"/>
        </w:rPr>
        <w:t xml:space="preserve">“</w:t>
      </w:r>
      <w:r>
        <w:rPr>
          <w:rFonts w:hint="eastAsia" w:ascii="宋体" w:hAnsi="宋体" w:cs="宋体"/>
          <w:bCs/>
          <w:szCs w:val="21"/>
        </w:rPr>
        <w:t xml:space="preserve">江苏省政府采购网”、“中国政府采购网”发布的信息。</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p>
    <w:p>
      <w:pPr>
        <w:ind w:firstLine="420"/>
        <w:spacing w:line="360" w:lineRule="auto"/>
        <w:rPr>
          <w:rFonts w:ascii="宋体" w:hAnsi="宋体" w:cs="宋体"/>
          <w:bCs/>
          <w:szCs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t xml:space="preserve">10、潜在供应商对磋商文件项目需求部分的询问、质疑请向采购人提出，由采购人负责答复</w:t>
      </w:r>
      <w:r/>
    </w:p>
    <w:p>
      <w:r/>
      <w:r/>
    </w:p>
    <w:p>
      <w:pPr>
        <w:jc w:val="center"/>
        <w:rPr>
          <w:rFonts w:ascii="宋体" w:hAnsi="宋体" w:cs="宋体"/>
          <w:szCs w:val="44"/>
        </w:rPr>
        <w:outlineLvl w:val="0"/>
      </w:pPr>
      <w:r/>
      <w:bookmarkStart w:id="37" w:name="_Toc11871"/>
      <w:r>
        <w:rPr>
          <w:rFonts w:hint="eastAsia"/>
          <w:b/>
          <w:bCs/>
          <w:sz w:val="44"/>
          <w:szCs w:val="44"/>
        </w:rPr>
        <w:t xml:space="preserve">第二章  </w:t>
      </w:r>
      <w:bookmarkEnd w:id="35"/>
      <w:r>
        <w:rPr>
          <w:rFonts w:hint="eastAsia"/>
          <w:b/>
          <w:bCs/>
          <w:sz w:val="44"/>
          <w:szCs w:val="44"/>
        </w:rPr>
        <w:t xml:space="preserve">供应商须知</w:t>
      </w:r>
      <w:bookmarkEnd w:id="37"/>
      <w:r/>
      <w:r/>
    </w:p>
    <w:p>
      <w:pPr>
        <w:ind w:firstLine="420"/>
        <w:spacing w:line="360" w:lineRule="auto"/>
        <w:rPr>
          <w:rFonts w:ascii="宋体" w:hAnsi="宋体" w:cs="宋体"/>
        </w:rPr>
      </w:pPr>
      <w:r/>
      <w:bookmarkStart w:id="38" w:name="_Toc479757207"/>
      <w:r/>
      <w:bookmarkStart w:id="39" w:name="_Toc513029242"/>
      <w:r/>
      <w:bookmarkStart w:id="40" w:name="_Toc120614221"/>
      <w:r/>
      <w:bookmarkStart w:id="41" w:name="_Toc20823314"/>
      <w:r/>
      <w:bookmarkStart w:id="42" w:name="_Toc16938558"/>
      <w:r/>
      <w:r/>
    </w:p>
    <w:p>
      <w:pPr>
        <w:ind w:firstLine="420"/>
        <w:spacing w:line="360" w:lineRule="auto"/>
        <w:rPr>
          <w:rFonts w:ascii="宋体" w:hAnsi="宋体" w:cs="宋体"/>
        </w:rPr>
      </w:pPr>
      <w:r>
        <w:rPr>
          <w:rFonts w:hint="eastAsia" w:ascii="宋体" w:hAnsi="宋体" w:cs="宋体"/>
        </w:rPr>
        <w:t xml:space="preserve">1、采购方式</w:t>
      </w:r>
      <w:r/>
    </w:p>
    <w:p>
      <w:pPr>
        <w:ind w:firstLine="420"/>
        <w:jc w:val="left"/>
        <w:spacing w:line="360" w:lineRule="auto"/>
        <w:rPr>
          <w:rFonts w:ascii="宋体" w:hAnsi="宋体" w:cs="宋体"/>
        </w:rPr>
      </w:pPr>
      <w:r>
        <w:rPr>
          <w:rFonts w:hint="eastAsia" w:ascii="宋体" w:hAnsi="宋体" w:cs="宋体"/>
        </w:rPr>
        <w:t xml:space="preserve">1.1 本次采购采取竞争性磋商方式，本采购文件仅适</w:t>
      </w:r>
      <w:r>
        <w:rPr>
          <w:rFonts w:hint="eastAsia" w:ascii="宋体" w:hAnsi="宋体" w:cs="宋体"/>
          <w:color w:val="000000"/>
          <w:lang w:eastAsia="zh-CN"/>
        </w:rPr>
        <w:t xml:space="preserve">JSZC-321000-GHSJ-C2025-0005</w:t>
      </w:r>
      <w:r>
        <w:rPr>
          <w:rFonts w:hint="eastAsia" w:ascii="宋体" w:hAnsi="宋体" w:cs="宋体"/>
        </w:rPr>
        <w:t xml:space="preserve">号项目。</w:t>
      </w:r>
      <w:r/>
    </w:p>
    <w:p>
      <w:pPr>
        <w:ind w:firstLine="420"/>
        <w:spacing w:line="360" w:lineRule="auto"/>
        <w:rPr>
          <w:rFonts w:ascii="宋体" w:hAnsi="宋体" w:cs="宋体"/>
        </w:rPr>
      </w:pPr>
      <w:r>
        <w:rPr>
          <w:rFonts w:hint="eastAsia" w:ascii="宋体" w:hAnsi="宋体" w:cs="宋体"/>
        </w:rPr>
        <w:t xml:space="preserve">2、供应商</w:t>
      </w:r>
      <w:r/>
    </w:p>
    <w:p>
      <w:pPr>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p>
    <w:p>
      <w:pPr>
        <w:ind w:firstLine="422"/>
        <w:spacing w:line="360" w:lineRule="auto"/>
        <w:rPr>
          <w:rFonts w:ascii="宋体" w:hAnsi="宋体" w:cs="宋体"/>
        </w:rPr>
      </w:pPr>
      <w:r>
        <w:rPr>
          <w:rFonts w:hint="eastAsia" w:ascii="宋体" w:hAnsi="宋体" w:cs="宋体"/>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2"/>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ascii="宋体" w:hAnsi="宋体" w:cs="宋体"/>
        </w:rPr>
      </w:pPr>
      <w:r>
        <w:rPr>
          <w:rFonts w:hint="eastAsia" w:ascii="宋体" w:hAnsi="宋体" w:cs="宋体"/>
        </w:rPr>
        <w:t xml:space="preserve">4、参加磋商费用</w:t>
      </w:r>
      <w:r/>
    </w:p>
    <w:p>
      <w:pPr>
        <w:ind w:firstLine="420"/>
        <w:spacing w:line="360" w:lineRule="auto"/>
        <w:rPr>
          <w:rFonts w:ascii="宋体" w:hAnsi="宋体" w:cs="宋体"/>
        </w:rPr>
      </w:pPr>
      <w:r>
        <w:rPr>
          <w:rFonts w:hint="eastAsia" w:ascii="宋体" w:hAnsi="宋体" w:cs="宋体"/>
        </w:rPr>
        <w:t xml:space="preserve">4.1供应商应自行承担所有与参加磋商有关的费用，无论磋商过程中的做法和结果如何，扬州市城市规划设计研究院有限责任公司(以下简称代理机构)在任何情况下均无义务和责任承担这些费用。</w:t>
      </w:r>
      <w:r/>
    </w:p>
    <w:p>
      <w:pPr>
        <w:ind w:firstLine="420"/>
        <w:spacing w:line="360" w:lineRule="auto"/>
        <w:rPr>
          <w:rFonts w:ascii="宋体" w:hAnsi="宋体" w:cs="宋体"/>
        </w:rPr>
      </w:pPr>
      <w:r>
        <w:rPr>
          <w:rFonts w:hint="eastAsia" w:ascii="宋体" w:hAnsi="宋体" w:cs="宋体"/>
        </w:rPr>
        <w:t xml:space="preserve">4.2</w:t>
      </w:r>
      <w:bookmarkStart w:id="43" w:name="_Hlk115095815"/>
      <w:r>
        <w:rPr>
          <w:rFonts w:hint="eastAsia" w:ascii="宋体" w:hAnsi="宋体" w:cs="宋体"/>
        </w:rPr>
        <w:t xml:space="preserve">本次采购由成交单位在领取成交通知书前按照国家计委印发的《招标代理服务收费管理暂行办法》(计价格【2002】1980 号文)服务类的标准一次性支付给招标代理机构代理服务费</w:t>
      </w:r>
      <w:r>
        <w:rPr>
          <w:rFonts w:hint="eastAsia" w:ascii="宋体" w:hAnsi="宋体" w:cs="宋体"/>
          <w:lang w:eastAsia="zh-CN"/>
        </w:rPr>
        <w:t xml:space="preserve">，</w:t>
      </w:r>
      <w:r>
        <w:rPr>
          <w:rFonts w:hint="eastAsia" w:ascii="宋体" w:hAnsi="宋体" w:cs="宋体"/>
          <w:lang w:val="en-US" w:eastAsia="zh-CN"/>
        </w:rPr>
        <w:t xml:space="preserve">单个项目不足3000元按3000元计取</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（1）代理服务费以人民币支付；</w:t>
      </w:r>
      <w:r/>
    </w:p>
    <w:p>
      <w:pPr>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 </w:t>
      </w:r>
      <w:bookmarkEnd w:id="43"/>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en-US" w:eastAsia="zh-CN"/>
        </w:rPr>
        <w:t xml:space="preserve">3</w:t>
      </w:r>
      <w:r>
        <w:rPr>
          <w:rFonts w:hint="eastAsia" w:ascii="宋体" w:hAnsi="宋体" w:eastAsia="宋体" w:cs="宋体"/>
          <w:bCs/>
          <w:color w:val="000000"/>
          <w:szCs w:val="21"/>
          <w:highlight w:val="none"/>
        </w:rPr>
        <w:t xml:space="preserve">评委费按扬州市财政局关于进一步规范扬州市政府采购专家评审费标准的通知（扬财购〔2020〕40号）执行。</w:t>
      </w:r>
      <w:r>
        <w:rPr>
          <w:rFonts w:hint="eastAsia" w:ascii="宋体" w:hAnsi="宋体" w:eastAsia="宋体" w:cs="宋体"/>
          <w:color w:val="000000"/>
          <w:szCs w:val="21"/>
          <w:highlight w:val="none"/>
        </w:rPr>
        <w:t xml:space="preserve">由成交供应商支付，按实结算。</w:t>
      </w:r>
      <w:r/>
    </w:p>
    <w:p>
      <w:pPr>
        <w:ind w:firstLine="420"/>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eastAsia="宋体" w:cs="宋体"/>
          <w:b/>
          <w:bCs/>
          <w:szCs w:val="21"/>
          <w:lang w:eastAsia="zh-CN"/>
        </w:rPr>
        <w:t xml:space="preserve">工行</w:t>
      </w:r>
      <w:r>
        <w:rPr>
          <w:rFonts w:hint="eastAsia" w:ascii="宋体" w:hAnsi="宋体" w:eastAsia="宋体" w:cs="宋体"/>
          <w:b/>
          <w:bCs/>
          <w:szCs w:val="21"/>
          <w:lang w:val="en-US" w:eastAsia="zh-CN"/>
        </w:rPr>
        <w:t xml:space="preserve">江苏</w:t>
      </w:r>
      <w:r>
        <w:rPr>
          <w:rFonts w:hint="eastAsia" w:ascii="宋体" w:hAnsi="宋体" w:eastAsia="宋体" w:cs="宋体"/>
          <w:b/>
          <w:bCs/>
          <w:szCs w:val="21"/>
          <w:lang w:eastAsia="zh-CN"/>
        </w:rPr>
        <w:t xml:space="preserve">扬州</w:t>
      </w:r>
      <w:r>
        <w:rPr>
          <w:rFonts w:hint="eastAsia" w:ascii="宋体" w:hAnsi="宋体" w:eastAsia="宋体" w:cs="宋体"/>
          <w:b/>
          <w:bCs/>
          <w:szCs w:val="21"/>
          <w:lang w:val="en-US" w:eastAsia="zh-CN"/>
        </w:rPr>
        <w:t xml:space="preserve">分行</w:t>
      </w:r>
      <w:r>
        <w:rPr>
          <w:rFonts w:hint="eastAsia" w:ascii="宋体" w:hAnsi="宋体" w:eastAsia="宋体" w:cs="宋体"/>
          <w:b/>
          <w:bCs/>
          <w:szCs w:val="21"/>
          <w:lang w:eastAsia="zh-CN"/>
        </w:rPr>
        <w:t xml:space="preserve">汶河支行</w:t>
      </w:r>
      <w:r/>
    </w:p>
    <w:p>
      <w:pPr>
        <w:ind w:firstLine="420"/>
        <w:spacing w:line="360" w:lineRule="auto"/>
        <w:rPr>
          <w:rFonts w:ascii="宋体" w:hAnsi="宋体" w:cs="宋体"/>
          <w:b/>
          <w:bCs/>
          <w:szCs w:val="21"/>
        </w:rPr>
      </w:pPr>
      <w:r>
        <w:rPr>
          <w:rFonts w:hint="eastAsia" w:ascii="宋体" w:hAnsi="宋体" w:cs="宋体"/>
          <w:b/>
          <w:bCs/>
          <w:szCs w:val="21"/>
        </w:rPr>
        <w:t xml:space="preserve">开户名称：扬州市城市规划设计研究院有限责任公司</w:t>
      </w:r>
      <w:r/>
    </w:p>
    <w:p>
      <w:pPr>
        <w:ind w:firstLine="420"/>
        <w:spacing w:line="360" w:lineRule="auto"/>
        <w:rPr>
          <w:rFonts w:ascii="宋体" w:hAnsi="宋体" w:cs="宋体"/>
          <w:b/>
          <w:bCs/>
          <w:szCs w:val="21"/>
        </w:rPr>
      </w:pPr>
      <w:r>
        <w:rPr>
          <w:rFonts w:hint="eastAsia" w:ascii="宋体" w:hAnsi="宋体" w:cs="宋体"/>
          <w:b/>
          <w:bCs/>
          <w:szCs w:val="21"/>
        </w:rPr>
        <w:t xml:space="preserve">开户帐号：1108020909000055129</w:t>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 </w:t>
      </w:r>
      <w:r/>
    </w:p>
    <w:p>
      <w:pPr>
        <w:ind w:firstLine="420"/>
        <w:spacing w:line="360" w:lineRule="auto"/>
        <w:rPr>
          <w:rFonts w:ascii="宋体" w:hAnsi="宋体" w:cs="宋体"/>
        </w:rPr>
      </w:pPr>
      <w:r>
        <w:rPr>
          <w:rFonts w:hint="eastAsia" w:ascii="宋体" w:hAnsi="宋体" w:cs="宋体"/>
        </w:rPr>
        <w:t xml:space="preserve">（5）技术参数响应及偏离表 </w:t>
      </w:r>
      <w:r/>
    </w:p>
    <w:p>
      <w:pPr>
        <w:ind w:firstLine="420"/>
        <w:spacing w:line="360" w:lineRule="auto"/>
        <w:rPr>
          <w:rFonts w:ascii="宋体" w:hAnsi="宋体" w:cs="宋体"/>
        </w:rPr>
      </w:pPr>
      <w:r>
        <w:rPr>
          <w:rFonts w:hint="eastAsia" w:ascii="宋体" w:hAnsi="宋体" w:cs="宋体"/>
        </w:rPr>
        <w:t xml:space="preserve">（6）商务条款响应及偏离表 </w:t>
      </w:r>
      <w:r/>
    </w:p>
    <w:p>
      <w:pPr>
        <w:ind w:firstLine="420"/>
        <w:spacing w:line="360" w:lineRule="auto"/>
        <w:rPr>
          <w:rFonts w:ascii="宋体" w:hAnsi="宋体" w:cs="宋体"/>
        </w:rPr>
      </w:pPr>
      <w:r>
        <w:rPr>
          <w:rFonts w:hint="eastAsia" w:ascii="宋体" w:hAnsi="宋体" w:cs="宋体"/>
        </w:rPr>
        <w:t xml:space="preserve">（7）其他 （供应商认为有必要提供的声明和文件，如有自拟并自行添加）</w:t>
      </w:r>
      <w:r/>
    </w:p>
    <w:p>
      <w:pPr>
        <w:ind w:firstLine="422"/>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rPr>
      </w:pPr>
      <w:r>
        <w:rPr>
          <w:rFonts w:hint="eastAsia" w:ascii="宋体" w:hAnsi="宋体" w:cs="宋体"/>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2"/>
        <w:spacing w:line="360" w:lineRule="auto"/>
        <w:rPr>
          <w:rFonts w:ascii="宋体" w:hAnsi="宋体" w:cs="宋体"/>
        </w:rPr>
      </w:pPr>
      <w:r>
        <w:rPr>
          <w:rFonts w:hint="eastAsia" w:ascii="宋体" w:hAnsi="宋体" w:cs="宋体"/>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44" w:name="_Toc16938541"/>
      <w:r/>
      <w:bookmarkStart w:id="45" w:name="_Toc20823297"/>
      <w:r>
        <w:rPr>
          <w:rFonts w:hint="eastAsia" w:ascii="宋体" w:hAnsi="宋体" w:cs="宋体"/>
        </w:rPr>
        <w:t xml:space="preserve">17、响应文件</w:t>
      </w:r>
      <w:bookmarkEnd w:id="44"/>
      <w:r/>
      <w:bookmarkEnd w:id="45"/>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46" w:name="_Toc20823298"/>
      <w:r/>
      <w:bookmarkStart w:id="47" w:name="_Toc16938542"/>
      <w:r/>
      <w:r/>
    </w:p>
    <w:p>
      <w:pPr>
        <w:ind w:firstLine="422"/>
        <w:spacing w:line="360" w:lineRule="auto"/>
        <w:rPr>
          <w:rFonts w:ascii="宋体" w:hAnsi="宋体" w:cs="宋体"/>
          <w:szCs w:val="21"/>
        </w:rPr>
      </w:pPr>
      <w:r>
        <w:rPr>
          <w:rFonts w:hint="eastAsia" w:ascii="宋体" w:hAnsi="宋体" w:cs="宋体"/>
          <w:szCs w:val="21"/>
        </w:rPr>
        <w:t xml:space="preserve">17.2政府采购管理交易系统（苏采云）相关要求是本采购文件的组成部分。</w:t>
      </w:r>
      <w:r/>
    </w:p>
    <w:p>
      <w:pPr>
        <w:ind w:firstLine="422"/>
        <w:spacing w:line="360" w:lineRule="auto"/>
        <w:rPr>
          <w:rFonts w:ascii="宋体" w:hAnsi="宋体" w:cs="宋体"/>
          <w:szCs w:val="21"/>
        </w:rPr>
      </w:pPr>
      <w:r>
        <w:rPr>
          <w:rFonts w:hint="eastAsia" w:ascii="宋体" w:hAnsi="宋体" w:cs="宋体"/>
          <w:szCs w:val="21"/>
        </w:rPr>
        <w:t xml:space="preserve">17.3供应商应对 CA 证书妥善保管，如被他人盗用投标，因此带来的结果均由供应商自行承担。</w:t>
      </w:r>
      <w:r/>
    </w:p>
    <w:p>
      <w:pPr>
        <w:ind w:firstLine="422"/>
        <w:spacing w:line="360" w:lineRule="auto"/>
        <w:rPr>
          <w:rFonts w:ascii="宋体" w:hAnsi="宋体" w:cs="宋体"/>
          <w:szCs w:val="21"/>
        </w:rPr>
      </w:pPr>
      <w:r>
        <w:rPr>
          <w:rFonts w:hint="eastAsia" w:ascii="宋体" w:hAnsi="宋体" w:cs="宋体"/>
          <w:szCs w:val="21"/>
        </w:rPr>
        <w:t xml:space="preserve">17.4供应商应当对采购文件提出的要求和条件作出实质性响应，并在电子投标系统逐条应答。</w:t>
      </w:r>
      <w:r/>
    </w:p>
    <w:p>
      <w:pPr>
        <w:ind w:firstLine="422"/>
        <w:spacing w:line="360" w:lineRule="auto"/>
        <w:rPr>
          <w:rFonts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rPr>
      </w:pPr>
      <w:r>
        <w:rPr>
          <w:rFonts w:hint="eastAsia" w:ascii="宋体" w:hAnsi="宋体" w:cs="宋体"/>
          <w:szCs w:val="21"/>
        </w:rPr>
        <w:t xml:space="preserve">17.6各供应商应在规定时间内凭CA证书进行网上解密。</w:t>
      </w:r>
      <w:r/>
    </w:p>
    <w:p>
      <w:pPr>
        <w:ind w:firstLine="422"/>
        <w:spacing w:line="360" w:lineRule="auto"/>
        <w:rPr>
          <w:rFonts w:ascii="宋体" w:hAnsi="宋体" w:cs="宋体"/>
          <w:sz w:val="24"/>
        </w:rPr>
      </w:pPr>
      <w:r>
        <w:rPr>
          <w:rFonts w:hint="eastAsia" w:ascii="宋体" w:hAnsi="宋体" w:cs="宋体"/>
        </w:rPr>
        <w:t xml:space="preserve">18、磋商响应截止日期</w:t>
      </w:r>
      <w:bookmarkEnd w:id="46"/>
      <w:r/>
      <w:bookmarkEnd w:id="47"/>
      <w:r/>
      <w:r/>
    </w:p>
    <w:p>
      <w:pPr>
        <w:ind w:firstLine="420"/>
        <w:spacing w:line="360" w:lineRule="auto"/>
        <w:rPr>
          <w:rFonts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48" w:name="_Toc20823299"/>
      <w:r/>
      <w:bookmarkStart w:id="49" w:name="_Toc16938543"/>
      <w:r>
        <w:rPr>
          <w:rFonts w:hint="eastAsia" w:ascii="宋体" w:hAnsi="宋体" w:cs="宋体"/>
        </w:rPr>
        <w:t xml:space="preserve">19、响应文件</w:t>
      </w:r>
      <w:bookmarkEnd w:id="48"/>
      <w:r/>
      <w:bookmarkEnd w:id="49"/>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50" w:name="_Toc16938544"/>
      <w:r/>
      <w:bookmarkStart w:id="51" w:name="_Toc20823300"/>
      <w:r>
        <w:rPr>
          <w:rFonts w:hint="eastAsia" w:ascii="宋体" w:hAnsi="宋体" w:cs="宋体"/>
        </w:rPr>
        <w:t xml:space="preserve">20、响应文件的撤回和修改</w:t>
      </w:r>
      <w:bookmarkEnd w:id="50"/>
      <w:r/>
      <w:bookmarkEnd w:id="51"/>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rPr>
      </w:pPr>
      <w:r>
        <w:rPr>
          <w:rFonts w:hint="eastAsia" w:ascii="宋体" w:hAnsi="宋体" w:cs="宋体"/>
        </w:rPr>
        <w:t xml:space="preserve">22、磋商小组</w:t>
      </w:r>
      <w:r/>
    </w:p>
    <w:p>
      <w:pPr>
        <w:ind w:firstLine="420"/>
        <w:spacing w:line="360" w:lineRule="auto"/>
        <w:rPr>
          <w:rFonts w:ascii="宋体" w:hAnsi="宋体" w:cs="宋体"/>
        </w:rPr>
      </w:pPr>
      <w:r>
        <w:rPr>
          <w:rFonts w:hint="eastAsia" w:ascii="宋体" w:hAnsi="宋体" w:cs="宋体"/>
        </w:rPr>
        <w:t xml:space="preserve">22.1 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rPr>
      </w:pPr>
      <w:r>
        <w:rPr>
          <w:rFonts w:hint="eastAsia" w:ascii="宋体" w:hAnsi="宋体" w:cs="宋体"/>
        </w:rPr>
        <w:t xml:space="preserve">26.1磋商程序</w:t>
      </w:r>
      <w:r/>
    </w:p>
    <w:p>
      <w:pPr>
        <w:ind w:firstLine="420"/>
        <w:spacing w:line="360" w:lineRule="auto"/>
        <w:rPr>
          <w:rFonts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eastAsia="宋体" w:cs="宋体"/>
        </w:rPr>
      </w:pPr>
      <w:r>
        <w:rPr>
          <w:rFonts w:hint="eastAsia" w:ascii="宋体" w:hAnsi="宋体" w:eastAsia="宋体" w:cs="宋体"/>
        </w:rPr>
        <w:t xml:space="preserve">26.1.4异常低价投标（响应）</w:t>
      </w:r>
      <w:r/>
    </w:p>
    <w:p>
      <w:pPr>
        <w:ind w:firstLine="420"/>
        <w:spacing w:line="360" w:lineRule="auto"/>
        <w:rPr>
          <w:rFonts w:hint="eastAsia" w:ascii="宋体" w:hAnsi="宋体" w:eastAsia="宋体" w:cs="宋体"/>
        </w:rPr>
      </w:pPr>
      <w:r>
        <w:rPr>
          <w:rFonts w:hint="eastAsia" w:ascii="宋体" w:hAnsi="宋体" w:eastAsia="宋体" w:cs="宋体"/>
        </w:rPr>
        <w:t xml:space="preserve">26.1.4.1 投标（响应）报价低于采购项目预算 50% 的，即投标（响应）报价&lt;采购项目预算×50% ；</w:t>
      </w:r>
      <w:r/>
    </w:p>
    <w:p>
      <w:pPr>
        <w:ind w:firstLine="420"/>
        <w:spacing w:line="360" w:lineRule="auto"/>
        <w:rPr>
          <w:rFonts w:hint="eastAsia" w:ascii="宋体" w:hAnsi="宋体" w:eastAsia="宋体" w:cs="宋体"/>
        </w:rPr>
      </w:pPr>
      <w:r>
        <w:rPr>
          <w:rFonts w:hint="eastAsia" w:ascii="宋体" w:hAnsi="宋体" w:eastAsia="宋体" w:cs="宋体"/>
        </w:rPr>
        <w:t xml:space="preserve">26.1.4.2 投标（响应）报价低于采购项目最高限价 45% 的，即投标（响应）报价&lt;采购项目最高限价×45% ；</w:t>
      </w:r>
      <w:r/>
    </w:p>
    <w:p>
      <w:pPr>
        <w:ind w:firstLine="420"/>
        <w:spacing w:line="360" w:lineRule="auto"/>
        <w:rPr>
          <w:rFonts w:hint="eastAsia" w:ascii="宋体" w:hAnsi="宋体" w:eastAsia="宋体" w:cs="宋体"/>
        </w:rPr>
      </w:pPr>
      <w:r>
        <w:rPr>
          <w:rFonts w:hint="eastAsia" w:ascii="宋体" w:hAnsi="宋体" w:eastAsia="宋体" w:cs="宋体"/>
        </w:rPr>
        <w:t xml:space="preserve">26.1.4.3 评审委员会认定的供应商报价过低、有可能影响产品质量或者不能诚信履约的其他情形。</w:t>
      </w:r>
      <w:r/>
    </w:p>
    <w:p>
      <w:pPr>
        <w:ind w:firstLine="420"/>
        <w:spacing w:line="360" w:lineRule="auto"/>
        <w:rPr>
          <w:rFonts w:hint="eastAsia" w:ascii="宋体" w:hAnsi="宋体" w:eastAsia="宋体" w:cs="宋体"/>
        </w:rPr>
      </w:pPr>
      <w:r>
        <w:rPr>
          <w:rFonts w:hint="eastAsia" w:ascii="宋体" w:hAnsi="宋体" w:eastAsia="宋体" w:cs="宋体"/>
        </w:rPr>
        <w:t xml:space="preserve">26.1.4.4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rPr>
      </w:pPr>
      <w:r>
        <w:rPr>
          <w:rFonts w:hint="eastAsia" w:ascii="宋体" w:hAnsi="宋体" w:eastAsia="宋体" w:cs="宋体"/>
        </w:rPr>
        <w:t xml:space="preserve">26.2 评审方法和标准</w:t>
      </w:r>
      <w:r/>
    </w:p>
    <w:p>
      <w:pPr>
        <w:ind w:firstLine="420"/>
        <w:spacing w:line="360" w:lineRule="auto"/>
        <w:rPr>
          <w:rFonts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rPr>
      </w:pPr>
      <w:r>
        <w:rPr>
          <w:rFonts w:hint="eastAsia" w:ascii="宋体" w:hAnsi="宋体" w:cs="宋体"/>
        </w:rPr>
        <w:t xml:space="preserve">26.2.2评审标准</w:t>
      </w:r>
      <w:r/>
    </w:p>
    <w:p>
      <w:pPr>
        <w:ind w:firstLine="422"/>
        <w:spacing w:line="360" w:lineRule="auto"/>
        <w:rPr>
          <w:rFonts w:ascii="宋体" w:hAnsi="宋体" w:cs="宋体"/>
        </w:rPr>
      </w:pPr>
      <w:r>
        <w:rPr>
          <w:rFonts w:hint="eastAsia" w:ascii="宋体" w:hAnsi="宋体" w:cs="宋体"/>
        </w:rPr>
        <w:t xml:space="preserve">见本采购文件第五章规定。</w:t>
      </w:r>
      <w:r/>
    </w:p>
    <w:p>
      <w:pPr>
        <w:ind w:firstLine="420"/>
        <w:spacing w:line="360" w:lineRule="auto"/>
        <w:rPr>
          <w:rFonts w:ascii="宋体" w:hAnsi="宋体" w:cs="宋体"/>
        </w:rPr>
      </w:pPr>
      <w:r>
        <w:rPr>
          <w:rFonts w:hint="eastAsia" w:ascii="宋体" w:hAnsi="宋体" w:cs="宋体"/>
        </w:rPr>
        <w:t xml:space="preserve">27、无效响应及采购活动终止的情况</w:t>
      </w:r>
      <w:r/>
    </w:p>
    <w:p>
      <w:pPr>
        <w:ind w:firstLine="420"/>
        <w:spacing w:line="360" w:lineRule="auto"/>
        <w:rPr>
          <w:rFonts w:ascii="宋体" w:hAnsi="宋体" w:cs="宋体"/>
        </w:rPr>
      </w:pPr>
      <w:r>
        <w:rPr>
          <w:rFonts w:hint="eastAsia" w:ascii="宋体" w:hAnsi="宋体" w:cs="宋体"/>
        </w:rPr>
        <w:t xml:space="preserve">27.1无效响应条款</w:t>
      </w:r>
      <w:r/>
    </w:p>
    <w:p>
      <w:pPr>
        <w:ind w:firstLine="420"/>
        <w:spacing w:line="360" w:lineRule="auto"/>
        <w:rPr>
          <w:rFonts w:ascii="宋体" w:hAnsi="宋体" w:cs="宋体"/>
        </w:rPr>
      </w:pPr>
      <w:r>
        <w:rPr>
          <w:rFonts w:hint="eastAsia" w:ascii="宋体" w:hAnsi="宋体" w:cs="宋体"/>
        </w:rPr>
        <w:t xml:space="preserve">27.1.1 供应商未按照采购文件要求上传电子磋商响应文件的。</w:t>
      </w:r>
      <w:r/>
    </w:p>
    <w:p>
      <w:pPr>
        <w:ind w:firstLine="420"/>
        <w:spacing w:line="360" w:lineRule="auto"/>
        <w:rPr>
          <w:rFonts w:ascii="宋体" w:hAnsi="宋体" w:cs="宋体"/>
        </w:rPr>
      </w:pPr>
      <w:r>
        <w:rPr>
          <w:rFonts w:hint="eastAsia" w:ascii="宋体" w:hAnsi="宋体" w:cs="宋体"/>
        </w:rPr>
        <w:t xml:space="preserve">27.1.2 供应商未成功解密电子磋商响应文件的。</w:t>
      </w:r>
      <w:r/>
    </w:p>
    <w:p>
      <w:pPr>
        <w:ind w:firstLine="420"/>
        <w:spacing w:line="360" w:lineRule="auto"/>
        <w:rPr>
          <w:rFonts w:ascii="宋体" w:hAnsi="宋体" w:cs="宋体"/>
        </w:rPr>
      </w:pPr>
      <w:r>
        <w:rPr>
          <w:rFonts w:hint="eastAsia" w:ascii="宋体" w:hAnsi="宋体" w:cs="宋体"/>
        </w:rPr>
        <w:t xml:space="preserve">27.1.3 供应商不具备采购文件中规定资格要求的。</w:t>
      </w:r>
      <w:r/>
    </w:p>
    <w:p>
      <w:pPr>
        <w:ind w:firstLine="420"/>
        <w:spacing w:line="360" w:lineRule="auto"/>
        <w:rPr>
          <w:rFonts w:ascii="宋体" w:hAnsi="宋体" w:cs="宋体"/>
          <w:i/>
          <w:u w:val="single"/>
        </w:rPr>
      </w:pPr>
      <w:r>
        <w:rPr>
          <w:rFonts w:hint="eastAsia" w:ascii="宋体" w:hAnsi="宋体" w:cs="宋体"/>
        </w:rPr>
        <w:t xml:space="preserve">27.1.4 未通过符合性审查的。</w:t>
      </w:r>
      <w:r/>
    </w:p>
    <w:p>
      <w:pPr>
        <w:ind w:firstLine="420"/>
        <w:spacing w:line="360" w:lineRule="auto"/>
        <w:rPr>
          <w:rFonts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p>
    <w:p>
      <w:pPr>
        <w:ind w:firstLine="420"/>
        <w:spacing w:line="360" w:lineRule="auto"/>
        <w:rPr>
          <w:rFonts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rPr>
      </w:pPr>
      <w:r>
        <w:rPr>
          <w:rFonts w:hint="eastAsia" w:ascii="宋体" w:hAnsi="宋体" w:cs="宋体"/>
        </w:rPr>
        <w:t xml:space="preserve">27.1.8 响应文件未按照采购文件要求加盖电子签章。</w:t>
      </w:r>
      <w:r/>
    </w:p>
    <w:p>
      <w:pPr>
        <w:ind w:firstLine="420"/>
        <w:spacing w:line="360" w:lineRule="auto"/>
        <w:rPr>
          <w:rFonts w:ascii="宋体" w:hAnsi="宋体" w:cs="宋体"/>
        </w:rPr>
      </w:pPr>
      <w:r>
        <w:rPr>
          <w:rFonts w:hint="eastAsia" w:ascii="宋体" w:hAnsi="宋体" w:cs="宋体"/>
        </w:rPr>
        <w:t xml:space="preserve">27.1.9 其他法律、法规及本采购文件规定的属无效响应的情形。</w:t>
      </w:r>
      <w:r/>
    </w:p>
    <w:p>
      <w:pPr>
        <w:ind w:firstLine="420"/>
        <w:spacing w:line="360" w:lineRule="auto"/>
        <w:rPr>
          <w:rFonts w:ascii="宋体" w:hAnsi="宋体" w:cs="宋体"/>
        </w:rPr>
      </w:pPr>
      <w:r>
        <w:rPr>
          <w:rFonts w:hint="eastAsia" w:ascii="宋体" w:hAnsi="宋体" w:cs="宋体"/>
        </w:rPr>
        <w:t xml:space="preserve">27.2 采购活动终止的情况：</w:t>
      </w:r>
      <w:r/>
    </w:p>
    <w:p>
      <w:pPr>
        <w:ind w:firstLine="420"/>
        <w:spacing w:line="360" w:lineRule="auto"/>
        <w:rPr>
          <w:rFonts w:ascii="宋体" w:hAnsi="宋体" w:cs="宋体"/>
        </w:rPr>
      </w:pPr>
      <w:r>
        <w:rPr>
          <w:rFonts w:hint="eastAsia" w:ascii="宋体" w:hAnsi="宋体" w:cs="宋体"/>
        </w:rPr>
        <w:t xml:space="preserve">27.2.1 因情况变化，不再符合规定的竞争性磋商采购方式适用情形的；</w:t>
      </w:r>
      <w:r/>
    </w:p>
    <w:p>
      <w:pPr>
        <w:ind w:firstLine="420"/>
        <w:spacing w:line="360" w:lineRule="auto"/>
        <w:rPr>
          <w:rFonts w:ascii="宋体" w:hAnsi="宋体" w:cs="宋体"/>
        </w:rPr>
      </w:pPr>
      <w:r>
        <w:rPr>
          <w:rFonts w:hint="eastAsia" w:ascii="宋体" w:hAnsi="宋体" w:cs="宋体"/>
        </w:rPr>
        <w:t xml:space="preserve">27.2.2 出现影响采购公正的违法、违规行为的；</w:t>
      </w:r>
      <w:r/>
    </w:p>
    <w:p>
      <w:pPr>
        <w:ind w:firstLine="420"/>
        <w:spacing w:line="360" w:lineRule="auto"/>
        <w:rPr>
          <w:rFonts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27.2.4 因重大变故，采购任务取消的。</w:t>
      </w:r>
      <w:r/>
    </w:p>
    <w:p>
      <w:pPr>
        <w:ind w:firstLine="420"/>
        <w:spacing w:line="360" w:lineRule="auto"/>
        <w:rPr>
          <w:rFonts w:ascii="宋体" w:hAnsi="宋体" w:cs="宋体"/>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0"/>
        <w:spacing w:line="360" w:lineRule="auto"/>
        <w:rPr>
          <w:rFonts w:ascii="宋体" w:hAnsi="宋体" w:cs="宋体"/>
        </w:rPr>
      </w:pPr>
      <w:r>
        <w:rPr>
          <w:rFonts w:hint="eastAsia" w:ascii="宋体" w:hAnsi="宋体" w:cs="宋体"/>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 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 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 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szCs w:val="21"/>
        </w:rPr>
        <w:t xml:space="preserve">31.3 合同在“政府采购管理交易系统（苏采云）”中签订，签订合同后，</w:t>
      </w:r>
      <w:r>
        <w:rPr>
          <w:rFonts w:hint="eastAsia" w:ascii="宋体" w:hAnsi="宋体" w:cs="宋体"/>
          <w:i/>
          <w:iCs/>
          <w:szCs w:val="21"/>
          <w:u w:val="single"/>
        </w:rPr>
        <w:t xml:space="preserve">成交供应商不得将货物或服务及其他服务进行转包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rPr>
      </w:pPr>
      <w:r>
        <w:rPr>
          <w:rFonts w:hint="eastAsia" w:ascii="宋体" w:hAnsi="宋体" w:cs="宋体"/>
        </w:rPr>
        <w:t xml:space="preserve">32、其他</w:t>
      </w:r>
      <w:r/>
    </w:p>
    <w:p>
      <w:pPr>
        <w:ind w:firstLine="420"/>
        <w:spacing w:line="360" w:lineRule="auto"/>
        <w:rPr>
          <w:rFonts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ind w:firstLine="2640"/>
        <w:keepNext/>
        <w:rPr>
          <w:rFonts w:ascii="宋体" w:hAnsi="宋体" w:cs="宋体"/>
          <w:bCs/>
          <w:sz w:val="44"/>
          <w:szCs w:val="28"/>
        </w:rPr>
        <w:outlineLvl w:val="0"/>
      </w:pPr>
      <w:r/>
      <w:bookmarkStart w:id="52" w:name="_Toc16834"/>
      <w:r>
        <w:rPr>
          <w:rFonts w:hint="eastAsia" w:ascii="宋体" w:hAnsi="宋体" w:cs="宋体"/>
          <w:bCs/>
          <w:sz w:val="44"/>
          <w:szCs w:val="28"/>
        </w:rPr>
        <w:t xml:space="preserve">第三章  合同</w:t>
      </w:r>
      <w:bookmarkEnd w:id="38"/>
      <w:r/>
      <w:bookmarkEnd w:id="39"/>
      <w:r/>
      <w:bookmarkEnd w:id="40"/>
      <w:r/>
      <w:bookmarkEnd w:id="41"/>
      <w:r/>
      <w:bookmarkEnd w:id="42"/>
      <w:r>
        <w:rPr>
          <w:rFonts w:hint="eastAsia" w:ascii="宋体" w:hAnsi="宋体" w:cs="宋体"/>
          <w:bCs/>
          <w:sz w:val="44"/>
          <w:szCs w:val="28"/>
        </w:rPr>
        <w:t xml:space="preserve">文本</w:t>
      </w:r>
      <w:bookmarkEnd w:id="52"/>
      <w:r/>
      <w:r/>
    </w:p>
    <w:p>
      <w:pPr>
        <w:ind w:firstLine="480"/>
        <w:spacing w:line="500" w:lineRule="exact"/>
        <w:rPr>
          <w:rFonts w:ascii="宋体" w:hAnsi="宋体" w:cs="宋体"/>
          <w:bCs/>
          <w:sz w:val="24"/>
          <w:szCs w:val="21"/>
        </w:rPr>
      </w:pPr>
      <w:r/>
      <w:bookmarkStart w:id="53" w:name="_Toc20823315"/>
      <w:r/>
      <w:bookmarkStart w:id="54" w:name="_Toc513029243"/>
      <w:r/>
      <w:bookmarkStart w:id="55" w:name="_Toc16938559"/>
      <w:r>
        <w:rPr>
          <w:rFonts w:hint="eastAsia" w:ascii="宋体" w:hAnsi="宋体" w:cs="宋体"/>
          <w:bCs/>
          <w:sz w:val="24"/>
          <w:szCs w:val="21"/>
        </w:rPr>
        <w:t xml:space="preserve">以下为成交后签定本项目合同的通用条款，成交供应商不得提出实质性的修改。</w:t>
      </w:r>
      <w:r/>
    </w:p>
    <w:p>
      <w:pPr>
        <w:pStyle w:val="786"/>
        <w:jc w:val="center"/>
        <w:spacing w:before="0" w:after="0" w:line="360" w:lineRule="auto"/>
        <w:rPr>
          <w:rFonts w:hint="eastAsia" w:ascii="宋体" w:hAnsi="宋体"/>
          <w:sz w:val="36"/>
        </w:rPr>
      </w:pPr>
      <w:r>
        <w:rPr>
          <w:rFonts w:hint="eastAsia" w:ascii="宋体" w:hAnsi="宋体"/>
          <w:sz w:val="36"/>
        </w:rPr>
        <w:t xml:space="preserve">合同条款及格式</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以下为成交后签定本项目合同的通用条款，成交供应商不得提出实质性的修改。关于专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用条款将由采购人与成交供应商结合本项目具体情况协商后补充，但补充内容对磋商文件和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磋商响应文件以及通用条款，不得作实质性修改。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rPr>
          <w:rFonts w:ascii="Segoe UI" w:hAnsi="Segoe UI" w:eastAsia="Segoe UI" w:cs="Segoe UI"/>
          <w:i w:val="0"/>
          <w:iCs w:val="0"/>
          <w:caps w:val="0"/>
          <w:spacing w:val="0"/>
          <w:sz w:val="21"/>
          <w:szCs w:val="21"/>
          <w:shd w:val="clear" w:color="auto" w:fill="ffffff"/>
        </w:rPr>
        <w:t xml:space="preserve">2025年度市区80周岁以上老年人意外伤害综合保险服务项目</w:t>
      </w:r>
      <w:r>
        <w:rPr>
          <w:rFonts w:hint="eastAsia" w:ascii="宋体" w:hAnsi="宋体" w:eastAsia="宋体" w:cs="宋体"/>
          <w:sz w:val="21"/>
          <w:szCs w:val="21"/>
        </w:rPr>
        <w:t xml:space="preserve">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编号：</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甲方（采购人/买方）：扬州市民政局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乙方（供应商/卖方）：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根据《中华人民共和国政府采购法》、《中华人民共和国民法典》等法律法规的规定，甲乙双方按照本项目招标结果签订本合同。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一、保险当事人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投保人：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被保险人：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保险人：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二、投保险种 ：    （相关险种）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三、保险条款 ：    （使用条款）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四、保险金额／赔偿限额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保障条件：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 本合同项下所有款项均以人民币支付。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 本合同项下的采购资金由甲方支付，付款前乙方向甲方开具发票。 </w:t>
      </w:r>
      <w:r/>
    </w:p>
    <w:p>
      <w:pPr>
        <w:pStyle w:val="949"/>
        <w:ind w:firstLine="38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color w:val="000000"/>
          <w:sz w:val="21"/>
          <w:szCs w:val="21"/>
        </w:rPr>
        <w:t xml:space="preserve">合同签订后，乙方向甲方开具发票，甲方自收到乙方发票之日起10个工作日内一次性支付 </w:t>
      </w:r>
      <w:r/>
    </w:p>
    <w:p>
      <w:pPr>
        <w:pStyle w:val="949"/>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保费全款。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五</w:t>
      </w:r>
      <w:r>
        <w:rPr>
          <w:rFonts w:hint="eastAsia" w:ascii="宋体" w:hAnsi="宋体" w:eastAsia="宋体" w:cs="宋体"/>
          <w:sz w:val="21"/>
          <w:szCs w:val="21"/>
          <w:highlight w:val="none"/>
        </w:rPr>
        <w:t xml:space="preserve">、保险期限 </w:t>
      </w:r>
      <w:r/>
    </w:p>
    <w:p>
      <w:pPr>
        <w:ind w:firstLine="291"/>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合同履行指定生效日为2025年6月29日0:00时至2026年6月28日23:59分</w:t>
      </w:r>
      <w:r>
        <w:rPr>
          <w:rFonts w:hint="eastAsia" w:ascii="宋体" w:hAnsi="宋体" w:eastAsia="宋体" w:cs="宋体"/>
          <w:sz w:val="21"/>
          <w:szCs w:val="21"/>
          <w:highlight w:val="non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六、下列文件为本合同不可分割部分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1、招标文件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2、乙方成交的磋商响应文件及其他承诺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3、成交通知书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4、投保人的磋商响应材料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5、投保单、保险单及批改申请书、批单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6、共保协议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7、与本次招标有关的并经当事人双方确认的其他文件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七、违约责任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甲方组织有关人员定期或不定期对签订合同的保险公司的承保服务、保险价格和理赔服务进行监督和检查。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8.1.1 收到被保险人对保险公司的投诉，经查情况属实；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8.1.2 检查发现投保手续偏离基本服务要求中的“承保服务”部分任何一条，经查情况属实；</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8.1.3 检查发现理赔服务手续偏离基本服务要求中的“理赔服务”部分任何一条，经查情况属实；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8.1.4 未按时向甲方提供上季度该保险公司出险以及理赔统计报表。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八、服务管理内容的调整：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（一）合同签订定时因实际服务管理要求与采购文件中所述要求有差异，以实际要求为准，且不再因此调整合同金额；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九、服务管理基本要求：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（一）为确保服务质量，乙方安排管理人员进行监督管理。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（二）对于乙方服务期间由于服务工作不能及时完成，且造成较大影响的，甲方有权通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过扣除服务费用进行处罚。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十、不可抗力：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合同一方迟延履行后发生严重后果的，不能免除责任。</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成的损失，并应当在合理期限内提供证明。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十一、合同的解除和转让：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（一）合同的解除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1、甲方和乙方协商一致，可以解除合同。并报政府采购监管部门审查备案。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方以主张解除合同，合同在书面通知到达对方时解除。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（二）合同的转让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十二、争议解决：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甲乙双方因合同发生争议，签约双方应友好协商解决。协商不成，任何一方可以向甲方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所在地人民法院起诉。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十三、合同其它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（一）乙方应诚实信用，严格按照招标文件要求和投标承诺履行合同，不向甲方进行商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业贿赂或者提供不正当利益。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（二）本合同未尽事宜应按《中华人民共和国民法典》、《中华人民共和国政府采购法》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以及其同相关法律、法规之规定解释，在执行过程中双方在不违背本合同和采购文件的原则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下协商解决，协商结果以书面形式盖章记录在案，作为本合同的附件，与本合同具有同等效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力，但须递交采购代理机构一份备存。 </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（三）合同经双方法定代表人或授权代表签字并加盖单位公章后生效。 </w:t>
      </w:r>
      <w:r/>
    </w:p>
    <w:p>
      <w:pPr>
        <w:ind w:firstLine="380"/>
        <w:jc w:val="left"/>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（四）本合同正本一式陆份，具有同等法律效力，甲方、乙方各执叁份。</w:t>
      </w:r>
      <w:r/>
    </w:p>
    <w:p>
      <w:pPr>
        <w:pStyle w:val="945"/>
        <w:ind w:left="400" w:hanging="4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甲方：扬州市民政局</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                           乙方： </w:t>
      </w:r>
      <w:r/>
    </w:p>
    <w:p>
      <w:pPr>
        <w:pStyle w:val="945"/>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法定代表人或授权代表：                                 法定代表人或授权代表：</w:t>
      </w:r>
      <w:r/>
    </w:p>
    <w:p>
      <w:pPr>
        <w:pStyle w:val="945"/>
        <w:ind w:firstLine="2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w:t>
      </w:r>
      <w:r/>
    </w:p>
    <w:p>
      <w:pPr>
        <w:pStyle w:val="945"/>
        <w:spacing w:before="120" w:after="120" w:line="360" w:lineRule="auto"/>
        <w:rPr>
          <w:rFonts w:hAnsi="宋体" w:cs="宋体"/>
          <w:sz w:val="21"/>
        </w:rPr>
      </w:pPr>
      <w:r>
        <w:rPr>
          <w:rFonts w:hint="eastAsia" w:hAnsi="宋体" w:cs="宋体"/>
        </w:rPr>
        <w:t xml:space="preserve"> </w:t>
      </w:r>
      <w:r/>
    </w:p>
    <w:p>
      <w:pPr>
        <w:pStyle w:val="945"/>
        <w:spacing w:before="120" w:after="120" w:line="360" w:lineRule="auto"/>
        <w:rPr>
          <w:rFonts w:hAnsi="宋体" w:cs="宋体"/>
          <w:sz w:val="21"/>
          <w:lang w:eastAsia="zh-CN"/>
        </w:rPr>
      </w:pPr>
      <w:r>
        <w:rPr>
          <w:rFonts w:hint="eastAsia" w:hAnsi="宋体" w:cs="宋体"/>
          <w:sz w:val="21"/>
          <w:lang w:eastAsia="zh-CN"/>
        </w:rPr>
        <w:t xml:space="preserve">  见证方：扬州市城市规划设计研究院有限责任公司</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项目经办人：</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日期：     年   月   日</w:t>
      </w:r>
      <w:bookmarkEnd w:id="53"/>
      <w:r/>
      <w:bookmarkEnd w:id="54"/>
      <w:r/>
      <w:bookmarkEnd w:id="55"/>
      <w:r/>
      <w:r/>
    </w:p>
    <w:p>
      <w:pPr>
        <w:ind w:firstLine="480"/>
        <w:spacing w:line="500" w:lineRule="exact"/>
        <w:rPr>
          <w:rFonts w:ascii="宋体" w:hAnsi="宋体" w:cs="宋体"/>
          <w:bCs/>
          <w:sz w:val="24"/>
          <w:szCs w:val="21"/>
        </w:rPr>
      </w:pPr>
      <w:r>
        <w:rPr>
          <w:rFonts w:ascii="宋体" w:hAnsi="宋体" w:cs="宋体"/>
          <w:bCs/>
          <w:sz w:val="24"/>
          <w:szCs w:val="21"/>
        </w:rPr>
      </w:r>
      <w:r/>
    </w:p>
    <w:p>
      <w:pPr>
        <w:jc w:val="center"/>
        <w:spacing w:before="120" w:after="120" w:line="0" w:lineRule="atLeast"/>
        <w:rPr>
          <w:rFonts w:ascii="宋体" w:hAnsi="宋体" w:cs="宋体"/>
          <w:bCs/>
          <w:sz w:val="44"/>
          <w:szCs w:val="21"/>
        </w:rPr>
        <w:outlineLvl w:val="0"/>
      </w:pPr>
      <w:r/>
      <w:bookmarkStart w:id="56" w:name="_Hlt16619369"/>
      <w:r/>
      <w:bookmarkEnd w:id="56"/>
      <w:r/>
      <w:bookmarkStart w:id="57" w:name="_Hlt16619350"/>
      <w:r/>
      <w:bookmarkStart w:id="58" w:name="_Toc16938590"/>
      <w:r/>
      <w:bookmarkStart w:id="59" w:name="_Toc120614244"/>
      <w:r/>
      <w:bookmarkStart w:id="60" w:name="_Toc20823346"/>
      <w:r>
        <w:rPr>
          <w:rFonts w:hint="eastAsia" w:ascii="宋体" w:hAnsi="宋体" w:cs="宋体"/>
          <w:bCs/>
          <w:sz w:val="44"/>
          <w:szCs w:val="21"/>
        </w:rPr>
        <w:br w:type="page" w:clear="all"/>
      </w:r>
      <w:bookmarkStart w:id="61" w:name="_Toc23319"/>
      <w:r>
        <w:rPr>
          <w:rFonts w:hint="eastAsia" w:ascii="宋体" w:hAnsi="宋体" w:cs="宋体"/>
          <w:b/>
          <w:sz w:val="44"/>
          <w:szCs w:val="21"/>
        </w:rPr>
        <w:t xml:space="preserve">第</w:t>
      </w:r>
      <w:bookmarkEnd w:id="57"/>
      <w:r>
        <w:rPr>
          <w:rFonts w:hint="eastAsia" w:ascii="宋体" w:hAnsi="宋体" w:cs="宋体"/>
          <w:b/>
          <w:sz w:val="44"/>
          <w:szCs w:val="21"/>
        </w:rPr>
        <w:t xml:space="preserve">四章 采购需求</w:t>
      </w:r>
      <w:bookmarkEnd w:id="58"/>
      <w:r/>
      <w:bookmarkEnd w:id="59"/>
      <w:r/>
      <w:bookmarkEnd w:id="60"/>
      <w:r/>
      <w:bookmarkEnd w:id="61"/>
      <w:r/>
      <w:bookmarkStart w:id="62" w:name="_Toc26554093"/>
      <w:r/>
      <w:bookmarkStart w:id="63" w:name="_Toc49090575"/>
      <w:r/>
      <w:r/>
    </w:p>
    <w:p>
      <w:pPr>
        <w:spacing w:before="120" w:after="120" w:line="360" w:lineRule="auto"/>
        <w:rPr>
          <w:rFonts w:ascii="宋体" w:hAnsi="宋体" w:cs="宋体"/>
          <w:szCs w:val="21"/>
        </w:rPr>
      </w:pPr>
      <w:r>
        <w:rPr>
          <w:rFonts w:hint="eastAsia" w:ascii="宋体" w:hAnsi="宋体" w:cs="宋体"/>
          <w:szCs w:val="21"/>
        </w:rPr>
        <w:t xml:space="preserve">项目属性：服务类项目</w:t>
      </w:r>
      <w:r/>
    </w:p>
    <w:p>
      <w:pPr>
        <w:spacing w:line="360" w:lineRule="auto"/>
        <w:rPr>
          <w:rFonts w:hint="eastAsia" w:ascii="宋体" w:hAnsi="宋体"/>
          <w:b/>
          <w:szCs w:val="21"/>
        </w:rPr>
      </w:pPr>
      <w:r/>
      <w:bookmarkStart w:id="64" w:name="_Toc7946"/>
      <w:r/>
      <w:bookmarkStart w:id="65" w:name="_Toc120614281"/>
      <w:r>
        <w:rPr>
          <w:rFonts w:hint="eastAsia" w:ascii="宋体" w:hAnsi="宋体"/>
          <w:b/>
          <w:szCs w:val="21"/>
        </w:rPr>
        <w:t xml:space="preserve">（一）项目介绍</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1、2025年市区80周岁以上老年人意外伤害综合保险服务项目，属于公共保险产品；</w:t>
      </w:r>
      <w:r/>
    </w:p>
    <w:p>
      <w:pPr>
        <w:ind w:firstLine="420"/>
        <w:spacing w:line="360" w:lineRule="auto"/>
        <w:rPr>
          <w:rFonts w:hint="eastAsia" w:ascii="宋体" w:hAnsi="宋体"/>
          <w:szCs w:val="21"/>
        </w:rPr>
      </w:pPr>
      <w:r>
        <w:rPr>
          <w:rFonts w:hint="eastAsia" w:ascii="宋体" w:hAnsi="宋体"/>
          <w:szCs w:val="21"/>
        </w:rPr>
        <w:t xml:space="preserve">2、本次采购的</w:t>
      </w:r>
      <w:r>
        <w:rPr>
          <w:rFonts w:hint="eastAsia" w:ascii="宋体" w:hAnsi="宋体"/>
          <w:szCs w:val="21"/>
          <w:shd w:val="clear" w:color="auto" w:fill="ffffff"/>
        </w:rPr>
        <w:t xml:space="preserve">2025年市区80周岁以上老年人意外伤害综合保险服务项目适用于扬州市区内80周岁以上的户籍居民，不包括上述区域内持有“扬州市暂住证”的居民和来扬逗留人员；</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3、采购人：</w:t>
      </w:r>
      <w:r>
        <w:rPr>
          <w:rFonts w:hint="eastAsia" w:ascii="宋体" w:hAnsi="宋体"/>
          <w:szCs w:val="21"/>
        </w:rPr>
        <w:t xml:space="preserve">本项目采购人和保费支付机构为扬州市民政局</w:t>
      </w:r>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4、投保人为扬州市民政局；</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5、项目预算：100万元；</w:t>
      </w:r>
      <w:r/>
    </w:p>
    <w:p>
      <w:pPr>
        <w:ind w:firstLine="420"/>
        <w:spacing w:line="360" w:lineRule="auto"/>
        <w:rPr>
          <w:rFonts w:hint="eastAsia" w:ascii="宋体" w:hAnsi="宋体"/>
          <w:szCs w:val="21"/>
          <w:shd w:val="clear" w:color="auto" w:fill="ffffff"/>
        </w:rPr>
      </w:pPr>
      <w:r/>
      <w:bookmarkStart w:id="66" w:name="_Toc75367505"/>
      <w:r>
        <w:rPr>
          <w:rFonts w:ascii="宋体" w:hAnsi="宋体"/>
          <w:szCs w:val="21"/>
          <w:shd w:val="clear" w:color="auto" w:fill="ffffff"/>
        </w:rPr>
        <w:t xml:space="preserve">6</w:t>
      </w:r>
      <w:r>
        <w:rPr>
          <w:rFonts w:hint="eastAsia" w:ascii="宋体" w:hAnsi="宋体"/>
          <w:szCs w:val="21"/>
          <w:shd w:val="clear" w:color="auto" w:fill="ffffff"/>
        </w:rPr>
        <w:t xml:space="preserve">、项目承保人数：约5.3万人</w:t>
      </w:r>
      <w:bookmarkEnd w:id="66"/>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7、本项目的成交人负责扬州市城区（包括广陵区、邗江区、开发区、蜀冈瘦西湖风景区、生态科技新城）的80周岁以上老年人意外伤害综合保险项目的承保、理赔等工作。</w:t>
      </w:r>
      <w:bookmarkStart w:id="67" w:name="_Toc24244"/>
      <w:r/>
      <w:bookmarkEnd w:id="67"/>
      <w:r/>
      <w:r/>
    </w:p>
    <w:p>
      <w:pPr>
        <w:spacing w:line="360" w:lineRule="auto"/>
        <w:rPr>
          <w:rFonts w:hint="eastAsia" w:ascii="宋体" w:hAnsi="宋体"/>
          <w:b/>
          <w:szCs w:val="21"/>
        </w:rPr>
      </w:pPr>
      <w:r/>
      <w:bookmarkStart w:id="68" w:name="_Toc6564"/>
      <w:r>
        <w:rPr>
          <w:rFonts w:hint="eastAsia" w:ascii="宋体" w:hAnsi="宋体"/>
          <w:b/>
          <w:szCs w:val="21"/>
        </w:rPr>
        <w:t xml:space="preserve">（二）保险期间</w:t>
      </w:r>
      <w:bookmarkEnd w:id="68"/>
      <w:r/>
      <w:r/>
    </w:p>
    <w:p>
      <w:pPr>
        <w:ind w:firstLine="388"/>
        <w:spacing w:line="360" w:lineRule="auto"/>
        <w:rPr>
          <w:rFonts w:hint="eastAsia" w:ascii="宋体" w:hAnsi="宋体"/>
          <w:i/>
          <w:iCs/>
          <w:szCs w:val="21"/>
          <w:highlight w:val="none"/>
          <w:u w:val="single"/>
        </w:rPr>
      </w:pPr>
      <w:r/>
      <w:bookmarkStart w:id="69" w:name="_Toc3613"/>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spacing w:line="360" w:lineRule="auto"/>
        <w:rPr>
          <w:rFonts w:hint="eastAsia" w:ascii="宋体" w:hAnsi="宋体"/>
          <w:b/>
          <w:szCs w:val="21"/>
        </w:rPr>
      </w:pPr>
      <w:r>
        <w:rPr>
          <w:rFonts w:hint="eastAsia" w:ascii="宋体" w:hAnsi="宋体"/>
          <w:b/>
          <w:szCs w:val="21"/>
        </w:rPr>
        <w:t xml:space="preserve">（三）</w:t>
      </w:r>
      <w:bookmarkEnd w:id="69"/>
      <w:r>
        <w:rPr>
          <w:rFonts w:hint="eastAsia" w:ascii="宋体" w:hAnsi="宋体"/>
          <w:b/>
          <w:szCs w:val="21"/>
        </w:rPr>
        <w:t xml:space="preserve">保险方案要求</w:t>
      </w:r>
      <w:r/>
    </w:p>
    <w:p>
      <w:pPr>
        <w:ind w:firstLine="420"/>
        <w:spacing w:line="360" w:lineRule="auto"/>
        <w:rPr>
          <w:rFonts w:hint="eastAsia" w:ascii="宋体" w:hAnsi="宋体"/>
          <w:szCs w:val="21"/>
        </w:rPr>
      </w:pPr>
      <w:r/>
      <w:bookmarkStart w:id="70"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70"/>
      <w:r/>
      <w:r/>
    </w:p>
    <w:p>
      <w:pPr>
        <w:ind w:firstLine="420"/>
        <w:spacing w:line="360" w:lineRule="auto"/>
        <w:rPr>
          <w:rFonts w:hint="eastAsia" w:ascii="宋体" w:hAnsi="宋体"/>
          <w:szCs w:val="21"/>
        </w:rPr>
      </w:pPr>
      <w:r/>
      <w:bookmarkStart w:id="71"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71"/>
      <w:r/>
      <w:r/>
    </w:p>
    <w:p>
      <w:pPr>
        <w:ind w:firstLine="420"/>
        <w:spacing w:line="360" w:lineRule="auto"/>
        <w:rPr>
          <w:rFonts w:hint="eastAsia" w:ascii="宋体" w:hAnsi="宋体"/>
          <w:szCs w:val="21"/>
        </w:rPr>
      </w:pPr>
      <w:r/>
      <w:bookmarkStart w:id="72"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72"/>
      <w:r/>
      <w:r/>
    </w:p>
    <w:p>
      <w:pPr>
        <w:ind w:firstLine="420"/>
        <w:spacing w:line="360" w:lineRule="auto"/>
        <w:rPr>
          <w:rFonts w:hint="eastAsia" w:ascii="宋体" w:hAnsi="宋体"/>
          <w:szCs w:val="21"/>
        </w:rPr>
      </w:pPr>
      <w:r>
        <w:rPr>
          <w:rFonts w:hint="eastAsia" w:ascii="宋体" w:hAnsi="宋体"/>
          <w:szCs w:val="21"/>
        </w:rPr>
        <w:t xml:space="preserve">2、保险方案：</w:t>
      </w:r>
      <w:r/>
    </w:p>
    <w:tbl>
      <w:tblPr>
        <w:tblStyle w:val="762"/>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cs="宋体"/>
              </w:rPr>
              <w:t xml:space="preserve">扬州市民政局2025年市区</w:t>
            </w:r>
            <w:r>
              <w:rPr>
                <w:rFonts w:hint="eastAsia" w:ascii="宋体" w:hAnsi="宋体"/>
                <w:szCs w:val="21"/>
                <w:shd w:val="clear" w:color="auto" w:fill="ffffff"/>
              </w:rPr>
              <w:t xml:space="preserve">80周岁以上</w:t>
            </w:r>
            <w:r>
              <w:rPr>
                <w:rFonts w:hint="eastAsia" w:ascii="宋体" w:hAnsi="宋体" w:cs="宋体"/>
              </w:rPr>
              <w:t xml:space="preserve">老年人意外伤害综合保险服务项目</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投保人</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扬州市民政局</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承保区域</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扬州市城区（包括广陵区、邗江区、开发区、蜀冈瘦西湖风景区、生态科技新城）</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总人数</w:t>
            </w:r>
            <w:r/>
          </w:p>
        </w:tc>
        <w:tc>
          <w:tcPr>
            <w:tcW w:w="7579" w:type="dxa"/>
            <w:vAlign w:val="center"/>
            <w:textDirection w:val="lrTb"/>
            <w:noWrap w:val="false"/>
          </w:tcPr>
          <w:p>
            <w:pPr>
              <w:spacing w:line="360" w:lineRule="auto"/>
              <w:rPr>
                <w:rFonts w:hint="eastAsia" w:ascii="宋体" w:hAnsi="宋体"/>
                <w:szCs w:val="21"/>
              </w:rPr>
            </w:pPr>
            <w:r>
              <w:rPr>
                <w:rFonts w:ascii="宋体" w:hAnsi="宋体"/>
                <w:szCs w:val="21"/>
              </w:rPr>
              <w:t xml:space="preserve">约</w:t>
            </w:r>
            <w:r>
              <w:rPr>
                <w:rFonts w:hint="eastAsia" w:ascii="宋体" w:hAnsi="宋体"/>
                <w:szCs w:val="21"/>
              </w:rPr>
              <w:t xml:space="preserve">5.3万人</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保障对象</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扬州市区内80周岁以上的户籍居民</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责任范围</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1.8</w:t>
            </w:r>
            <w:r>
              <w:rPr>
                <w:rFonts w:ascii="宋体" w:hAnsi="宋体"/>
                <w:szCs w:val="21"/>
              </w:rPr>
              <w:t xml:space="preserve">0</w:t>
            </w:r>
            <w:r>
              <w:rPr>
                <w:rFonts w:hint="eastAsia" w:ascii="宋体" w:hAnsi="宋体"/>
                <w:szCs w:val="21"/>
              </w:rPr>
              <w:t xml:space="preserve">周岁以上老年人意外身故赔偿金额人民币1</w:t>
            </w:r>
            <w:r>
              <w:rPr>
                <w:rFonts w:ascii="宋体" w:hAnsi="宋体"/>
                <w:szCs w:val="21"/>
              </w:rPr>
              <w:t xml:space="preserve">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2.8</w:t>
            </w:r>
            <w:r>
              <w:rPr>
                <w:rFonts w:ascii="宋体" w:hAnsi="宋体"/>
                <w:szCs w:val="21"/>
              </w:rPr>
              <w:t xml:space="preserve">0</w:t>
            </w:r>
            <w:r>
              <w:rPr>
                <w:rFonts w:hint="eastAsia" w:ascii="宋体" w:hAnsi="宋体"/>
                <w:szCs w:val="21"/>
              </w:rPr>
              <w:t xml:space="preserve">周岁以上老年人意外伤残赔偿金额人民币</w:t>
            </w:r>
            <w:r>
              <w:rPr>
                <w:rFonts w:ascii="宋体" w:hAnsi="宋体"/>
                <w:szCs w:val="21"/>
              </w:rPr>
              <w:t xml:space="preserve">5000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3.8</w:t>
            </w:r>
            <w:r>
              <w:rPr>
                <w:rFonts w:ascii="宋体" w:hAnsi="宋体"/>
                <w:szCs w:val="21"/>
              </w:rPr>
              <w:t xml:space="preserve">0</w:t>
            </w:r>
            <w:r>
              <w:rPr>
                <w:rFonts w:hint="eastAsia" w:ascii="宋体" w:hAnsi="宋体"/>
                <w:szCs w:val="21"/>
              </w:rPr>
              <w:t xml:space="preserve">周岁以上老年人个人保险年度意外医疗费用赔偿限额人民币2000元/人；</w:t>
            </w:r>
            <w:r/>
          </w:p>
          <w:p>
            <w:pPr>
              <w:spacing w:line="360" w:lineRule="auto"/>
              <w:rPr>
                <w:rFonts w:hint="eastAsia" w:ascii="宋体" w:hAnsi="宋体"/>
                <w:szCs w:val="21"/>
              </w:rPr>
            </w:pPr>
            <w:r>
              <w:rPr>
                <w:rFonts w:hint="eastAsia" w:ascii="宋体" w:hAnsi="宋体"/>
                <w:szCs w:val="21"/>
              </w:rPr>
              <w:t xml:space="preserve">4.8</w:t>
            </w:r>
            <w:r>
              <w:rPr>
                <w:rFonts w:ascii="宋体" w:hAnsi="宋体"/>
                <w:szCs w:val="21"/>
              </w:rPr>
              <w:t xml:space="preserve">0</w:t>
            </w:r>
            <w:r>
              <w:rPr>
                <w:rFonts w:hint="eastAsia" w:ascii="宋体" w:hAnsi="宋体"/>
                <w:szCs w:val="21"/>
              </w:rPr>
              <w:t xml:space="preserve">周岁以上老年人意外住院补偿金额人民币2</w:t>
            </w:r>
            <w:r>
              <w:rPr>
                <w:rFonts w:ascii="宋体" w:hAnsi="宋体"/>
                <w:szCs w:val="21"/>
              </w:rPr>
              <w:t xml:space="preserve">0</w:t>
            </w:r>
            <w:r>
              <w:rPr>
                <w:rFonts w:hint="eastAsia" w:ascii="宋体" w:hAnsi="宋体"/>
                <w:szCs w:val="21"/>
              </w:rPr>
              <w:t xml:space="preserve">元/人/天，单次最高90天，累计最高180天。</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相对免赔额</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1.每次事故医疗费用在赔偿范围内按照免赔额200元/年，赔付比例70%赔付；</w:t>
            </w:r>
            <w:r/>
          </w:p>
          <w:p>
            <w:pPr>
              <w:spacing w:line="360" w:lineRule="auto"/>
              <w:rPr>
                <w:rFonts w:hint="eastAsia" w:ascii="宋体" w:hAnsi="宋体"/>
                <w:szCs w:val="21"/>
              </w:rPr>
            </w:pPr>
            <w:r>
              <w:rPr>
                <w:rFonts w:hint="eastAsia" w:ascii="宋体" w:hAnsi="宋体"/>
                <w:szCs w:val="21"/>
              </w:rPr>
              <w:t xml:space="preserve">2.每次事故医疗费用如医保已赔付，剩余部分在赔偿范围内按照免赔额100元/年，赔付比例100%赔付。</w:t>
            </w:r>
            <w:r/>
          </w:p>
        </w:tc>
      </w:tr>
    </w:tbl>
    <w:p>
      <w:pPr>
        <w:spacing w:line="360" w:lineRule="auto"/>
        <w:rPr>
          <w:rFonts w:hint="eastAsia" w:ascii="宋体" w:hAnsi="宋体"/>
          <w:b/>
          <w:szCs w:val="21"/>
        </w:rPr>
      </w:pPr>
      <w:r>
        <w:rPr>
          <w:rFonts w:hint="eastAsia" w:ascii="宋体" w:hAnsi="宋体"/>
          <w:b/>
          <w:szCs w:val="21"/>
        </w:rPr>
        <w:t xml:space="preserve">（四）补充约定</w:t>
      </w:r>
      <w:r/>
    </w:p>
    <w:p>
      <w:pPr>
        <w:ind w:firstLine="420"/>
        <w:spacing w:line="360" w:lineRule="auto"/>
        <w:rPr>
          <w:rFonts w:hint="eastAsia"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、承担保险责任开始时间的约定</w:t>
      </w:r>
      <w:r/>
    </w:p>
    <w:p>
      <w:pPr>
        <w:ind w:firstLine="388"/>
        <w:spacing w:line="360" w:lineRule="auto"/>
        <w:rPr>
          <w:rFonts w:hint="eastAsia" w:ascii="宋体" w:hAnsi="宋体"/>
          <w:szCs w:val="21"/>
          <w:highlight w:val="none"/>
        </w:rPr>
      </w:pPr>
      <w:r>
        <w:rPr>
          <w:rFonts w:hint="eastAsia" w:ascii="宋体" w:hAnsi="宋体" w:cs="宋体"/>
          <w:spacing w:val="-8"/>
          <w:highlight w:val="none"/>
        </w:rPr>
        <w:t xml:space="preserve">合同履行指定生效日为</w:t>
      </w:r>
      <w:r>
        <w:rPr>
          <w:rFonts w:hint="eastAsia" w:ascii="宋体" w:hAnsi="宋体"/>
          <w:spacing w:val="-8"/>
          <w:szCs w:val="21"/>
          <w:highlight w:val="none"/>
        </w:rPr>
        <w:t xml:space="preserve">2025年6月29日0:00时至2026年6月28日23:59分</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、关于报表</w:t>
      </w:r>
      <w:r/>
    </w:p>
    <w:p>
      <w:pPr>
        <w:ind w:firstLine="420"/>
        <w:spacing w:line="360" w:lineRule="auto"/>
        <w:rPr>
          <w:rFonts w:hint="eastAsia"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p>
    <w:p>
      <w:pPr>
        <w:pStyle w:val="944"/>
        <w:numPr>
          <w:ilvl w:val="0"/>
          <w:numId w:val="0"/>
        </w:numPr>
        <w:ind w:left="780" w:hanging="360"/>
        <w:jc w:val="left"/>
        <w:spacing w:line="360" w:lineRule="auto"/>
      </w:pPr>
      <w:r>
        <w:rPr>
          <w:rFonts w:hint="eastAsia"/>
        </w:rPr>
        <w:t xml:space="preserve">3、关于凭证发放</w:t>
      </w:r>
      <w:r/>
    </w:p>
    <w:p>
      <w:pPr>
        <w:pStyle w:val="944"/>
        <w:numPr>
          <w:ilvl w:val="0"/>
          <w:numId w:val="0"/>
        </w:numPr>
        <w:ind w:left="105" w:firstLine="420"/>
        <w:jc w:val="left"/>
        <w:spacing w:line="360" w:lineRule="auto"/>
        <w:rPr>
          <w:rFonts w:hint="eastAsia" w:ascii="宋体" w:hAnsi="宋体"/>
          <w:szCs w:val="21"/>
        </w:rPr>
      </w:pPr>
      <w:r>
        <w:rPr>
          <w:rFonts w:hint="eastAsia" w:ascii="宋体" w:hAnsi="宋体"/>
          <w:szCs w:val="21"/>
        </w:rPr>
        <w:t xml:space="preserve">成交人需打印《个人保险凭证》，并确保凭证发放率</w:t>
      </w:r>
      <w:r>
        <w:rPr>
          <w:rFonts w:ascii="宋体" w:hAnsi="宋体"/>
          <w:szCs w:val="21"/>
        </w:rPr>
        <w:t xml:space="preserve">100%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4、关于增值服务</w:t>
      </w:r>
      <w:r/>
    </w:p>
    <w:p>
      <w:pPr>
        <w:ind w:firstLine="420"/>
        <w:spacing w:line="360" w:lineRule="auto"/>
        <w:rPr>
          <w:rFonts w:hint="eastAsia" w:ascii="宋体" w:hAnsi="宋体"/>
          <w:szCs w:val="21"/>
        </w:rPr>
      </w:pPr>
      <w:r>
        <w:rPr>
          <w:rFonts w:hint="eastAsia" w:ascii="宋体" w:hAnsi="宋体"/>
          <w:szCs w:val="21"/>
        </w:rPr>
        <w:t xml:space="preserve">（1）成交人在各镇、乡、街道至少配备一名专职服务人员；</w:t>
      </w:r>
      <w:r/>
    </w:p>
    <w:p>
      <w:pPr>
        <w:ind w:firstLine="420"/>
        <w:spacing w:line="360" w:lineRule="auto"/>
        <w:rPr>
          <w:rFonts w:hint="eastAsia" w:ascii="宋体" w:hAnsi="宋体"/>
          <w:szCs w:val="21"/>
        </w:rPr>
      </w:pPr>
      <w:r>
        <w:rPr>
          <w:rFonts w:hint="eastAsia" w:ascii="宋体" w:hAnsi="宋体"/>
          <w:szCs w:val="21"/>
        </w:rPr>
        <w:t xml:space="preserve">（2）每年敬老月期间，成交人需联合老龄办开展公益活动，共同营造尊老敬老的社会氛围。</w:t>
      </w:r>
      <w:r/>
    </w:p>
    <w:p>
      <w:pPr>
        <w:ind w:firstLine="420"/>
        <w:spacing w:line="360" w:lineRule="auto"/>
        <w:rPr>
          <w:rFonts w:hint="eastAsia"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p>
    <w:p>
      <w:pPr>
        <w:pStyle w:val="944"/>
        <w:numPr>
          <w:ilvl w:val="0"/>
          <w:numId w:val="0"/>
        </w:numPr>
        <w:ind w:left="780" w:hanging="360"/>
        <w:spacing w:line="360" w:lineRule="auto"/>
      </w:pPr>
      <w:r>
        <w:rPr>
          <w:rFonts w:hint="eastAsia" w:ascii="宋体" w:hAnsi="宋体"/>
          <w:szCs w:val="21"/>
        </w:rPr>
        <w:t xml:space="preserve">（4）</w:t>
      </w:r>
      <w:r>
        <w:rPr>
          <w:rFonts w:hint="eastAsia"/>
        </w:rPr>
        <w:t xml:space="preserve">采购人要求开展的相关活动。</w:t>
      </w:r>
      <w:r/>
    </w:p>
    <w:p>
      <w:pPr>
        <w:ind w:firstLine="420"/>
        <w:spacing w:line="360" w:lineRule="auto"/>
        <w:rPr>
          <w:rFonts w:hint="eastAsia" w:ascii="宋体" w:hAnsi="宋体"/>
          <w:b/>
          <w:bCs/>
          <w:szCs w:val="21"/>
        </w:rPr>
      </w:pPr>
      <w:r>
        <w:rPr>
          <w:rFonts w:hint="eastAsia" w:ascii="宋体" w:hAnsi="宋体"/>
          <w:b/>
          <w:bCs/>
          <w:szCs w:val="21"/>
        </w:rPr>
        <w:t xml:space="preserve">5、成交人除完成本项目外，应须通过宣传、推广、发动等措施，完成扬州市城区25%的老年人意外伤害保险自费投保任务（具体完成情况应出具第三方评估报告）。</w:t>
      </w:r>
      <w:r/>
    </w:p>
    <w:p>
      <w:pPr>
        <w:ind w:firstLine="420"/>
        <w:spacing w:line="360" w:lineRule="auto"/>
        <w:rPr>
          <w:rFonts w:hint="eastAsia" w:ascii="宋体" w:hAnsi="宋体"/>
          <w:szCs w:val="21"/>
        </w:rPr>
      </w:pPr>
      <w:r>
        <w:rPr>
          <w:rFonts w:hint="eastAsia" w:ascii="宋体" w:hAnsi="宋体"/>
          <w:szCs w:val="21"/>
        </w:rPr>
        <w:t xml:space="preserve">6、赔偿处理</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p>
    <w:p>
      <w:pPr>
        <w:ind w:firstLine="420"/>
        <w:spacing w:line="360" w:lineRule="auto"/>
        <w:rPr>
          <w:rFonts w:hint="eastAsia" w:ascii="宋体" w:hAnsi="宋体"/>
          <w:szCs w:val="21"/>
        </w:rPr>
      </w:pPr>
      <w:r>
        <w:rPr>
          <w:rFonts w:hint="eastAsia" w:ascii="宋体" w:hAnsi="宋体"/>
          <w:szCs w:val="21"/>
        </w:rPr>
        <w:t xml:space="preserve">7、关于保险合同</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spacing w:line="360" w:lineRule="auto"/>
        <w:rPr>
          <w:rFonts w:hint="eastAsia" w:ascii="宋体" w:hAnsi="宋体"/>
          <w:szCs w:val="21"/>
        </w:rPr>
        <w:sectPr>
          <w:footerReference w:type="default" r:id="rId13"/>
          <w:footnotePr/>
          <w:endnotePr/>
          <w:type w:val="nextPage"/>
          <w:pgSz w:w="11906" w:h="16838" w:orient="portrait"/>
          <w:pgMar w:top="1440" w:right="1689" w:bottom="1440" w:left="1689" w:header="851" w:footer="992" w:gutter="0"/>
          <w:cols w:num="1" w:sep="0" w:space="1701" w:equalWidth="1"/>
          <w:docGrid w:linePitch="360"/>
        </w:sectPr>
      </w:pPr>
      <w:r>
        <w:rPr>
          <w:rFonts w:ascii="宋体" w:hAnsi="宋体"/>
          <w:szCs w:val="21"/>
        </w:rPr>
        <w:t xml:space="preserve"> </w:t>
      </w:r>
      <w:r>
        <w:rPr>
          <w:rFonts w:hint="eastAsia" w:ascii="宋体" w:hAnsi="宋体"/>
          <w:szCs w:val="21"/>
        </w:rPr>
        <w:t xml:space="preserve">8、本次采购活动依照中华人民共和国相关法律法规进行。</w:t>
      </w:r>
      <w:r/>
    </w:p>
    <w:p>
      <w:pPr>
        <w:jc w:val="center"/>
        <w:keepNext/>
        <w:rPr>
          <w:rFonts w:ascii="宋体" w:hAnsi="宋体" w:cs="宋体"/>
          <w:bCs/>
          <w:sz w:val="44"/>
          <w:szCs w:val="28"/>
        </w:rPr>
        <w:outlineLvl w:val="0"/>
      </w:pPr>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bookmarkEnd w:id="64"/>
      <w:r/>
      <w:r/>
    </w:p>
    <w:p>
      <w:pPr>
        <w:pStyle w:val="962"/>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pStyle w:val="962"/>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价格扣除，用扣除后的价格参与评审。</w:t>
      </w:r>
      <w:r/>
    </w:p>
    <w:p>
      <w:pPr>
        <w:pStyle w:val="962"/>
        <w:ind w:firstLine="420"/>
        <w:jc w:val="both"/>
        <w:spacing w:before="0" w:after="0"/>
        <w:rPr>
          <w:rFonts w:hint="eastAsia" w:ascii="宋体" w:hAnsi="宋体" w:cs="宋体"/>
          <w:color w:val="000000"/>
          <w:szCs w:val="21"/>
          <w:highlight w:val="none"/>
        </w:rPr>
      </w:pPr>
      <w:r>
        <w:rPr>
          <w:rFonts w:hint="eastAsia" w:ascii="宋体" w:hAnsi="宋体" w:cs="宋体"/>
          <w:color w:val="000000"/>
          <w:sz w:val="21"/>
          <w:szCs w:val="21"/>
          <w:highlight w:val="none"/>
        </w:rPr>
        <w:t xml:space="preserve">7、大中型企业向小型、微型企业分包的，分包意向协议约定小型、微型企业合同份额占到合同总金额 30%以上的，给予 6%的价格扣除，用扣除后的价格参与评审。</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三、评审方法与评审标准</w:t>
      </w:r>
      <w:r/>
    </w:p>
    <w:tbl>
      <w:tblPr>
        <w:tblStyle w:val="762"/>
        <w:tblW w:w="5000"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13" w:type="dxa"/>
          <w:top w:w="0" w:type="dxa"/>
          <w:right w:w="113" w:type="dxa"/>
          <w:bottom w:w="0" w:type="dxa"/>
        </w:tblCellMar>
        <w:tblLook w:val="04A0" w:firstRow="1" w:lastRow="0" w:firstColumn="1" w:lastColumn="0" w:noHBand="0" w:noVBand="1"/>
      </w:tblPr>
      <w:tblGrid>
        <w:gridCol w:w="1040"/>
        <w:gridCol w:w="7492"/>
      </w:tblGrid>
      <w:tr>
        <w:trPr>
          <w:jc w:val="center"/>
          <w:trHeight w:val="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评审标准</w:t>
            </w:r>
            <w:r/>
          </w:p>
        </w:tc>
      </w:tr>
      <w:tr>
        <w:trPr>
          <w:jc w:val="center"/>
          <w:trHeight w:val="843"/>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价格</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left"/>
              <w:spacing w:line="560" w:lineRule="exact"/>
              <w:rPr>
                <w:rFonts w:hint="eastAsia" w:ascii="宋体" w:hAnsi="宋体" w:eastAsia="宋体" w:cs="宋体"/>
                <w:szCs w:val="21"/>
              </w:rPr>
            </w:pPr>
            <w:r>
              <w:rPr>
                <w:rFonts w:hint="eastAsia" w:ascii="宋体" w:hAnsi="宋体" w:eastAsia="宋体" w:cs="宋体"/>
                <w:szCs w:val="21"/>
              </w:rPr>
              <w:t xml:space="preserve">以满足磋商文件要求且最终报价最低的供应商的价格为磋商基准价，其价格分得满分10分。其他供应商价格得分统一按下列公式计算：磋商报价得分=（磋商基准价/其他最后磋商报价）×10×100%（保留两位小数）</w:t>
            </w:r>
            <w:r/>
          </w:p>
          <w:p>
            <w:pPr>
              <w:jc w:val="left"/>
              <w:spacing w:line="560" w:lineRule="exact"/>
              <w:rPr>
                <w:rFonts w:hint="eastAsia" w:ascii="宋体" w:hAnsi="宋体"/>
                <w:szCs w:val="21"/>
              </w:rPr>
            </w:pPr>
            <w:r>
              <w:rPr>
                <w:rFonts w:hint="eastAsia" w:ascii="宋体" w:hAnsi="宋体" w:eastAsia="宋体" w:cs="宋体"/>
                <w:szCs w:val="21"/>
              </w:rPr>
              <w:t xml:space="preserve">注：评审委员会认为供应商的报价明显低于其它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jc w:val="center"/>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企业服务能力</w:t>
            </w:r>
            <w:r/>
          </w:p>
          <w:p>
            <w:pPr>
              <w:jc w:val="center"/>
              <w:spacing w:line="360" w:lineRule="auto"/>
              <w:rPr>
                <w:rFonts w:hint="eastAsia" w:ascii="宋体" w:hAnsi="宋体"/>
                <w:b/>
                <w:bCs/>
                <w:szCs w:val="21"/>
              </w:rPr>
            </w:pPr>
            <w:r>
              <w:rPr>
                <w:rFonts w:hint="eastAsia" w:ascii="宋体" w:hAnsi="宋体"/>
                <w:b/>
                <w:bCs/>
                <w:szCs w:val="21"/>
              </w:rPr>
              <w:t xml:space="preserve">（32分）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en-US" w:eastAsia="zh-CN"/>
              </w:rPr>
              <w:t xml:space="preserve">2024年第三季度-2025年第二季度末</w:t>
            </w:r>
            <w:r>
              <w:rPr>
                <w:rFonts w:hint="eastAsia" w:ascii="宋体" w:hAnsi="宋体"/>
                <w:szCs w:val="21"/>
              </w:rPr>
              <w:t xml:space="preserve">综合偿付能力充足率（16分）</w:t>
            </w:r>
            <w:r/>
          </w:p>
          <w:p>
            <w:pPr>
              <w:spacing w:line="360" w:lineRule="auto"/>
              <w:rPr>
                <w:rFonts w:hint="eastAsia" w:ascii="宋体" w:hAnsi="宋体"/>
                <w:szCs w:val="21"/>
              </w:rPr>
            </w:pPr>
            <w:r>
              <w:rPr>
                <w:rFonts w:hint="eastAsia" w:ascii="宋体" w:hAnsi="宋体"/>
                <w:szCs w:val="21"/>
              </w:rPr>
              <w:t xml:space="preserve">（1）综合偿付能力充足率200%以上，（4分/季度）；</w:t>
            </w:r>
            <w:r/>
          </w:p>
          <w:p>
            <w:pPr>
              <w:spacing w:line="360" w:lineRule="auto"/>
              <w:rPr>
                <w:rFonts w:hint="eastAsia" w:ascii="宋体" w:hAnsi="宋体"/>
                <w:szCs w:val="21"/>
              </w:rPr>
            </w:pPr>
            <w:r>
              <w:rPr>
                <w:rFonts w:hint="eastAsia" w:ascii="宋体" w:hAnsi="宋体"/>
                <w:szCs w:val="21"/>
              </w:rPr>
              <w:t xml:space="preserve">（2）综合偿付能力充足率180-200%（含）以上（2分/季度）；</w:t>
            </w:r>
            <w:r/>
          </w:p>
          <w:p>
            <w:pPr>
              <w:spacing w:line="360" w:lineRule="auto"/>
              <w:rPr>
                <w:rFonts w:hint="eastAsia" w:ascii="宋体" w:hAnsi="宋体"/>
                <w:szCs w:val="21"/>
              </w:rPr>
            </w:pPr>
            <w:r>
              <w:rPr>
                <w:rFonts w:hint="eastAsia" w:ascii="宋体" w:hAnsi="宋体"/>
                <w:szCs w:val="21"/>
              </w:rPr>
              <w:t xml:space="preserve">（3）综合偿付能力充足率150-180%（含）以上（1分/季度）；</w:t>
            </w:r>
            <w:r/>
          </w:p>
          <w:p>
            <w:pPr>
              <w:spacing w:line="360" w:lineRule="auto"/>
              <w:rPr>
                <w:rFonts w:hint="eastAsia" w:ascii="宋体" w:hAnsi="宋体"/>
                <w:szCs w:val="21"/>
              </w:rPr>
            </w:pPr>
            <w:r>
              <w:rPr>
                <w:rFonts w:hint="eastAsia" w:ascii="宋体" w:hAnsi="宋体"/>
                <w:szCs w:val="21"/>
              </w:rPr>
              <w:t xml:space="preserve">（4）无综合偿付能力报告或低于150%（含）（0分/季度）。</w:t>
            </w:r>
            <w:r/>
          </w:p>
          <w:p>
            <w:pPr>
              <w:spacing w:line="360" w:lineRule="auto"/>
              <w:rPr>
                <w:rFonts w:hint="eastAsia" w:ascii="宋体" w:hAnsi="宋体"/>
                <w:b/>
                <w:bCs/>
                <w:szCs w:val="21"/>
              </w:rPr>
            </w:pPr>
            <w:r>
              <w:rPr>
                <w:rFonts w:hint="eastAsia" w:ascii="宋体" w:hAnsi="宋体"/>
                <w:b/>
                <w:bCs/>
                <w:szCs w:val="21"/>
              </w:rPr>
              <w:t xml:space="preserve">备注：供应商须提供国家金融监管总局发布的或行业协会网站下载截止开标当日前的保险公司偿付能力情况截图扫描件上传。</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lang w:val="en-US" w:eastAsia="zh-CN"/>
              </w:rPr>
              <w:t xml:space="preserve">2024年第三季度-2025年第二季度末</w:t>
            </w:r>
            <w:r>
              <w:rPr>
                <w:rFonts w:hint="eastAsia" w:ascii="宋体" w:hAnsi="宋体"/>
                <w:szCs w:val="21"/>
              </w:rPr>
              <w:t xml:space="preserve">风险综合评级（16分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AAA类（含）以上（4分/期）；</w:t>
            </w:r>
            <w:r/>
          </w:p>
          <w:p>
            <w:pPr>
              <w:spacing w:line="360" w:lineRule="auto"/>
              <w:rPr>
                <w:rFonts w:hint="eastAsia" w:ascii="宋体" w:hAnsi="宋体"/>
                <w:szCs w:val="21"/>
              </w:rPr>
            </w:pPr>
            <w:r>
              <w:rPr>
                <w:rFonts w:hint="eastAsia" w:ascii="宋体" w:hAnsi="宋体"/>
                <w:szCs w:val="21"/>
              </w:rPr>
              <w:t xml:space="preserve">A类（含）-AA类（含）（2分/期）；</w:t>
            </w:r>
            <w:r/>
          </w:p>
          <w:p>
            <w:pPr>
              <w:spacing w:line="360" w:lineRule="auto"/>
              <w:rPr>
                <w:rFonts w:hint="eastAsia" w:ascii="宋体" w:hAnsi="宋体"/>
                <w:szCs w:val="21"/>
              </w:rPr>
            </w:pPr>
            <w:r>
              <w:rPr>
                <w:rFonts w:hint="eastAsia" w:ascii="宋体" w:hAnsi="宋体"/>
                <w:szCs w:val="21"/>
              </w:rPr>
              <w:t xml:space="preserve">BB类（含）-BBB类（含）（1分/期）；</w:t>
            </w:r>
            <w:r/>
          </w:p>
          <w:p>
            <w:pPr>
              <w:spacing w:line="360" w:lineRule="auto"/>
              <w:rPr>
                <w:rFonts w:hint="eastAsia" w:ascii="宋体" w:hAnsi="宋体"/>
                <w:szCs w:val="21"/>
              </w:rPr>
            </w:pPr>
            <w:r>
              <w:rPr>
                <w:rFonts w:hint="eastAsia" w:ascii="宋体" w:hAnsi="宋体"/>
                <w:szCs w:val="21"/>
              </w:rPr>
              <w:t xml:space="preserve">BB类以下（0分/期）。</w:t>
            </w:r>
            <w:r/>
          </w:p>
          <w:p>
            <w:pPr>
              <w:spacing w:line="360" w:lineRule="auto"/>
              <w:rPr>
                <w:rFonts w:hint="eastAsia" w:ascii="宋体" w:hAnsi="宋体"/>
                <w:szCs w:val="21"/>
              </w:rPr>
            </w:pPr>
            <w:r>
              <w:rPr>
                <w:rFonts w:hint="eastAsia" w:ascii="宋体" w:hAnsi="宋体"/>
                <w:b/>
                <w:bCs/>
                <w:szCs w:val="21"/>
              </w:rPr>
              <w:t xml:space="preserve">备注：需提供 C-ROSS国家金融监管总局偿付能力监管信息系统披露的保险公司风险综合评级情况截图扫描件上传。</w:t>
            </w:r>
            <w:r/>
          </w:p>
        </w:tc>
      </w:tr>
      <w:tr>
        <w:trPr>
          <w:jc w:val="center"/>
          <w:trHeight w:val="1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承保业绩</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1、供应商2024年1月1日以来承担过类似民生类人身保险业绩，有一项得1分，最高得10分。</w:t>
            </w:r>
            <w:r/>
          </w:p>
          <w:p>
            <w:pPr>
              <w:spacing w:line="360" w:lineRule="auto"/>
              <w:rPr>
                <w:rFonts w:hint="eastAsia" w:ascii="宋体" w:hAnsi="宋体"/>
                <w:szCs w:val="21"/>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rPr>
                <w:rFonts w:hint="eastAsia" w:ascii="宋体" w:hAnsi="宋体"/>
                <w:b/>
                <w:bCs/>
                <w:szCs w:val="21"/>
              </w:rPr>
              <w:t xml:space="preserve">。</w:t>
            </w:r>
            <w:r/>
          </w:p>
        </w:tc>
      </w:tr>
      <w:tr>
        <w:trPr>
          <w:jc w:val="center"/>
          <w:trHeight w:val="411"/>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履约能力</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过往民生类人身保险项目配合度及反应速度（10分）</w:t>
            </w:r>
            <w:r/>
          </w:p>
          <w:p>
            <w:pPr>
              <w:spacing w:line="360" w:lineRule="auto"/>
              <w:rPr>
                <w:rFonts w:hint="eastAsia" w:ascii="宋体" w:hAnsi="宋体"/>
                <w:szCs w:val="21"/>
              </w:rPr>
            </w:pPr>
            <w:r>
              <w:rPr>
                <w:rFonts w:hint="eastAsia" w:ascii="宋体" w:hAnsi="宋体"/>
                <w:szCs w:val="21"/>
              </w:rPr>
              <w:t xml:space="preserve">1.根据以往民生类人身保险项目中，能充分体现出售前、售中、售后配合度、响应度的实例展示打分，非常好5分，比较好3分，一般1分；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备注：供应商根据项目需求提供实例证明材料扫描件上传。</w:t>
            </w:r>
            <w:r/>
          </w:p>
          <w:p>
            <w:pPr>
              <w:spacing w:line="360" w:lineRule="auto"/>
              <w:rPr>
                <w:rFonts w:hint="eastAsia" w:ascii="宋体" w:hAnsi="宋体"/>
                <w:szCs w:val="21"/>
              </w:rPr>
            </w:pPr>
            <w:r>
              <w:rPr>
                <w:rFonts w:hint="eastAsia" w:ascii="宋体" w:hAnsi="宋体"/>
                <w:szCs w:val="21"/>
              </w:rPr>
              <w:t xml:space="preserve">2.根据以往民生类人身保险项目中，能充分展现客户满意度、认可度的实例展示打分，非常好5分，比较好3分，一般1分；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备注：供应商提供履约情况报告及第三方</w:t>
            </w:r>
            <w:r>
              <w:rPr>
                <w:rFonts w:hint="eastAsia" w:ascii="宋体" w:hAnsi="宋体"/>
                <w:b/>
                <w:bCs/>
                <w:szCs w:val="21"/>
                <w:lang w:val="en-US" w:eastAsia="zh-CN"/>
              </w:rPr>
              <w:t xml:space="preserve">客户满意度、认可度相关</w:t>
            </w:r>
            <w:r>
              <w:rPr>
                <w:rFonts w:hint="eastAsia" w:ascii="宋体" w:hAnsi="宋体"/>
                <w:b/>
                <w:bCs/>
                <w:szCs w:val="21"/>
              </w:rPr>
              <w:t xml:space="preserve">证明材料扫描件上传。如不能提供相关证明文件，则该项得分为0。</w:t>
            </w:r>
            <w:r/>
          </w:p>
        </w:tc>
      </w:tr>
      <w:tr>
        <w:trPr>
          <w:jc w:val="center"/>
          <w:trHeight w:val="89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服务部分</w:t>
            </w:r>
            <w:r/>
          </w:p>
          <w:p>
            <w:pPr>
              <w:jc w:val="center"/>
              <w:spacing w:line="360" w:lineRule="auto"/>
              <w:rPr>
                <w:rFonts w:hint="eastAsia" w:ascii="宋体" w:hAnsi="宋体"/>
                <w:b/>
                <w:bCs/>
                <w:szCs w:val="21"/>
              </w:rPr>
            </w:pPr>
            <w:r>
              <w:rPr>
                <w:rFonts w:hint="eastAsia" w:ascii="宋体" w:hAnsi="宋体"/>
                <w:b/>
                <w:bCs/>
                <w:szCs w:val="21"/>
              </w:rPr>
              <w:t xml:space="preserve">（38分）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pPr>
            <w:r>
              <w:rPr>
                <w:rFonts w:hint="eastAsia"/>
              </w:rPr>
              <w:t xml:space="preserve">1.总体方案（</w:t>
            </w:r>
            <w:r>
              <w:rPr>
                <w:rFonts w:hint="eastAsia"/>
                <w:lang w:val="en-US" w:eastAsia="zh-CN"/>
              </w:rPr>
              <w:t xml:space="preserve">13</w:t>
            </w:r>
            <w:r>
              <w:rPr>
                <w:rFonts w:hint="eastAsia"/>
              </w:rPr>
              <w:t xml:space="preserve">分）</w:t>
            </w:r>
            <w:r/>
          </w:p>
          <w:p>
            <w:pPr>
              <w:spacing w:line="360" w:lineRule="auto"/>
            </w:pPr>
            <w:r>
              <w:rPr>
                <w:rFonts w:hint="eastAsia"/>
              </w:rPr>
              <w:t xml:space="preserve">（1）总体服务流程可行性情况（5分）</w:t>
            </w:r>
            <w:r/>
          </w:p>
          <w:p>
            <w:pPr>
              <w:spacing w:line="360" w:lineRule="auto"/>
            </w:pPr>
            <w:r>
              <w:rPr>
                <w:rFonts w:hint="eastAsia"/>
              </w:rPr>
              <w:t xml:space="preserve">对于总体服务流程可行性情况概述科学、严密、合理，描述详细的得5分；</w:t>
            </w:r>
            <w:r/>
          </w:p>
          <w:p>
            <w:pPr>
              <w:spacing w:line="360" w:lineRule="auto"/>
            </w:pPr>
            <w:r>
              <w:rPr>
                <w:rFonts w:hint="eastAsia"/>
              </w:rPr>
              <w:t xml:space="preserve">对于总体服务流程可行性情况概述较合理、严密、描述较为详细的得3分；</w:t>
            </w:r>
            <w:r/>
          </w:p>
          <w:p>
            <w:pPr>
              <w:spacing w:line="360" w:lineRule="auto"/>
            </w:pPr>
            <w:r>
              <w:rPr>
                <w:rFonts w:hint="eastAsia"/>
              </w:rPr>
              <w:t xml:space="preserve">对于总体服务流程可行性情况概述基本合理、描述一般的得2分；</w:t>
            </w:r>
            <w:r/>
          </w:p>
          <w:p>
            <w:pPr>
              <w:spacing w:line="360" w:lineRule="auto"/>
              <w:rPr>
                <w:rFonts w:hint="eastAsia" w:eastAsia="宋体"/>
                <w:lang w:eastAsia="zh-CN"/>
              </w:rPr>
            </w:pPr>
            <w:r>
              <w:rPr>
                <w:rFonts w:hint="eastAsia"/>
              </w:rPr>
              <w:t xml:space="preserve">对于总体服务流程可行性情况概述具不合理项、描述明显欠缺得1分</w:t>
            </w:r>
            <w:r>
              <w:rPr>
                <w:rFonts w:hint="eastAsia"/>
                <w:lang w:eastAsia="zh-CN"/>
              </w:rPr>
              <w:t xml:space="preserve">。</w:t>
            </w:r>
            <w:r/>
          </w:p>
          <w:p>
            <w:pPr>
              <w:spacing w:line="360" w:lineRule="auto"/>
            </w:pPr>
            <w:r>
              <w:rPr>
                <w:rFonts w:hint="eastAsia"/>
              </w:rPr>
              <w:t xml:space="preserve">（2）保险服务团队（3分）</w:t>
            </w:r>
            <w:r/>
          </w:p>
          <w:p>
            <w:pPr>
              <w:spacing w:line="360" w:lineRule="auto"/>
            </w:pPr>
            <w:r>
              <w:rPr>
                <w:rFonts w:hint="eastAsia"/>
              </w:rPr>
              <w:t xml:space="preserve">根据项目建立专项服务团队，服务队伍覆盖并驻点区域村镇（社），确保项目宣传、咨询、理赔到位。</w:t>
            </w:r>
            <w:r/>
          </w:p>
          <w:p>
            <w:pPr>
              <w:spacing w:line="360" w:lineRule="auto"/>
            </w:pPr>
            <w:r>
              <w:rPr>
                <w:rFonts w:hint="eastAsia"/>
              </w:rPr>
              <w:t xml:space="preserve">专项服务团队配置齐全、数量充足、架构清晰、日常工作操作性强得3分；</w:t>
            </w:r>
            <w:r/>
          </w:p>
          <w:p>
            <w:pPr>
              <w:spacing w:line="360" w:lineRule="auto"/>
            </w:pPr>
            <w:r>
              <w:rPr>
                <w:rFonts w:hint="eastAsia"/>
              </w:rPr>
              <w:t xml:space="preserve">专项服务团队配置较全、数量、架构可行，日常工作操作性一般得2分；</w:t>
            </w:r>
            <w:r/>
          </w:p>
          <w:p>
            <w:pPr>
              <w:spacing w:line="360" w:lineRule="auto"/>
            </w:pPr>
            <w:r>
              <w:rPr>
                <w:rFonts w:hint="eastAsia"/>
              </w:rPr>
              <w:t xml:space="preserve">专项服务团队配置、数量、架构日常工作操作性一般得1分；</w:t>
            </w:r>
            <w:r/>
          </w:p>
          <w:p>
            <w:pPr>
              <w:spacing w:line="360" w:lineRule="auto"/>
              <w:rPr>
                <w:rFonts w:hint="eastAsia" w:eastAsia="宋体"/>
                <w:lang w:eastAsia="zh-CN"/>
              </w:rPr>
            </w:pPr>
            <w:r>
              <w:rPr>
                <w:rFonts w:hint="eastAsia"/>
              </w:rPr>
              <w:t xml:space="preserve">专项服务团队配置、数量、架构日常工作操作性明显不合理得0分</w:t>
            </w:r>
            <w:r>
              <w:rPr>
                <w:rFonts w:hint="eastAsia"/>
                <w:lang w:eastAsia="zh-CN"/>
              </w:rPr>
              <w:t xml:space="preserve">。</w:t>
            </w:r>
            <w:r/>
          </w:p>
          <w:p>
            <w:pPr>
              <w:spacing w:line="360" w:lineRule="auto"/>
            </w:pPr>
            <w:r>
              <w:rPr>
                <w:rFonts w:hint="eastAsia"/>
              </w:rPr>
              <w:t xml:space="preserve">（3）宣传推动能力（5分）</w:t>
            </w:r>
            <w:r/>
          </w:p>
          <w:p>
            <w:pPr>
              <w:spacing w:line="360" w:lineRule="auto"/>
            </w:pPr>
            <w:r>
              <w:rPr>
                <w:rFonts w:hint="eastAsia"/>
              </w:rPr>
              <w:t xml:space="preserve">根据本项目设计产品宣传推动方案，宣传推动措施针对性非常强、可操作性非常高、能准确考评得5分；宣传推动措施针对性比较强、可操作性比较高、可考评得3分；宣传推动措施针对性一般、可操作性一般、考评性不高得2分；宣传推动措施针对性不合理、可担操作性不合理、考评性不合理得1分；</w:t>
            </w:r>
            <w:r/>
          </w:p>
          <w:p>
            <w:pPr>
              <w:spacing w:line="360" w:lineRule="auto"/>
            </w:pPr>
            <w:r>
              <w:rPr>
                <w:rFonts w:hint="eastAsia"/>
              </w:rPr>
              <w:t xml:space="preserve">2. 拟投入项目负责人（5分）</w:t>
            </w:r>
            <w:r/>
          </w:p>
          <w:p>
            <w:pPr>
              <w:spacing w:line="360" w:lineRule="auto"/>
            </w:pPr>
            <w:r>
              <w:rPr>
                <w:rFonts w:hint="eastAsia"/>
              </w:rPr>
              <w:t xml:space="preserve">项目负责人从事人身险服务时间5年(不含)以下得1分，5年-10年得2分，10年(不含)以上得5分。</w:t>
            </w:r>
            <w:r/>
          </w:p>
          <w:p>
            <w:pPr>
              <w:spacing w:line="360" w:lineRule="auto"/>
              <w:rPr>
                <w:b/>
                <w:bCs/>
              </w:rPr>
            </w:pPr>
            <w:r>
              <w:rPr>
                <w:rFonts w:hint="eastAsia"/>
                <w:b/>
                <w:bCs/>
              </w:rPr>
              <w:t xml:space="preserve">备注：供应商须提供劳动合同扫描件上传。</w:t>
            </w:r>
            <w:r/>
          </w:p>
          <w:p>
            <w:pPr>
              <w:numPr>
                <w:ilvl w:val="0"/>
                <w:numId w:val="4"/>
              </w:numPr>
              <w:spacing w:line="360" w:lineRule="auto"/>
            </w:pPr>
            <w:r>
              <w:rPr>
                <w:rFonts w:hint="eastAsia"/>
              </w:rPr>
              <w:t xml:space="preserve">便捷服务能力（15分）</w:t>
            </w:r>
            <w:r/>
          </w:p>
          <w:p>
            <w:pPr>
              <w:spacing w:line="360" w:lineRule="auto"/>
            </w:pPr>
            <w:r>
              <w:rPr>
                <w:rFonts w:hint="eastAsia"/>
              </w:rPr>
              <w:t xml:space="preserve">为了方便80周岁及以上老年人群就近办理各项服务，服务网点健全，布局广泛，根据网点布局优劣（乡镇网点数）评分，有一个对应网点得1分，最高15分（包括广陵区、邗江区、开发区、蜀冈瘦西湖风景区、生态科技新城的各乡镇。提供服务网点营业执照副本复印件）</w:t>
            </w:r>
            <w:r/>
          </w:p>
          <w:p>
            <w:pPr>
              <w:spacing w:line="360" w:lineRule="auto"/>
            </w:pPr>
            <w:r>
              <w:rPr>
                <w:rFonts w:hint="eastAsia"/>
              </w:rPr>
              <w:t xml:space="preserve">4.理赔服务方面（3分）</w:t>
            </w:r>
            <w:r/>
          </w:p>
          <w:p>
            <w:pPr>
              <w:spacing w:line="360" w:lineRule="auto"/>
            </w:pPr>
            <w:r>
              <w:rPr>
                <w:rFonts w:hint="eastAsia"/>
              </w:rPr>
              <w:t xml:space="preserve">（1）理赔流程，根据流程方便快捷的得1分；</w:t>
            </w:r>
            <w:r/>
          </w:p>
          <w:p>
            <w:pPr>
              <w:spacing w:line="360" w:lineRule="auto"/>
            </w:pPr>
            <w:r>
              <w:rPr>
                <w:rFonts w:hint="eastAsia"/>
              </w:rPr>
              <w:t xml:space="preserve">（2）出险金额在10000元以下的赔付时效承诺，以赔付时效长短判断：</w:t>
            </w:r>
            <w:r/>
          </w:p>
          <w:p>
            <w:pPr>
              <w:spacing w:line="360" w:lineRule="auto"/>
            </w:pPr>
            <w:r>
              <w:rPr>
                <w:rFonts w:hint="eastAsia"/>
              </w:rPr>
              <w:t xml:space="preserve">   供应商能够在一个工作日内赔付的得2分；</w:t>
            </w:r>
            <w:r/>
          </w:p>
          <w:p>
            <w:pPr>
              <w:spacing w:line="360" w:lineRule="auto"/>
            </w:pPr>
            <w:r>
              <w:rPr>
                <w:rFonts w:hint="eastAsia"/>
              </w:rPr>
              <w:t xml:space="preserve">   供应商能够在两个工作日内赔付的得1分；</w:t>
            </w:r>
            <w:r/>
          </w:p>
          <w:p>
            <w:pPr>
              <w:spacing w:line="360" w:lineRule="auto"/>
            </w:pPr>
            <w:r>
              <w:rPr>
                <w:rFonts w:hint="eastAsia"/>
              </w:rPr>
              <w:t xml:space="preserve">   供应商能够在三个工作日内赔付的得0.5分；</w:t>
            </w:r>
            <w:r/>
          </w:p>
          <w:p>
            <w:pPr>
              <w:spacing w:line="360" w:lineRule="auto"/>
            </w:pPr>
            <w:r>
              <w:rPr>
                <w:rFonts w:hint="eastAsia"/>
              </w:rPr>
              <w:t xml:space="preserve">   供应商赔付时间超过三个工作日的不得分。</w:t>
            </w:r>
            <w:r/>
          </w:p>
          <w:p>
            <w:pPr>
              <w:spacing w:line="360" w:lineRule="auto"/>
              <w:rPr>
                <w:b/>
                <w:bCs/>
              </w:rPr>
            </w:pPr>
            <w:r>
              <w:rPr>
                <w:rFonts w:hint="eastAsia"/>
                <w:b/>
                <w:bCs/>
              </w:rPr>
              <w:t xml:space="preserve">（供应商须提供书面承诺原件和以往赔付案例证明材料扫描件上传，两者缺一不可）</w:t>
            </w:r>
            <w:r/>
          </w:p>
          <w:p>
            <w:pPr>
              <w:spacing w:line="360" w:lineRule="auto"/>
            </w:pPr>
            <w:r>
              <w:rPr>
                <w:rFonts w:hint="eastAsia"/>
              </w:rPr>
              <w:t xml:space="preserve">5.服务承诺（2分）</w:t>
            </w:r>
            <w:r/>
          </w:p>
          <w:p>
            <w:pPr>
              <w:spacing w:line="360" w:lineRule="auto"/>
            </w:pPr>
            <w:r>
              <w:rPr>
                <w:rFonts w:hint="eastAsia"/>
              </w:rPr>
              <w:t xml:space="preserve">（1）保险个人凭证发放率100%得0.5分，低于100%得0分；</w:t>
            </w:r>
            <w:r/>
          </w:p>
          <w:p>
            <w:pPr>
              <w:spacing w:line="360" w:lineRule="auto"/>
            </w:pPr>
            <w:r>
              <w:rPr>
                <w:rFonts w:hint="eastAsia"/>
              </w:rPr>
              <w:t xml:space="preserve">（2）投保事项及保险政策知情率100%得0.5分，低于100%得0分；</w:t>
            </w:r>
            <w:r/>
          </w:p>
          <w:p>
            <w:pPr>
              <w:spacing w:line="360" w:lineRule="auto"/>
            </w:pPr>
            <w:r>
              <w:rPr>
                <w:rFonts w:hint="eastAsia"/>
              </w:rPr>
              <w:t xml:space="preserve">（3）理赔投诉件不高于2件得0.5分，高于2件得0分；</w:t>
            </w:r>
            <w:r/>
          </w:p>
          <w:p>
            <w:pPr>
              <w:spacing w:line="360" w:lineRule="auto"/>
            </w:pPr>
            <w:r>
              <w:rPr>
                <w:rFonts w:hint="eastAsia"/>
              </w:rPr>
              <w:t xml:space="preserve">（4）服务满意度不低于95%得0.5分，低于95%得0分；</w:t>
            </w:r>
            <w:r/>
          </w:p>
          <w:p>
            <w:pPr>
              <w:spacing w:line="360" w:lineRule="auto"/>
              <w:rPr>
                <w:b/>
                <w:bCs/>
              </w:rPr>
            </w:pPr>
            <w:r>
              <w:rPr>
                <w:rFonts w:hint="eastAsia"/>
                <w:b/>
                <w:bCs/>
              </w:rPr>
              <w:t xml:space="preserve">备注：供应商须提供书面承诺书原件扫描件上传，格式自拟</w:t>
            </w:r>
            <w:r/>
          </w:p>
        </w:tc>
      </w:tr>
    </w:tbl>
    <w:p>
      <w:pPr>
        <w:keepLines w:val="0"/>
        <w:keepNext w:val="0"/>
        <w:pageBreakBefore w:val="0"/>
        <w:spacing w:line="360" w:lineRule="auto"/>
        <w:widowControl w:val="off"/>
        <w:rPr>
          <w:b/>
          <w:bCs/>
        </w:rPr>
      </w:pPr>
      <w:r>
        <w:rPr>
          <w:b/>
          <w:bCs/>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keepNext/>
        <w:rPr>
          <w:rFonts w:ascii="宋体" w:hAnsi="宋体" w:cs="宋体"/>
          <w:bCs/>
          <w:sz w:val="44"/>
          <w:szCs w:val="28"/>
        </w:rPr>
      </w:pPr>
      <w:r>
        <w:rPr>
          <w:rFonts w:ascii="宋体" w:hAnsi="宋体" w:cs="宋体"/>
          <w:bCs/>
          <w:sz w:val="44"/>
          <w:szCs w:val="28"/>
        </w:rPr>
      </w:r>
      <w:bookmarkEnd w:id="62"/>
      <w:r/>
      <w:bookmarkEnd w:id="63"/>
      <w:r/>
      <w:bookmarkEnd w:id="65"/>
      <w:r/>
      <w:r/>
    </w:p>
    <w:p>
      <w:pPr>
        <w:pStyle w:val="964"/>
        <w:rPr>
          <w:sz w:val="52"/>
        </w:rPr>
      </w:pPr>
      <w:r/>
      <w:bookmarkStart w:id="73" w:name="_Toc17424"/>
      <w:r/>
      <w:bookmarkStart w:id="74" w:name="_Toc17661"/>
      <w:r>
        <w:rPr>
          <w:rFonts w:hint="eastAsia" w:ascii="宋体" w:hAnsi="宋体" w:cs="宋体"/>
          <w:szCs w:val="28"/>
        </w:rPr>
        <w:t xml:space="preserve">第六章  </w:t>
      </w:r>
      <w:bookmarkEnd w:id="73"/>
      <w:r>
        <w:rPr>
          <w:rFonts w:hint="eastAsia"/>
        </w:rPr>
        <w:t xml:space="preserve">竞争性磋商响应文件格式</w:t>
      </w:r>
      <w:bookmarkEnd w:id="74"/>
      <w:r/>
      <w:r/>
    </w:p>
    <w:p>
      <w:r>
        <w:rPr>
          <w:rFonts w:hint="eastAsia"/>
        </w:rPr>
        <w:t xml:space="preserve"> </w:t>
      </w:r>
      <w:r/>
    </w:p>
    <w:p>
      <w:pPr>
        <w:jc w:val="center"/>
        <w:rPr>
          <w:rFonts w:ascii="宋体" w:hAnsi="宋体" w:cs="宋体"/>
          <w:b/>
          <w:sz w:val="72"/>
          <w:szCs w:val="21"/>
        </w:rPr>
      </w:pPr>
      <w:r/>
      <w:bookmarkStart w:id="75" w:name="_Hlt26955039"/>
      <w:r/>
      <w:bookmarkEnd w:id="75"/>
      <w:r/>
      <w:bookmarkStart w:id="76" w:name="_Hlt26671244"/>
      <w:r/>
      <w:bookmarkEnd w:id="76"/>
      <w:r/>
      <w:bookmarkStart w:id="77" w:name="_Toc49090576"/>
      <w:r/>
      <w:bookmarkStart w:id="78" w:name="_Toc120614282"/>
      <w:r/>
      <w:bookmarkStart w:id="79" w:name="_Toc26554094"/>
      <w:r/>
      <w:r/>
    </w:p>
    <w:p>
      <w:pPr>
        <w:jc w:val="center"/>
        <w:rPr>
          <w:rFonts w:ascii="宋体" w:hAnsi="宋体" w:cs="宋体"/>
          <w:b/>
          <w:sz w:val="72"/>
          <w:szCs w:val="21"/>
        </w:rPr>
      </w:pPr>
      <w:r>
        <w:rPr>
          <w:rFonts w:hint="eastAsia" w:ascii="宋体" w:hAnsi="宋体" w:cs="宋体"/>
          <w:b/>
          <w:bCs/>
          <w:sz w:val="72"/>
          <w:szCs w:val="72"/>
        </w:rPr>
        <w:t xml:space="preserve">竞争性磋商响应文件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ascii="宋体" w:hAnsi="宋体" w:cs="宋体"/>
          <w:b/>
          <w:bCs/>
          <w:sz w:val="32"/>
          <w:szCs w:val="32"/>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spacing w:line="440" w:lineRule="exact"/>
        <w:rPr>
          <w:rFonts w:ascii="宋体" w:hAnsi="宋体" w:cs="宋体"/>
          <w:szCs w:val="21"/>
        </w:rPr>
      </w:pPr>
      <w:r>
        <w:rPr>
          <w:rFonts w:ascii="宋体" w:hAnsi="宋体" w:cs="宋体"/>
          <w:szCs w:val="21"/>
        </w:rPr>
      </w:r>
      <w:r/>
    </w:p>
    <w:p>
      <w:pPr>
        <w:rPr>
          <w:rFonts w:ascii="宋体" w:hAnsi="宋体" w:cs="宋体"/>
          <w:b/>
          <w:bCs/>
          <w:sz w:val="32"/>
          <w:szCs w:val="32"/>
        </w:rPr>
      </w:pPr>
      <w:r>
        <w:rPr>
          <w:rFonts w:hint="eastAsia" w:ascii="宋体" w:hAnsi="宋体" w:cs="宋体"/>
          <w:b/>
          <w:sz w:val="36"/>
          <w:szCs w:val="21"/>
        </w:rPr>
        <w:br w:type="page" w:clear="all"/>
      </w:r>
      <w:bookmarkEnd w:id="77"/>
      <w:r/>
      <w:bookmarkEnd w:id="78"/>
      <w:r/>
      <w:bookmarkEnd w:id="79"/>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磋商主要文件目录</w:t>
      </w:r>
      <w:r/>
    </w:p>
    <w:p>
      <w:pPr>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一、资格审查响应对照表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二、符合性审查响应对照表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三、非实质性响应对照表</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四</w:t>
      </w:r>
      <w:r>
        <w:rPr>
          <w:rFonts w:hint="eastAsia" w:ascii="宋体" w:hAnsi="宋体" w:cs="宋体"/>
          <w:b/>
          <w:bCs/>
          <w:color w:val="000000"/>
          <w:sz w:val="24"/>
          <w:highlight w:val="none"/>
        </w:rPr>
        <w:t xml:space="preserve">、</w:t>
      </w:r>
      <w:r>
        <w:rPr>
          <w:rFonts w:hint="eastAsia" w:ascii="宋体" w:hAnsi="宋体" w:cs="宋体"/>
          <w:i/>
          <w:color w:val="000000"/>
          <w:sz w:val="24"/>
          <w:highlight w:val="none"/>
          <w:u w:val="single"/>
        </w:rPr>
        <w:t xml:space="preserve">磋商响应报价表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color w:val="000000"/>
          <w:sz w:val="24"/>
          <w:szCs w:val="24"/>
          <w:highlight w:val="none"/>
        </w:rPr>
        <w:t xml:space="preserve">技术参数响应及偏离表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商务条款响应及偏离表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七、其他 （供应商认为有必要提供的声明和文件，如有自拟并自行添加）</w:t>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p>
    <w:tbl>
      <w:tblPr>
        <w:tblStyle w:val="76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790"/>
        <w:gridCol w:w="1553"/>
      </w:tblGrid>
      <w:tr>
        <w:trPr>
          <w:trHeight w:val="647"/>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790"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55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p>
        </w:tc>
        <w:tc>
          <w:tcPr>
            <w:tcW w:w="155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w:t>
            </w:r>
            <w:r/>
          </w:p>
        </w:tc>
        <w:tc>
          <w:tcPr>
            <w:tcW w:w="579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6</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7</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8</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738"/>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5790" w:type="dxa"/>
            <w:vAlign w:val="center"/>
            <w:textDirection w:val="lrTb"/>
            <w:noWrap w:val="false"/>
          </w:tcPr>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eastAsia="宋体" w:cs="宋体"/>
                <w:color w:val="000000"/>
                <w:szCs w:val="21"/>
                <w:highlight w:val="none"/>
                <w:lang w:eastAsia="zh-CN"/>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tc>
        <w:tc>
          <w:tcPr>
            <w:tcW w:w="1553" w:type="dxa"/>
            <w:vAlign w:val="center"/>
            <w:textDirection w:val="lrTb"/>
            <w:noWrap w:val="false"/>
          </w:tcPr>
          <w:p>
            <w:pPr>
              <w:pStyle w:val="965"/>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其他资格条件</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磋商响应函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法人授权书</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before="156" w:after="156"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具备履行合同所必需的设备和专业技术能力的书面声明</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p>
    <w:p>
      <w:pPr>
        <w:jc w:val="center"/>
        <w:spacing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参加本次政府采购活动前 3 年内在经营活动中没有重大违法记录的书面声明</w:t>
      </w:r>
      <w:r/>
    </w:p>
    <w:p>
      <w:pPr>
        <w:spacing w:line="360" w:lineRule="auto"/>
        <w:rPr>
          <w:rFonts w:ascii="宋体" w:hAnsi="宋体" w:cs="宋体"/>
          <w:color w:val="000000"/>
          <w:highlight w:val="none"/>
        </w:rPr>
      </w:pPr>
      <w:r>
        <w:rPr>
          <w:rFonts w:ascii="宋体" w:hAnsi="宋体" w:cs="宋体"/>
          <w:color w:val="000000"/>
          <w:highlight w:val="none"/>
        </w:rPr>
      </w:r>
      <w:r/>
    </w:p>
    <w:p>
      <w:pPr>
        <w:jc w:val="center"/>
        <w:spacing w:after="312" w:line="360" w:lineRule="auto"/>
        <w:rPr>
          <w:rFonts w:ascii="宋体" w:hAnsi="宋体" w:cs="宋体"/>
          <w:b/>
          <w:bCs/>
          <w:color w:val="000000"/>
          <w:highlight w:val="none"/>
        </w:rPr>
      </w:pPr>
      <w:r>
        <w:rPr>
          <w:rFonts w:hint="eastAsia" w:ascii="宋体" w:hAnsi="宋体" w:cs="宋体"/>
          <w:b/>
          <w:bCs/>
          <w:color w:val="000000"/>
          <w:highlight w:val="none"/>
        </w:rPr>
        <w:t xml:space="preserve">声  明</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供应商名称（公章）：</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法定代表人签章：_______________________</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日期：</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rPr>
        <w:t xml:space="preserve">年    月    日</w:t>
      </w:r>
      <w:r/>
    </w:p>
    <w:p>
      <w:pPr>
        <w:spacing w:line="360" w:lineRule="auto"/>
        <w:rPr>
          <w:rFonts w:ascii="宋体" w:hAnsi="宋体" w:cs="宋体"/>
          <w:b/>
          <w:bCs/>
          <w:color w:val="000000"/>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供应商信用承诺书</w:t>
      </w:r>
      <w:r/>
    </w:p>
    <w:p>
      <w:pPr>
        <w:spacing w:line="360" w:lineRule="auto"/>
        <w:rPr>
          <w:rFonts w:ascii="宋体" w:hAnsi="宋体" w:cs="宋体"/>
          <w:color w:val="000000"/>
          <w:szCs w:val="32"/>
          <w:highlight w:val="none"/>
        </w:rPr>
      </w:pPr>
      <w:r>
        <w:rPr>
          <w:rFonts w:ascii="宋体" w:hAnsi="宋体" w:cs="宋体"/>
          <w:color w:val="000000"/>
          <w:szCs w:val="32"/>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承诺单位（签章）：           </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法定代表人（负责人）：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360" w:lineRule="auto"/>
        <w:rPr>
          <w:rFonts w:ascii="宋体" w:hAnsi="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highlight w:val="none"/>
        </w:rPr>
      </w:pPr>
      <w:r>
        <w:rPr>
          <w:rFonts w:hint="eastAsia" w:ascii="宋体" w:hAnsi="宋体" w:cs="宋体"/>
          <w:b/>
          <w:color w:val="000000"/>
          <w:highlight w:val="none"/>
        </w:rPr>
        <w:t xml:space="preserve">磋商响应函</w:t>
      </w:r>
      <w:r/>
    </w:p>
    <w:p>
      <w:pPr>
        <w:pStyle w:val="966"/>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扬州市城市规划设计研究院有限责任公司</w:t>
      </w:r>
      <w:r/>
    </w:p>
    <w:p>
      <w:pPr>
        <w:pStyle w:val="966"/>
        <w:ind w:firstLine="84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根据贵方的号磋商文件，正式授权下述签字人_________ (姓名和职务)代表我方______________（供应商的名称），全权处理本次项目磋商采购的有关事宜。</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966"/>
        <w:ind w:firstLine="0"/>
        <w:jc w:val="center"/>
        <w:spacing w:after="312"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法人授权书</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被授权人姓名：_______________________     </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p>
    <w:p>
      <w:pPr>
        <w:pStyle w:val="966"/>
        <w:ind w:firstLine="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单位名称：____________________________________</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p>
    <w:p>
      <w:pPr>
        <w:spacing w:line="360" w:lineRule="auto"/>
        <w:rPr>
          <w:rFonts w:ascii="宋体" w:hAnsi="宋体" w:cs="宋体"/>
          <w:bCs/>
          <w:color w:val="000000"/>
          <w:highlight w:val="none"/>
        </w:rPr>
      </w:pPr>
      <w:r>
        <w:rPr>
          <w:rFonts w:ascii="宋体" w:hAnsi="宋体" w:cs="宋体"/>
          <w:bCs/>
          <w:color w:val="000000"/>
          <w:highlight w:val="none"/>
        </w:rPr>
      </w:r>
      <w:r/>
    </w:p>
    <w:p>
      <w:pPr>
        <w:ind w:firstLine="420"/>
        <w:spacing w:line="360" w:lineRule="auto"/>
        <w:rPr>
          <w:rFonts w:ascii="宋体" w:hAnsi="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highlight w:val="none"/>
        </w:rPr>
        <w:t xml:space="preserve">被授权人身份证复印件</w:t>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符合性审查响应对照表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w:t>
            </w:r>
            <w:r>
              <w:rPr>
                <w:rFonts w:hint="eastAsia" w:ascii="宋体" w:hAnsi="宋体"/>
                <w:iCs/>
                <w:color w:val="000000"/>
                <w:szCs w:val="21"/>
              </w:rPr>
              <w:t xml:space="preserve">（</w:t>
            </w:r>
            <w:r>
              <w:rPr>
                <w:rFonts w:hint="eastAsia" w:ascii="宋体" w:hAnsi="宋体" w:cs="宋体"/>
                <w:iCs/>
                <w:szCs w:val="21"/>
                <w:highlight w:val="none"/>
              </w:rPr>
              <w:t xml:space="preserve">即加斜体下划线内容，每条详细列出</w:t>
            </w:r>
            <w:r>
              <w:rPr>
                <w:rFonts w:hint="eastAsia" w:ascii="宋体" w:hAnsi="宋体"/>
                <w:iCs/>
                <w:color w:val="000000"/>
                <w:szCs w:val="21"/>
              </w:rPr>
              <w:t xml:space="preserve">）</w:t>
            </w:r>
            <w:r/>
          </w:p>
        </w:tc>
        <w:tc>
          <w:tcPr>
            <w:tcW w:w="194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contextualSpacing/>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非实质性响应对照表</w:t>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000000"/>
                <w:szCs w:val="21"/>
                <w:highlight w:val="none"/>
              </w:rPr>
            </w:pPr>
            <w:r>
              <w:rPr>
                <w:rFonts w:hint="eastAsia" w:ascii="宋体" w:hAnsi="宋体" w:cs="宋体"/>
                <w:bCs/>
                <w:color w:val="000000"/>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65"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b/>
          <w:bCs/>
          <w:color w:val="000000"/>
          <w:highlight w:val="none"/>
        </w:rPr>
      </w:pPr>
      <w:r>
        <w:rPr>
          <w:rFonts w:ascii="宋体" w:hAnsi="宋体" w:cs="宋体"/>
          <w:b/>
          <w:bCs/>
          <w:color w:val="000000"/>
          <w:highlight w:val="none"/>
        </w:rPr>
      </w:r>
      <w:r/>
    </w:p>
    <w:p>
      <w:pPr>
        <w:jc w:val="center"/>
        <w:rPr>
          <w:b/>
          <w:bCs/>
        </w:rPr>
      </w:pPr>
      <w:r>
        <w:rPr>
          <w:rFonts w:hint="eastAsia" w:ascii="宋体" w:hAnsi="宋体" w:cs="宋体"/>
          <w:b/>
          <w:bCs/>
          <w:color w:val="000000"/>
          <w:highlight w:val="none"/>
        </w:rPr>
        <w:br w:type="page" w:clear="all"/>
      </w:r>
      <w:r>
        <w:rPr>
          <w:rFonts w:hint="eastAsia"/>
          <w:b/>
          <w:bCs/>
        </w:rPr>
        <w:t xml:space="preserve">中小企业声明函（工程、服务）</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bCs/>
          <w:color w:val="000000"/>
          <w:szCs w:val="21"/>
          <w:highlight w:val="none"/>
          <w:u w:val="single"/>
        </w:rPr>
        <w:t xml:space="preserve">租赁和商务服务业</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 ，属于</w:t>
      </w:r>
      <w:r>
        <w:rPr>
          <w:rFonts w:hint="eastAsia" w:ascii="宋体" w:hAnsi="宋体" w:cs="宋体"/>
          <w:color w:val="000000"/>
          <w:highlight w:val="none"/>
          <w:u w:val="single"/>
        </w:rPr>
        <w:t xml:space="preserve">（采购文件中明确的所属行业）（该行业类别不可修改）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p>
    <w:p>
      <w:pPr>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p>
    <w:p>
      <w:pPr>
        <w:spacing w:line="360" w:lineRule="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企业名称（盖章）：</w:t>
      </w:r>
      <w:r/>
    </w:p>
    <w:p>
      <w:pPr>
        <w:ind w:firstLine="46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日 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b/>
          <w:bCs/>
        </w:rPr>
      </w:pPr>
      <w:r/>
      <w:bookmarkStart w:id="80" w:name="_Toc109304977"/>
      <w:r>
        <w:rPr>
          <w:rFonts w:hint="eastAsia"/>
          <w:b/>
          <w:bCs/>
        </w:rPr>
        <w:t xml:space="preserve">中小微企业划型标准</w:t>
      </w:r>
      <w:bookmarkEnd w:id="80"/>
      <w:r/>
      <w:r/>
    </w:p>
    <w:p>
      <w:pPr>
        <w:pStyle w:val="967"/>
        <w:ind w:firstLine="420"/>
        <w:spacing w:before="300" w:after="452"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中小微企业划型标准如下：</w:t>
      </w:r>
      <w:r/>
    </w:p>
    <w:tbl>
      <w:tblPr>
        <w:tblStyle w:val="76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bl>
    <w:p>
      <w:pPr>
        <w:pStyle w:val="967"/>
        <w:ind w:firstLine="420"/>
        <w:spacing w:before="300" w:after="452" w:line="360" w:lineRule="auto"/>
        <w:widowControl/>
        <w:rPr>
          <w:rStyle w:val="968"/>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000000"/>
          <w:highlight w:val="none"/>
        </w:rPr>
      </w:pPr>
      <w:r>
        <w:rPr>
          <w:rStyle w:val="968"/>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p>
    <w:p>
      <w:pPr>
        <w:ind w:firstLine="624"/>
        <w:spacing w:line="360" w:lineRule="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ind w:right="1560" w:firstLine="444"/>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四、磋商响应报价表</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供应商全称（加盖CA电子签章）：</w:t>
      </w:r>
      <w:r/>
    </w:p>
    <w:p>
      <w:pPr>
        <w:ind w:firstLine="482"/>
        <w:keepLines w:val="0"/>
        <w:keepNext w:val="0"/>
        <w:pageBreakBefore w:val="0"/>
        <w:spacing w:line="360" w:lineRule="auto"/>
        <w:widowControl w:val="off"/>
        <w:rPr>
          <w:sz w:val="24"/>
          <w:szCs w:val="24"/>
        </w:rPr>
      </w:pPr>
      <w:r>
        <w:rPr>
          <w:rFonts w:hint="eastAsia" w:ascii="宋体" w:hAnsi="宋体"/>
          <w:sz w:val="24"/>
          <w:szCs w:val="24"/>
        </w:rPr>
        <w:t xml:space="preserve">项目名称：</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7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5124"/>
        <w:gridCol w:w="2185"/>
      </w:tblGrid>
      <w:tr>
        <w:trPr>
          <w:cantSplit/>
          <w:jc w:val="center"/>
          <w:trHeight w:val="1071"/>
        </w:trPr>
        <w:tc>
          <w:tcPr>
            <w:tcW w:w="1210"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5124"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185"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669"/>
        </w:trPr>
        <w:tc>
          <w:tcPr>
            <w:tcW w:w="1210"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c>
          <w:tcPr>
            <w:tcW w:w="5124"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962"/>
              <w:ind w:left="0" w:firstLine="0"/>
            </w:pPr>
            <w:r>
              <w:rPr>
                <w:rFonts w:hint="eastAsia"/>
              </w:rPr>
              <w:t xml:space="preserve">小写：                 （人民币</w:t>
            </w:r>
            <w:r>
              <w:rPr>
                <w:rFonts w:hint="eastAsia"/>
                <w:lang w:eastAsia="zh-CN"/>
              </w:rPr>
              <w:t xml:space="preserve">：</w:t>
            </w:r>
            <w:r>
              <w:rPr>
                <w:rFonts w:hint="eastAsia"/>
              </w:rPr>
              <w:t xml:space="preserve">圆）</w:t>
            </w:r>
            <w:r/>
          </w:p>
        </w:tc>
        <w:tc>
          <w:tcPr>
            <w:tcW w:w="2185" w:type="dxa"/>
            <w:vAlign w:val="center"/>
            <w:textDirection w:val="lrTb"/>
            <w:noWrap w:val="false"/>
          </w:tcPr>
          <w:p>
            <w:pPr>
              <w:pStyle w:val="962"/>
            </w:pPr>
            <w:r/>
            <w:r/>
          </w:p>
        </w:tc>
      </w:tr>
      <w:tr>
        <w:trPr>
          <w:cantSplit/>
          <w:jc w:val="center"/>
          <w:trHeight w:val="897"/>
        </w:trPr>
        <w:tc>
          <w:tcPr>
            <w:tcW w:w="1210" w:type="dxa"/>
            <w:vAlign w:val="center"/>
            <w:textDirection w:val="lrTb"/>
            <w:noWrap w:val="false"/>
          </w:tcPr>
          <w:p>
            <w:pPr>
              <w:pStyle w:val="96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hint="eastAsia" w:ascii="宋体" w:hAnsi="宋体" w:cs="宋体"/>
          <w:color w:val="000000"/>
          <w:highlight w:val="none"/>
        </w:rPr>
        <w:br w:type="page" w:clear="all"/>
      </w:r>
      <w:r/>
    </w:p>
    <w:p>
      <w:pPr>
        <w:jc w:val="center"/>
        <w:rPr>
          <w:rFonts w:hint="eastAsia"/>
          <w:b/>
          <w:bCs/>
          <w:sz w:val="32"/>
          <w:szCs w:val="32"/>
          <w:lang w:val="en-US" w:eastAsia="zh-CN"/>
        </w:rPr>
      </w:pPr>
      <w:r/>
      <w:bookmarkStart w:id="81" w:name="_Toc109304978"/>
      <w:r>
        <w:rPr>
          <w:rFonts w:hint="eastAsia"/>
          <w:b/>
          <w:bCs/>
          <w:sz w:val="32"/>
          <w:szCs w:val="32"/>
          <w:lang w:val="en-US" w:eastAsia="zh-CN"/>
        </w:rPr>
        <w:t xml:space="preserve">五、技术参数响应及偏离表</w:t>
      </w:r>
      <w:bookmarkEnd w:id="81"/>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rPr>
          <w:rFonts w:hint="eastAsia"/>
          <w:lang w:val="en-US" w:eastAsia="zh-CN"/>
        </w:rPr>
      </w:pPr>
      <w:r/>
      <w:bookmarkStart w:id="82" w:name="_Hlt26955054"/>
      <w:r/>
      <w:bookmarkEnd w:id="82"/>
      <w:r/>
      <w:bookmarkStart w:id="83" w:name="_Toc109304979"/>
      <w:r>
        <w:rPr>
          <w:rFonts w:hint="eastAsia"/>
        </w:rPr>
        <w:br w:type="page" w:clear="all"/>
      </w:r>
      <w:bookmarkEnd w:id="83"/>
      <w:r/>
      <w:r/>
    </w:p>
    <w:p>
      <w:pPr>
        <w:jc w:val="center"/>
        <w:rPr>
          <w:b/>
          <w:bCs/>
          <w:sz w:val="32"/>
          <w:szCs w:val="32"/>
          <w:lang w:val="en-US" w:eastAsia="zh-CN"/>
        </w:rPr>
      </w:pPr>
      <w:r>
        <w:rPr>
          <w:rFonts w:hint="eastAsia"/>
          <w:b/>
          <w:bCs/>
          <w:sz w:val="32"/>
          <w:szCs w:val="32"/>
          <w:lang w:val="en-US" w:eastAsia="zh-CN"/>
        </w:rPr>
        <w:t xml:space="preserve">六、商务条款响应及偏离表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line="360" w:lineRule="auto"/>
        <w:widowControl/>
        <w:rPr>
          <w:rFonts w:hint="eastAsia" w:ascii="宋体" w:hAnsi="宋体" w:cs="宋体"/>
          <w:b/>
          <w:color w:val="000000"/>
          <w:highlight w:val="none"/>
        </w:rPr>
      </w:pPr>
      <w:r/>
      <w:bookmarkStart w:id="84" w:name="_Hlt26782999"/>
      <w:r/>
      <w:bookmarkEnd w:id="84"/>
      <w:r/>
      <w:bookmarkStart w:id="85" w:name="_Hlt26671372"/>
      <w:r/>
      <w:bookmarkEnd w:id="85"/>
      <w:r/>
      <w:bookmarkStart w:id="86" w:name="_Hlt26955064"/>
      <w:r/>
      <w:bookmarkEnd w:id="86"/>
      <w:r/>
      <w:bookmarkStart w:id="87" w:name="_Hlt26955056"/>
      <w:r/>
      <w:bookmarkEnd w:id="87"/>
      <w:r/>
      <w:bookmarkStart w:id="88" w:name="_Hlt26671343"/>
      <w:r/>
      <w:bookmarkEnd w:id="88"/>
      <w:r/>
      <w:bookmarkStart w:id="89" w:name="_Hlt26580838"/>
      <w:r/>
      <w:bookmarkEnd w:id="89"/>
      <w:r/>
      <w:bookmarkStart w:id="90" w:name="_Hlt26609391"/>
      <w:r/>
      <w:bookmarkEnd w:id="90"/>
      <w:r/>
      <w:bookmarkStart w:id="91" w:name="_Hlt24879081"/>
      <w:r/>
      <w:bookmarkEnd w:id="91"/>
      <w:r>
        <w:rPr>
          <w:rFonts w:hint="eastAsia" w:ascii="宋体" w:hAnsi="宋体" w:cs="宋体"/>
          <w:b/>
          <w:color w:val="000000"/>
          <w:highlight w:val="none"/>
        </w:rPr>
        <w:br w:type="page" w:clear="all"/>
      </w:r>
      <w:r/>
    </w:p>
    <w:p>
      <w:pPr>
        <w:jc w:val="center"/>
        <w:spacing w:line="360" w:lineRule="auto"/>
        <w:widowControl/>
        <w:rPr>
          <w:rFonts w:ascii="宋体" w:hAnsi="宋体" w:cs="宋体"/>
          <w:b/>
          <w:color w:val="000000"/>
          <w:highlight w:val="none"/>
        </w:rPr>
      </w:pPr>
      <w:r>
        <w:rPr>
          <w:rFonts w:hint="eastAsia" w:ascii="宋体" w:hAnsi="宋体" w:cs="宋体"/>
          <w:b/>
          <w:color w:val="000000"/>
          <w:highlight w:val="none"/>
        </w:rPr>
        <w:t xml:space="preserve">主要标的信息（成交后将公示）</w:t>
      </w:r>
      <w:r/>
    </w:p>
    <w:p>
      <w:pPr>
        <w:spacing w:after="312" w:line="360" w:lineRule="auto"/>
        <w:rPr>
          <w:rFonts w:ascii="宋体" w:hAnsi="宋体" w:cs="宋体"/>
          <w:b/>
          <w:color w:val="000000"/>
          <w:highlight w:val="none"/>
        </w:rPr>
      </w:pPr>
      <w:r>
        <w:rPr>
          <w:rFonts w:hint="eastAsia" w:ascii="宋体" w:hAnsi="宋体" w:cs="宋体"/>
          <w:color w:val="000000"/>
          <w:highlight w:val="none"/>
        </w:rPr>
        <w:t xml:space="preserve">供应商全称：</w:t>
      </w:r>
      <w:r/>
    </w:p>
    <w:tbl>
      <w:tblPr>
        <w:tblStyle w:val="762"/>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p>
        </w:tc>
        <w:tc>
          <w:tcPr>
            <w:tcW w:w="4193"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4327"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pPr>
            <w:r>
              <w:rPr>
                <w:rFonts w:hint="eastAsia" w:ascii="宋体" w:hAnsi="宋体" w:cs="宋体"/>
                <w:color w:val="000000"/>
                <w:highlight w:val="none"/>
              </w:rPr>
              <w:t xml:space="preserve">单价：</w:t>
            </w:r>
            <w:r/>
          </w:p>
        </w:tc>
        <w:tc>
          <w:tcPr>
            <w:tcW w:w="4193"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bCs/>
          <w:color w:val="000000"/>
          <w:highlight w:val="none"/>
        </w:rPr>
      </w:pPr>
      <w:r>
        <w:rPr>
          <w:rFonts w:ascii="宋体" w:hAnsi="宋体" w:cs="宋体"/>
          <w:b/>
          <w:bCs/>
          <w:color w:val="000000"/>
          <w:highlight w:val="none"/>
        </w:rPr>
      </w:r>
      <w:r/>
    </w:p>
    <w:p>
      <w:pPr>
        <w:ind w:firstLine="21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联合体协议（如有）</w:t>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（联合体中各供应商全称）在此达成以下协议：</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1、我们自愿组成联合体，参加（代理公司）组织的采购编号为（项目编号）（项目全称）的政府采购活动。</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t xml:space="preserve"> </w:t>
      </w:r>
      <w:r/>
    </w:p>
    <w:p>
      <w:pPr>
        <w:ind w:firstLine="4620"/>
        <w:spacing w:line="360" w:lineRule="auto"/>
        <w:rPr>
          <w:rFonts w:ascii="宋体" w:hAnsi="宋体" w:cs="宋体"/>
          <w:color w:val="000000"/>
          <w:highlight w:val="none"/>
        </w:rPr>
      </w:pPr>
      <w:r>
        <w:rPr>
          <w:rFonts w:hint="eastAsia" w:ascii="宋体" w:hAnsi="宋体" w:cs="宋体"/>
          <w:color w:val="000000"/>
          <w:highlight w:val="none"/>
        </w:rPr>
        <w:t xml:space="preserve">所有供应商全称：</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                                      法定代表人：  </w:t>
      </w:r>
      <w:r/>
    </w:p>
    <w:p>
      <w:pPr>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                                             日期：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b/>
          <w:bCs/>
          <w:sz w:val="32"/>
          <w:szCs w:val="32"/>
          <w:lang w:val="en-US" w:eastAsia="zh-CN"/>
        </w:rPr>
      </w:pPr>
      <w:r>
        <w:rPr>
          <w:rFonts w:hint="eastAsia"/>
          <w:b/>
          <w:bCs/>
          <w:sz w:val="32"/>
          <w:szCs w:val="32"/>
          <w:lang w:val="en-US" w:eastAsia="zh-CN"/>
        </w:rPr>
        <w:t xml:space="preserve">七、其他 （供应商认为有必要提供的声明和文件，如有自拟并自行添加）</w:t>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63"/>
        <w:rPr>
          <w:rFonts w:hint="eastAsia" w:ascii="宋体" w:hAnsi="宋体" w:cs="宋体"/>
          <w:color w:val="000000"/>
          <w:highlight w:val="none"/>
        </w:rPr>
      </w:pPr>
      <w:r>
        <w:rPr>
          <w:rFonts w:hint="eastAsia" w:ascii="宋体" w:hAnsi="宋体" w:cs="宋体"/>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Courier New">
    <w:panose1 w:val="02070309020205020404"/>
  </w:font>
  <w:font w:name="Calibri Light">
    <w:panose1 w:val="020F030202020403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cs="宋体"/>
        <w:i w:val="0"/>
        <w:iCs w:val="0"/>
        <w:caps w:val="0"/>
        <w:spacing w:val="0"/>
        <w:sz w:val="18"/>
        <w:szCs w:val="18"/>
        <w:shd w:val="clear" w:color="auto" w:fill="ffffff"/>
        <w:lang w:eastAsia="zh-CN"/>
      </w:rPr>
      <w:t xml:space="preserve">JSZC-321000-GHSJ-C2025-000</w:t>
    </w:r>
    <w:r>
      <w:rPr>
        <w:rFonts w:hint="eastAsia" w:ascii="宋体" w:hAnsi="宋体" w:cs="宋体"/>
        <w:i w:val="0"/>
        <w:iCs w:val="0"/>
        <w:caps w:val="0"/>
        <w:spacing w:val="0"/>
        <w:sz w:val="18"/>
        <w:szCs w:val="18"/>
        <w:shd w:val="clear" w:color="auto" w:fill="ffffff"/>
        <w:lang w:val="en-US" w:eastAsia="zh-CN"/>
      </w:rPr>
      <w:t xml:space="preserve">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szCs w:val="22"/>
        <w:lang w:eastAsia="zh-CN"/>
      </w:rPr>
    </w:pPr>
    <w:r>
      <w:rPr>
        <w:rFonts w:hint="eastAsia" w:ascii="宋体" w:hAnsi="宋体" w:cs="宋体"/>
        <w:color w:val="000000"/>
        <w:szCs w:val="21"/>
        <w:lang w:val="en-US"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58"/>
      <w:isLgl w:val="false"/>
      <w:suff w:val="tab"/>
      <w:lvlText w:val=""/>
      <w:lvlJc w:val="left"/>
      <w:pPr>
        <w:ind w:left="2907" w:hanging="360"/>
        <w:tabs>
          <w:tab w:val="left" w:pos="2907" w:leader="none"/>
        </w:tabs>
      </w:pPr>
      <w:rPr>
        <w:rFonts w:ascii="Wingdings" w:hAnsi="Wingdings"/>
      </w:rPr>
    </w:lvl>
    <w:lvl w:ilvl="1">
      <w:start w:val="1"/>
      <w:numFmt w:val="bullet"/>
      <w:isLgl w:val="false"/>
      <w:suff w:val="tab"/>
      <w:lvlText w:val="o"/>
      <w:lvlJc w:val="left"/>
      <w:pPr>
        <w:ind w:left="3567" w:hanging="360"/>
      </w:pPr>
      <w:rPr>
        <w:rFonts w:ascii="Courier New" w:hAnsi="Courier New" w:eastAsia="Courier New" w:cs="Courier New"/>
      </w:rPr>
    </w:lvl>
    <w:lvl w:ilvl="2">
      <w:start w:val="1"/>
      <w:numFmt w:val="bullet"/>
      <w:isLgl w:val="false"/>
      <w:suff w:val="tab"/>
      <w:lvlText w:val="§"/>
      <w:lvlJc w:val="left"/>
      <w:pPr>
        <w:ind w:left="4287" w:hanging="360"/>
      </w:pPr>
      <w:rPr>
        <w:rFonts w:ascii="Wingdings" w:hAnsi="Wingdings" w:eastAsia="Wingdings" w:cs="Wingdings"/>
      </w:rPr>
    </w:lvl>
    <w:lvl w:ilvl="3">
      <w:start w:val="1"/>
      <w:numFmt w:val="bullet"/>
      <w:isLgl w:val="false"/>
      <w:suff w:val="tab"/>
      <w:lvlText w:val="·"/>
      <w:lvlJc w:val="left"/>
      <w:pPr>
        <w:ind w:left="5007" w:hanging="360"/>
      </w:pPr>
      <w:rPr>
        <w:rFonts w:ascii="Symbol" w:hAnsi="Symbol" w:eastAsia="Symbol" w:cs="Symbol"/>
      </w:rPr>
    </w:lvl>
    <w:lvl w:ilvl="4">
      <w:start w:val="1"/>
      <w:numFmt w:val="bullet"/>
      <w:isLgl w:val="false"/>
      <w:suff w:val="tab"/>
      <w:lvlText w:val="o"/>
      <w:lvlJc w:val="left"/>
      <w:pPr>
        <w:ind w:left="5727" w:hanging="360"/>
      </w:pPr>
      <w:rPr>
        <w:rFonts w:ascii="Courier New" w:hAnsi="Courier New" w:eastAsia="Courier New" w:cs="Courier New"/>
      </w:rPr>
    </w:lvl>
    <w:lvl w:ilvl="5">
      <w:start w:val="1"/>
      <w:numFmt w:val="bullet"/>
      <w:isLgl w:val="false"/>
      <w:suff w:val="tab"/>
      <w:lvlText w:val="§"/>
      <w:lvlJc w:val="left"/>
      <w:pPr>
        <w:ind w:left="6447" w:hanging="360"/>
      </w:pPr>
      <w:rPr>
        <w:rFonts w:ascii="Wingdings" w:hAnsi="Wingdings" w:eastAsia="Wingdings" w:cs="Wingdings"/>
      </w:rPr>
    </w:lvl>
    <w:lvl w:ilvl="6">
      <w:start w:val="1"/>
      <w:numFmt w:val="bullet"/>
      <w:isLgl w:val="false"/>
      <w:suff w:val="tab"/>
      <w:lvlText w:val="·"/>
      <w:lvlJc w:val="left"/>
      <w:pPr>
        <w:ind w:left="7167" w:hanging="360"/>
      </w:pPr>
      <w:rPr>
        <w:rFonts w:ascii="Symbol" w:hAnsi="Symbol" w:eastAsia="Symbol" w:cs="Symbol"/>
      </w:rPr>
    </w:lvl>
    <w:lvl w:ilvl="7">
      <w:start w:val="1"/>
      <w:numFmt w:val="bullet"/>
      <w:isLgl w:val="false"/>
      <w:suff w:val="tab"/>
      <w:lvlText w:val="o"/>
      <w:lvlJc w:val="left"/>
      <w:pPr>
        <w:ind w:left="7887" w:hanging="360"/>
      </w:pPr>
      <w:rPr>
        <w:rFonts w:ascii="Courier New" w:hAnsi="Courier New" w:eastAsia="Courier New" w:cs="Courier New"/>
      </w:rPr>
    </w:lvl>
    <w:lvl w:ilvl="8">
      <w:start w:val="1"/>
      <w:numFmt w:val="bullet"/>
      <w:isLgl w:val="false"/>
      <w:suff w:val="tab"/>
      <w:lvlText w:val="§"/>
      <w:lvlJc w:val="left"/>
      <w:pPr>
        <w:ind w:left="8607" w:hanging="360"/>
      </w:pPr>
      <w:rPr>
        <w:rFonts w:ascii="Wingdings" w:hAnsi="Wingdings" w:eastAsia="Wingdings" w:cs="Wingdings"/>
      </w:rPr>
    </w:lvl>
  </w:abstractNum>
  <w:abstractNum w:abstractNumId="2">
    <w:multiLevelType w:val="hybridMultilevel"/>
    <w:lvl w:ilvl="0">
      <w:start w:val="1"/>
      <w:numFmt w:val="bullet"/>
      <w:pStyle w:val="94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968"/>
    <w:uiPriority w:val="0"/>
    <w:qFormat/>
    <w:pPr>
      <w:jc w:val="both"/>
      <w:widowControl w:val="off"/>
    </w:pPr>
    <w:rPr>
      <w:rFonts w:hint="default" w:ascii="Calibri" w:hAnsi="Calibri" w:eastAsia="宋体" w:cs="Times New Roman"/>
      <w:sz w:val="21"/>
      <w:szCs w:val="22"/>
      <w:lang w:val="en-US" w:eastAsia="zh-CN" w:bidi="ar-SA"/>
    </w:rPr>
  </w:style>
  <w:style w:type="paragraph" w:styleId="752">
    <w:name w:val="Heading 1"/>
    <w:basedOn w:val="751"/>
    <w:next w:val="751"/>
    <w:link w:val="79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缩进）"/>
    <w:basedOn w:val="751"/>
    <w:uiPriority w:val="0"/>
    <w:qFormat/>
    <w:pPr>
      <w:ind w:firstLine="480"/>
      <w:spacing w:before="156" w:after="156"/>
    </w:p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link w:val="940"/>
    <w:uiPriority w:val="99"/>
    <w:semiHidden/>
    <w:unhideWhenUsed/>
    <w:qFormat/>
    <w:pPr>
      <w:spacing w:after="0" w:line="240" w:lineRule="auto"/>
    </w:pPr>
    <w:rPr>
      <w:sz w:val="20"/>
    </w:rPr>
  </w:style>
  <w:style w:type="paragraph" w:styleId="770">
    <w:name w:val="Footer"/>
    <w:basedOn w:val="751"/>
    <w:link w:val="813"/>
    <w:uiPriority w:val="99"/>
    <w:unhideWhenUsed/>
    <w:qFormat/>
    <w:pPr>
      <w:spacing w:after="0" w:line="240" w:lineRule="auto"/>
      <w:tabs>
        <w:tab w:val="center" w:pos="7143" w:leader="none"/>
        <w:tab w:val="right" w:pos="14287" w:leader="none"/>
      </w:tabs>
    </w:pPr>
  </w:style>
  <w:style w:type="paragraph" w:styleId="771">
    <w:name w:val="Header"/>
    <w:basedOn w:val="751"/>
    <w:link w:val="81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link w:val="806"/>
    <w:uiPriority w:val="11"/>
    <w:qFormat/>
    <w:pPr>
      <w:spacing w:before="200" w:after="200"/>
    </w:pPr>
    <w:rPr>
      <w:sz w:val="24"/>
      <w:szCs w:val="24"/>
    </w:rPr>
  </w:style>
  <w:style w:type="paragraph" w:styleId="775">
    <w:name w:val="footnote text"/>
    <w:basedOn w:val="751"/>
    <w:link w:val="939"/>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link w:val="805"/>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character" w:styleId="785" w:customStyle="1">
    <w:name w:val="标题 1 Char"/>
    <w:link w:val="786"/>
    <w:uiPriority w:val="0"/>
    <w:qFormat/>
    <w:rPr>
      <w:rFonts w:ascii="Times New Roman" w:hAnsi="Times New Roman" w:eastAsia="宋体" w:cs="Times New Roman"/>
      <w:b/>
      <w:bCs/>
      <w:sz w:val="32"/>
      <w:szCs w:val="44"/>
    </w:rPr>
  </w:style>
  <w:style w:type="paragraph" w:styleId="786" w:customStyle="1">
    <w:name w:val="标题 111"/>
    <w:basedOn w:val="751"/>
    <w:next w:val="787"/>
    <w:link w:val="785"/>
    <w:uiPriority w:val="0"/>
    <w:qFormat/>
    <w:pPr>
      <w:jc w:val="center"/>
      <w:keepLines/>
      <w:keepNext/>
      <w:spacing w:before="160" w:after="160" w:line="240" w:lineRule="auto"/>
      <w:outlineLvl w:val="0"/>
    </w:pPr>
    <w:rPr>
      <w:rFonts w:ascii="Times New Roman" w:hAnsi="Times New Roman" w:eastAsia="宋体" w:cs="Times New Roman"/>
      <w:b/>
      <w:bCs/>
      <w:sz w:val="32"/>
      <w:szCs w:val="44"/>
    </w:rPr>
  </w:style>
  <w:style w:type="paragraph" w:styleId="787" w:customStyle="1">
    <w:name w:val="正文2"/>
    <w:basedOn w:val="751"/>
    <w:uiPriority w:val="0"/>
    <w:qFormat/>
    <w:pPr>
      <w:ind w:firstLine="420"/>
      <w:spacing w:line="360" w:lineRule="auto"/>
    </w:pPr>
  </w:style>
  <w:style w:type="character" w:styleId="788" w:customStyle="1">
    <w:name w:val="标题 2 Char"/>
    <w:link w:val="789"/>
    <w:uiPriority w:val="0"/>
    <w:qFormat/>
    <w:rPr>
      <w:rFonts w:ascii="Arial" w:hAnsi="Arial" w:eastAsia="宋体" w:cs="Times New Roman"/>
      <w:b/>
      <w:bCs/>
      <w:sz w:val="28"/>
      <w:szCs w:val="32"/>
    </w:rPr>
  </w:style>
  <w:style w:type="paragraph" w:styleId="789" w:customStyle="1">
    <w:name w:val="标题 21"/>
    <w:basedOn w:val="751"/>
    <w:next w:val="751"/>
    <w:link w:val="788"/>
    <w:uiPriority w:val="0"/>
    <w:unhideWhenUsed/>
    <w:qFormat/>
    <w:pPr>
      <w:jc w:val="center"/>
      <w:keepLines/>
      <w:keepNext/>
      <w:spacing w:before="120" w:after="120" w:line="416" w:lineRule="auto"/>
      <w:outlineLvl w:val="1"/>
    </w:pPr>
    <w:rPr>
      <w:rFonts w:ascii="Arial" w:hAnsi="Arial" w:eastAsia="宋体" w:cs="Times New Roman"/>
      <w:b/>
      <w:bCs/>
      <w:sz w:val="28"/>
      <w:szCs w:val="32"/>
    </w:rPr>
  </w:style>
  <w:style w:type="character" w:styleId="790" w:customStyle="1">
    <w:name w:val="标题 3 Char"/>
    <w:link w:val="791"/>
    <w:uiPriority w:val="0"/>
    <w:qFormat/>
    <w:rPr>
      <w:rFonts w:ascii="Times New Roman" w:hAnsi="Times New Roman" w:eastAsia="宋体" w:cs="Times New Roman"/>
      <w:b/>
      <w:sz w:val="20"/>
    </w:rPr>
  </w:style>
  <w:style w:type="paragraph" w:styleId="791" w:customStyle="1">
    <w:name w:val="标题 311"/>
    <w:basedOn w:val="751"/>
    <w:next w:val="751"/>
    <w:link w:val="790"/>
    <w:uiPriority w:val="0"/>
    <w:unhideWhenUsed/>
    <w:qFormat/>
    <w:pPr>
      <w:keepLines/>
      <w:keepNext/>
      <w:spacing w:before="0" w:after="0" w:line="360" w:lineRule="auto"/>
      <w:outlineLvl w:val="2"/>
    </w:pPr>
    <w:rPr>
      <w:rFonts w:ascii="Times New Roman" w:hAnsi="Times New Roman" w:eastAsia="宋体"/>
      <w:b/>
      <w:sz w:val="32"/>
    </w:rPr>
  </w:style>
  <w:style w:type="character" w:styleId="792" w:customStyle="1">
    <w:name w:val="标题 4 Char"/>
    <w:link w:val="793"/>
    <w:uiPriority w:val="0"/>
    <w:semiHidden/>
    <w:qFormat/>
    <w:rPr>
      <w:rFonts w:ascii="Calibri Light" w:hAnsi="Calibri Light" w:eastAsia="宋体"/>
      <w:sz w:val="28"/>
      <w:lang w:val="en-US" w:eastAsia="zh-CN"/>
    </w:rPr>
  </w:style>
  <w:style w:type="paragraph" w:styleId="793" w:customStyle="1">
    <w:name w:val="标题 41"/>
    <w:basedOn w:val="751"/>
    <w:next w:val="751"/>
    <w:link w:val="792"/>
    <w:uiPriority w:val="0"/>
    <w:unhideWhenUsed/>
    <w:qFormat/>
    <w:pPr>
      <w:keepLines/>
      <w:keepNext/>
      <w:spacing w:before="0" w:after="0" w:line="360" w:lineRule="auto"/>
      <w:outlineLvl w:val="3"/>
    </w:pPr>
    <w:rPr>
      <w:rFonts w:ascii="Calibri Light" w:hAnsi="Calibri Light" w:eastAsia="宋体"/>
      <w:sz w:val="28"/>
    </w:rPr>
  </w:style>
  <w:style w:type="character" w:styleId="794" w:customStyle="1">
    <w:name w:val="Heading 1 Char"/>
    <w:link w:val="752"/>
    <w:uiPriority w:val="9"/>
    <w:rPr>
      <w:rFonts w:ascii="Arial" w:hAnsi="Arial" w:eastAsia="Arial" w:cs="Arial"/>
      <w:sz w:val="40"/>
      <w:szCs w:val="40"/>
    </w:rPr>
  </w:style>
  <w:style w:type="character" w:styleId="795" w:customStyle="1">
    <w:name w:val="Heading 2 Char"/>
    <w:link w:val="753"/>
    <w:uiPriority w:val="9"/>
    <w:rPr>
      <w:rFonts w:ascii="Arial" w:hAnsi="Arial" w:eastAsia="Arial" w:cs="Arial"/>
      <w:sz w:val="34"/>
    </w:rPr>
  </w:style>
  <w:style w:type="character" w:styleId="796" w:customStyle="1">
    <w:name w:val="Heading 3 Char"/>
    <w:link w:val="754"/>
    <w:uiPriority w:val="9"/>
    <w:rPr>
      <w:rFonts w:ascii="Arial" w:hAnsi="Arial" w:eastAsia="Arial" w:cs="Arial"/>
      <w:sz w:val="30"/>
      <w:szCs w:val="30"/>
    </w:rPr>
  </w:style>
  <w:style w:type="character" w:styleId="797" w:customStyle="1">
    <w:name w:val="Heading 4 Char"/>
    <w:link w:val="755"/>
    <w:uiPriority w:val="9"/>
    <w:rPr>
      <w:rFonts w:ascii="Arial" w:hAnsi="Arial" w:eastAsia="Arial" w:cs="Arial"/>
      <w:b/>
      <w:bCs/>
      <w:sz w:val="26"/>
      <w:szCs w:val="26"/>
    </w:rPr>
  </w:style>
  <w:style w:type="character" w:styleId="798" w:customStyle="1">
    <w:name w:val="Heading 5 Char"/>
    <w:link w:val="756"/>
    <w:uiPriority w:val="9"/>
    <w:rPr>
      <w:rFonts w:ascii="Arial" w:hAnsi="Arial" w:eastAsia="Arial" w:cs="Arial"/>
      <w:b/>
      <w:bCs/>
      <w:sz w:val="24"/>
      <w:szCs w:val="24"/>
    </w:rPr>
  </w:style>
  <w:style w:type="character" w:styleId="799" w:customStyle="1">
    <w:name w:val="Heading 6 Char"/>
    <w:link w:val="757"/>
    <w:uiPriority w:val="9"/>
    <w:rPr>
      <w:rFonts w:ascii="Arial" w:hAnsi="Arial" w:eastAsia="Arial" w:cs="Arial"/>
      <w:b/>
      <w:bCs/>
      <w:sz w:val="22"/>
      <w:szCs w:val="22"/>
    </w:rPr>
  </w:style>
  <w:style w:type="character" w:styleId="800" w:customStyle="1">
    <w:name w:val="Heading 7 Char"/>
    <w:link w:val="758"/>
    <w:uiPriority w:val="9"/>
    <w:rPr>
      <w:rFonts w:ascii="Arial" w:hAnsi="Arial" w:eastAsia="Arial" w:cs="Arial"/>
      <w:b/>
      <w:bCs/>
      <w:i/>
      <w:iCs/>
      <w:sz w:val="22"/>
      <w:szCs w:val="22"/>
    </w:rPr>
  </w:style>
  <w:style w:type="character" w:styleId="801" w:customStyle="1">
    <w:name w:val="Heading 8 Char"/>
    <w:link w:val="759"/>
    <w:uiPriority w:val="9"/>
    <w:rPr>
      <w:rFonts w:ascii="Arial" w:hAnsi="Arial" w:eastAsia="Arial" w:cs="Arial"/>
      <w:i/>
      <w:iCs/>
      <w:sz w:val="22"/>
      <w:szCs w:val="22"/>
    </w:rPr>
  </w:style>
  <w:style w:type="character" w:styleId="802" w:customStyle="1">
    <w:name w:val="Heading 9 Char"/>
    <w:link w:val="760"/>
    <w:uiPriority w:val="9"/>
    <w:rPr>
      <w:rFonts w:ascii="Arial" w:hAnsi="Arial" w:eastAsia="Arial" w:cs="Arial"/>
      <w:i/>
      <w:iCs/>
      <w:sz w:val="21"/>
      <w:szCs w:val="21"/>
    </w:rPr>
  </w:style>
  <w:style w:type="paragraph" w:styleId="803">
    <w:name w:val="List Paragraph"/>
    <w:basedOn w:val="751"/>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0"/>
    <w:uiPriority w:val="10"/>
    <w:qFormat/>
    <w:rPr>
      <w:sz w:val="48"/>
      <w:szCs w:val="48"/>
    </w:rPr>
  </w:style>
  <w:style w:type="character" w:styleId="806" w:customStyle="1">
    <w:name w:val="Subtitle Char"/>
    <w:link w:val="774"/>
    <w:uiPriority w:val="11"/>
    <w:qFormat/>
    <w:rPr>
      <w:sz w:val="24"/>
      <w:szCs w:val="24"/>
    </w:rPr>
  </w:style>
  <w:style w:type="paragraph" w:styleId="807">
    <w:name w:val="Quote"/>
    <w:basedOn w:val="751"/>
    <w:next w:val="751"/>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1"/>
    <w:next w:val="75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1"/>
    <w:uiPriority w:val="99"/>
    <w:qFormat/>
  </w:style>
  <w:style w:type="character" w:styleId="812" w:customStyle="1">
    <w:name w:val="Footer Char"/>
    <w:link w:val="770"/>
    <w:uiPriority w:val="99"/>
    <w:qFormat/>
  </w:style>
  <w:style w:type="character" w:styleId="813" w:customStyle="1">
    <w:name w:val="Caption Char"/>
    <w:link w:val="770"/>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75"/>
    <w:uiPriority w:val="99"/>
    <w:qFormat/>
    <w:rPr>
      <w:sz w:val="18"/>
    </w:rPr>
  </w:style>
  <w:style w:type="character" w:styleId="940" w:customStyle="1">
    <w:name w:val="Endnote Text Char"/>
    <w:link w:val="769"/>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默认段落字体1"/>
    <w:link w:val="751"/>
    <w:uiPriority w:val="0"/>
    <w:semiHidden/>
    <w:qFormat/>
  </w:style>
  <w:style w:type="table" w:styleId="943" w:customStyle="1">
    <w:name w:val="普通表格1"/>
    <w:uiPriority w:val="0"/>
    <w:semiHidden/>
    <w:qFormat/>
    <w:tblPr/>
  </w:style>
  <w:style w:type="paragraph" w:styleId="944" w:customStyle="1">
    <w:name w:val="列表项目符号 21"/>
    <w:basedOn w:val="751"/>
    <w:uiPriority w:val="0"/>
    <w:qFormat/>
    <w:pPr>
      <w:numPr>
        <w:ilvl w:val="0"/>
        <w:numId w:val="1"/>
      </w:numPr>
    </w:pPr>
  </w:style>
  <w:style w:type="paragraph" w:styleId="945" w:customStyle="1">
    <w:name w:val="纯文本1"/>
    <w:basedOn w:val="751"/>
    <w:uiPriority w:val="0"/>
    <w:qFormat/>
    <w:rPr>
      <w:rFonts w:ascii="宋体" w:hAnsi="Courier New"/>
      <w:sz w:val="20"/>
      <w:szCs w:val="21"/>
      <w:lang w:eastAsia="en-US"/>
    </w:rPr>
  </w:style>
  <w:style w:type="paragraph" w:styleId="946" w:customStyle="1">
    <w:name w:val="页脚1"/>
    <w:basedOn w:val="751"/>
    <w:uiPriority w:val="99"/>
    <w:unhideWhenUsed/>
    <w:qFormat/>
    <w:pPr>
      <w:jc w:val="left"/>
      <w:tabs>
        <w:tab w:val="center" w:pos="4153" w:leader="none"/>
        <w:tab w:val="right" w:pos="8306" w:leader="none"/>
      </w:tabs>
    </w:pPr>
    <w:rPr>
      <w:sz w:val="18"/>
      <w:szCs w:val="18"/>
    </w:rPr>
  </w:style>
  <w:style w:type="paragraph" w:styleId="947" w:customStyle="1">
    <w:name w:val="页眉1"/>
    <w:basedOn w:val="75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8" w:customStyle="1">
    <w:name w:val="目录 11"/>
    <w:basedOn w:val="751"/>
    <w:next w:val="751"/>
    <w:uiPriority w:val="0"/>
    <w:qFormat/>
  </w:style>
  <w:style w:type="paragraph" w:styleId="949" w:customStyle="1">
    <w:name w:val="普通(网站)11"/>
    <w:basedOn w:val="751"/>
    <w:uiPriority w:val="0"/>
    <w:unhideWhenUsed/>
    <w:qFormat/>
    <w:pPr>
      <w:spacing w:before="100" w:beforeAutospacing="1" w:after="100" w:afterAutospacing="1"/>
    </w:pPr>
    <w:rPr>
      <w:rFonts w:ascii="宋体" w:hAnsi="宋体" w:cs="宋体"/>
      <w:sz w:val="24"/>
      <w:szCs w:val="24"/>
    </w:rPr>
  </w:style>
  <w:style w:type="character" w:styleId="950" w:customStyle="1">
    <w:name w:val="强调1"/>
    <w:link w:val="751"/>
    <w:uiPriority w:val="1"/>
    <w:qFormat/>
    <w:rPr>
      <w:i/>
    </w:rPr>
  </w:style>
  <w:style w:type="paragraph" w:styleId="951" w:customStyle="1">
    <w:name w:val="正文1"/>
    <w:basedOn w:val="751"/>
    <w:next w:val="952"/>
    <w:uiPriority w:val="0"/>
    <w:qFormat/>
    <w:pPr>
      <w:jc w:val="left"/>
      <w:spacing w:line="360" w:lineRule="atLeast"/>
    </w:pPr>
    <w:rPr>
      <w:rFonts w:ascii="宋体"/>
      <w:sz w:val="24"/>
      <w:szCs w:val="20"/>
    </w:rPr>
  </w:style>
  <w:style w:type="paragraph" w:styleId="952" w:customStyle="1">
    <w:name w:val="正文文本1"/>
    <w:basedOn w:val="951"/>
    <w:next w:val="953"/>
    <w:uiPriority w:val="0"/>
    <w:qFormat/>
    <w:pPr>
      <w:spacing w:after="120"/>
    </w:pPr>
    <w:rPr>
      <w:lang w:eastAsia="en-US"/>
    </w:rPr>
  </w:style>
  <w:style w:type="paragraph" w:styleId="953" w:customStyle="1">
    <w:name w:val="一级条标题"/>
    <w:basedOn w:val="954"/>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9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5" w:customStyle="1">
    <w:name w:val="正文11"/>
    <w:next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6" w:customStyle="1">
    <w:name w:val="段"/>
    <w:basedOn w:val="951"/>
    <w:next w:val="955"/>
    <w:uiPriority w:val="0"/>
    <w:qFormat/>
    <w:pPr>
      <w:ind w:firstLine="200"/>
      <w:widowControl/>
    </w:pPr>
    <w:rPr>
      <w:sz w:val="20"/>
    </w:rPr>
  </w:style>
  <w:style w:type="paragraph" w:styleId="957" w:customStyle="1">
    <w:name w:val="ListBullet21"/>
    <w:basedOn w:val="751"/>
    <w:uiPriority w:val="0"/>
    <w:qFormat/>
    <w:pPr>
      <w:numPr>
        <w:ilvl w:val="0"/>
        <w:numId w:val="2"/>
      </w:numPr>
      <w:tabs>
        <w:tab w:val="left" w:pos="780" w:leader="none"/>
      </w:tabs>
    </w:pPr>
  </w:style>
  <w:style w:type="paragraph" w:styleId="958" w:customStyle="1">
    <w:name w:val="ListBullet211"/>
    <w:basedOn w:val="751"/>
    <w:uiPriority w:val="0"/>
    <w:qFormat/>
    <w:pPr>
      <w:numPr>
        <w:ilvl w:val="0"/>
        <w:numId w:val="2"/>
      </w:numPr>
    </w:pPr>
  </w:style>
  <w:style w:type="paragraph" w:styleId="959" w:customStyle="1">
    <w:name w:val="正文缩进1"/>
    <w:basedOn w:val="751"/>
    <w:uiPriority w:val="0"/>
    <w:unhideWhenUsed/>
    <w:qFormat/>
    <w:pPr>
      <w:ind w:firstLine="420"/>
    </w:pPr>
  </w:style>
  <w:style w:type="paragraph" w:styleId="960" w:customStyle="1">
    <w:name w:val="纯文本11"/>
    <w:basedOn w:val="751"/>
    <w:uiPriority w:val="0"/>
    <w:unhideWhenUsed/>
    <w:qFormat/>
    <w:rPr>
      <w:rFonts w:ascii="宋体" w:hAnsi="Courier New"/>
      <w:sz w:val="20"/>
      <w:szCs w:val="20"/>
    </w:rPr>
  </w:style>
  <w:style w:type="paragraph" w:styleId="961" w:customStyle="1">
    <w:name w:val="Default"/>
    <w:next w:val="751"/>
    <w:uiPriority w:val="0"/>
    <w:qFormat/>
    <w:pPr>
      <w:widowControl w:val="off"/>
    </w:pPr>
    <w:rPr>
      <w:rFonts w:hint="default" w:ascii="宋体" w:hAnsi="宋体" w:eastAsia="宋体" w:cs="Times New Roman"/>
      <w:color w:val="000000"/>
      <w:sz w:val="24"/>
      <w:szCs w:val="22"/>
      <w:lang w:val="en-US" w:eastAsia="zh-CN" w:bidi="ar-SA"/>
    </w:rPr>
  </w:style>
  <w:style w:type="paragraph" w:styleId="962" w:customStyle="1">
    <w:name w:val="普通正文"/>
    <w:basedOn w:val="951"/>
    <w:uiPriority w:val="0"/>
    <w:qFormat/>
    <w:pPr>
      <w:ind w:firstLine="480"/>
      <w:spacing w:before="120" w:after="120" w:line="360" w:lineRule="auto"/>
    </w:pPr>
    <w:rPr>
      <w:rFonts w:ascii="Arial" w:hAnsi="Arial"/>
      <w:szCs w:val="24"/>
    </w:rPr>
  </w:style>
  <w:style w:type="paragraph" w:styleId="963" w:customStyle="1">
    <w:name w:val="BodyText1"/>
    <w:basedOn w:val="751"/>
    <w:uiPriority w:val="0"/>
    <w:qFormat/>
    <w:rPr>
      <w:rFonts w:ascii="楷体_GB2312" w:hAnsi="Arial" w:eastAsia="楷体_GB2312"/>
      <w:sz w:val="28"/>
      <w:szCs w:val="28"/>
    </w:rPr>
  </w:style>
  <w:style w:type="paragraph" w:styleId="964" w:customStyle="1">
    <w:name w:val="标题 11"/>
    <w:basedOn w:val="751"/>
    <w:next w:val="751"/>
    <w:uiPriority w:val="99"/>
    <w:qFormat/>
    <w:pPr>
      <w:jc w:val="center"/>
      <w:keepLines/>
      <w:keepNext/>
      <w:spacing w:before="340" w:after="330" w:line="360" w:lineRule="auto"/>
      <w:outlineLvl w:val="0"/>
    </w:pPr>
    <w:rPr>
      <w:b/>
      <w:bCs/>
      <w:sz w:val="44"/>
      <w:szCs w:val="44"/>
    </w:rPr>
  </w:style>
  <w:style w:type="paragraph" w:styleId="965" w:customStyle="1">
    <w:name w:val="标题 31"/>
    <w:basedOn w:val="751"/>
    <w:next w:val="751"/>
    <w:uiPriority w:val="0"/>
    <w:qFormat/>
    <w:pPr>
      <w:keepLines/>
      <w:keepNext/>
      <w:spacing w:before="260" w:after="260" w:line="416" w:lineRule="auto"/>
      <w:outlineLvl w:val="2"/>
    </w:pPr>
    <w:rPr>
      <w:rFonts w:ascii="Calibri" w:hAnsi="Calibri"/>
      <w:b/>
      <w:bCs/>
      <w:sz w:val="32"/>
      <w:szCs w:val="32"/>
    </w:rPr>
  </w:style>
  <w:style w:type="paragraph" w:styleId="966" w:customStyle="1">
    <w:name w:val="Char"/>
    <w:basedOn w:val="751"/>
    <w:uiPriority w:val="0"/>
    <w:qFormat/>
    <w:pPr>
      <w:ind w:firstLine="200"/>
      <w:tabs>
        <w:tab w:val="left" w:pos="360" w:leader="none"/>
      </w:tabs>
    </w:pPr>
    <w:rPr>
      <w:sz w:val="28"/>
      <w:szCs w:val="30"/>
    </w:rPr>
  </w:style>
  <w:style w:type="paragraph" w:styleId="967" w:customStyle="1">
    <w:name w:val="普通(网站)1"/>
    <w:basedOn w:val="751"/>
    <w:uiPriority w:val="0"/>
    <w:unhideWhenUsed/>
    <w:qFormat/>
    <w:pPr>
      <w:jc w:val="left"/>
    </w:pPr>
    <w:rPr>
      <w:rFonts w:ascii="Calibri" w:hAnsi="Calibri"/>
      <w:sz w:val="24"/>
      <w:szCs w:val="24"/>
    </w:rPr>
  </w:style>
  <w:style w:type="character" w:styleId="968" w:customStyle="1">
    <w:name w:val="要点1"/>
    <w:link w:val="751"/>
    <w:uiPriority w:val="0"/>
    <w:qFormat/>
    <w:rPr>
      <w:b/>
    </w:rPr>
  </w:style>
  <w:style w:type="paragraph" w:styleId="969" w:customStyle="1">
    <w:name w:val="正文文本111"/>
    <w:basedOn w:val="751"/>
    <w:next w:val="751"/>
    <w:uiPriority w:val="0"/>
    <w:qFormat/>
    <w:rPr>
      <w:rFonts w:ascii="楷体_GB2312" w:hAnsi="Arial" w:eastAsia="楷体_GB2312"/>
      <w:sz w:val="28"/>
      <w:szCs w:val="28"/>
    </w:rPr>
  </w:style>
  <w:style w:type="paragraph" w:styleId="970" w:customStyle="1">
    <w:name w:val="日期1"/>
    <w:basedOn w:val="751"/>
    <w:next w:val="751"/>
    <w:uiPriority w:val="0"/>
    <w:qFormat/>
    <w:rPr>
      <w:sz w:val="24"/>
      <w:szCs w:val="20"/>
    </w:rPr>
  </w:style>
  <w:style w:type="paragraph" w:styleId="971" w:customStyle="1">
    <w:name w:val="Header1"/>
    <w:basedOn w:val="751"/>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972" w:customStyle="1">
    <w:name w:val="页脚11"/>
    <w:basedOn w:val="751"/>
    <w:uiPriority w:val="99"/>
    <w:unhideWhenUsed/>
    <w:qFormat/>
    <w:pPr>
      <w:jc w:val="left"/>
      <w:tabs>
        <w:tab w:val="center" w:pos="4153" w:leader="none"/>
        <w:tab w:val="right" w:pos="8306" w:leader="none"/>
      </w:tabs>
    </w:pPr>
    <w:rPr>
      <w:sz w:val="18"/>
      <w:szCs w:val="18"/>
    </w:rPr>
  </w:style>
  <w:style w:type="paragraph" w:styleId="973" w:customStyle="1">
    <w:name w:val="Footer1"/>
    <w:basedOn w:val="751"/>
    <w:uiPriority w:val="99"/>
    <w:qFormat/>
    <w:pPr>
      <w:jc w:val="left"/>
      <w:tabs>
        <w:tab w:val="center" w:pos="4153" w:leader="none"/>
        <w:tab w:val="right" w:pos="8306" w:leader="none"/>
      </w:tabs>
    </w:pPr>
    <w:rPr>
      <w:rFonts w:ascii="Times New Roman" w:hAnsi="Times New Roman"/>
      <w:sz w:val="18"/>
      <w:szCs w:val="18"/>
      <w:lang w:eastAsia="en-US"/>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dc:creator>
  <cp:lastModifiedBy>刘莹</cp:lastModifiedBy>
  <cp:revision>13</cp:revision>
  <dcterms:created xsi:type="dcterms:W3CDTF">2023-12-25T02:12:00Z</dcterms:created>
  <dcterms:modified xsi:type="dcterms:W3CDTF">2025-09-30T01:49:27Z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eyJoZGlkIjoiM2I0ZTEwMjIyYzc2OTBhYmY4MGMxZDMxZWQ1N2Q2YmIiLCJ1c2VySWQiOiIyNDUwMjg2MjgifQ==</vt:lpwstr>
  </property>
  <property fmtid="{D5CDD505-2E9C-101B-9397-08002B2CF9AE}" pid="3" name="KSOProductBuildVer">
    <vt:lpwstr>2052-12.1.0.22529</vt:lpwstr>
  </property>
  <property fmtid="{D5CDD505-2E9C-101B-9397-08002B2CF9AE}" pid="4" name="ICV">
    <vt:lpwstr>954B7D9328FA4D35B0AA48F42A18003E_13</vt:lpwstr>
  </property>
</Properties>
</file>