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F3D96">
      <w:pPr>
        <w:spacing w:line="360" w:lineRule="auto"/>
        <w:jc w:val="center"/>
        <w:rPr>
          <w:rFonts w:ascii="楷体" w:hAnsi="楷体" w:eastAsia="楷体"/>
          <w:b/>
          <w:sz w:val="84"/>
        </w:rPr>
      </w:pPr>
    </w:p>
    <w:p w14:paraId="3D2B8C8D">
      <w:pPr>
        <w:pStyle w:val="2"/>
      </w:pPr>
    </w:p>
    <w:p w14:paraId="7B722E9B">
      <w:pPr>
        <w:spacing w:line="360" w:lineRule="auto"/>
        <w:jc w:val="center"/>
        <w:rPr>
          <w:rFonts w:ascii="楷体" w:hAnsi="楷体" w:eastAsia="楷体"/>
          <w:b/>
          <w:sz w:val="84"/>
        </w:rPr>
      </w:pPr>
      <w:r>
        <w:rPr>
          <w:rFonts w:hint="eastAsia" w:ascii="楷体" w:hAnsi="楷体" w:eastAsia="楷体"/>
          <w:b/>
          <w:sz w:val="84"/>
        </w:rPr>
        <w:t>招   标   文   件</w:t>
      </w:r>
    </w:p>
    <w:p w14:paraId="35E08096">
      <w:pPr>
        <w:spacing w:line="360" w:lineRule="auto"/>
        <w:jc w:val="center"/>
        <w:rPr>
          <w:rFonts w:ascii="楷体" w:hAnsi="楷体" w:eastAsia="楷体"/>
          <w:i/>
          <w:iCs/>
          <w:sz w:val="44"/>
          <w:szCs w:val="44"/>
        </w:rPr>
      </w:pPr>
    </w:p>
    <w:p w14:paraId="62511BC6">
      <w:pPr>
        <w:pStyle w:val="5"/>
      </w:pPr>
    </w:p>
    <w:p w14:paraId="40B294FF">
      <w:pPr>
        <w:spacing w:line="360" w:lineRule="auto"/>
        <w:jc w:val="center"/>
        <w:rPr>
          <w:rFonts w:ascii="楷体" w:hAnsi="楷体" w:eastAsia="楷体"/>
          <w:sz w:val="32"/>
        </w:rPr>
      </w:pPr>
    </w:p>
    <w:p w14:paraId="2749A784">
      <w:pPr>
        <w:spacing w:line="360" w:lineRule="auto"/>
        <w:jc w:val="center"/>
        <w:rPr>
          <w:rFonts w:hint="eastAsia" w:ascii="楷体" w:hAnsi="楷体" w:eastAsia="楷体"/>
          <w:sz w:val="32"/>
          <w:lang w:eastAsia="zh-CN"/>
        </w:rPr>
      </w:pPr>
      <w:r>
        <w:rPr>
          <w:rFonts w:hint="eastAsia" w:ascii="楷体" w:hAnsi="楷体" w:eastAsia="楷体"/>
          <w:b/>
          <w:sz w:val="36"/>
        </w:rPr>
        <w:t>项目编号：</w:t>
      </w:r>
      <w:r>
        <w:rPr>
          <w:rFonts w:hint="eastAsia" w:ascii="楷体" w:hAnsi="楷体" w:eastAsia="楷体"/>
          <w:b/>
          <w:color w:val="5B9BD5" w:themeColor="accent5"/>
          <w:sz w:val="36"/>
          <w:szCs w:val="36"/>
          <w:lang w:eastAsia="zh-CN"/>
          <w14:textFill>
            <w14:solidFill>
              <w14:schemeClr w14:val="accent5"/>
            </w14:solidFill>
          </w14:textFill>
        </w:rPr>
        <w:t>JSZC-321181-ZDDL-G2024-0006</w:t>
      </w:r>
      <w:r>
        <w:rPr>
          <w:rFonts w:hint="eastAsia" w:ascii="楷体" w:hAnsi="楷体" w:eastAsia="楷体"/>
          <w:b/>
          <w:color w:val="5B9BD5" w:themeColor="accent5"/>
          <w:sz w:val="36"/>
          <w:szCs w:val="36"/>
          <w:lang w:val="en-US" w:eastAsia="zh-CN"/>
          <w14:textFill>
            <w14:solidFill>
              <w14:schemeClr w14:val="accent5"/>
            </w14:solidFill>
          </w14:textFill>
        </w:rPr>
        <w:t xml:space="preserve"> </w:t>
      </w:r>
    </w:p>
    <w:p w14:paraId="2B247F74">
      <w:pPr>
        <w:spacing w:line="360" w:lineRule="auto"/>
        <w:jc w:val="center"/>
        <w:outlineLvl w:val="0"/>
        <w:rPr>
          <w:rFonts w:hint="eastAsia" w:ascii="楷体" w:hAnsi="楷体" w:eastAsia="楷体"/>
          <w:b/>
          <w:sz w:val="36"/>
          <w:lang w:eastAsia="zh-CN"/>
        </w:rPr>
      </w:pPr>
      <w:r>
        <w:rPr>
          <w:rFonts w:hint="eastAsia" w:ascii="楷体" w:hAnsi="楷体" w:eastAsia="楷体"/>
          <w:b/>
          <w:sz w:val="36"/>
          <w:szCs w:val="36"/>
        </w:rPr>
        <w:t>项目名称</w:t>
      </w:r>
      <w:r>
        <w:rPr>
          <w:rFonts w:hint="eastAsia" w:ascii="楷体" w:hAnsi="楷体" w:eastAsia="楷体"/>
          <w:sz w:val="36"/>
          <w:szCs w:val="36"/>
        </w:rPr>
        <w:t>：</w:t>
      </w:r>
      <w:r>
        <w:rPr>
          <w:rFonts w:hint="eastAsia" w:ascii="楷体" w:hAnsi="楷体" w:eastAsia="楷体"/>
          <w:b/>
          <w:color w:val="5B9BD5" w:themeColor="accent5"/>
          <w:sz w:val="36"/>
          <w:szCs w:val="36"/>
          <w:lang w:eastAsia="zh-CN"/>
          <w14:textFill>
            <w14:solidFill>
              <w14:schemeClr w14:val="accent5"/>
            </w14:solidFill>
          </w14:textFill>
        </w:rPr>
        <w:t>基层生态环境监测机构规范化建设</w:t>
      </w:r>
    </w:p>
    <w:p w14:paraId="356641F2">
      <w:pPr>
        <w:spacing w:line="360" w:lineRule="auto"/>
        <w:rPr>
          <w:rFonts w:ascii="楷体" w:hAnsi="楷体" w:eastAsia="楷体"/>
          <w:b/>
          <w:sz w:val="36"/>
        </w:rPr>
      </w:pPr>
    </w:p>
    <w:p w14:paraId="05F88BBA">
      <w:pPr>
        <w:spacing w:line="360" w:lineRule="auto"/>
        <w:jc w:val="center"/>
        <w:rPr>
          <w:rFonts w:ascii="仿宋" w:hAnsi="仿宋" w:eastAsia="仿宋" w:cs="仿宋"/>
          <w:color w:val="FF0000"/>
          <w:sz w:val="32"/>
          <w:szCs w:val="32"/>
        </w:rPr>
      </w:pPr>
    </w:p>
    <w:p w14:paraId="08C9F075">
      <w:pPr>
        <w:spacing w:line="360" w:lineRule="auto"/>
        <w:jc w:val="center"/>
        <w:rPr>
          <w:rFonts w:ascii="仿宋" w:hAnsi="仿宋" w:eastAsia="仿宋" w:cs="仿宋"/>
          <w:color w:val="FF0000"/>
          <w:sz w:val="32"/>
          <w:szCs w:val="32"/>
        </w:rPr>
      </w:pPr>
    </w:p>
    <w:p w14:paraId="1C01DF5B">
      <w:pPr>
        <w:spacing w:line="360" w:lineRule="auto"/>
        <w:jc w:val="center"/>
        <w:rPr>
          <w:rFonts w:ascii="仿宋" w:hAnsi="仿宋" w:eastAsia="仿宋" w:cs="仿宋"/>
          <w:color w:val="FF0000"/>
          <w:sz w:val="32"/>
          <w:szCs w:val="32"/>
        </w:rPr>
      </w:pPr>
    </w:p>
    <w:p w14:paraId="7D32319F">
      <w:pPr>
        <w:spacing w:line="360" w:lineRule="auto"/>
        <w:jc w:val="center"/>
        <w:rPr>
          <w:rFonts w:hint="eastAsia" w:ascii="楷体" w:hAnsi="楷体" w:eastAsia="楷体"/>
          <w:b/>
          <w:color w:val="5B9BD5" w:themeColor="accent5"/>
          <w:sz w:val="36"/>
          <w:szCs w:val="36"/>
          <w:lang w:eastAsia="zh-CN"/>
          <w14:textFill>
            <w14:solidFill>
              <w14:schemeClr w14:val="accent5"/>
            </w14:solidFill>
          </w14:textFill>
        </w:rPr>
      </w:pPr>
      <w:r>
        <w:rPr>
          <w:rFonts w:hint="eastAsia" w:ascii="楷体" w:hAnsi="楷体" w:eastAsia="楷体"/>
          <w:b/>
          <w:color w:val="5B9BD5" w:themeColor="accent5"/>
          <w:sz w:val="36"/>
          <w:szCs w:val="36"/>
          <w:lang w:eastAsia="zh-CN"/>
          <w14:textFill>
            <w14:solidFill>
              <w14:schemeClr w14:val="accent5"/>
            </w14:solidFill>
          </w14:textFill>
        </w:rPr>
        <w:t>江苏正德建设管理有限公司</w:t>
      </w:r>
    </w:p>
    <w:p w14:paraId="49855FD9">
      <w:pPr>
        <w:spacing w:line="360" w:lineRule="auto"/>
        <w:jc w:val="center"/>
        <w:rPr>
          <w:rFonts w:ascii="楷体" w:hAnsi="楷体" w:eastAsia="楷体"/>
          <w:b/>
          <w:color w:val="5B9BD5" w:themeColor="accent5"/>
          <w:sz w:val="36"/>
          <w:szCs w:val="36"/>
          <w14:textFill>
            <w14:solidFill>
              <w14:schemeClr w14:val="accent5"/>
            </w14:solidFill>
          </w14:textFill>
        </w:rPr>
      </w:pPr>
    </w:p>
    <w:p w14:paraId="51D31364">
      <w:pPr>
        <w:spacing w:line="360" w:lineRule="auto"/>
        <w:jc w:val="center"/>
        <w:rPr>
          <w:rFonts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t>2024年</w:t>
      </w:r>
      <w:r>
        <w:rPr>
          <w:rFonts w:hint="eastAsia" w:ascii="楷体" w:hAnsi="楷体" w:eastAsia="楷体"/>
          <w:b/>
          <w:color w:val="5B9BD5" w:themeColor="accent5"/>
          <w:sz w:val="36"/>
          <w:szCs w:val="36"/>
          <w:lang w:val="en-US" w:eastAsia="zh-CN"/>
          <w14:textFill>
            <w14:solidFill>
              <w14:schemeClr w14:val="accent5"/>
            </w14:solidFill>
          </w14:textFill>
        </w:rPr>
        <w:t>10</w:t>
      </w:r>
      <w:r>
        <w:rPr>
          <w:rFonts w:hint="eastAsia" w:ascii="楷体" w:hAnsi="楷体" w:eastAsia="楷体"/>
          <w:b/>
          <w:color w:val="5B9BD5" w:themeColor="accent5"/>
          <w:sz w:val="36"/>
          <w:szCs w:val="36"/>
          <w14:textFill>
            <w14:solidFill>
              <w14:schemeClr w14:val="accent5"/>
            </w14:solidFill>
          </w14:textFill>
        </w:rPr>
        <w:t>月</w:t>
      </w:r>
      <w:r>
        <w:rPr>
          <w:rFonts w:hint="eastAsia" w:ascii="楷体" w:hAnsi="楷体" w:eastAsia="楷体"/>
          <w:b/>
          <w:color w:val="5B9BD5" w:themeColor="accent5"/>
          <w:sz w:val="36"/>
          <w:szCs w:val="36"/>
          <w:lang w:val="en-US" w:eastAsia="zh-CN"/>
          <w14:textFill>
            <w14:solidFill>
              <w14:schemeClr w14:val="accent5"/>
            </w14:solidFill>
          </w14:textFill>
        </w:rPr>
        <w:t>14</w:t>
      </w:r>
      <w:r>
        <w:rPr>
          <w:rFonts w:hint="eastAsia" w:ascii="楷体" w:hAnsi="楷体" w:eastAsia="楷体"/>
          <w:b/>
          <w:color w:val="5B9BD5" w:themeColor="accent5"/>
          <w:sz w:val="36"/>
          <w:szCs w:val="36"/>
          <w14:textFill>
            <w14:solidFill>
              <w14:schemeClr w14:val="accent5"/>
            </w14:solidFill>
          </w14:textFill>
        </w:rPr>
        <w:t>日</w:t>
      </w:r>
    </w:p>
    <w:p w14:paraId="3D4FDB26">
      <w:pPr>
        <w:rPr>
          <w:rFonts w:ascii="楷体" w:hAnsi="楷体" w:eastAsia="楷体"/>
          <w:b/>
          <w:sz w:val="44"/>
        </w:rPr>
      </w:pPr>
      <w:r>
        <w:rPr>
          <w:rFonts w:hint="eastAsia" w:ascii="楷体" w:hAnsi="楷体" w:eastAsia="楷体"/>
          <w:b/>
          <w:sz w:val="44"/>
        </w:rPr>
        <w:br w:type="page" w:clear="all"/>
      </w:r>
    </w:p>
    <w:p w14:paraId="3FE2353A">
      <w:pPr>
        <w:spacing w:line="360" w:lineRule="auto"/>
        <w:jc w:val="center"/>
        <w:rPr>
          <w:rFonts w:ascii="楷体" w:hAnsi="楷体" w:eastAsia="楷体"/>
          <w:b/>
          <w:sz w:val="44"/>
        </w:rPr>
      </w:pPr>
      <w:r>
        <w:rPr>
          <w:rFonts w:hint="eastAsia" w:ascii="楷体" w:hAnsi="楷体" w:eastAsia="楷体"/>
          <w:b/>
          <w:sz w:val="44"/>
        </w:rPr>
        <w:t>招标文件目录</w:t>
      </w:r>
    </w:p>
    <w:p w14:paraId="045678C0">
      <w:pPr>
        <w:spacing w:line="360" w:lineRule="auto"/>
        <w:ind w:firstLine="883"/>
        <w:jc w:val="center"/>
        <w:rPr>
          <w:rFonts w:ascii="楷体" w:hAnsi="楷体" w:eastAsia="楷体"/>
          <w:b/>
          <w:sz w:val="44"/>
        </w:rPr>
      </w:pPr>
    </w:p>
    <w:p w14:paraId="78EFED6A">
      <w:pPr>
        <w:spacing w:line="360" w:lineRule="auto"/>
        <w:rPr>
          <w:rFonts w:ascii="楷体" w:hAnsi="楷体" w:eastAsia="楷体"/>
          <w:b/>
          <w:sz w:val="30"/>
        </w:rPr>
      </w:pPr>
      <w:r>
        <w:rPr>
          <w:rFonts w:hint="eastAsia" w:ascii="楷体" w:hAnsi="楷体" w:eastAsia="楷体"/>
          <w:b/>
          <w:sz w:val="30"/>
        </w:rPr>
        <w:t xml:space="preserve">第一部分    投标邀请   </w:t>
      </w:r>
    </w:p>
    <w:p w14:paraId="1EB4A848">
      <w:pPr>
        <w:spacing w:line="360" w:lineRule="auto"/>
        <w:rPr>
          <w:rFonts w:ascii="楷体" w:hAnsi="楷体" w:eastAsia="楷体"/>
          <w:b/>
          <w:sz w:val="30"/>
        </w:rPr>
      </w:pPr>
      <w:r>
        <w:rPr>
          <w:rFonts w:hint="eastAsia" w:ascii="楷体" w:hAnsi="楷体" w:eastAsia="楷体"/>
          <w:b/>
          <w:sz w:val="30"/>
        </w:rPr>
        <w:t xml:space="preserve">第二部分    投标人须知                  </w:t>
      </w:r>
    </w:p>
    <w:p w14:paraId="7D0E605B">
      <w:pPr>
        <w:spacing w:line="360" w:lineRule="auto"/>
        <w:rPr>
          <w:rFonts w:ascii="楷体" w:hAnsi="楷体" w:eastAsia="楷体"/>
          <w:b/>
          <w:sz w:val="30"/>
        </w:rPr>
      </w:pPr>
      <w:r>
        <w:rPr>
          <w:rFonts w:hint="eastAsia" w:ascii="楷体" w:hAnsi="楷体" w:eastAsia="楷体"/>
          <w:b/>
          <w:sz w:val="30"/>
        </w:rPr>
        <w:t>第三部分    拟签订的合同文本</w:t>
      </w:r>
    </w:p>
    <w:p w14:paraId="117B67C8">
      <w:pPr>
        <w:spacing w:line="360" w:lineRule="auto"/>
        <w:rPr>
          <w:rFonts w:ascii="楷体" w:hAnsi="楷体" w:eastAsia="楷体"/>
          <w:b/>
          <w:sz w:val="30"/>
        </w:rPr>
      </w:pPr>
      <w:r>
        <w:rPr>
          <w:rFonts w:hint="eastAsia" w:ascii="楷体" w:hAnsi="楷体" w:eastAsia="楷体"/>
          <w:b/>
          <w:sz w:val="30"/>
        </w:rPr>
        <w:t>第四部分    采购需求</w:t>
      </w:r>
    </w:p>
    <w:p w14:paraId="4F6FD43F">
      <w:pPr>
        <w:spacing w:line="360" w:lineRule="auto"/>
        <w:rPr>
          <w:rFonts w:ascii="楷体" w:hAnsi="楷体" w:eastAsia="楷体"/>
          <w:b/>
          <w:sz w:val="30"/>
        </w:rPr>
      </w:pPr>
      <w:r>
        <w:rPr>
          <w:rFonts w:hint="eastAsia" w:ascii="楷体" w:hAnsi="楷体" w:eastAsia="楷体"/>
          <w:b/>
          <w:sz w:val="30"/>
        </w:rPr>
        <w:t>第五部分    评标办法和标准</w:t>
      </w:r>
    </w:p>
    <w:p w14:paraId="33B422BC">
      <w:pPr>
        <w:spacing w:line="360" w:lineRule="auto"/>
        <w:jc w:val="left"/>
        <w:rPr>
          <w:rFonts w:ascii="楷体" w:hAnsi="楷体" w:eastAsia="楷体"/>
          <w:b/>
          <w:sz w:val="30"/>
        </w:rPr>
      </w:pPr>
      <w:r>
        <w:rPr>
          <w:rFonts w:hint="eastAsia" w:ascii="楷体" w:hAnsi="楷体" w:eastAsia="楷体"/>
          <w:b/>
          <w:sz w:val="30"/>
        </w:rPr>
        <w:t>第六部分    投标文件（格式）</w:t>
      </w:r>
    </w:p>
    <w:p w14:paraId="4664184D">
      <w:pPr>
        <w:pStyle w:val="6"/>
        <w:keepNext w:val="0"/>
        <w:keepLines w:val="0"/>
        <w:spacing w:before="200" w:after="200" w:line="360" w:lineRule="auto"/>
        <w:ind w:left="779" w:right="900" w:firstLine="420"/>
        <w:jc w:val="center"/>
        <w:rPr>
          <w:rFonts w:hint="eastAsia" w:ascii="楷体" w:hAnsi="楷体" w:eastAsia="楷体"/>
          <w:sz w:val="36"/>
          <w:szCs w:val="36"/>
        </w:rPr>
        <w:sectPr>
          <w:pgSz w:w="11907" w:h="16840"/>
          <w:pgMar w:top="1474" w:right="1814" w:bottom="1474" w:left="1814" w:header="851" w:footer="851" w:gutter="0"/>
          <w:cols w:space="720" w:num="1"/>
          <w:docGrid w:linePitch="360" w:charSpace="0"/>
        </w:sectPr>
      </w:pPr>
      <w:bookmarkStart w:id="0" w:name="_Toc20732967"/>
      <w:bookmarkStart w:id="1" w:name="_Toc92167999"/>
      <w:bookmarkStart w:id="2" w:name="_Toc100386033"/>
    </w:p>
    <w:p w14:paraId="786C2F17">
      <w:pPr>
        <w:pStyle w:val="6"/>
        <w:keepNext w:val="0"/>
        <w:keepLines w:val="0"/>
        <w:spacing w:before="200" w:after="200" w:line="360" w:lineRule="auto"/>
        <w:ind w:left="779" w:right="900" w:firstLine="420"/>
        <w:jc w:val="center"/>
        <w:rPr>
          <w:rFonts w:ascii="楷体" w:hAnsi="楷体" w:eastAsia="楷体"/>
          <w:sz w:val="36"/>
          <w:szCs w:val="36"/>
        </w:rPr>
      </w:pPr>
      <w:r>
        <w:rPr>
          <w:rFonts w:hint="eastAsia" w:ascii="楷体" w:hAnsi="楷体" w:eastAsia="楷体"/>
          <w:sz w:val="36"/>
          <w:szCs w:val="36"/>
        </w:rPr>
        <w:t>第一部分  投标邀请</w:t>
      </w:r>
      <w:bookmarkEnd w:id="0"/>
      <w:bookmarkEnd w:id="1"/>
      <w:bookmarkEnd w:id="2"/>
    </w:p>
    <w:p w14:paraId="53D42D90">
      <w:pPr>
        <w:pBdr>
          <w:top w:val="single" w:color="auto" w:sz="4" w:space="1"/>
          <w:left w:val="single" w:color="auto" w:sz="4" w:space="4"/>
          <w:bottom w:val="single" w:color="auto" w:sz="4" w:space="1"/>
          <w:right w:val="single" w:color="auto" w:sz="4" w:space="4"/>
        </w:pBdr>
        <w:spacing w:line="360" w:lineRule="auto"/>
        <w:ind w:firstLine="480"/>
        <w:rPr>
          <w:rFonts w:ascii="楷体" w:hAnsi="楷体" w:eastAsia="楷体"/>
          <w:sz w:val="24"/>
          <w:szCs w:val="28"/>
        </w:rPr>
      </w:pPr>
      <w:bookmarkStart w:id="3" w:name="_Toc92168010"/>
      <w:bookmarkStart w:id="4" w:name="_Toc20732978"/>
      <w:bookmarkStart w:id="5" w:name="_Toc100386044"/>
      <w:bookmarkStart w:id="6" w:name="_Toc98669699"/>
      <w:bookmarkStart w:id="7" w:name="_Toc98669341"/>
      <w:r>
        <w:rPr>
          <w:rFonts w:hint="eastAsia" w:ascii="楷体" w:hAnsi="楷体" w:eastAsia="楷体"/>
          <w:sz w:val="24"/>
          <w:szCs w:val="28"/>
        </w:rPr>
        <w:t>项目概况</w:t>
      </w:r>
    </w:p>
    <w:p w14:paraId="6F132673">
      <w:pPr>
        <w:pBdr>
          <w:top w:val="single" w:color="auto" w:sz="4" w:space="1"/>
          <w:left w:val="single" w:color="auto" w:sz="4" w:space="4"/>
          <w:bottom w:val="single" w:color="auto" w:sz="4" w:space="1"/>
          <w:right w:val="single" w:color="auto" w:sz="4" w:space="4"/>
        </w:pBdr>
        <w:spacing w:line="360" w:lineRule="auto"/>
        <w:ind w:firstLine="480"/>
        <w:rPr>
          <w:rFonts w:ascii="楷体" w:hAnsi="楷体" w:eastAsia="楷体"/>
          <w:sz w:val="24"/>
          <w:szCs w:val="28"/>
          <w:u w:val="single"/>
        </w:rPr>
      </w:pPr>
      <w:r>
        <w:rPr>
          <w:rFonts w:hint="eastAsia" w:ascii="楷体" w:hAnsi="楷体" w:eastAsia="楷体"/>
          <w:color w:val="4472C4"/>
          <w:sz w:val="24"/>
          <w:szCs w:val="28"/>
          <w:u w:val="single"/>
          <w:lang w:eastAsia="zh-CN"/>
        </w:rPr>
        <w:t>基层生态环境监测机构规范化建设</w:t>
      </w:r>
      <w:r>
        <w:rPr>
          <w:rFonts w:hint="eastAsia" w:ascii="楷体" w:hAnsi="楷体" w:eastAsia="楷体"/>
          <w:sz w:val="24"/>
          <w:szCs w:val="28"/>
        </w:rPr>
        <w:t>的潜在投标人应在</w:t>
      </w:r>
      <w:r>
        <w:rPr>
          <w:rFonts w:hint="eastAsia" w:ascii="楷体" w:hAnsi="楷体" w:eastAsia="楷体"/>
          <w:sz w:val="24"/>
          <w:szCs w:val="28"/>
          <w:u w:val="single"/>
        </w:rPr>
        <w:t>江苏政府采购网--苏采云电子交易平台http://jszfcg.jscz.gov.cn/jszc/login</w:t>
      </w:r>
      <w:r>
        <w:rPr>
          <w:rFonts w:hint="eastAsia" w:ascii="楷体" w:hAnsi="楷体" w:eastAsia="楷体"/>
          <w:sz w:val="24"/>
          <w:szCs w:val="28"/>
        </w:rPr>
        <w:t>获取招标文件，并于</w:t>
      </w:r>
      <w:r>
        <w:rPr>
          <w:rFonts w:ascii="楷体" w:hAnsi="楷体" w:eastAsia="楷体"/>
          <w:color w:val="4472C4"/>
          <w:sz w:val="24"/>
          <w:szCs w:val="28"/>
          <w:u w:val="single"/>
        </w:rPr>
        <w:t>2024</w:t>
      </w:r>
      <w:r>
        <w:rPr>
          <w:rFonts w:hint="eastAsia" w:ascii="楷体" w:hAnsi="楷体" w:eastAsia="楷体"/>
          <w:color w:val="4472C4"/>
          <w:sz w:val="24"/>
          <w:szCs w:val="28"/>
          <w:u w:val="single"/>
        </w:rPr>
        <w:t>年</w:t>
      </w:r>
      <w:r>
        <w:rPr>
          <w:rFonts w:hint="eastAsia" w:ascii="楷体" w:hAnsi="楷体" w:eastAsia="楷体"/>
          <w:color w:val="4472C4"/>
          <w:sz w:val="24"/>
          <w:szCs w:val="28"/>
          <w:u w:val="single"/>
          <w:lang w:val="en-US" w:eastAsia="zh-CN"/>
        </w:rPr>
        <w:t>11</w:t>
      </w:r>
      <w:r>
        <w:rPr>
          <w:rFonts w:hint="eastAsia" w:ascii="楷体" w:hAnsi="楷体" w:eastAsia="楷体"/>
          <w:color w:val="4472C4"/>
          <w:sz w:val="24"/>
          <w:szCs w:val="28"/>
          <w:u w:val="single"/>
        </w:rPr>
        <w:t>月</w:t>
      </w:r>
      <w:r>
        <w:rPr>
          <w:rFonts w:hint="eastAsia" w:ascii="楷体" w:hAnsi="楷体" w:eastAsia="楷体"/>
          <w:color w:val="4472C4"/>
          <w:sz w:val="24"/>
          <w:szCs w:val="28"/>
          <w:u w:val="single"/>
          <w:lang w:val="en-US" w:eastAsia="zh-CN"/>
        </w:rPr>
        <w:t>05</w:t>
      </w:r>
      <w:r>
        <w:rPr>
          <w:rFonts w:hint="eastAsia" w:ascii="楷体" w:hAnsi="楷体" w:eastAsia="楷体"/>
          <w:color w:val="4472C4"/>
          <w:sz w:val="24"/>
          <w:szCs w:val="28"/>
          <w:u w:val="single"/>
        </w:rPr>
        <w:t>日</w:t>
      </w:r>
      <w:r>
        <w:rPr>
          <w:rFonts w:ascii="楷体" w:hAnsi="楷体" w:eastAsia="楷体"/>
          <w:color w:val="4472C4"/>
          <w:sz w:val="24"/>
          <w:szCs w:val="28"/>
          <w:u w:val="single"/>
        </w:rPr>
        <w:t>09</w:t>
      </w:r>
      <w:r>
        <w:rPr>
          <w:rFonts w:hint="eastAsia" w:ascii="楷体" w:hAnsi="楷体" w:eastAsia="楷体"/>
          <w:color w:val="4472C4"/>
          <w:sz w:val="24"/>
          <w:szCs w:val="28"/>
          <w:u w:val="single"/>
        </w:rPr>
        <w:t>点</w:t>
      </w:r>
      <w:r>
        <w:rPr>
          <w:rFonts w:ascii="楷体" w:hAnsi="楷体" w:eastAsia="楷体"/>
          <w:color w:val="4472C4"/>
          <w:sz w:val="24"/>
          <w:szCs w:val="28"/>
          <w:u w:val="single"/>
        </w:rPr>
        <w:t>30</w:t>
      </w:r>
      <w:r>
        <w:rPr>
          <w:rFonts w:hint="eastAsia" w:ascii="楷体" w:hAnsi="楷体" w:eastAsia="楷体"/>
          <w:color w:val="4472C4"/>
          <w:sz w:val="24"/>
          <w:szCs w:val="28"/>
          <w:u w:val="single"/>
        </w:rPr>
        <w:t>分</w:t>
      </w:r>
      <w:r>
        <w:rPr>
          <w:rFonts w:hint="eastAsia" w:ascii="楷体" w:hAnsi="楷体" w:eastAsia="楷体"/>
          <w:sz w:val="24"/>
          <w:szCs w:val="28"/>
        </w:rPr>
        <w:t>（</w:t>
      </w:r>
      <w:r>
        <w:rPr>
          <w:rFonts w:hint="eastAsia" w:ascii="楷体" w:hAnsi="楷体" w:eastAsia="楷体"/>
          <w:bCs/>
          <w:sz w:val="24"/>
          <w:szCs w:val="28"/>
        </w:rPr>
        <w:t>北京时间）前按要求递交投标文件</w:t>
      </w:r>
      <w:r>
        <w:rPr>
          <w:rFonts w:hint="eastAsia" w:ascii="楷体" w:hAnsi="楷体" w:eastAsia="楷体"/>
          <w:sz w:val="24"/>
          <w:szCs w:val="28"/>
        </w:rPr>
        <w:t>。</w:t>
      </w:r>
    </w:p>
    <w:p w14:paraId="7F5AC571">
      <w:pPr>
        <w:pStyle w:val="5"/>
        <w:spacing w:line="360" w:lineRule="auto"/>
        <w:ind w:left="-142"/>
        <w:jc w:val="both"/>
        <w:rPr>
          <w:rFonts w:ascii="楷体" w:hAnsi="楷体" w:eastAsia="楷体" w:cs="宋体"/>
          <w:b w:val="0"/>
          <w:sz w:val="24"/>
          <w:szCs w:val="28"/>
        </w:rPr>
      </w:pPr>
      <w:bookmarkStart w:id="8" w:name="_Toc28359002"/>
      <w:bookmarkStart w:id="9" w:name="_Toc28359079"/>
      <w:bookmarkStart w:id="10" w:name="_Toc35393790"/>
      <w:bookmarkStart w:id="11" w:name="_Toc35393621"/>
      <w:bookmarkStart w:id="12" w:name="_Hlk24379207"/>
      <w:r>
        <w:rPr>
          <w:rFonts w:hint="eastAsia" w:ascii="楷体" w:hAnsi="楷体" w:eastAsia="楷体" w:cs="宋体"/>
          <w:b w:val="0"/>
          <w:sz w:val="24"/>
          <w:szCs w:val="28"/>
        </w:rPr>
        <w:t>一、项目基本情况</w:t>
      </w:r>
      <w:bookmarkEnd w:id="8"/>
      <w:bookmarkEnd w:id="9"/>
      <w:bookmarkEnd w:id="10"/>
      <w:bookmarkEnd w:id="11"/>
    </w:p>
    <w:p w14:paraId="7A2164B9">
      <w:pPr>
        <w:spacing w:line="360" w:lineRule="auto"/>
        <w:ind w:firstLine="480"/>
        <w:rPr>
          <w:rFonts w:hint="eastAsia" w:ascii="楷体" w:hAnsi="楷体" w:eastAsia="楷体"/>
          <w:color w:val="4472C4" w:themeColor="accent1"/>
          <w:sz w:val="24"/>
          <w:szCs w:val="28"/>
          <w:lang w:eastAsia="zh-CN"/>
          <w14:textFill>
            <w14:solidFill>
              <w14:schemeClr w14:val="accent1"/>
            </w14:solidFill>
          </w14:textFill>
        </w:rPr>
      </w:pPr>
      <w:r>
        <w:rPr>
          <w:rFonts w:hint="eastAsia" w:ascii="楷体" w:hAnsi="楷体" w:eastAsia="楷体"/>
          <w:sz w:val="24"/>
          <w:szCs w:val="28"/>
        </w:rPr>
        <w:t>项目编号：</w:t>
      </w:r>
      <w:r>
        <w:rPr>
          <w:rFonts w:hint="eastAsia" w:ascii="楷体" w:hAnsi="楷体" w:eastAsia="楷体"/>
          <w:color w:val="4472C4"/>
          <w:sz w:val="24"/>
          <w:szCs w:val="28"/>
          <w:lang w:eastAsia="zh-CN"/>
        </w:rPr>
        <w:t>JSZC-321181-ZDDL-G2024-0006</w:t>
      </w:r>
      <w:r>
        <w:rPr>
          <w:rFonts w:hint="eastAsia" w:ascii="楷体" w:hAnsi="楷体" w:eastAsia="楷体"/>
          <w:color w:val="4472C4"/>
          <w:sz w:val="24"/>
          <w:szCs w:val="28"/>
          <w:lang w:val="en-US" w:eastAsia="zh-CN"/>
        </w:rPr>
        <w:t xml:space="preserve"> </w:t>
      </w:r>
    </w:p>
    <w:p w14:paraId="214EE124">
      <w:pPr>
        <w:spacing w:line="360" w:lineRule="auto"/>
        <w:ind w:firstLine="480"/>
        <w:rPr>
          <w:rFonts w:hint="eastAsia" w:ascii="楷体" w:hAnsi="楷体" w:eastAsia="楷体"/>
          <w:color w:val="4472C4"/>
          <w:sz w:val="24"/>
          <w:szCs w:val="28"/>
          <w:lang w:eastAsia="zh-CN"/>
        </w:rPr>
      </w:pPr>
      <w:r>
        <w:rPr>
          <w:rFonts w:hint="eastAsia" w:ascii="楷体" w:hAnsi="楷体" w:eastAsia="楷体"/>
          <w:sz w:val="24"/>
          <w:szCs w:val="28"/>
        </w:rPr>
        <w:t>项目名称：</w:t>
      </w:r>
      <w:bookmarkEnd w:id="12"/>
      <w:r>
        <w:rPr>
          <w:rFonts w:hint="eastAsia" w:ascii="楷体" w:hAnsi="楷体" w:eastAsia="楷体"/>
          <w:color w:val="4472C4"/>
          <w:sz w:val="24"/>
          <w:szCs w:val="28"/>
          <w:lang w:eastAsia="zh-CN"/>
        </w:rPr>
        <w:t>基层生态环境监测机构规范化建设</w:t>
      </w:r>
    </w:p>
    <w:p w14:paraId="1AE87E32">
      <w:pPr>
        <w:spacing w:line="360" w:lineRule="auto"/>
        <w:ind w:firstLine="480"/>
        <w:rPr>
          <w:rFonts w:hint="eastAsia" w:ascii="楷体" w:hAnsi="楷体" w:eastAsia="楷体"/>
          <w:color w:val="4472C4"/>
          <w:sz w:val="24"/>
          <w:szCs w:val="28"/>
          <w:lang w:val="en-US" w:eastAsia="zh-CN"/>
        </w:rPr>
      </w:pPr>
      <w:r>
        <w:rPr>
          <w:rFonts w:hint="eastAsia" w:ascii="楷体" w:hAnsi="楷体" w:eastAsia="楷体"/>
          <w:sz w:val="24"/>
          <w:szCs w:val="28"/>
        </w:rPr>
        <w:t>预算金额：</w:t>
      </w:r>
      <w:r>
        <w:rPr>
          <w:rFonts w:hint="eastAsia" w:ascii="楷体" w:hAnsi="楷体" w:eastAsia="楷体"/>
          <w:color w:val="4472C4"/>
          <w:sz w:val="24"/>
          <w:szCs w:val="28"/>
          <w:lang w:val="en-US" w:eastAsia="zh-CN"/>
        </w:rPr>
        <w:t>688.5万</w:t>
      </w:r>
      <w:r>
        <w:rPr>
          <w:rFonts w:hint="eastAsia" w:ascii="楷体" w:hAnsi="楷体" w:eastAsia="楷体"/>
          <w:color w:val="4472C4"/>
          <w:sz w:val="24"/>
          <w:szCs w:val="28"/>
        </w:rPr>
        <w:t>元</w:t>
      </w:r>
      <w:r>
        <w:rPr>
          <w:rFonts w:hint="eastAsia" w:ascii="楷体" w:hAnsi="楷体" w:eastAsia="楷体"/>
          <w:color w:val="4472C4"/>
          <w:sz w:val="24"/>
          <w:szCs w:val="28"/>
          <w:lang w:eastAsia="zh-CN"/>
        </w:rPr>
        <w:t>，</w:t>
      </w:r>
      <w:r>
        <w:rPr>
          <w:rFonts w:hint="eastAsia" w:ascii="楷体" w:hAnsi="楷体" w:eastAsia="楷体"/>
          <w:color w:val="4472C4"/>
          <w:sz w:val="24"/>
          <w:szCs w:val="28"/>
          <w:lang w:val="en-US" w:eastAsia="zh-CN"/>
        </w:rPr>
        <w:t>其中</w:t>
      </w:r>
      <w:r>
        <w:rPr>
          <w:rFonts w:hint="eastAsia" w:ascii="楷体" w:hAnsi="楷体" w:eastAsia="楷体"/>
          <w:color w:val="4472C4"/>
          <w:sz w:val="24"/>
          <w:szCs w:val="28"/>
        </w:rPr>
        <w:t>采购包1：</w:t>
      </w:r>
      <w:r>
        <w:rPr>
          <w:rFonts w:hint="eastAsia" w:ascii="楷体" w:hAnsi="楷体" w:eastAsia="楷体"/>
          <w:color w:val="4472C4"/>
          <w:sz w:val="24"/>
          <w:szCs w:val="28"/>
          <w:lang w:val="en-US" w:eastAsia="zh-CN"/>
        </w:rPr>
        <w:t>230</w:t>
      </w:r>
      <w:r>
        <w:rPr>
          <w:rFonts w:hint="eastAsia" w:ascii="楷体" w:hAnsi="楷体" w:eastAsia="楷体"/>
          <w:color w:val="4472C4"/>
          <w:sz w:val="24"/>
          <w:szCs w:val="28"/>
        </w:rPr>
        <w:t>万元</w:t>
      </w:r>
      <w:r>
        <w:rPr>
          <w:rFonts w:hint="eastAsia" w:ascii="楷体" w:hAnsi="楷体" w:eastAsia="楷体"/>
          <w:color w:val="4472C4"/>
          <w:sz w:val="24"/>
          <w:szCs w:val="28"/>
          <w:lang w:eastAsia="zh-CN"/>
        </w:rPr>
        <w:t>，</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2</w:t>
      </w:r>
      <w:r>
        <w:rPr>
          <w:rFonts w:hint="eastAsia" w:ascii="楷体" w:hAnsi="楷体" w:eastAsia="楷体"/>
          <w:color w:val="4472C4"/>
          <w:sz w:val="24"/>
          <w:szCs w:val="28"/>
        </w:rPr>
        <w:t>：</w:t>
      </w:r>
      <w:r>
        <w:rPr>
          <w:rFonts w:hint="eastAsia" w:ascii="楷体" w:hAnsi="楷体" w:eastAsia="楷体"/>
          <w:color w:val="4472C4"/>
          <w:sz w:val="24"/>
          <w:szCs w:val="28"/>
          <w:lang w:val="en-US" w:eastAsia="zh-CN"/>
        </w:rPr>
        <w:t>130万元，</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3</w:t>
      </w:r>
      <w:r>
        <w:rPr>
          <w:rFonts w:hint="eastAsia" w:ascii="楷体" w:hAnsi="楷体" w:eastAsia="楷体"/>
          <w:color w:val="4472C4"/>
          <w:sz w:val="24"/>
          <w:szCs w:val="28"/>
        </w:rPr>
        <w:t>：186.1</w:t>
      </w:r>
      <w:r>
        <w:rPr>
          <w:rFonts w:hint="eastAsia" w:ascii="楷体" w:hAnsi="楷体" w:eastAsia="楷体"/>
          <w:color w:val="4472C4"/>
          <w:sz w:val="24"/>
          <w:szCs w:val="28"/>
          <w:lang w:val="en-US" w:eastAsia="zh-CN"/>
        </w:rPr>
        <w:t>万元，</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4</w:t>
      </w:r>
      <w:r>
        <w:rPr>
          <w:rFonts w:hint="eastAsia" w:ascii="楷体" w:hAnsi="楷体" w:eastAsia="楷体"/>
          <w:color w:val="4472C4"/>
          <w:sz w:val="24"/>
          <w:szCs w:val="28"/>
        </w:rPr>
        <w:t>：142.4</w:t>
      </w:r>
      <w:r>
        <w:rPr>
          <w:rFonts w:hint="eastAsia" w:ascii="楷体" w:hAnsi="楷体" w:eastAsia="楷体"/>
          <w:color w:val="4472C4"/>
          <w:sz w:val="24"/>
          <w:szCs w:val="28"/>
          <w:lang w:val="en-US" w:eastAsia="zh-CN"/>
        </w:rPr>
        <w:t>万元。</w:t>
      </w:r>
    </w:p>
    <w:p w14:paraId="79F87C99">
      <w:pPr>
        <w:spacing w:line="360" w:lineRule="auto"/>
        <w:ind w:firstLine="480"/>
        <w:rPr>
          <w:rFonts w:ascii="楷体" w:hAnsi="楷体" w:eastAsia="楷体" w:cs="Arial"/>
          <w:sz w:val="24"/>
          <w:highlight w:val="none"/>
        </w:rPr>
      </w:pPr>
      <w:r>
        <w:rPr>
          <w:rFonts w:hint="eastAsia" w:ascii="楷体" w:hAnsi="楷体" w:eastAsia="楷体"/>
          <w:color w:val="auto"/>
          <w:sz w:val="24"/>
          <w:szCs w:val="28"/>
          <w:lang w:eastAsia="zh-CN"/>
        </w:rPr>
        <w:t>最高限价：</w:t>
      </w:r>
      <w:r>
        <w:rPr>
          <w:rFonts w:hint="eastAsia" w:ascii="楷体" w:hAnsi="楷体" w:eastAsia="楷体"/>
          <w:color w:val="4472C4"/>
          <w:sz w:val="24"/>
          <w:szCs w:val="28"/>
          <w:lang w:val="en-US" w:eastAsia="zh-CN"/>
        </w:rPr>
        <w:t>688.5万</w:t>
      </w:r>
      <w:r>
        <w:rPr>
          <w:rFonts w:hint="eastAsia" w:ascii="楷体" w:hAnsi="楷体" w:eastAsia="楷体"/>
          <w:color w:val="4472C4"/>
          <w:sz w:val="24"/>
          <w:szCs w:val="28"/>
        </w:rPr>
        <w:t>元，</w:t>
      </w:r>
      <w:r>
        <w:rPr>
          <w:rFonts w:hint="eastAsia" w:ascii="楷体" w:hAnsi="楷体" w:eastAsia="楷体"/>
          <w:color w:val="4472C4"/>
          <w:sz w:val="24"/>
          <w:szCs w:val="28"/>
          <w:lang w:val="en-US" w:eastAsia="zh-CN"/>
        </w:rPr>
        <w:t>其中</w:t>
      </w:r>
      <w:r>
        <w:rPr>
          <w:rFonts w:hint="eastAsia" w:ascii="楷体" w:hAnsi="楷体" w:eastAsia="楷体"/>
          <w:color w:val="4472C4"/>
          <w:sz w:val="24"/>
          <w:szCs w:val="28"/>
        </w:rPr>
        <w:t>采购包1：</w:t>
      </w:r>
      <w:r>
        <w:rPr>
          <w:rFonts w:hint="eastAsia" w:ascii="楷体" w:hAnsi="楷体" w:eastAsia="楷体"/>
          <w:color w:val="4472C4"/>
          <w:sz w:val="24"/>
          <w:szCs w:val="28"/>
          <w:lang w:val="en-US" w:eastAsia="zh-CN"/>
        </w:rPr>
        <w:t>230</w:t>
      </w:r>
      <w:r>
        <w:rPr>
          <w:rFonts w:hint="eastAsia" w:ascii="楷体" w:hAnsi="楷体" w:eastAsia="楷体"/>
          <w:color w:val="4472C4"/>
          <w:sz w:val="24"/>
          <w:szCs w:val="28"/>
        </w:rPr>
        <w:t>万元</w:t>
      </w:r>
      <w:r>
        <w:rPr>
          <w:rFonts w:hint="eastAsia" w:ascii="楷体" w:hAnsi="楷体" w:eastAsia="楷体"/>
          <w:color w:val="4472C4"/>
          <w:sz w:val="24"/>
          <w:szCs w:val="28"/>
          <w:lang w:eastAsia="zh-CN"/>
        </w:rPr>
        <w:t>，</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2</w:t>
      </w:r>
      <w:r>
        <w:rPr>
          <w:rFonts w:hint="eastAsia" w:ascii="楷体" w:hAnsi="楷体" w:eastAsia="楷体"/>
          <w:color w:val="4472C4"/>
          <w:sz w:val="24"/>
          <w:szCs w:val="28"/>
        </w:rPr>
        <w:t>：</w:t>
      </w:r>
      <w:r>
        <w:rPr>
          <w:rFonts w:hint="eastAsia" w:ascii="楷体" w:hAnsi="楷体" w:eastAsia="楷体"/>
          <w:color w:val="4472C4"/>
          <w:sz w:val="24"/>
          <w:szCs w:val="28"/>
          <w:lang w:val="en-US" w:eastAsia="zh-CN"/>
        </w:rPr>
        <w:t>130万元，</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3</w:t>
      </w:r>
      <w:r>
        <w:rPr>
          <w:rFonts w:hint="eastAsia" w:ascii="楷体" w:hAnsi="楷体" w:eastAsia="楷体"/>
          <w:color w:val="4472C4"/>
          <w:sz w:val="24"/>
          <w:szCs w:val="28"/>
        </w:rPr>
        <w:t>：186.1</w:t>
      </w:r>
      <w:r>
        <w:rPr>
          <w:rFonts w:hint="eastAsia" w:ascii="楷体" w:hAnsi="楷体" w:eastAsia="楷体"/>
          <w:color w:val="4472C4"/>
          <w:sz w:val="24"/>
          <w:szCs w:val="28"/>
          <w:lang w:val="en-US" w:eastAsia="zh-CN"/>
        </w:rPr>
        <w:t>万元，</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4</w:t>
      </w:r>
      <w:r>
        <w:rPr>
          <w:rFonts w:hint="eastAsia" w:ascii="楷体" w:hAnsi="楷体" w:eastAsia="楷体"/>
          <w:color w:val="4472C4"/>
          <w:sz w:val="24"/>
          <w:szCs w:val="28"/>
        </w:rPr>
        <w:t>：142.4</w:t>
      </w:r>
      <w:r>
        <w:rPr>
          <w:rFonts w:hint="eastAsia" w:ascii="楷体" w:hAnsi="楷体" w:eastAsia="楷体"/>
          <w:color w:val="4472C4"/>
          <w:sz w:val="24"/>
          <w:szCs w:val="28"/>
          <w:lang w:val="en-US" w:eastAsia="zh-CN"/>
        </w:rPr>
        <w:t>万元。各</w:t>
      </w:r>
      <w:r>
        <w:rPr>
          <w:rFonts w:hint="eastAsia" w:ascii="楷体" w:hAnsi="楷体" w:eastAsia="楷体"/>
          <w:color w:val="4472C4"/>
          <w:sz w:val="24"/>
          <w:szCs w:val="28"/>
        </w:rPr>
        <w:t>采购包</w:t>
      </w:r>
      <w:r>
        <w:rPr>
          <w:rFonts w:hint="eastAsia" w:ascii="楷体" w:hAnsi="楷体" w:eastAsia="楷体"/>
          <w:color w:val="4472C4"/>
          <w:sz w:val="24"/>
          <w:szCs w:val="28"/>
          <w:lang w:val="en-US" w:eastAsia="zh-CN"/>
        </w:rPr>
        <w:t>的单项最高限价</w:t>
      </w:r>
      <w:r>
        <w:rPr>
          <w:rFonts w:hint="eastAsia" w:ascii="楷体" w:hAnsi="楷体" w:eastAsia="楷体"/>
          <w:color w:val="4472C4" w:themeColor="accent1"/>
          <w:sz w:val="24"/>
          <w:szCs w:val="28"/>
          <w:highlight w:val="none"/>
          <w:lang w:val="en-US" w:eastAsia="zh-CN"/>
          <w14:textFill>
            <w14:solidFill>
              <w14:schemeClr w14:val="accent1"/>
            </w14:solidFill>
          </w14:textFill>
        </w:rPr>
        <w:t>详见招标文件第四部分采购需求</w:t>
      </w:r>
      <w:r>
        <w:rPr>
          <w:rFonts w:hint="eastAsia" w:ascii="楷体" w:hAnsi="楷体" w:eastAsia="楷体"/>
          <w:color w:val="4472C4" w:themeColor="accent1"/>
          <w:sz w:val="24"/>
          <w:szCs w:val="28"/>
          <w:highlight w:val="none"/>
          <w14:textFill>
            <w14:solidFill>
              <w14:schemeClr w14:val="accent1"/>
            </w14:solidFill>
          </w14:textFill>
        </w:rPr>
        <w:t>。各单项货物投标报价超过各单项</w:t>
      </w:r>
      <w:r>
        <w:rPr>
          <w:rFonts w:hint="eastAsia" w:ascii="楷体" w:hAnsi="楷体" w:eastAsia="楷体"/>
          <w:color w:val="4472C4" w:themeColor="accent1"/>
          <w:sz w:val="24"/>
          <w:szCs w:val="28"/>
          <w:highlight w:val="none"/>
          <w:lang w:eastAsia="zh-CN"/>
          <w14:textFill>
            <w14:solidFill>
              <w14:schemeClr w14:val="accent1"/>
            </w14:solidFill>
          </w14:textFill>
        </w:rPr>
        <w:t>最高限价</w:t>
      </w:r>
      <w:r>
        <w:rPr>
          <w:rFonts w:hint="eastAsia" w:ascii="楷体" w:hAnsi="楷体" w:eastAsia="楷体"/>
          <w:color w:val="4472C4" w:themeColor="accent1"/>
          <w:sz w:val="24"/>
          <w:szCs w:val="28"/>
          <w:highlight w:val="none"/>
          <w14:textFill>
            <w14:solidFill>
              <w14:schemeClr w14:val="accent1"/>
            </w14:solidFill>
          </w14:textFill>
        </w:rPr>
        <w:t>的为无效报价，按照无效响应处理。</w:t>
      </w:r>
    </w:p>
    <w:p w14:paraId="667ED597">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采购需求：</w:t>
      </w:r>
      <w:bookmarkStart w:id="13" w:name="OLE_LINK20"/>
      <w:r>
        <w:rPr>
          <w:rFonts w:hint="eastAsia" w:ascii="楷体" w:hAnsi="楷体" w:eastAsia="楷体"/>
          <w:color w:val="4472C4" w:themeColor="accent1"/>
          <w:sz w:val="24"/>
          <w:szCs w:val="28"/>
          <w14:textFill>
            <w14:solidFill>
              <w14:schemeClr w14:val="accent1"/>
            </w14:solidFill>
          </w14:textFill>
        </w:rPr>
        <w:t>详细内容及要求见第四部分采购需求</w:t>
      </w:r>
      <w:bookmarkEnd w:id="13"/>
      <w:r>
        <w:rPr>
          <w:rFonts w:hint="eastAsia" w:ascii="楷体" w:hAnsi="楷体" w:eastAsia="楷体"/>
          <w:color w:val="4472C4" w:themeColor="accent1"/>
          <w:sz w:val="24"/>
          <w:szCs w:val="28"/>
          <w14:textFill>
            <w14:solidFill>
              <w14:schemeClr w14:val="accent1"/>
            </w14:solidFill>
          </w14:textFill>
        </w:rPr>
        <w:t>。</w:t>
      </w:r>
    </w:p>
    <w:p w14:paraId="3644A5FF">
      <w:pPr>
        <w:spacing w:line="360" w:lineRule="auto"/>
        <w:ind w:firstLine="480"/>
        <w:rPr>
          <w:rFonts w:ascii="楷体" w:hAnsi="楷体" w:eastAsia="楷体"/>
          <w:sz w:val="24"/>
          <w:szCs w:val="28"/>
        </w:rPr>
      </w:pPr>
      <w:r>
        <w:rPr>
          <w:rFonts w:hint="eastAsia" w:ascii="楷体" w:hAnsi="楷体" w:eastAsia="楷体"/>
          <w:sz w:val="24"/>
          <w:szCs w:val="28"/>
        </w:rPr>
        <w:t>合同履行期限：</w:t>
      </w:r>
      <w:r>
        <w:rPr>
          <w:rFonts w:hint="eastAsia" w:ascii="楷体" w:hAnsi="楷体" w:eastAsia="楷体"/>
          <w:color w:val="4472C4" w:themeColor="accent1"/>
          <w:sz w:val="24"/>
          <w:szCs w:val="28"/>
          <w14:textFill>
            <w14:solidFill>
              <w14:schemeClr w14:val="accent1"/>
            </w14:solidFill>
          </w14:textFill>
        </w:rPr>
        <w:t>详细内容及要求见第四部分采购需求。</w:t>
      </w:r>
    </w:p>
    <w:p w14:paraId="50447AD1">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000000"/>
          <w:sz w:val="24"/>
        </w:rPr>
        <w:t>本项目是否接受联合体投标：</w:t>
      </w:r>
      <w:r>
        <w:rPr>
          <w:rFonts w:ascii="Wingdings 2" w:hAnsi="Wingdings 2" w:eastAsia="Wingdings 2" w:cs="Wingdings 2"/>
          <w:color w:val="00B050"/>
          <w:sz w:val="24"/>
          <w:szCs w:val="28"/>
        </w:rPr>
        <w:sym w:font="Wingdings 2" w:char="00A3"/>
      </w:r>
      <w:r>
        <w:rPr>
          <w:rFonts w:hint="eastAsia" w:ascii="楷体" w:hAnsi="楷体" w:eastAsia="楷体"/>
          <w:color w:val="00B050"/>
          <w:sz w:val="24"/>
          <w:szCs w:val="28"/>
        </w:rPr>
        <w:t>不接受</w:t>
      </w:r>
    </w:p>
    <w:p w14:paraId="0166970D">
      <w:pPr>
        <w:pStyle w:val="5"/>
        <w:spacing w:line="360" w:lineRule="auto"/>
        <w:ind w:left="-142"/>
        <w:jc w:val="both"/>
        <w:rPr>
          <w:rFonts w:ascii="楷体" w:hAnsi="楷体" w:eastAsia="楷体" w:cs="宋体"/>
          <w:b w:val="0"/>
          <w:sz w:val="24"/>
          <w:szCs w:val="28"/>
        </w:rPr>
      </w:pPr>
      <w:bookmarkStart w:id="14" w:name="_Toc35393622"/>
      <w:bookmarkStart w:id="15" w:name="_Toc28359080"/>
      <w:bookmarkStart w:id="16" w:name="_Toc35393791"/>
      <w:bookmarkStart w:id="17" w:name="_Toc28359003"/>
      <w:r>
        <w:rPr>
          <w:rFonts w:hint="eastAsia" w:ascii="楷体" w:hAnsi="楷体" w:eastAsia="楷体" w:cs="宋体"/>
          <w:b w:val="0"/>
          <w:sz w:val="24"/>
          <w:szCs w:val="28"/>
        </w:rPr>
        <w:t>二、申请人的资格要求</w:t>
      </w:r>
      <w:bookmarkEnd w:id="14"/>
      <w:bookmarkEnd w:id="15"/>
      <w:bookmarkEnd w:id="16"/>
      <w:bookmarkEnd w:id="17"/>
      <w:r>
        <w:rPr>
          <w:rFonts w:hint="eastAsia" w:ascii="楷体" w:hAnsi="楷体" w:eastAsia="楷体" w:cs="宋体"/>
          <w:b w:val="0"/>
          <w:sz w:val="24"/>
          <w:szCs w:val="28"/>
        </w:rPr>
        <w:t>:</w:t>
      </w:r>
      <w:r>
        <w:rPr>
          <w:rFonts w:ascii="楷体" w:hAnsi="楷体" w:eastAsia="楷体" w:cs="宋体"/>
          <w:b w:val="0"/>
          <w:sz w:val="24"/>
          <w:szCs w:val="28"/>
        </w:rPr>
        <w:t xml:space="preserve"> </w:t>
      </w:r>
    </w:p>
    <w:p w14:paraId="18E52D17">
      <w:pPr>
        <w:spacing w:line="360" w:lineRule="auto"/>
        <w:ind w:firstLine="480"/>
        <w:rPr>
          <w:rFonts w:ascii="楷体" w:hAnsi="楷体" w:eastAsia="楷体"/>
          <w:color w:val="4472C4" w:themeColor="accent1"/>
          <w:sz w:val="24"/>
          <w:szCs w:val="28"/>
          <w14:textFill>
            <w14:solidFill>
              <w14:schemeClr w14:val="accent1"/>
            </w14:solidFill>
          </w14:textFill>
        </w:rPr>
      </w:pPr>
      <w:bookmarkStart w:id="18" w:name="_Hlk152166700"/>
      <w:bookmarkStart w:id="19" w:name="_Hlk176853600"/>
      <w:bookmarkStart w:id="20" w:name="_Toc35393623"/>
      <w:bookmarkStart w:id="21" w:name="_Toc28359081"/>
      <w:bookmarkStart w:id="22" w:name="_Toc35393792"/>
      <w:bookmarkStart w:id="23" w:name="_Toc28359004"/>
      <w:r>
        <w:rPr>
          <w:rFonts w:hint="eastAsia" w:ascii="楷体" w:hAnsi="楷体" w:eastAsia="楷体"/>
          <w:color w:val="4472C4" w:themeColor="accent1"/>
          <w:sz w:val="24"/>
          <w:szCs w:val="28"/>
          <w14:textFill>
            <w14:solidFill>
              <w14:schemeClr w14:val="accent1"/>
            </w14:solidFill>
          </w14:textFill>
        </w:rPr>
        <w:t>1.满足《中华人民共和国政府采购法》第二十二条规定：</w:t>
      </w:r>
      <w:r>
        <w:rPr>
          <w:rFonts w:ascii="楷体" w:hAnsi="楷体" w:eastAsia="楷体"/>
          <w:color w:val="4472C4" w:themeColor="accent1"/>
          <w:sz w:val="24"/>
          <w:szCs w:val="28"/>
          <w14:textFill>
            <w14:solidFill>
              <w14:schemeClr w14:val="accent1"/>
            </w14:solidFill>
          </w14:textFill>
        </w:rPr>
        <w:t xml:space="preserve"> </w:t>
      </w:r>
    </w:p>
    <w:p w14:paraId="701D5F0B">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1.1具有独立承担民事责任的能力（提供法人或者其他组织的营业执照等证明文件扫描件；投标人为自然人的，提供其身份证扫描件）；</w:t>
      </w:r>
    </w:p>
    <w:p w14:paraId="7BA2C4B5">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1.2具有良好的商业信誉和健全的财务会计制度[提供上一年度财务报告、成立不满一年的提供至少一个月财务报告，或银行出具的资信证明，或财政部门认可的政府采购专业担保机构出具的投标担保函等，或资格承诺函（格式见第六部分）]；</w:t>
      </w:r>
    </w:p>
    <w:p w14:paraId="08BA2382">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1.3具有履行合同所必需的设备和专业技术能力[提供投标人相关信息一览表或资格承诺函（格式见第六部分）]；</w:t>
      </w:r>
    </w:p>
    <w:p w14:paraId="2BE97C91">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1.4有依法缴纳税收和社会保障资金的良好记录[提供参加本次政府采购活动</w:t>
      </w:r>
      <w:r>
        <w:rPr>
          <w:rFonts w:hint="eastAsia" w:ascii="楷体" w:hAnsi="楷体" w:eastAsia="楷体"/>
          <w:color w:val="4472C4" w:themeColor="accent1"/>
          <w:sz w:val="24"/>
          <w:szCs w:val="28"/>
          <w:lang w:eastAsia="zh-CN"/>
          <w14:textFill>
            <w14:solidFill>
              <w14:schemeClr w14:val="accent1"/>
            </w14:solidFill>
          </w14:textFill>
        </w:rPr>
        <w:t>近</w:t>
      </w:r>
      <w:r>
        <w:rPr>
          <w:rFonts w:hint="eastAsia" w:ascii="楷体" w:hAnsi="楷体" w:eastAsia="楷体"/>
          <w:color w:val="4472C4" w:themeColor="accent1"/>
          <w:sz w:val="24"/>
          <w:szCs w:val="28"/>
          <w14:textFill>
            <w14:solidFill>
              <w14:schemeClr w14:val="accent1"/>
            </w14:solidFill>
          </w14:textFill>
        </w:rPr>
        <w:t>半年内至少一个月依法缴纳税收和社会保险的凭据或资格承诺函（格式见第六部分）]；</w:t>
      </w:r>
    </w:p>
    <w:p w14:paraId="0E4EBF39">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1.5参加政府采购活动前三年内，在经营活动中没有重大违法记录[见投标函或提供资格承诺函（格式见第六部分）];</w:t>
      </w:r>
    </w:p>
    <w:p w14:paraId="315FFA4F">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1.6法律、行政法规规定的其他条件：</w:t>
      </w:r>
      <w:r>
        <w:rPr>
          <w:rFonts w:hint="eastAsia" w:ascii="楷体" w:hAnsi="楷体" w:eastAsia="楷体"/>
          <w:bCs/>
          <w:color w:val="4472C4" w:themeColor="accent1"/>
          <w:sz w:val="24"/>
          <w:szCs w:val="28"/>
          <w14:textFill>
            <w14:solidFill>
              <w14:schemeClr w14:val="accent1"/>
            </w14:solidFill>
          </w14:textFill>
        </w:rPr>
        <w:t>无</w:t>
      </w:r>
      <w:r>
        <w:rPr>
          <w:rFonts w:hint="eastAsia" w:ascii="楷体" w:hAnsi="楷体" w:eastAsia="楷体"/>
          <w:color w:val="4472C4" w:themeColor="accent1"/>
          <w:sz w:val="24"/>
          <w:szCs w:val="28"/>
          <w14:textFill>
            <w14:solidFill>
              <w14:schemeClr w14:val="accent1"/>
            </w14:solidFill>
          </w14:textFill>
        </w:rPr>
        <w:t>。</w:t>
      </w:r>
      <w:bookmarkEnd w:id="18"/>
    </w:p>
    <w:p w14:paraId="076723B2">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2.落实政府采购政策需满足的资格要求：</w:t>
      </w:r>
    </w:p>
    <w:p w14:paraId="5E1592C7">
      <w:pPr>
        <w:spacing w:line="360" w:lineRule="auto"/>
        <w:ind w:firstLine="480"/>
        <w:rPr>
          <w:rFonts w:ascii="楷体" w:hAnsi="楷体" w:eastAsia="楷体"/>
          <w:color w:val="4472C4" w:themeColor="accent1"/>
          <w:sz w:val="24"/>
          <w:szCs w:val="28"/>
          <w14:textFill>
            <w14:solidFill>
              <w14:schemeClr w14:val="accent1"/>
            </w14:solidFill>
          </w14:textFill>
        </w:rPr>
      </w:pPr>
      <w:r>
        <w:rPr>
          <w:rFonts w:ascii="Wingdings 2" w:hAnsi="Wingdings 2" w:eastAsia="Wingdings 2" w:cs="Wingdings 2"/>
          <w:color w:val="4472C4"/>
          <w:sz w:val="24"/>
          <w:szCs w:val="28"/>
        </w:rPr>
        <w:t></w:t>
      </w:r>
      <w:r>
        <w:rPr>
          <w:rFonts w:hint="eastAsia" w:ascii="楷体" w:hAnsi="楷体" w:eastAsia="楷体"/>
          <w:color w:val="4472C4" w:themeColor="accent1"/>
          <w:sz w:val="24"/>
          <w:szCs w:val="28"/>
          <w14:textFill>
            <w14:solidFill>
              <w14:schemeClr w14:val="accent1"/>
            </w14:solidFill>
          </w14:textFill>
        </w:rPr>
        <w:t>本项目专门面向中小企业</w:t>
      </w:r>
    </w:p>
    <w:p w14:paraId="6B393FF3">
      <w:pPr>
        <w:spacing w:line="360" w:lineRule="auto"/>
        <w:ind w:firstLine="480" w:firstLineChars="200"/>
        <w:rPr>
          <w:rFonts w:ascii="楷体" w:hAnsi="楷体" w:eastAsia="楷体"/>
          <w:color w:val="4472C4" w:themeColor="accent1"/>
          <w:sz w:val="24"/>
          <w:szCs w:val="28"/>
          <w14:textFill>
            <w14:solidFill>
              <w14:schemeClr w14:val="accent1"/>
            </w14:solidFill>
          </w14:textFill>
        </w:rPr>
      </w:pPr>
      <w:r>
        <w:rPr>
          <w:rFonts w:ascii="Wingdings 2" w:hAnsi="Wingdings 2" w:eastAsia="Wingdings 2" w:cs="Wingdings 2"/>
          <w:color w:val="4472C4"/>
          <w:sz w:val="24"/>
          <w:szCs w:val="28"/>
        </w:rPr>
        <w:t></w:t>
      </w:r>
      <w:r>
        <w:rPr>
          <w:rFonts w:hint="eastAsia" w:ascii="楷体" w:hAnsi="楷体" w:eastAsia="楷体"/>
          <w:color w:val="4472C4" w:themeColor="accent1"/>
          <w:sz w:val="24"/>
          <w:szCs w:val="28"/>
          <w14:textFill>
            <w14:solidFill>
              <w14:schemeClr w14:val="accent1"/>
            </w14:solidFill>
          </w14:textFill>
        </w:rPr>
        <w:t>货物全部由符合政策要求的中小企业制造，</w:t>
      </w:r>
      <w:bookmarkStart w:id="24" w:name="_Hlk136440921"/>
      <w:r>
        <w:rPr>
          <w:rFonts w:hint="eastAsia" w:ascii="楷体" w:hAnsi="楷体" w:eastAsia="楷体"/>
          <w:color w:val="4472C4" w:themeColor="accent1"/>
          <w:sz w:val="24"/>
          <w:szCs w:val="28"/>
          <w14:textFill>
            <w14:solidFill>
              <w14:schemeClr w14:val="accent1"/>
            </w14:solidFill>
          </w14:textFill>
        </w:rPr>
        <w:t>提供中小企业声明函</w:t>
      </w:r>
      <w:bookmarkEnd w:id="24"/>
      <w:r>
        <w:rPr>
          <w:rFonts w:hint="eastAsia" w:ascii="楷体" w:hAnsi="楷体" w:eastAsia="楷体"/>
          <w:color w:val="4472C4" w:themeColor="accent1"/>
          <w:sz w:val="24"/>
          <w:szCs w:val="28"/>
          <w14:textFill>
            <w14:solidFill>
              <w14:schemeClr w14:val="accent1"/>
            </w14:solidFill>
          </w14:textFill>
        </w:rPr>
        <w:t>。</w:t>
      </w:r>
    </w:p>
    <w:p w14:paraId="531A0371">
      <w:pPr>
        <w:spacing w:line="360" w:lineRule="auto"/>
        <w:ind w:firstLine="480"/>
        <w:rPr>
          <w:rFonts w:ascii="仿宋_GB2312" w:hAnsi="仿宋" w:eastAsia="楷体" w:cs="仿宋_GB2312"/>
          <w:sz w:val="24"/>
        </w:rPr>
      </w:pPr>
      <w:r>
        <w:rPr>
          <w:rFonts w:hint="eastAsia" w:ascii="楷体" w:hAnsi="楷体" w:eastAsia="楷体"/>
          <w:color w:val="4472C4" w:themeColor="accent1"/>
          <w:sz w:val="24"/>
          <w:szCs w:val="28"/>
          <w14:textFill>
            <w14:solidFill>
              <w14:schemeClr w14:val="accent1"/>
            </w14:solidFill>
          </w14:textFill>
        </w:rPr>
        <w:t xml:space="preserve">3.本项目的特定资格要求：无。 </w:t>
      </w:r>
    </w:p>
    <w:bookmarkEnd w:id="19"/>
    <w:p w14:paraId="70D57E35">
      <w:pPr>
        <w:pStyle w:val="5"/>
        <w:spacing w:line="360" w:lineRule="auto"/>
        <w:ind w:left="-142"/>
        <w:jc w:val="both"/>
        <w:rPr>
          <w:rFonts w:ascii="楷体" w:hAnsi="楷体" w:eastAsia="楷体" w:cs="宋体"/>
          <w:b w:val="0"/>
          <w:sz w:val="24"/>
          <w:szCs w:val="28"/>
        </w:rPr>
      </w:pPr>
      <w:r>
        <w:rPr>
          <w:rFonts w:hint="eastAsia" w:ascii="楷体" w:hAnsi="楷体" w:eastAsia="楷体" w:cs="宋体"/>
          <w:b w:val="0"/>
          <w:sz w:val="24"/>
          <w:szCs w:val="28"/>
        </w:rPr>
        <w:t>三、获取招标文件</w:t>
      </w:r>
      <w:bookmarkEnd w:id="20"/>
      <w:bookmarkEnd w:id="21"/>
      <w:bookmarkEnd w:id="22"/>
      <w:bookmarkEnd w:id="23"/>
    </w:p>
    <w:p w14:paraId="62619251">
      <w:pPr>
        <w:spacing w:line="360" w:lineRule="auto"/>
        <w:ind w:firstLine="480"/>
        <w:rPr>
          <w:rFonts w:hint="default" w:ascii="楷体" w:hAnsi="楷体" w:eastAsia="楷体"/>
          <w:sz w:val="24"/>
          <w:szCs w:val="28"/>
          <w:lang w:val="en-US" w:eastAsia="zh-CN"/>
        </w:rPr>
      </w:pPr>
      <w:r>
        <w:rPr>
          <w:rFonts w:hint="eastAsia" w:ascii="楷体" w:hAnsi="楷体" w:eastAsia="楷体"/>
          <w:sz w:val="24"/>
          <w:szCs w:val="28"/>
        </w:rPr>
        <w:t>获取时间</w:t>
      </w:r>
      <w:r>
        <w:rPr>
          <w:rFonts w:hint="eastAsia" w:ascii="楷体" w:hAnsi="楷体" w:eastAsia="楷体"/>
          <w:color w:val="4472C4"/>
          <w:sz w:val="24"/>
          <w:szCs w:val="28"/>
        </w:rPr>
        <w:t>：</w:t>
      </w:r>
      <w:r>
        <w:rPr>
          <w:rFonts w:hint="eastAsia" w:ascii="楷体" w:hAnsi="楷体" w:eastAsia="楷体"/>
          <w:sz w:val="24"/>
          <w:szCs w:val="28"/>
          <w:lang w:val="en-US" w:eastAsia="zh-CN"/>
        </w:rPr>
        <w:t>自招标文件公告发布之日起5个工作日</w:t>
      </w:r>
    </w:p>
    <w:p w14:paraId="4333505A">
      <w:pPr>
        <w:spacing w:line="360" w:lineRule="auto"/>
        <w:ind w:firstLine="480"/>
        <w:rPr>
          <w:rFonts w:ascii="楷体" w:hAnsi="楷体" w:eastAsia="楷体"/>
          <w:i/>
          <w:iCs/>
          <w:sz w:val="24"/>
          <w:szCs w:val="28"/>
        </w:rPr>
      </w:pPr>
      <w:r>
        <w:rPr>
          <w:rFonts w:hint="eastAsia" w:ascii="楷体" w:hAnsi="楷体" w:eastAsia="楷体"/>
          <w:sz w:val="24"/>
          <w:szCs w:val="28"/>
        </w:rPr>
        <w:t>获取地点：江苏政府采购网-苏采云电子交易平台</w:t>
      </w:r>
      <w:bookmarkStart w:id="280" w:name="_GoBack"/>
      <w:bookmarkEnd w:id="280"/>
    </w:p>
    <w:p w14:paraId="047442E1">
      <w:pPr>
        <w:spacing w:line="360" w:lineRule="auto"/>
        <w:ind w:firstLine="480"/>
        <w:jc w:val="left"/>
        <w:rPr>
          <w:rFonts w:ascii="楷体" w:hAnsi="楷体" w:eastAsia="楷体"/>
          <w:color w:val="5B9BD5" w:themeColor="accent5"/>
          <w:sz w:val="24"/>
          <w:szCs w:val="28"/>
          <w14:textFill>
            <w14:solidFill>
              <w14:schemeClr w14:val="accent5"/>
            </w14:solidFill>
          </w14:textFill>
        </w:rPr>
      </w:pPr>
      <w:r>
        <w:rPr>
          <w:rFonts w:hint="eastAsia" w:ascii="楷体" w:hAnsi="楷体" w:eastAsia="楷体"/>
          <w:sz w:val="24"/>
          <w:szCs w:val="28"/>
        </w:rPr>
        <w:t>获取方式：在线获取（“苏采云”系统用户注册--获取“CA数字证书”--CA绑定与登录--网上报名--下载招标文件，</w:t>
      </w:r>
      <w:bookmarkStart w:id="25" w:name="_Hlk153292470"/>
      <w:r>
        <w:rPr>
          <w:rFonts w:hint="eastAsia" w:ascii="楷体" w:hAnsi="楷体" w:eastAsia="楷体"/>
          <w:sz w:val="24"/>
          <w:szCs w:val="28"/>
        </w:rPr>
        <w:t>具体操作详见“苏采云”系统供应商操作指南</w:t>
      </w:r>
      <w:r>
        <w:fldChar w:fldCharType="begin"/>
      </w:r>
      <w:r>
        <w:instrText xml:space="preserve"> HYPERLINK "http://www.ccgp-jiangsu.gov.cn/jiangsu/zlxz/ee/ee3a4bc5a3454aa2b0d9312230633ce9.html" </w:instrText>
      </w:r>
      <w:r>
        <w:fldChar w:fldCharType="separate"/>
      </w:r>
      <w:r>
        <w:rPr>
          <w:rStyle w:val="82"/>
          <w:rFonts w:ascii="楷体" w:hAnsi="楷体" w:eastAsia="楷体"/>
          <w:sz w:val="24"/>
          <w:szCs w:val="28"/>
        </w:rPr>
        <w:t>http://www.ccgp-jiangsu.gov.cn/jiangsu/zlxz/ee/ee3a4bc5a3454aa2b0d9312230633ce9.html</w:t>
      </w:r>
      <w:r>
        <w:rPr>
          <w:rStyle w:val="82"/>
          <w:rFonts w:ascii="楷体" w:hAnsi="楷体" w:eastAsia="楷体"/>
          <w:sz w:val="24"/>
          <w:szCs w:val="28"/>
        </w:rPr>
        <w:fldChar w:fldCharType="end"/>
      </w:r>
      <w:r>
        <w:rPr>
          <w:rStyle w:val="82"/>
          <w:rFonts w:hint="eastAsia" w:ascii="楷体" w:hAnsi="楷体" w:eastAsia="楷体"/>
          <w:sz w:val="24"/>
          <w:szCs w:val="28"/>
        </w:rPr>
        <w:t>）</w:t>
      </w:r>
      <w:bookmarkEnd w:id="25"/>
      <w:r>
        <w:rPr>
          <w:rFonts w:ascii="楷体" w:hAnsi="楷体" w:eastAsia="楷体"/>
          <w:color w:val="5B9BD5" w:themeColor="accent5"/>
          <w:sz w:val="24"/>
          <w:szCs w:val="28"/>
          <w14:textFill>
            <w14:solidFill>
              <w14:schemeClr w14:val="accent5"/>
            </w14:solidFill>
          </w14:textFill>
        </w:rPr>
        <w:t xml:space="preserve">                 </w:t>
      </w:r>
    </w:p>
    <w:p w14:paraId="07A8A03C">
      <w:pPr>
        <w:spacing w:line="360" w:lineRule="auto"/>
        <w:ind w:firstLine="480"/>
        <w:rPr>
          <w:rFonts w:ascii="楷体" w:hAnsi="楷体" w:eastAsia="楷体"/>
          <w:color w:val="00B050"/>
          <w:sz w:val="24"/>
          <w:szCs w:val="28"/>
        </w:rPr>
      </w:pPr>
      <w:r>
        <w:rPr>
          <w:rFonts w:hint="eastAsia" w:ascii="楷体" w:hAnsi="楷体" w:eastAsia="楷体"/>
          <w:sz w:val="24"/>
          <w:szCs w:val="28"/>
        </w:rPr>
        <w:t>采购文件售价：</w:t>
      </w:r>
      <w:r>
        <w:rPr>
          <w:rFonts w:hint="eastAsia" w:ascii="楷体" w:hAnsi="楷体" w:eastAsia="楷体"/>
          <w:color w:val="2E75B6" w:themeColor="accent5" w:themeShade="BF"/>
          <w:sz w:val="24"/>
          <w:szCs w:val="28"/>
        </w:rPr>
        <w:t>免费</w:t>
      </w:r>
    </w:p>
    <w:p w14:paraId="678FF7C5">
      <w:pPr>
        <w:pStyle w:val="5"/>
        <w:spacing w:line="360" w:lineRule="auto"/>
        <w:ind w:left="-142"/>
        <w:jc w:val="both"/>
        <w:rPr>
          <w:rFonts w:ascii="楷体" w:hAnsi="楷体" w:eastAsia="楷体" w:cs="宋体"/>
          <w:b w:val="0"/>
          <w:sz w:val="24"/>
          <w:szCs w:val="28"/>
        </w:rPr>
      </w:pPr>
      <w:bookmarkStart w:id="26" w:name="_Toc28359005"/>
      <w:bookmarkStart w:id="27" w:name="_Toc35393793"/>
      <w:bookmarkStart w:id="28" w:name="_Toc35393624"/>
      <w:bookmarkStart w:id="29" w:name="_Toc28359082"/>
      <w:r>
        <w:rPr>
          <w:rFonts w:hint="eastAsia" w:ascii="楷体" w:hAnsi="楷体" w:eastAsia="楷体" w:cs="宋体"/>
          <w:b w:val="0"/>
          <w:sz w:val="24"/>
          <w:szCs w:val="28"/>
        </w:rPr>
        <w:t>四、</w:t>
      </w:r>
      <w:bookmarkEnd w:id="26"/>
      <w:bookmarkEnd w:id="27"/>
      <w:bookmarkEnd w:id="28"/>
      <w:bookmarkEnd w:id="29"/>
      <w:r>
        <w:rPr>
          <w:rFonts w:hint="eastAsia" w:ascii="楷体" w:hAnsi="楷体" w:eastAsia="楷体" w:cs="宋体"/>
          <w:b w:val="0"/>
          <w:sz w:val="24"/>
          <w:szCs w:val="28"/>
        </w:rPr>
        <w:t>提交投标文件截止时间、开标时间和地点</w:t>
      </w:r>
    </w:p>
    <w:p w14:paraId="32042FEE">
      <w:pPr>
        <w:spacing w:line="360" w:lineRule="auto"/>
        <w:ind w:firstLine="480"/>
        <w:rPr>
          <w:rFonts w:ascii="楷体" w:hAnsi="楷体" w:eastAsia="楷体"/>
          <w:bCs/>
          <w:sz w:val="24"/>
          <w:szCs w:val="28"/>
          <w:u w:val="single"/>
        </w:rPr>
      </w:pPr>
      <w:r>
        <w:rPr>
          <w:rFonts w:hint="eastAsia" w:ascii="楷体" w:hAnsi="楷体" w:eastAsia="楷体"/>
          <w:bCs/>
          <w:sz w:val="24"/>
          <w:szCs w:val="28"/>
        </w:rPr>
        <w:t>提交截止时间及开标时间：</w:t>
      </w:r>
      <w:r>
        <w:rPr>
          <w:rFonts w:ascii="楷体" w:hAnsi="楷体" w:eastAsia="楷体"/>
          <w:bCs/>
          <w:color w:val="4472C4"/>
          <w:sz w:val="24"/>
          <w:szCs w:val="28"/>
          <w:u w:val="single"/>
        </w:rPr>
        <w:t>2024</w:t>
      </w:r>
      <w:r>
        <w:rPr>
          <w:rFonts w:hint="eastAsia" w:ascii="楷体" w:hAnsi="楷体" w:eastAsia="楷体"/>
          <w:bCs/>
          <w:color w:val="4472C4"/>
          <w:sz w:val="24"/>
          <w:szCs w:val="28"/>
          <w:u w:val="single"/>
        </w:rPr>
        <w:t>年</w:t>
      </w:r>
      <w:r>
        <w:rPr>
          <w:rFonts w:hint="eastAsia" w:ascii="楷体" w:hAnsi="楷体" w:eastAsia="楷体"/>
          <w:bCs/>
          <w:color w:val="4472C4"/>
          <w:sz w:val="24"/>
          <w:szCs w:val="28"/>
          <w:u w:val="single"/>
          <w:lang w:val="en-US" w:eastAsia="zh-CN"/>
        </w:rPr>
        <w:t>11</w:t>
      </w:r>
      <w:r>
        <w:rPr>
          <w:rFonts w:hint="eastAsia" w:ascii="楷体" w:hAnsi="楷体" w:eastAsia="楷体"/>
          <w:bCs/>
          <w:color w:val="4472C4"/>
          <w:sz w:val="24"/>
          <w:szCs w:val="28"/>
          <w:u w:val="single"/>
        </w:rPr>
        <w:t>月</w:t>
      </w:r>
      <w:r>
        <w:rPr>
          <w:rFonts w:hint="eastAsia" w:ascii="楷体" w:hAnsi="楷体" w:eastAsia="楷体"/>
          <w:bCs/>
          <w:color w:val="4472C4"/>
          <w:sz w:val="24"/>
          <w:szCs w:val="28"/>
          <w:u w:val="single"/>
          <w:lang w:val="en-US" w:eastAsia="zh-CN"/>
        </w:rPr>
        <w:t>05</w:t>
      </w:r>
      <w:r>
        <w:rPr>
          <w:rFonts w:hint="eastAsia" w:ascii="楷体" w:hAnsi="楷体" w:eastAsia="楷体"/>
          <w:bCs/>
          <w:color w:val="4472C4"/>
          <w:sz w:val="24"/>
          <w:szCs w:val="28"/>
          <w:u w:val="single"/>
        </w:rPr>
        <w:t>日</w:t>
      </w:r>
      <w:r>
        <w:rPr>
          <w:rFonts w:ascii="楷体" w:hAnsi="楷体" w:eastAsia="楷体"/>
          <w:bCs/>
          <w:color w:val="4472C4"/>
          <w:sz w:val="24"/>
          <w:szCs w:val="28"/>
          <w:u w:val="single"/>
        </w:rPr>
        <w:t>09</w:t>
      </w:r>
      <w:r>
        <w:rPr>
          <w:rFonts w:hint="eastAsia" w:ascii="楷体" w:hAnsi="楷体" w:eastAsia="楷体"/>
          <w:bCs/>
          <w:color w:val="4472C4"/>
          <w:sz w:val="24"/>
          <w:szCs w:val="28"/>
          <w:u w:val="single"/>
        </w:rPr>
        <w:t>点</w:t>
      </w:r>
      <w:r>
        <w:rPr>
          <w:rFonts w:ascii="楷体" w:hAnsi="楷体" w:eastAsia="楷体"/>
          <w:bCs/>
          <w:color w:val="4472C4"/>
          <w:sz w:val="24"/>
          <w:szCs w:val="28"/>
          <w:u w:val="single"/>
        </w:rPr>
        <w:t>30</w:t>
      </w:r>
      <w:r>
        <w:rPr>
          <w:rFonts w:hint="eastAsia" w:ascii="楷体" w:hAnsi="楷体" w:eastAsia="楷体"/>
          <w:bCs/>
          <w:color w:val="4472C4"/>
          <w:sz w:val="24"/>
          <w:szCs w:val="28"/>
          <w:u w:val="single"/>
        </w:rPr>
        <w:t>分</w:t>
      </w:r>
      <w:r>
        <w:rPr>
          <w:rFonts w:hint="eastAsia" w:ascii="楷体" w:hAnsi="楷体" w:eastAsia="楷体"/>
          <w:bCs/>
          <w:sz w:val="24"/>
          <w:szCs w:val="28"/>
        </w:rPr>
        <w:t>（北京时间）</w:t>
      </w:r>
    </w:p>
    <w:p w14:paraId="0EAF91E2">
      <w:pPr>
        <w:spacing w:line="360" w:lineRule="auto"/>
        <w:ind w:firstLine="480"/>
        <w:rPr>
          <w:rFonts w:ascii="楷体" w:hAnsi="楷体" w:eastAsia="楷体"/>
          <w:sz w:val="24"/>
          <w:szCs w:val="28"/>
        </w:rPr>
      </w:pPr>
      <w:r>
        <w:rPr>
          <w:rFonts w:hint="eastAsia" w:ascii="楷体" w:hAnsi="楷体" w:eastAsia="楷体"/>
          <w:sz w:val="24"/>
          <w:szCs w:val="28"/>
        </w:rPr>
        <w:t>开标地点：网上开标大厅</w:t>
      </w:r>
    </w:p>
    <w:p w14:paraId="101665AB">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注意事项：</w:t>
      </w:r>
      <w:bookmarkStart w:id="30" w:name="_Toc35393625"/>
      <w:bookmarkStart w:id="31" w:name="_Toc35393794"/>
      <w:bookmarkStart w:id="32" w:name="_Toc28359007"/>
      <w:bookmarkStart w:id="33" w:name="_Toc28359084"/>
      <w:r>
        <w:rPr>
          <w:rFonts w:hint="eastAsia" w:ascii="楷体" w:hAnsi="楷体" w:eastAsia="楷体"/>
          <w:color w:val="4472C4" w:themeColor="accent1"/>
          <w:sz w:val="24"/>
          <w:szCs w:val="28"/>
          <w14:textFill>
            <w14:solidFill>
              <w14:schemeClr w14:val="accent1"/>
            </w14:solidFill>
          </w14:textFill>
        </w:rPr>
        <w:t>（1）本项目通过苏采云电子交易平台进行采购，投标人须通过</w:t>
      </w:r>
      <w:r>
        <w:rPr>
          <w:rFonts w:hint="eastAsia" w:ascii="楷体" w:hAnsi="楷体" w:eastAsia="楷体"/>
          <w:color w:val="4472C4" w:themeColor="accent1"/>
          <w:sz w:val="24"/>
          <w:szCs w:val="28"/>
          <w:u w:val="single"/>
          <w14:textFill>
            <w14:solidFill>
              <w14:schemeClr w14:val="accent1"/>
            </w14:solidFill>
          </w14:textFill>
        </w:rPr>
        <w:t>苏采云</w:t>
      </w:r>
      <w:r>
        <w:rPr>
          <w:rFonts w:hint="eastAsia" w:ascii="楷体" w:hAnsi="楷体" w:eastAsia="楷体"/>
          <w:color w:val="4472C4" w:themeColor="accent1"/>
          <w:sz w:val="24"/>
          <w:szCs w:val="28"/>
          <w14:textFill>
            <w14:solidFill>
              <w14:schemeClr w14:val="accent1"/>
            </w14:solidFill>
          </w14:textFill>
        </w:rPr>
        <w:t>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p>
    <w:p w14:paraId="3AE84801">
      <w:pPr>
        <w:spacing w:line="360" w:lineRule="auto"/>
        <w:ind w:firstLine="480"/>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（2）本项目采用网上开标方式，请投标人事先做好电脑环境准备，自行选择互联网连接畅通的场地，在规定的开标时间登录“苏采云”系统开标大厅进行投标文件解密。</w:t>
      </w:r>
    </w:p>
    <w:p w14:paraId="5DB31C14">
      <w:pPr>
        <w:pStyle w:val="5"/>
        <w:spacing w:line="360" w:lineRule="auto"/>
        <w:ind w:left="-142"/>
        <w:jc w:val="both"/>
        <w:rPr>
          <w:rFonts w:ascii="楷体" w:hAnsi="楷体" w:eastAsia="楷体" w:cs="宋体"/>
          <w:b w:val="0"/>
          <w:bCs/>
          <w:sz w:val="24"/>
          <w:szCs w:val="28"/>
        </w:rPr>
      </w:pPr>
      <w:r>
        <w:rPr>
          <w:rFonts w:hint="eastAsia" w:ascii="楷体" w:hAnsi="楷体" w:eastAsia="楷体" w:cs="宋体"/>
          <w:b w:val="0"/>
          <w:bCs/>
          <w:sz w:val="24"/>
          <w:szCs w:val="28"/>
        </w:rPr>
        <w:t>五、公告期限</w:t>
      </w:r>
      <w:bookmarkEnd w:id="30"/>
      <w:bookmarkEnd w:id="31"/>
      <w:bookmarkEnd w:id="32"/>
      <w:bookmarkEnd w:id="33"/>
    </w:p>
    <w:p w14:paraId="71520E75">
      <w:pPr>
        <w:spacing w:line="360" w:lineRule="auto"/>
        <w:ind w:firstLine="480"/>
        <w:rPr>
          <w:rFonts w:ascii="楷体" w:hAnsi="楷体" w:eastAsia="楷体" w:cs="宋体"/>
          <w:sz w:val="24"/>
          <w:szCs w:val="28"/>
        </w:rPr>
      </w:pPr>
      <w:r>
        <w:rPr>
          <w:rFonts w:hint="eastAsia" w:ascii="楷体" w:hAnsi="楷体" w:eastAsia="楷体" w:cs="宋体"/>
          <w:sz w:val="24"/>
          <w:szCs w:val="28"/>
        </w:rPr>
        <w:t>自本公告发布之日起5个工作日。</w:t>
      </w:r>
    </w:p>
    <w:p w14:paraId="1CDAFD6E">
      <w:pPr>
        <w:pStyle w:val="5"/>
        <w:spacing w:line="360" w:lineRule="auto"/>
        <w:ind w:left="-142"/>
        <w:jc w:val="both"/>
        <w:rPr>
          <w:rFonts w:ascii="楷体" w:hAnsi="楷体" w:eastAsia="楷体" w:cs="宋体"/>
          <w:b w:val="0"/>
          <w:sz w:val="24"/>
          <w:szCs w:val="28"/>
        </w:rPr>
      </w:pPr>
      <w:bookmarkStart w:id="34" w:name="_Toc35393795"/>
      <w:bookmarkStart w:id="35" w:name="_Toc35393626"/>
      <w:r>
        <w:rPr>
          <w:rFonts w:hint="eastAsia" w:ascii="楷体" w:hAnsi="楷体" w:eastAsia="楷体" w:cs="宋体"/>
          <w:b w:val="0"/>
          <w:sz w:val="24"/>
          <w:szCs w:val="28"/>
        </w:rPr>
        <w:t>六、其他补充事宜</w:t>
      </w:r>
      <w:bookmarkEnd w:id="34"/>
      <w:bookmarkEnd w:id="35"/>
    </w:p>
    <w:p w14:paraId="0DD894F5">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bookmarkStart w:id="36" w:name="_Toc35393627"/>
      <w:bookmarkStart w:id="37" w:name="_Toc28359085"/>
      <w:bookmarkStart w:id="38" w:name="_Toc35393796"/>
      <w:bookmarkStart w:id="39" w:name="_Toc28359008"/>
      <w:r>
        <w:rPr>
          <w:rFonts w:hint="eastAsia" w:ascii="楷体" w:hAnsi="楷体" w:eastAsia="楷体" w:cs="宋体"/>
          <w:color w:val="4472C4" w:themeColor="accent1"/>
          <w:sz w:val="24"/>
          <w:szCs w:val="28"/>
          <w14:textFill>
            <w14:solidFill>
              <w14:schemeClr w14:val="accent1"/>
            </w14:solidFill>
          </w14:textFill>
        </w:rPr>
        <w:t>1.本项目通过电子交易平台进行采购，请在投标前详细阅读《“苏采云”系统供应商操作手册》（</w:t>
      </w:r>
      <w:r>
        <w:rPr>
          <w:rFonts w:ascii="楷体" w:hAnsi="楷体" w:eastAsia="楷体" w:cs="宋体"/>
          <w:color w:val="4472C4" w:themeColor="accent1"/>
          <w:sz w:val="24"/>
          <w:szCs w:val="28"/>
          <w14:textFill>
            <w14:solidFill>
              <w14:schemeClr w14:val="accent1"/>
            </w14:solidFill>
          </w14:textFill>
        </w:rPr>
        <w:t>http://www.ccgp-jiangsu.gov.cn/jiangsu/zlxz/ee/ee3a4bc5a3454aa2b0d9312230633ce9.html</w:t>
      </w:r>
      <w:r>
        <w:rPr>
          <w:rFonts w:hint="eastAsia" w:ascii="楷体" w:hAnsi="楷体" w:eastAsia="楷体" w:cs="宋体"/>
          <w:color w:val="4472C4" w:themeColor="accent1"/>
          <w:sz w:val="24"/>
          <w:szCs w:val="28"/>
          <w14:textFill>
            <w14:solidFill>
              <w14:schemeClr w14:val="accent1"/>
            </w14:solidFill>
          </w14:textFill>
        </w:rPr>
        <w:t>）；投标人在使用系统进行投标的过程中如遇到涉及平台使用的任何问题，应在工作日上午9：00-1</w:t>
      </w:r>
      <w:r>
        <w:rPr>
          <w:rFonts w:ascii="楷体" w:hAnsi="楷体" w:eastAsia="楷体" w:cs="宋体"/>
          <w:color w:val="4472C4" w:themeColor="accent1"/>
          <w:sz w:val="24"/>
          <w:szCs w:val="28"/>
          <w14:textFill>
            <w14:solidFill>
              <w14:schemeClr w14:val="accent1"/>
            </w14:solidFill>
          </w14:textFill>
        </w:rPr>
        <w:t>1</w:t>
      </w:r>
      <w:r>
        <w:rPr>
          <w:rFonts w:hint="eastAsia" w:ascii="楷体" w:hAnsi="楷体" w:eastAsia="楷体" w:cs="宋体"/>
          <w:color w:val="4472C4" w:themeColor="accent1"/>
          <w:sz w:val="24"/>
          <w:szCs w:val="28"/>
          <w14:textFill>
            <w14:solidFill>
              <w14:schemeClr w14:val="accent1"/>
            </w14:solidFill>
          </w14:textFill>
        </w:rPr>
        <w:t>:</w:t>
      </w:r>
      <w:r>
        <w:rPr>
          <w:rFonts w:ascii="楷体" w:hAnsi="楷体" w:eastAsia="楷体" w:cs="宋体"/>
          <w:color w:val="4472C4" w:themeColor="accent1"/>
          <w:sz w:val="24"/>
          <w:szCs w:val="28"/>
          <w14:textFill>
            <w14:solidFill>
              <w14:schemeClr w14:val="accent1"/>
            </w14:solidFill>
          </w14:textFill>
        </w:rPr>
        <w:t>3</w:t>
      </w:r>
      <w:r>
        <w:rPr>
          <w:rFonts w:hint="eastAsia" w:ascii="楷体" w:hAnsi="楷体" w:eastAsia="楷体" w:cs="宋体"/>
          <w:color w:val="4472C4" w:themeColor="accent1"/>
          <w:sz w:val="24"/>
          <w:szCs w:val="28"/>
          <w14:textFill>
            <w14:solidFill>
              <w14:schemeClr w14:val="accent1"/>
            </w14:solidFill>
          </w14:textFill>
        </w:rPr>
        <w:t>0 下午13:30-17:30期间致电技术支持热线咨询，联系方式：</w:t>
      </w:r>
      <w:r>
        <w:rPr>
          <w:rFonts w:ascii="楷体" w:hAnsi="楷体" w:eastAsia="楷体" w:cs="宋体"/>
          <w:color w:val="4472C4" w:themeColor="accent1"/>
          <w:sz w:val="24"/>
          <w:szCs w:val="28"/>
          <w14:textFill>
            <w14:solidFill>
              <w14:schemeClr w14:val="accent1"/>
            </w14:solidFill>
          </w14:textFill>
        </w:rPr>
        <w:t>0519-86722803</w:t>
      </w:r>
      <w:r>
        <w:rPr>
          <w:rFonts w:hint="eastAsia" w:ascii="楷体" w:hAnsi="楷体" w:eastAsia="楷体" w:cs="宋体"/>
          <w:color w:val="4472C4" w:themeColor="accent1"/>
          <w:sz w:val="24"/>
          <w:szCs w:val="28"/>
          <w14:textFill>
            <w14:solidFill>
              <w14:schemeClr w14:val="accent1"/>
            </w14:solidFill>
          </w14:textFill>
        </w:rPr>
        <w:t>。</w:t>
      </w:r>
    </w:p>
    <w:p w14:paraId="02796315">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4AD83A33">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64FF2628">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4.因投标人自身软硬件配备不齐全或发生故障等问题而导致在交互过程中出现不稳定或中断等情况的，由投标人自身承担一切后果。</w:t>
      </w:r>
    </w:p>
    <w:p w14:paraId="41A4DEDB">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5.有关本次招标的事项若存在变动或修改，敬请及时关注江苏政府采购网的更正公告。</w:t>
      </w:r>
    </w:p>
    <w:p w14:paraId="55BE8798">
      <w:pPr>
        <w:pStyle w:val="821"/>
        <w:widowControl/>
        <w:spacing w:line="360" w:lineRule="auto"/>
        <w:ind w:firstLine="480"/>
        <w:jc w:val="lef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6.本次招标不收取投标保证金。</w:t>
      </w:r>
    </w:p>
    <w:p w14:paraId="5D527B75">
      <w:pPr>
        <w:pStyle w:val="5"/>
        <w:spacing w:line="360" w:lineRule="auto"/>
        <w:ind w:left="-142"/>
        <w:jc w:val="both"/>
        <w:rPr>
          <w:rFonts w:ascii="楷体" w:hAnsi="楷体" w:eastAsia="楷体" w:cs="宋体"/>
          <w:b w:val="0"/>
          <w:sz w:val="24"/>
          <w:szCs w:val="28"/>
        </w:rPr>
      </w:pPr>
      <w:r>
        <w:rPr>
          <w:rFonts w:hint="eastAsia" w:ascii="楷体" w:hAnsi="楷体" w:eastAsia="楷体" w:cs="宋体"/>
          <w:b w:val="0"/>
          <w:sz w:val="24"/>
          <w:szCs w:val="28"/>
        </w:rPr>
        <w:t>七、对本次招标提出询问，请按以下方式联系。</w:t>
      </w:r>
      <w:bookmarkEnd w:id="36"/>
      <w:bookmarkEnd w:id="37"/>
      <w:bookmarkEnd w:id="38"/>
      <w:bookmarkEnd w:id="39"/>
    </w:p>
    <w:p w14:paraId="146BD093">
      <w:pPr>
        <w:widowControl/>
        <w:spacing w:line="360" w:lineRule="auto"/>
        <w:ind w:firstLine="720"/>
        <w:jc w:val="left"/>
        <w:rPr>
          <w:rFonts w:ascii="楷体" w:hAnsi="楷体" w:eastAsia="楷体"/>
          <w:sz w:val="24"/>
          <w:szCs w:val="28"/>
        </w:rPr>
      </w:pPr>
      <w:r>
        <w:rPr>
          <w:rFonts w:hint="eastAsia" w:ascii="楷体" w:hAnsi="楷体" w:eastAsia="楷体" w:cs="宋体"/>
          <w:sz w:val="24"/>
          <w:szCs w:val="28"/>
        </w:rPr>
        <w:t>1.采购人信息</w:t>
      </w:r>
    </w:p>
    <w:p w14:paraId="5F593FB0">
      <w:pPr>
        <w:spacing w:line="360" w:lineRule="auto"/>
        <w:ind w:left="1079" w:hanging="300"/>
        <w:jc w:val="left"/>
        <w:rPr>
          <w:rFonts w:hint="eastAsia" w:ascii="楷体" w:hAnsi="楷体" w:eastAsia="楷体"/>
          <w:sz w:val="24"/>
          <w:szCs w:val="28"/>
          <w:lang w:eastAsia="zh-CN"/>
        </w:rPr>
      </w:pPr>
      <w:r>
        <w:rPr>
          <w:rFonts w:hint="eastAsia" w:ascii="楷体" w:hAnsi="楷体" w:eastAsia="楷体"/>
          <w:sz w:val="24"/>
          <w:szCs w:val="28"/>
        </w:rPr>
        <w:t>名 称：</w:t>
      </w:r>
      <w:r>
        <w:rPr>
          <w:rFonts w:hint="eastAsia" w:ascii="楷体" w:hAnsi="楷体" w:eastAsia="楷体" w:cs="宋体"/>
          <w:color w:val="4472C4" w:themeColor="accent1"/>
          <w:sz w:val="24"/>
          <w:szCs w:val="28"/>
          <w:lang w:eastAsia="zh-CN"/>
          <w14:textFill>
            <w14:solidFill>
              <w14:schemeClr w14:val="accent1"/>
            </w14:solidFill>
          </w14:textFill>
        </w:rPr>
        <w:t>镇江市丹阳生态环境局</w:t>
      </w:r>
    </w:p>
    <w:p w14:paraId="63999196">
      <w:pPr>
        <w:spacing w:line="360" w:lineRule="auto"/>
        <w:ind w:left="1079" w:hanging="300"/>
        <w:jc w:val="left"/>
        <w:rPr>
          <w:rFonts w:hint="eastAsia" w:ascii="楷体" w:hAnsi="楷体" w:eastAsia="楷体" w:cs="宋体"/>
          <w:color w:val="4472C4" w:themeColor="accent1"/>
          <w:sz w:val="24"/>
          <w:szCs w:val="28"/>
          <w:lang w:eastAsia="zh-CN"/>
          <w14:textFill>
            <w14:solidFill>
              <w14:schemeClr w14:val="accent1"/>
            </w14:solidFill>
          </w14:textFill>
        </w:rPr>
      </w:pPr>
      <w:r>
        <w:rPr>
          <w:rFonts w:hint="eastAsia" w:ascii="楷体" w:hAnsi="楷体" w:eastAsia="楷体"/>
          <w:sz w:val="24"/>
          <w:szCs w:val="28"/>
        </w:rPr>
        <w:t>地 址：</w:t>
      </w:r>
      <w:r>
        <w:rPr>
          <w:rFonts w:hint="eastAsia" w:ascii="楷体" w:hAnsi="楷体" w:eastAsia="楷体" w:cs="宋体"/>
          <w:color w:val="4472C4" w:themeColor="accent1"/>
          <w:sz w:val="24"/>
          <w:szCs w:val="28"/>
          <w:lang w:eastAsia="zh-CN"/>
          <w14:textFill>
            <w14:solidFill>
              <w14:schemeClr w14:val="accent1"/>
            </w14:solidFill>
          </w14:textFill>
        </w:rPr>
        <w:t>镇江市丹阳市健康路69号</w:t>
      </w:r>
    </w:p>
    <w:p w14:paraId="7C58ED26">
      <w:pPr>
        <w:spacing w:line="360" w:lineRule="auto"/>
        <w:ind w:left="1079" w:hanging="300"/>
        <w:jc w:val="left"/>
        <w:rPr>
          <w:rFonts w:hint="default" w:ascii="楷体" w:hAnsi="楷体" w:eastAsia="楷体"/>
          <w:sz w:val="24"/>
          <w:szCs w:val="28"/>
          <w:highlight w:val="none"/>
          <w:lang w:val="en-US" w:eastAsia="zh-CN"/>
        </w:rPr>
      </w:pPr>
      <w:r>
        <w:rPr>
          <w:rFonts w:hint="eastAsia" w:ascii="楷体" w:hAnsi="楷体" w:eastAsia="楷体"/>
          <w:sz w:val="24"/>
          <w:szCs w:val="28"/>
          <w:highlight w:val="none"/>
        </w:rPr>
        <w:t>联系人：</w:t>
      </w:r>
      <w:r>
        <w:rPr>
          <w:rFonts w:hint="eastAsia" w:ascii="楷体" w:hAnsi="楷体" w:eastAsia="楷体" w:cs="宋体"/>
          <w:color w:val="4472C4" w:themeColor="accent1"/>
          <w:sz w:val="24"/>
          <w:szCs w:val="28"/>
          <w:lang w:val="en-US" w:eastAsia="zh-CN"/>
          <w14:textFill>
            <w14:solidFill>
              <w14:schemeClr w14:val="accent1"/>
            </w14:solidFill>
          </w14:textFill>
        </w:rPr>
        <w:t>徐蒙</w:t>
      </w:r>
    </w:p>
    <w:p w14:paraId="13A6D1E8">
      <w:pPr>
        <w:spacing w:line="360" w:lineRule="auto"/>
        <w:ind w:left="1079" w:hanging="300"/>
        <w:jc w:val="left"/>
        <w:rPr>
          <w:rFonts w:hint="eastAsia" w:ascii="楷体" w:hAnsi="楷体" w:eastAsia="楷体"/>
          <w:color w:val="FF0000"/>
          <w:sz w:val="24"/>
          <w:szCs w:val="28"/>
          <w:highlight w:val="none"/>
          <w:lang w:eastAsia="zh-CN"/>
        </w:rPr>
      </w:pPr>
      <w:r>
        <w:rPr>
          <w:rFonts w:hint="eastAsia" w:ascii="楷体" w:hAnsi="楷体" w:eastAsia="楷体"/>
          <w:sz w:val="24"/>
          <w:szCs w:val="28"/>
          <w:highlight w:val="none"/>
        </w:rPr>
        <w:t>联系方式：</w:t>
      </w:r>
      <w:bookmarkStart w:id="40" w:name="_Toc28359086"/>
      <w:bookmarkStart w:id="41" w:name="_Toc28359009"/>
      <w:r>
        <w:rPr>
          <w:rFonts w:hint="eastAsia" w:ascii="楷体" w:hAnsi="楷体" w:eastAsia="楷体" w:cs="宋体"/>
          <w:color w:val="4472C4" w:themeColor="accent1"/>
          <w:sz w:val="24"/>
          <w:szCs w:val="28"/>
          <w:lang w:val="en-US" w:eastAsia="zh-CN"/>
          <w14:textFill>
            <w14:solidFill>
              <w14:schemeClr w14:val="accent1"/>
            </w14:solidFill>
          </w14:textFill>
        </w:rPr>
        <w:t>0511-86523770</w:t>
      </w:r>
    </w:p>
    <w:p w14:paraId="6FE6C5EB">
      <w:pPr>
        <w:spacing w:line="360" w:lineRule="auto"/>
        <w:ind w:left="1079" w:hanging="300"/>
        <w:jc w:val="left"/>
        <w:rPr>
          <w:rFonts w:ascii="楷体" w:hAnsi="楷体" w:eastAsia="楷体"/>
          <w:sz w:val="24"/>
          <w:szCs w:val="28"/>
        </w:rPr>
      </w:pPr>
      <w:r>
        <w:rPr>
          <w:rFonts w:hint="eastAsia" w:ascii="楷体" w:hAnsi="楷体" w:eastAsia="楷体" w:cs="宋体"/>
          <w:sz w:val="24"/>
          <w:szCs w:val="28"/>
        </w:rPr>
        <w:t>2.采购代理机构信息</w:t>
      </w:r>
      <w:bookmarkEnd w:id="40"/>
      <w:bookmarkEnd w:id="41"/>
    </w:p>
    <w:p w14:paraId="44434DB8">
      <w:pPr>
        <w:spacing w:line="360" w:lineRule="auto"/>
        <w:ind w:left="1079" w:hanging="300"/>
        <w:jc w:val="left"/>
        <w:rPr>
          <w:rFonts w:hint="eastAsia" w:ascii="楷体" w:hAnsi="楷体" w:eastAsia="楷体"/>
          <w:sz w:val="24"/>
          <w:szCs w:val="28"/>
          <w:lang w:eastAsia="zh-CN"/>
        </w:rPr>
      </w:pPr>
      <w:r>
        <w:rPr>
          <w:rFonts w:hint="eastAsia" w:ascii="楷体" w:hAnsi="楷体" w:eastAsia="楷体"/>
          <w:sz w:val="24"/>
          <w:szCs w:val="28"/>
        </w:rPr>
        <w:t>名 称：</w:t>
      </w:r>
      <w:r>
        <w:rPr>
          <w:rFonts w:hint="eastAsia" w:ascii="楷体" w:hAnsi="楷体" w:eastAsia="楷体" w:cs="宋体"/>
          <w:color w:val="4472C4" w:themeColor="accent1"/>
          <w:sz w:val="24"/>
          <w:szCs w:val="28"/>
          <w:lang w:eastAsia="zh-CN"/>
          <w14:textFill>
            <w14:solidFill>
              <w14:schemeClr w14:val="accent1"/>
            </w14:solidFill>
          </w14:textFill>
        </w:rPr>
        <w:t>江苏正德建设管理有限公司</w:t>
      </w:r>
    </w:p>
    <w:p w14:paraId="495A995C">
      <w:pPr>
        <w:spacing w:line="360" w:lineRule="auto"/>
        <w:ind w:left="1079" w:hanging="300"/>
        <w:jc w:val="left"/>
        <w:rPr>
          <w:rFonts w:hint="default" w:ascii="楷体" w:hAnsi="楷体" w:eastAsia="楷体"/>
          <w:sz w:val="24"/>
          <w:szCs w:val="28"/>
          <w:lang w:val="en-US"/>
        </w:rPr>
      </w:pPr>
      <w:r>
        <w:rPr>
          <w:rFonts w:hint="eastAsia" w:ascii="楷体" w:hAnsi="楷体" w:eastAsia="楷体"/>
          <w:sz w:val="24"/>
          <w:szCs w:val="28"/>
        </w:rPr>
        <w:t>地 址：</w:t>
      </w:r>
      <w:r>
        <w:rPr>
          <w:rFonts w:hint="eastAsia" w:ascii="楷体" w:hAnsi="楷体" w:eastAsia="楷体" w:cs="宋体"/>
          <w:color w:val="4472C4" w:themeColor="accent1"/>
          <w:sz w:val="24"/>
          <w:szCs w:val="28"/>
          <w:lang w:eastAsia="zh-CN"/>
          <w14:textFill>
            <w14:solidFill>
              <w14:schemeClr w14:val="accent1"/>
            </w14:solidFill>
          </w14:textFill>
        </w:rPr>
        <w:t>丹阳市开发区兰陵路</w:t>
      </w:r>
      <w:r>
        <w:rPr>
          <w:rFonts w:hint="eastAsia" w:ascii="楷体" w:hAnsi="楷体" w:eastAsia="楷体" w:cs="宋体"/>
          <w:color w:val="4472C4" w:themeColor="accent1"/>
          <w:sz w:val="24"/>
          <w:szCs w:val="28"/>
          <w:lang w:val="en-US" w:eastAsia="zh-CN"/>
          <w14:textFill>
            <w14:solidFill>
              <w14:schemeClr w14:val="accent1"/>
            </w14:solidFill>
          </w14:textFill>
        </w:rPr>
        <w:t>9</w:t>
      </w:r>
      <w:r>
        <w:rPr>
          <w:rFonts w:hint="eastAsia" w:ascii="楷体" w:hAnsi="楷体" w:eastAsia="楷体" w:cs="宋体"/>
          <w:color w:val="4472C4" w:themeColor="accent1"/>
          <w:sz w:val="24"/>
          <w:szCs w:val="28"/>
          <w:lang w:eastAsia="zh-CN"/>
          <w14:textFill>
            <w14:solidFill>
              <w14:schemeClr w14:val="accent1"/>
            </w14:solidFill>
          </w14:textFill>
        </w:rPr>
        <w:t>号</w:t>
      </w:r>
      <w:r>
        <w:rPr>
          <w:rFonts w:hint="eastAsia" w:ascii="楷体" w:hAnsi="楷体" w:eastAsia="楷体" w:cs="宋体"/>
          <w:color w:val="4472C4" w:themeColor="accent1"/>
          <w:sz w:val="24"/>
          <w:szCs w:val="28"/>
          <w:lang w:val="en-US" w:eastAsia="zh-CN"/>
          <w14:textFill>
            <w14:solidFill>
              <w14:schemeClr w14:val="accent1"/>
            </w14:solidFill>
          </w14:textFill>
        </w:rPr>
        <w:t>丽都国际15楼1513室</w:t>
      </w:r>
    </w:p>
    <w:p w14:paraId="5615CCEA">
      <w:pPr>
        <w:spacing w:line="360" w:lineRule="auto"/>
        <w:ind w:left="1079" w:hanging="300"/>
        <w:jc w:val="left"/>
        <w:rPr>
          <w:rFonts w:hint="default" w:ascii="楷体" w:hAnsi="楷体" w:eastAsia="楷体"/>
          <w:color w:val="FF0000"/>
          <w:sz w:val="24"/>
          <w:szCs w:val="28"/>
          <w:lang w:val="en-US" w:eastAsia="zh-CN"/>
        </w:rPr>
      </w:pPr>
      <w:r>
        <w:rPr>
          <w:rFonts w:hint="eastAsia" w:ascii="楷体" w:hAnsi="楷体" w:eastAsia="楷体"/>
          <w:sz w:val="24"/>
          <w:szCs w:val="28"/>
        </w:rPr>
        <w:t>联系方式：</w:t>
      </w:r>
      <w:bookmarkStart w:id="42" w:name="_Toc28359010"/>
      <w:bookmarkStart w:id="43" w:name="_Toc28359087"/>
      <w:r>
        <w:rPr>
          <w:rFonts w:ascii="楷体" w:hAnsi="楷体" w:eastAsia="楷体" w:cs="宋体"/>
          <w:color w:val="4472C4" w:themeColor="accent1"/>
          <w:sz w:val="24"/>
          <w:szCs w:val="28"/>
          <w14:textFill>
            <w14:solidFill>
              <w14:schemeClr w14:val="accent1"/>
            </w14:solidFill>
          </w14:textFill>
        </w:rPr>
        <w:t>0511-869218</w:t>
      </w:r>
      <w:r>
        <w:rPr>
          <w:rFonts w:hint="eastAsia" w:ascii="楷体" w:hAnsi="楷体" w:eastAsia="楷体" w:cs="宋体"/>
          <w:color w:val="4472C4" w:themeColor="accent1"/>
          <w:sz w:val="24"/>
          <w:szCs w:val="28"/>
          <w:lang w:val="en-US" w:eastAsia="zh-CN"/>
          <w14:textFill>
            <w14:solidFill>
              <w14:schemeClr w14:val="accent1"/>
            </w14:solidFill>
          </w14:textFill>
        </w:rPr>
        <w:t>08</w:t>
      </w:r>
    </w:p>
    <w:p w14:paraId="254624B1">
      <w:pPr>
        <w:spacing w:line="360" w:lineRule="auto"/>
        <w:ind w:left="1079" w:hanging="300"/>
        <w:jc w:val="left"/>
        <w:rPr>
          <w:rFonts w:ascii="楷体" w:hAnsi="楷体" w:eastAsia="楷体"/>
          <w:sz w:val="24"/>
          <w:szCs w:val="28"/>
        </w:rPr>
      </w:pPr>
      <w:r>
        <w:rPr>
          <w:rFonts w:hint="eastAsia" w:ascii="楷体" w:hAnsi="楷体" w:eastAsia="楷体" w:cs="宋体"/>
          <w:sz w:val="24"/>
          <w:szCs w:val="28"/>
        </w:rPr>
        <w:t>3.项目联系方式</w:t>
      </w:r>
      <w:bookmarkEnd w:id="42"/>
      <w:bookmarkEnd w:id="43"/>
    </w:p>
    <w:p w14:paraId="1B410B09">
      <w:pPr>
        <w:spacing w:line="360" w:lineRule="auto"/>
        <w:ind w:left="1079" w:hanging="300"/>
        <w:jc w:val="left"/>
        <w:rPr>
          <w:rFonts w:hint="eastAsia" w:ascii="楷体" w:hAnsi="楷体" w:eastAsia="楷体"/>
          <w:sz w:val="24"/>
          <w:szCs w:val="28"/>
          <w:lang w:eastAsia="zh-CN"/>
        </w:rPr>
      </w:pPr>
      <w:r>
        <w:rPr>
          <w:rFonts w:hint="eastAsia" w:ascii="楷体" w:hAnsi="楷体" w:eastAsia="楷体"/>
          <w:sz w:val="24"/>
          <w:szCs w:val="28"/>
        </w:rPr>
        <w:t>项目联系人：</w:t>
      </w:r>
      <w:r>
        <w:rPr>
          <w:rFonts w:hint="eastAsia" w:ascii="楷体" w:hAnsi="楷体" w:eastAsia="楷体" w:cs="宋体"/>
          <w:color w:val="4472C4" w:themeColor="accent1"/>
          <w:sz w:val="24"/>
          <w:szCs w:val="28"/>
          <w:lang w:val="en-US" w:eastAsia="zh-CN"/>
          <w14:textFill>
            <w14:solidFill>
              <w14:schemeClr w14:val="accent1"/>
            </w14:solidFill>
          </w14:textFill>
        </w:rPr>
        <w:t>陈雪琴</w:t>
      </w:r>
    </w:p>
    <w:p w14:paraId="7A56B16D">
      <w:pPr>
        <w:spacing w:line="360" w:lineRule="auto"/>
        <w:ind w:left="1079" w:hanging="300"/>
        <w:jc w:val="left"/>
        <w:rPr>
          <w:rFonts w:ascii="楷体" w:hAnsi="楷体" w:eastAsia="楷体"/>
          <w:sz w:val="24"/>
          <w:szCs w:val="28"/>
        </w:rPr>
      </w:pPr>
      <w:r>
        <w:rPr>
          <w:rFonts w:hint="eastAsia" w:ascii="楷体" w:hAnsi="楷体" w:eastAsia="楷体"/>
          <w:sz w:val="24"/>
          <w:szCs w:val="28"/>
        </w:rPr>
        <w:t>电 话：</w:t>
      </w:r>
      <w:r>
        <w:rPr>
          <w:rFonts w:ascii="楷体" w:hAnsi="楷体" w:eastAsia="楷体" w:cs="宋体"/>
          <w:color w:val="4472C4" w:themeColor="accent1"/>
          <w:sz w:val="24"/>
          <w:szCs w:val="28"/>
          <w14:textFill>
            <w14:solidFill>
              <w14:schemeClr w14:val="accent1"/>
            </w14:solidFill>
          </w14:textFill>
        </w:rPr>
        <w:t>0511-869218</w:t>
      </w:r>
      <w:r>
        <w:rPr>
          <w:rFonts w:hint="eastAsia" w:ascii="楷体" w:hAnsi="楷体" w:eastAsia="楷体" w:cs="宋体"/>
          <w:color w:val="4472C4" w:themeColor="accent1"/>
          <w:sz w:val="24"/>
          <w:szCs w:val="28"/>
          <w:lang w:val="en-US" w:eastAsia="zh-CN"/>
          <w14:textFill>
            <w14:solidFill>
              <w14:schemeClr w14:val="accent1"/>
            </w14:solidFill>
          </w14:textFill>
        </w:rPr>
        <w:t>08</w:t>
      </w:r>
    </w:p>
    <w:p w14:paraId="09AF693A">
      <w:pPr>
        <w:spacing w:line="360" w:lineRule="auto"/>
        <w:ind w:left="1079" w:hanging="300"/>
        <w:jc w:val="right"/>
        <w:rPr>
          <w:rFonts w:ascii="楷体" w:hAnsi="楷体" w:eastAsia="楷体" w:cs="宋体"/>
          <w:color w:val="5B9BD5" w:themeColor="accent5"/>
          <w:sz w:val="24"/>
          <w:szCs w:val="28"/>
          <w14:textFill>
            <w14:solidFill>
              <w14:schemeClr w14:val="accent5"/>
            </w14:solidFill>
          </w14:textFill>
        </w:rPr>
      </w:pPr>
    </w:p>
    <w:p w14:paraId="723C6E93">
      <w:pPr>
        <w:spacing w:line="360" w:lineRule="auto"/>
        <w:ind w:left="1079" w:hanging="300"/>
        <w:jc w:val="right"/>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lang w:eastAsia="zh-CN"/>
          <w14:textFill>
            <w14:solidFill>
              <w14:schemeClr w14:val="accent1"/>
            </w14:solidFill>
          </w14:textFill>
        </w:rPr>
        <w:t>江苏正德建设管理有限公司</w:t>
      </w:r>
      <w:r>
        <w:rPr>
          <w:rFonts w:hint="eastAsia" w:ascii="楷体" w:hAnsi="楷体" w:eastAsia="楷体" w:cs="宋体"/>
          <w:color w:val="4472C4" w:themeColor="accent1"/>
          <w:sz w:val="24"/>
          <w:szCs w:val="28"/>
          <w14:textFill>
            <w14:solidFill>
              <w14:schemeClr w14:val="accent1"/>
            </w14:solidFill>
          </w14:textFill>
        </w:rPr>
        <w:t xml:space="preserve">                                                 </w:t>
      </w:r>
      <w:r>
        <w:rPr>
          <w:rFonts w:ascii="楷体" w:hAnsi="楷体" w:eastAsia="楷体" w:cs="宋体"/>
          <w:color w:val="4472C4" w:themeColor="accent1"/>
          <w:sz w:val="24"/>
          <w:szCs w:val="28"/>
          <w14:textFill>
            <w14:solidFill>
              <w14:schemeClr w14:val="accent1"/>
            </w14:solidFill>
          </w14:textFill>
        </w:rPr>
        <w:t>2024</w:t>
      </w:r>
      <w:r>
        <w:rPr>
          <w:rFonts w:hint="eastAsia" w:ascii="楷体" w:hAnsi="楷体" w:eastAsia="楷体" w:cs="宋体"/>
          <w:color w:val="4472C4" w:themeColor="accent1"/>
          <w:sz w:val="24"/>
          <w:szCs w:val="28"/>
          <w14:textFill>
            <w14:solidFill>
              <w14:schemeClr w14:val="accent1"/>
            </w14:solidFill>
          </w14:textFill>
        </w:rPr>
        <w:t>年</w:t>
      </w:r>
      <w:r>
        <w:rPr>
          <w:rFonts w:hint="eastAsia" w:ascii="楷体" w:hAnsi="楷体" w:eastAsia="楷体" w:cs="宋体"/>
          <w:color w:val="4472C4" w:themeColor="accent1"/>
          <w:sz w:val="24"/>
          <w:szCs w:val="28"/>
          <w:lang w:val="en-US" w:eastAsia="zh-CN"/>
          <w14:textFill>
            <w14:solidFill>
              <w14:schemeClr w14:val="accent1"/>
            </w14:solidFill>
          </w14:textFill>
        </w:rPr>
        <w:t>10</w:t>
      </w:r>
      <w:r>
        <w:rPr>
          <w:rFonts w:hint="eastAsia" w:ascii="楷体" w:hAnsi="楷体" w:eastAsia="楷体" w:cs="宋体"/>
          <w:color w:val="4472C4" w:themeColor="accent1"/>
          <w:sz w:val="24"/>
          <w:szCs w:val="28"/>
          <w14:textFill>
            <w14:solidFill>
              <w14:schemeClr w14:val="accent1"/>
            </w14:solidFill>
          </w14:textFill>
        </w:rPr>
        <w:t>月</w:t>
      </w:r>
      <w:r>
        <w:rPr>
          <w:rFonts w:hint="eastAsia" w:ascii="楷体" w:hAnsi="楷体" w:eastAsia="楷体" w:cs="宋体"/>
          <w:color w:val="4472C4" w:themeColor="accent1"/>
          <w:sz w:val="24"/>
          <w:szCs w:val="28"/>
          <w:lang w:val="en-US" w:eastAsia="zh-CN"/>
          <w14:textFill>
            <w14:solidFill>
              <w14:schemeClr w14:val="accent1"/>
            </w14:solidFill>
          </w14:textFill>
        </w:rPr>
        <w:t>14</w:t>
      </w:r>
      <w:r>
        <w:rPr>
          <w:rFonts w:hint="eastAsia" w:ascii="楷体" w:hAnsi="楷体" w:eastAsia="楷体" w:cs="宋体"/>
          <w:color w:val="4472C4" w:themeColor="accent1"/>
          <w:sz w:val="24"/>
          <w:szCs w:val="28"/>
          <w14:textFill>
            <w14:solidFill>
              <w14:schemeClr w14:val="accent1"/>
            </w14:solidFill>
          </w14:textFill>
        </w:rPr>
        <w:t>日</w:t>
      </w:r>
    </w:p>
    <w:bookmarkEnd w:id="3"/>
    <w:bookmarkEnd w:id="4"/>
    <w:bookmarkEnd w:id="5"/>
    <w:bookmarkEnd w:id="6"/>
    <w:bookmarkEnd w:id="7"/>
    <w:p w14:paraId="153BDB85">
      <w:pPr>
        <w:spacing w:line="360" w:lineRule="auto"/>
        <w:ind w:firstLine="480"/>
        <w:rPr>
          <w:rFonts w:ascii="楷体" w:hAnsi="楷体" w:eastAsia="楷体"/>
          <w:sz w:val="24"/>
        </w:rPr>
      </w:pPr>
    </w:p>
    <w:p w14:paraId="4F8C4D61">
      <w:pPr>
        <w:pStyle w:val="6"/>
        <w:keepNext w:val="0"/>
        <w:keepLines w:val="0"/>
        <w:spacing w:before="0" w:after="0" w:line="360" w:lineRule="auto"/>
        <w:jc w:val="center"/>
        <w:rPr>
          <w:rFonts w:ascii="楷体" w:hAnsi="楷体" w:eastAsia="楷体"/>
          <w:szCs w:val="32"/>
        </w:rPr>
      </w:pPr>
      <w:bookmarkStart w:id="44" w:name="_Toc92168000"/>
      <w:bookmarkStart w:id="45" w:name="_Toc100386034"/>
    </w:p>
    <w:p w14:paraId="2FFB4B11">
      <w:pPr>
        <w:rPr>
          <w:rFonts w:ascii="楷体" w:hAnsi="楷体" w:eastAsia="楷体"/>
          <w:szCs w:val="32"/>
        </w:rPr>
      </w:pPr>
    </w:p>
    <w:p w14:paraId="0861F96C">
      <w:pPr>
        <w:widowControl/>
        <w:jc w:val="left"/>
        <w:rPr>
          <w:rFonts w:ascii="楷体" w:hAnsi="楷体" w:eastAsia="楷体"/>
          <w:b/>
          <w:sz w:val="32"/>
          <w:szCs w:val="32"/>
        </w:rPr>
      </w:pPr>
      <w:r>
        <w:rPr>
          <w:rFonts w:ascii="楷体" w:hAnsi="楷体" w:eastAsia="楷体"/>
          <w:szCs w:val="32"/>
        </w:rPr>
        <w:br w:type="page" w:clear="all"/>
      </w:r>
    </w:p>
    <w:p w14:paraId="38B2D663">
      <w:pPr>
        <w:pStyle w:val="6"/>
        <w:keepNext w:val="0"/>
        <w:keepLines w:val="0"/>
        <w:spacing w:before="0" w:after="0" w:line="360" w:lineRule="auto"/>
        <w:jc w:val="center"/>
        <w:rPr>
          <w:rFonts w:ascii="楷体" w:hAnsi="楷体" w:eastAsia="楷体"/>
          <w:szCs w:val="32"/>
        </w:rPr>
      </w:pPr>
      <w:r>
        <w:rPr>
          <w:rFonts w:hint="eastAsia" w:ascii="楷体" w:hAnsi="楷体" w:eastAsia="楷体"/>
          <w:szCs w:val="32"/>
        </w:rPr>
        <w:t>第二部分    投标人须知</w:t>
      </w:r>
    </w:p>
    <w:p w14:paraId="170A8DAA">
      <w:pPr>
        <w:pStyle w:val="6"/>
        <w:keepNext w:val="0"/>
        <w:keepLines w:val="0"/>
        <w:spacing w:before="0" w:after="0" w:line="360" w:lineRule="auto"/>
        <w:jc w:val="center"/>
        <w:rPr>
          <w:rFonts w:ascii="楷体" w:hAnsi="楷体" w:eastAsia="楷体"/>
          <w:szCs w:val="32"/>
        </w:rPr>
      </w:pPr>
      <w:r>
        <w:rPr>
          <w:rFonts w:hint="eastAsia" w:ascii="楷体" w:hAnsi="楷体" w:eastAsia="楷体"/>
          <w:szCs w:val="32"/>
        </w:rPr>
        <w:t>前附表</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759"/>
        <w:gridCol w:w="6017"/>
      </w:tblGrid>
      <w:tr w14:paraId="2141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22A4DBFF">
            <w:pPr>
              <w:pStyle w:val="9"/>
              <w:ind w:firstLine="0"/>
              <w:jc w:val="center"/>
              <w:rPr>
                <w:rFonts w:ascii="楷体" w:hAnsi="楷体" w:eastAsia="楷体" w:cs="楷体"/>
                <w:sz w:val="24"/>
              </w:rPr>
            </w:pPr>
            <w:r>
              <w:rPr>
                <w:rFonts w:hint="eastAsia" w:ascii="楷体" w:hAnsi="楷体" w:eastAsia="楷体" w:cs="楷体"/>
                <w:sz w:val="24"/>
              </w:rPr>
              <w:t>序号</w:t>
            </w:r>
          </w:p>
        </w:tc>
        <w:tc>
          <w:tcPr>
            <w:tcW w:w="1035" w:type="pct"/>
            <w:vAlign w:val="center"/>
          </w:tcPr>
          <w:p w14:paraId="4216E3A9">
            <w:pPr>
              <w:pStyle w:val="9"/>
              <w:ind w:firstLine="0"/>
              <w:jc w:val="center"/>
              <w:rPr>
                <w:rFonts w:ascii="楷体" w:hAnsi="楷体" w:eastAsia="楷体" w:cs="楷体"/>
                <w:sz w:val="24"/>
              </w:rPr>
            </w:pPr>
            <w:r>
              <w:rPr>
                <w:rFonts w:hint="eastAsia" w:ascii="楷体" w:hAnsi="楷体" w:eastAsia="楷体" w:cs="楷体"/>
                <w:sz w:val="24"/>
              </w:rPr>
              <w:t>事项</w:t>
            </w:r>
          </w:p>
        </w:tc>
        <w:tc>
          <w:tcPr>
            <w:tcW w:w="3540" w:type="pct"/>
            <w:vAlign w:val="center"/>
          </w:tcPr>
          <w:p w14:paraId="7EE331E9">
            <w:pPr>
              <w:pStyle w:val="9"/>
              <w:ind w:firstLine="0"/>
              <w:jc w:val="center"/>
              <w:rPr>
                <w:rFonts w:ascii="楷体" w:hAnsi="楷体" w:eastAsia="楷体" w:cs="楷体"/>
                <w:sz w:val="24"/>
              </w:rPr>
            </w:pPr>
            <w:r>
              <w:rPr>
                <w:rFonts w:hint="eastAsia" w:ascii="楷体" w:hAnsi="楷体" w:eastAsia="楷体" w:cs="楷体"/>
                <w:sz w:val="24"/>
              </w:rPr>
              <w:t>本项目规定</w:t>
            </w:r>
          </w:p>
        </w:tc>
      </w:tr>
      <w:tr w14:paraId="43DB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77327C8">
            <w:pPr>
              <w:pStyle w:val="9"/>
              <w:ind w:firstLine="0"/>
              <w:jc w:val="center"/>
              <w:rPr>
                <w:rFonts w:ascii="楷体" w:hAnsi="楷体" w:eastAsia="楷体" w:cs="楷体"/>
                <w:sz w:val="24"/>
              </w:rPr>
            </w:pPr>
            <w:r>
              <w:rPr>
                <w:rFonts w:hint="eastAsia" w:ascii="楷体" w:hAnsi="楷体" w:eastAsia="楷体" w:cs="楷体"/>
                <w:sz w:val="24"/>
              </w:rPr>
              <w:t>1</w:t>
            </w:r>
          </w:p>
        </w:tc>
        <w:tc>
          <w:tcPr>
            <w:tcW w:w="1035" w:type="pct"/>
            <w:vAlign w:val="center"/>
          </w:tcPr>
          <w:p w14:paraId="4E98DE50">
            <w:pPr>
              <w:pStyle w:val="9"/>
              <w:ind w:firstLine="0"/>
              <w:jc w:val="center"/>
              <w:rPr>
                <w:rFonts w:ascii="楷体" w:hAnsi="楷体" w:eastAsia="楷体" w:cs="楷体"/>
                <w:sz w:val="24"/>
              </w:rPr>
            </w:pPr>
            <w:r>
              <w:rPr>
                <w:rFonts w:hint="eastAsia" w:ascii="楷体" w:hAnsi="楷体" w:eastAsia="楷体" w:cs="楷体"/>
                <w:sz w:val="24"/>
              </w:rPr>
              <w:t>报价要求</w:t>
            </w:r>
          </w:p>
        </w:tc>
        <w:tc>
          <w:tcPr>
            <w:tcW w:w="3540" w:type="pct"/>
            <w:vAlign w:val="center"/>
          </w:tcPr>
          <w:p w14:paraId="7C88DCEA">
            <w:pPr>
              <w:pStyle w:val="9"/>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p>
          <w:p w14:paraId="0EE06C8B">
            <w:pPr>
              <w:pStyle w:val="9"/>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  </w:t>
            </w:r>
          </w:p>
          <w:p w14:paraId="799CE4DB">
            <w:pPr>
              <w:pStyle w:val="9"/>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p>
          <w:p w14:paraId="21C4DA32">
            <w:pPr>
              <w:pStyle w:val="9"/>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p>
          <w:p w14:paraId="0426B246">
            <w:pPr>
              <w:pStyle w:val="9"/>
              <w:ind w:firstLine="0"/>
              <w:rPr>
                <w:rFonts w:ascii="楷体" w:hAnsi="楷体" w:eastAsia="楷体" w:cs="楷体"/>
                <w:sz w:val="24"/>
              </w:rPr>
            </w:pPr>
            <w:r>
              <w:rPr>
                <w:rFonts w:hint="eastAsia" w:ascii="楷体" w:hAnsi="楷体" w:eastAsia="楷体" w:cs="楷体"/>
                <w:sz w:val="24"/>
              </w:rPr>
              <w:t xml:space="preserve">中标价即为合同签约价。  </w:t>
            </w:r>
          </w:p>
          <w:p w14:paraId="03C44883">
            <w:pPr>
              <w:pStyle w:val="9"/>
              <w:ind w:firstLine="0"/>
              <w:rPr>
                <w:rFonts w:ascii="楷体" w:hAnsi="楷体" w:eastAsia="楷体" w:cs="楷体"/>
                <w:sz w:val="24"/>
              </w:rPr>
            </w:pPr>
            <w:r>
              <w:rPr>
                <w:rFonts w:hint="eastAsia" w:ascii="楷体" w:hAnsi="楷体" w:eastAsia="楷体" w:cs="楷体"/>
                <w:sz w:val="24"/>
              </w:rPr>
              <w:t>如出现报价前后不一致的，将按招标文件第五部分“评标办法和标准”第 5 项规定进行修正。</w:t>
            </w:r>
          </w:p>
        </w:tc>
      </w:tr>
      <w:tr w14:paraId="76E5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423" w:type="pct"/>
            <w:vAlign w:val="center"/>
          </w:tcPr>
          <w:p w14:paraId="526DE1B5">
            <w:pPr>
              <w:pStyle w:val="9"/>
              <w:ind w:firstLine="0"/>
              <w:jc w:val="center"/>
              <w:rPr>
                <w:rFonts w:ascii="楷体" w:hAnsi="楷体" w:eastAsia="楷体" w:cs="楷体"/>
                <w:sz w:val="24"/>
              </w:rPr>
            </w:pPr>
            <w:r>
              <w:rPr>
                <w:rFonts w:hint="eastAsia" w:ascii="楷体" w:hAnsi="楷体" w:eastAsia="楷体" w:cs="楷体"/>
                <w:sz w:val="24"/>
              </w:rPr>
              <w:t>2</w:t>
            </w:r>
          </w:p>
        </w:tc>
        <w:tc>
          <w:tcPr>
            <w:tcW w:w="1035" w:type="pct"/>
            <w:vAlign w:val="center"/>
          </w:tcPr>
          <w:p w14:paraId="1595F93C">
            <w:pPr>
              <w:pStyle w:val="9"/>
              <w:ind w:firstLine="0"/>
              <w:jc w:val="center"/>
              <w:rPr>
                <w:rFonts w:ascii="楷体" w:hAnsi="楷体" w:eastAsia="楷体" w:cs="楷体"/>
                <w:sz w:val="24"/>
              </w:rPr>
            </w:pPr>
            <w:r>
              <w:rPr>
                <w:rFonts w:hint="eastAsia" w:ascii="楷体" w:hAnsi="楷体" w:eastAsia="楷体" w:cs="楷体"/>
                <w:sz w:val="24"/>
              </w:rPr>
              <w:t>转包及分包</w:t>
            </w:r>
          </w:p>
        </w:tc>
        <w:tc>
          <w:tcPr>
            <w:tcW w:w="3540" w:type="pct"/>
            <w:vAlign w:val="center"/>
          </w:tcPr>
          <w:p w14:paraId="06C5FE12">
            <w:pPr>
              <w:pStyle w:val="9"/>
              <w:ind w:firstLine="0"/>
              <w:rPr>
                <w:rFonts w:ascii="楷体" w:hAnsi="楷体" w:eastAsia="楷体" w:cs="楷体"/>
                <w:sz w:val="24"/>
              </w:rPr>
            </w:pPr>
            <w:r>
              <w:rPr>
                <w:rFonts w:hint="eastAsia" w:ascii="楷体" w:hAnsi="楷体" w:eastAsia="楷体" w:cs="楷体"/>
                <w:sz w:val="24"/>
              </w:rPr>
              <w:t>项目依法不得转包</w:t>
            </w:r>
          </w:p>
          <w:p w14:paraId="6548138B">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本项目不同意分包。</w:t>
            </w:r>
          </w:p>
        </w:tc>
      </w:tr>
      <w:tr w14:paraId="60E2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23" w:type="pct"/>
            <w:vAlign w:val="center"/>
          </w:tcPr>
          <w:p w14:paraId="2DF4057A">
            <w:pPr>
              <w:pStyle w:val="9"/>
              <w:ind w:firstLine="0"/>
              <w:jc w:val="center"/>
              <w:rPr>
                <w:rFonts w:ascii="楷体" w:hAnsi="楷体" w:eastAsia="楷体" w:cs="楷体"/>
                <w:sz w:val="24"/>
              </w:rPr>
            </w:pPr>
            <w:r>
              <w:rPr>
                <w:rFonts w:hint="eastAsia" w:ascii="楷体" w:hAnsi="楷体" w:eastAsia="楷体" w:cs="楷体"/>
                <w:sz w:val="24"/>
              </w:rPr>
              <w:t>3</w:t>
            </w:r>
          </w:p>
        </w:tc>
        <w:tc>
          <w:tcPr>
            <w:tcW w:w="1035" w:type="pct"/>
            <w:vAlign w:val="center"/>
          </w:tcPr>
          <w:p w14:paraId="5A2A84F0">
            <w:pPr>
              <w:pStyle w:val="9"/>
              <w:ind w:firstLine="0"/>
              <w:jc w:val="center"/>
              <w:rPr>
                <w:rFonts w:ascii="楷体" w:hAnsi="楷体" w:eastAsia="楷体" w:cs="楷体"/>
                <w:sz w:val="24"/>
              </w:rPr>
            </w:pPr>
            <w:r>
              <w:rPr>
                <w:rFonts w:hint="eastAsia" w:ascii="楷体" w:hAnsi="楷体" w:eastAsia="楷体" w:cs="楷体"/>
                <w:sz w:val="24"/>
              </w:rPr>
              <w:t>开标前答疑会</w:t>
            </w:r>
          </w:p>
        </w:tc>
        <w:tc>
          <w:tcPr>
            <w:tcW w:w="3540" w:type="pct"/>
            <w:vAlign w:val="center"/>
          </w:tcPr>
          <w:p w14:paraId="05C3488F">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不组织</w:t>
            </w:r>
          </w:p>
        </w:tc>
      </w:tr>
      <w:tr w14:paraId="5F28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23" w:type="pct"/>
            <w:vAlign w:val="center"/>
          </w:tcPr>
          <w:p w14:paraId="6B24AB77">
            <w:pPr>
              <w:pStyle w:val="9"/>
              <w:ind w:firstLine="0"/>
              <w:jc w:val="center"/>
              <w:rPr>
                <w:rFonts w:ascii="楷体" w:hAnsi="楷体" w:eastAsia="楷体" w:cs="楷体"/>
                <w:sz w:val="24"/>
              </w:rPr>
            </w:pPr>
            <w:r>
              <w:rPr>
                <w:rFonts w:hint="eastAsia" w:ascii="楷体" w:hAnsi="楷体" w:eastAsia="楷体" w:cs="楷体"/>
                <w:sz w:val="24"/>
              </w:rPr>
              <w:t>4</w:t>
            </w:r>
          </w:p>
        </w:tc>
        <w:tc>
          <w:tcPr>
            <w:tcW w:w="1035" w:type="pct"/>
            <w:vAlign w:val="center"/>
          </w:tcPr>
          <w:p w14:paraId="1AB20B68">
            <w:pPr>
              <w:pStyle w:val="9"/>
              <w:ind w:firstLine="0"/>
              <w:jc w:val="center"/>
              <w:rPr>
                <w:rFonts w:ascii="楷体" w:hAnsi="楷体" w:eastAsia="楷体" w:cs="楷体"/>
                <w:sz w:val="24"/>
              </w:rPr>
            </w:pPr>
            <w:r>
              <w:rPr>
                <w:rFonts w:hint="eastAsia" w:ascii="楷体" w:hAnsi="楷体" w:eastAsia="楷体" w:cs="楷体"/>
                <w:sz w:val="24"/>
              </w:rPr>
              <w:t>现场踏勘</w:t>
            </w:r>
          </w:p>
        </w:tc>
        <w:tc>
          <w:tcPr>
            <w:tcW w:w="3540" w:type="pct"/>
            <w:vAlign w:val="center"/>
          </w:tcPr>
          <w:p w14:paraId="37918F43">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不统一组织</w:t>
            </w:r>
          </w:p>
        </w:tc>
      </w:tr>
      <w:tr w14:paraId="1393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23" w:type="pct"/>
            <w:vAlign w:val="center"/>
          </w:tcPr>
          <w:p w14:paraId="56C23C27">
            <w:pPr>
              <w:pStyle w:val="9"/>
              <w:ind w:firstLine="0"/>
              <w:jc w:val="center"/>
              <w:rPr>
                <w:rFonts w:ascii="楷体" w:hAnsi="楷体" w:eastAsia="楷体" w:cs="楷体"/>
                <w:sz w:val="24"/>
              </w:rPr>
            </w:pPr>
            <w:r>
              <w:rPr>
                <w:rFonts w:hint="eastAsia" w:ascii="楷体" w:hAnsi="楷体" w:eastAsia="楷体" w:cs="楷体"/>
                <w:sz w:val="24"/>
              </w:rPr>
              <w:t>5</w:t>
            </w:r>
          </w:p>
        </w:tc>
        <w:tc>
          <w:tcPr>
            <w:tcW w:w="1035" w:type="pct"/>
            <w:vAlign w:val="center"/>
          </w:tcPr>
          <w:p w14:paraId="7D24F956">
            <w:pPr>
              <w:pStyle w:val="9"/>
              <w:ind w:firstLine="0"/>
              <w:jc w:val="center"/>
              <w:rPr>
                <w:rFonts w:ascii="楷体" w:hAnsi="楷体" w:eastAsia="楷体" w:cs="楷体"/>
                <w:sz w:val="24"/>
              </w:rPr>
            </w:pPr>
            <w:r>
              <w:rPr>
                <w:rFonts w:hint="eastAsia" w:ascii="楷体" w:hAnsi="楷体" w:eastAsia="楷体" w:cs="楷体"/>
                <w:sz w:val="24"/>
              </w:rPr>
              <w:t>演示</w:t>
            </w:r>
          </w:p>
        </w:tc>
        <w:tc>
          <w:tcPr>
            <w:tcW w:w="3540" w:type="pct"/>
            <w:vAlign w:val="center"/>
          </w:tcPr>
          <w:p w14:paraId="015997B6">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无</w:t>
            </w:r>
          </w:p>
        </w:tc>
      </w:tr>
      <w:tr w14:paraId="7C19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67E44923">
            <w:pPr>
              <w:pStyle w:val="9"/>
              <w:ind w:firstLine="0"/>
              <w:jc w:val="center"/>
              <w:rPr>
                <w:rFonts w:ascii="楷体" w:hAnsi="楷体" w:eastAsia="楷体" w:cs="楷体"/>
                <w:sz w:val="24"/>
              </w:rPr>
            </w:pPr>
            <w:r>
              <w:rPr>
                <w:rFonts w:hint="eastAsia" w:ascii="楷体" w:hAnsi="楷体" w:eastAsia="楷体" w:cs="楷体"/>
                <w:sz w:val="24"/>
              </w:rPr>
              <w:t>6</w:t>
            </w:r>
          </w:p>
        </w:tc>
        <w:tc>
          <w:tcPr>
            <w:tcW w:w="1035" w:type="pct"/>
            <w:vAlign w:val="center"/>
          </w:tcPr>
          <w:p w14:paraId="0F57CC2E">
            <w:pPr>
              <w:pStyle w:val="9"/>
              <w:ind w:firstLine="0"/>
              <w:jc w:val="center"/>
              <w:rPr>
                <w:rFonts w:ascii="楷体" w:hAnsi="楷体" w:eastAsia="楷体" w:cs="楷体"/>
                <w:sz w:val="24"/>
              </w:rPr>
            </w:pPr>
            <w:r>
              <w:rPr>
                <w:rFonts w:hint="eastAsia" w:ascii="楷体" w:hAnsi="楷体" w:eastAsia="楷体" w:cs="楷体"/>
                <w:sz w:val="24"/>
              </w:rPr>
              <w:t>样品</w:t>
            </w:r>
          </w:p>
        </w:tc>
        <w:tc>
          <w:tcPr>
            <w:tcW w:w="3540" w:type="pct"/>
            <w:vAlign w:val="center"/>
          </w:tcPr>
          <w:p w14:paraId="58C6DB72">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A不要求提供。</w:t>
            </w:r>
          </w:p>
        </w:tc>
      </w:tr>
      <w:tr w14:paraId="76A2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0EC4933">
            <w:pPr>
              <w:pStyle w:val="9"/>
              <w:ind w:firstLine="0"/>
              <w:jc w:val="center"/>
              <w:rPr>
                <w:rFonts w:ascii="楷体" w:hAnsi="楷体" w:eastAsia="楷体" w:cs="楷体"/>
                <w:sz w:val="24"/>
              </w:rPr>
            </w:pPr>
            <w:r>
              <w:rPr>
                <w:rFonts w:hint="eastAsia" w:ascii="楷体" w:hAnsi="楷体" w:eastAsia="楷体" w:cs="楷体"/>
                <w:sz w:val="24"/>
              </w:rPr>
              <w:t>7</w:t>
            </w:r>
          </w:p>
        </w:tc>
        <w:tc>
          <w:tcPr>
            <w:tcW w:w="1035" w:type="pct"/>
            <w:vAlign w:val="center"/>
          </w:tcPr>
          <w:p w14:paraId="00AD8A16">
            <w:pPr>
              <w:pStyle w:val="9"/>
              <w:ind w:firstLine="0"/>
              <w:jc w:val="center"/>
              <w:rPr>
                <w:rFonts w:ascii="楷体" w:hAnsi="楷体" w:eastAsia="楷体" w:cs="楷体"/>
                <w:sz w:val="24"/>
              </w:rPr>
            </w:pPr>
            <w:r>
              <w:rPr>
                <w:rFonts w:hint="eastAsia" w:ascii="楷体" w:hAnsi="楷体" w:eastAsia="楷体" w:cs="楷体"/>
                <w:sz w:val="24"/>
              </w:rPr>
              <w:t>是否允许采购进口产品</w:t>
            </w:r>
          </w:p>
        </w:tc>
        <w:tc>
          <w:tcPr>
            <w:tcW w:w="3540" w:type="pct"/>
            <w:vAlign w:val="center"/>
          </w:tcPr>
          <w:p w14:paraId="69C5BEA6">
            <w:pPr>
              <w:pStyle w:val="9"/>
              <w:ind w:firstLine="0"/>
              <w:rPr>
                <w:rFonts w:ascii="楷体" w:hAnsi="楷体" w:eastAsia="楷体" w:cs="楷体"/>
                <w:sz w:val="24"/>
              </w:rPr>
            </w:pPr>
            <w:r>
              <w:rPr>
                <w:rFonts w:ascii="Wingdings 2" w:hAnsi="Wingdings 2" w:eastAsia="Wingdings 2" w:cs="Wingdings 2"/>
                <w:sz w:val="24"/>
              </w:rPr>
              <w:t></w:t>
            </w:r>
            <w:r>
              <w:rPr>
                <w:rFonts w:hint="eastAsia" w:ascii="楷体" w:hAnsi="楷体" w:eastAsia="楷体" w:cs="楷体"/>
                <w:sz w:val="24"/>
              </w:rPr>
              <w:t>A本项目不允许采购进口产品。</w:t>
            </w:r>
          </w:p>
        </w:tc>
      </w:tr>
      <w:tr w14:paraId="1D2E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trPr>
        <w:tc>
          <w:tcPr>
            <w:tcW w:w="423" w:type="pct"/>
            <w:vAlign w:val="center"/>
          </w:tcPr>
          <w:p w14:paraId="066D8460">
            <w:pPr>
              <w:pStyle w:val="9"/>
              <w:ind w:firstLine="0"/>
              <w:jc w:val="center"/>
              <w:rPr>
                <w:rFonts w:ascii="楷体" w:hAnsi="楷体" w:eastAsia="楷体" w:cs="楷体"/>
                <w:sz w:val="24"/>
              </w:rPr>
            </w:pPr>
            <w:r>
              <w:rPr>
                <w:rFonts w:hint="eastAsia" w:ascii="楷体" w:hAnsi="楷体" w:eastAsia="楷体" w:cs="楷体"/>
                <w:sz w:val="24"/>
              </w:rPr>
              <w:t>8</w:t>
            </w:r>
          </w:p>
        </w:tc>
        <w:tc>
          <w:tcPr>
            <w:tcW w:w="1035" w:type="pct"/>
            <w:vAlign w:val="center"/>
          </w:tcPr>
          <w:p w14:paraId="1155DB41">
            <w:pPr>
              <w:pStyle w:val="9"/>
              <w:ind w:firstLine="0"/>
              <w:jc w:val="center"/>
              <w:rPr>
                <w:rFonts w:ascii="楷体" w:hAnsi="楷体" w:eastAsia="楷体" w:cs="楷体"/>
                <w:sz w:val="24"/>
              </w:rPr>
            </w:pPr>
            <w:r>
              <w:rPr>
                <w:rFonts w:hint="eastAsia" w:ascii="楷体" w:hAnsi="楷体" w:eastAsia="楷体" w:cs="楷体"/>
                <w:sz w:val="24"/>
              </w:rPr>
              <w:t>项目属性与核心产品</w:t>
            </w:r>
          </w:p>
        </w:tc>
        <w:tc>
          <w:tcPr>
            <w:tcW w:w="3540" w:type="pct"/>
            <w:vAlign w:val="center"/>
          </w:tcPr>
          <w:p w14:paraId="0AE07783">
            <w:pPr>
              <w:pStyle w:val="9"/>
              <w:ind w:firstLine="0"/>
              <w:rPr>
                <w:rFonts w:ascii="楷体" w:hAnsi="楷体" w:eastAsia="楷体" w:cs="楷体"/>
                <w:color w:val="auto"/>
                <w:sz w:val="24"/>
              </w:rPr>
            </w:pPr>
            <w:r>
              <w:rPr>
                <w:rFonts w:ascii="Wingdings 2" w:hAnsi="Wingdings 2" w:eastAsia="Wingdings 2" w:cs="Wingdings 2"/>
                <w:color w:val="auto"/>
                <w:sz w:val="24"/>
              </w:rPr>
              <w:t></w:t>
            </w:r>
            <w:r>
              <w:rPr>
                <w:rFonts w:hint="eastAsia" w:ascii="楷体" w:hAnsi="楷体" w:eastAsia="楷体" w:cs="楷体"/>
                <w:color w:val="auto"/>
                <w:sz w:val="24"/>
              </w:rPr>
              <w:t>A货物类。</w:t>
            </w:r>
          </w:p>
          <w:p w14:paraId="662F493E">
            <w:pPr>
              <w:pStyle w:val="9"/>
              <w:ind w:firstLine="0"/>
              <w:rPr>
                <w:rFonts w:hint="eastAsia" w:ascii="楷体" w:hAnsi="楷体" w:eastAsia="楷体" w:cs="楷体"/>
                <w:color w:val="auto"/>
                <w:kern w:val="2"/>
                <w:sz w:val="24"/>
              </w:rPr>
            </w:pPr>
            <w:r>
              <w:rPr>
                <w:rFonts w:hint="eastAsia" w:ascii="楷体" w:hAnsi="楷体" w:eastAsia="楷体" w:cs="楷体"/>
                <w:color w:val="auto"/>
                <w:kern w:val="2"/>
                <w:sz w:val="24"/>
              </w:rPr>
              <w:t>本项目核心产品为：</w:t>
            </w:r>
          </w:p>
          <w:p w14:paraId="38FE15AA">
            <w:pPr>
              <w:pStyle w:val="9"/>
              <w:ind w:firstLine="0"/>
              <w:rPr>
                <w:rFonts w:hint="eastAsia" w:ascii="楷体" w:hAnsi="楷体" w:eastAsia="楷体" w:cs="楷体"/>
                <w:color w:val="auto"/>
                <w:kern w:val="2"/>
                <w:sz w:val="24"/>
                <w:u w:val="single"/>
                <w:lang w:val="en-US" w:eastAsia="zh-CN"/>
              </w:rPr>
            </w:pPr>
            <w:r>
              <w:rPr>
                <w:rFonts w:hint="eastAsia" w:ascii="楷体" w:hAnsi="楷体" w:eastAsia="楷体" w:cs="楷体"/>
                <w:color w:val="auto"/>
                <w:kern w:val="2"/>
                <w:sz w:val="24"/>
                <w:lang w:val="en-US" w:eastAsia="zh-CN"/>
              </w:rPr>
              <w:t>采购包1：</w:t>
            </w:r>
            <w:r>
              <w:rPr>
                <w:rFonts w:hint="eastAsia" w:ascii="楷体" w:hAnsi="楷体" w:eastAsia="楷体" w:cs="楷体"/>
                <w:color w:val="auto"/>
                <w:kern w:val="2"/>
                <w:sz w:val="24"/>
                <w:u w:val="single"/>
                <w:lang w:val="en-US" w:eastAsia="zh-CN"/>
              </w:rPr>
              <w:t xml:space="preserve"> 气相色谱-质谱联用仪 </w:t>
            </w:r>
          </w:p>
          <w:p w14:paraId="345DE1FA">
            <w:pPr>
              <w:pStyle w:val="9"/>
              <w:ind w:firstLine="0"/>
              <w:rPr>
                <w:rFonts w:hint="eastAsia" w:ascii="楷体" w:hAnsi="楷体" w:eastAsia="楷体" w:cs="楷体"/>
                <w:color w:val="auto"/>
                <w:kern w:val="2"/>
                <w:sz w:val="24"/>
                <w:lang w:val="en-US" w:eastAsia="zh-CN"/>
              </w:rPr>
            </w:pPr>
            <w:r>
              <w:rPr>
                <w:rFonts w:hint="eastAsia" w:ascii="楷体" w:hAnsi="楷体" w:eastAsia="楷体" w:cs="楷体"/>
                <w:color w:val="auto"/>
                <w:kern w:val="2"/>
                <w:sz w:val="24"/>
                <w:lang w:val="en-US" w:eastAsia="zh-CN"/>
              </w:rPr>
              <w:t>采购包2：</w:t>
            </w:r>
            <w:r>
              <w:rPr>
                <w:rFonts w:hint="eastAsia" w:ascii="楷体" w:hAnsi="楷体" w:eastAsia="楷体" w:cs="楷体"/>
                <w:color w:val="auto"/>
                <w:kern w:val="2"/>
                <w:sz w:val="24"/>
                <w:u w:val="single"/>
                <w:lang w:val="en-US" w:eastAsia="zh-CN"/>
              </w:rPr>
              <w:t>ICP-MS电感耦合等离子体质谱仪</w:t>
            </w:r>
          </w:p>
          <w:p w14:paraId="78B8405D">
            <w:pPr>
              <w:pStyle w:val="9"/>
              <w:ind w:left="1200" w:hanging="1200" w:hangingChars="500"/>
              <w:rPr>
                <w:rFonts w:hint="eastAsia" w:ascii="楷体" w:hAnsi="楷体" w:eastAsia="楷体" w:cs="楷体"/>
                <w:color w:val="auto"/>
                <w:kern w:val="2"/>
                <w:sz w:val="24"/>
                <w:lang w:val="en-US" w:eastAsia="zh-CN"/>
              </w:rPr>
            </w:pPr>
            <w:r>
              <w:rPr>
                <w:rFonts w:hint="eastAsia" w:ascii="楷体" w:hAnsi="楷体" w:eastAsia="楷体" w:cs="楷体"/>
                <w:color w:val="auto"/>
                <w:kern w:val="2"/>
                <w:sz w:val="24"/>
                <w:lang w:val="en-US" w:eastAsia="zh-CN"/>
              </w:rPr>
              <w:t>采购包3：</w:t>
            </w:r>
            <w:r>
              <w:rPr>
                <w:rFonts w:hint="eastAsia" w:ascii="楷体" w:hAnsi="楷体" w:eastAsia="楷体" w:cs="楷体"/>
                <w:color w:val="auto"/>
                <w:kern w:val="2"/>
                <w:sz w:val="24"/>
                <w:u w:val="single"/>
                <w:lang w:val="en-US" w:eastAsia="zh-CN"/>
              </w:rPr>
              <w:t xml:space="preserve"> 冷原子吸收测汞仪、红外测油仪、紫外分光测油仪  </w:t>
            </w:r>
          </w:p>
          <w:p w14:paraId="76F59D3D">
            <w:pPr>
              <w:pStyle w:val="9"/>
              <w:ind w:firstLine="0"/>
              <w:rPr>
                <w:rFonts w:hint="eastAsia" w:ascii="楷体" w:hAnsi="楷体" w:eastAsia="楷体" w:cs="楷体"/>
                <w:color w:val="auto"/>
                <w:kern w:val="2"/>
                <w:sz w:val="24"/>
                <w:u w:val="single"/>
                <w:lang w:val="en-US" w:eastAsia="zh-CN"/>
              </w:rPr>
            </w:pPr>
            <w:r>
              <w:rPr>
                <w:rFonts w:hint="eastAsia" w:ascii="楷体" w:hAnsi="楷体" w:eastAsia="楷体" w:cs="楷体"/>
                <w:color w:val="auto"/>
                <w:kern w:val="2"/>
                <w:sz w:val="24"/>
                <w:lang w:val="en-US" w:eastAsia="zh-CN"/>
              </w:rPr>
              <w:t>采购包4：</w:t>
            </w:r>
            <w:r>
              <w:rPr>
                <w:rFonts w:hint="eastAsia" w:ascii="楷体" w:hAnsi="楷体" w:eastAsia="楷体" w:cs="楷体"/>
                <w:color w:val="auto"/>
                <w:kern w:val="2"/>
                <w:sz w:val="24"/>
                <w:u w:val="single"/>
                <w:lang w:val="en-US" w:eastAsia="zh-CN"/>
              </w:rPr>
              <w:t xml:space="preserve"> 便携式测油仪、便携式烟尘采样仪、便携式烟尘烟气测试仪（定电位法）、环境空气综合采样器 </w:t>
            </w:r>
          </w:p>
        </w:tc>
      </w:tr>
      <w:tr w14:paraId="0400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1B26D37">
            <w:pPr>
              <w:pStyle w:val="9"/>
              <w:ind w:firstLine="0"/>
              <w:jc w:val="center"/>
              <w:rPr>
                <w:rFonts w:ascii="楷体" w:hAnsi="楷体" w:eastAsia="楷体" w:cs="楷体"/>
                <w:sz w:val="24"/>
              </w:rPr>
            </w:pPr>
            <w:r>
              <w:rPr>
                <w:rFonts w:hint="eastAsia" w:ascii="楷体" w:hAnsi="楷体" w:eastAsia="楷体" w:cs="楷体"/>
                <w:sz w:val="24"/>
              </w:rPr>
              <w:t>9</w:t>
            </w:r>
          </w:p>
        </w:tc>
        <w:tc>
          <w:tcPr>
            <w:tcW w:w="1035" w:type="pct"/>
            <w:vAlign w:val="center"/>
          </w:tcPr>
          <w:p w14:paraId="3321F4D1">
            <w:pPr>
              <w:pStyle w:val="9"/>
              <w:ind w:firstLine="0"/>
              <w:jc w:val="center"/>
              <w:rPr>
                <w:rFonts w:ascii="楷体" w:hAnsi="楷体" w:eastAsia="楷体" w:cs="楷体"/>
                <w:sz w:val="24"/>
              </w:rPr>
            </w:pPr>
            <w:r>
              <w:rPr>
                <w:rFonts w:hint="eastAsia" w:ascii="楷体" w:hAnsi="楷体" w:eastAsia="楷体" w:cs="楷体"/>
                <w:sz w:val="24"/>
              </w:rPr>
              <w:t>采购标的对应的中小企业划分标准所属行业</w:t>
            </w:r>
          </w:p>
        </w:tc>
        <w:tc>
          <w:tcPr>
            <w:tcW w:w="3540" w:type="pct"/>
            <w:vAlign w:val="center"/>
          </w:tcPr>
          <w:p w14:paraId="0C3182BC">
            <w:pPr>
              <w:pStyle w:val="9"/>
              <w:ind w:firstLine="0"/>
              <w:rPr>
                <w:rFonts w:ascii="楷体" w:hAnsi="楷体" w:eastAsia="楷体" w:cs="楷体"/>
                <w:color w:val="auto"/>
                <w:sz w:val="24"/>
              </w:rPr>
            </w:pPr>
            <w:r>
              <w:rPr>
                <w:rFonts w:hint="eastAsia" w:ascii="楷体" w:hAnsi="楷体" w:eastAsia="楷体" w:cs="楷体"/>
                <w:color w:val="auto"/>
                <w:sz w:val="24"/>
              </w:rPr>
              <w:t>（1）标的：</w:t>
            </w:r>
            <w:r>
              <w:rPr>
                <w:rFonts w:hint="eastAsia" w:ascii="楷体" w:hAnsi="楷体" w:eastAsia="楷体" w:cs="楷体"/>
                <w:color w:val="auto"/>
                <w:sz w:val="24"/>
                <w:u w:val="single"/>
                <w:lang w:val="en-US" w:eastAsia="zh-CN"/>
              </w:rPr>
              <w:t>详见“第四部分 采购需求”中各采购包的“采购标的汇总表”</w:t>
            </w:r>
            <w:r>
              <w:rPr>
                <w:rFonts w:hint="eastAsia" w:ascii="楷体" w:hAnsi="楷体" w:eastAsia="楷体" w:cs="楷体"/>
                <w:color w:val="auto"/>
                <w:sz w:val="24"/>
              </w:rPr>
              <w:t>，</w:t>
            </w:r>
            <w:r>
              <w:rPr>
                <w:rFonts w:hint="eastAsia" w:ascii="楷体" w:hAnsi="楷体" w:eastAsia="楷体" w:cs="楷体"/>
                <w:color w:val="auto"/>
                <w:sz w:val="24"/>
                <w:lang w:val="en-US" w:eastAsia="zh-CN"/>
              </w:rPr>
              <w:t>均</w:t>
            </w:r>
            <w:r>
              <w:rPr>
                <w:rFonts w:hint="eastAsia" w:ascii="楷体" w:hAnsi="楷体" w:eastAsia="楷体" w:cs="楷体"/>
                <w:color w:val="auto"/>
                <w:sz w:val="24"/>
              </w:rPr>
              <w:t>属于</w:t>
            </w:r>
            <w:r>
              <w:rPr>
                <w:rFonts w:hint="eastAsia" w:ascii="楷体" w:hAnsi="楷体" w:eastAsia="楷体" w:cs="楷体"/>
                <w:color w:val="auto"/>
                <w:sz w:val="24"/>
                <w:u w:val="single"/>
              </w:rPr>
              <w:t>工业</w:t>
            </w:r>
            <w:r>
              <w:rPr>
                <w:rFonts w:hint="eastAsia" w:ascii="楷体" w:hAnsi="楷体" w:eastAsia="楷体" w:cs="楷体"/>
                <w:color w:val="auto"/>
                <w:sz w:val="24"/>
              </w:rPr>
              <w:t>行业</w:t>
            </w:r>
            <w:r>
              <w:rPr>
                <w:rFonts w:hint="eastAsia" w:ascii="楷体" w:hAnsi="楷体" w:eastAsia="楷体" w:cs="楷体"/>
                <w:color w:val="auto"/>
                <w:sz w:val="24"/>
                <w:lang w:eastAsia="zh-CN"/>
              </w:rPr>
              <w:t>。</w:t>
            </w:r>
            <w:r>
              <w:rPr>
                <w:rFonts w:ascii="楷体" w:hAnsi="楷体" w:eastAsia="楷体" w:cs="楷体"/>
                <w:color w:val="auto"/>
                <w:sz w:val="24"/>
              </w:rPr>
              <w:t xml:space="preserve"> </w:t>
            </w:r>
          </w:p>
        </w:tc>
      </w:tr>
      <w:tr w14:paraId="4D03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7B018D49">
            <w:pPr>
              <w:pStyle w:val="9"/>
              <w:ind w:firstLine="0"/>
              <w:jc w:val="center"/>
              <w:rPr>
                <w:rFonts w:ascii="楷体" w:hAnsi="楷体" w:eastAsia="楷体" w:cs="楷体"/>
                <w:sz w:val="24"/>
              </w:rPr>
            </w:pPr>
            <w:r>
              <w:rPr>
                <w:rFonts w:hint="eastAsia" w:ascii="楷体" w:hAnsi="楷体" w:eastAsia="楷体" w:cs="楷体"/>
                <w:sz w:val="24"/>
              </w:rPr>
              <w:t>10</w:t>
            </w:r>
          </w:p>
        </w:tc>
        <w:tc>
          <w:tcPr>
            <w:tcW w:w="1035" w:type="pct"/>
            <w:vAlign w:val="center"/>
          </w:tcPr>
          <w:p w14:paraId="7FD94215">
            <w:pPr>
              <w:pStyle w:val="9"/>
              <w:ind w:firstLine="0"/>
              <w:jc w:val="center"/>
              <w:rPr>
                <w:rFonts w:ascii="楷体" w:hAnsi="楷体" w:eastAsia="楷体" w:cs="楷体"/>
                <w:sz w:val="24"/>
              </w:rPr>
            </w:pPr>
            <w:r>
              <w:rPr>
                <w:rFonts w:hint="eastAsia" w:ascii="楷体" w:hAnsi="楷体" w:eastAsia="楷体" w:cs="楷体"/>
                <w:sz w:val="24"/>
              </w:rPr>
              <w:t>节能产品、环境标志产品</w:t>
            </w:r>
          </w:p>
        </w:tc>
        <w:tc>
          <w:tcPr>
            <w:tcW w:w="3540" w:type="pct"/>
            <w:vAlign w:val="center"/>
          </w:tcPr>
          <w:p w14:paraId="28E9D9FF">
            <w:pPr>
              <w:pStyle w:val="9"/>
              <w:ind w:firstLine="0"/>
              <w:rPr>
                <w:rFonts w:ascii="楷体" w:hAnsi="楷体" w:eastAsia="楷体" w:cs="楷体"/>
                <w:sz w:val="24"/>
              </w:rPr>
            </w:pPr>
            <w:r>
              <w:rPr>
                <w:rFonts w:hint="eastAsia" w:ascii="楷体" w:hAnsi="楷体" w:eastAsia="楷体"/>
                <w:sz w:val="24"/>
              </w:rPr>
              <w:t>投标人所投产品属于政府采购节能产品、环境标志产品品目清单范围的，</w:t>
            </w:r>
            <w:r>
              <w:rPr>
                <w:rFonts w:hint="eastAsia" w:ascii="楷体" w:hAnsi="楷体" w:eastAsia="楷体" w:cs="楷体"/>
                <w:sz w:val="24"/>
              </w:rPr>
              <w:t>采购人及其委托的采购代理机构将依据国家确定的认证机构出具的、处于有效期之内的节能产品、环境标志产品认证证书，对获得证书的产品实施政府优先采购或强制采购。</w:t>
            </w:r>
          </w:p>
        </w:tc>
      </w:tr>
      <w:tr w14:paraId="0C94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DE32942">
            <w:pPr>
              <w:pStyle w:val="9"/>
              <w:ind w:firstLine="0"/>
              <w:jc w:val="center"/>
              <w:rPr>
                <w:rFonts w:ascii="楷体" w:hAnsi="楷体" w:eastAsia="楷体" w:cs="楷体"/>
                <w:sz w:val="24"/>
              </w:rPr>
            </w:pPr>
            <w:r>
              <w:rPr>
                <w:rFonts w:hint="eastAsia" w:ascii="楷体" w:hAnsi="楷体" w:eastAsia="楷体" w:cs="楷体"/>
                <w:sz w:val="24"/>
              </w:rPr>
              <w:t>11</w:t>
            </w:r>
          </w:p>
        </w:tc>
        <w:tc>
          <w:tcPr>
            <w:tcW w:w="1035" w:type="pct"/>
            <w:vAlign w:val="center"/>
          </w:tcPr>
          <w:p w14:paraId="146CB2B2">
            <w:pPr>
              <w:pStyle w:val="9"/>
              <w:ind w:firstLine="0"/>
              <w:jc w:val="center"/>
              <w:rPr>
                <w:rFonts w:ascii="楷体" w:hAnsi="楷体" w:eastAsia="楷体" w:cs="楷体"/>
                <w:sz w:val="24"/>
              </w:rPr>
            </w:pPr>
            <w:r>
              <w:rPr>
                <w:rFonts w:hint="eastAsia" w:ascii="楷体" w:hAnsi="楷体" w:eastAsia="楷体" w:cs="楷体"/>
                <w:sz w:val="24"/>
              </w:rPr>
              <w:t>中小企业信用融资</w:t>
            </w:r>
          </w:p>
        </w:tc>
        <w:tc>
          <w:tcPr>
            <w:tcW w:w="3540" w:type="pct"/>
            <w:vAlign w:val="center"/>
          </w:tcPr>
          <w:p w14:paraId="57F338C1">
            <w:pPr>
              <w:pStyle w:val="9"/>
              <w:ind w:firstLine="0"/>
              <w:rPr>
                <w:rFonts w:ascii="楷体" w:hAnsi="楷体" w:eastAsia="楷体" w:cs="楷体"/>
                <w:sz w:val="24"/>
              </w:rPr>
            </w:pPr>
            <w:r>
              <w:rPr>
                <w:rFonts w:hint="eastAsia" w:ascii="楷体" w:hAnsi="楷体" w:eastAsia="楷体" w:cs="楷体"/>
                <w:sz w:val="24"/>
              </w:rPr>
              <w:t>为进一步发挥政府采购政策导向作用，有效缓解企业融资难题，推进完善应收账款融资服务平台的融资服务功能，促进中小微企业平稳健康发展，</w:t>
            </w:r>
            <w:bookmarkStart w:id="46" w:name="_Hlk136445673"/>
            <w:r>
              <w:rPr>
                <w:rFonts w:hint="eastAsia" w:ascii="楷体" w:hAnsi="楷体" w:eastAsia="楷体" w:cs="楷体"/>
                <w:sz w:val="24"/>
              </w:rPr>
              <w:t>镇江市财政局和中国人民银行镇江市中心支行联合印发《关于转发〈关于深入推进政府采购线上合同信用融资工作的通知〉的通知》</w:t>
            </w:r>
            <w:bookmarkEnd w:id="46"/>
            <w:r>
              <w:rPr>
                <w:rFonts w:hint="eastAsia" w:ascii="楷体" w:hAnsi="楷体" w:eastAsia="楷体" w:cs="楷体"/>
                <w:sz w:val="24"/>
              </w:rPr>
              <w:t>，</w:t>
            </w:r>
            <w:bookmarkStart w:id="47" w:name="_Hlk136444446"/>
            <w:r>
              <w:rPr>
                <w:rFonts w:hint="eastAsia" w:ascii="楷体" w:hAnsi="楷体" w:eastAsia="楷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楷体" w:hAnsi="楷体" w:eastAsia="楷体" w:cs="楷体"/>
                <w:sz w:val="24"/>
              </w:rPr>
              <w:t>办理流程详见江苏政府采购网“政采贷”栏目，网址：</w:t>
            </w:r>
            <w:r>
              <w:rPr>
                <w:rFonts w:ascii="楷体" w:hAnsi="楷体" w:eastAsia="楷体" w:cs="楷体"/>
                <w:sz w:val="24"/>
              </w:rPr>
              <w:t>http://www.ccgp-jiangsu.gov.cn/jiangsu/paying.html</w:t>
            </w:r>
            <w:r>
              <w:rPr>
                <w:rFonts w:hint="eastAsia" w:ascii="楷体" w:hAnsi="楷体" w:eastAsia="楷体" w:cs="楷体"/>
                <w:sz w:val="24"/>
              </w:rPr>
              <w:t>咨询电话：镇江市财政局政府采购处0</w:t>
            </w:r>
            <w:r>
              <w:rPr>
                <w:rFonts w:ascii="楷体" w:hAnsi="楷体" w:eastAsia="楷体" w:cs="楷体"/>
                <w:sz w:val="24"/>
              </w:rPr>
              <w:t>511-80909958</w:t>
            </w:r>
            <w:r>
              <w:rPr>
                <w:rFonts w:hint="eastAsia" w:ascii="楷体" w:hAnsi="楷体" w:eastAsia="楷体" w:cs="楷体"/>
                <w:sz w:val="24"/>
              </w:rPr>
              <w:t>。</w:t>
            </w:r>
          </w:p>
        </w:tc>
      </w:tr>
      <w:tr w14:paraId="600C9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7347751">
            <w:pPr>
              <w:pStyle w:val="9"/>
              <w:ind w:firstLine="0"/>
              <w:jc w:val="center"/>
              <w:rPr>
                <w:rFonts w:ascii="楷体" w:hAnsi="楷体" w:eastAsia="楷体" w:cs="楷体"/>
                <w:sz w:val="24"/>
              </w:rPr>
            </w:pPr>
            <w:r>
              <w:rPr>
                <w:rFonts w:hint="eastAsia" w:ascii="楷体" w:hAnsi="楷体" w:eastAsia="楷体" w:cs="楷体"/>
                <w:sz w:val="24"/>
              </w:rPr>
              <w:t>12</w:t>
            </w:r>
          </w:p>
        </w:tc>
        <w:tc>
          <w:tcPr>
            <w:tcW w:w="1035" w:type="pct"/>
            <w:vAlign w:val="center"/>
          </w:tcPr>
          <w:p w14:paraId="279CEA57">
            <w:pPr>
              <w:pStyle w:val="9"/>
              <w:ind w:firstLine="0"/>
              <w:jc w:val="center"/>
              <w:rPr>
                <w:rFonts w:ascii="楷体" w:hAnsi="楷体" w:eastAsia="楷体" w:cs="楷体"/>
                <w:sz w:val="24"/>
              </w:rPr>
            </w:pPr>
            <w:r>
              <w:rPr>
                <w:rFonts w:hint="eastAsia" w:ascii="楷体" w:hAnsi="楷体" w:eastAsia="楷体" w:cs="楷体"/>
                <w:sz w:val="24"/>
              </w:rPr>
              <w:t>特别说明</w:t>
            </w:r>
          </w:p>
        </w:tc>
        <w:tc>
          <w:tcPr>
            <w:tcW w:w="3540" w:type="pct"/>
            <w:vAlign w:val="center"/>
          </w:tcPr>
          <w:p w14:paraId="03C5C243">
            <w:pPr>
              <w:pStyle w:val="9"/>
              <w:ind w:firstLine="0"/>
              <w:rPr>
                <w:rFonts w:ascii="楷体" w:hAnsi="楷体" w:eastAsia="楷体" w:cs="楷体"/>
                <w:i/>
                <w:iCs/>
                <w:sz w:val="24"/>
              </w:rPr>
            </w:pPr>
            <w:r>
              <w:rPr>
                <w:rFonts w:hint="eastAsia" w:ascii="楷体" w:hAnsi="楷体" w:eastAsia="楷体" w:cs="楷体"/>
                <w:sz w:val="24"/>
              </w:rPr>
              <w:t>无</w:t>
            </w:r>
          </w:p>
        </w:tc>
      </w:tr>
    </w:tbl>
    <w:p w14:paraId="2AF80D37">
      <w:pPr>
        <w:pStyle w:val="9"/>
      </w:pPr>
    </w:p>
    <w:p w14:paraId="24001D49">
      <w:pPr>
        <w:pStyle w:val="6"/>
        <w:keepNext w:val="0"/>
        <w:keepLines w:val="0"/>
        <w:spacing w:before="0" w:after="0" w:line="360" w:lineRule="auto"/>
        <w:jc w:val="center"/>
        <w:rPr>
          <w:rFonts w:ascii="楷体" w:hAnsi="楷体" w:eastAsia="楷体"/>
          <w:szCs w:val="32"/>
        </w:rPr>
      </w:pPr>
      <w:r>
        <w:rPr>
          <w:rFonts w:hint="eastAsia" w:ascii="楷体" w:hAnsi="楷体" w:eastAsia="楷体"/>
          <w:szCs w:val="32"/>
        </w:rPr>
        <w:t>一、总  则</w:t>
      </w:r>
      <w:bookmarkEnd w:id="44"/>
      <w:bookmarkEnd w:id="45"/>
    </w:p>
    <w:p w14:paraId="402B3DDB">
      <w:pPr>
        <w:pStyle w:val="6"/>
        <w:keepNext w:val="0"/>
        <w:keepLines w:val="0"/>
        <w:spacing w:before="0" w:after="0" w:line="360" w:lineRule="auto"/>
        <w:ind w:firstLine="446"/>
        <w:rPr>
          <w:rFonts w:ascii="楷体" w:hAnsi="楷体" w:eastAsia="楷体"/>
          <w:sz w:val="30"/>
        </w:rPr>
      </w:pPr>
      <w:bookmarkStart w:id="48" w:name="_Toc100386035"/>
      <w:bookmarkStart w:id="49" w:name="_Toc92168001"/>
      <w:r>
        <w:rPr>
          <w:rFonts w:hint="eastAsia" w:ascii="楷体" w:hAnsi="楷体" w:eastAsia="楷体"/>
          <w:sz w:val="30"/>
        </w:rPr>
        <w:t>1．适用范围</w:t>
      </w:r>
      <w:bookmarkEnd w:id="48"/>
      <w:bookmarkEnd w:id="49"/>
    </w:p>
    <w:p w14:paraId="5DE3F501">
      <w:pPr>
        <w:spacing w:line="360" w:lineRule="auto"/>
        <w:ind w:firstLine="480"/>
        <w:rPr>
          <w:rFonts w:ascii="楷体" w:hAnsi="楷体" w:eastAsia="楷体"/>
          <w:sz w:val="24"/>
        </w:rPr>
      </w:pPr>
      <w:r>
        <w:rPr>
          <w:rFonts w:hint="eastAsia" w:ascii="楷体" w:hAnsi="楷体" w:eastAsia="楷体"/>
          <w:sz w:val="24"/>
        </w:rPr>
        <w:t>1.1 本招标文件仅适用于</w:t>
      </w:r>
      <w:r>
        <w:rPr>
          <w:rFonts w:hint="eastAsia" w:ascii="楷体" w:hAnsi="楷体" w:eastAsia="楷体"/>
          <w:color w:val="4472C4"/>
          <w:sz w:val="24"/>
          <w:szCs w:val="28"/>
          <w:lang w:eastAsia="zh-CN"/>
        </w:rPr>
        <w:t>基层生态环境监测机构规范化建设</w:t>
      </w:r>
      <w:r>
        <w:rPr>
          <w:rFonts w:hint="eastAsia" w:ascii="楷体" w:hAnsi="楷体" w:eastAsia="楷体" w:cs="隶书"/>
          <w:sz w:val="24"/>
        </w:rPr>
        <w:t>。</w:t>
      </w:r>
    </w:p>
    <w:p w14:paraId="7EE06665">
      <w:pPr>
        <w:pStyle w:val="6"/>
        <w:keepNext w:val="0"/>
        <w:keepLines w:val="0"/>
        <w:spacing w:before="200" w:after="200" w:line="360" w:lineRule="auto"/>
        <w:ind w:firstLine="446"/>
        <w:rPr>
          <w:rFonts w:ascii="楷体" w:hAnsi="楷体" w:eastAsia="楷体"/>
          <w:sz w:val="30"/>
        </w:rPr>
      </w:pPr>
      <w:bookmarkStart w:id="50" w:name="_Toc100386036"/>
      <w:bookmarkStart w:id="51" w:name="_Toc92168002"/>
      <w:r>
        <w:rPr>
          <w:rFonts w:hint="eastAsia" w:ascii="楷体" w:hAnsi="楷体" w:eastAsia="楷体"/>
          <w:sz w:val="30"/>
        </w:rPr>
        <w:t>2．定义</w:t>
      </w:r>
      <w:bookmarkEnd w:id="50"/>
      <w:bookmarkEnd w:id="51"/>
    </w:p>
    <w:p w14:paraId="5B1875EE">
      <w:pPr>
        <w:spacing w:line="360" w:lineRule="auto"/>
        <w:ind w:firstLine="480"/>
        <w:rPr>
          <w:rFonts w:ascii="楷体" w:hAnsi="楷体" w:eastAsia="楷体"/>
          <w:sz w:val="24"/>
        </w:rPr>
      </w:pPr>
      <w:bookmarkStart w:id="52" w:name="_Toc20732971"/>
      <w:bookmarkStart w:id="53" w:name="_Toc98669335"/>
      <w:bookmarkStart w:id="54" w:name="_Toc98669693"/>
      <w:bookmarkStart w:id="55" w:name="_Toc100386038"/>
      <w:bookmarkStart w:id="56" w:name="_Toc92168004"/>
      <w:r>
        <w:rPr>
          <w:rFonts w:hint="eastAsia" w:ascii="楷体" w:hAnsi="楷体" w:eastAsia="楷体"/>
          <w:sz w:val="24"/>
        </w:rPr>
        <w:t>招标文件中下列术语应解释为：</w:t>
      </w:r>
    </w:p>
    <w:p w14:paraId="571E92F8">
      <w:pPr>
        <w:spacing w:line="360" w:lineRule="auto"/>
        <w:ind w:firstLine="480"/>
        <w:rPr>
          <w:rFonts w:ascii="楷体" w:hAnsi="楷体" w:eastAsia="楷体"/>
          <w:sz w:val="24"/>
        </w:rPr>
      </w:pPr>
      <w:r>
        <w:rPr>
          <w:rFonts w:hint="eastAsia" w:ascii="楷体" w:hAnsi="楷体" w:eastAsia="楷体"/>
          <w:sz w:val="24"/>
        </w:rPr>
        <w:t>2.1 “采购人”系指依法进行政府采购的国家机关、事业单位、团体组织，即：</w:t>
      </w:r>
      <w:r>
        <w:rPr>
          <w:rFonts w:hint="eastAsia" w:ascii="楷体" w:hAnsi="楷体" w:eastAsia="楷体" w:cs="隶书"/>
          <w:color w:val="4F81BD"/>
          <w:sz w:val="24"/>
          <w:lang w:eastAsia="zh-CN"/>
        </w:rPr>
        <w:t>镇江市丹阳生态环境局</w:t>
      </w:r>
      <w:r>
        <w:rPr>
          <w:rFonts w:hint="eastAsia" w:ascii="楷体" w:hAnsi="楷体" w:eastAsia="楷体"/>
          <w:sz w:val="24"/>
        </w:rPr>
        <w:t>。</w:t>
      </w:r>
    </w:p>
    <w:p w14:paraId="2021E255">
      <w:pPr>
        <w:spacing w:line="360" w:lineRule="auto"/>
        <w:ind w:firstLine="480"/>
        <w:rPr>
          <w:rFonts w:ascii="楷体" w:hAnsi="楷体" w:eastAsia="楷体"/>
          <w:sz w:val="24"/>
        </w:rPr>
      </w:pPr>
      <w:r>
        <w:rPr>
          <w:rFonts w:hint="eastAsia" w:ascii="楷体" w:hAnsi="楷体" w:eastAsia="楷体"/>
          <w:sz w:val="24"/>
        </w:rPr>
        <w:t>2.2 “投标人”系指响应招标、参加投标竞争的法人、其他组织或者自然人。</w:t>
      </w:r>
    </w:p>
    <w:p w14:paraId="5BA7A333">
      <w:pPr>
        <w:spacing w:line="360" w:lineRule="auto"/>
        <w:ind w:firstLine="480"/>
        <w:rPr>
          <w:rFonts w:ascii="楷体" w:hAnsi="楷体" w:eastAsia="楷体"/>
          <w:sz w:val="24"/>
        </w:rPr>
      </w:pPr>
      <w:r>
        <w:rPr>
          <w:rFonts w:hint="eastAsia" w:ascii="楷体" w:hAnsi="楷体" w:eastAsia="楷体"/>
          <w:sz w:val="24"/>
        </w:rPr>
        <w:t>2.3 “采购代理机构”系指组织本次采购活动的单位，即：</w:t>
      </w:r>
      <w:r>
        <w:rPr>
          <w:rFonts w:hint="eastAsia" w:ascii="楷体" w:hAnsi="楷体" w:eastAsia="楷体" w:cs="隶书"/>
          <w:color w:val="4F81BD"/>
          <w:sz w:val="24"/>
          <w:lang w:eastAsia="zh-CN"/>
        </w:rPr>
        <w:t>江苏正德建设管理有限公司</w:t>
      </w:r>
      <w:r>
        <w:rPr>
          <w:rFonts w:hint="eastAsia" w:ascii="楷体" w:hAnsi="楷体" w:eastAsia="楷体"/>
          <w:sz w:val="24"/>
        </w:rPr>
        <w:t>。</w:t>
      </w:r>
    </w:p>
    <w:p w14:paraId="3A7988BA">
      <w:pPr>
        <w:spacing w:line="360" w:lineRule="auto"/>
        <w:ind w:firstLine="480"/>
        <w:rPr>
          <w:rFonts w:ascii="楷体" w:hAnsi="楷体" w:eastAsia="楷体"/>
          <w:sz w:val="24"/>
          <w:highlight w:val="yellow"/>
        </w:rPr>
      </w:pPr>
      <w:r>
        <w:rPr>
          <w:rFonts w:hint="eastAsia" w:ascii="楷体" w:hAnsi="楷体" w:eastAsia="楷体"/>
          <w:sz w:val="24"/>
        </w:rPr>
        <w:t>2.4</w:t>
      </w:r>
      <w:r>
        <w:rPr>
          <w:rFonts w:hint="eastAsia" w:ascii="楷体" w:hAnsi="楷体" w:eastAsia="楷体"/>
          <w:color w:val="000000"/>
          <w:sz w:val="24"/>
        </w:rPr>
        <w:t xml:space="preserve"> </w:t>
      </w:r>
      <w:r>
        <w:rPr>
          <w:rFonts w:hint="eastAsia" w:ascii="楷体" w:hAnsi="楷体" w:eastAsia="楷体"/>
          <w:sz w:val="24"/>
        </w:rPr>
        <w:t>“货物”</w:t>
      </w:r>
      <w:r>
        <w:rPr>
          <w:rFonts w:hint="eastAsia" w:ascii="楷体" w:hAnsi="楷体" w:eastAsia="楷体"/>
          <w:color w:val="000000"/>
          <w:sz w:val="24"/>
        </w:rPr>
        <w:t>系指本招标文件所述采购标的涉及的各种形态和种类的物品，即：</w:t>
      </w:r>
      <w:r>
        <w:rPr>
          <w:rFonts w:hint="eastAsia" w:ascii="楷体" w:hAnsi="楷体" w:eastAsia="楷体" w:cs="隶书"/>
          <w:color w:val="4F81BD"/>
          <w:sz w:val="24"/>
        </w:rPr>
        <w:t>指投标人提供的</w:t>
      </w:r>
      <w:r>
        <w:rPr>
          <w:rFonts w:hint="eastAsia" w:ascii="楷体" w:hAnsi="楷体" w:eastAsia="楷体" w:cs="隶书"/>
          <w:color w:val="4F81BD"/>
          <w:sz w:val="24"/>
          <w:lang w:val="en-US" w:eastAsia="zh-CN"/>
        </w:rPr>
        <w:t>采购标的汇总表中提及的各类仪器设备</w:t>
      </w:r>
      <w:r>
        <w:rPr>
          <w:rFonts w:hint="eastAsia" w:ascii="楷体" w:hAnsi="楷体" w:eastAsia="楷体" w:cs="隶书"/>
          <w:color w:val="4F81BD"/>
          <w:sz w:val="24"/>
        </w:rPr>
        <w:t>、备件、工具、工具、说明书</w:t>
      </w:r>
      <w:r>
        <w:rPr>
          <w:rFonts w:hint="eastAsia" w:ascii="楷体" w:hAnsi="楷体" w:eastAsia="楷体" w:cs="隶书"/>
          <w:color w:val="4F81BD"/>
          <w:sz w:val="24"/>
          <w:lang w:eastAsia="zh-CN"/>
        </w:rPr>
        <w:t>、</w:t>
      </w:r>
      <w:r>
        <w:rPr>
          <w:rFonts w:hint="eastAsia" w:ascii="楷体" w:hAnsi="楷体" w:eastAsia="楷体" w:cs="隶书"/>
          <w:color w:val="4F81BD"/>
          <w:sz w:val="24"/>
        </w:rPr>
        <w:t>使用手册</w:t>
      </w:r>
      <w:r>
        <w:rPr>
          <w:rFonts w:hint="eastAsia" w:ascii="楷体" w:hAnsi="楷体" w:eastAsia="楷体" w:cs="隶书"/>
          <w:color w:val="4F81BD"/>
          <w:sz w:val="24"/>
          <w:lang w:val="en-US" w:eastAsia="zh-CN"/>
        </w:rPr>
        <w:t>及</w:t>
      </w:r>
      <w:r>
        <w:rPr>
          <w:rFonts w:hint="eastAsia" w:ascii="楷体" w:hAnsi="楷体" w:eastAsia="楷体" w:cs="隶书"/>
          <w:color w:val="4F81BD"/>
          <w:sz w:val="24"/>
        </w:rPr>
        <w:t>成套技术资料及手册等</w:t>
      </w:r>
      <w:r>
        <w:rPr>
          <w:rFonts w:hint="eastAsia" w:ascii="楷体" w:hAnsi="楷体" w:eastAsia="楷体"/>
          <w:color w:val="000000"/>
          <w:sz w:val="24"/>
        </w:rPr>
        <w:t>。</w:t>
      </w:r>
    </w:p>
    <w:p w14:paraId="055F7CB6">
      <w:pPr>
        <w:spacing w:line="360" w:lineRule="auto"/>
        <w:ind w:firstLine="480"/>
        <w:rPr>
          <w:rFonts w:ascii="楷体" w:hAnsi="楷体" w:eastAsia="楷体" w:cs="隶书"/>
          <w:color w:val="4F81BD"/>
          <w:sz w:val="24"/>
        </w:rPr>
      </w:pPr>
      <w:r>
        <w:rPr>
          <w:rFonts w:hint="eastAsia" w:ascii="楷体" w:hAnsi="楷体" w:eastAsia="楷体"/>
          <w:sz w:val="24"/>
        </w:rPr>
        <w:t>2.5</w:t>
      </w:r>
      <w:bookmarkStart w:id="57" w:name="EB7728260902a547e79013ee5f24516f6b"/>
      <w:r>
        <w:rPr>
          <w:rFonts w:hint="eastAsia" w:ascii="楷体" w:hAnsi="楷体" w:eastAsia="楷体" w:cs="Times New Roman"/>
          <w:color w:val="4472C4" w:themeColor="accent1"/>
          <w:sz w:val="24"/>
          <w14:textFill>
            <w14:solidFill>
              <w14:schemeClr w14:val="accent1"/>
            </w14:solidFill>
          </w14:textFill>
        </w:rPr>
        <w:t>“服务”系指根据招标文件规定投标人承担的与供货有关的辅助服务，如安装、运输、保险以及其它的伴随服务，比如安装、调试、提供技术援助、其他类似的投标人应承担的义务。</w:t>
      </w:r>
      <w:r>
        <w:rPr>
          <w:rFonts w:hint="eastAsia" w:ascii="楷体" w:hAnsi="楷体" w:eastAsia="楷体"/>
          <w:color w:val="4472C4" w:themeColor="accent1"/>
          <w:sz w:val="24"/>
          <w14:textFill>
            <w14:solidFill>
              <w14:schemeClr w14:val="accent1"/>
            </w14:solidFill>
          </w14:textFill>
        </w:rPr>
        <w:t>服务亦包括招标文件中特别描述的其它形式的服务。</w:t>
      </w:r>
      <w:bookmarkEnd w:id="57"/>
    </w:p>
    <w:p w14:paraId="1D55940E">
      <w:pPr>
        <w:spacing w:line="360" w:lineRule="auto"/>
        <w:ind w:firstLine="480"/>
        <w:rPr>
          <w:rFonts w:ascii="楷体" w:hAnsi="楷体" w:eastAsia="楷体"/>
          <w:color w:val="000000"/>
          <w:sz w:val="24"/>
        </w:rPr>
      </w:pPr>
      <w:r>
        <w:rPr>
          <w:rFonts w:hint="eastAsia" w:ascii="楷体" w:hAnsi="楷体" w:eastAsia="楷体"/>
          <w:color w:val="000000"/>
          <w:sz w:val="24"/>
        </w:rPr>
        <w:t>2.6“</w:t>
      </w:r>
      <w:sdt>
        <w:sdtPr>
          <w:rPr>
            <w:rFonts w:hint="eastAsia" w:ascii="楷体" w:hAnsi="楷体" w:eastAsia="楷体"/>
            <w:color w:val="000000"/>
            <w:sz w:val="24"/>
          </w:rPr>
          <w:id w:val="404888855"/>
        </w:sdtPr>
        <w:sdtEndPr>
          <w:rPr>
            <w:rFonts w:hint="eastAsia" w:ascii="楷体" w:hAnsi="楷体" w:eastAsia="楷体"/>
            <w:color w:val="000000"/>
            <w:sz w:val="24"/>
          </w:rPr>
        </w:sdtEndPr>
        <w:sdtContent>
          <w:r>
            <w:rPr>
              <w:rFonts w:ascii="Wingdings" w:hAnsi="Wingdings" w:eastAsia="楷体"/>
              <w:color w:val="000000"/>
              <w:sz w:val="24"/>
            </w:rPr>
            <w:t></w:t>
          </w:r>
        </w:sdtContent>
      </w:sdt>
      <w:r>
        <w:rPr>
          <w:rFonts w:hint="eastAsia" w:ascii="楷体" w:hAnsi="楷体" w:eastAsia="楷体"/>
          <w:color w:val="000000"/>
          <w:sz w:val="24"/>
        </w:rPr>
        <w:t>”系指适用本项目的要求，“</w:t>
      </w:r>
      <w:sdt>
        <w:sdtPr>
          <w:rPr>
            <w:rFonts w:hint="eastAsia" w:ascii="楷体" w:hAnsi="楷体" w:eastAsia="楷体"/>
            <w:color w:val="000000"/>
            <w:sz w:val="24"/>
          </w:rPr>
          <w:id w:val="-1120139095"/>
        </w:sdtPr>
        <w:sdtEndPr>
          <w:rPr>
            <w:rFonts w:hint="eastAsia" w:ascii="楷体" w:hAnsi="楷体" w:eastAsia="楷体"/>
            <w:color w:val="000000"/>
            <w:sz w:val="24"/>
          </w:rPr>
        </w:sdtEndPr>
        <w:sdtContent>
          <w:r>
            <w:rPr>
              <w:rFonts w:hint="eastAsia" w:ascii="楷体" w:hAnsi="楷体" w:eastAsia="楷体"/>
              <w:color w:val="000000"/>
              <w:sz w:val="24"/>
            </w:rPr>
            <w:t>☐</w:t>
          </w:r>
        </w:sdtContent>
      </w:sdt>
      <w:r>
        <w:rPr>
          <w:rFonts w:hint="eastAsia" w:ascii="楷体" w:hAnsi="楷体" w:eastAsia="楷体"/>
          <w:color w:val="000000"/>
          <w:sz w:val="24"/>
        </w:rPr>
        <w:t>”系指不适用本项目的要求。</w:t>
      </w:r>
    </w:p>
    <w:p w14:paraId="3E8958C4">
      <w:pPr>
        <w:pStyle w:val="6"/>
        <w:keepNext w:val="0"/>
        <w:keepLines w:val="0"/>
        <w:spacing w:line="360" w:lineRule="auto"/>
        <w:ind w:firstLine="446"/>
        <w:rPr>
          <w:rFonts w:ascii="楷体" w:hAnsi="楷体" w:eastAsia="楷体"/>
          <w:sz w:val="30"/>
        </w:rPr>
      </w:pPr>
      <w:r>
        <w:rPr>
          <w:rFonts w:hint="eastAsia" w:ascii="楷体" w:hAnsi="楷体" w:eastAsia="楷体"/>
          <w:sz w:val="30"/>
        </w:rPr>
        <w:t>3．采购方式</w:t>
      </w:r>
    </w:p>
    <w:p w14:paraId="5B4FEB36">
      <w:pPr>
        <w:spacing w:line="360" w:lineRule="auto"/>
        <w:ind w:firstLine="480"/>
        <w:rPr>
          <w:rFonts w:ascii="楷体" w:hAnsi="楷体" w:eastAsia="楷体"/>
          <w:sz w:val="24"/>
        </w:rPr>
      </w:pPr>
      <w:r>
        <w:rPr>
          <w:rFonts w:hint="eastAsia" w:ascii="楷体" w:hAnsi="楷体" w:eastAsia="楷体"/>
          <w:sz w:val="24"/>
        </w:rPr>
        <w:t>3.1 本次采购采取公开招标方式</w:t>
      </w:r>
      <w:r>
        <w:rPr>
          <w:rFonts w:ascii="Segoe UI Symbol" w:hAnsi="Segoe UI Symbol" w:eastAsia="楷体" w:cs="Segoe UI Symbol"/>
          <w:color w:val="2E75B6" w:themeColor="accent5" w:themeShade="BF"/>
          <w:sz w:val="24"/>
          <w:szCs w:val="28"/>
        </w:rPr>
        <w:t>☑</w:t>
      </w:r>
      <w:r>
        <w:rPr>
          <w:rFonts w:hint="eastAsia" w:ascii="楷体" w:hAnsi="楷体" w:eastAsia="楷体"/>
          <w:color w:val="2E75B6" w:themeColor="accent5" w:themeShade="BF"/>
          <w:sz w:val="24"/>
          <w:szCs w:val="28"/>
        </w:rPr>
        <w:t>综合评分法</w:t>
      </w:r>
      <w:r>
        <w:rPr>
          <w:rFonts w:hint="eastAsia" w:ascii="楷体" w:hAnsi="楷体" w:eastAsia="楷体"/>
          <w:sz w:val="24"/>
        </w:rPr>
        <w:t>。</w:t>
      </w:r>
    </w:p>
    <w:p w14:paraId="352168E4">
      <w:pPr>
        <w:spacing w:line="360" w:lineRule="auto"/>
        <w:ind w:firstLine="480"/>
        <w:rPr>
          <w:rFonts w:ascii="楷体" w:hAnsi="楷体" w:eastAsia="楷体" w:cs="宋体"/>
          <w:color w:val="00B050"/>
          <w:sz w:val="24"/>
          <w:szCs w:val="28"/>
        </w:rPr>
      </w:pPr>
      <w:r>
        <w:rPr>
          <w:rFonts w:hint="eastAsia" w:ascii="楷体" w:hAnsi="楷体" w:eastAsia="楷体"/>
          <w:sz w:val="24"/>
          <w:szCs w:val="28"/>
        </w:rPr>
        <w:t>3.2 本项目资格审查方式</w:t>
      </w:r>
      <w:r>
        <w:rPr>
          <w:rFonts w:hint="eastAsia" w:ascii="楷体" w:hAnsi="楷体" w:eastAsia="楷体"/>
          <w:color w:val="2E75B6" w:themeColor="accent5" w:themeShade="BF"/>
          <w:sz w:val="24"/>
          <w:szCs w:val="28"/>
        </w:rPr>
        <w:t>：</w:t>
      </w:r>
      <w:bookmarkStart w:id="58" w:name="_Hlk153372652"/>
      <w:r>
        <w:rPr>
          <w:rFonts w:ascii="Segoe UI Symbol" w:hAnsi="Segoe UI Symbol" w:eastAsia="楷体" w:cs="Segoe UI Symbol"/>
          <w:color w:val="2E75B6" w:themeColor="accent5" w:themeShade="BF"/>
          <w:sz w:val="24"/>
          <w:szCs w:val="28"/>
        </w:rPr>
        <w:t>☑</w:t>
      </w:r>
      <w:bookmarkEnd w:id="58"/>
      <w:r>
        <w:rPr>
          <w:rFonts w:hint="eastAsia" w:ascii="楷体" w:hAnsi="楷体" w:eastAsia="楷体"/>
          <w:color w:val="2E75B6" w:themeColor="accent5" w:themeShade="BF"/>
          <w:sz w:val="24"/>
          <w:szCs w:val="28"/>
        </w:rPr>
        <w:t>资格后审</w:t>
      </w:r>
    </w:p>
    <w:p w14:paraId="73A18380">
      <w:pPr>
        <w:spacing w:line="360" w:lineRule="auto"/>
        <w:ind w:firstLine="480"/>
        <w:rPr>
          <w:rFonts w:hint="eastAsia" w:ascii="楷体" w:hAnsi="楷体" w:eastAsia="楷体"/>
          <w:color w:val="2E75B6" w:themeColor="accent5" w:themeShade="BF"/>
          <w:sz w:val="24"/>
          <w:szCs w:val="28"/>
        </w:rPr>
      </w:pPr>
      <w:r>
        <w:rPr>
          <w:rFonts w:hint="eastAsia" w:ascii="楷体" w:hAnsi="楷体" w:eastAsia="楷体"/>
          <w:sz w:val="24"/>
          <w:szCs w:val="28"/>
        </w:rPr>
        <w:t>3.3 本次采购确定的中标人数量：</w:t>
      </w:r>
      <w:r>
        <w:rPr>
          <w:rFonts w:hint="eastAsia" w:ascii="楷体" w:hAnsi="楷体" w:eastAsia="楷体"/>
          <w:color w:val="2E75B6" w:themeColor="accent5" w:themeShade="BF"/>
          <w:sz w:val="24"/>
          <w:szCs w:val="28"/>
          <w:lang w:val="en-US" w:eastAsia="zh-CN"/>
        </w:rPr>
        <w:t>4</w:t>
      </w:r>
      <w:r>
        <w:rPr>
          <w:rFonts w:hint="eastAsia" w:ascii="楷体" w:hAnsi="楷体" w:eastAsia="楷体"/>
          <w:color w:val="2E75B6" w:themeColor="accent5" w:themeShade="BF"/>
          <w:sz w:val="24"/>
          <w:szCs w:val="28"/>
        </w:rPr>
        <w:t>名</w:t>
      </w:r>
    </w:p>
    <w:p w14:paraId="45C621C1">
      <w:pPr>
        <w:spacing w:line="360" w:lineRule="auto"/>
        <w:ind w:firstLine="480"/>
        <w:rPr>
          <w:rFonts w:hint="eastAsia" w:ascii="楷体" w:hAnsi="楷体" w:eastAsia="楷体"/>
          <w:b/>
          <w:bCs/>
          <w:color w:val="FF0000"/>
          <w:sz w:val="24"/>
          <w:szCs w:val="28"/>
          <w:highlight w:val="yellow"/>
        </w:rPr>
      </w:pPr>
      <w:r>
        <w:rPr>
          <w:rFonts w:hint="eastAsia" w:ascii="楷体" w:hAnsi="楷体" w:eastAsia="楷体"/>
          <w:b/>
          <w:bCs/>
          <w:color w:val="FF0000"/>
          <w:sz w:val="24"/>
          <w:szCs w:val="28"/>
          <w:highlight w:val="yellow"/>
          <w:lang w:val="en-US" w:eastAsia="zh-CN"/>
        </w:rPr>
        <w:t>本项目共分4个采购包，</w:t>
      </w:r>
      <w:r>
        <w:rPr>
          <w:rFonts w:hint="eastAsia" w:ascii="楷体" w:hAnsi="楷体" w:eastAsia="楷体"/>
          <w:b/>
          <w:bCs/>
          <w:color w:val="FF0000"/>
          <w:sz w:val="24"/>
          <w:szCs w:val="28"/>
          <w:highlight w:val="yellow"/>
        </w:rPr>
        <w:t>供应商可选择其中任何</w:t>
      </w:r>
      <w:r>
        <w:rPr>
          <w:rFonts w:hint="eastAsia" w:ascii="楷体" w:hAnsi="楷体" w:eastAsia="楷体"/>
          <w:b/>
          <w:bCs/>
          <w:color w:val="FF0000"/>
          <w:sz w:val="24"/>
          <w:szCs w:val="28"/>
          <w:highlight w:val="yellow"/>
          <w:lang w:val="en-US" w:eastAsia="zh-CN"/>
        </w:rPr>
        <w:t>一个采购包</w:t>
      </w:r>
      <w:r>
        <w:rPr>
          <w:rFonts w:hint="eastAsia" w:ascii="楷体" w:hAnsi="楷体" w:eastAsia="楷体"/>
          <w:b/>
          <w:bCs/>
          <w:color w:val="FF0000"/>
          <w:sz w:val="24"/>
          <w:szCs w:val="28"/>
          <w:highlight w:val="yellow"/>
        </w:rPr>
        <w:t>投标，也可多包兼投，但</w:t>
      </w:r>
      <w:r>
        <w:rPr>
          <w:rFonts w:hint="eastAsia" w:ascii="楷体" w:hAnsi="楷体" w:eastAsia="楷体"/>
          <w:b/>
          <w:bCs/>
          <w:color w:val="FF0000"/>
          <w:sz w:val="24"/>
          <w:szCs w:val="28"/>
          <w:highlight w:val="yellow"/>
          <w:lang w:val="en-US" w:eastAsia="zh-CN"/>
        </w:rPr>
        <w:t>最多</w:t>
      </w:r>
      <w:r>
        <w:rPr>
          <w:rFonts w:hint="eastAsia" w:ascii="楷体" w:hAnsi="楷体" w:eastAsia="楷体"/>
          <w:b/>
          <w:bCs/>
          <w:color w:val="FF0000"/>
          <w:sz w:val="24"/>
          <w:szCs w:val="28"/>
          <w:highlight w:val="yellow"/>
        </w:rPr>
        <w:t>只能中标一个</w:t>
      </w:r>
      <w:r>
        <w:rPr>
          <w:rFonts w:hint="eastAsia" w:ascii="楷体" w:hAnsi="楷体" w:eastAsia="楷体"/>
          <w:b/>
          <w:bCs/>
          <w:color w:val="FF0000"/>
          <w:sz w:val="24"/>
          <w:szCs w:val="28"/>
          <w:highlight w:val="yellow"/>
          <w:lang w:val="en-US" w:eastAsia="zh-CN"/>
        </w:rPr>
        <w:t>采购</w:t>
      </w:r>
      <w:r>
        <w:rPr>
          <w:rFonts w:hint="eastAsia" w:ascii="楷体" w:hAnsi="楷体" w:eastAsia="楷体"/>
          <w:b/>
          <w:bCs/>
          <w:color w:val="FF0000"/>
          <w:sz w:val="24"/>
          <w:szCs w:val="28"/>
          <w:highlight w:val="yellow"/>
        </w:rPr>
        <w:t>包，定标时按采购包顺序定标(采购包1→采购包2→采购包3→采购包4)，某一采购包排名第一的</w:t>
      </w:r>
      <w:r>
        <w:rPr>
          <w:rFonts w:hint="eastAsia" w:ascii="楷体" w:hAnsi="楷体" w:eastAsia="楷体"/>
          <w:b/>
          <w:bCs/>
          <w:color w:val="FF0000"/>
          <w:sz w:val="24"/>
          <w:szCs w:val="28"/>
          <w:highlight w:val="yellow"/>
          <w:lang w:val="en-US" w:eastAsia="zh-CN"/>
        </w:rPr>
        <w:t>投标人</w:t>
      </w:r>
      <w:r>
        <w:rPr>
          <w:rFonts w:hint="eastAsia" w:ascii="楷体" w:hAnsi="楷体" w:eastAsia="楷体"/>
          <w:b/>
          <w:bCs/>
          <w:color w:val="FF0000"/>
          <w:sz w:val="24"/>
          <w:szCs w:val="28"/>
          <w:highlight w:val="yellow"/>
        </w:rPr>
        <w:t>确定为中标候选人，前面采购包已定为中标候选人的自动放弃后续采购包的中标资格。进入每个</w:t>
      </w:r>
      <w:r>
        <w:rPr>
          <w:rFonts w:hint="eastAsia" w:ascii="楷体" w:hAnsi="楷体" w:eastAsia="楷体"/>
          <w:b/>
          <w:bCs/>
          <w:color w:val="FF0000"/>
          <w:sz w:val="24"/>
          <w:szCs w:val="28"/>
          <w:highlight w:val="yellow"/>
          <w:lang w:val="en-US" w:eastAsia="zh-CN"/>
        </w:rPr>
        <w:t>采购</w:t>
      </w:r>
      <w:r>
        <w:rPr>
          <w:rFonts w:hint="eastAsia" w:ascii="楷体" w:hAnsi="楷体" w:eastAsia="楷体"/>
          <w:b/>
          <w:bCs/>
          <w:color w:val="FF0000"/>
          <w:sz w:val="24"/>
          <w:szCs w:val="28"/>
          <w:highlight w:val="yellow"/>
        </w:rPr>
        <w:t>包评审的实质性响应且具有得标权的供应商不得少于三家，否则认定该</w:t>
      </w:r>
      <w:r>
        <w:rPr>
          <w:rFonts w:hint="eastAsia" w:ascii="楷体" w:hAnsi="楷体" w:eastAsia="楷体"/>
          <w:b/>
          <w:bCs/>
          <w:color w:val="FF0000"/>
          <w:sz w:val="24"/>
          <w:szCs w:val="28"/>
          <w:highlight w:val="yellow"/>
          <w:lang w:val="en-US" w:eastAsia="zh-CN"/>
        </w:rPr>
        <w:t>采购包</w:t>
      </w:r>
      <w:r>
        <w:rPr>
          <w:rFonts w:hint="eastAsia" w:ascii="楷体" w:hAnsi="楷体" w:eastAsia="楷体"/>
          <w:b/>
          <w:bCs/>
          <w:color w:val="FF0000"/>
          <w:sz w:val="24"/>
          <w:szCs w:val="28"/>
          <w:highlight w:val="yellow"/>
        </w:rPr>
        <w:t>采购失败。</w:t>
      </w:r>
    </w:p>
    <w:p w14:paraId="5F288154">
      <w:pPr>
        <w:spacing w:line="360" w:lineRule="auto"/>
        <w:ind w:firstLine="480"/>
        <w:rPr>
          <w:rFonts w:ascii="楷体" w:hAnsi="楷体" w:eastAsia="楷体" w:cs="楷体"/>
          <w:b/>
          <w:bCs/>
          <w:color w:val="FF0000"/>
          <w:sz w:val="24"/>
          <w:szCs w:val="28"/>
          <w:highlight w:val="yellow"/>
        </w:rPr>
      </w:pPr>
      <w:r>
        <w:rPr>
          <w:rFonts w:hint="eastAsia" w:ascii="楷体" w:hAnsi="楷体" w:eastAsia="楷体"/>
          <w:b/>
          <w:bCs/>
          <w:color w:val="FF0000"/>
          <w:sz w:val="24"/>
          <w:szCs w:val="28"/>
          <w:highlight w:val="yellow"/>
        </w:rPr>
        <w:t>若投多个</w:t>
      </w:r>
      <w:r>
        <w:rPr>
          <w:rFonts w:hint="eastAsia" w:ascii="楷体" w:hAnsi="楷体" w:eastAsia="楷体"/>
          <w:b/>
          <w:bCs/>
          <w:color w:val="FF0000"/>
          <w:sz w:val="24"/>
          <w:szCs w:val="28"/>
          <w:highlight w:val="yellow"/>
          <w:lang w:val="en-US" w:eastAsia="zh-CN"/>
        </w:rPr>
        <w:t>采购</w:t>
      </w:r>
      <w:r>
        <w:rPr>
          <w:rFonts w:hint="eastAsia" w:ascii="楷体" w:hAnsi="楷体" w:eastAsia="楷体"/>
          <w:b/>
          <w:bCs/>
          <w:color w:val="FF0000"/>
          <w:sz w:val="24"/>
          <w:szCs w:val="28"/>
          <w:highlight w:val="yellow"/>
        </w:rPr>
        <w:t>包，</w:t>
      </w:r>
      <w:r>
        <w:rPr>
          <w:rFonts w:hint="eastAsia" w:ascii="楷体" w:hAnsi="楷体" w:eastAsia="楷体"/>
          <w:b/>
          <w:bCs/>
          <w:color w:val="FF0000"/>
          <w:sz w:val="24"/>
          <w:szCs w:val="28"/>
          <w:highlight w:val="yellow"/>
          <w:lang w:val="en-US" w:eastAsia="zh-CN"/>
        </w:rPr>
        <w:t>需分别</w:t>
      </w:r>
      <w:r>
        <w:rPr>
          <w:rFonts w:hint="eastAsia" w:ascii="楷体" w:hAnsi="楷体" w:eastAsia="楷体"/>
          <w:b/>
          <w:bCs/>
          <w:color w:val="FF0000"/>
          <w:sz w:val="24"/>
          <w:szCs w:val="28"/>
          <w:highlight w:val="yellow"/>
        </w:rPr>
        <w:t>制作投标文件，并在标书封面显著位置标明所投包号。</w:t>
      </w:r>
    </w:p>
    <w:p w14:paraId="75FAAB29">
      <w:pPr>
        <w:pStyle w:val="6"/>
        <w:keepNext w:val="0"/>
        <w:keepLines w:val="0"/>
        <w:spacing w:line="360" w:lineRule="auto"/>
        <w:ind w:firstLine="446"/>
        <w:rPr>
          <w:rFonts w:ascii="楷体" w:hAnsi="楷体" w:eastAsia="楷体"/>
          <w:sz w:val="30"/>
        </w:rPr>
      </w:pPr>
      <w:r>
        <w:rPr>
          <w:rFonts w:hint="eastAsia" w:ascii="楷体" w:hAnsi="楷体" w:eastAsia="楷体"/>
          <w:sz w:val="30"/>
        </w:rPr>
        <w:t>4．投标费用</w:t>
      </w:r>
      <w:bookmarkEnd w:id="52"/>
      <w:bookmarkEnd w:id="53"/>
      <w:bookmarkEnd w:id="54"/>
      <w:bookmarkEnd w:id="55"/>
      <w:bookmarkEnd w:id="56"/>
    </w:p>
    <w:p w14:paraId="69B7B584">
      <w:pPr>
        <w:spacing w:line="360" w:lineRule="auto"/>
        <w:ind w:firstLine="480"/>
        <w:rPr>
          <w:rFonts w:ascii="楷体" w:hAnsi="楷体" w:eastAsia="楷体"/>
          <w:b/>
          <w:sz w:val="24"/>
        </w:rPr>
      </w:pPr>
      <w:r>
        <w:rPr>
          <w:rFonts w:hint="eastAsia" w:ascii="楷体" w:hAnsi="楷体" w:eastAsia="楷体"/>
          <w:sz w:val="24"/>
        </w:rPr>
        <w:t>4.1 投标人应自行承担所有与参加投标有关的费用</w:t>
      </w:r>
      <w:r>
        <w:rPr>
          <w:rFonts w:hint="eastAsia" w:ascii="楷体" w:hAnsi="楷体" w:eastAsia="楷体"/>
          <w:b/>
          <w:sz w:val="24"/>
        </w:rPr>
        <w:t>。</w:t>
      </w:r>
    </w:p>
    <w:p w14:paraId="713F3D7E">
      <w:pPr>
        <w:spacing w:line="360" w:lineRule="auto"/>
        <w:ind w:firstLine="954"/>
        <w:rPr>
          <w:rFonts w:ascii="楷体" w:hAnsi="楷体" w:eastAsia="楷体"/>
          <w:color w:val="4472C4" w:themeColor="accent1"/>
          <w:sz w:val="24"/>
          <w14:textFill>
            <w14:solidFill>
              <w14:schemeClr w14:val="accent1"/>
            </w14:solidFill>
          </w14:textFill>
        </w:rPr>
      </w:pPr>
      <w:r>
        <w:rPr>
          <w:rFonts w:ascii="Segoe UI Symbol" w:hAnsi="Segoe UI Symbol" w:eastAsia="楷体" w:cs="Segoe UI Symbol"/>
          <w:b/>
          <w:color w:val="00B050"/>
          <w:sz w:val="24"/>
        </w:rPr>
        <w:t>☑</w:t>
      </w:r>
      <w:r>
        <w:rPr>
          <w:rFonts w:hint="eastAsia" w:ascii="楷体" w:hAnsi="楷体" w:eastAsia="楷体"/>
          <w:color w:val="4472C4" w:themeColor="accent1"/>
          <w:sz w:val="24"/>
          <w14:textFill>
            <w14:solidFill>
              <w14:schemeClr w14:val="accent1"/>
            </w14:solidFill>
          </w14:textFill>
        </w:rPr>
        <w:t>中标人需向代理机构缴纳服务费，中标人在领取中标通知书时向招标代理机构一次性付清代理服务费。</w:t>
      </w:r>
    </w:p>
    <w:p w14:paraId="2F2B6C10">
      <w:pPr>
        <w:spacing w:line="360" w:lineRule="auto"/>
        <w:ind w:firstLine="1080"/>
        <w:rPr>
          <w:rFonts w:ascii="楷体" w:hAnsi="楷体" w:eastAsia="楷体"/>
          <w:color w:val="00B050"/>
          <w:sz w:val="24"/>
        </w:rPr>
      </w:pPr>
      <w:r>
        <w:rPr>
          <w:rFonts w:hint="eastAsia" w:ascii="楷体" w:hAnsi="楷体" w:eastAsia="楷体"/>
          <w:color w:val="4472C4" w:themeColor="accent1"/>
          <w:sz w:val="24"/>
          <w14:textFill>
            <w14:solidFill>
              <w14:schemeClr w14:val="accent1"/>
            </w14:solidFill>
          </w14:textFill>
        </w:rPr>
        <w:t>收费标准：</w:t>
      </w:r>
      <w:r>
        <w:rPr>
          <w:rFonts w:hint="eastAsia" w:ascii="楷体" w:hAnsi="楷体" w:eastAsia="楷体"/>
          <w:color w:val="4472C4" w:themeColor="accent1"/>
          <w:sz w:val="24"/>
          <w:lang w:val="en-US" w:eastAsia="zh-CN"/>
          <w14:textFill>
            <w14:solidFill>
              <w14:schemeClr w14:val="accent1"/>
            </w14:solidFill>
          </w14:textFill>
        </w:rPr>
        <w:t>各采购包均按照“招标代理服务收费管理暂行办法（国家计委计价格【2002】1980号）”文中货物类费率乘以中标价计算</w:t>
      </w:r>
      <w:r>
        <w:rPr>
          <w:rFonts w:hint="eastAsia" w:ascii="楷体" w:hAnsi="楷体" w:eastAsia="楷体"/>
          <w:color w:val="4472C4" w:themeColor="accent1"/>
          <w:sz w:val="24"/>
          <w14:textFill>
            <w14:solidFill>
              <w14:schemeClr w14:val="accent1"/>
            </w14:solidFill>
          </w14:textFill>
        </w:rPr>
        <w:t xml:space="preserve">。 </w:t>
      </w:r>
    </w:p>
    <w:p w14:paraId="0088B454">
      <w:pPr>
        <w:spacing w:line="360" w:lineRule="auto"/>
        <w:ind w:firstLine="108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招标代理费用收款信息：</w:t>
      </w:r>
    </w:p>
    <w:p w14:paraId="0609E9EE">
      <w:pPr>
        <w:spacing w:line="360" w:lineRule="auto"/>
        <w:ind w:firstLine="108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收款单位：</w:t>
      </w:r>
      <w:r>
        <w:rPr>
          <w:rFonts w:hint="eastAsia" w:ascii="楷体" w:hAnsi="楷体" w:eastAsia="楷体"/>
          <w:color w:val="4472C4" w:themeColor="accent1"/>
          <w:sz w:val="24"/>
          <w:lang w:eastAsia="zh-CN"/>
          <w14:textFill>
            <w14:solidFill>
              <w14:schemeClr w14:val="accent1"/>
            </w14:solidFill>
          </w14:textFill>
        </w:rPr>
        <w:t>江苏正德建设管理有限公司</w:t>
      </w:r>
      <w:r>
        <w:rPr>
          <w:rFonts w:hint="eastAsia" w:ascii="楷体" w:hAnsi="楷体" w:eastAsia="楷体"/>
          <w:color w:val="4472C4" w:themeColor="accent1"/>
          <w:sz w:val="24"/>
          <w14:textFill>
            <w14:solidFill>
              <w14:schemeClr w14:val="accent1"/>
            </w14:solidFill>
          </w14:textFill>
        </w:rPr>
        <w:t xml:space="preserve">   </w:t>
      </w:r>
    </w:p>
    <w:p w14:paraId="5C36BD21">
      <w:pPr>
        <w:spacing w:line="360" w:lineRule="auto"/>
        <w:ind w:firstLine="1080"/>
        <w:rPr>
          <w:rFonts w:hint="eastAsia" w:ascii="楷体" w:hAnsi="楷体" w:eastAsia="楷体"/>
          <w:color w:val="4472C4" w:themeColor="accent1"/>
          <w:sz w:val="24"/>
          <w:lang w:eastAsia="zh-CN"/>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收款账号：</w:t>
      </w:r>
      <w:r>
        <w:rPr>
          <w:rFonts w:hint="eastAsia" w:ascii="楷体" w:hAnsi="楷体" w:eastAsia="楷体"/>
          <w:color w:val="4472C4" w:themeColor="accent1"/>
          <w:sz w:val="24"/>
          <w:lang w:val="en-US" w:eastAsia="zh-CN"/>
          <w14:textFill>
            <w14:solidFill>
              <w14:schemeClr w14:val="accent1"/>
            </w14:solidFill>
          </w14:textFill>
        </w:rPr>
        <w:t>1104024109200128636</w:t>
      </w:r>
    </w:p>
    <w:p w14:paraId="594B0FC5">
      <w:pPr>
        <w:spacing w:line="360" w:lineRule="auto"/>
        <w:ind w:firstLine="1080"/>
        <w:jc w:val="left"/>
        <w:rPr>
          <w:rFonts w:hint="eastAsia" w:ascii="楷体" w:hAnsi="楷体" w:eastAsia="楷体"/>
          <w:color w:val="4472C4" w:themeColor="accent1"/>
          <w:sz w:val="24"/>
          <w:lang w:val="en-US" w:eastAsia="zh-CN"/>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开户银行：工商银行丹阳新城支行</w:t>
      </w:r>
      <w:r>
        <w:rPr>
          <w:rFonts w:hint="eastAsia" w:ascii="楷体" w:hAnsi="楷体" w:eastAsia="楷体"/>
          <w:color w:val="4472C4" w:themeColor="accent1"/>
          <w:sz w:val="24"/>
          <w:lang w:val="en-US" w:eastAsia="zh-CN"/>
          <w14:textFill>
            <w14:solidFill>
              <w14:schemeClr w14:val="accent1"/>
            </w14:solidFill>
          </w14:textFill>
        </w:rPr>
        <w:t xml:space="preserve"> </w:t>
      </w:r>
    </w:p>
    <w:p w14:paraId="7744E1B4">
      <w:pPr>
        <w:spacing w:line="360" w:lineRule="auto"/>
        <w:ind w:firstLine="960"/>
        <w:jc w:val="left"/>
        <w:rPr>
          <w:rFonts w:ascii="楷体" w:hAnsi="楷体" w:eastAsia="楷体"/>
          <w:sz w:val="24"/>
        </w:rPr>
      </w:pPr>
      <w:r>
        <w:rPr>
          <w:rFonts w:hint="eastAsia" w:ascii="楷体" w:hAnsi="楷体" w:eastAsia="楷体"/>
          <w:sz w:val="24"/>
        </w:rPr>
        <w:t>其他费用：按实支付</w:t>
      </w:r>
    </w:p>
    <w:p w14:paraId="02FE9737">
      <w:pPr>
        <w:spacing w:line="360" w:lineRule="auto"/>
        <w:ind w:firstLine="480"/>
        <w:rPr>
          <w:rFonts w:ascii="楷体" w:hAnsi="楷体" w:eastAsia="楷体"/>
          <w:sz w:val="24"/>
        </w:rPr>
      </w:pPr>
      <w:r>
        <w:rPr>
          <w:rFonts w:hint="eastAsia" w:ascii="楷体" w:hAnsi="楷体" w:eastAsia="楷体"/>
          <w:sz w:val="24"/>
        </w:rPr>
        <w:t>4.2不论投标的结果如何，采购人和采购代理机构在任何情况下均无义务和责任承担上述费用。</w:t>
      </w:r>
    </w:p>
    <w:p w14:paraId="1D3C94FA">
      <w:pPr>
        <w:pStyle w:val="6"/>
        <w:keepNext w:val="0"/>
        <w:keepLines w:val="0"/>
        <w:spacing w:before="200" w:after="200" w:line="360" w:lineRule="auto"/>
        <w:ind w:firstLine="446"/>
        <w:rPr>
          <w:rFonts w:ascii="楷体" w:hAnsi="楷体" w:eastAsia="楷体"/>
          <w:color w:val="000000"/>
          <w:sz w:val="30"/>
        </w:rPr>
      </w:pPr>
      <w:bookmarkStart w:id="59" w:name="_Toc20732973"/>
      <w:bookmarkStart w:id="60" w:name="_Toc92168005"/>
      <w:bookmarkStart w:id="61" w:name="_Toc98669336"/>
      <w:bookmarkStart w:id="62" w:name="_Toc100386039"/>
      <w:bookmarkStart w:id="63" w:name="_Toc98669694"/>
      <w:r>
        <w:rPr>
          <w:rFonts w:hint="eastAsia" w:ascii="楷体" w:hAnsi="楷体" w:eastAsia="楷体"/>
          <w:sz w:val="30"/>
        </w:rPr>
        <w:t>5．</w:t>
      </w:r>
      <w:r>
        <w:rPr>
          <w:rFonts w:hint="eastAsia" w:ascii="楷体" w:hAnsi="楷体" w:eastAsia="楷体"/>
          <w:color w:val="000000"/>
          <w:sz w:val="30"/>
        </w:rPr>
        <w:t>政策功能</w:t>
      </w:r>
    </w:p>
    <w:bookmarkEnd w:id="59"/>
    <w:bookmarkEnd w:id="60"/>
    <w:bookmarkEnd w:id="61"/>
    <w:bookmarkEnd w:id="62"/>
    <w:bookmarkEnd w:id="63"/>
    <w:p w14:paraId="386334CF">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5.1支持中小企业发展</w:t>
      </w:r>
    </w:p>
    <w:p w14:paraId="783052E0">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B97029D">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符合中小企业划分标准的个体工商户，在政府采购活动中视同中小企业。</w:t>
      </w:r>
    </w:p>
    <w:p w14:paraId="2927D5F0">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5.1.2在政府采购活动中，投标人提供的货物、工程或者服务符合下列情形的，享受中小企业扶持政策：</w:t>
      </w:r>
    </w:p>
    <w:p w14:paraId="2D471FD5">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5.1.2.1在货物采购项目中，货物由中小企业制造，即货物由中小企业生产且使用该中小企业商号或者注册商标；</w:t>
      </w:r>
    </w:p>
    <w:p w14:paraId="47420879">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5.1.2.2在工程采购项目中，工程由中小企业承建，即工程施工单位为中小企业；</w:t>
      </w:r>
    </w:p>
    <w:p w14:paraId="56218D21">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5.1.2.3在服务采购项目中，服务由中小企业承接，即提供服务的人员为中小企业依照《中华人民共和国劳动合同法》订立劳动合同的从业人员。</w:t>
      </w:r>
    </w:p>
    <w:p w14:paraId="03E8AB4E">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在货物采购项目中，投标人提供的货物既有中小企业制造货物，也有大型企业制造货物的，不享受中小企业扶持政策。</w:t>
      </w:r>
    </w:p>
    <w:p w14:paraId="2D0D499A">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以联合体形式参加政府采购活动，联合体各方均为中小企业的，联合体视同中小企业。其中，联合体各方均为小微企业的，联合体视同小微企业。</w:t>
      </w:r>
    </w:p>
    <w:p w14:paraId="36F929C8">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52E4632">
      <w:pPr>
        <w:spacing w:line="360" w:lineRule="auto"/>
        <w:ind w:firstLine="480" w:firstLineChars="200"/>
        <w:rPr>
          <w:rFonts w:ascii="楷体" w:hAnsi="楷体" w:eastAsia="楷体"/>
          <w:color w:val="4472C4" w:themeColor="accent1"/>
          <w:sz w:val="24"/>
          <w:highlight w:val="none"/>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5.1.4根据《财政部 司法部关于政府采购支持监狱企业发展有关问题的通知》（财库〔2014〕68号）要求</w:t>
      </w:r>
      <w:r>
        <w:rPr>
          <w:rFonts w:hint="eastAsia" w:ascii="楷体" w:hAnsi="楷体" w:eastAsia="楷体"/>
          <w:color w:val="4472C4" w:themeColor="accent1"/>
          <w:sz w:val="24"/>
          <w:highlight w:val="none"/>
          <w14:textFill>
            <w14:solidFill>
              <w14:schemeClr w14:val="accent1"/>
            </w14:solidFill>
          </w14:textFill>
        </w:rPr>
        <w:t>，监狱和戒毒企业视同小型、微型企业</w:t>
      </w:r>
      <w:r>
        <w:rPr>
          <w:rFonts w:hint="eastAsia" w:ascii="楷体" w:hAnsi="楷体" w:eastAsia="楷体"/>
          <w:color w:val="4472C4" w:themeColor="accent1"/>
          <w:sz w:val="24"/>
          <w:highlight w:val="none"/>
          <w:lang w:eastAsia="zh-CN"/>
          <w14:textFill>
            <w14:solidFill>
              <w14:schemeClr w14:val="accent1"/>
            </w14:solidFill>
          </w14:textFill>
        </w:rPr>
        <w:t>，享受与小型、微型企业产品价格同比例扣除的优惠政策</w:t>
      </w:r>
      <w:r>
        <w:rPr>
          <w:rFonts w:hint="eastAsia" w:ascii="楷体" w:hAnsi="楷体" w:eastAsia="楷体"/>
          <w:color w:val="4472C4" w:themeColor="accent1"/>
          <w:sz w:val="24"/>
          <w:highlight w:val="none"/>
          <w14:textFill>
            <w14:solidFill>
              <w14:schemeClr w14:val="accent1"/>
            </w14:solidFill>
          </w14:textFill>
        </w:rPr>
        <w:t>。监狱和戒毒企业应当提供由省级以上监狱管理局、戒毒管理局（含新疆生产建设兵团）出具的属于监狱企业的证明文件。</w:t>
      </w:r>
    </w:p>
    <w:p w14:paraId="44D0F9EF">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highlight w:val="none"/>
          <w14:textFill>
            <w14:solidFill>
              <w14:schemeClr w14:val="accent1"/>
            </w14:solidFill>
          </w14:textFill>
        </w:rPr>
        <w:t>5.1.5根据《关于促进残疾人就业政府采购政策的通知》（财库〔2017〕141号）要求，残疾人福利性单位视同小型、微型企业</w:t>
      </w:r>
      <w:r>
        <w:rPr>
          <w:rFonts w:hint="eastAsia" w:ascii="楷体" w:hAnsi="楷体" w:eastAsia="楷体"/>
          <w:color w:val="4472C4" w:themeColor="accent1"/>
          <w:sz w:val="24"/>
          <w:highlight w:val="none"/>
          <w:lang w:eastAsia="zh-CN"/>
          <w14:textFill>
            <w14:solidFill>
              <w14:schemeClr w14:val="accent1"/>
            </w14:solidFill>
          </w14:textFill>
        </w:rPr>
        <w:t>，享受与小型、微型企业产品价格同比例扣除的优惠政策</w:t>
      </w:r>
      <w:r>
        <w:rPr>
          <w:rFonts w:hint="eastAsia" w:ascii="楷体" w:hAnsi="楷体" w:eastAsia="楷体"/>
          <w:color w:val="4472C4" w:themeColor="accent1"/>
          <w:sz w:val="24"/>
          <w:highlight w:val="none"/>
          <w14:textFill>
            <w14:solidFill>
              <w14:schemeClr w14:val="accent1"/>
            </w14:solidFill>
          </w14:textFill>
        </w:rPr>
        <w:t>。符合条</w:t>
      </w:r>
      <w:r>
        <w:rPr>
          <w:rFonts w:hint="eastAsia" w:ascii="楷体" w:hAnsi="楷体" w:eastAsia="楷体"/>
          <w:color w:val="4472C4" w:themeColor="accent1"/>
          <w:sz w:val="24"/>
          <w14:textFill>
            <w14:solidFill>
              <w14:schemeClr w14:val="accent1"/>
            </w14:solidFill>
          </w14:textFill>
        </w:rPr>
        <w:t>件的残疾人福利性单位应当提供《残疾人福利性单位声明函》，并对声明的真实性负责。</w:t>
      </w:r>
    </w:p>
    <w:p w14:paraId="01A7AE97">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5.1.6中小企业享受扶持政策获得政府采购合同的，小微企业不得将合同分包给大中型企业，中型企业不得将合同分包给大型企业。</w:t>
      </w:r>
    </w:p>
    <w:p w14:paraId="607652C1">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5.2强制采购信息安全产品</w:t>
      </w:r>
    </w:p>
    <w:p w14:paraId="1DF87262">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信息安全产品指国家质检总局国家认监委《信息安全产品强制性认证目录》，并获得强制性产品认证证书的产品。</w:t>
      </w:r>
    </w:p>
    <w:p w14:paraId="3BCFCA97">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5.3支持绿色发展</w:t>
      </w:r>
    </w:p>
    <w:p w14:paraId="39C3DD30">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14D40A8">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5.3.2本项目中涉及商品包装和快递包装的，参考《财政部办公厅关于印发《商品包装政府采购需求标准（试行）》、 《快递包装政府采购需求标准（试行）》的通知》（财办库〔2020〕123号）规定的包装需求标准。</w:t>
      </w:r>
    </w:p>
    <w:p w14:paraId="60FF002B">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7A02308">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5.3.4采购人采购数据中心相关设备、运维服务，按照《绿色数据中心政府采购需求标准（试行）》实施相关采购活动。</w:t>
      </w:r>
    </w:p>
    <w:p w14:paraId="127178DB">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5.4 根据国家扶持中小企业的有关政策，采购项目中标人在履约过程中如遇到资金困难，凭政府采购合同在相关金融机构办理授信申请，相关事宜请查阅“江苏政府采购网---政采贷”网站。</w:t>
      </w:r>
    </w:p>
    <w:p w14:paraId="6856B431">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5.5支持创新发展</w:t>
      </w:r>
    </w:p>
    <w:p w14:paraId="6B509346">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5.5.1采购人优先采购被认定为重点推广应用、首台（套）重大装备、重点领域首版次软件的自主创新产品。</w:t>
      </w:r>
    </w:p>
    <w:p w14:paraId="149EDF8D">
      <w:pPr>
        <w:spacing w:line="360" w:lineRule="auto"/>
        <w:ind w:firstLine="480" w:firstLineChars="200"/>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5.6平等对待内外资企业和符合条件的破产重整企业</w:t>
      </w:r>
    </w:p>
    <w:p w14:paraId="645178CB">
      <w:pPr>
        <w:spacing w:line="360" w:lineRule="auto"/>
        <w:ind w:firstLine="480" w:firstLineChars="200"/>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5.6.1平等对待内外资企业和符合条件的破产重整企业，切实保障企业公平竞争，平等维护企业的合法利益。</w:t>
      </w:r>
    </w:p>
    <w:p w14:paraId="36CCAF60">
      <w:pPr>
        <w:spacing w:line="360" w:lineRule="auto"/>
        <w:ind w:firstLine="480" w:firstLineChars="200"/>
        <w:rPr>
          <w:rFonts w:hint="eastAsia" w:ascii="楷体" w:hAnsi="楷体" w:eastAsia="楷体" w:cs="Times New Roman"/>
          <w:color w:val="4472C4" w:themeColor="accent1"/>
          <w:sz w:val="24"/>
          <w14:textFill>
            <w14:solidFill>
              <w14:schemeClr w14:val="accent1"/>
            </w14:solidFill>
          </w14:textFill>
        </w:rPr>
      </w:pPr>
      <w:r>
        <w:rPr>
          <w:rFonts w:hint="eastAsia" w:ascii="楷体" w:hAnsi="楷体" w:eastAsia="楷体" w:cs="Times New Roman"/>
          <w:color w:val="4472C4" w:themeColor="accent1"/>
          <w:sz w:val="24"/>
          <w14:textFill>
            <w14:solidFill>
              <w14:schemeClr w14:val="accent1"/>
            </w14:solidFill>
          </w14:textFill>
        </w:rPr>
        <w:t>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p>
    <w:p w14:paraId="49E416EB">
      <w:pPr>
        <w:spacing w:line="360" w:lineRule="auto"/>
        <w:ind w:firstLine="480" w:firstLineChars="200"/>
        <w:rPr>
          <w:rFonts w:hint="eastAsia" w:ascii="楷体" w:hAnsi="楷体" w:eastAsia="楷体" w:cs="Times New Roman"/>
          <w:color w:val="4472C4" w:themeColor="accent1"/>
          <w:sz w:val="24"/>
          <w14:textFill>
            <w14:solidFill>
              <w14:schemeClr w14:val="accent1"/>
            </w14:solidFill>
          </w14:textFill>
        </w:rPr>
      </w:pPr>
      <w:r>
        <w:rPr>
          <w:rFonts w:hint="eastAsia" w:ascii="楷体" w:hAnsi="楷体" w:eastAsia="楷体" w:cs="Times New Roman"/>
          <w:color w:val="4472C4" w:themeColor="accent1"/>
          <w:sz w:val="24"/>
          <w14:textFill>
            <w14:solidFill>
              <w14:schemeClr w14:val="accent1"/>
            </w14:solidFill>
          </w14:textFill>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59B0DDFC">
      <w:pPr>
        <w:pStyle w:val="6"/>
        <w:keepNext w:val="0"/>
        <w:keepLines w:val="0"/>
        <w:spacing w:before="0" w:after="0" w:line="360" w:lineRule="auto"/>
        <w:jc w:val="center"/>
        <w:rPr>
          <w:rFonts w:ascii="楷体" w:hAnsi="楷体" w:eastAsia="楷体"/>
          <w:szCs w:val="32"/>
        </w:rPr>
      </w:pPr>
      <w:r>
        <w:rPr>
          <w:rFonts w:hint="eastAsia" w:ascii="楷体" w:hAnsi="楷体" w:eastAsia="楷体"/>
          <w:szCs w:val="32"/>
        </w:rPr>
        <w:t>二、招标文件</w:t>
      </w:r>
    </w:p>
    <w:p w14:paraId="50012254">
      <w:pPr>
        <w:pStyle w:val="6"/>
        <w:keepNext w:val="0"/>
        <w:keepLines w:val="0"/>
        <w:spacing w:before="200" w:after="200" w:line="360" w:lineRule="auto"/>
        <w:ind w:firstLine="446"/>
        <w:rPr>
          <w:rFonts w:ascii="楷体" w:hAnsi="楷体" w:eastAsia="楷体"/>
          <w:sz w:val="30"/>
        </w:rPr>
      </w:pPr>
      <w:bookmarkStart w:id="64" w:name="_Toc98669697"/>
      <w:bookmarkStart w:id="65" w:name="_Toc100386042"/>
      <w:bookmarkStart w:id="66" w:name="_Toc98669339"/>
      <w:bookmarkStart w:id="67" w:name="_Toc92168008"/>
      <w:bookmarkStart w:id="68" w:name="_Toc20732976"/>
      <w:r>
        <w:rPr>
          <w:rFonts w:hint="eastAsia" w:ascii="楷体" w:hAnsi="楷体" w:eastAsia="楷体"/>
          <w:sz w:val="30"/>
        </w:rPr>
        <w:t>6.招标文件组成</w:t>
      </w:r>
    </w:p>
    <w:p w14:paraId="30FF86A6">
      <w:pPr>
        <w:spacing w:line="360" w:lineRule="auto"/>
        <w:ind w:firstLine="480"/>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招标文件包括：</w:t>
      </w:r>
    </w:p>
    <w:p w14:paraId="39BB1909">
      <w:pPr>
        <w:spacing w:line="360" w:lineRule="auto"/>
        <w:ind w:firstLine="480"/>
        <w:rPr>
          <w:rFonts w:ascii="楷体" w:hAnsi="楷体" w:eastAsia="楷体"/>
          <w:sz w:val="24"/>
        </w:rPr>
      </w:pPr>
      <w:r>
        <w:rPr>
          <w:rFonts w:hint="eastAsia" w:ascii="楷体" w:hAnsi="楷体" w:eastAsia="楷体"/>
          <w:sz w:val="24"/>
        </w:rPr>
        <w:t>（1）投标邀请</w:t>
      </w:r>
    </w:p>
    <w:p w14:paraId="39E04838">
      <w:pPr>
        <w:spacing w:line="360" w:lineRule="auto"/>
        <w:ind w:firstLine="480"/>
        <w:rPr>
          <w:rFonts w:ascii="楷体" w:hAnsi="楷体" w:eastAsia="楷体"/>
          <w:sz w:val="24"/>
        </w:rPr>
      </w:pPr>
      <w:r>
        <w:rPr>
          <w:rFonts w:hint="eastAsia" w:ascii="楷体" w:hAnsi="楷体" w:eastAsia="楷体"/>
          <w:sz w:val="24"/>
        </w:rPr>
        <w:t xml:space="preserve">（2）投标人须知                  </w:t>
      </w:r>
    </w:p>
    <w:p w14:paraId="16617B80">
      <w:pPr>
        <w:spacing w:line="360" w:lineRule="auto"/>
        <w:ind w:firstLine="480"/>
        <w:rPr>
          <w:rFonts w:ascii="楷体" w:hAnsi="楷体" w:eastAsia="楷体"/>
          <w:sz w:val="24"/>
        </w:rPr>
      </w:pPr>
      <w:r>
        <w:rPr>
          <w:rFonts w:hint="eastAsia" w:ascii="楷体" w:hAnsi="楷体" w:eastAsia="楷体"/>
          <w:sz w:val="24"/>
        </w:rPr>
        <w:t>（3）拟签订的合同文本</w:t>
      </w:r>
    </w:p>
    <w:p w14:paraId="2F7C0B5E">
      <w:pPr>
        <w:spacing w:line="360" w:lineRule="auto"/>
        <w:ind w:firstLine="480"/>
        <w:rPr>
          <w:rFonts w:ascii="楷体" w:hAnsi="楷体" w:eastAsia="楷体"/>
          <w:sz w:val="24"/>
        </w:rPr>
      </w:pPr>
      <w:r>
        <w:rPr>
          <w:rFonts w:hint="eastAsia" w:ascii="楷体" w:hAnsi="楷体" w:eastAsia="楷体"/>
          <w:sz w:val="24"/>
        </w:rPr>
        <w:t>（4）采购需求</w:t>
      </w:r>
    </w:p>
    <w:p w14:paraId="4D7F12AA">
      <w:pPr>
        <w:spacing w:line="360" w:lineRule="auto"/>
        <w:ind w:firstLine="480"/>
        <w:rPr>
          <w:rFonts w:ascii="楷体" w:hAnsi="楷体" w:eastAsia="楷体"/>
          <w:sz w:val="24"/>
        </w:rPr>
      </w:pPr>
      <w:r>
        <w:rPr>
          <w:rFonts w:hint="eastAsia" w:ascii="楷体" w:hAnsi="楷体" w:eastAsia="楷体"/>
          <w:sz w:val="24"/>
        </w:rPr>
        <w:t>（5）评标办法和标准</w:t>
      </w:r>
    </w:p>
    <w:p w14:paraId="5730F8E7">
      <w:pPr>
        <w:spacing w:line="360" w:lineRule="auto"/>
        <w:ind w:firstLine="480"/>
        <w:rPr>
          <w:rFonts w:ascii="楷体" w:hAnsi="楷体" w:eastAsia="楷体"/>
          <w:sz w:val="24"/>
        </w:rPr>
      </w:pPr>
      <w:r>
        <w:rPr>
          <w:rFonts w:hint="eastAsia" w:ascii="楷体" w:hAnsi="楷体" w:eastAsia="楷体"/>
          <w:sz w:val="24"/>
        </w:rPr>
        <w:t>（6）投标文件（格式）</w:t>
      </w:r>
    </w:p>
    <w:p w14:paraId="3F1F1EF0">
      <w:pPr>
        <w:spacing w:line="360" w:lineRule="auto"/>
        <w:ind w:firstLine="480"/>
        <w:rPr>
          <w:rFonts w:ascii="楷体" w:hAnsi="楷体" w:eastAsia="楷体"/>
          <w:sz w:val="24"/>
        </w:rPr>
      </w:pPr>
      <w:r>
        <w:rPr>
          <w:rFonts w:hint="eastAsia" w:ascii="楷体" w:hAnsi="楷体" w:eastAsia="楷体"/>
          <w:sz w:val="24"/>
        </w:rPr>
        <w:t>6.2 投标人获取本文件后，应认真阅读本文件中所有的事项、格式条款和规范等要求。</w:t>
      </w:r>
    </w:p>
    <w:p w14:paraId="2143B2B5">
      <w:pPr>
        <w:spacing w:line="360" w:lineRule="auto"/>
        <w:ind w:firstLine="480"/>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w:t>
      </w:r>
    </w:p>
    <w:p w14:paraId="15D66E34">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7．招标文件的澄清</w:t>
      </w:r>
      <w:bookmarkEnd w:id="64"/>
      <w:bookmarkEnd w:id="65"/>
      <w:bookmarkEnd w:id="66"/>
      <w:bookmarkEnd w:id="67"/>
      <w:bookmarkEnd w:id="68"/>
      <w:bookmarkStart w:id="69" w:name="_Toc98669698"/>
      <w:bookmarkStart w:id="70" w:name="_Toc100386043"/>
      <w:bookmarkStart w:id="71" w:name="_Toc20732977"/>
      <w:bookmarkStart w:id="72" w:name="_Toc92168009"/>
      <w:bookmarkStart w:id="73" w:name="_Toc98669340"/>
      <w:r>
        <w:rPr>
          <w:rFonts w:hint="eastAsia" w:ascii="楷体" w:hAnsi="楷体" w:eastAsia="楷体"/>
          <w:sz w:val="30"/>
        </w:rPr>
        <w:t>和修改</w:t>
      </w:r>
      <w:bookmarkEnd w:id="69"/>
      <w:bookmarkEnd w:id="70"/>
      <w:bookmarkEnd w:id="71"/>
      <w:bookmarkEnd w:id="72"/>
      <w:bookmarkEnd w:id="73"/>
    </w:p>
    <w:p w14:paraId="0403EB10">
      <w:pPr>
        <w:spacing w:line="360" w:lineRule="auto"/>
        <w:ind w:firstLine="480"/>
        <w:rPr>
          <w:rFonts w:ascii="楷体" w:hAnsi="楷体" w:eastAsia="楷体"/>
          <w:sz w:val="24"/>
        </w:rPr>
      </w:pPr>
      <w:r>
        <w:rPr>
          <w:rFonts w:hint="eastAsia" w:ascii="楷体" w:hAnsi="楷体" w:eastAsia="楷体"/>
          <w:sz w:val="24"/>
        </w:rPr>
        <w:t>7.1 任何要求对招标文件进行澄清的潜在投标人，应及时联系项目联系人。</w:t>
      </w:r>
    </w:p>
    <w:p w14:paraId="1AAB6E5B">
      <w:pPr>
        <w:spacing w:line="360" w:lineRule="auto"/>
        <w:ind w:firstLine="480"/>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按照权责相一致原则，投标人提出的对于招标文件主要商务、技术指标的相关澄清、修改要求，由采购人负责答复并视情况作出澄清或修改的决定。</w:t>
      </w:r>
    </w:p>
    <w:p w14:paraId="0655FF0E">
      <w:pPr>
        <w:spacing w:line="360" w:lineRule="auto"/>
        <w:ind w:firstLine="480"/>
        <w:rPr>
          <w:rFonts w:ascii="楷体" w:hAnsi="楷体" w:eastAsia="楷体"/>
          <w:sz w:val="24"/>
        </w:rPr>
      </w:pPr>
      <w:r>
        <w:rPr>
          <w:rFonts w:hint="eastAsia" w:ascii="楷体" w:hAnsi="楷体" w:eastAsia="楷体"/>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68D958DD">
      <w:pPr>
        <w:spacing w:line="360" w:lineRule="auto"/>
        <w:ind w:firstLine="480"/>
        <w:rPr>
          <w:rFonts w:ascii="楷体" w:hAnsi="楷体" w:eastAsia="楷体"/>
          <w:sz w:val="24"/>
        </w:rPr>
      </w:pPr>
      <w:r>
        <w:rPr>
          <w:rFonts w:hint="eastAsia" w:ascii="楷体" w:hAnsi="楷体" w:eastAsia="楷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投标人应及时自行登录系统查看相应内容。</w:t>
      </w:r>
    </w:p>
    <w:p w14:paraId="1B7B5CA5">
      <w:pPr>
        <w:pStyle w:val="6"/>
        <w:keepNext w:val="0"/>
        <w:keepLines w:val="0"/>
        <w:tabs>
          <w:tab w:val="left" w:pos="492"/>
        </w:tabs>
        <w:spacing w:before="0" w:after="0" w:line="360" w:lineRule="auto"/>
        <w:rPr>
          <w:rFonts w:hAnsi="宋体"/>
          <w:sz w:val="24"/>
          <w:szCs w:val="24"/>
        </w:rPr>
      </w:pPr>
      <w:r>
        <w:rPr>
          <w:rFonts w:hint="eastAsia" w:ascii="楷体" w:hAnsi="楷体" w:eastAsia="楷体"/>
          <w:sz w:val="24"/>
        </w:rPr>
        <w:tab/>
      </w:r>
      <w:r>
        <w:rPr>
          <w:rFonts w:hint="eastAsia" w:ascii="楷体" w:hAnsi="楷体" w:eastAsia="楷体"/>
          <w:b w:val="0"/>
          <w:sz w:val="24"/>
          <w:szCs w:val="24"/>
        </w:rPr>
        <w:t>7.5</w:t>
      </w:r>
      <w:r>
        <w:rPr>
          <w:rFonts w:hint="eastAsia" w:ascii="楷体" w:hAnsi="楷体" w:eastAsia="楷体"/>
          <w:sz w:val="24"/>
          <w:szCs w:val="24"/>
        </w:rPr>
        <w:t xml:space="preserve"> 如</w:t>
      </w:r>
      <w:r>
        <w:rPr>
          <w:rFonts w:hint="eastAsia" w:ascii="楷体" w:hAnsi="楷体" w:eastAsia="楷体"/>
          <w:sz w:val="24"/>
        </w:rPr>
        <w:t>澄清或修改公告</w:t>
      </w:r>
      <w:r>
        <w:rPr>
          <w:rFonts w:hint="eastAsia" w:ascii="楷体" w:hAnsi="楷体" w:eastAsia="楷体"/>
          <w:sz w:val="24"/>
          <w:szCs w:val="24"/>
        </w:rPr>
        <w:t>有重新发布招标文件的，投标人应下载最新发布的招标文件制作投标文件。</w:t>
      </w:r>
      <w:r>
        <w:rPr>
          <w:rFonts w:ascii="楷体" w:hAnsi="楷体" w:eastAsia="楷体"/>
          <w:sz w:val="24"/>
          <w:szCs w:val="24"/>
        </w:rPr>
        <w:t>因投标人自身原因未能及时获取的</w:t>
      </w:r>
      <w:r>
        <w:rPr>
          <w:rFonts w:hint="eastAsia" w:ascii="楷体" w:hAnsi="楷体" w:eastAsia="楷体"/>
          <w:sz w:val="24"/>
          <w:szCs w:val="24"/>
        </w:rPr>
        <w:t>，一切后果由投标人自行承担。</w:t>
      </w:r>
    </w:p>
    <w:p w14:paraId="3689BE6C">
      <w:pPr>
        <w:pStyle w:val="6"/>
        <w:keepNext w:val="0"/>
        <w:keepLines w:val="0"/>
        <w:spacing w:before="200" w:after="200" w:line="360" w:lineRule="auto"/>
        <w:jc w:val="center"/>
        <w:rPr>
          <w:rFonts w:ascii="楷体" w:hAnsi="楷体" w:eastAsia="楷体"/>
          <w:szCs w:val="32"/>
        </w:rPr>
      </w:pPr>
      <w:r>
        <w:rPr>
          <w:rFonts w:hint="eastAsia" w:ascii="楷体" w:hAnsi="楷体" w:eastAsia="楷体"/>
          <w:szCs w:val="32"/>
        </w:rPr>
        <w:t>三、投标文件</w:t>
      </w:r>
    </w:p>
    <w:p w14:paraId="3FF1B1DF">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8.编制投标文件的工具</w:t>
      </w:r>
    </w:p>
    <w:p w14:paraId="79383CCC">
      <w:pPr>
        <w:spacing w:line="360" w:lineRule="auto"/>
        <w:ind w:firstLine="480"/>
        <w:rPr>
          <w:rFonts w:ascii="楷体" w:hAnsi="楷体" w:eastAsia="楷体"/>
          <w:sz w:val="24"/>
        </w:rPr>
      </w:pPr>
      <w:r>
        <w:rPr>
          <w:rFonts w:hint="eastAsia" w:ascii="楷体" w:hAnsi="楷体" w:eastAsia="楷体"/>
          <w:sz w:val="24"/>
        </w:rPr>
        <w:t>8.1 供应商须通过江苏政府采购网-苏采云提供的最新响应文件制作软件编制响应文件。</w:t>
      </w:r>
    </w:p>
    <w:p w14:paraId="156C91A7">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9.投标文件语言及度量衡单位</w:t>
      </w:r>
    </w:p>
    <w:p w14:paraId="52F74EC1">
      <w:pPr>
        <w:spacing w:line="360" w:lineRule="auto"/>
        <w:ind w:firstLine="480"/>
        <w:rPr>
          <w:rFonts w:ascii="楷体" w:hAnsi="楷体" w:eastAsia="楷体"/>
          <w:sz w:val="24"/>
        </w:rPr>
      </w:pPr>
      <w:r>
        <w:rPr>
          <w:rFonts w:hint="eastAsia" w:ascii="楷体" w:hAnsi="楷体" w:eastAsia="楷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76A682C7">
      <w:pPr>
        <w:spacing w:line="360" w:lineRule="auto"/>
        <w:ind w:firstLine="480"/>
        <w:rPr>
          <w:rFonts w:ascii="楷体" w:hAnsi="楷体" w:eastAsia="楷体"/>
          <w:sz w:val="24"/>
        </w:rPr>
      </w:pPr>
      <w:r>
        <w:rPr>
          <w:rFonts w:hint="eastAsia" w:ascii="楷体" w:hAnsi="楷体" w:eastAsia="楷体"/>
          <w:sz w:val="24"/>
        </w:rPr>
        <w:t>9.2 投标文件中所使用的计量单位除招标文件中另有特殊规定外，一律使用法定计量单位。</w:t>
      </w:r>
    </w:p>
    <w:p w14:paraId="53751E40">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10.投标文件的构成</w:t>
      </w:r>
    </w:p>
    <w:p w14:paraId="52120B1D">
      <w:pPr>
        <w:pStyle w:val="1150"/>
        <w:widowControl/>
        <w:spacing w:line="360" w:lineRule="auto"/>
        <w:ind w:firstLine="425"/>
        <w:rPr>
          <w:rFonts w:ascii="楷体" w:hAnsi="楷体" w:eastAsia="楷体"/>
          <w:sz w:val="24"/>
        </w:rPr>
      </w:pPr>
      <w:r>
        <w:rPr>
          <w:rFonts w:hint="eastAsia" w:ascii="楷体" w:hAnsi="楷体" w:eastAsia="楷体"/>
          <w:sz w:val="24"/>
        </w:rPr>
        <w:t>10.1 投标文件分为资格部分、商务部分、技术部分和价格部分。</w:t>
      </w:r>
    </w:p>
    <w:p w14:paraId="1DDC0ABC">
      <w:pPr>
        <w:pStyle w:val="1150"/>
        <w:widowControl/>
        <w:spacing w:line="360" w:lineRule="auto"/>
        <w:ind w:firstLine="425"/>
        <w:rPr>
          <w:rFonts w:ascii="楷体" w:hAnsi="楷体" w:eastAsia="楷体"/>
          <w:sz w:val="24"/>
        </w:rPr>
      </w:pPr>
      <w:r>
        <w:rPr>
          <w:rFonts w:hint="eastAsia" w:ascii="楷体" w:hAnsi="楷体" w:eastAsia="楷体"/>
          <w:sz w:val="24"/>
        </w:rPr>
        <w:t>10.2 资格部分系指投标人提交的证明其有资格参加投标的文件。</w:t>
      </w:r>
    </w:p>
    <w:p w14:paraId="349D417D">
      <w:pPr>
        <w:pStyle w:val="1150"/>
        <w:widowControl/>
        <w:spacing w:line="360" w:lineRule="auto"/>
        <w:ind w:firstLine="425"/>
        <w:rPr>
          <w:rFonts w:ascii="楷体" w:hAnsi="楷体" w:eastAsia="楷体"/>
          <w:sz w:val="24"/>
        </w:rPr>
      </w:pPr>
      <w:r>
        <w:rPr>
          <w:rFonts w:hint="eastAsia" w:ascii="楷体" w:hAnsi="楷体" w:eastAsia="楷体"/>
          <w:sz w:val="24"/>
        </w:rPr>
        <w:t>10.2 商务部分系指投标人提交的证明其中标后有能力履行合同的文件。</w:t>
      </w:r>
    </w:p>
    <w:p w14:paraId="7A546A54">
      <w:pPr>
        <w:pStyle w:val="1150"/>
        <w:widowControl/>
        <w:spacing w:line="360" w:lineRule="auto"/>
        <w:ind w:firstLine="425"/>
        <w:rPr>
          <w:rFonts w:ascii="楷体" w:hAnsi="楷体" w:eastAsia="楷体"/>
          <w:sz w:val="24"/>
        </w:rPr>
      </w:pPr>
      <w:r>
        <w:rPr>
          <w:rFonts w:hint="eastAsia" w:ascii="楷体" w:hAnsi="楷体" w:eastAsia="楷体"/>
          <w:sz w:val="24"/>
        </w:rPr>
        <w:t>10.3 技术部分系指投标人提交的能够证明投标人提供的货物（服务）符合招标文件规定的文件。</w:t>
      </w:r>
    </w:p>
    <w:p w14:paraId="46106443">
      <w:pPr>
        <w:pStyle w:val="1150"/>
        <w:widowControl/>
        <w:spacing w:line="360" w:lineRule="auto"/>
        <w:ind w:firstLine="425"/>
        <w:rPr>
          <w:rFonts w:ascii="楷体" w:hAnsi="楷体" w:eastAsia="楷体"/>
          <w:sz w:val="24"/>
        </w:rPr>
      </w:pPr>
      <w:r>
        <w:rPr>
          <w:rFonts w:hint="eastAsia" w:ascii="楷体" w:hAnsi="楷体" w:eastAsia="楷体"/>
          <w:sz w:val="24"/>
        </w:rPr>
        <w:t>10.4 具体填写格式详见招标文件第六部分。</w:t>
      </w:r>
    </w:p>
    <w:p w14:paraId="6F47F011">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11．投标文件的编制</w:t>
      </w:r>
    </w:p>
    <w:p w14:paraId="63EE259E">
      <w:pPr>
        <w:spacing w:line="360" w:lineRule="auto"/>
        <w:ind w:left="1" w:firstLine="480"/>
        <w:rPr>
          <w:rFonts w:ascii="楷体" w:hAnsi="楷体" w:eastAsia="楷体"/>
          <w:b/>
          <w:sz w:val="24"/>
        </w:rPr>
      </w:pPr>
      <w:r>
        <w:rPr>
          <w:rFonts w:hint="eastAsia" w:ascii="楷体" w:hAnsi="楷体" w:eastAsia="楷体"/>
          <w:sz w:val="24"/>
        </w:rPr>
        <w:t>11.1 投标人应仔细阅读招标文件，按照招标文件的要求编制投标文件。投标文件应当对招标文件提出的要求和条件作出明确响应。</w:t>
      </w:r>
    </w:p>
    <w:p w14:paraId="61464CD4">
      <w:pPr>
        <w:spacing w:line="360" w:lineRule="auto"/>
        <w:ind w:left="1" w:firstLine="480"/>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投标人在编制投标文件时，请按照招标文件第六部分规定的格式进行填写并提交到对应位置，无相应内容可填的项应填写“无”、“没有相应指标”等明确的回答文字。</w:t>
      </w:r>
    </w:p>
    <w:p w14:paraId="79FB0F0C">
      <w:pPr>
        <w:spacing w:line="360" w:lineRule="auto"/>
        <w:ind w:left="1" w:firstLine="480"/>
        <w:rPr>
          <w:rFonts w:ascii="楷体" w:hAnsi="楷体" w:eastAsia="楷体"/>
          <w:sz w:val="24"/>
        </w:rPr>
      </w:pPr>
      <w:r>
        <w:rPr>
          <w:rFonts w:hint="eastAsia" w:ascii="楷体" w:hAnsi="楷体" w:eastAsia="楷体"/>
          <w:sz w:val="24"/>
        </w:rPr>
        <w:t>11.3 如没有按照招标文件要求和规定编制投标文件及提交相关资料，其风险应由投标人自行承担；投标文件编排混乱、文字表达不清或上传资料内容模糊所引起的不利后果，由投标人自行承担。</w:t>
      </w:r>
    </w:p>
    <w:p w14:paraId="0C81A355">
      <w:pPr>
        <w:spacing w:line="360" w:lineRule="auto"/>
        <w:ind w:left="1" w:firstLine="480"/>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投标人必须保证投标文件所提供的全部资料合法、真实、可靠。</w:t>
      </w:r>
    </w:p>
    <w:p w14:paraId="78CEBB06">
      <w:pPr>
        <w:pStyle w:val="9"/>
        <w:spacing w:line="360" w:lineRule="auto"/>
        <w:ind w:firstLine="452" w:firstLineChars="150"/>
        <w:rPr>
          <w:rFonts w:ascii="楷体" w:hAnsi="楷体" w:eastAsia="楷体"/>
          <w:b/>
          <w:sz w:val="30"/>
        </w:rPr>
      </w:pPr>
      <w:bookmarkStart w:id="74" w:name="_Hlk176794245"/>
      <w:r>
        <w:rPr>
          <w:rFonts w:hint="eastAsia" w:ascii="楷体" w:hAnsi="楷体" w:eastAsia="楷体"/>
          <w:b/>
          <w:sz w:val="30"/>
        </w:rPr>
        <w:t>1</w:t>
      </w:r>
      <w:r>
        <w:rPr>
          <w:rFonts w:ascii="楷体" w:hAnsi="楷体" w:eastAsia="楷体"/>
          <w:b/>
          <w:sz w:val="30"/>
        </w:rPr>
        <w:t>2</w:t>
      </w:r>
      <w:r>
        <w:rPr>
          <w:rFonts w:hint="eastAsia" w:ascii="楷体" w:hAnsi="楷体" w:eastAsia="楷体"/>
          <w:b/>
          <w:sz w:val="30"/>
        </w:rPr>
        <w:t>．报价要求</w:t>
      </w:r>
    </w:p>
    <w:p w14:paraId="79C94531">
      <w:pPr>
        <w:pStyle w:val="9"/>
        <w:spacing w:line="360" w:lineRule="auto"/>
        <w:ind w:firstLine="482"/>
        <w:rPr>
          <w:rFonts w:ascii="楷体" w:hAnsi="楷体" w:eastAsia="楷体"/>
          <w:sz w:val="24"/>
        </w:rPr>
      </w:pPr>
      <w:r>
        <w:rPr>
          <w:rFonts w:hint="eastAsia" w:ascii="楷体" w:hAnsi="楷体" w:eastAsia="楷体"/>
          <w:sz w:val="24"/>
        </w:rPr>
        <w:t>1</w:t>
      </w:r>
      <w:r>
        <w:rPr>
          <w:rFonts w:ascii="楷体" w:hAnsi="楷体" w:eastAsia="楷体"/>
          <w:sz w:val="24"/>
        </w:rPr>
        <w:t>2.1</w:t>
      </w:r>
      <w:r>
        <w:rPr>
          <w:rFonts w:hint="eastAsia" w:ascii="楷体" w:hAnsi="楷体" w:eastAsia="楷体"/>
          <w:sz w:val="24"/>
        </w:rPr>
        <w:t xml:space="preserve">投标应以人民币报价（保留至小数点后 2 位，四舍五入）。  </w:t>
      </w:r>
    </w:p>
    <w:p w14:paraId="4945D618">
      <w:pPr>
        <w:pStyle w:val="9"/>
        <w:spacing w:line="360" w:lineRule="auto"/>
        <w:ind w:firstLine="482"/>
        <w:rPr>
          <w:rFonts w:ascii="楷体" w:hAnsi="楷体" w:eastAsia="楷体"/>
          <w:sz w:val="24"/>
        </w:rPr>
      </w:pPr>
      <w:r>
        <w:rPr>
          <w:rFonts w:hint="eastAsia" w:ascii="楷体" w:hAnsi="楷体" w:eastAsia="楷体"/>
          <w:sz w:val="24"/>
        </w:rPr>
        <w:t>1</w:t>
      </w:r>
      <w:r>
        <w:rPr>
          <w:rFonts w:ascii="楷体" w:hAnsi="楷体" w:eastAsia="楷体"/>
          <w:sz w:val="24"/>
        </w:rPr>
        <w:t>2.2</w:t>
      </w:r>
      <w:r>
        <w:rPr>
          <w:rFonts w:hint="eastAsia" w:ascii="楷体" w:hAnsi="楷体" w:eastAsia="楷体"/>
          <w:sz w:val="24"/>
        </w:rPr>
        <w:t xml:space="preserve">投标人应按招标文件所提供的各报价表格式报价。  </w:t>
      </w:r>
    </w:p>
    <w:p w14:paraId="3F54CC86">
      <w:pPr>
        <w:pStyle w:val="9"/>
        <w:spacing w:line="360" w:lineRule="auto"/>
        <w:ind w:firstLine="482"/>
        <w:rPr>
          <w:rFonts w:ascii="楷体" w:hAnsi="楷体" w:eastAsia="楷体"/>
          <w:sz w:val="24"/>
        </w:rPr>
      </w:pPr>
      <w:r>
        <w:rPr>
          <w:rFonts w:ascii="楷体" w:hAnsi="楷体" w:eastAsia="楷体"/>
          <w:sz w:val="24"/>
        </w:rPr>
        <w:t>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p>
    <w:p w14:paraId="7F874577">
      <w:pPr>
        <w:pStyle w:val="9"/>
        <w:spacing w:line="360" w:lineRule="auto"/>
        <w:ind w:firstLine="482"/>
        <w:rPr>
          <w:rFonts w:ascii="楷体" w:hAnsi="楷体" w:eastAsia="楷体"/>
          <w:sz w:val="24"/>
        </w:rPr>
      </w:pPr>
      <w:r>
        <w:rPr>
          <w:rFonts w:hint="eastAsia" w:ascii="楷体" w:hAnsi="楷体" w:eastAsia="楷体"/>
          <w:sz w:val="24"/>
        </w:rPr>
        <w:t>1</w:t>
      </w:r>
      <w:r>
        <w:rPr>
          <w:rFonts w:ascii="楷体" w:hAnsi="楷体" w:eastAsia="楷体"/>
          <w:sz w:val="24"/>
        </w:rPr>
        <w:t>2.4</w:t>
      </w:r>
      <w:r>
        <w:rPr>
          <w:rFonts w:hint="eastAsia" w:ascii="楷体" w:hAnsi="楷体" w:eastAsia="楷体"/>
          <w:sz w:val="24"/>
        </w:rPr>
        <w:t xml:space="preserve">最低投标报价不能作为中标的唯一保证。  </w:t>
      </w:r>
    </w:p>
    <w:p w14:paraId="38C2A1B2">
      <w:pPr>
        <w:pStyle w:val="9"/>
        <w:spacing w:line="360" w:lineRule="auto"/>
        <w:ind w:firstLine="482"/>
        <w:rPr>
          <w:rFonts w:ascii="楷体" w:hAnsi="楷体" w:eastAsia="楷体"/>
          <w:sz w:val="24"/>
        </w:rPr>
      </w:pPr>
      <w:r>
        <w:rPr>
          <w:rFonts w:hint="eastAsia" w:ascii="楷体" w:hAnsi="楷体" w:eastAsia="楷体"/>
          <w:sz w:val="24"/>
        </w:rPr>
        <w:t>1</w:t>
      </w:r>
      <w:r>
        <w:rPr>
          <w:rFonts w:ascii="楷体" w:hAnsi="楷体" w:eastAsia="楷体"/>
          <w:sz w:val="24"/>
        </w:rPr>
        <w:t>2.5</w:t>
      </w:r>
      <w:r>
        <w:rPr>
          <w:rFonts w:hint="eastAsia" w:ascii="楷体" w:hAnsi="楷体" w:eastAsia="楷体"/>
          <w:sz w:val="24"/>
        </w:rPr>
        <w:t xml:space="preserve">中标价即为合同签约价。  </w:t>
      </w:r>
    </w:p>
    <w:p w14:paraId="7914AF8B">
      <w:pPr>
        <w:pStyle w:val="9"/>
        <w:spacing w:line="360" w:lineRule="auto"/>
        <w:ind w:firstLine="482"/>
        <w:rPr>
          <w:rFonts w:ascii="楷体" w:hAnsi="楷体" w:eastAsia="楷体"/>
          <w:sz w:val="24"/>
        </w:rPr>
      </w:pPr>
      <w:r>
        <w:rPr>
          <w:rFonts w:ascii="楷体" w:hAnsi="楷体" w:eastAsia="楷体"/>
          <w:sz w:val="24"/>
        </w:rPr>
        <w:t>12.6</w:t>
      </w:r>
      <w:r>
        <w:rPr>
          <w:rFonts w:hint="eastAsia" w:ascii="楷体" w:hAnsi="楷体" w:eastAsia="楷体"/>
          <w:b/>
          <w:bCs/>
          <w:sz w:val="24"/>
        </w:rPr>
        <w:t>如出现报价前后不一致的，将按招标文件第五部分“评标办法和标准”第 5 项规定进行修正。</w:t>
      </w:r>
    </w:p>
    <w:bookmarkEnd w:id="74"/>
    <w:p w14:paraId="47FB72C3">
      <w:pPr>
        <w:spacing w:before="240" w:after="240" w:line="360" w:lineRule="auto"/>
        <w:ind w:firstLine="446"/>
        <w:rPr>
          <w:rFonts w:ascii="楷体" w:hAnsi="楷体" w:eastAsia="楷体"/>
          <w:color w:val="5B9BD5" w:themeColor="accent5"/>
          <w:sz w:val="24"/>
          <w14:textFill>
            <w14:solidFill>
              <w14:schemeClr w14:val="accent5"/>
            </w14:solidFill>
          </w14:textFill>
        </w:rPr>
      </w:pPr>
      <w:r>
        <w:rPr>
          <w:rFonts w:hint="eastAsia" w:ascii="楷体" w:hAnsi="楷体" w:eastAsia="楷体"/>
          <w:b/>
          <w:sz w:val="30"/>
        </w:rPr>
        <w:t>13．投标保证金</w:t>
      </w:r>
    </w:p>
    <w:p w14:paraId="654B5146">
      <w:pPr>
        <w:spacing w:line="360" w:lineRule="auto"/>
        <w:ind w:left="1" w:firstLine="480"/>
        <w:rPr>
          <w:rFonts w:ascii="楷体" w:hAnsi="楷体" w:eastAsia="楷体"/>
          <w:sz w:val="24"/>
        </w:rPr>
      </w:pPr>
      <w:r>
        <w:rPr>
          <w:rFonts w:hint="eastAsia" w:ascii="楷体" w:hAnsi="楷体" w:eastAsia="楷体"/>
          <w:sz w:val="24"/>
        </w:rPr>
        <w:t>13.1 本项目不收投标保证金。</w:t>
      </w:r>
    </w:p>
    <w:p w14:paraId="407E5423">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14．投标有效期</w:t>
      </w:r>
    </w:p>
    <w:p w14:paraId="3C591B76">
      <w:pPr>
        <w:spacing w:line="360" w:lineRule="auto"/>
        <w:ind w:firstLine="480"/>
        <w:rPr>
          <w:rFonts w:ascii="楷体" w:hAnsi="楷体" w:eastAsia="楷体"/>
          <w:sz w:val="24"/>
        </w:rPr>
      </w:pPr>
      <w:r>
        <w:rPr>
          <w:rFonts w:hint="eastAsia" w:ascii="楷体" w:hAnsi="楷体" w:eastAsia="楷体"/>
          <w:sz w:val="24"/>
        </w:rPr>
        <w:t>14.1 投标有效期为：投标文件自</w:t>
      </w:r>
      <w:r>
        <w:rPr>
          <w:rFonts w:hint="eastAsia" w:ascii="楷体" w:hAnsi="楷体" w:eastAsia="楷体" w:cs="宋体"/>
          <w:sz w:val="24"/>
          <w:szCs w:val="28"/>
        </w:rPr>
        <w:t>提交投标文件截止时间</w:t>
      </w:r>
      <w:r>
        <w:rPr>
          <w:rFonts w:hint="eastAsia" w:ascii="楷体" w:hAnsi="楷体" w:eastAsia="楷体"/>
          <w:sz w:val="24"/>
        </w:rPr>
        <w:t>之日起</w:t>
      </w:r>
      <w:r>
        <w:rPr>
          <w:rFonts w:hint="eastAsia" w:ascii="楷体" w:hAnsi="楷体" w:eastAsia="楷体"/>
          <w:color w:val="5B9BD5" w:themeColor="accent5"/>
          <w:sz w:val="24"/>
          <w14:textFill>
            <w14:solidFill>
              <w14:schemeClr w14:val="accent5"/>
            </w14:solidFill>
          </w14:textFill>
        </w:rPr>
        <w:t>90天</w:t>
      </w:r>
      <w:r>
        <w:rPr>
          <w:rFonts w:hint="eastAsia" w:ascii="楷体" w:hAnsi="楷体" w:eastAsia="楷体"/>
          <w:sz w:val="24"/>
        </w:rPr>
        <w:t>内有效。投标人一旦获取了本招标文件并参加投标，即被认为接受了投标有效期的约定。</w:t>
      </w:r>
    </w:p>
    <w:p w14:paraId="270F40C5">
      <w:pPr>
        <w:spacing w:line="360" w:lineRule="auto"/>
        <w:ind w:firstLine="480"/>
        <w:rPr>
          <w:rFonts w:ascii="楷体" w:hAnsi="楷体" w:eastAsia="楷体"/>
          <w:sz w:val="24"/>
        </w:rPr>
      </w:pPr>
      <w:r>
        <w:rPr>
          <w:rFonts w:hint="eastAsia" w:ascii="楷体" w:hAnsi="楷体" w:eastAsia="楷体"/>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71150D80">
      <w:pPr>
        <w:spacing w:before="240" w:after="240" w:line="360" w:lineRule="auto"/>
        <w:ind w:firstLine="446"/>
        <w:rPr>
          <w:rFonts w:ascii="楷体" w:hAnsi="楷体" w:eastAsia="楷体"/>
          <w:b/>
          <w:sz w:val="30"/>
        </w:rPr>
      </w:pPr>
      <w:r>
        <w:rPr>
          <w:rFonts w:hint="eastAsia" w:ascii="楷体" w:hAnsi="楷体" w:eastAsia="楷体"/>
          <w:b/>
          <w:sz w:val="30"/>
        </w:rPr>
        <w:t>15.投标文件的式样和签署</w:t>
      </w:r>
    </w:p>
    <w:p w14:paraId="2FD86722">
      <w:pPr>
        <w:spacing w:line="360" w:lineRule="auto"/>
        <w:ind w:firstLine="420"/>
        <w:rPr>
          <w:rFonts w:ascii="楷体" w:hAnsi="楷体" w:eastAsia="楷体"/>
          <w:sz w:val="24"/>
        </w:rPr>
      </w:pPr>
      <w:r>
        <w:rPr>
          <w:rFonts w:hint="eastAsia" w:ascii="楷体" w:hAnsi="楷体" w:eastAsia="楷体"/>
          <w:sz w:val="24"/>
        </w:rPr>
        <w:t>15.1 投标人应通过响应文件制作软件使用数字认证证书对投标文件进行合成、电子签章及加密打包。</w:t>
      </w:r>
    </w:p>
    <w:p w14:paraId="43D82138">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16．投标文件的提交</w:t>
      </w:r>
    </w:p>
    <w:p w14:paraId="3940CF15">
      <w:pPr>
        <w:spacing w:line="360" w:lineRule="auto"/>
        <w:ind w:left="1" w:firstLine="480"/>
        <w:rPr>
          <w:rFonts w:ascii="楷体" w:hAnsi="楷体" w:eastAsia="楷体"/>
          <w:sz w:val="24"/>
        </w:rPr>
      </w:pPr>
      <w:r>
        <w:rPr>
          <w:rFonts w:hint="eastAsia" w:ascii="楷体" w:hAnsi="楷体" w:eastAsia="楷体"/>
          <w:sz w:val="24"/>
        </w:rPr>
        <w:t>16.1 投标文件提交</w:t>
      </w:r>
    </w:p>
    <w:p w14:paraId="0962A2E6">
      <w:pPr>
        <w:spacing w:line="360" w:lineRule="auto"/>
        <w:ind w:left="1" w:firstLine="480"/>
        <w:rPr>
          <w:rFonts w:ascii="楷体" w:hAnsi="楷体" w:eastAsia="楷体"/>
          <w:b/>
          <w:sz w:val="24"/>
          <w:u w:val="single"/>
        </w:rPr>
      </w:pPr>
      <w:r>
        <w:rPr>
          <w:rFonts w:hint="eastAsia" w:ascii="楷体" w:hAnsi="楷体" w:eastAsia="楷体"/>
          <w:sz w:val="24"/>
        </w:rPr>
        <w:t>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时间以电子交易平台时间为准。</w:t>
      </w:r>
    </w:p>
    <w:p w14:paraId="267DCFC7">
      <w:pPr>
        <w:spacing w:line="360" w:lineRule="auto"/>
        <w:ind w:left="1" w:firstLine="480"/>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截止时间以后提交的投标文件，电子交易平台将拒绝接收。投标人应充分考虑网络环境、网络带宽等风险因素。</w:t>
      </w:r>
    </w:p>
    <w:p w14:paraId="0C7DE839">
      <w:pPr>
        <w:spacing w:line="360" w:lineRule="auto"/>
        <w:ind w:firstLine="480"/>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提交投标文件时，投标人须使用制作该投标文件的同一数字认证证书进行提交操作。</w:t>
      </w:r>
    </w:p>
    <w:p w14:paraId="0F9A4B4B">
      <w:pPr>
        <w:spacing w:line="360" w:lineRule="auto"/>
        <w:ind w:firstLine="480"/>
        <w:rPr>
          <w:rFonts w:ascii="楷体" w:hAnsi="楷体" w:eastAsia="楷体"/>
          <w:b/>
          <w:sz w:val="24"/>
          <w:u w:val="single"/>
        </w:rPr>
      </w:pPr>
      <w:r>
        <w:rPr>
          <w:rFonts w:hint="eastAsia" w:ascii="楷体" w:hAnsi="楷体" w:eastAsia="楷体"/>
          <w:sz w:val="24"/>
        </w:rPr>
        <w:t>16.1.4</w:t>
      </w:r>
      <w:r>
        <w:rPr>
          <w:rFonts w:hint="eastAsia" w:ascii="楷体" w:hAnsi="楷体" w:eastAsia="楷体"/>
          <w:b/>
          <w:sz w:val="24"/>
          <w:u w:val="single"/>
        </w:rPr>
        <w:t>提交完成后至解密前，</w:t>
      </w:r>
      <w:r>
        <w:rPr>
          <w:rFonts w:hint="eastAsia" w:ascii="楷体" w:hAnsi="楷体" w:eastAsia="楷体"/>
          <w:b/>
          <w:sz w:val="24"/>
          <w:szCs w:val="20"/>
          <w:u w:val="single"/>
        </w:rPr>
        <w:t>投标人</w:t>
      </w:r>
      <w:r>
        <w:rPr>
          <w:rFonts w:hint="eastAsia" w:ascii="楷体" w:hAnsi="楷体" w:eastAsia="楷体"/>
          <w:b/>
          <w:sz w:val="24"/>
          <w:u w:val="single"/>
        </w:rPr>
        <w:t>不能对加密投标文件时所使用的数字认证证书进行更新、续费，否则可能引起的投标文件解密失败等相关后果由投标人自行承担。</w:t>
      </w:r>
    </w:p>
    <w:p w14:paraId="5F7CDD66">
      <w:pPr>
        <w:spacing w:line="360" w:lineRule="auto"/>
        <w:ind w:firstLine="480"/>
        <w:rPr>
          <w:rFonts w:ascii="楷体" w:hAnsi="楷体" w:eastAsia="楷体"/>
          <w:sz w:val="24"/>
        </w:rPr>
      </w:pPr>
      <w:r>
        <w:rPr>
          <w:rFonts w:hint="eastAsia" w:ascii="楷体" w:hAnsi="楷体" w:eastAsia="楷体"/>
          <w:sz w:val="24"/>
        </w:rPr>
        <w:t>16.1.5因不可抗力事件造成的投标文件的损坏、丢失的，采购代理机构不承担责任。</w:t>
      </w:r>
    </w:p>
    <w:p w14:paraId="704B7B75">
      <w:pPr>
        <w:spacing w:line="360" w:lineRule="auto"/>
        <w:ind w:firstLine="480"/>
        <w:rPr>
          <w:rFonts w:ascii="楷体" w:hAnsi="楷体" w:eastAsia="楷体"/>
          <w:color w:val="000000"/>
          <w:sz w:val="24"/>
        </w:rPr>
      </w:pPr>
      <w:r>
        <w:rPr>
          <w:rFonts w:hint="eastAsia" w:ascii="楷体" w:hAnsi="楷体" w:eastAsia="楷体"/>
          <w:color w:val="000000"/>
          <w:sz w:val="24"/>
        </w:rPr>
        <w:t>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原公告媒体</w:t>
      </w:r>
      <w:r>
        <w:rPr>
          <w:rFonts w:hint="eastAsia" w:ascii="楷体" w:hAnsi="楷体" w:eastAsia="楷体"/>
          <w:color w:val="000000"/>
          <w:sz w:val="24"/>
        </w:rPr>
        <w:t>上发布公告。投标人应及时自行登录系统查看相应内容。</w:t>
      </w:r>
    </w:p>
    <w:p w14:paraId="4D825A18">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17．投标文件的补充、修改或者撤回</w:t>
      </w:r>
    </w:p>
    <w:p w14:paraId="03999EF5">
      <w:pPr>
        <w:spacing w:line="360" w:lineRule="auto"/>
        <w:ind w:firstLine="480"/>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在提交截止时间前</w:t>
      </w:r>
      <w:r>
        <w:rPr>
          <w:rFonts w:hint="eastAsia" w:ascii="楷体" w:hAnsi="楷体" w:eastAsia="楷体"/>
          <w:color w:val="000000"/>
          <w:sz w:val="24"/>
        </w:rPr>
        <w:t>，</w:t>
      </w:r>
      <w:r>
        <w:rPr>
          <w:rFonts w:ascii="楷体" w:hAnsi="楷体" w:eastAsia="楷体"/>
          <w:color w:val="000000"/>
          <w:sz w:val="24"/>
        </w:rPr>
        <w:t>投标人可以对所</w:t>
      </w:r>
      <w:r>
        <w:rPr>
          <w:rFonts w:hint="eastAsia" w:ascii="楷体" w:hAnsi="楷体" w:eastAsia="楷体"/>
          <w:color w:val="000000"/>
          <w:sz w:val="24"/>
        </w:rPr>
        <w:t>提交</w:t>
      </w:r>
      <w:r>
        <w:rPr>
          <w:rFonts w:ascii="楷体" w:hAnsi="楷体" w:eastAsia="楷体"/>
          <w:color w:val="000000"/>
          <w:sz w:val="24"/>
        </w:rPr>
        <w:t>的投标文件进行</w:t>
      </w:r>
      <w:r>
        <w:rPr>
          <w:rFonts w:hint="eastAsia" w:ascii="楷体" w:hAnsi="楷体" w:eastAsia="楷体"/>
          <w:color w:val="000000"/>
          <w:sz w:val="24"/>
        </w:rPr>
        <w:t>补充、修改或者撤回</w:t>
      </w:r>
      <w:r>
        <w:rPr>
          <w:rFonts w:ascii="楷体" w:hAnsi="楷体" w:eastAsia="楷体"/>
          <w:color w:val="000000"/>
          <w:sz w:val="24"/>
        </w:rPr>
        <w:t>。</w:t>
      </w:r>
    </w:p>
    <w:p w14:paraId="3F6E45FE">
      <w:pPr>
        <w:spacing w:line="360" w:lineRule="auto"/>
        <w:ind w:firstLine="480"/>
        <w:rPr>
          <w:rFonts w:ascii="楷体" w:hAnsi="楷体" w:eastAsia="楷体"/>
          <w:color w:val="000000"/>
          <w:sz w:val="24"/>
        </w:rPr>
      </w:pPr>
      <w:r>
        <w:rPr>
          <w:rFonts w:hint="eastAsia" w:ascii="楷体" w:hAnsi="楷体" w:eastAsia="楷体"/>
          <w:color w:val="000000"/>
          <w:sz w:val="24"/>
        </w:rPr>
        <w:t>17.2 投标人在提交截止时间前需要对投标文件进行补充、修改的，应当使用响应文件制作软件重新制作并提交。</w:t>
      </w:r>
    </w:p>
    <w:p w14:paraId="7408C205">
      <w:pPr>
        <w:spacing w:line="360" w:lineRule="auto"/>
        <w:ind w:firstLine="480"/>
        <w:rPr>
          <w:rFonts w:ascii="楷体" w:hAnsi="楷体" w:eastAsia="楷体"/>
          <w:color w:val="000000"/>
          <w:sz w:val="24"/>
        </w:rPr>
      </w:pPr>
      <w:r>
        <w:rPr>
          <w:rFonts w:hint="eastAsia" w:ascii="楷体" w:hAnsi="楷体" w:eastAsia="楷体"/>
          <w:color w:val="000000"/>
          <w:sz w:val="24"/>
        </w:rPr>
        <w:t>17.3 在提交截止时间之后，投标人不得对其投标文件作任何修改或撤回。</w:t>
      </w:r>
    </w:p>
    <w:p w14:paraId="5FC3E9CC">
      <w:pPr>
        <w:pStyle w:val="6"/>
        <w:keepNext w:val="0"/>
        <w:keepLines w:val="0"/>
        <w:spacing w:before="0" w:after="0" w:line="360" w:lineRule="auto"/>
        <w:ind w:firstLine="480"/>
        <w:jc w:val="left"/>
        <w:rPr>
          <w:rFonts w:ascii="楷体" w:hAnsi="楷体" w:eastAsia="楷体"/>
          <w:b w:val="0"/>
          <w:color w:val="000000"/>
          <w:sz w:val="24"/>
          <w:szCs w:val="24"/>
        </w:rPr>
      </w:pPr>
      <w:r>
        <w:rPr>
          <w:rFonts w:hint="eastAsia" w:ascii="楷体" w:hAnsi="楷体" w:eastAsia="楷体"/>
          <w:b w:val="0"/>
          <w:color w:val="000000"/>
          <w:sz w:val="24"/>
          <w:szCs w:val="24"/>
        </w:rPr>
        <w:t>17.4 在提交截止时间至招标文件中规定的投标有效期满之间，投标人不得撤回其投标。</w:t>
      </w:r>
    </w:p>
    <w:p w14:paraId="33C43459">
      <w:pPr>
        <w:pStyle w:val="6"/>
        <w:keepNext w:val="0"/>
        <w:keepLines w:val="0"/>
        <w:spacing w:before="200" w:after="200" w:line="360" w:lineRule="auto"/>
        <w:ind w:firstLine="643"/>
        <w:jc w:val="center"/>
        <w:rPr>
          <w:rFonts w:ascii="楷体" w:hAnsi="楷体" w:eastAsia="楷体"/>
          <w:szCs w:val="32"/>
        </w:rPr>
      </w:pPr>
      <w:r>
        <w:rPr>
          <w:rFonts w:hint="eastAsia" w:ascii="楷体" w:hAnsi="楷体" w:eastAsia="楷体"/>
          <w:szCs w:val="32"/>
        </w:rPr>
        <w:t>五、开标及评标</w:t>
      </w:r>
    </w:p>
    <w:p w14:paraId="5B3E12D9">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18．开标</w:t>
      </w:r>
    </w:p>
    <w:p w14:paraId="04C4549A">
      <w:pPr>
        <w:spacing w:line="360" w:lineRule="auto"/>
        <w:ind w:left="1" w:firstLine="480"/>
        <w:rPr>
          <w:rFonts w:ascii="楷体" w:hAnsi="楷体" w:eastAsia="楷体"/>
          <w:color w:val="000000"/>
          <w:sz w:val="24"/>
        </w:rPr>
      </w:pPr>
      <w:r>
        <w:rPr>
          <w:rFonts w:hint="eastAsia" w:ascii="楷体" w:hAnsi="楷体" w:eastAsia="楷体"/>
          <w:color w:val="000000"/>
          <w:sz w:val="24"/>
        </w:rPr>
        <w:t>18.1 采购代理机构将按招标文件规定的时间、地点主持开标。</w:t>
      </w:r>
    </w:p>
    <w:p w14:paraId="123D2703">
      <w:pPr>
        <w:spacing w:line="360" w:lineRule="auto"/>
        <w:ind w:left="1" w:firstLine="480"/>
        <w:rPr>
          <w:rFonts w:ascii="楷体" w:hAnsi="楷体" w:eastAsia="楷体"/>
          <w:color w:val="000000"/>
          <w:sz w:val="24"/>
        </w:rPr>
      </w:pPr>
      <w:r>
        <w:rPr>
          <w:rFonts w:hint="eastAsia" w:ascii="楷体" w:hAnsi="楷体" w:eastAsia="楷体"/>
          <w:color w:val="000000"/>
          <w:sz w:val="24"/>
        </w:rPr>
        <w:t>18.2投标人应当在开标前做好充分准备，使用制作该投标文件的同一数字认证证书准时参加开标。</w:t>
      </w:r>
    </w:p>
    <w:p w14:paraId="68D4061A">
      <w:pPr>
        <w:spacing w:line="360" w:lineRule="auto"/>
        <w:ind w:left="1" w:firstLine="482"/>
        <w:rPr>
          <w:rFonts w:ascii="楷体" w:hAnsi="楷体" w:eastAsia="楷体"/>
          <w:b/>
          <w:color w:val="000000"/>
          <w:sz w:val="24"/>
        </w:rPr>
      </w:pPr>
      <w:r>
        <w:rPr>
          <w:rFonts w:hint="eastAsia" w:ascii="楷体" w:hAnsi="楷体" w:eastAsia="楷体"/>
          <w:b/>
          <w:color w:val="000000"/>
          <w:sz w:val="24"/>
        </w:rPr>
        <w:t>18.3 投标人不足3家，不进入解密程序。</w:t>
      </w:r>
    </w:p>
    <w:p w14:paraId="011C5921">
      <w:pPr>
        <w:spacing w:line="360" w:lineRule="auto"/>
        <w:ind w:left="1" w:firstLine="480"/>
        <w:rPr>
          <w:rFonts w:ascii="楷体" w:hAnsi="楷体" w:eastAsia="楷体"/>
          <w:sz w:val="24"/>
        </w:rPr>
      </w:pPr>
      <w:r>
        <w:rPr>
          <w:rFonts w:hint="eastAsia" w:ascii="楷体" w:hAnsi="楷体" w:eastAsia="楷体"/>
          <w:color w:val="000000"/>
          <w:sz w:val="24"/>
        </w:rPr>
        <w:t>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14:textFill>
            <w14:solidFill>
              <w14:schemeClr w14:val="accent1"/>
            </w14:solidFill>
          </w14:textFill>
        </w:rPr>
        <w:t>30</w:t>
      </w:r>
      <w:r>
        <w:rPr>
          <w:rFonts w:hint="eastAsia" w:ascii="楷体" w:hAnsi="楷体" w:eastAsia="楷体"/>
          <w:sz w:val="24"/>
        </w:rPr>
        <w:t>分钟内完成。解密时，投标人必须使用与制作投标文件时同一数字认证证书对投标文件进行解密，否则解密将会失败。</w:t>
      </w:r>
    </w:p>
    <w:p w14:paraId="160E8DE7">
      <w:pPr>
        <w:spacing w:line="360" w:lineRule="auto"/>
        <w:ind w:left="2" w:firstLine="480"/>
        <w:rPr>
          <w:rFonts w:ascii="楷体" w:hAnsi="楷体" w:eastAsia="楷体"/>
          <w:sz w:val="24"/>
        </w:rPr>
      </w:pPr>
      <w:r>
        <w:rPr>
          <w:rFonts w:hint="eastAsia" w:ascii="楷体" w:hAnsi="楷体" w:eastAsia="楷体"/>
          <w:color w:val="000000"/>
          <w:sz w:val="24"/>
        </w:rPr>
        <w:t>18.</w:t>
      </w:r>
      <w:r>
        <w:rPr>
          <w:rFonts w:hint="eastAsia" w:ascii="楷体" w:hAnsi="楷体" w:eastAsia="楷体"/>
          <w:sz w:val="24"/>
        </w:rPr>
        <w:t>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若解密成功的投标人不足三家，不进入后续程序。</w:t>
      </w:r>
    </w:p>
    <w:p w14:paraId="5C6B975E">
      <w:pPr>
        <w:spacing w:line="360" w:lineRule="auto"/>
        <w:ind w:left="1" w:firstLine="480"/>
        <w:rPr>
          <w:rFonts w:ascii="楷体" w:hAnsi="楷体" w:eastAsia="楷体"/>
          <w:sz w:val="24"/>
        </w:rPr>
      </w:pPr>
      <w:r>
        <w:rPr>
          <w:rFonts w:hint="eastAsia" w:ascii="楷体" w:hAnsi="楷体" w:eastAsia="楷体"/>
          <w:sz w:val="24"/>
        </w:rPr>
        <w:t>18.6本项目在限定的解密时间内，只要有任一家投标人解密成功，即视为电子交易平台运行无故障。</w:t>
      </w:r>
    </w:p>
    <w:p w14:paraId="70A9375A">
      <w:pPr>
        <w:spacing w:line="360" w:lineRule="auto"/>
        <w:ind w:left="1" w:firstLine="480"/>
        <w:rPr>
          <w:rFonts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电子投标文件解密全部完成后，按</w:t>
      </w:r>
      <w:r>
        <w:rPr>
          <w:rFonts w:hint="eastAsia" w:ascii="楷体" w:hAnsi="楷体" w:eastAsia="楷体"/>
          <w:b/>
          <w:sz w:val="24"/>
        </w:rPr>
        <w:t>投标文件解密成功顺序</w:t>
      </w:r>
      <w:r>
        <w:rPr>
          <w:rFonts w:hint="eastAsia" w:ascii="楷体" w:hAnsi="楷体" w:eastAsia="楷体"/>
          <w:sz w:val="24"/>
        </w:rPr>
        <w:t>向所有投标人宣布投标人名称、投标价格以及招标文件规定的其他内容。</w:t>
      </w:r>
    </w:p>
    <w:p w14:paraId="212A5772">
      <w:pPr>
        <w:spacing w:line="360" w:lineRule="auto"/>
        <w:ind w:left="1" w:firstLine="480"/>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电子交易平台自动记录开标过程，由参加开标的各投标人代表和相关工作人员确认开标结果。</w:t>
      </w:r>
    </w:p>
    <w:p w14:paraId="5124159B">
      <w:pPr>
        <w:spacing w:line="360" w:lineRule="auto"/>
        <w:ind w:left="1" w:firstLine="480"/>
        <w:rPr>
          <w:rFonts w:ascii="楷体" w:hAnsi="楷体" w:eastAsia="楷体"/>
          <w:sz w:val="24"/>
        </w:rPr>
      </w:pPr>
      <w:r>
        <w:rPr>
          <w:rFonts w:hint="eastAsia" w:ascii="楷体" w:hAnsi="楷体" w:eastAsia="楷体"/>
          <w:color w:val="000000"/>
          <w:sz w:val="24"/>
        </w:rPr>
        <w:t>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6" w:themeColor="accent5" w:themeShade="BF"/>
          <w:sz w:val="24"/>
        </w:rPr>
        <w:t>3分钟内线上提出</w:t>
      </w:r>
      <w:r>
        <w:rPr>
          <w:rFonts w:hint="eastAsia" w:ascii="楷体" w:hAnsi="楷体" w:eastAsia="楷体"/>
          <w:sz w:val="24"/>
        </w:rPr>
        <w:t>询问或者回避申请。采购人、采购代理机构将及时处理投标人代表提出的询问或者回避申请。如在规定时间内未提出，视同认可开标结果。</w:t>
      </w:r>
    </w:p>
    <w:p w14:paraId="3A98611A">
      <w:pPr>
        <w:spacing w:line="360" w:lineRule="auto"/>
        <w:ind w:left="1" w:firstLine="480"/>
        <w:rPr>
          <w:rFonts w:ascii="楷体" w:hAnsi="楷体" w:eastAsia="楷体"/>
          <w:sz w:val="24"/>
        </w:rPr>
      </w:pPr>
      <w:r>
        <w:rPr>
          <w:rFonts w:hint="eastAsia" w:ascii="楷体" w:hAnsi="楷体" w:eastAsia="楷体"/>
          <w:color w:val="000000"/>
          <w:sz w:val="24"/>
        </w:rPr>
        <w:t>18.10</w:t>
      </w:r>
      <w:r>
        <w:rPr>
          <w:rFonts w:hint="eastAsia" w:ascii="楷体" w:hAnsi="楷体" w:eastAsia="楷体"/>
          <w:sz w:val="24"/>
        </w:rPr>
        <w:t xml:space="preserve"> 投标人须配合开标工作，否则一切后果由投标人自行承担。</w:t>
      </w:r>
    </w:p>
    <w:p w14:paraId="1A553802">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19.投标人资格审查</w:t>
      </w:r>
    </w:p>
    <w:p w14:paraId="166CE7C7">
      <w:pPr>
        <w:pStyle w:val="9"/>
        <w:spacing w:line="360" w:lineRule="auto"/>
        <w:ind w:firstLine="480"/>
        <w:rPr>
          <w:rFonts w:ascii="楷体" w:hAnsi="楷体" w:eastAsia="楷体"/>
          <w:b/>
          <w:color w:val="000000"/>
          <w:sz w:val="24"/>
        </w:rPr>
      </w:pPr>
      <w:r>
        <w:rPr>
          <w:rFonts w:hint="eastAsia" w:ascii="楷体" w:hAnsi="楷体" w:eastAsia="楷体"/>
          <w:color w:val="000000"/>
          <w:sz w:val="24"/>
        </w:rPr>
        <w:t>19.1 开标结束后，采购人或者采购代理机构将依法对投标人的资格进行审查。</w:t>
      </w:r>
      <w:r>
        <w:rPr>
          <w:rFonts w:hint="eastAsia" w:ascii="楷体" w:hAnsi="楷体" w:eastAsia="楷体"/>
          <w:b/>
          <w:color w:val="000000"/>
          <w:sz w:val="24"/>
        </w:rPr>
        <w:t>合格投标人不足3家的，不进入后续程序。</w:t>
      </w:r>
    </w:p>
    <w:p w14:paraId="24C6EB84">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20．评标委员会组成</w:t>
      </w:r>
    </w:p>
    <w:p w14:paraId="5018D0FD">
      <w:pPr>
        <w:spacing w:line="360" w:lineRule="auto"/>
        <w:ind w:firstLine="480"/>
        <w:rPr>
          <w:rFonts w:ascii="楷体" w:hAnsi="楷体" w:eastAsia="楷体"/>
          <w:sz w:val="24"/>
        </w:rPr>
      </w:pPr>
      <w:r>
        <w:rPr>
          <w:rFonts w:hint="eastAsia" w:ascii="楷体" w:hAnsi="楷体" w:eastAsia="楷体"/>
          <w:sz w:val="24"/>
        </w:rPr>
        <w:t>20.1 评标委员会由采购人代表和评审专家组成，成员人数应当为5人以上单数，其中评审专家不得少于成员总数的三分之二。</w:t>
      </w:r>
    </w:p>
    <w:p w14:paraId="5A2BFCD4">
      <w:pPr>
        <w:spacing w:line="360" w:lineRule="auto"/>
        <w:ind w:firstLine="480"/>
        <w:rPr>
          <w:rFonts w:ascii="楷体" w:hAnsi="楷体" w:eastAsia="楷体"/>
          <w:sz w:val="24"/>
        </w:rPr>
      </w:pPr>
      <w:r>
        <w:rPr>
          <w:rFonts w:hint="eastAsia" w:ascii="楷体" w:hAnsi="楷体" w:eastAsia="楷体"/>
          <w:sz w:val="24"/>
        </w:rPr>
        <w:t>采购项目符合下列情形之一的，评标委员会成员人数应当为7人以上单数：</w:t>
      </w:r>
    </w:p>
    <w:p w14:paraId="470E96F3">
      <w:pPr>
        <w:spacing w:line="360" w:lineRule="auto"/>
        <w:ind w:firstLine="480"/>
        <w:rPr>
          <w:rFonts w:ascii="楷体" w:hAnsi="楷体" w:eastAsia="楷体"/>
          <w:sz w:val="24"/>
        </w:rPr>
      </w:pPr>
      <w:r>
        <w:rPr>
          <w:rFonts w:hint="eastAsia" w:ascii="楷体" w:hAnsi="楷体" w:eastAsia="楷体"/>
          <w:sz w:val="24"/>
        </w:rPr>
        <w:t>（一）采购预算金额在1000万元以上；</w:t>
      </w:r>
    </w:p>
    <w:p w14:paraId="162B35A5">
      <w:pPr>
        <w:spacing w:line="360" w:lineRule="auto"/>
        <w:ind w:firstLine="480"/>
        <w:rPr>
          <w:rFonts w:ascii="楷体" w:hAnsi="楷体" w:eastAsia="楷体"/>
          <w:sz w:val="24"/>
        </w:rPr>
      </w:pPr>
      <w:r>
        <w:rPr>
          <w:rFonts w:hint="eastAsia" w:ascii="楷体" w:hAnsi="楷体" w:eastAsia="楷体"/>
          <w:sz w:val="24"/>
        </w:rPr>
        <w:t>（二）技术复杂；</w:t>
      </w:r>
    </w:p>
    <w:p w14:paraId="57CDB95B">
      <w:pPr>
        <w:spacing w:line="360" w:lineRule="auto"/>
        <w:ind w:firstLine="480"/>
        <w:rPr>
          <w:rFonts w:ascii="楷体" w:hAnsi="楷体" w:eastAsia="楷体"/>
          <w:sz w:val="24"/>
        </w:rPr>
      </w:pPr>
      <w:r>
        <w:rPr>
          <w:rFonts w:hint="eastAsia" w:ascii="楷体" w:hAnsi="楷体" w:eastAsia="楷体"/>
          <w:sz w:val="24"/>
        </w:rPr>
        <w:t>（三）社会影响较大。</w:t>
      </w:r>
    </w:p>
    <w:p w14:paraId="6496423E">
      <w:pPr>
        <w:spacing w:line="360" w:lineRule="auto"/>
        <w:ind w:firstLine="480"/>
        <w:rPr>
          <w:rFonts w:ascii="楷体" w:hAnsi="楷体" w:eastAsia="楷体"/>
          <w:sz w:val="24"/>
        </w:rPr>
      </w:pPr>
      <w:r>
        <w:rPr>
          <w:rFonts w:hint="eastAsia" w:ascii="楷体" w:hAnsi="楷体" w:eastAsia="楷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07A3A943">
      <w:pPr>
        <w:spacing w:line="360" w:lineRule="auto"/>
        <w:ind w:firstLine="480"/>
        <w:rPr>
          <w:rFonts w:ascii="楷体" w:hAnsi="楷体" w:eastAsia="楷体"/>
          <w:color w:val="FF0000"/>
          <w:sz w:val="24"/>
        </w:rPr>
      </w:pPr>
      <w:r>
        <w:rPr>
          <w:rFonts w:hint="eastAsia" w:ascii="楷体" w:hAnsi="楷体" w:eastAsia="楷体"/>
          <w:sz w:val="24"/>
        </w:rPr>
        <w:t>评标委员会成员名单在评标结果公告前应当保密。</w:t>
      </w:r>
    </w:p>
    <w:p w14:paraId="000A5AB3">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21.投标人符合性审查</w:t>
      </w:r>
    </w:p>
    <w:p w14:paraId="34C5D046">
      <w:pPr>
        <w:pStyle w:val="9"/>
        <w:spacing w:line="360" w:lineRule="auto"/>
        <w:ind w:firstLine="480"/>
        <w:rPr>
          <w:rFonts w:ascii="楷体" w:hAnsi="楷体" w:eastAsia="楷体"/>
          <w:b/>
          <w:sz w:val="24"/>
        </w:rPr>
      </w:pPr>
      <w:r>
        <w:rPr>
          <w:rFonts w:hint="eastAsia" w:ascii="楷体" w:hAnsi="楷体" w:eastAsia="楷体"/>
          <w:sz w:val="24"/>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符合性审查合格投标人不足3家的，不进入详细评审环节。</w:t>
      </w:r>
    </w:p>
    <w:p w14:paraId="7238007E">
      <w:pPr>
        <w:pStyle w:val="6"/>
        <w:keepNext w:val="0"/>
        <w:keepLines w:val="0"/>
        <w:spacing w:before="0" w:after="0" w:line="360" w:lineRule="auto"/>
        <w:ind w:firstLine="480"/>
        <w:rPr>
          <w:rFonts w:ascii="楷体" w:hAnsi="楷体" w:eastAsia="楷体"/>
          <w:b w:val="0"/>
          <w:sz w:val="24"/>
          <w:szCs w:val="24"/>
        </w:rPr>
      </w:pPr>
      <w:r>
        <w:rPr>
          <w:rFonts w:hint="eastAsia" w:ascii="楷体" w:hAnsi="楷体" w:eastAsia="楷体"/>
          <w:b w:val="0"/>
          <w:sz w:val="24"/>
          <w:szCs w:val="24"/>
        </w:rPr>
        <w:t>21.2 投标文件澄清</w:t>
      </w:r>
    </w:p>
    <w:p w14:paraId="1606A9EF">
      <w:pPr>
        <w:spacing w:line="360" w:lineRule="auto"/>
        <w:ind w:firstLine="480"/>
        <w:rPr>
          <w:rFonts w:ascii="楷体" w:hAnsi="楷体" w:eastAsia="楷体"/>
          <w:sz w:val="24"/>
        </w:rPr>
      </w:pPr>
      <w:r>
        <w:rPr>
          <w:rFonts w:hint="eastAsia" w:ascii="楷体" w:hAnsi="楷体" w:eastAsia="楷体"/>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5C8917BD">
      <w:pPr>
        <w:spacing w:line="360" w:lineRule="auto"/>
        <w:ind w:firstLine="480"/>
        <w:rPr>
          <w:rFonts w:ascii="楷体" w:hAnsi="楷体" w:eastAsia="楷体"/>
          <w:sz w:val="24"/>
        </w:rPr>
      </w:pPr>
      <w:r>
        <w:rPr>
          <w:rFonts w:hint="eastAsia" w:ascii="楷体" w:hAnsi="楷体" w:eastAsia="楷体"/>
          <w:sz w:val="24"/>
        </w:rPr>
        <w:t>21.2.2投标人的澄清应登录电子交易平台进入“澄清事项”模块进行。</w:t>
      </w:r>
    </w:p>
    <w:p w14:paraId="5F290CB3">
      <w:pPr>
        <w:spacing w:line="360" w:lineRule="auto"/>
        <w:ind w:firstLine="480"/>
        <w:rPr>
          <w:rFonts w:ascii="楷体" w:hAnsi="楷体" w:eastAsia="楷体"/>
          <w:b/>
          <w:sz w:val="24"/>
        </w:rPr>
      </w:pPr>
      <w:r>
        <w:rPr>
          <w:rFonts w:hint="eastAsia" w:ascii="楷体" w:hAnsi="楷体" w:eastAsia="楷体"/>
          <w:sz w:val="24"/>
        </w:rPr>
        <w:t>21.3 开标至评标结束期间，投标人应保持系统在线，如因</w:t>
      </w:r>
      <w:r>
        <w:rPr>
          <w:rFonts w:hint="eastAsia" w:ascii="楷体" w:hAnsi="楷体" w:eastAsia="楷体"/>
          <w:b/>
          <w:bCs/>
          <w:sz w:val="24"/>
        </w:rPr>
        <w:t>投标人自身原因</w:t>
      </w:r>
      <w:r>
        <w:rPr>
          <w:rFonts w:hint="eastAsia" w:ascii="楷体" w:hAnsi="楷体" w:eastAsia="楷体"/>
          <w:b/>
          <w:sz w:val="24"/>
        </w:rPr>
        <w:t>未在规定时间内按评标委员会要求进行澄清、说明或者补正的，一切后果由投标人自行承担。</w:t>
      </w:r>
    </w:p>
    <w:p w14:paraId="5954D1D0">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22．无效投标的情形</w:t>
      </w:r>
    </w:p>
    <w:p w14:paraId="7BB00971">
      <w:pPr>
        <w:spacing w:line="360" w:lineRule="auto"/>
        <w:ind w:left="1" w:firstLine="480"/>
        <w:rPr>
          <w:rFonts w:ascii="楷体" w:hAnsi="楷体" w:eastAsia="楷体"/>
          <w:sz w:val="24"/>
        </w:rPr>
      </w:pPr>
      <w:r>
        <w:rPr>
          <w:rFonts w:hint="eastAsia" w:ascii="楷体" w:hAnsi="楷体" w:eastAsia="楷体"/>
          <w:sz w:val="24"/>
        </w:rPr>
        <w:t>22.1 投标人存在下列情况之一的，其投标无效：　</w:t>
      </w:r>
    </w:p>
    <w:p w14:paraId="70B9C17B">
      <w:pPr>
        <w:spacing w:line="360" w:lineRule="auto"/>
        <w:ind w:left="1" w:firstLine="482"/>
        <w:rPr>
          <w:rFonts w:hint="eastAsia" w:ascii="楷体" w:hAnsi="楷体" w:eastAsia="楷体"/>
          <w:b/>
          <w:sz w:val="24"/>
          <w:u w:val="single"/>
        </w:rPr>
      </w:pPr>
      <w:r>
        <w:rPr>
          <w:rFonts w:hint="eastAsia" w:ascii="楷体" w:hAnsi="楷体" w:eastAsia="楷体"/>
          <w:b/>
          <w:sz w:val="24"/>
          <w:u w:val="single"/>
        </w:rPr>
        <w:t>（1）投标文件未按招标文件要求进行有效签章的；</w:t>
      </w:r>
    </w:p>
    <w:p w14:paraId="71995EDE">
      <w:pPr>
        <w:spacing w:line="360" w:lineRule="auto"/>
        <w:ind w:left="1" w:firstLine="482"/>
        <w:rPr>
          <w:rFonts w:hint="eastAsia" w:ascii="楷体" w:hAnsi="楷体" w:eastAsia="楷体"/>
          <w:b/>
          <w:sz w:val="24"/>
          <w:u w:val="single"/>
        </w:rPr>
      </w:pPr>
      <w:r>
        <w:rPr>
          <w:rFonts w:hint="eastAsia" w:ascii="楷体" w:hAnsi="楷体" w:eastAsia="楷体"/>
          <w:b/>
          <w:sz w:val="24"/>
          <w:u w:val="single"/>
        </w:rPr>
        <w:t>（2）报价超过招标文件中规定的预算金额或最高限价的；</w:t>
      </w:r>
    </w:p>
    <w:p w14:paraId="130BD3CA">
      <w:pPr>
        <w:spacing w:line="360" w:lineRule="auto"/>
        <w:ind w:left="1" w:firstLine="482"/>
        <w:rPr>
          <w:rFonts w:hint="eastAsia" w:ascii="楷体" w:hAnsi="楷体" w:eastAsia="楷体"/>
          <w:b/>
          <w:sz w:val="24"/>
          <w:u w:val="single"/>
        </w:rPr>
      </w:pPr>
      <w:r>
        <w:rPr>
          <w:rFonts w:hint="eastAsia" w:ascii="楷体" w:hAnsi="楷体" w:eastAsia="楷体"/>
          <w:b/>
          <w:sz w:val="24"/>
          <w:u w:val="single"/>
        </w:rPr>
        <w:t>（3）采购人拟采购的产品属于政府强制采购的节能产品品目清单范围的，投标人未按招标文件要求提供国家确定的认证机构出具的、处于有效期之内的节能产品认证证书的；</w:t>
      </w:r>
    </w:p>
    <w:p w14:paraId="35EC23A1">
      <w:pPr>
        <w:spacing w:line="360" w:lineRule="auto"/>
        <w:ind w:left="1" w:firstLine="482"/>
        <w:rPr>
          <w:rFonts w:hint="eastAsia" w:ascii="楷体" w:hAnsi="楷体" w:eastAsia="楷体"/>
          <w:b/>
          <w:sz w:val="24"/>
          <w:u w:val="single"/>
        </w:rPr>
      </w:pPr>
      <w:r>
        <w:rPr>
          <w:rFonts w:hint="eastAsia" w:ascii="楷体" w:hAnsi="楷体" w:eastAsia="楷体"/>
          <w:b/>
          <w:sz w:val="24"/>
          <w:u w:val="single"/>
        </w:rPr>
        <w:t>（4）投标文件含有采购人不能接受的附加条件的;</w:t>
      </w:r>
    </w:p>
    <w:p w14:paraId="0ADD7902">
      <w:pPr>
        <w:spacing w:line="360" w:lineRule="auto"/>
        <w:ind w:left="1" w:firstLine="482"/>
        <w:rPr>
          <w:rFonts w:hint="eastAsia" w:ascii="楷体" w:hAnsi="楷体" w:eastAsia="楷体"/>
          <w:b/>
          <w:sz w:val="24"/>
          <w:u w:val="single"/>
        </w:rPr>
      </w:pPr>
      <w:r>
        <w:rPr>
          <w:rFonts w:hint="eastAsia" w:ascii="楷体" w:hAnsi="楷体" w:eastAsia="楷体"/>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761FAB34">
      <w:pPr>
        <w:spacing w:line="360" w:lineRule="auto"/>
        <w:ind w:left="1" w:firstLine="482"/>
        <w:rPr>
          <w:rFonts w:hint="eastAsia" w:ascii="楷体" w:hAnsi="楷体" w:eastAsia="楷体"/>
          <w:b/>
          <w:sz w:val="24"/>
          <w:u w:val="single"/>
        </w:rPr>
      </w:pPr>
      <w:r>
        <w:rPr>
          <w:rFonts w:hint="eastAsia" w:ascii="楷体" w:hAnsi="楷体" w:eastAsia="楷体"/>
          <w:b/>
          <w:sz w:val="24"/>
          <w:u w:val="single"/>
        </w:rPr>
        <w:t>（6）投标人对根据修正原则修正后的报价不确认的；</w:t>
      </w:r>
    </w:p>
    <w:p w14:paraId="6C16E371">
      <w:pPr>
        <w:spacing w:line="360" w:lineRule="auto"/>
        <w:ind w:left="1" w:firstLine="482"/>
        <w:rPr>
          <w:rFonts w:hint="eastAsia" w:ascii="楷体" w:hAnsi="楷体" w:eastAsia="楷体"/>
          <w:b/>
          <w:sz w:val="24"/>
          <w:u w:val="single"/>
        </w:rPr>
      </w:pPr>
      <w:r>
        <w:rPr>
          <w:rFonts w:hint="eastAsia" w:ascii="楷体" w:hAnsi="楷体" w:eastAsia="楷体"/>
          <w:b/>
          <w:sz w:val="24"/>
          <w:u w:val="single"/>
        </w:rPr>
        <w:t>（7）投标文件中提供了虚假或失实资料的；</w:t>
      </w:r>
    </w:p>
    <w:p w14:paraId="4A1C4903">
      <w:pPr>
        <w:spacing w:line="360" w:lineRule="auto"/>
        <w:ind w:left="1" w:firstLine="482"/>
        <w:rPr>
          <w:rFonts w:hint="eastAsia" w:ascii="楷体" w:hAnsi="楷体" w:eastAsia="楷体"/>
          <w:b/>
          <w:sz w:val="24"/>
          <w:u w:val="single"/>
        </w:rPr>
      </w:pPr>
      <w:r>
        <w:rPr>
          <w:rFonts w:hint="eastAsia" w:ascii="楷体" w:hAnsi="楷体" w:eastAsia="楷体"/>
          <w:b/>
          <w:sz w:val="24"/>
          <w:u w:val="single"/>
        </w:rPr>
        <w:t>（8）不同投标人的电子投标文件出自同一台电脑；</w:t>
      </w:r>
    </w:p>
    <w:p w14:paraId="7EA9370C">
      <w:pPr>
        <w:spacing w:line="360" w:lineRule="auto"/>
        <w:ind w:left="1" w:firstLine="482"/>
        <w:rPr>
          <w:rFonts w:hint="eastAsia" w:ascii="楷体" w:hAnsi="楷体" w:eastAsia="楷体"/>
          <w:b/>
          <w:sz w:val="24"/>
          <w:u w:val="single"/>
        </w:rPr>
      </w:pPr>
      <w:r>
        <w:rPr>
          <w:rFonts w:hint="eastAsia" w:ascii="楷体" w:hAnsi="楷体" w:eastAsia="楷体"/>
          <w:b/>
          <w:sz w:val="24"/>
          <w:u w:val="single"/>
        </w:rPr>
        <w:t>（9）投标人存在串通投标情形的；</w:t>
      </w:r>
    </w:p>
    <w:p w14:paraId="40DB3EFD">
      <w:pPr>
        <w:spacing w:line="360" w:lineRule="auto"/>
        <w:ind w:left="1" w:firstLine="482"/>
        <w:rPr>
          <w:rFonts w:hint="eastAsia" w:ascii="楷体" w:hAnsi="楷体" w:eastAsia="楷体"/>
          <w:b/>
          <w:sz w:val="24"/>
          <w:u w:val="single"/>
        </w:rPr>
      </w:pPr>
      <w:r>
        <w:rPr>
          <w:rFonts w:hint="eastAsia" w:ascii="楷体" w:hAnsi="楷体" w:eastAsia="楷体"/>
          <w:b/>
          <w:sz w:val="24"/>
          <w:u w:val="single"/>
        </w:rPr>
        <w:t>（10）为本项目提供整体设计、规范编制或者项目管理、监理、检测等服务的；</w:t>
      </w:r>
    </w:p>
    <w:p w14:paraId="4DCA58F8">
      <w:pPr>
        <w:spacing w:line="360" w:lineRule="auto"/>
        <w:ind w:left="1" w:firstLine="482"/>
        <w:rPr>
          <w:rFonts w:hint="eastAsia" w:ascii="楷体" w:hAnsi="楷体" w:eastAsia="楷体"/>
          <w:b/>
          <w:sz w:val="24"/>
          <w:u w:val="single"/>
        </w:rPr>
      </w:pPr>
      <w:r>
        <w:rPr>
          <w:rFonts w:hint="eastAsia" w:ascii="楷体" w:hAnsi="楷体" w:eastAsia="楷体"/>
          <w:b/>
          <w:sz w:val="24"/>
          <w:u w:val="single"/>
        </w:rPr>
        <w:t>（11）不同投标人的法定代表人或单位负责人为同一个人或者存在直接控股、管理关系的；</w:t>
      </w:r>
    </w:p>
    <w:p w14:paraId="0E32AB57">
      <w:pPr>
        <w:spacing w:line="360" w:lineRule="auto"/>
        <w:ind w:left="1" w:firstLine="482"/>
        <w:rPr>
          <w:rFonts w:hint="eastAsia" w:ascii="楷体" w:hAnsi="楷体" w:eastAsia="楷体"/>
          <w:b/>
          <w:sz w:val="24"/>
          <w:u w:val="single"/>
        </w:rPr>
      </w:pPr>
      <w:r>
        <w:rPr>
          <w:rFonts w:hint="eastAsia" w:ascii="楷体" w:hAnsi="楷体" w:eastAsia="楷体"/>
          <w:b/>
          <w:sz w:val="24"/>
          <w:u w:val="single"/>
        </w:rPr>
        <w:t>（1</w:t>
      </w:r>
      <w:r>
        <w:rPr>
          <w:rFonts w:hint="eastAsia" w:ascii="楷体" w:hAnsi="楷体" w:eastAsia="楷体"/>
          <w:b/>
          <w:sz w:val="24"/>
          <w:u w:val="single"/>
          <w:lang w:val="en-US" w:eastAsia="zh-CN"/>
        </w:rPr>
        <w:t>2</w:t>
      </w:r>
      <w:r>
        <w:rPr>
          <w:rFonts w:hint="eastAsia" w:ascii="楷体" w:hAnsi="楷体" w:eastAsia="楷体"/>
          <w:b/>
          <w:sz w:val="24"/>
          <w:u w:val="single"/>
          <w:lang w:eastAsia="zh-CN"/>
        </w:rPr>
        <w:t>）</w:t>
      </w:r>
      <w:r>
        <w:rPr>
          <w:rFonts w:hint="eastAsia" w:ascii="楷体" w:hAnsi="楷体" w:eastAsia="楷体"/>
          <w:b/>
          <w:sz w:val="24"/>
          <w:u w:val="single"/>
        </w:rPr>
        <w:t>投标文件不满足招标文件的其它实质性要求的；</w:t>
      </w:r>
    </w:p>
    <w:p w14:paraId="1340C7D0">
      <w:pPr>
        <w:spacing w:line="360" w:lineRule="auto"/>
        <w:ind w:left="1" w:firstLine="482"/>
        <w:rPr>
          <w:rFonts w:hint="eastAsia" w:ascii="楷体" w:hAnsi="楷体" w:eastAsia="楷体"/>
          <w:b/>
          <w:sz w:val="24"/>
          <w:u w:val="single"/>
          <w:lang w:eastAsia="zh-CN"/>
        </w:rPr>
      </w:pPr>
      <w:r>
        <w:rPr>
          <w:rFonts w:hint="eastAsia" w:ascii="楷体" w:hAnsi="楷体" w:eastAsia="楷体"/>
          <w:b/>
          <w:sz w:val="24"/>
          <w:u w:val="single"/>
        </w:rPr>
        <w:t>（1</w:t>
      </w:r>
      <w:r>
        <w:rPr>
          <w:rFonts w:hint="eastAsia" w:ascii="楷体" w:hAnsi="楷体" w:eastAsia="楷体"/>
          <w:b/>
          <w:sz w:val="24"/>
          <w:u w:val="single"/>
          <w:lang w:val="en-US" w:eastAsia="zh-CN"/>
        </w:rPr>
        <w:t>3</w:t>
      </w:r>
      <w:r>
        <w:rPr>
          <w:rFonts w:hint="eastAsia" w:ascii="楷体" w:hAnsi="楷体" w:eastAsia="楷体"/>
          <w:b/>
          <w:sz w:val="24"/>
          <w:u w:val="single"/>
        </w:rPr>
        <w:t>）加</w:t>
      </w:r>
      <w:r>
        <w:rPr>
          <w:rFonts w:hint="eastAsia" w:ascii="楷体" w:hAnsi="楷体" w:eastAsia="楷体"/>
          <w:b/>
          <w:sz w:val="24"/>
          <w:u w:val="single"/>
          <w:lang w:eastAsia="zh-CN"/>
        </w:rPr>
        <w:t>“</w:t>
      </w:r>
      <w:r>
        <w:rPr>
          <w:rFonts w:hint="eastAsia" w:ascii="楷体" w:hAnsi="楷体" w:eastAsia="楷体"/>
          <w:b/>
          <w:sz w:val="24"/>
          <w:u w:val="single"/>
        </w:rPr>
        <w:t>★</w:t>
      </w:r>
      <w:r>
        <w:rPr>
          <w:rFonts w:hint="eastAsia" w:ascii="楷体" w:hAnsi="楷体" w:eastAsia="楷体"/>
          <w:b/>
          <w:sz w:val="24"/>
          <w:u w:val="single"/>
          <w:lang w:eastAsia="zh-CN"/>
        </w:rPr>
        <w:t>”</w:t>
      </w:r>
      <w:r>
        <w:rPr>
          <w:rFonts w:hint="eastAsia" w:ascii="楷体" w:hAnsi="楷体" w:eastAsia="楷体"/>
          <w:b/>
          <w:sz w:val="24"/>
          <w:u w:val="single"/>
        </w:rPr>
        <w:t>项有负偏离的</w:t>
      </w:r>
      <w:r>
        <w:rPr>
          <w:rFonts w:hint="eastAsia" w:ascii="楷体" w:hAnsi="楷体" w:eastAsia="楷体"/>
          <w:b/>
          <w:sz w:val="24"/>
          <w:u w:val="single"/>
          <w:lang w:eastAsia="zh-CN"/>
        </w:rPr>
        <w:t>或服务要求承诺有负偏离的；</w:t>
      </w:r>
    </w:p>
    <w:p w14:paraId="26B68CBB">
      <w:pPr>
        <w:spacing w:line="360" w:lineRule="auto"/>
        <w:ind w:left="1" w:firstLine="482"/>
        <w:rPr>
          <w:rFonts w:ascii="楷体" w:hAnsi="楷体" w:eastAsia="楷体"/>
          <w:b/>
          <w:sz w:val="24"/>
          <w:u w:val="single"/>
        </w:rPr>
      </w:pPr>
      <w:r>
        <w:rPr>
          <w:rFonts w:hint="eastAsia" w:ascii="楷体" w:hAnsi="楷体" w:eastAsia="楷体"/>
          <w:b/>
          <w:sz w:val="24"/>
          <w:u w:val="single"/>
        </w:rPr>
        <w:t>（1</w:t>
      </w:r>
      <w:r>
        <w:rPr>
          <w:rFonts w:hint="eastAsia" w:ascii="楷体" w:hAnsi="楷体" w:eastAsia="楷体"/>
          <w:b/>
          <w:sz w:val="24"/>
          <w:u w:val="single"/>
          <w:lang w:val="en-US" w:eastAsia="zh-CN"/>
        </w:rPr>
        <w:t>4</w:t>
      </w:r>
      <w:r>
        <w:rPr>
          <w:rFonts w:hint="eastAsia" w:ascii="楷体" w:hAnsi="楷体" w:eastAsia="楷体"/>
          <w:b/>
          <w:sz w:val="24"/>
          <w:u w:val="single"/>
        </w:rPr>
        <w:t>）法律、法规、规章（适用本市的）及省级以上规范性文件（适用本市的）规定的其他无效情形。</w:t>
      </w:r>
    </w:p>
    <w:p w14:paraId="6BEF9D29">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23. 串通投标的情形</w:t>
      </w:r>
    </w:p>
    <w:p w14:paraId="5DF2F447">
      <w:pPr>
        <w:spacing w:line="360" w:lineRule="auto"/>
        <w:ind w:firstLine="480"/>
        <w:rPr>
          <w:rFonts w:ascii="楷体" w:hAnsi="楷体" w:eastAsia="楷体"/>
          <w:sz w:val="24"/>
        </w:rPr>
      </w:pPr>
      <w:r>
        <w:rPr>
          <w:rFonts w:hint="eastAsia" w:ascii="楷体" w:hAnsi="楷体" w:eastAsia="楷体"/>
          <w:sz w:val="24"/>
        </w:rPr>
        <w:t>23.1 有下列情形之一的，视为投标人串通投标，投标无效：</w:t>
      </w:r>
    </w:p>
    <w:p w14:paraId="125A1A9B">
      <w:pPr>
        <w:spacing w:line="360" w:lineRule="auto"/>
        <w:ind w:firstLine="480"/>
        <w:rPr>
          <w:rFonts w:ascii="楷体" w:hAnsi="楷体" w:eastAsia="楷体"/>
          <w:sz w:val="24"/>
        </w:rPr>
      </w:pPr>
      <w:r>
        <w:rPr>
          <w:rFonts w:hint="eastAsia" w:ascii="楷体" w:hAnsi="楷体" w:eastAsia="楷体"/>
          <w:sz w:val="24"/>
        </w:rPr>
        <w:t>（1）不同投标人的投标文件由同一单位或者个人编制；</w:t>
      </w:r>
      <w:r>
        <w:rPr>
          <w:rFonts w:ascii="楷体" w:hAnsi="楷体" w:eastAsia="楷体"/>
          <w:sz w:val="24"/>
        </w:rPr>
        <w:t xml:space="preserve"> </w:t>
      </w:r>
    </w:p>
    <w:p w14:paraId="553A0FAE">
      <w:pPr>
        <w:spacing w:line="360" w:lineRule="auto"/>
        <w:ind w:firstLine="480"/>
        <w:rPr>
          <w:rFonts w:ascii="楷体" w:hAnsi="楷体" w:eastAsia="楷体"/>
          <w:sz w:val="24"/>
        </w:rPr>
      </w:pPr>
      <w:r>
        <w:rPr>
          <w:rFonts w:hint="eastAsia" w:ascii="楷体" w:hAnsi="楷体" w:eastAsia="楷体"/>
          <w:sz w:val="24"/>
        </w:rPr>
        <w:t>（2）不同投标人委托同一单位或者个人办理投标事宜；</w:t>
      </w:r>
    </w:p>
    <w:p w14:paraId="51E7D7E8">
      <w:pPr>
        <w:spacing w:line="360" w:lineRule="auto"/>
        <w:ind w:firstLine="480"/>
        <w:rPr>
          <w:rFonts w:ascii="楷体" w:hAnsi="楷体" w:eastAsia="楷体"/>
          <w:sz w:val="24"/>
        </w:rPr>
      </w:pPr>
      <w:r>
        <w:rPr>
          <w:rFonts w:hint="eastAsia" w:ascii="楷体" w:hAnsi="楷体" w:eastAsia="楷体"/>
          <w:sz w:val="24"/>
        </w:rPr>
        <w:t>（3）不同投标人的投标文件载明的项目管理成员或者联系人员为同一人；</w:t>
      </w:r>
    </w:p>
    <w:p w14:paraId="2461FD8A">
      <w:pPr>
        <w:spacing w:line="360" w:lineRule="auto"/>
        <w:ind w:firstLine="480"/>
        <w:rPr>
          <w:rFonts w:ascii="楷体" w:hAnsi="楷体" w:eastAsia="楷体"/>
          <w:sz w:val="24"/>
        </w:rPr>
      </w:pPr>
      <w:r>
        <w:rPr>
          <w:rFonts w:hint="eastAsia" w:ascii="楷体" w:hAnsi="楷体" w:eastAsia="楷体"/>
          <w:sz w:val="24"/>
        </w:rPr>
        <w:t>（4）不同投标人的投标文件异常一致或者投标报价呈规律性差异；</w:t>
      </w:r>
    </w:p>
    <w:p w14:paraId="5217F784">
      <w:pPr>
        <w:spacing w:line="360" w:lineRule="auto"/>
        <w:ind w:firstLine="480"/>
      </w:pPr>
      <w:r>
        <w:rPr>
          <w:rFonts w:hint="eastAsia" w:ascii="楷体" w:hAnsi="楷体" w:eastAsia="楷体"/>
          <w:sz w:val="24"/>
        </w:rPr>
        <w:t>（5）不同投标人的投标文件相互混装。</w:t>
      </w:r>
    </w:p>
    <w:p w14:paraId="2B09743D">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24.投标文件详细评审</w:t>
      </w:r>
    </w:p>
    <w:p w14:paraId="48DEB2E1">
      <w:pPr>
        <w:pStyle w:val="9"/>
        <w:spacing w:line="360" w:lineRule="auto"/>
        <w:ind w:firstLine="480"/>
      </w:pPr>
      <w:r>
        <w:rPr>
          <w:rFonts w:hint="eastAsia" w:ascii="楷体" w:hAnsi="楷体" w:eastAsia="楷体"/>
          <w:sz w:val="24"/>
        </w:rPr>
        <w:t>24.1 评标委员会将按照招标文件第五部分“评标办法和标准”第8项规定，对符合性审查合格的投标文件进行商务、技术和价格评估，综合比较与评价。</w:t>
      </w:r>
    </w:p>
    <w:p w14:paraId="4585F1B4">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25.评标过程的保密</w:t>
      </w:r>
    </w:p>
    <w:p w14:paraId="32D08A8E">
      <w:pPr>
        <w:spacing w:line="360" w:lineRule="auto"/>
        <w:ind w:left="1" w:firstLine="480"/>
        <w:rPr>
          <w:rFonts w:ascii="楷体" w:hAnsi="楷体" w:eastAsia="楷体"/>
          <w:sz w:val="24"/>
        </w:rPr>
      </w:pPr>
      <w:r>
        <w:rPr>
          <w:rFonts w:hint="eastAsia" w:ascii="楷体" w:hAnsi="楷体" w:eastAsia="楷体"/>
          <w:sz w:val="24"/>
        </w:rPr>
        <w:t>25.1 在评标过程中，如果投标人试图在投标文件审查、澄清、比较及授标建议等方面向采购人、采购代理机构或参加评标的人员施加任何影响，都将会导致其投标无效。</w:t>
      </w:r>
    </w:p>
    <w:p w14:paraId="46B9253A">
      <w:pPr>
        <w:spacing w:line="360" w:lineRule="auto"/>
        <w:ind w:left="1" w:firstLine="480"/>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8996893">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26．废标的情形</w:t>
      </w:r>
    </w:p>
    <w:p w14:paraId="348DE7DF">
      <w:pPr>
        <w:spacing w:line="360" w:lineRule="auto"/>
        <w:ind w:left="1" w:firstLine="480"/>
        <w:rPr>
          <w:rFonts w:ascii="楷体" w:hAnsi="楷体" w:eastAsia="楷体"/>
          <w:color w:val="000000"/>
          <w:sz w:val="24"/>
        </w:rPr>
      </w:pPr>
      <w:r>
        <w:rPr>
          <w:rFonts w:hint="eastAsia" w:ascii="楷体" w:hAnsi="楷体" w:eastAsia="楷体"/>
          <w:color w:val="000000"/>
          <w:sz w:val="24"/>
        </w:rPr>
        <w:t>26.1 出现下列情形之一的，将予废标：</w:t>
      </w:r>
    </w:p>
    <w:p w14:paraId="349119D6">
      <w:pPr>
        <w:spacing w:line="360" w:lineRule="auto"/>
        <w:ind w:left="1" w:firstLine="480"/>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p>
    <w:p w14:paraId="420CA566">
      <w:pPr>
        <w:spacing w:line="360" w:lineRule="auto"/>
        <w:ind w:left="1" w:firstLine="480"/>
        <w:rPr>
          <w:rFonts w:ascii="楷体" w:hAnsi="楷体" w:eastAsia="楷体"/>
          <w:color w:val="000000"/>
          <w:sz w:val="24"/>
        </w:rPr>
      </w:pPr>
      <w:r>
        <w:rPr>
          <w:rFonts w:hint="eastAsia" w:ascii="楷体" w:hAnsi="楷体" w:eastAsia="楷体"/>
          <w:color w:val="000000"/>
          <w:sz w:val="24"/>
        </w:rPr>
        <w:t xml:space="preserve">（2）出现影响采购公正的违法、违规行为的；  </w:t>
      </w:r>
    </w:p>
    <w:p w14:paraId="67D246EE">
      <w:pPr>
        <w:spacing w:line="360" w:lineRule="auto"/>
        <w:ind w:left="1" w:firstLine="480"/>
        <w:rPr>
          <w:rFonts w:ascii="楷体" w:hAnsi="楷体" w:eastAsia="楷体"/>
          <w:color w:val="000000"/>
          <w:sz w:val="24"/>
        </w:rPr>
      </w:pPr>
      <w:r>
        <w:rPr>
          <w:rFonts w:hint="eastAsia" w:ascii="楷体" w:hAnsi="楷体" w:eastAsia="楷体"/>
          <w:color w:val="000000"/>
          <w:sz w:val="24"/>
        </w:rPr>
        <w:t>（3）投标人的报价均超过了采购预算，采购人不能支付的；</w:t>
      </w:r>
    </w:p>
    <w:p w14:paraId="6936F8EB">
      <w:pPr>
        <w:spacing w:line="360" w:lineRule="auto"/>
        <w:ind w:left="1" w:firstLine="480"/>
        <w:rPr>
          <w:rFonts w:ascii="楷体" w:hAnsi="楷体" w:eastAsia="楷体"/>
          <w:color w:val="000000"/>
          <w:sz w:val="24"/>
        </w:rPr>
      </w:pPr>
      <w:r>
        <w:rPr>
          <w:rFonts w:hint="eastAsia" w:ascii="楷体" w:hAnsi="楷体" w:eastAsia="楷体"/>
          <w:color w:val="000000"/>
          <w:sz w:val="24"/>
        </w:rPr>
        <w:t xml:space="preserve">（4）因重大变故，采购任务取消的； </w:t>
      </w:r>
    </w:p>
    <w:p w14:paraId="7CE2C411">
      <w:pPr>
        <w:spacing w:line="360" w:lineRule="auto"/>
        <w:ind w:firstLine="480"/>
        <w:rPr>
          <w:rFonts w:ascii="楷体" w:hAnsi="楷体" w:eastAsia="楷体"/>
          <w:color w:val="000000"/>
          <w:sz w:val="24"/>
        </w:rPr>
      </w:pPr>
      <w:r>
        <w:rPr>
          <w:rFonts w:hint="eastAsia" w:ascii="楷体" w:hAnsi="楷体" w:eastAsia="楷体"/>
          <w:color w:val="000000"/>
          <w:sz w:val="24"/>
        </w:rPr>
        <w:t>废标后，采购人应当将废标理由通知所有投标人。</w:t>
      </w:r>
    </w:p>
    <w:p w14:paraId="6E193220">
      <w:pPr>
        <w:pStyle w:val="6"/>
        <w:keepNext w:val="0"/>
        <w:keepLines w:val="0"/>
        <w:spacing w:before="200" w:after="200" w:line="360" w:lineRule="auto"/>
        <w:jc w:val="center"/>
        <w:rPr>
          <w:rFonts w:ascii="楷体" w:hAnsi="楷体" w:eastAsia="楷体"/>
        </w:rPr>
      </w:pPr>
      <w:r>
        <w:rPr>
          <w:rFonts w:hint="eastAsia" w:ascii="楷体" w:hAnsi="楷体" w:eastAsia="楷体"/>
        </w:rPr>
        <w:t>六、确定结果</w:t>
      </w:r>
    </w:p>
    <w:p w14:paraId="7BDA8B4E">
      <w:pPr>
        <w:spacing w:line="360" w:lineRule="auto"/>
        <w:ind w:firstLine="446"/>
        <w:rPr>
          <w:rFonts w:ascii="楷体" w:hAnsi="楷体" w:eastAsia="楷体"/>
          <w:b/>
          <w:bCs/>
          <w:sz w:val="30"/>
          <w:szCs w:val="32"/>
        </w:rPr>
      </w:pPr>
      <w:r>
        <w:rPr>
          <w:rFonts w:hint="eastAsia" w:ascii="楷体" w:hAnsi="楷体" w:eastAsia="楷体"/>
          <w:b/>
          <w:bCs/>
          <w:sz w:val="30"/>
          <w:szCs w:val="32"/>
        </w:rPr>
        <w:t>27.确定中标人</w:t>
      </w:r>
    </w:p>
    <w:p w14:paraId="29D40E66">
      <w:pPr>
        <w:spacing w:line="360" w:lineRule="auto"/>
        <w:ind w:firstLine="480"/>
        <w:rPr>
          <w:rFonts w:ascii="楷体" w:hAnsi="楷体" w:eastAsia="楷体"/>
          <w:sz w:val="24"/>
        </w:rPr>
      </w:pPr>
      <w:r>
        <w:rPr>
          <w:rFonts w:hint="eastAsia" w:ascii="楷体" w:hAnsi="楷体" w:eastAsia="楷体"/>
          <w:sz w:val="24"/>
        </w:rPr>
        <w:t>27.1采购代理机构在评标结束后2个工作日内将评标报告送采购人。</w:t>
      </w:r>
    </w:p>
    <w:p w14:paraId="2D121362">
      <w:pPr>
        <w:spacing w:line="360" w:lineRule="auto"/>
        <w:ind w:firstLine="480"/>
        <w:rPr>
          <w:rFonts w:ascii="楷体" w:hAnsi="楷体" w:eastAsia="楷体"/>
          <w:sz w:val="24"/>
        </w:rPr>
      </w:pPr>
      <w:bookmarkStart w:id="75" w:name="_Hlk132702541"/>
      <w:bookmarkStart w:id="76" w:name="_Hlk132702790"/>
      <w:r>
        <w:rPr>
          <w:rFonts w:hint="eastAsia" w:ascii="楷体" w:hAnsi="楷体" w:eastAsia="楷体"/>
          <w:sz w:val="24"/>
        </w:rPr>
        <w:t>27.</w:t>
      </w:r>
      <w:bookmarkEnd w:id="75"/>
      <w:r>
        <w:rPr>
          <w:rFonts w:hint="eastAsia" w:ascii="楷体" w:hAnsi="楷体" w:eastAsia="楷体"/>
          <w:sz w:val="24"/>
        </w:rPr>
        <w:t>2</w:t>
      </w:r>
      <w:bookmarkEnd w:id="76"/>
      <w:r>
        <w:rPr>
          <w:rFonts w:hint="eastAsia" w:ascii="楷体" w:hAnsi="楷体" w:eastAsia="楷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52A6DD4F">
      <w:pPr>
        <w:pStyle w:val="6"/>
        <w:keepNext w:val="0"/>
        <w:keepLines w:val="0"/>
        <w:spacing w:before="200" w:after="200" w:line="360" w:lineRule="auto"/>
        <w:ind w:firstLine="643"/>
        <w:jc w:val="center"/>
        <w:rPr>
          <w:rFonts w:ascii="楷体" w:hAnsi="楷体" w:eastAsia="楷体"/>
          <w:szCs w:val="32"/>
        </w:rPr>
      </w:pPr>
      <w:r>
        <w:rPr>
          <w:rFonts w:hint="eastAsia" w:ascii="楷体" w:hAnsi="楷体" w:eastAsia="楷体"/>
          <w:szCs w:val="32"/>
        </w:rPr>
        <w:t>七、授予合同</w:t>
      </w:r>
    </w:p>
    <w:p w14:paraId="45567FC4">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28．中标通知书</w:t>
      </w:r>
    </w:p>
    <w:p w14:paraId="693DB0A7">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28.1 自中标人确定之日起2个工作日内，采购代理机构向中标人发出中标通知书，同时编制发布采购结果公告。</w:t>
      </w:r>
    </w:p>
    <w:p w14:paraId="2196064E">
      <w:pPr>
        <w:pStyle w:val="6"/>
        <w:keepNext w:val="0"/>
        <w:keepLines w:val="0"/>
        <w:spacing w:before="200" w:after="200" w:line="360" w:lineRule="auto"/>
        <w:ind w:firstLine="355"/>
        <w:rPr>
          <w:rFonts w:ascii="楷体" w:hAnsi="楷体" w:eastAsia="楷体"/>
          <w:sz w:val="30"/>
          <w:szCs w:val="30"/>
        </w:rPr>
      </w:pPr>
      <w:r>
        <w:rPr>
          <w:rFonts w:hint="eastAsia" w:ascii="楷体" w:hAnsi="楷体" w:eastAsia="楷体"/>
          <w:b w:val="0"/>
          <w:sz w:val="24"/>
        </w:rPr>
        <w:t>28.2中标通知书发出后，采购人不得违法改变中标结果，中标人无正当理由不得放弃中标。</w:t>
      </w:r>
    </w:p>
    <w:p w14:paraId="4BDD671D">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29.履约保证金</w:t>
      </w:r>
    </w:p>
    <w:p w14:paraId="48EDA5D6">
      <w:pPr>
        <w:pStyle w:val="6"/>
        <w:keepNext w:val="0"/>
        <w:keepLines w:val="0"/>
        <w:spacing w:before="0" w:after="0" w:line="360" w:lineRule="auto"/>
        <w:ind w:firstLine="470"/>
        <w:rPr>
          <w:rFonts w:ascii="楷体" w:hAnsi="楷体" w:eastAsia="楷体"/>
          <w:b w:val="0"/>
          <w:sz w:val="24"/>
        </w:rPr>
      </w:pPr>
      <w:bookmarkStart w:id="77" w:name="_Hlk176794203"/>
      <w:r>
        <w:rPr>
          <w:rFonts w:ascii="楷体" w:hAnsi="楷体" w:eastAsia="楷体"/>
          <w:b w:val="0"/>
          <w:sz w:val="24"/>
        </w:rPr>
        <w:t>29.1</w:t>
      </w:r>
      <w:r>
        <w:rPr>
          <w:rFonts w:hint="eastAsia" w:ascii="楷体" w:hAnsi="楷体" w:eastAsia="楷体"/>
          <w:b w:val="0"/>
          <w:sz w:val="24"/>
          <w:lang w:eastAsia="zh-CN"/>
        </w:rPr>
        <w:t>☑</w:t>
      </w:r>
      <w:r>
        <w:rPr>
          <w:rFonts w:hint="eastAsia" w:ascii="楷体" w:hAnsi="楷体" w:eastAsia="楷体"/>
          <w:b w:val="0"/>
          <w:sz w:val="24"/>
        </w:rPr>
        <w:t>本项目不收取履约保证金。</w:t>
      </w:r>
    </w:p>
    <w:p w14:paraId="20254982">
      <w:pPr>
        <w:pStyle w:val="6"/>
        <w:keepNext w:val="0"/>
        <w:keepLines w:val="0"/>
        <w:spacing w:before="0" w:after="0" w:line="360" w:lineRule="auto"/>
        <w:ind w:firstLine="470"/>
        <w:rPr>
          <w:rFonts w:ascii="楷体" w:hAnsi="楷体" w:eastAsia="楷体"/>
          <w:b w:val="0"/>
          <w:sz w:val="24"/>
        </w:rPr>
      </w:pPr>
      <w:r>
        <w:rPr>
          <w:rFonts w:hint="eastAsia" w:ascii="Segoe UI Symbol" w:hAnsi="Segoe UI Symbol" w:eastAsia="楷体" w:cs="Segoe UI Symbol"/>
          <w:b w:val="0"/>
          <w:sz w:val="24"/>
          <w:lang w:eastAsia="zh-CN"/>
        </w:rPr>
        <w:t>□</w:t>
      </w:r>
      <w:r>
        <w:rPr>
          <w:rFonts w:hint="eastAsia" w:ascii="楷体" w:hAnsi="楷体" w:eastAsia="楷体"/>
          <w:b w:val="0"/>
          <w:sz w:val="24"/>
        </w:rPr>
        <w:t>本项目中标人应提交合同金额</w:t>
      </w:r>
      <w:r>
        <w:rPr>
          <w:rFonts w:ascii="楷体" w:hAnsi="楷体" w:eastAsia="楷体"/>
          <w:b w:val="0"/>
          <w:sz w:val="24"/>
        </w:rPr>
        <w:t>10%</w:t>
      </w:r>
      <w:r>
        <w:rPr>
          <w:rFonts w:hint="eastAsia" w:ascii="楷体" w:hAnsi="楷体" w:eastAsia="楷体"/>
          <w:b w:val="0"/>
          <w:sz w:val="24"/>
        </w:rPr>
        <w:t>的履约保证金（不得超过政府采购合同金额的10%），履约保证金应以支票、汇票、本票、保函、保险保单等非现金形式缴纳或提交。</w:t>
      </w:r>
    </w:p>
    <w:p w14:paraId="1AAB11BF">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履约保证金退还的方式：以银行电汇、网上银行、数字人民币形式缴纳履约保证金的，退回至中标人存款账户或供应商数字人民币账户；以保函、担保、保险等形式缴纳履约保证金的，在保函、担保、保险约定的保证期限届满之日起自行失效；</w:t>
      </w:r>
    </w:p>
    <w:p w14:paraId="570210D6">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 xml:space="preserve">履约保证金退还的条件： </w:t>
      </w:r>
    </w:p>
    <w:p w14:paraId="0D580D87">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货物类项目，项目验收合格，出具验收报告及履约保证金收据申请退付；</w:t>
      </w:r>
    </w:p>
    <w:p w14:paraId="20359DF8">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履约保证金退还时间：采购人收到中标人退付申请后5个工作日内退还；</w:t>
      </w:r>
    </w:p>
    <w:p w14:paraId="0F47E6BE">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履约保证金不予退还情形：除不可抗力外，中标人不履行与采购人订立的采购合同的，履约保证金不予退还，给采购人造成的损失超过履约保证金数额的，还应当对超过部分予以赔偿；</w:t>
      </w:r>
    </w:p>
    <w:p w14:paraId="32B7B229">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逾期退还履约保证金的违约责任：除应当退还履约保证金外，还应当按中国人民银行同期贷款基准利率上浮 20％后的利率支付超期资金占用费，但因中标人自身原因导致无法及时退还的除外。</w:t>
      </w:r>
    </w:p>
    <w:p w14:paraId="17695FE9">
      <w:pPr>
        <w:pStyle w:val="6"/>
        <w:keepNext w:val="0"/>
        <w:keepLines w:val="0"/>
        <w:spacing w:before="0" w:after="0" w:line="360" w:lineRule="auto"/>
        <w:ind w:firstLine="470"/>
        <w:rPr>
          <w:rFonts w:ascii="楷体" w:hAnsi="楷体" w:eastAsia="楷体"/>
          <w:b w:val="0"/>
          <w:sz w:val="24"/>
        </w:rPr>
      </w:pPr>
      <w:r>
        <w:rPr>
          <w:rFonts w:hint="eastAsia" w:ascii="楷体" w:hAnsi="楷体" w:eastAsia="楷体"/>
          <w:b w:val="0"/>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bookmarkEnd w:id="77"/>
    </w:p>
    <w:p w14:paraId="562459D3">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30．签订合同</w:t>
      </w:r>
    </w:p>
    <w:p w14:paraId="64689543">
      <w:pPr>
        <w:spacing w:line="360" w:lineRule="auto"/>
        <w:ind w:firstLine="480"/>
        <w:rPr>
          <w:rFonts w:ascii="楷体" w:hAnsi="楷体" w:eastAsia="楷体"/>
          <w:sz w:val="24"/>
        </w:rPr>
      </w:pPr>
      <w:r>
        <w:rPr>
          <w:rFonts w:hint="eastAsia" w:ascii="楷体" w:hAnsi="楷体" w:eastAsia="楷体"/>
          <w:sz w:val="24"/>
        </w:rPr>
        <w:t>30.1 采购人应当自中标通知书发出之日起</w:t>
      </w:r>
      <w:r>
        <w:rPr>
          <w:rFonts w:hint="eastAsia" w:ascii="楷体" w:hAnsi="楷体" w:eastAsia="楷体"/>
          <w:color w:val="2E75B6" w:themeColor="accent5" w:themeShade="BF"/>
          <w:sz w:val="24"/>
          <w:u w:val="single"/>
        </w:rPr>
        <w:t>15</w:t>
      </w:r>
      <w:r>
        <w:rPr>
          <w:rFonts w:hint="eastAsia" w:ascii="楷体" w:hAnsi="楷体" w:eastAsia="楷体"/>
          <w:color w:val="2E75B6" w:themeColor="accent5" w:themeShade="BF"/>
          <w:sz w:val="24"/>
        </w:rPr>
        <w:t>日</w:t>
      </w:r>
      <w:r>
        <w:rPr>
          <w:rFonts w:hint="eastAsia" w:ascii="楷体" w:hAnsi="楷体" w:eastAsia="楷体"/>
          <w:sz w:val="24"/>
        </w:rPr>
        <w:t>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4687C830">
      <w:pPr>
        <w:spacing w:line="360" w:lineRule="auto"/>
        <w:ind w:firstLine="480"/>
        <w:rPr>
          <w:rFonts w:ascii="楷体" w:hAnsi="楷体" w:eastAsia="楷体"/>
          <w:sz w:val="24"/>
        </w:rPr>
      </w:pPr>
      <w:r>
        <w:rPr>
          <w:rFonts w:hint="eastAsia" w:ascii="楷体" w:hAnsi="楷体" w:eastAsia="楷体"/>
          <w:sz w:val="24"/>
        </w:rPr>
        <w:t>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p>
    <w:p w14:paraId="75B90A73">
      <w:pPr>
        <w:spacing w:line="360" w:lineRule="auto"/>
        <w:ind w:firstLine="480"/>
        <w:rPr>
          <w:rFonts w:ascii="楷体" w:hAnsi="楷体" w:eastAsia="楷体"/>
          <w:sz w:val="24"/>
        </w:rPr>
      </w:pPr>
      <w:r>
        <w:rPr>
          <w:rFonts w:hint="eastAsia" w:ascii="楷体" w:hAnsi="楷体" w:eastAsia="楷体"/>
          <w:sz w:val="24"/>
        </w:rPr>
        <w:t>30.3 政府采购合同应当包括采购人与中标人的名称和住所、标的、数量、质量、价款或者报酬、履行期限及地点和方式、验收要求、违约责任、解决争议的方法等内容。</w:t>
      </w:r>
    </w:p>
    <w:p w14:paraId="5142F062">
      <w:pPr>
        <w:spacing w:line="360" w:lineRule="auto"/>
        <w:ind w:firstLine="480"/>
        <w:rPr>
          <w:rFonts w:ascii="楷体" w:hAnsi="楷体" w:eastAsia="楷体"/>
          <w:sz w:val="24"/>
        </w:rPr>
      </w:pPr>
      <w:r>
        <w:rPr>
          <w:rFonts w:hint="eastAsia" w:ascii="楷体" w:hAnsi="楷体" w:eastAsia="楷体"/>
          <w:sz w:val="24"/>
        </w:rPr>
        <w:t>30.4采购人应当自采购合同签订之日起2个工作日内，将政府采购合同在政府采购指定媒体予以公告。</w:t>
      </w:r>
    </w:p>
    <w:p w14:paraId="38C2386B">
      <w:pPr>
        <w:spacing w:line="360" w:lineRule="auto"/>
        <w:ind w:firstLine="480"/>
        <w:rPr>
          <w:rFonts w:ascii="楷体" w:hAnsi="楷体" w:eastAsia="楷体"/>
          <w:sz w:val="24"/>
        </w:rPr>
      </w:pPr>
      <w:r>
        <w:rPr>
          <w:rFonts w:hint="eastAsia" w:ascii="楷体" w:hAnsi="楷体" w:eastAsia="楷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314067DC">
      <w:pPr>
        <w:spacing w:line="360" w:lineRule="auto"/>
        <w:ind w:firstLine="480"/>
        <w:rPr>
          <w:rFonts w:ascii="楷体" w:hAnsi="楷体" w:eastAsia="楷体"/>
          <w:sz w:val="24"/>
        </w:rPr>
      </w:pPr>
      <w:r>
        <w:rPr>
          <w:rFonts w:hint="eastAsia" w:ascii="楷体" w:hAnsi="楷体" w:eastAsia="楷体"/>
          <w:sz w:val="24"/>
        </w:rPr>
        <w:t>30.6采购人与中标人应当根据合同的约定依法履行合同义务。政府采购合同的履行、违约责任和解决争议的方法等适用《中华人民共和国民法典》。</w:t>
      </w:r>
    </w:p>
    <w:p w14:paraId="0DB746ED">
      <w:pPr>
        <w:spacing w:line="360" w:lineRule="auto"/>
        <w:ind w:left="-424" w:firstLine="763"/>
        <w:jc w:val="center"/>
        <w:rPr>
          <w:rFonts w:ascii="楷体" w:hAnsi="楷体" w:eastAsia="楷体"/>
          <w:sz w:val="24"/>
        </w:rPr>
      </w:pPr>
      <w:r>
        <w:rPr>
          <w:rFonts w:hint="eastAsia" w:ascii="楷体" w:hAnsi="楷体" w:eastAsia="楷体"/>
          <w:sz w:val="24"/>
        </w:rPr>
        <w:t xml:space="preserve">  </w:t>
      </w:r>
    </w:p>
    <w:p w14:paraId="592AF171">
      <w:pPr>
        <w:spacing w:line="360" w:lineRule="auto"/>
        <w:ind w:firstLine="643"/>
        <w:jc w:val="center"/>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八、询问、质疑、投诉</w:t>
      </w:r>
    </w:p>
    <w:p w14:paraId="59427480">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31．询问</w:t>
      </w:r>
    </w:p>
    <w:p w14:paraId="307CAF4F">
      <w:pPr>
        <w:spacing w:line="360" w:lineRule="auto"/>
        <w:ind w:firstLine="480"/>
        <w:rPr>
          <w:rFonts w:ascii="楷体" w:hAnsi="楷体" w:eastAsia="楷体"/>
          <w:sz w:val="24"/>
        </w:rPr>
      </w:pPr>
      <w:r>
        <w:rPr>
          <w:rFonts w:hint="eastAsia" w:ascii="楷体" w:hAnsi="楷体" w:eastAsia="楷体"/>
          <w:sz w:val="24"/>
        </w:rPr>
        <w:t>31.1供应商对招标活动事项有疑问的，可以向采购人或采购代理机构提出询问，采购人或采购代理机构将在3个工作日内对供应商依法提出的询问作出答复，但答复的内容不得涉及商业秘密。</w:t>
      </w:r>
    </w:p>
    <w:p w14:paraId="590A54DC">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32．质疑</w:t>
      </w:r>
    </w:p>
    <w:p w14:paraId="36984009">
      <w:pPr>
        <w:spacing w:line="360" w:lineRule="auto"/>
        <w:ind w:firstLine="480"/>
        <w:rPr>
          <w:rFonts w:ascii="楷体" w:hAnsi="楷体" w:eastAsia="楷体"/>
          <w:sz w:val="24"/>
        </w:rPr>
      </w:pPr>
      <w:r>
        <w:rPr>
          <w:rFonts w:hint="eastAsia" w:ascii="楷体" w:hAnsi="楷体" w:eastAsia="楷体"/>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501F80DA">
      <w:pPr>
        <w:spacing w:line="360" w:lineRule="auto"/>
        <w:ind w:firstLine="480"/>
        <w:rPr>
          <w:rFonts w:ascii="楷体" w:hAnsi="楷体" w:eastAsia="楷体"/>
          <w:sz w:val="24"/>
        </w:rPr>
      </w:pPr>
      <w:r>
        <w:rPr>
          <w:rFonts w:hint="eastAsia" w:ascii="楷体" w:hAnsi="楷体" w:eastAsia="楷体"/>
          <w:sz w:val="24"/>
        </w:rPr>
        <w:t>以上规定的供应商应知其权益受到损害之日，是指：</w:t>
      </w:r>
    </w:p>
    <w:p w14:paraId="62A6B3DB">
      <w:pPr>
        <w:spacing w:line="360" w:lineRule="auto"/>
        <w:ind w:firstLine="480"/>
        <w:rPr>
          <w:rFonts w:ascii="楷体" w:hAnsi="楷体" w:eastAsia="楷体"/>
          <w:sz w:val="24"/>
        </w:rPr>
      </w:pPr>
      <w:r>
        <w:rPr>
          <w:rFonts w:hint="eastAsia" w:ascii="楷体" w:hAnsi="楷体" w:eastAsia="楷体"/>
          <w:sz w:val="24"/>
        </w:rPr>
        <w:t>（1）对可以质疑的采购文件提出质疑的，为收到采购文件之日或者采购文件公告期限届满之日；</w:t>
      </w:r>
    </w:p>
    <w:p w14:paraId="7B8FEBF1">
      <w:pPr>
        <w:spacing w:line="360" w:lineRule="auto"/>
        <w:ind w:firstLine="480"/>
        <w:rPr>
          <w:rFonts w:ascii="楷体" w:hAnsi="楷体" w:eastAsia="楷体"/>
          <w:sz w:val="24"/>
        </w:rPr>
      </w:pPr>
      <w:r>
        <w:rPr>
          <w:rFonts w:hint="eastAsia" w:ascii="楷体" w:hAnsi="楷体" w:eastAsia="楷体"/>
          <w:sz w:val="24"/>
        </w:rPr>
        <w:t>（2）对采购过程提出质疑的，为各采购程序环节结束之日；</w:t>
      </w:r>
    </w:p>
    <w:p w14:paraId="78B152E4">
      <w:pPr>
        <w:spacing w:line="360" w:lineRule="auto"/>
        <w:ind w:firstLine="480"/>
        <w:rPr>
          <w:rFonts w:ascii="楷体" w:hAnsi="楷体" w:eastAsia="楷体"/>
          <w:sz w:val="24"/>
        </w:rPr>
      </w:pPr>
      <w:r>
        <w:rPr>
          <w:rFonts w:hint="eastAsia" w:ascii="楷体" w:hAnsi="楷体" w:eastAsia="楷体"/>
          <w:sz w:val="24"/>
        </w:rPr>
        <w:t>（3）对中标结果提出质疑的，为中标结果公告期限届满之日。</w:t>
      </w:r>
    </w:p>
    <w:p w14:paraId="14F0681B">
      <w:pPr>
        <w:spacing w:line="360" w:lineRule="auto"/>
        <w:ind w:firstLine="480"/>
        <w:rPr>
          <w:rFonts w:ascii="楷体" w:hAnsi="楷体" w:eastAsia="楷体"/>
          <w:sz w:val="24"/>
        </w:rPr>
      </w:pPr>
      <w:r>
        <w:rPr>
          <w:rFonts w:hint="eastAsia" w:ascii="楷体" w:hAnsi="楷体" w:eastAsia="楷体"/>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71D42480">
      <w:pPr>
        <w:spacing w:line="360" w:lineRule="auto"/>
        <w:ind w:firstLine="480"/>
        <w:rPr>
          <w:rFonts w:ascii="楷体" w:hAnsi="楷体" w:eastAsia="楷体"/>
          <w:sz w:val="24"/>
        </w:rPr>
      </w:pPr>
      <w:r>
        <w:rPr>
          <w:rFonts w:hint="eastAsia" w:ascii="楷体" w:hAnsi="楷体" w:eastAsia="楷体"/>
          <w:sz w:val="24"/>
        </w:rPr>
        <w:t>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5B62ED12">
      <w:pPr>
        <w:spacing w:line="360" w:lineRule="auto"/>
        <w:ind w:firstLine="480"/>
        <w:rPr>
          <w:rFonts w:ascii="楷体" w:hAnsi="楷体" w:eastAsia="楷体"/>
          <w:sz w:val="24"/>
        </w:rPr>
      </w:pPr>
      <w:r>
        <w:rPr>
          <w:rFonts w:hint="eastAsia" w:ascii="楷体" w:hAnsi="楷体" w:eastAsia="楷体"/>
          <w:sz w:val="24"/>
        </w:rPr>
        <w:t>32.4采购人不得拒收质疑供应商在法定质疑期内发出的质疑函，应当在收到质疑函后7个工作日内作出答复，并以书面形式通知质疑供应商和其他有关供应商。</w:t>
      </w:r>
    </w:p>
    <w:p w14:paraId="4E94A389">
      <w:pPr>
        <w:spacing w:line="360" w:lineRule="auto"/>
        <w:ind w:firstLine="480"/>
        <w:rPr>
          <w:rFonts w:ascii="楷体" w:hAnsi="楷体" w:eastAsia="楷体"/>
          <w:sz w:val="24"/>
        </w:rPr>
      </w:pPr>
      <w:r>
        <w:rPr>
          <w:rFonts w:hint="eastAsia" w:ascii="楷体" w:hAnsi="楷体" w:eastAsia="楷体"/>
          <w:sz w:val="24"/>
        </w:rPr>
        <w:t>32.5本项目采购人及谈判组织方只接收以纸质原件形式送达的质疑。（本项目采购人及谈判组织方不接受未填写快递运单的快件）</w:t>
      </w:r>
    </w:p>
    <w:p w14:paraId="07180ECD">
      <w:pPr>
        <w:spacing w:line="360" w:lineRule="auto"/>
        <w:ind w:firstLine="480"/>
        <w:rPr>
          <w:rFonts w:hint="eastAsia" w:ascii="楷体" w:hAnsi="楷体" w:eastAsia="楷体"/>
          <w:sz w:val="24"/>
          <w:lang w:eastAsia="zh-CN"/>
        </w:rPr>
      </w:pPr>
      <w:r>
        <w:rPr>
          <w:rFonts w:hint="eastAsia" w:ascii="楷体" w:hAnsi="楷体" w:eastAsia="楷体"/>
          <w:sz w:val="24"/>
        </w:rPr>
        <w:t xml:space="preserve">接收部门: </w:t>
      </w:r>
      <w:r>
        <w:rPr>
          <w:rFonts w:hint="eastAsia" w:ascii="楷体" w:hAnsi="楷体" w:eastAsia="楷体"/>
          <w:sz w:val="24"/>
          <w:lang w:eastAsia="zh-CN"/>
        </w:rPr>
        <w:t>江苏正德建设管理有限公司</w:t>
      </w:r>
    </w:p>
    <w:p w14:paraId="709A122B">
      <w:pPr>
        <w:spacing w:line="360" w:lineRule="auto"/>
        <w:ind w:firstLine="480"/>
        <w:rPr>
          <w:rFonts w:ascii="楷体" w:hAnsi="楷体" w:eastAsia="楷体"/>
          <w:sz w:val="24"/>
        </w:rPr>
      </w:pPr>
      <w:r>
        <w:rPr>
          <w:rFonts w:hint="eastAsia" w:ascii="楷体" w:hAnsi="楷体" w:eastAsia="楷体"/>
          <w:sz w:val="24"/>
        </w:rPr>
        <w:t xml:space="preserve">接收地址: </w:t>
      </w:r>
      <w:r>
        <w:rPr>
          <w:rFonts w:hint="eastAsia" w:ascii="楷体" w:hAnsi="楷体" w:eastAsia="楷体"/>
          <w:sz w:val="24"/>
          <w:lang w:eastAsia="zh-CN"/>
        </w:rPr>
        <w:t>丹阳市开发区兰陵路</w:t>
      </w:r>
      <w:r>
        <w:rPr>
          <w:rFonts w:hint="eastAsia" w:ascii="楷体" w:hAnsi="楷体" w:eastAsia="楷体"/>
          <w:sz w:val="24"/>
          <w:lang w:val="en-US" w:eastAsia="zh-CN"/>
        </w:rPr>
        <w:t>9</w:t>
      </w:r>
      <w:r>
        <w:rPr>
          <w:rFonts w:hint="eastAsia" w:ascii="楷体" w:hAnsi="楷体" w:eastAsia="楷体"/>
          <w:sz w:val="24"/>
          <w:lang w:eastAsia="zh-CN"/>
        </w:rPr>
        <w:t>号</w:t>
      </w:r>
      <w:r>
        <w:rPr>
          <w:rFonts w:hint="eastAsia" w:ascii="楷体" w:hAnsi="楷体" w:eastAsia="楷体"/>
          <w:sz w:val="24"/>
          <w:lang w:val="en-US" w:eastAsia="zh-CN"/>
        </w:rPr>
        <w:t>丽都国际15楼1513室</w:t>
      </w:r>
    </w:p>
    <w:p w14:paraId="057BE7A2">
      <w:pPr>
        <w:spacing w:line="360" w:lineRule="auto"/>
        <w:ind w:firstLine="480"/>
        <w:rPr>
          <w:rFonts w:ascii="楷体" w:hAnsi="楷体" w:eastAsia="楷体"/>
          <w:sz w:val="24"/>
        </w:rPr>
      </w:pPr>
      <w:r>
        <w:rPr>
          <w:rFonts w:hint="eastAsia" w:ascii="楷体" w:hAnsi="楷体" w:eastAsia="楷体"/>
          <w:sz w:val="24"/>
        </w:rPr>
        <w:t>联系电话:0511-869218</w:t>
      </w:r>
      <w:r>
        <w:rPr>
          <w:rFonts w:hint="eastAsia" w:ascii="楷体" w:hAnsi="楷体" w:eastAsia="楷体"/>
          <w:sz w:val="24"/>
          <w:lang w:val="en-US" w:eastAsia="zh-CN"/>
        </w:rPr>
        <w:t>08</w:t>
      </w:r>
    </w:p>
    <w:p w14:paraId="0CCDC760">
      <w:pPr>
        <w:spacing w:line="360" w:lineRule="auto"/>
        <w:ind w:firstLine="480"/>
        <w:rPr>
          <w:rFonts w:ascii="楷体" w:hAnsi="楷体" w:eastAsia="楷体"/>
          <w:sz w:val="24"/>
        </w:rPr>
      </w:pPr>
      <w:r>
        <w:rPr>
          <w:rFonts w:hint="eastAsia" w:ascii="楷体" w:hAnsi="楷体" w:eastAsia="楷体"/>
          <w:sz w:val="24"/>
        </w:rPr>
        <w:t>32.6以下情形的质疑不予受理：</w:t>
      </w:r>
    </w:p>
    <w:p w14:paraId="744FCF73">
      <w:pPr>
        <w:spacing w:line="360" w:lineRule="auto"/>
        <w:ind w:firstLine="480"/>
        <w:rPr>
          <w:rFonts w:ascii="楷体" w:hAnsi="楷体" w:eastAsia="楷体"/>
          <w:sz w:val="24"/>
        </w:rPr>
      </w:pPr>
      <w:r>
        <w:rPr>
          <w:rFonts w:hint="eastAsia" w:ascii="楷体" w:hAnsi="楷体" w:eastAsia="楷体"/>
          <w:sz w:val="24"/>
        </w:rPr>
        <w:t>32.6.1内容不符合《政府采购质疑和投诉办法》第十二条规定的质疑。</w:t>
      </w:r>
    </w:p>
    <w:p w14:paraId="54D898B0">
      <w:pPr>
        <w:spacing w:line="360" w:lineRule="auto"/>
        <w:ind w:firstLine="480"/>
        <w:rPr>
          <w:rFonts w:ascii="楷体" w:hAnsi="楷体" w:eastAsia="楷体"/>
          <w:sz w:val="24"/>
        </w:rPr>
      </w:pPr>
      <w:r>
        <w:rPr>
          <w:rFonts w:hint="eastAsia" w:ascii="楷体" w:hAnsi="楷体" w:eastAsia="楷体"/>
          <w:sz w:val="24"/>
        </w:rPr>
        <w:t>32.6.2超出政府采购法定期限的质疑。</w:t>
      </w:r>
    </w:p>
    <w:p w14:paraId="0129AD38">
      <w:pPr>
        <w:spacing w:line="360" w:lineRule="auto"/>
        <w:ind w:firstLine="480"/>
        <w:rPr>
          <w:rFonts w:ascii="楷体" w:hAnsi="楷体" w:eastAsia="楷体"/>
          <w:sz w:val="24"/>
        </w:rPr>
      </w:pPr>
      <w:r>
        <w:rPr>
          <w:rFonts w:hint="eastAsia" w:ascii="楷体" w:hAnsi="楷体" w:eastAsia="楷体"/>
          <w:sz w:val="24"/>
        </w:rPr>
        <w:t>32.6.3以传真、电子邮件等方式递交的非原件形式的质疑。</w:t>
      </w:r>
    </w:p>
    <w:p w14:paraId="31E06DBE">
      <w:pPr>
        <w:spacing w:line="360" w:lineRule="auto"/>
        <w:ind w:firstLine="480"/>
        <w:rPr>
          <w:rFonts w:ascii="楷体" w:hAnsi="楷体" w:eastAsia="楷体"/>
          <w:sz w:val="24"/>
        </w:rPr>
      </w:pPr>
      <w:r>
        <w:rPr>
          <w:rFonts w:hint="eastAsia" w:ascii="楷体" w:hAnsi="楷体" w:eastAsia="楷体"/>
          <w:sz w:val="24"/>
        </w:rPr>
        <w:t>32.6.4未参加投标活动的供应商或在投标活动中自身权益未受到损害的供应商所提出的质疑。</w:t>
      </w:r>
    </w:p>
    <w:p w14:paraId="43D4A5D8">
      <w:pPr>
        <w:spacing w:line="360" w:lineRule="auto"/>
        <w:ind w:firstLine="480"/>
        <w:rPr>
          <w:rFonts w:ascii="楷体" w:hAnsi="楷体" w:eastAsia="楷体"/>
          <w:sz w:val="24"/>
        </w:rPr>
      </w:pPr>
      <w:r>
        <w:rPr>
          <w:rFonts w:hint="eastAsia" w:ascii="楷体" w:hAnsi="楷体" w:eastAsia="楷体"/>
          <w:sz w:val="24"/>
        </w:rPr>
        <w:t>32.6.5供应商组成联合体参加投标，联合体中任何一方或多方未按要求签字、盖章、加盖公章的质疑。</w:t>
      </w:r>
    </w:p>
    <w:p w14:paraId="68306BE3">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33．投诉</w:t>
      </w:r>
    </w:p>
    <w:p w14:paraId="6341BDA1">
      <w:pPr>
        <w:spacing w:line="360" w:lineRule="auto"/>
        <w:ind w:firstLine="480"/>
        <w:jc w:val="left"/>
        <w:rPr>
          <w:rFonts w:ascii="楷体" w:hAnsi="楷体" w:eastAsia="楷体"/>
          <w:sz w:val="24"/>
        </w:rPr>
      </w:pPr>
      <w:r>
        <w:rPr>
          <w:rFonts w:hint="eastAsia" w:ascii="楷体" w:hAnsi="楷体" w:eastAsia="楷体"/>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42D70808">
      <w:pPr>
        <w:spacing w:line="360" w:lineRule="auto"/>
        <w:ind w:firstLine="480"/>
        <w:jc w:val="left"/>
        <w:rPr>
          <w:rFonts w:ascii="楷体" w:hAnsi="楷体" w:eastAsia="楷体"/>
          <w:sz w:val="24"/>
        </w:rPr>
      </w:pPr>
      <w:r>
        <w:rPr>
          <w:rFonts w:hint="eastAsia" w:ascii="楷体" w:hAnsi="楷体" w:eastAsia="楷体"/>
          <w:sz w:val="24"/>
        </w:rPr>
        <w:t>33.</w:t>
      </w:r>
      <w:r>
        <w:rPr>
          <w:rFonts w:ascii="楷体" w:hAnsi="楷体" w:eastAsia="楷体"/>
          <w:sz w:val="24"/>
        </w:rPr>
        <w:t>2</w:t>
      </w:r>
      <w:r>
        <w:rPr>
          <w:rFonts w:hint="eastAsia" w:ascii="楷体" w:hAnsi="楷体" w:eastAsia="楷体"/>
          <w:sz w:val="24"/>
        </w:rPr>
        <w:t>投诉流程及注意事项见“镇江市公共资源交易服务平台—政府采购”网站“投诉指引”。</w:t>
      </w:r>
    </w:p>
    <w:p w14:paraId="4A381288">
      <w:pPr>
        <w:spacing w:line="360" w:lineRule="auto"/>
        <w:jc w:val="center"/>
        <w:rPr>
          <w:rFonts w:ascii="楷体" w:hAnsi="楷体" w:eastAsia="楷体"/>
          <w:color w:val="000000"/>
          <w:sz w:val="32"/>
          <w:szCs w:val="32"/>
        </w:rPr>
      </w:pPr>
      <w:r>
        <w:rPr>
          <w:rFonts w:hint="eastAsia" w:ascii="楷体" w:hAnsi="楷体" w:eastAsia="楷体"/>
          <w:b/>
          <w:color w:val="000000"/>
          <w:sz w:val="32"/>
          <w:szCs w:val="32"/>
          <w:shd w:val="clear" w:color="auto" w:fill="FFFFFF"/>
        </w:rPr>
        <w:t>九、诚实信用和解释权</w:t>
      </w:r>
    </w:p>
    <w:p w14:paraId="24F72949">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34．诚实信用</w:t>
      </w:r>
    </w:p>
    <w:p w14:paraId="1DE4FD76">
      <w:pPr>
        <w:spacing w:line="360" w:lineRule="auto"/>
        <w:ind w:firstLine="480"/>
        <w:rPr>
          <w:rFonts w:ascii="楷体" w:hAnsi="楷体" w:eastAsia="楷体"/>
          <w:sz w:val="24"/>
        </w:rPr>
      </w:pPr>
      <w:r>
        <w:rPr>
          <w:rFonts w:hint="eastAsia" w:ascii="楷体" w:hAnsi="楷体" w:eastAsia="楷体"/>
          <w:sz w:val="24"/>
        </w:rPr>
        <w:t>34.1投标人应当遵循公平竞争的原则，不得恶意串通，不得妨碍其他投标人的竞争行为，不得损害采购人或者其他投标人的合法权益。</w:t>
      </w:r>
    </w:p>
    <w:p w14:paraId="02828DA5">
      <w:pPr>
        <w:spacing w:line="360" w:lineRule="auto"/>
        <w:ind w:firstLine="480"/>
        <w:rPr>
          <w:rFonts w:ascii="楷体" w:hAnsi="楷体" w:eastAsia="楷体"/>
          <w:sz w:val="24"/>
        </w:rPr>
      </w:pPr>
      <w:r>
        <w:rPr>
          <w:rFonts w:hint="eastAsia" w:ascii="楷体" w:hAnsi="楷体" w:eastAsia="楷体"/>
          <w:sz w:val="24"/>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45559975">
      <w:pPr>
        <w:spacing w:line="360" w:lineRule="auto"/>
        <w:ind w:firstLine="480"/>
        <w:rPr>
          <w:rFonts w:ascii="楷体" w:hAnsi="楷体" w:eastAsia="楷体"/>
          <w:sz w:val="24"/>
        </w:rPr>
      </w:pPr>
      <w:r>
        <w:rPr>
          <w:rFonts w:hint="eastAsia" w:ascii="楷体" w:hAnsi="楷体" w:eastAsia="楷体"/>
          <w:sz w:val="24"/>
        </w:rPr>
        <w:t>34.3 供应商不得虚假承诺，否则，按照提供虚假材料谋取中标处理。</w:t>
      </w:r>
    </w:p>
    <w:p w14:paraId="7D9B8866">
      <w:pPr>
        <w:spacing w:line="360" w:lineRule="auto"/>
        <w:ind w:left="2" w:firstLine="480"/>
        <w:rPr>
          <w:rFonts w:ascii="楷体" w:hAnsi="楷体" w:eastAsia="楷体"/>
          <w:sz w:val="24"/>
        </w:rPr>
      </w:pPr>
      <w:r>
        <w:rPr>
          <w:rFonts w:hint="eastAsia" w:ascii="楷体" w:hAnsi="楷体" w:eastAsia="楷体"/>
          <w:sz w:val="24"/>
        </w:rPr>
        <w:t>34</w:t>
      </w:r>
      <w:r>
        <w:rPr>
          <w:rFonts w:ascii="楷体" w:hAnsi="楷体" w:eastAsia="楷体"/>
          <w:sz w:val="24"/>
        </w:rPr>
        <w:t>.4</w:t>
      </w:r>
      <w:r>
        <w:rPr>
          <w:rFonts w:hint="eastAsia" w:ascii="楷体" w:hAnsi="楷体" w:eastAsia="楷体"/>
          <w:sz w:val="24"/>
        </w:rPr>
        <w:t xml:space="preserve"> </w:t>
      </w:r>
      <w:r>
        <w:rPr>
          <w:rFonts w:ascii="楷体" w:hAnsi="楷体" w:eastAsia="楷体"/>
          <w:sz w:val="24"/>
        </w:rPr>
        <w:t>供应商应自觉遵守开标、评标纪律，扰乱开标评标现场秩序的，属于失信行为，根据《江苏省政府采购供应商监督管理暂行办法》，失信行为将被记入供应商诚信档案。</w:t>
      </w:r>
    </w:p>
    <w:p w14:paraId="45CA7D9D">
      <w:pPr>
        <w:spacing w:line="360" w:lineRule="auto"/>
        <w:ind w:left="2" w:firstLine="480"/>
        <w:rPr>
          <w:rFonts w:ascii="楷体" w:hAnsi="楷体" w:eastAsia="楷体"/>
          <w:sz w:val="24"/>
        </w:rPr>
      </w:pPr>
      <w:r>
        <w:rPr>
          <w:rFonts w:hint="eastAsia" w:ascii="楷体" w:hAnsi="楷体" w:eastAsia="楷体"/>
          <w:sz w:val="24"/>
        </w:rPr>
        <w:t>34</w:t>
      </w:r>
      <w:r>
        <w:rPr>
          <w:rFonts w:ascii="楷体" w:hAnsi="楷体" w:eastAsia="楷体"/>
          <w:sz w:val="24"/>
        </w:rPr>
        <w:t>.5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采购人或采购代理机构</w:t>
      </w:r>
      <w:r>
        <w:rPr>
          <w:rFonts w:hint="eastAsia" w:ascii="楷体" w:hAnsi="楷体" w:eastAsia="楷体"/>
          <w:sz w:val="24"/>
        </w:rPr>
        <w:t>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信用记录查询截止时间为项目资格审查结束时</w:t>
      </w:r>
      <w:r>
        <w:rPr>
          <w:rFonts w:hint="eastAsia" w:ascii="楷体" w:hAnsi="楷体" w:eastAsia="楷体"/>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D67B81C">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36.</w:t>
      </w:r>
      <w:r>
        <w:rPr>
          <w:rFonts w:hint="eastAsia" w:ascii="楷体" w:hAnsi="楷体" w:eastAsia="楷体"/>
          <w:color w:val="000000"/>
          <w:sz w:val="30"/>
        </w:rPr>
        <w:t>适用法律及约束力</w:t>
      </w:r>
    </w:p>
    <w:p w14:paraId="534B3D65">
      <w:pPr>
        <w:spacing w:line="360" w:lineRule="auto"/>
        <w:ind w:firstLine="480"/>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投标人一旦获取了本招标文件并参加投标，即被认为接受了本招标文件的规定和约束。</w:t>
      </w:r>
    </w:p>
    <w:p w14:paraId="5987F3A4">
      <w:pPr>
        <w:spacing w:line="360" w:lineRule="auto"/>
        <w:ind w:firstLine="480"/>
        <w:rPr>
          <w:rFonts w:ascii="楷体" w:hAnsi="楷体" w:eastAsia="楷体"/>
          <w:sz w:val="24"/>
        </w:rPr>
      </w:pPr>
      <w:r>
        <w:rPr>
          <w:rFonts w:hint="eastAsia" w:ascii="楷体" w:hAnsi="楷体" w:eastAsia="楷体"/>
          <w:sz w:val="24"/>
        </w:rPr>
        <w:t>36.2 本次招标及由本次招标产生的合同受中华人民共和国法律制约和保护。</w:t>
      </w:r>
    </w:p>
    <w:p w14:paraId="5787C773">
      <w:pPr>
        <w:spacing w:before="200" w:after="200" w:line="360" w:lineRule="auto"/>
        <w:ind w:firstLine="446"/>
        <w:outlineLvl w:val="2"/>
        <w:rPr>
          <w:rFonts w:ascii="宋体" w:hAnsi="宋体"/>
          <w:b/>
          <w:sz w:val="30"/>
          <w:szCs w:val="20"/>
        </w:rPr>
      </w:pPr>
      <w:r>
        <w:rPr>
          <w:rFonts w:hint="eastAsia" w:ascii="宋体" w:hAnsi="宋体"/>
          <w:b/>
          <w:sz w:val="30"/>
          <w:szCs w:val="20"/>
          <w:highlight w:val="white"/>
        </w:rPr>
        <w:t>3</w:t>
      </w:r>
      <w:r>
        <w:rPr>
          <w:rFonts w:ascii="宋体" w:hAnsi="宋体"/>
          <w:b/>
          <w:sz w:val="30"/>
          <w:szCs w:val="20"/>
          <w:highlight w:val="white"/>
        </w:rPr>
        <w:t>7</w:t>
      </w:r>
      <w:r>
        <w:rPr>
          <w:rFonts w:hint="eastAsia" w:ascii="宋体" w:hAnsi="宋体"/>
          <w:b/>
          <w:sz w:val="30"/>
          <w:szCs w:val="20"/>
          <w:highlight w:val="white"/>
        </w:rPr>
        <w:t>．解释权</w:t>
      </w:r>
    </w:p>
    <w:p w14:paraId="671BC325">
      <w:pPr>
        <w:spacing w:line="360" w:lineRule="auto"/>
        <w:ind w:firstLine="480"/>
        <w:rPr>
          <w:rFonts w:ascii="楷体" w:hAnsi="楷体" w:eastAsia="楷体"/>
          <w:sz w:val="24"/>
        </w:rPr>
      </w:pPr>
      <w:r>
        <w:rPr>
          <w:rFonts w:hint="eastAsia" w:ascii="楷体" w:hAnsi="楷体" w:eastAsia="楷体"/>
          <w:sz w:val="24"/>
        </w:rPr>
        <w:t>3</w:t>
      </w:r>
      <w:r>
        <w:rPr>
          <w:rFonts w:ascii="楷体" w:hAnsi="楷体" w:eastAsia="楷体"/>
          <w:sz w:val="24"/>
        </w:rPr>
        <w:t>7</w:t>
      </w:r>
      <w:r>
        <w:rPr>
          <w:rFonts w:hint="eastAsia" w:ascii="楷体" w:hAnsi="楷体" w:eastAsia="楷体"/>
          <w:sz w:val="24"/>
        </w:rPr>
        <w:t>.1 除相关法律、法规规定外，本招标文件的解释权归采购代理机构所有。</w:t>
      </w:r>
    </w:p>
    <w:p w14:paraId="373C8623">
      <w:pPr>
        <w:widowControl/>
        <w:jc w:val="left"/>
        <w:rPr>
          <w:rFonts w:ascii="楷体" w:hAnsi="楷体" w:eastAsia="楷体"/>
          <w:b/>
          <w:sz w:val="30"/>
        </w:rPr>
      </w:pPr>
    </w:p>
    <w:p w14:paraId="749609DA">
      <w:pPr>
        <w:widowControl/>
        <w:jc w:val="left"/>
        <w:rPr>
          <w:rFonts w:ascii="楷体" w:hAnsi="楷体" w:eastAsia="楷体"/>
          <w:b/>
          <w:sz w:val="30"/>
        </w:rPr>
      </w:pPr>
      <w:r>
        <w:rPr>
          <w:rFonts w:ascii="楷体" w:hAnsi="楷体" w:eastAsia="楷体"/>
          <w:b/>
          <w:sz w:val="30"/>
        </w:rPr>
        <w:br w:type="page" w:clear="all"/>
      </w:r>
    </w:p>
    <w:p w14:paraId="1BB31E65">
      <w:pPr>
        <w:widowControl/>
        <w:spacing w:line="360" w:lineRule="auto"/>
        <w:jc w:val="center"/>
        <w:rPr>
          <w:rFonts w:ascii="楷体" w:hAnsi="楷体" w:eastAsia="楷体"/>
          <w:b/>
          <w:sz w:val="30"/>
        </w:rPr>
      </w:pPr>
      <w:bookmarkStart w:id="78" w:name="_Hlk176791688"/>
      <w:r>
        <w:rPr>
          <w:rFonts w:hint="eastAsia" w:ascii="楷体" w:hAnsi="楷体" w:eastAsia="楷体"/>
          <w:b/>
          <w:sz w:val="30"/>
        </w:rPr>
        <w:t>第三部分  拟签订的合同文本（货物类）</w:t>
      </w:r>
    </w:p>
    <w:p w14:paraId="3EAB69A8">
      <w:pPr>
        <w:rPr>
          <w:rFonts w:ascii="楷体" w:hAnsi="楷体" w:eastAsia="楷体" w:cs="宋体"/>
          <w:sz w:val="24"/>
          <w:u w:val="single"/>
        </w:rPr>
      </w:pPr>
      <w:bookmarkStart w:id="79" w:name="_Toc22000633"/>
      <w:r>
        <w:rPr>
          <w:rFonts w:hint="eastAsia" w:ascii="楷体" w:hAnsi="楷体" w:eastAsia="楷体" w:cs="宋体"/>
          <w:sz w:val="24"/>
        </w:rPr>
        <w:t>合同编号：</w:t>
      </w:r>
      <w:r>
        <w:rPr>
          <w:rFonts w:ascii="楷体" w:hAnsi="楷体" w:eastAsia="楷体" w:cs="宋体"/>
          <w:sz w:val="24"/>
          <w:u w:val="single"/>
        </w:rPr>
        <w:t xml:space="preserve">           </w:t>
      </w:r>
    </w:p>
    <w:p w14:paraId="3AD67665">
      <w:pPr>
        <w:spacing w:line="480" w:lineRule="auto"/>
        <w:jc w:val="center"/>
        <w:rPr>
          <w:rFonts w:ascii="楷体" w:hAnsi="楷体" w:eastAsia="楷体" w:cs="宋体"/>
          <w:b/>
          <w:sz w:val="28"/>
          <w:szCs w:val="28"/>
        </w:rPr>
      </w:pPr>
    </w:p>
    <w:p w14:paraId="0720AEFA">
      <w:pPr>
        <w:spacing w:line="480" w:lineRule="auto"/>
        <w:jc w:val="center"/>
        <w:rPr>
          <w:rFonts w:ascii="楷体" w:hAnsi="楷体" w:eastAsia="楷体" w:cs="宋体"/>
          <w:b/>
          <w:sz w:val="24"/>
        </w:rPr>
      </w:pPr>
    </w:p>
    <w:p w14:paraId="561285E0">
      <w:pPr>
        <w:spacing w:line="480" w:lineRule="auto"/>
        <w:jc w:val="center"/>
        <w:rPr>
          <w:rFonts w:ascii="楷体" w:hAnsi="楷体" w:eastAsia="楷体" w:cs="宋体"/>
          <w:b/>
          <w:sz w:val="24"/>
        </w:rPr>
      </w:pPr>
    </w:p>
    <w:p w14:paraId="487E452C">
      <w:pPr>
        <w:spacing w:line="480" w:lineRule="auto"/>
        <w:jc w:val="center"/>
        <w:rPr>
          <w:rFonts w:ascii="楷体" w:hAnsi="楷体" w:eastAsia="楷体" w:cs="宋体"/>
          <w:b/>
          <w:i w:val="0"/>
          <w:iCs w:val="0"/>
          <w:sz w:val="36"/>
          <w:szCs w:val="36"/>
          <w:u w:val="none"/>
        </w:rPr>
      </w:pPr>
      <w:r>
        <w:rPr>
          <w:rFonts w:hint="eastAsia" w:ascii="楷体" w:hAnsi="楷体" w:eastAsia="楷体" w:cs="宋体"/>
          <w:b/>
          <w:i w:val="0"/>
          <w:iCs w:val="0"/>
          <w:sz w:val="36"/>
          <w:szCs w:val="36"/>
          <w:u w:val="none"/>
        </w:rPr>
        <w:t>政府采购合同</w:t>
      </w:r>
    </w:p>
    <w:p w14:paraId="56E2D2EF">
      <w:pPr>
        <w:spacing w:line="480" w:lineRule="auto"/>
        <w:jc w:val="center"/>
        <w:rPr>
          <w:rFonts w:ascii="楷体" w:hAnsi="楷体" w:eastAsia="楷体" w:cs="宋体"/>
          <w:b/>
          <w:sz w:val="36"/>
          <w:szCs w:val="36"/>
        </w:rPr>
      </w:pPr>
      <w:r>
        <w:rPr>
          <w:rFonts w:hint="eastAsia" w:ascii="楷体" w:hAnsi="楷体" w:eastAsia="楷体" w:cs="宋体"/>
          <w:b/>
          <w:sz w:val="36"/>
          <w:szCs w:val="36"/>
        </w:rPr>
        <w:t>（货物类）</w:t>
      </w:r>
    </w:p>
    <w:p w14:paraId="53F5BB5D">
      <w:pPr>
        <w:pStyle w:val="1289"/>
        <w:rPr>
          <w:rFonts w:ascii="楷体" w:hAnsi="楷体" w:eastAsia="楷体" w:cs="宋体"/>
          <w:szCs w:val="24"/>
        </w:rPr>
      </w:pPr>
    </w:p>
    <w:p w14:paraId="17263D21">
      <w:pPr>
        <w:pStyle w:val="1289"/>
        <w:rPr>
          <w:rFonts w:ascii="楷体" w:hAnsi="楷体" w:eastAsia="楷体" w:cs="宋体"/>
          <w:szCs w:val="24"/>
        </w:rPr>
      </w:pPr>
    </w:p>
    <w:p w14:paraId="34028395">
      <w:pPr>
        <w:pStyle w:val="1289"/>
        <w:jc w:val="center"/>
        <w:rPr>
          <w:rFonts w:ascii="楷体" w:hAnsi="楷体" w:eastAsia="楷体" w:cs="宋体"/>
          <w:szCs w:val="24"/>
        </w:rPr>
      </w:pPr>
    </w:p>
    <w:p w14:paraId="4FBE7F84">
      <w:pPr>
        <w:pStyle w:val="1289"/>
        <w:ind w:firstLine="2668"/>
        <w:rPr>
          <w:rFonts w:ascii="楷体" w:hAnsi="楷体" w:eastAsia="楷体" w:cs="宋体"/>
          <w:b/>
          <w:sz w:val="28"/>
          <w:szCs w:val="28"/>
        </w:rPr>
      </w:pPr>
      <w:r>
        <w:rPr>
          <w:rFonts w:hint="eastAsia" w:ascii="楷体" w:hAnsi="楷体" w:eastAsia="楷体" w:cs="宋体"/>
          <w:b/>
          <w:sz w:val="28"/>
          <w:szCs w:val="28"/>
        </w:rPr>
        <w:t>第一</w:t>
      </w:r>
      <w:bookmarkStart w:id="80" w:name="_Hlk136502621"/>
      <w:r>
        <w:rPr>
          <w:rFonts w:hint="eastAsia" w:ascii="楷体" w:hAnsi="楷体" w:eastAsia="楷体" w:cs="宋体"/>
          <w:b/>
          <w:sz w:val="28"/>
          <w:szCs w:val="28"/>
        </w:rPr>
        <w:t>部分</w:t>
      </w:r>
      <w:bookmarkEnd w:id="80"/>
      <w:r>
        <w:rPr>
          <w:rFonts w:ascii="楷体" w:hAnsi="楷体" w:eastAsia="楷体" w:cs="宋体"/>
          <w:b/>
          <w:sz w:val="28"/>
          <w:szCs w:val="28"/>
        </w:rPr>
        <w:t xml:space="preserve"> 合同书</w:t>
      </w:r>
    </w:p>
    <w:p w14:paraId="77BF7D57">
      <w:pPr>
        <w:pStyle w:val="1289"/>
        <w:rPr>
          <w:rFonts w:ascii="楷体" w:hAnsi="楷体" w:eastAsia="楷体" w:cs="宋体"/>
          <w:szCs w:val="24"/>
        </w:rPr>
      </w:pPr>
    </w:p>
    <w:p w14:paraId="7FF948CB">
      <w:pPr>
        <w:pStyle w:val="1289"/>
        <w:rPr>
          <w:rFonts w:ascii="楷体" w:hAnsi="楷体" w:eastAsia="楷体" w:cs="宋体"/>
          <w:szCs w:val="24"/>
        </w:rPr>
      </w:pPr>
    </w:p>
    <w:p w14:paraId="4AF907E1">
      <w:pPr>
        <w:spacing w:before="120" w:line="22" w:lineRule="atLeast"/>
        <w:rPr>
          <w:rFonts w:ascii="楷体" w:hAnsi="楷体" w:eastAsia="楷体" w:cs="宋体"/>
          <w:sz w:val="24"/>
        </w:rPr>
      </w:pPr>
    </w:p>
    <w:p w14:paraId="08F68293">
      <w:pPr>
        <w:spacing w:before="120" w:line="22" w:lineRule="atLeast"/>
        <w:ind w:left="960"/>
        <w:rPr>
          <w:rFonts w:ascii="楷体" w:hAnsi="楷体" w:eastAsia="楷体" w:cs="宋体"/>
          <w:sz w:val="24"/>
        </w:rPr>
      </w:pPr>
      <w:r>
        <w:rPr>
          <w:rFonts w:hint="eastAsia" w:ascii="楷体" w:hAnsi="楷体" w:eastAsia="楷体" w:cs="宋体"/>
          <w:sz w:val="24"/>
        </w:rPr>
        <w:t>项目名称：</w:t>
      </w:r>
      <w:r>
        <w:rPr>
          <w:rFonts w:ascii="楷体" w:hAnsi="楷体" w:eastAsia="楷体" w:cs="宋体"/>
          <w:sz w:val="24"/>
          <w:u w:val="single"/>
        </w:rPr>
        <w:t xml:space="preserve">                                   </w:t>
      </w:r>
    </w:p>
    <w:p w14:paraId="3DEBC2E9">
      <w:pPr>
        <w:pStyle w:val="1536"/>
        <w:spacing w:before="120" w:line="22" w:lineRule="atLeast"/>
        <w:rPr>
          <w:rFonts w:ascii="楷体" w:hAnsi="楷体" w:eastAsia="楷体" w:cs="宋体"/>
          <w:szCs w:val="24"/>
        </w:rPr>
      </w:pPr>
    </w:p>
    <w:p w14:paraId="278B399B">
      <w:pPr>
        <w:pStyle w:val="1536"/>
        <w:spacing w:before="120" w:line="22" w:lineRule="atLeast"/>
        <w:rPr>
          <w:rFonts w:ascii="楷体" w:hAnsi="楷体" w:eastAsia="楷体" w:cs="宋体"/>
          <w:szCs w:val="24"/>
        </w:rPr>
      </w:pPr>
    </w:p>
    <w:p w14:paraId="535B8052">
      <w:pPr>
        <w:rPr>
          <w:rFonts w:ascii="楷体" w:hAnsi="楷体" w:eastAsia="楷体" w:cs="宋体"/>
          <w:sz w:val="24"/>
        </w:rPr>
      </w:pPr>
    </w:p>
    <w:p w14:paraId="06C9FB87">
      <w:pPr>
        <w:spacing w:before="120" w:line="22" w:lineRule="atLeast"/>
        <w:ind w:left="960"/>
        <w:rPr>
          <w:rFonts w:ascii="楷体" w:hAnsi="楷体" w:eastAsia="楷体" w:cs="宋体"/>
          <w:sz w:val="24"/>
          <w:u w:val="single"/>
        </w:rPr>
      </w:pPr>
      <w:r>
        <w:rPr>
          <w:rFonts w:hint="eastAsia" w:ascii="楷体" w:hAnsi="楷体" w:eastAsia="楷体" w:cs="宋体"/>
          <w:sz w:val="24"/>
        </w:rPr>
        <w:t>甲方：</w:t>
      </w:r>
      <w:r>
        <w:rPr>
          <w:rFonts w:ascii="楷体" w:hAnsi="楷体" w:eastAsia="楷体" w:cs="宋体"/>
          <w:sz w:val="24"/>
          <w:u w:val="single"/>
        </w:rPr>
        <w:t xml:space="preserve">                                       </w:t>
      </w:r>
    </w:p>
    <w:p w14:paraId="1878F435">
      <w:pPr>
        <w:spacing w:before="120" w:line="22" w:lineRule="atLeast"/>
        <w:rPr>
          <w:rFonts w:ascii="楷体" w:hAnsi="楷体" w:eastAsia="楷体" w:cs="宋体"/>
          <w:sz w:val="24"/>
        </w:rPr>
      </w:pPr>
    </w:p>
    <w:p w14:paraId="30A11781">
      <w:pPr>
        <w:spacing w:before="120" w:line="22" w:lineRule="atLeast"/>
        <w:ind w:left="960"/>
        <w:rPr>
          <w:rFonts w:ascii="楷体" w:hAnsi="楷体" w:eastAsia="楷体" w:cs="宋体"/>
          <w:sz w:val="24"/>
          <w:u w:val="single"/>
        </w:rPr>
      </w:pPr>
      <w:r>
        <w:rPr>
          <w:rFonts w:hint="eastAsia" w:ascii="楷体" w:hAnsi="楷体" w:eastAsia="楷体" w:cs="宋体"/>
          <w:sz w:val="24"/>
        </w:rPr>
        <w:t>乙方：</w:t>
      </w:r>
      <w:r>
        <w:rPr>
          <w:rFonts w:ascii="楷体" w:hAnsi="楷体" w:eastAsia="楷体" w:cs="宋体"/>
          <w:sz w:val="24"/>
          <w:u w:val="single"/>
        </w:rPr>
        <w:t xml:space="preserve">                                       </w:t>
      </w:r>
    </w:p>
    <w:p w14:paraId="7B316E48">
      <w:pPr>
        <w:spacing w:before="120" w:line="22" w:lineRule="atLeast"/>
        <w:rPr>
          <w:rFonts w:ascii="楷体" w:hAnsi="楷体" w:eastAsia="楷体" w:cs="宋体"/>
          <w:sz w:val="24"/>
        </w:rPr>
      </w:pPr>
    </w:p>
    <w:p w14:paraId="7D18CF42">
      <w:pPr>
        <w:spacing w:before="120" w:line="22" w:lineRule="atLeast"/>
        <w:rPr>
          <w:rFonts w:ascii="楷体" w:hAnsi="楷体" w:eastAsia="楷体" w:cs="宋体"/>
          <w:sz w:val="24"/>
        </w:rPr>
      </w:pPr>
    </w:p>
    <w:p w14:paraId="7177DE3C">
      <w:pPr>
        <w:spacing w:before="120" w:line="22" w:lineRule="atLeast"/>
        <w:ind w:firstLine="960"/>
        <w:rPr>
          <w:rFonts w:ascii="楷体" w:hAnsi="楷体" w:eastAsia="楷体" w:cs="宋体"/>
          <w:sz w:val="24"/>
        </w:rPr>
      </w:pPr>
    </w:p>
    <w:p w14:paraId="36B67EFB">
      <w:pPr>
        <w:spacing w:before="120" w:line="22" w:lineRule="atLeast"/>
        <w:ind w:firstLine="960"/>
        <w:rPr>
          <w:rFonts w:ascii="楷体" w:hAnsi="楷体" w:eastAsia="楷体" w:cs="宋体"/>
          <w:sz w:val="24"/>
        </w:rPr>
      </w:pPr>
    </w:p>
    <w:p w14:paraId="4EB0D2D9">
      <w:pPr>
        <w:spacing w:before="120" w:line="22" w:lineRule="atLeast"/>
        <w:ind w:firstLine="960"/>
        <w:rPr>
          <w:rFonts w:ascii="楷体" w:hAnsi="楷体" w:eastAsia="楷体" w:cs="宋体"/>
          <w:sz w:val="24"/>
        </w:rPr>
      </w:pPr>
    </w:p>
    <w:p w14:paraId="0E0E05D1">
      <w:pPr>
        <w:spacing w:before="120" w:line="22" w:lineRule="atLeast"/>
        <w:ind w:firstLine="960"/>
        <w:rPr>
          <w:rFonts w:ascii="楷体" w:hAnsi="楷体" w:eastAsia="楷体" w:cs="宋体"/>
          <w:sz w:val="24"/>
          <w:u w:val="single"/>
        </w:rPr>
      </w:pPr>
      <w:r>
        <w:rPr>
          <w:rFonts w:hint="eastAsia" w:ascii="楷体" w:hAnsi="楷体" w:eastAsia="楷体" w:cs="宋体"/>
          <w:sz w:val="24"/>
        </w:rPr>
        <w:t>签订日期：</w:t>
      </w:r>
      <w:r>
        <w:rPr>
          <w:rFonts w:ascii="楷体" w:hAnsi="楷体" w:eastAsia="楷体" w:cs="宋体"/>
          <w:sz w:val="24"/>
          <w:u w:val="single"/>
        </w:rPr>
        <w:t xml:space="preserve">               </w:t>
      </w:r>
      <w:r>
        <w:rPr>
          <w:rFonts w:hint="eastAsia" w:ascii="楷体" w:hAnsi="楷体" w:eastAsia="楷体" w:cs="宋体"/>
          <w:sz w:val="24"/>
        </w:rPr>
        <w:t>年</w:t>
      </w:r>
      <w:r>
        <w:rPr>
          <w:rFonts w:ascii="楷体" w:hAnsi="楷体" w:eastAsia="楷体" w:cs="宋体"/>
          <w:sz w:val="24"/>
          <w:u w:val="single"/>
        </w:rPr>
        <w:t xml:space="preserve">       </w:t>
      </w:r>
      <w:r>
        <w:rPr>
          <w:rFonts w:hint="eastAsia" w:ascii="楷体" w:hAnsi="楷体" w:eastAsia="楷体" w:cs="宋体"/>
          <w:sz w:val="24"/>
        </w:rPr>
        <w:t>月</w:t>
      </w:r>
      <w:r>
        <w:rPr>
          <w:rFonts w:ascii="楷体" w:hAnsi="楷体" w:eastAsia="楷体" w:cs="宋体"/>
          <w:sz w:val="24"/>
          <w:u w:val="single"/>
        </w:rPr>
        <w:t xml:space="preserve">       </w:t>
      </w:r>
      <w:r>
        <w:rPr>
          <w:rFonts w:hint="eastAsia" w:ascii="楷体" w:hAnsi="楷体" w:eastAsia="楷体" w:cs="宋体"/>
          <w:sz w:val="24"/>
        </w:rPr>
        <w:t>日</w:t>
      </w:r>
    </w:p>
    <w:p w14:paraId="39AD191D">
      <w:pPr>
        <w:widowControl/>
        <w:jc w:val="left"/>
        <w:rPr>
          <w:rFonts w:ascii="楷体" w:hAnsi="楷体" w:eastAsia="楷体" w:cs="宋体"/>
          <w:sz w:val="24"/>
        </w:rPr>
        <w:sectPr>
          <w:footerReference r:id="rId3" w:type="default"/>
          <w:pgSz w:w="11907" w:h="16840"/>
          <w:pgMar w:top="1474" w:right="1814" w:bottom="1474" w:left="1814" w:header="851" w:footer="851" w:gutter="0"/>
          <w:pgNumType w:fmt="decimal" w:start="1"/>
          <w:cols w:space="720" w:num="1"/>
          <w:docGrid w:linePitch="360" w:charSpace="0"/>
        </w:sectPr>
      </w:pPr>
    </w:p>
    <w:p w14:paraId="3214B345">
      <w:pPr>
        <w:spacing w:line="560" w:lineRule="exact"/>
        <w:ind w:firstLine="480"/>
        <w:rPr>
          <w:rFonts w:ascii="楷体" w:hAnsi="楷体" w:eastAsia="楷体" w:cs="宋体"/>
          <w:sz w:val="24"/>
        </w:rPr>
      </w:pPr>
      <w:r>
        <w:rPr>
          <w:rFonts w:hint="eastAsia" w:ascii="楷体" w:hAnsi="楷体" w:eastAsia="楷体" w:cs="宋体"/>
          <w:sz w:val="24"/>
          <w:lang w:val="zh-CN"/>
        </w:rPr>
        <w:t>根据《中华人民共和国民法典》《中华人民共和国政府采购法》等相关法律法规之规定和</w:t>
      </w:r>
      <w:r>
        <w:rPr>
          <w:rFonts w:ascii="楷体" w:hAnsi="楷体" w:eastAsia="楷体"/>
          <w:sz w:val="24"/>
        </w:rPr>
        <w:t>XXXXXX（项目编号）的招标结果，</w:t>
      </w:r>
      <w:r>
        <w:rPr>
          <w:rFonts w:hint="eastAsia" w:ascii="楷体" w:hAnsi="楷体" w:eastAsia="楷体" w:cs="宋体"/>
          <w:sz w:val="24"/>
          <w:lang w:val="zh-CN"/>
        </w:rPr>
        <w:t>按照平等、自愿、公平、诚实信用和绿色的原则，经甲方和乙方协商一致，约定以下合同</w:t>
      </w:r>
      <w:r>
        <w:rPr>
          <w:rFonts w:hint="eastAsia" w:ascii="楷体" w:hAnsi="楷体" w:eastAsia="楷体" w:cs="宋体"/>
          <w:sz w:val="24"/>
        </w:rPr>
        <w:t>条款，以兹共同遵守、全面履行。</w:t>
      </w:r>
    </w:p>
    <w:p w14:paraId="6D9E7C19">
      <w:pPr>
        <w:spacing w:line="560" w:lineRule="exact"/>
        <w:ind w:firstLine="482"/>
        <w:outlineLvl w:val="0"/>
        <w:rPr>
          <w:rFonts w:ascii="楷体" w:hAnsi="楷体" w:eastAsia="楷体" w:cs="宋体"/>
          <w:b/>
          <w:sz w:val="24"/>
        </w:rPr>
      </w:pPr>
      <w:bookmarkStart w:id="81" w:name="_Hlk132882891"/>
      <w:bookmarkStart w:id="82" w:name="_Toc24059"/>
      <w:bookmarkStart w:id="83" w:name="_Toc2232"/>
      <w:bookmarkStart w:id="84" w:name="_Toc3029"/>
      <w:r>
        <w:rPr>
          <w:rFonts w:hint="eastAsia" w:ascii="楷体" w:hAnsi="楷体" w:eastAsia="楷体" w:cs="宋体"/>
          <w:b/>
          <w:sz w:val="24"/>
        </w:rPr>
        <w:t>一</w:t>
      </w:r>
      <w:bookmarkEnd w:id="81"/>
      <w:r>
        <w:rPr>
          <w:rFonts w:ascii="楷体" w:hAnsi="楷体" w:eastAsia="楷体" w:cs="宋体"/>
          <w:b/>
          <w:sz w:val="24"/>
        </w:rPr>
        <w:t xml:space="preserve">.1 </w:t>
      </w:r>
      <w:r>
        <w:rPr>
          <w:rFonts w:hint="eastAsia" w:ascii="楷体" w:hAnsi="楷体" w:eastAsia="楷体" w:cs="宋体"/>
          <w:b/>
          <w:sz w:val="24"/>
        </w:rPr>
        <w:t>合同组成部分</w:t>
      </w:r>
      <w:bookmarkEnd w:id="82"/>
      <w:bookmarkEnd w:id="83"/>
      <w:bookmarkEnd w:id="84"/>
    </w:p>
    <w:p w14:paraId="72BCD6BE">
      <w:pPr>
        <w:spacing w:line="560" w:lineRule="exact"/>
        <w:ind w:firstLine="480"/>
        <w:rPr>
          <w:rFonts w:ascii="楷体" w:hAnsi="楷体" w:eastAsia="楷体" w:cs="宋体"/>
          <w:sz w:val="24"/>
        </w:rPr>
      </w:pPr>
      <w:r>
        <w:rPr>
          <w:rFonts w:hint="eastAsia" w:ascii="楷体" w:hAnsi="楷体" w:eastAsia="楷体" w:cs="宋体"/>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608738B">
      <w:pPr>
        <w:spacing w:line="560" w:lineRule="exact"/>
        <w:ind w:firstLine="482"/>
        <w:rPr>
          <w:rFonts w:ascii="楷体" w:hAnsi="楷体" w:eastAsia="楷体" w:cs="宋体"/>
          <w:sz w:val="24"/>
        </w:rPr>
      </w:pPr>
      <w:r>
        <w:rPr>
          <w:rFonts w:ascii="楷体" w:hAnsi="楷体" w:eastAsia="楷体" w:cs="宋体"/>
          <w:b/>
          <w:sz w:val="24"/>
        </w:rPr>
        <w:t>1</w:t>
      </w:r>
      <w:r>
        <w:rPr>
          <w:rFonts w:ascii="楷体" w:hAnsi="楷体" w:eastAsia="楷体" w:cs="宋体"/>
          <w:sz w:val="24"/>
        </w:rPr>
        <w:t xml:space="preserve">.1.1 </w:t>
      </w:r>
      <w:r>
        <w:rPr>
          <w:rFonts w:hint="eastAsia" w:ascii="楷体" w:hAnsi="楷体" w:eastAsia="楷体" w:cs="宋体"/>
          <w:sz w:val="24"/>
        </w:rPr>
        <w:t>本合同第一部分、第二部分、第三部分及其补充合同、变更协议；</w:t>
      </w:r>
    </w:p>
    <w:p w14:paraId="769EE9D4">
      <w:pPr>
        <w:spacing w:line="560" w:lineRule="exact"/>
        <w:ind w:firstLine="482"/>
        <w:rPr>
          <w:rFonts w:ascii="楷体" w:hAnsi="楷体" w:eastAsia="楷体" w:cs="宋体"/>
          <w:sz w:val="24"/>
        </w:rPr>
      </w:pPr>
      <w:r>
        <w:rPr>
          <w:rFonts w:ascii="楷体" w:hAnsi="楷体" w:eastAsia="楷体" w:cs="宋体"/>
          <w:b/>
          <w:sz w:val="24"/>
        </w:rPr>
        <w:t>1</w:t>
      </w:r>
      <w:r>
        <w:rPr>
          <w:rFonts w:ascii="楷体" w:hAnsi="楷体" w:eastAsia="楷体" w:cs="宋体"/>
          <w:sz w:val="24"/>
        </w:rPr>
        <w:t xml:space="preserve">.1.2 </w:t>
      </w:r>
      <w:r>
        <w:rPr>
          <w:rFonts w:hint="eastAsia" w:ascii="楷体" w:hAnsi="楷体" w:eastAsia="楷体" w:cs="宋体"/>
          <w:sz w:val="24"/>
        </w:rPr>
        <w:t>中标或者成交通知书；</w:t>
      </w:r>
    </w:p>
    <w:p w14:paraId="0A2B3665">
      <w:pPr>
        <w:spacing w:line="560" w:lineRule="exact"/>
        <w:ind w:firstLine="482"/>
        <w:rPr>
          <w:rFonts w:ascii="楷体" w:hAnsi="楷体" w:eastAsia="楷体" w:cs="宋体"/>
          <w:sz w:val="24"/>
        </w:rPr>
      </w:pPr>
      <w:r>
        <w:rPr>
          <w:rFonts w:ascii="楷体" w:hAnsi="楷体" w:eastAsia="楷体" w:cs="宋体"/>
          <w:b/>
          <w:sz w:val="24"/>
        </w:rPr>
        <w:t>1</w:t>
      </w:r>
      <w:r>
        <w:rPr>
          <w:rFonts w:ascii="楷体" w:hAnsi="楷体" w:eastAsia="楷体" w:cs="宋体"/>
          <w:sz w:val="24"/>
        </w:rPr>
        <w:t xml:space="preserve">.1.3 </w:t>
      </w:r>
      <w:r>
        <w:rPr>
          <w:rFonts w:hint="eastAsia" w:ascii="楷体" w:hAnsi="楷体" w:eastAsia="楷体" w:cs="宋体"/>
          <w:sz w:val="24"/>
        </w:rPr>
        <w:t>投标或者响应文件（含澄清或者说明文件）；</w:t>
      </w:r>
    </w:p>
    <w:p w14:paraId="6CAADF7F">
      <w:pPr>
        <w:spacing w:line="560" w:lineRule="exact"/>
        <w:ind w:firstLine="482"/>
        <w:rPr>
          <w:rFonts w:ascii="楷体" w:hAnsi="楷体" w:eastAsia="楷体" w:cs="宋体"/>
          <w:sz w:val="24"/>
        </w:rPr>
      </w:pPr>
      <w:r>
        <w:rPr>
          <w:rFonts w:ascii="楷体" w:hAnsi="楷体" w:eastAsia="楷体" w:cs="宋体"/>
          <w:b/>
          <w:sz w:val="24"/>
        </w:rPr>
        <w:t>1</w:t>
      </w:r>
      <w:r>
        <w:rPr>
          <w:rFonts w:ascii="楷体" w:hAnsi="楷体" w:eastAsia="楷体" w:cs="宋体"/>
          <w:sz w:val="24"/>
        </w:rPr>
        <w:t xml:space="preserve">.1.4 </w:t>
      </w:r>
      <w:r>
        <w:rPr>
          <w:rFonts w:hint="eastAsia" w:ascii="楷体" w:hAnsi="楷体" w:eastAsia="楷体" w:cs="宋体"/>
          <w:sz w:val="24"/>
        </w:rPr>
        <w:t>采购文件（含澄清或者修改文件）；</w:t>
      </w:r>
    </w:p>
    <w:p w14:paraId="669EF1C2">
      <w:pPr>
        <w:spacing w:line="560" w:lineRule="exact"/>
        <w:ind w:firstLine="482"/>
        <w:rPr>
          <w:rFonts w:ascii="楷体" w:hAnsi="楷体" w:eastAsia="楷体" w:cs="宋体"/>
          <w:sz w:val="24"/>
        </w:rPr>
      </w:pPr>
      <w:r>
        <w:rPr>
          <w:rFonts w:ascii="楷体" w:hAnsi="楷体" w:eastAsia="楷体" w:cs="宋体"/>
          <w:b/>
          <w:sz w:val="24"/>
        </w:rPr>
        <w:t>1</w:t>
      </w:r>
      <w:r>
        <w:rPr>
          <w:rFonts w:ascii="楷体" w:hAnsi="楷体" w:eastAsia="楷体" w:cs="宋体"/>
          <w:sz w:val="24"/>
        </w:rPr>
        <w:t xml:space="preserve">.1.5 </w:t>
      </w:r>
      <w:r>
        <w:rPr>
          <w:rFonts w:hint="eastAsia" w:ascii="楷体" w:hAnsi="楷体" w:eastAsia="楷体" w:cs="宋体"/>
          <w:sz w:val="24"/>
        </w:rPr>
        <w:t>其他相关采购文件。</w:t>
      </w:r>
    </w:p>
    <w:p w14:paraId="7D6C7C01">
      <w:pPr>
        <w:spacing w:line="560" w:lineRule="exact"/>
        <w:ind w:firstLine="482"/>
        <w:outlineLvl w:val="0"/>
        <w:rPr>
          <w:rFonts w:ascii="楷体" w:hAnsi="楷体" w:eastAsia="楷体" w:cs="宋体"/>
          <w:b/>
          <w:sz w:val="24"/>
        </w:rPr>
      </w:pPr>
      <w:bookmarkStart w:id="85" w:name="_Toc21295"/>
      <w:bookmarkStart w:id="86" w:name="_Toc27126"/>
      <w:bookmarkStart w:id="87" w:name="_Toc24300"/>
      <w:r>
        <w:rPr>
          <w:rFonts w:ascii="楷体" w:hAnsi="楷体" w:eastAsia="楷体" w:cs="宋体"/>
          <w:b/>
          <w:sz w:val="24"/>
        </w:rPr>
        <w:t xml:space="preserve">1.2 </w:t>
      </w:r>
      <w:r>
        <w:rPr>
          <w:rFonts w:hint="eastAsia" w:ascii="楷体" w:hAnsi="楷体" w:eastAsia="楷体" w:cs="宋体"/>
          <w:b/>
          <w:sz w:val="24"/>
        </w:rPr>
        <w:t>货物</w:t>
      </w:r>
      <w:bookmarkEnd w:id="85"/>
      <w:bookmarkEnd w:id="86"/>
      <w:bookmarkEnd w:id="87"/>
      <w:r>
        <w:rPr>
          <w:rFonts w:hint="eastAsia" w:ascii="楷体" w:hAnsi="楷体" w:eastAsia="楷体" w:cs="宋体"/>
          <w:b/>
          <w:i/>
          <w:iCs/>
          <w:sz w:val="24"/>
        </w:rPr>
        <w:t>（可附货物清单）</w:t>
      </w:r>
    </w:p>
    <w:p w14:paraId="565B8661">
      <w:pPr>
        <w:spacing w:line="560" w:lineRule="exact"/>
        <w:ind w:firstLine="482"/>
        <w:rPr>
          <w:rFonts w:ascii="楷体" w:hAnsi="楷体" w:eastAsia="楷体" w:cs="宋体"/>
          <w:sz w:val="24"/>
          <w:u w:val="single"/>
        </w:rPr>
      </w:pPr>
      <w:r>
        <w:rPr>
          <w:rFonts w:ascii="楷体" w:hAnsi="楷体" w:eastAsia="楷体" w:cs="宋体"/>
          <w:b/>
          <w:sz w:val="24"/>
        </w:rPr>
        <w:t>1</w:t>
      </w:r>
      <w:r>
        <w:rPr>
          <w:rFonts w:ascii="楷体" w:hAnsi="楷体" w:eastAsia="楷体" w:cs="宋体"/>
          <w:sz w:val="24"/>
        </w:rPr>
        <w:t xml:space="preserve">.2.1 </w:t>
      </w:r>
      <w:r>
        <w:rPr>
          <w:rFonts w:hint="eastAsia" w:ascii="楷体" w:hAnsi="楷体" w:eastAsia="楷体" w:cs="宋体"/>
          <w:sz w:val="24"/>
        </w:rPr>
        <w:t>货物名称、品牌、规格型号等：</w:t>
      </w:r>
      <w:r>
        <w:rPr>
          <w:rFonts w:ascii="楷体" w:hAnsi="楷体" w:eastAsia="楷体" w:cs="宋体"/>
          <w:sz w:val="24"/>
          <w:u w:val="single"/>
        </w:rPr>
        <w:t xml:space="preserve">                             </w:t>
      </w:r>
      <w:r>
        <w:rPr>
          <w:rFonts w:hint="eastAsia" w:ascii="楷体" w:hAnsi="楷体" w:eastAsia="楷体" w:cs="宋体"/>
          <w:sz w:val="24"/>
        </w:rPr>
        <w:t>；</w:t>
      </w:r>
    </w:p>
    <w:p w14:paraId="1003AA86">
      <w:pPr>
        <w:spacing w:line="560" w:lineRule="exact"/>
        <w:ind w:firstLine="482"/>
        <w:rPr>
          <w:rFonts w:ascii="楷体" w:hAnsi="楷体" w:eastAsia="楷体" w:cs="宋体"/>
          <w:sz w:val="24"/>
          <w:u w:val="single"/>
        </w:rPr>
      </w:pPr>
      <w:r>
        <w:rPr>
          <w:rFonts w:ascii="楷体" w:hAnsi="楷体" w:eastAsia="楷体" w:cs="宋体"/>
          <w:b/>
          <w:sz w:val="24"/>
        </w:rPr>
        <w:t>1</w:t>
      </w:r>
      <w:r>
        <w:rPr>
          <w:rFonts w:ascii="楷体" w:hAnsi="楷体" w:eastAsia="楷体" w:cs="宋体"/>
          <w:sz w:val="24"/>
        </w:rPr>
        <w:t xml:space="preserve">.2.2 </w:t>
      </w:r>
      <w:r>
        <w:rPr>
          <w:rFonts w:hint="eastAsia" w:ascii="楷体" w:hAnsi="楷体" w:eastAsia="楷体" w:cs="宋体"/>
          <w:sz w:val="24"/>
        </w:rPr>
        <w:t>货物数量：</w:t>
      </w:r>
      <w:r>
        <w:rPr>
          <w:rFonts w:ascii="楷体" w:hAnsi="楷体" w:eastAsia="楷体" w:cs="宋体"/>
          <w:sz w:val="24"/>
          <w:u w:val="single"/>
        </w:rPr>
        <w:t xml:space="preserve">                                                </w:t>
      </w:r>
      <w:r>
        <w:rPr>
          <w:rFonts w:hint="eastAsia" w:ascii="楷体" w:hAnsi="楷体" w:eastAsia="楷体" w:cs="宋体"/>
          <w:sz w:val="24"/>
        </w:rPr>
        <w:t>；</w:t>
      </w:r>
    </w:p>
    <w:p w14:paraId="53A5A6ED">
      <w:pPr>
        <w:spacing w:line="560" w:lineRule="exact"/>
        <w:ind w:firstLine="482"/>
        <w:rPr>
          <w:rFonts w:ascii="楷体" w:hAnsi="楷体" w:eastAsia="楷体" w:cs="宋体"/>
          <w:sz w:val="24"/>
          <w:u w:val="single"/>
        </w:rPr>
      </w:pPr>
      <w:r>
        <w:rPr>
          <w:rFonts w:ascii="楷体" w:hAnsi="楷体" w:eastAsia="楷体" w:cs="宋体"/>
          <w:b/>
          <w:sz w:val="24"/>
        </w:rPr>
        <w:t>1</w:t>
      </w:r>
      <w:r>
        <w:rPr>
          <w:rFonts w:ascii="楷体" w:hAnsi="楷体" w:eastAsia="楷体" w:cs="宋体"/>
          <w:sz w:val="24"/>
        </w:rPr>
        <w:t xml:space="preserve">.2.3 </w:t>
      </w:r>
      <w:r>
        <w:rPr>
          <w:rFonts w:hint="eastAsia" w:ascii="楷体" w:hAnsi="楷体" w:eastAsia="楷体" w:cs="宋体"/>
          <w:sz w:val="24"/>
        </w:rPr>
        <w:t>货物质量：</w:t>
      </w:r>
      <w:r>
        <w:rPr>
          <w:rFonts w:hint="eastAsia" w:ascii="楷体" w:hAnsi="楷体" w:eastAsia="楷体" w:cs="宋体"/>
          <w:sz w:val="24"/>
          <w:u w:val="single"/>
        </w:rPr>
        <w:t>　　　　　　　　　</w:t>
      </w:r>
      <w:r>
        <w:rPr>
          <w:rFonts w:ascii="楷体" w:hAnsi="楷体" w:eastAsia="楷体" w:cs="宋体"/>
          <w:sz w:val="24"/>
          <w:u w:val="single"/>
        </w:rPr>
        <w:t xml:space="preserve">                      　      ；</w:t>
      </w:r>
    </w:p>
    <w:p w14:paraId="41ABD118">
      <w:pPr>
        <w:spacing w:line="560" w:lineRule="exact"/>
        <w:ind w:firstLine="480"/>
        <w:rPr>
          <w:rFonts w:ascii="楷体" w:hAnsi="楷体" w:eastAsia="楷体" w:cs="宋体"/>
          <w:i/>
          <w:iCs/>
          <w:sz w:val="24"/>
          <w:u w:val="single"/>
        </w:rPr>
      </w:pPr>
      <w:r>
        <w:rPr>
          <w:rFonts w:ascii="楷体" w:hAnsi="楷体" w:eastAsia="楷体"/>
          <w:i/>
          <w:iCs/>
          <w:sz w:val="24"/>
        </w:rPr>
        <w:t>1.2.4 详细货物清单可在合同专用条款中列出</w:t>
      </w:r>
    </w:p>
    <w:p w14:paraId="0119D550">
      <w:pPr>
        <w:spacing w:line="560" w:lineRule="exact"/>
        <w:ind w:firstLine="482"/>
        <w:outlineLvl w:val="0"/>
        <w:rPr>
          <w:rFonts w:ascii="楷体" w:hAnsi="楷体" w:eastAsia="楷体" w:cs="宋体"/>
          <w:b/>
          <w:sz w:val="24"/>
        </w:rPr>
      </w:pPr>
      <w:bookmarkStart w:id="88" w:name="_Toc21631"/>
      <w:bookmarkStart w:id="89" w:name="_Toc21551"/>
      <w:bookmarkStart w:id="90" w:name="_Toc23292"/>
      <w:r>
        <w:rPr>
          <w:rFonts w:ascii="楷体" w:hAnsi="楷体" w:eastAsia="楷体" w:cs="宋体"/>
          <w:b/>
          <w:sz w:val="24"/>
        </w:rPr>
        <w:t>1.3 服务</w:t>
      </w:r>
      <w:r>
        <w:rPr>
          <w:rFonts w:hint="eastAsia" w:ascii="楷体" w:hAnsi="楷体" w:eastAsia="楷体" w:cs="宋体"/>
          <w:b/>
          <w:i/>
          <w:iCs/>
          <w:sz w:val="24"/>
        </w:rPr>
        <w:t>（可附服务清单）</w:t>
      </w:r>
    </w:p>
    <w:p w14:paraId="0116C134">
      <w:pPr>
        <w:spacing w:line="560" w:lineRule="exact"/>
        <w:ind w:firstLine="480"/>
        <w:rPr>
          <w:rFonts w:ascii="楷体" w:hAnsi="楷体" w:eastAsia="楷体"/>
          <w:sz w:val="24"/>
          <w:u w:val="single"/>
        </w:rPr>
      </w:pPr>
      <w:r>
        <w:rPr>
          <w:rFonts w:ascii="楷体" w:hAnsi="楷体" w:eastAsia="楷体"/>
          <w:sz w:val="24"/>
        </w:rPr>
        <w:t xml:space="preserve">1.3.1 </w:t>
      </w:r>
      <w:r>
        <w:rPr>
          <w:rFonts w:hint="eastAsia" w:ascii="楷体" w:hAnsi="楷体" w:eastAsia="楷体"/>
          <w:sz w:val="24"/>
        </w:rPr>
        <w:t>服务内容</w:t>
      </w:r>
      <w:r>
        <w:rPr>
          <w:rFonts w:ascii="楷体" w:hAnsi="楷体" w:eastAsia="楷体"/>
          <w:sz w:val="24"/>
        </w:rPr>
        <w:t>：</w:t>
      </w:r>
      <w:r>
        <w:rPr>
          <w:rFonts w:ascii="楷体" w:hAnsi="楷体" w:eastAsia="楷体"/>
          <w:sz w:val="24"/>
          <w:u w:val="single"/>
        </w:rPr>
        <w:t xml:space="preserve">                                        </w:t>
      </w:r>
      <w:r>
        <w:rPr>
          <w:rFonts w:hint="eastAsia" w:ascii="楷体" w:hAnsi="楷体" w:eastAsia="楷体"/>
          <w:sz w:val="24"/>
        </w:rPr>
        <w:t>；</w:t>
      </w:r>
    </w:p>
    <w:p w14:paraId="3C8977A5">
      <w:pPr>
        <w:spacing w:line="560" w:lineRule="exact"/>
        <w:ind w:firstLine="480"/>
        <w:rPr>
          <w:rFonts w:ascii="楷体" w:hAnsi="楷体" w:eastAsia="楷体"/>
          <w:sz w:val="24"/>
          <w:u w:val="single"/>
        </w:rPr>
      </w:pPr>
      <w:r>
        <w:rPr>
          <w:rFonts w:ascii="楷体" w:hAnsi="楷体" w:eastAsia="楷体"/>
          <w:sz w:val="24"/>
        </w:rPr>
        <w:t xml:space="preserve">1.3.2 </w:t>
      </w:r>
      <w:r>
        <w:rPr>
          <w:rFonts w:hint="eastAsia" w:ascii="楷体" w:hAnsi="楷体" w:eastAsia="楷体"/>
          <w:sz w:val="24"/>
        </w:rPr>
        <w:t>服务标准</w:t>
      </w:r>
      <w:r>
        <w:rPr>
          <w:rFonts w:ascii="楷体" w:hAnsi="楷体" w:eastAsia="楷体"/>
          <w:sz w:val="24"/>
        </w:rPr>
        <w:t>：</w:t>
      </w:r>
      <w:r>
        <w:rPr>
          <w:rFonts w:ascii="楷体" w:hAnsi="楷体" w:eastAsia="楷体"/>
          <w:sz w:val="24"/>
          <w:u w:val="single"/>
        </w:rPr>
        <w:t xml:space="preserve">                                                </w:t>
      </w:r>
      <w:r>
        <w:rPr>
          <w:rFonts w:hint="eastAsia" w:ascii="楷体" w:hAnsi="楷体" w:eastAsia="楷体"/>
          <w:sz w:val="24"/>
        </w:rPr>
        <w:t>；</w:t>
      </w:r>
    </w:p>
    <w:p w14:paraId="718356FB">
      <w:pPr>
        <w:spacing w:line="560" w:lineRule="exact"/>
        <w:ind w:firstLine="480"/>
        <w:rPr>
          <w:rFonts w:ascii="楷体" w:hAnsi="楷体" w:eastAsia="楷体"/>
          <w:sz w:val="24"/>
          <w:u w:val="single"/>
        </w:rPr>
      </w:pPr>
      <w:r>
        <w:rPr>
          <w:rFonts w:ascii="楷体" w:hAnsi="楷体" w:eastAsia="楷体"/>
          <w:sz w:val="24"/>
        </w:rPr>
        <w:t xml:space="preserve">1.3.3 </w:t>
      </w:r>
      <w:r>
        <w:rPr>
          <w:rFonts w:hint="eastAsia" w:ascii="楷体" w:hAnsi="楷体" w:eastAsia="楷体"/>
          <w:sz w:val="24"/>
        </w:rPr>
        <w:t>技术保障：</w:t>
      </w:r>
      <w:r>
        <w:rPr>
          <w:rFonts w:ascii="楷体" w:hAnsi="楷体" w:eastAsia="楷体"/>
          <w:sz w:val="24"/>
          <w:u w:val="single"/>
        </w:rPr>
        <w:t xml:space="preserve">　　　　　　　　　                      　      </w:t>
      </w:r>
      <w:r>
        <w:rPr>
          <w:rFonts w:hint="eastAsia" w:ascii="楷体" w:hAnsi="楷体" w:eastAsia="楷体"/>
          <w:sz w:val="24"/>
          <w:u w:val="single"/>
        </w:rPr>
        <w:t>；</w:t>
      </w:r>
    </w:p>
    <w:p w14:paraId="61428126">
      <w:pPr>
        <w:spacing w:line="560" w:lineRule="exact"/>
        <w:ind w:firstLine="480"/>
        <w:jc w:val="left"/>
        <w:rPr>
          <w:rFonts w:ascii="楷体" w:hAnsi="楷体" w:eastAsia="楷体"/>
          <w:sz w:val="24"/>
          <w:u w:val="single"/>
        </w:rPr>
      </w:pPr>
      <w:r>
        <w:rPr>
          <w:rFonts w:ascii="楷体" w:hAnsi="楷体" w:eastAsia="楷体"/>
          <w:sz w:val="24"/>
        </w:rPr>
        <w:t xml:space="preserve">1.3.4 </w:t>
      </w:r>
      <w:r>
        <w:rPr>
          <w:rFonts w:hint="eastAsia" w:ascii="楷体" w:hAnsi="楷体" w:eastAsia="楷体"/>
          <w:sz w:val="24"/>
        </w:rPr>
        <w:t>服务人员组成：</w:t>
      </w:r>
      <w:r>
        <w:rPr>
          <w:rFonts w:ascii="楷体" w:hAnsi="楷体" w:eastAsia="楷体"/>
          <w:sz w:val="24"/>
          <w:u w:val="single"/>
        </w:rPr>
        <w:t xml:space="preserve">　　             　      </w:t>
      </w:r>
      <w:r>
        <w:rPr>
          <w:rFonts w:hint="eastAsia" w:ascii="楷体" w:hAnsi="楷体" w:eastAsia="楷体"/>
          <w:sz w:val="24"/>
        </w:rPr>
        <w:t>；</w:t>
      </w:r>
      <w:r>
        <w:rPr>
          <w:rFonts w:ascii="楷体" w:hAnsi="楷体" w:eastAsia="楷体"/>
          <w:sz w:val="24"/>
          <w:u w:val="single"/>
        </w:rPr>
        <w:t xml:space="preserve"> </w:t>
      </w:r>
    </w:p>
    <w:p w14:paraId="5BBD3C9A">
      <w:pPr>
        <w:spacing w:line="560" w:lineRule="exact"/>
        <w:ind w:firstLine="482"/>
        <w:outlineLvl w:val="0"/>
        <w:rPr>
          <w:rFonts w:ascii="楷体" w:hAnsi="楷体" w:eastAsia="楷体" w:cs="宋体"/>
          <w:b/>
          <w:sz w:val="24"/>
        </w:rPr>
      </w:pPr>
      <w:r>
        <w:rPr>
          <w:rFonts w:ascii="楷体" w:hAnsi="楷体" w:eastAsia="楷体" w:cs="宋体"/>
          <w:b/>
          <w:sz w:val="24"/>
        </w:rPr>
        <w:t xml:space="preserve">1.4 </w:t>
      </w:r>
      <w:bookmarkEnd w:id="88"/>
      <w:bookmarkEnd w:id="89"/>
      <w:bookmarkEnd w:id="90"/>
      <w:r>
        <w:rPr>
          <w:rFonts w:hint="eastAsia" w:ascii="楷体" w:hAnsi="楷体" w:eastAsia="楷体" w:cs="宋体"/>
          <w:b/>
          <w:sz w:val="24"/>
        </w:rPr>
        <w:t>合同金额</w:t>
      </w:r>
    </w:p>
    <w:p w14:paraId="46ACDB3F">
      <w:pPr>
        <w:spacing w:line="560" w:lineRule="exact"/>
        <w:ind w:firstLine="480"/>
        <w:rPr>
          <w:rFonts w:ascii="楷体" w:hAnsi="楷体" w:eastAsia="楷体"/>
          <w:sz w:val="24"/>
        </w:rPr>
      </w:pPr>
      <w:r>
        <w:rPr>
          <w:rFonts w:hint="eastAsia" w:ascii="楷体" w:hAnsi="楷体" w:eastAsia="楷体"/>
          <w:sz w:val="24"/>
        </w:rPr>
        <w:t>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本项目采用以下第</w:t>
      </w:r>
      <w:r>
        <w:rPr>
          <w:rFonts w:ascii="楷体" w:hAnsi="楷体" w:eastAsia="楷体" w:cs="宋体"/>
          <w:sz w:val="24"/>
          <w:u w:val="single"/>
        </w:rPr>
        <w:t>1.4.1</w:t>
      </w:r>
      <w:r>
        <w:rPr>
          <w:rFonts w:hint="eastAsia" w:ascii="楷体" w:hAnsi="楷体" w:eastAsia="楷体" w:cs="宋体"/>
          <w:sz w:val="24"/>
        </w:rPr>
        <w:t>条款规定的计价方式计价。</w:t>
      </w:r>
    </w:p>
    <w:p w14:paraId="27F0873A">
      <w:pPr>
        <w:spacing w:line="560" w:lineRule="exact"/>
        <w:ind w:firstLine="480"/>
        <w:rPr>
          <w:rFonts w:ascii="楷体" w:hAnsi="楷体" w:eastAsia="楷体" w:cs="宋体"/>
          <w:sz w:val="24"/>
        </w:rPr>
      </w:pPr>
      <w:r>
        <w:rPr>
          <w:rFonts w:ascii="楷体" w:hAnsi="楷体" w:eastAsia="楷体"/>
          <w:sz w:val="24"/>
        </w:rPr>
        <w:t>1.4.1总价合同。</w:t>
      </w:r>
      <w:r>
        <w:rPr>
          <w:rFonts w:hint="eastAsia" w:ascii="楷体" w:hAnsi="楷体" w:eastAsia="楷体" w:cs="宋体"/>
          <w:sz w:val="24"/>
        </w:rPr>
        <w:t>本合同总价（含税）为：￥</w:t>
      </w:r>
      <w:r>
        <w:rPr>
          <w:rFonts w:ascii="楷体" w:hAnsi="楷体" w:eastAsia="楷体" w:cs="宋体"/>
          <w:sz w:val="24"/>
          <w:u w:val="single"/>
        </w:rPr>
        <w:t xml:space="preserve">           </w:t>
      </w:r>
      <w:r>
        <w:rPr>
          <w:rFonts w:hint="eastAsia" w:ascii="楷体" w:hAnsi="楷体" w:eastAsia="楷体" w:cs="宋体"/>
          <w:sz w:val="24"/>
        </w:rPr>
        <w:t>元（大写：</w:t>
      </w:r>
      <w:r>
        <w:rPr>
          <w:rFonts w:ascii="楷体" w:hAnsi="楷体" w:eastAsia="楷体" w:cs="宋体"/>
          <w:sz w:val="24"/>
          <w:u w:val="single"/>
        </w:rPr>
        <w:t xml:space="preserve">                 </w:t>
      </w:r>
      <w:r>
        <w:rPr>
          <w:rFonts w:hint="eastAsia" w:ascii="楷体" w:hAnsi="楷体" w:eastAsia="楷体" w:cs="宋体"/>
          <w:sz w:val="24"/>
        </w:rPr>
        <w:t>元人民币）。</w:t>
      </w:r>
    </w:p>
    <w:p w14:paraId="1C14689A">
      <w:pPr>
        <w:spacing w:line="560" w:lineRule="exact"/>
        <w:ind w:firstLine="480"/>
        <w:rPr>
          <w:rFonts w:ascii="楷体" w:hAnsi="楷体" w:eastAsia="楷体"/>
          <w:sz w:val="24"/>
        </w:rPr>
      </w:pPr>
      <w:bookmarkStart w:id="91" w:name="_Hlk134193576"/>
      <w:bookmarkStart w:id="92" w:name="_Toc30158"/>
      <w:bookmarkStart w:id="93" w:name="_Toc3654"/>
      <w:bookmarkStart w:id="94" w:name="_Toc14993"/>
      <w:bookmarkStart w:id="95" w:name="_Toc26916"/>
      <w:bookmarkStart w:id="96" w:name="_Toc30506"/>
      <w:bookmarkStart w:id="97" w:name="_Toc1814"/>
      <w:bookmarkStart w:id="98" w:name="_Toc10340"/>
      <w:bookmarkStart w:id="99" w:name="_Toc22618"/>
      <w:r>
        <w:rPr>
          <w:rFonts w:ascii="楷体" w:hAnsi="楷体" w:eastAsia="楷体"/>
          <w:bCs/>
          <w:sz w:val="24"/>
        </w:rPr>
        <w:t>1.4.2</w:t>
      </w:r>
      <w:bookmarkEnd w:id="91"/>
      <w:r>
        <w:rPr>
          <w:rFonts w:hint="eastAsia" w:ascii="楷体" w:hAnsi="楷体" w:eastAsia="楷体"/>
          <w:bCs/>
          <w:sz w:val="24"/>
        </w:rPr>
        <w:t>单价合同，本合同单价（含税）标准为：</w:t>
      </w:r>
      <w:r>
        <w:rPr>
          <w:rFonts w:ascii="楷体" w:hAnsi="楷体" w:eastAsia="楷体"/>
          <w:bCs/>
          <w:sz w:val="24"/>
          <w:u w:val="single"/>
        </w:rPr>
        <w:t xml:space="preserve">                   </w:t>
      </w:r>
      <w:r>
        <w:rPr>
          <w:rFonts w:ascii="楷体" w:hAnsi="楷体" w:eastAsia="楷体"/>
          <w:sz w:val="24"/>
        </w:rPr>
        <w:t>。</w:t>
      </w:r>
      <w:r>
        <w:rPr>
          <w:rFonts w:hint="eastAsia" w:ascii="楷体" w:hAnsi="楷体" w:eastAsia="楷体"/>
          <w:sz w:val="24"/>
        </w:rPr>
        <w:t>计量方式为：</w:t>
      </w:r>
      <w:r>
        <w:rPr>
          <w:rFonts w:ascii="楷体" w:hAnsi="楷体" w:eastAsia="楷体"/>
          <w:bCs/>
          <w:sz w:val="24"/>
          <w:u w:val="single"/>
        </w:rPr>
        <w:t xml:space="preserve">       </w:t>
      </w:r>
      <w:r>
        <w:rPr>
          <w:rFonts w:hint="eastAsia" w:ascii="楷体" w:hAnsi="楷体" w:eastAsia="楷体" w:cs="宋体"/>
          <w:b/>
          <w:iCs/>
          <w:sz w:val="24"/>
          <w:u w:val="single"/>
        </w:rPr>
        <w:t>合同专用条款</w:t>
      </w:r>
      <w:r>
        <w:rPr>
          <w:rFonts w:ascii="楷体" w:hAnsi="楷体" w:eastAsia="楷体"/>
          <w:bCs/>
          <w:iCs/>
          <w:sz w:val="24"/>
          <w:u w:val="single"/>
        </w:rPr>
        <w:t xml:space="preserve"> 1.4.2</w:t>
      </w:r>
      <w:r>
        <w:rPr>
          <w:rFonts w:ascii="楷体" w:hAnsi="楷体" w:eastAsia="楷体"/>
          <w:bCs/>
          <w:sz w:val="24"/>
          <w:u w:val="single"/>
        </w:rPr>
        <w:t xml:space="preserve">    </w:t>
      </w:r>
      <w:r>
        <w:rPr>
          <w:rFonts w:ascii="楷体" w:hAnsi="楷体" w:eastAsia="楷体"/>
          <w:sz w:val="24"/>
        </w:rPr>
        <w:t>。</w:t>
      </w:r>
      <w:r>
        <w:rPr>
          <w:rFonts w:hint="eastAsia" w:ascii="楷体" w:hAnsi="楷体" w:eastAsia="楷体"/>
          <w:sz w:val="24"/>
        </w:rPr>
        <w:t>单价合同，在合同履行期间内，根据实际完成的工作量据实结算，但结算总价上限不得超过预算金额或者双方确定的金额￥</w:t>
      </w:r>
      <w:r>
        <w:rPr>
          <w:rFonts w:ascii="楷体" w:hAnsi="楷体" w:eastAsia="楷体"/>
          <w:sz w:val="24"/>
          <w:u w:val="single"/>
        </w:rPr>
        <w:t xml:space="preserve">           </w:t>
      </w:r>
      <w:r>
        <w:rPr>
          <w:rFonts w:ascii="楷体" w:hAnsi="楷体" w:eastAsia="楷体"/>
          <w:sz w:val="24"/>
        </w:rPr>
        <w:t>元</w:t>
      </w:r>
      <w:r>
        <w:rPr>
          <w:rFonts w:hint="eastAsia" w:ascii="楷体" w:hAnsi="楷体" w:eastAsia="楷体"/>
          <w:sz w:val="24"/>
        </w:rPr>
        <w:t>（大写：</w:t>
      </w:r>
      <w:r>
        <w:rPr>
          <w:rFonts w:ascii="楷体" w:hAnsi="楷体" w:eastAsia="楷体"/>
          <w:sz w:val="24"/>
          <w:u w:val="single"/>
        </w:rPr>
        <w:t xml:space="preserve">                 </w:t>
      </w:r>
      <w:r>
        <w:rPr>
          <w:rFonts w:hint="eastAsia" w:ascii="楷体" w:hAnsi="楷体" w:eastAsia="楷体"/>
          <w:sz w:val="24"/>
        </w:rPr>
        <w:t>元人民币）。</w:t>
      </w:r>
    </w:p>
    <w:p w14:paraId="79C41DB6">
      <w:pPr>
        <w:spacing w:line="560" w:lineRule="exact"/>
        <w:ind w:firstLine="480"/>
        <w:rPr>
          <w:rFonts w:ascii="楷体" w:hAnsi="楷体" w:eastAsia="楷体"/>
          <w:sz w:val="24"/>
        </w:rPr>
      </w:pPr>
      <w:r>
        <w:rPr>
          <w:rFonts w:ascii="楷体" w:hAnsi="楷体" w:eastAsia="楷体"/>
          <w:sz w:val="24"/>
        </w:rPr>
        <w:t xml:space="preserve"> </w:t>
      </w:r>
      <w:r>
        <w:rPr>
          <w:rFonts w:ascii="楷体" w:hAnsi="楷体" w:eastAsia="楷体" w:cs="宋体"/>
          <w:sz w:val="24"/>
        </w:rPr>
        <w:t>1.4.3其他计价方式：</w:t>
      </w:r>
      <w:r>
        <w:rPr>
          <w:rFonts w:ascii="楷体" w:hAnsi="楷体" w:eastAsia="楷体" w:cs="宋体"/>
          <w:sz w:val="24"/>
          <w:u w:val="single"/>
        </w:rPr>
        <w:t xml:space="preserve">                   </w:t>
      </w:r>
      <w:r>
        <w:rPr>
          <w:rFonts w:hint="eastAsia" w:ascii="楷体" w:hAnsi="楷体" w:eastAsia="楷体" w:cs="宋体"/>
          <w:sz w:val="24"/>
        </w:rPr>
        <w:t>。</w:t>
      </w:r>
      <w:bookmarkEnd w:id="92"/>
      <w:bookmarkEnd w:id="93"/>
      <w:bookmarkEnd w:id="94"/>
      <w:bookmarkEnd w:id="95"/>
      <w:bookmarkEnd w:id="96"/>
    </w:p>
    <w:p w14:paraId="3A53D4F8">
      <w:pPr>
        <w:pStyle w:val="1531"/>
        <w:spacing w:before="0" w:beforeAutospacing="0" w:after="0" w:afterAutospacing="0" w:line="360" w:lineRule="auto"/>
        <w:ind w:firstLine="480"/>
        <w:rPr>
          <w:rFonts w:ascii="楷体" w:hAnsi="楷体" w:eastAsia="楷体"/>
          <w:b/>
        </w:rPr>
      </w:pPr>
      <w:r>
        <w:rPr>
          <w:rFonts w:ascii="楷体" w:hAnsi="楷体" w:eastAsia="楷体"/>
          <w:b/>
        </w:rPr>
        <w:t>1.5</w:t>
      </w:r>
      <w:r>
        <w:rPr>
          <w:rFonts w:hint="eastAsia" w:ascii="楷体" w:hAnsi="楷体" w:eastAsia="楷体"/>
          <w:b/>
        </w:rPr>
        <w:t>履约保证金</w:t>
      </w:r>
    </w:p>
    <w:p w14:paraId="4189178B">
      <w:pPr>
        <w:pStyle w:val="1531"/>
        <w:spacing w:before="0" w:beforeAutospacing="0" w:after="0" w:afterAutospacing="0" w:line="360" w:lineRule="auto"/>
        <w:ind w:firstLine="480"/>
        <w:rPr>
          <w:rFonts w:ascii="楷体" w:hAnsi="楷体" w:eastAsia="楷体"/>
        </w:rPr>
      </w:pPr>
      <w:r>
        <w:rPr>
          <w:rFonts w:hint="eastAsia" w:ascii="楷体" w:hAnsi="楷体" w:eastAsia="楷体"/>
        </w:rPr>
        <w:t>乙方</w:t>
      </w:r>
      <w:r>
        <w:rPr>
          <w:rFonts w:ascii="楷体" w:hAnsi="楷体" w:eastAsia="楷体"/>
          <w:u w:val="single"/>
        </w:rPr>
        <w:t xml:space="preserve">   </w:t>
      </w:r>
      <w:r>
        <w:rPr>
          <w:rFonts w:hint="eastAsia" w:ascii="楷体" w:hAnsi="楷体" w:eastAsia="楷体"/>
          <w:u w:val="single"/>
        </w:rPr>
        <w:t>否</w:t>
      </w:r>
      <w:r>
        <w:rPr>
          <w:rFonts w:ascii="楷体" w:hAnsi="楷体" w:eastAsia="楷体"/>
          <w:u w:val="single"/>
        </w:rPr>
        <w:t xml:space="preserve">   </w:t>
      </w:r>
      <w:r>
        <w:rPr>
          <w:rFonts w:hint="eastAsia" w:ascii="楷体" w:hAnsi="楷体" w:eastAsia="楷体"/>
        </w:rPr>
        <w:t>（是</w:t>
      </w:r>
      <w:r>
        <w:rPr>
          <w:rFonts w:ascii="楷体" w:hAnsi="楷体" w:eastAsia="楷体"/>
        </w:rPr>
        <w:t xml:space="preserve"> </w:t>
      </w:r>
      <w:r>
        <w:rPr>
          <w:rFonts w:ascii="楷体" w:hAnsi="楷体" w:eastAsia="楷体" w:cs="仿宋"/>
        </w:rPr>
        <w:t>/</w:t>
      </w:r>
      <w:r>
        <w:rPr>
          <w:rFonts w:hint="eastAsia" w:ascii="楷体" w:hAnsi="楷体" w:eastAsia="楷体"/>
        </w:rPr>
        <w:t>否）需要支付履约保证金。若需要支付履约保证金的，则：</w:t>
      </w:r>
    </w:p>
    <w:p w14:paraId="1ECB57C9">
      <w:pPr>
        <w:spacing w:line="560" w:lineRule="exact"/>
        <w:ind w:firstLine="480"/>
        <w:outlineLvl w:val="0"/>
        <w:rPr>
          <w:rFonts w:ascii="楷体" w:hAnsi="楷体" w:eastAsia="楷体" w:cs="宋体"/>
          <w:sz w:val="24"/>
        </w:rPr>
      </w:pPr>
      <w:r>
        <w:rPr>
          <w:rFonts w:ascii="楷体" w:hAnsi="楷体" w:eastAsia="楷体" w:cs="宋体"/>
          <w:sz w:val="24"/>
        </w:rPr>
        <w:t>1.5.1履约保证金的比例为合同金额的</w:t>
      </w:r>
      <w:r>
        <w:rPr>
          <w:rFonts w:ascii="楷体" w:hAnsi="楷体" w:eastAsia="楷体" w:cs="宋体"/>
          <w:sz w:val="24"/>
          <w:u w:val="single"/>
        </w:rPr>
        <w:t xml:space="preserve">   </w:t>
      </w:r>
      <w:r>
        <w:rPr>
          <w:rFonts w:hint="eastAsia" w:ascii="楷体" w:hAnsi="楷体" w:eastAsia="楷体" w:cs="宋体"/>
          <w:sz w:val="24"/>
          <w:u w:val="single"/>
          <w:lang w:val="en-US" w:eastAsia="zh-CN"/>
        </w:rPr>
        <w:t>/</w:t>
      </w:r>
      <w:r>
        <w:rPr>
          <w:rFonts w:ascii="楷体" w:hAnsi="楷体" w:eastAsia="楷体" w:cs="宋体"/>
          <w:sz w:val="24"/>
          <w:u w:val="single"/>
        </w:rPr>
        <w:t xml:space="preserve">  </w:t>
      </w:r>
      <w:r>
        <w:rPr>
          <w:rFonts w:ascii="楷体" w:hAnsi="楷体" w:eastAsia="楷体" w:cs="宋体"/>
          <w:sz w:val="24"/>
        </w:rPr>
        <w:t xml:space="preserve">%； </w:t>
      </w:r>
    </w:p>
    <w:p w14:paraId="72141644">
      <w:pPr>
        <w:spacing w:line="560" w:lineRule="exact"/>
        <w:ind w:firstLine="482"/>
        <w:outlineLvl w:val="0"/>
        <w:rPr>
          <w:rFonts w:ascii="楷体" w:hAnsi="楷体" w:eastAsia="楷体" w:cs="宋体"/>
          <w:sz w:val="24"/>
        </w:rPr>
      </w:pPr>
      <w:r>
        <w:rPr>
          <w:rFonts w:ascii="楷体" w:hAnsi="楷体" w:eastAsia="楷体" w:cs="宋体"/>
          <w:sz w:val="24"/>
        </w:rPr>
        <w:t>1.5.2履约保证金支付方式详见</w:t>
      </w:r>
      <w:r>
        <w:rPr>
          <w:rFonts w:ascii="楷体" w:hAnsi="楷体" w:eastAsia="楷体" w:cs="宋体"/>
          <w:sz w:val="24"/>
          <w:u w:val="single"/>
        </w:rPr>
        <w:t xml:space="preserve">    </w:t>
      </w:r>
      <w:r>
        <w:rPr>
          <w:rFonts w:hint="eastAsia" w:ascii="楷体" w:hAnsi="楷体" w:eastAsia="楷体" w:cs="宋体"/>
          <w:b/>
          <w:iCs/>
          <w:sz w:val="24"/>
          <w:u w:val="single"/>
        </w:rPr>
        <w:t>合同专用条款</w:t>
      </w:r>
      <w:r>
        <w:rPr>
          <w:rFonts w:ascii="楷体" w:hAnsi="楷体" w:eastAsia="楷体" w:cs="宋体"/>
          <w:iCs/>
          <w:sz w:val="24"/>
          <w:u w:val="single"/>
        </w:rPr>
        <w:t xml:space="preserve"> 1.5.2 </w:t>
      </w:r>
      <w:r>
        <w:rPr>
          <w:rFonts w:ascii="楷体" w:hAnsi="楷体" w:eastAsia="楷体" w:cs="宋体"/>
          <w:sz w:val="24"/>
          <w:u w:val="single"/>
        </w:rPr>
        <w:t xml:space="preserve">         </w:t>
      </w:r>
      <w:r>
        <w:rPr>
          <w:rFonts w:hint="eastAsia" w:ascii="楷体" w:hAnsi="楷体" w:eastAsia="楷体" w:cs="宋体"/>
          <w:sz w:val="24"/>
        </w:rPr>
        <w:t>；</w:t>
      </w:r>
    </w:p>
    <w:p w14:paraId="20C69AFE">
      <w:pPr>
        <w:pStyle w:val="5"/>
        <w:tabs>
          <w:tab w:val="left" w:pos="0"/>
        </w:tabs>
        <w:spacing w:before="0" w:after="0" w:line="560" w:lineRule="exact"/>
        <w:ind w:firstLine="482"/>
        <w:jc w:val="left"/>
        <w:rPr>
          <w:rFonts w:ascii="楷体" w:hAnsi="楷体" w:eastAsia="楷体"/>
        </w:rPr>
      </w:pPr>
      <w:r>
        <w:rPr>
          <w:rFonts w:ascii="楷体" w:hAnsi="楷体" w:eastAsia="楷体" w:cs="宋体"/>
          <w:b w:val="0"/>
          <w:sz w:val="24"/>
          <w:szCs w:val="24"/>
        </w:rPr>
        <w:t xml:space="preserve">1.5.3 </w:t>
      </w:r>
      <w:bookmarkStart w:id="100" w:name="_Hlk152172542"/>
      <w:r>
        <w:rPr>
          <w:rFonts w:hint="eastAsia" w:ascii="楷体" w:hAnsi="楷体" w:eastAsia="楷体" w:cs="宋体"/>
          <w:b w:val="0"/>
          <w:sz w:val="24"/>
          <w:szCs w:val="24"/>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500DB51E">
      <w:pPr>
        <w:spacing w:line="560" w:lineRule="exact"/>
        <w:ind w:firstLine="482"/>
        <w:outlineLvl w:val="0"/>
        <w:rPr>
          <w:rFonts w:ascii="楷体" w:hAnsi="楷体" w:eastAsia="楷体"/>
        </w:rPr>
      </w:pPr>
      <w:r>
        <w:rPr>
          <w:rFonts w:ascii="楷体" w:hAnsi="楷体" w:eastAsia="楷体" w:cs="宋体"/>
          <w:sz w:val="24"/>
        </w:rPr>
        <w:t xml:space="preserve">1.5.4 </w:t>
      </w:r>
      <w:r>
        <w:rPr>
          <w:rFonts w:hint="eastAsia" w:ascii="楷体" w:hAnsi="楷体" w:eastAsia="楷体" w:cs="宋体"/>
          <w:sz w:val="24"/>
        </w:rPr>
        <w:t>甲方在项目验收结束后及时退还履约保证金。甲方在项目通过验收之日起</w:t>
      </w:r>
      <w:r>
        <w:rPr>
          <w:rFonts w:ascii="楷体" w:hAnsi="楷体" w:eastAsia="楷体" w:cs="宋体"/>
          <w:sz w:val="24"/>
          <w:u w:val="single"/>
        </w:rPr>
        <w:t xml:space="preserve">       5</w:t>
      </w:r>
      <w:r>
        <w:rPr>
          <w:rFonts w:hint="eastAsia" w:ascii="楷体" w:hAnsi="楷体" w:eastAsia="楷体" w:cs="宋体"/>
          <w:sz w:val="24"/>
        </w:rPr>
        <w:t>个工作日内将履约保证金无息退还乙方（出具保函、保险保单的费用不予退还），逾期退还的，乙方可要求甲方支付违约金，</w:t>
      </w:r>
      <w:bookmarkEnd w:id="100"/>
      <w:r>
        <w:rPr>
          <w:rFonts w:hint="eastAsia" w:ascii="楷体" w:hAnsi="楷体" w:eastAsia="楷体" w:cs="宋体"/>
          <w:sz w:val="24"/>
        </w:rPr>
        <w:t>违约金按每迟延退还一日的应退还而未退还金额的</w:t>
      </w:r>
      <w:r>
        <w:rPr>
          <w:rFonts w:ascii="楷体" w:hAnsi="楷体" w:eastAsia="楷体" w:cs="宋体"/>
          <w:sz w:val="24"/>
          <w:u w:val="single"/>
        </w:rPr>
        <w:t xml:space="preserve">  （</w:t>
      </w:r>
      <w:r>
        <w:rPr>
          <w:rFonts w:hint="eastAsia" w:ascii="楷体" w:hAnsi="楷体" w:eastAsia="楷体" w:cs="宋体"/>
          <w:i/>
          <w:iCs/>
          <w:sz w:val="24"/>
          <w:u w:val="single"/>
        </w:rPr>
        <w:t>按同期银行活期存款利息</w:t>
      </w:r>
      <w:r>
        <w:rPr>
          <w:rFonts w:hint="eastAsia" w:ascii="楷体" w:hAnsi="楷体" w:eastAsia="楷体" w:cs="宋体"/>
          <w:sz w:val="24"/>
          <w:u w:val="single"/>
        </w:rPr>
        <w:t>）</w:t>
      </w:r>
      <w:r>
        <w:rPr>
          <w:rFonts w:ascii="楷体" w:hAnsi="楷体" w:eastAsia="楷体" w:cs="宋体"/>
          <w:sz w:val="24"/>
          <w:u w:val="single"/>
        </w:rPr>
        <w:t xml:space="preserve">   </w:t>
      </w:r>
      <w:r>
        <w:rPr>
          <w:rFonts w:ascii="楷体" w:hAnsi="楷体" w:eastAsia="楷体" w:cs="宋体"/>
          <w:sz w:val="24"/>
        </w:rPr>
        <w:t>%计算，最高限额为本合同履约保证金的</w:t>
      </w:r>
      <w:r>
        <w:rPr>
          <w:rFonts w:ascii="楷体" w:hAnsi="楷体" w:eastAsia="楷体" w:cs="宋体"/>
          <w:sz w:val="24"/>
          <w:u w:val="single"/>
        </w:rPr>
        <w:t xml:space="preserve">  XX  </w:t>
      </w:r>
      <w:r>
        <w:rPr>
          <w:rFonts w:ascii="楷体" w:hAnsi="楷体" w:eastAsia="楷体" w:cs="宋体"/>
          <w:sz w:val="24"/>
        </w:rPr>
        <w:t xml:space="preserve"> %。</w:t>
      </w:r>
    </w:p>
    <w:p w14:paraId="55C8F2E3">
      <w:pPr>
        <w:spacing w:line="560" w:lineRule="exact"/>
        <w:ind w:firstLine="482"/>
        <w:outlineLvl w:val="0"/>
        <w:rPr>
          <w:rFonts w:ascii="楷体" w:hAnsi="楷体" w:eastAsia="楷体" w:cs="宋体"/>
          <w:b/>
          <w:sz w:val="24"/>
        </w:rPr>
      </w:pPr>
      <w:r>
        <w:rPr>
          <w:rFonts w:ascii="楷体" w:hAnsi="楷体" w:eastAsia="楷体" w:cs="宋体"/>
          <w:b/>
          <w:sz w:val="24"/>
        </w:rPr>
        <w:t>1.</w:t>
      </w:r>
      <w:bookmarkEnd w:id="97"/>
      <w:bookmarkEnd w:id="98"/>
      <w:bookmarkEnd w:id="99"/>
      <w:r>
        <w:rPr>
          <w:rFonts w:ascii="楷体" w:hAnsi="楷体" w:eastAsia="楷体" w:cs="宋体"/>
          <w:b/>
          <w:sz w:val="24"/>
        </w:rPr>
        <w:t>6</w:t>
      </w:r>
      <w:r>
        <w:rPr>
          <w:rFonts w:hint="eastAsia" w:ascii="楷体" w:hAnsi="楷体" w:eastAsia="楷体" w:cs="宋体"/>
          <w:b/>
          <w:sz w:val="24"/>
        </w:rPr>
        <w:t>预付款</w:t>
      </w:r>
    </w:p>
    <w:p w14:paraId="62AD3BE9">
      <w:pPr>
        <w:widowControl/>
        <w:spacing w:line="360" w:lineRule="auto"/>
        <w:ind w:firstLine="480"/>
        <w:jc w:val="left"/>
        <w:rPr>
          <w:rFonts w:ascii="楷体" w:hAnsi="楷体" w:eastAsia="楷体" w:cs="宋体"/>
          <w:sz w:val="24"/>
        </w:rPr>
      </w:pPr>
      <w:r>
        <w:rPr>
          <w:rFonts w:hint="eastAsia" w:ascii="楷体" w:hAnsi="楷体" w:eastAsia="楷体" w:cs="宋体"/>
          <w:sz w:val="24"/>
        </w:rPr>
        <w:t>□经双方协商乙方自愿放弃预付款。</w:t>
      </w:r>
    </w:p>
    <w:p w14:paraId="0FAA881A">
      <w:pPr>
        <w:widowControl/>
        <w:spacing w:line="360" w:lineRule="auto"/>
        <w:ind w:firstLine="480"/>
        <w:jc w:val="left"/>
        <w:rPr>
          <w:rFonts w:ascii="楷体" w:hAnsi="楷体" w:eastAsia="楷体" w:cs="宋体"/>
          <w:sz w:val="24"/>
        </w:rPr>
      </w:pPr>
      <w:r>
        <w:rPr>
          <w:rFonts w:hint="eastAsia" w:ascii="楷体" w:hAnsi="楷体" w:eastAsia="楷体" w:cs="宋体"/>
          <w:sz w:val="24"/>
        </w:rPr>
        <w:t>□若需要支付预付款的，则：</w:t>
      </w:r>
    </w:p>
    <w:p w14:paraId="1937A08B">
      <w:pPr>
        <w:pStyle w:val="1531"/>
        <w:spacing w:before="0" w:beforeAutospacing="0" w:after="0" w:afterAutospacing="0" w:line="360" w:lineRule="auto"/>
        <w:ind w:firstLine="480"/>
        <w:rPr>
          <w:rFonts w:ascii="楷体" w:hAnsi="楷体" w:eastAsia="楷体"/>
        </w:rPr>
      </w:pPr>
      <w:r>
        <w:rPr>
          <w:rFonts w:ascii="楷体" w:hAnsi="楷体" w:eastAsia="楷体"/>
        </w:rPr>
        <w:t>1.6.1预付款比例、支付方式、时间详见</w:t>
      </w:r>
      <w:r>
        <w:rPr>
          <w:rFonts w:ascii="楷体" w:hAnsi="楷体" w:eastAsia="楷体"/>
          <w:u w:val="single"/>
        </w:rPr>
        <w:t xml:space="preserve">    </w:t>
      </w:r>
      <w:r>
        <w:rPr>
          <w:rFonts w:hint="eastAsia" w:ascii="楷体" w:hAnsi="楷体" w:eastAsia="楷体"/>
          <w:b/>
          <w:iCs/>
          <w:u w:val="single"/>
        </w:rPr>
        <w:t>合同专用条款</w:t>
      </w:r>
      <w:r>
        <w:rPr>
          <w:rFonts w:ascii="楷体" w:hAnsi="楷体" w:eastAsia="楷体"/>
          <w:iCs/>
          <w:u w:val="single"/>
        </w:rPr>
        <w:t xml:space="preserve"> 1.6.1  </w:t>
      </w:r>
      <w:r>
        <w:rPr>
          <w:rFonts w:ascii="楷体" w:hAnsi="楷体" w:eastAsia="楷体"/>
          <w:u w:val="single"/>
        </w:rPr>
        <w:t xml:space="preserve">        </w:t>
      </w:r>
      <w:r>
        <w:rPr>
          <w:rFonts w:hint="eastAsia" w:ascii="楷体" w:hAnsi="楷体" w:eastAsia="楷体"/>
        </w:rPr>
        <w:t>；</w:t>
      </w:r>
    </w:p>
    <w:p w14:paraId="4ACB94C6">
      <w:pPr>
        <w:pStyle w:val="1531"/>
        <w:spacing w:before="0" w:beforeAutospacing="0" w:after="0" w:afterAutospacing="0" w:line="360" w:lineRule="auto"/>
        <w:ind w:firstLine="480"/>
        <w:rPr>
          <w:rFonts w:ascii="楷体" w:hAnsi="楷体" w:eastAsia="楷体"/>
          <w:b/>
          <w:bCs/>
        </w:rPr>
      </w:pPr>
      <w:r>
        <w:rPr>
          <w:rFonts w:ascii="楷体" w:hAnsi="楷体" w:eastAsia="楷体"/>
          <w:b/>
          <w:bCs/>
        </w:rPr>
        <w:t>1.7</w:t>
      </w:r>
      <w:r>
        <w:rPr>
          <w:rFonts w:hint="eastAsia" w:ascii="楷体" w:hAnsi="楷体" w:eastAsia="楷体"/>
          <w:b/>
          <w:bCs/>
        </w:rPr>
        <w:t>资金支付</w:t>
      </w:r>
    </w:p>
    <w:p w14:paraId="1D0D1C16">
      <w:pPr>
        <w:pStyle w:val="1531"/>
        <w:spacing w:before="0" w:beforeAutospacing="0" w:after="0" w:afterAutospacing="0" w:line="360" w:lineRule="auto"/>
        <w:ind w:firstLine="480"/>
        <w:rPr>
          <w:rFonts w:ascii="楷体" w:hAnsi="楷体" w:eastAsia="楷体"/>
        </w:rPr>
      </w:pPr>
      <w:r>
        <w:rPr>
          <w:rFonts w:ascii="楷体" w:hAnsi="楷体" w:eastAsia="楷体"/>
        </w:rPr>
        <w:t>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p>
    <w:p w14:paraId="5A3ED289">
      <w:pPr>
        <w:spacing w:line="560" w:lineRule="exact"/>
        <w:ind w:firstLine="480"/>
        <w:outlineLvl w:val="0"/>
        <w:rPr>
          <w:rFonts w:ascii="楷体" w:hAnsi="楷体" w:eastAsia="楷体" w:cs="宋体"/>
          <w:sz w:val="24"/>
        </w:rPr>
      </w:pPr>
      <w:r>
        <w:rPr>
          <w:rFonts w:ascii="楷体" w:hAnsi="楷体" w:eastAsia="楷体" w:cs="宋体"/>
          <w:sz w:val="24"/>
        </w:rPr>
        <w:t>1.7.2资金支付的方式、时间和条件详见</w:t>
      </w:r>
      <w:r>
        <w:rPr>
          <w:rFonts w:hint="eastAsia" w:ascii="楷体" w:hAnsi="楷体" w:eastAsia="楷体" w:cs="宋体"/>
          <w:b/>
          <w:iCs/>
          <w:sz w:val="24"/>
          <w:u w:val="single"/>
        </w:rPr>
        <w:t>合同专用条款</w:t>
      </w:r>
      <w:r>
        <w:rPr>
          <w:rFonts w:ascii="楷体" w:hAnsi="楷体" w:eastAsia="楷体" w:cs="宋体"/>
          <w:b/>
          <w:iCs/>
          <w:sz w:val="24"/>
          <w:u w:val="single"/>
        </w:rPr>
        <w:t>1.7.2</w:t>
      </w:r>
      <w:r>
        <w:rPr>
          <w:rFonts w:hint="eastAsia" w:ascii="楷体" w:hAnsi="楷体" w:eastAsia="楷体" w:cs="宋体"/>
          <w:iCs/>
          <w:sz w:val="24"/>
        </w:rPr>
        <w:t>。</w:t>
      </w:r>
    </w:p>
    <w:p w14:paraId="3A962F50">
      <w:pPr>
        <w:spacing w:line="560" w:lineRule="exact"/>
        <w:ind w:firstLine="482"/>
        <w:outlineLvl w:val="0"/>
        <w:rPr>
          <w:rFonts w:ascii="楷体" w:hAnsi="楷体" w:eastAsia="楷体" w:cs="宋体"/>
          <w:b/>
          <w:sz w:val="24"/>
        </w:rPr>
      </w:pPr>
      <w:bookmarkStart w:id="101" w:name="_Toc19304"/>
      <w:bookmarkStart w:id="102" w:name="_Toc2846"/>
      <w:bookmarkStart w:id="103" w:name="_Toc32071"/>
      <w:r>
        <w:rPr>
          <w:rFonts w:ascii="楷体" w:hAnsi="楷体" w:eastAsia="楷体" w:cs="宋体"/>
          <w:b/>
          <w:sz w:val="24"/>
        </w:rPr>
        <w:t>1.8</w:t>
      </w:r>
      <w:r>
        <w:rPr>
          <w:rFonts w:hint="eastAsia" w:ascii="楷体" w:hAnsi="楷体" w:eastAsia="楷体" w:cs="宋体"/>
          <w:b/>
          <w:sz w:val="24"/>
        </w:rPr>
        <w:t>货物（服务）交付期限、地点和方式</w:t>
      </w:r>
      <w:bookmarkEnd w:id="101"/>
      <w:bookmarkEnd w:id="102"/>
      <w:bookmarkEnd w:id="103"/>
    </w:p>
    <w:p w14:paraId="134611DC">
      <w:pPr>
        <w:spacing w:line="560" w:lineRule="exact"/>
        <w:ind w:firstLine="480"/>
        <w:rPr>
          <w:rFonts w:ascii="楷体" w:hAnsi="楷体" w:eastAsia="楷体" w:cs="宋体"/>
          <w:sz w:val="24"/>
          <w:u w:val="single"/>
        </w:rPr>
      </w:pPr>
      <w:r>
        <w:rPr>
          <w:rFonts w:ascii="楷体" w:hAnsi="楷体" w:eastAsia="楷体" w:cs="宋体"/>
          <w:sz w:val="24"/>
        </w:rPr>
        <w:t xml:space="preserve">1.8.1 </w:t>
      </w:r>
      <w:r>
        <w:rPr>
          <w:rFonts w:hint="eastAsia" w:ascii="楷体" w:hAnsi="楷体" w:eastAsia="楷体" w:cs="宋体"/>
          <w:sz w:val="24"/>
        </w:rPr>
        <w:t>交付期限：</w:t>
      </w:r>
      <w:bookmarkStart w:id="104" w:name="_Hlk134193824"/>
      <w:r>
        <w:rPr>
          <w:rFonts w:hint="eastAsia" w:ascii="楷体" w:hAnsi="楷体" w:eastAsia="楷体" w:cs="宋体"/>
          <w:sz w:val="24"/>
        </w:rPr>
        <w:t>详见</w:t>
      </w:r>
      <w:bookmarkEnd w:id="104"/>
      <w:r>
        <w:rPr>
          <w:rFonts w:hint="eastAsia" w:ascii="楷体" w:hAnsi="楷体" w:eastAsia="楷体" w:cs="宋体"/>
          <w:b/>
          <w:iCs/>
          <w:sz w:val="24"/>
          <w:u w:val="single"/>
        </w:rPr>
        <w:t>合同专用条款</w:t>
      </w:r>
      <w:r>
        <w:rPr>
          <w:rFonts w:ascii="楷体" w:hAnsi="楷体" w:eastAsia="楷体" w:cs="宋体"/>
          <w:b/>
          <w:iCs/>
          <w:sz w:val="24"/>
          <w:u w:val="single"/>
        </w:rPr>
        <w:t>1.8.1</w:t>
      </w:r>
      <w:r>
        <w:rPr>
          <w:rFonts w:hint="eastAsia" w:ascii="楷体" w:hAnsi="楷体" w:eastAsia="楷体" w:cs="宋体"/>
          <w:iCs/>
          <w:sz w:val="24"/>
        </w:rPr>
        <w:t>；</w:t>
      </w:r>
    </w:p>
    <w:p w14:paraId="40F0523C">
      <w:pPr>
        <w:spacing w:line="560" w:lineRule="exact"/>
        <w:ind w:firstLine="480"/>
        <w:rPr>
          <w:rFonts w:ascii="楷体" w:hAnsi="楷体" w:eastAsia="楷体" w:cs="宋体"/>
          <w:sz w:val="24"/>
        </w:rPr>
      </w:pPr>
      <w:r>
        <w:rPr>
          <w:rFonts w:ascii="楷体" w:hAnsi="楷体" w:eastAsia="楷体" w:cs="宋体"/>
          <w:sz w:val="24"/>
        </w:rPr>
        <w:t xml:space="preserve">1.8.2 </w:t>
      </w:r>
      <w:r>
        <w:rPr>
          <w:rFonts w:hint="eastAsia" w:ascii="楷体" w:hAnsi="楷体" w:eastAsia="楷体" w:cs="宋体"/>
          <w:sz w:val="24"/>
        </w:rPr>
        <w:t>交付地点：详见</w:t>
      </w:r>
      <w:r>
        <w:rPr>
          <w:rFonts w:hint="eastAsia" w:ascii="楷体" w:hAnsi="楷体" w:eastAsia="楷体" w:cs="宋体"/>
          <w:b/>
          <w:iCs/>
          <w:sz w:val="24"/>
          <w:u w:val="single"/>
        </w:rPr>
        <w:t>合同专用条款</w:t>
      </w:r>
      <w:r>
        <w:rPr>
          <w:rFonts w:ascii="楷体" w:hAnsi="楷体" w:eastAsia="楷体" w:cs="宋体"/>
          <w:b/>
          <w:iCs/>
          <w:sz w:val="24"/>
          <w:u w:val="single"/>
        </w:rPr>
        <w:t>1.8.2</w:t>
      </w:r>
      <w:r>
        <w:rPr>
          <w:rFonts w:hint="eastAsia" w:ascii="楷体" w:hAnsi="楷体" w:eastAsia="楷体" w:cs="宋体"/>
          <w:iCs/>
          <w:sz w:val="24"/>
        </w:rPr>
        <w:t>；</w:t>
      </w:r>
    </w:p>
    <w:p w14:paraId="65644F34">
      <w:pPr>
        <w:spacing w:line="560" w:lineRule="exact"/>
        <w:ind w:firstLine="480"/>
        <w:rPr>
          <w:rFonts w:ascii="楷体" w:hAnsi="楷体" w:eastAsia="楷体" w:cs="宋体"/>
          <w:sz w:val="24"/>
        </w:rPr>
      </w:pPr>
      <w:r>
        <w:rPr>
          <w:rFonts w:ascii="楷体" w:hAnsi="楷体" w:eastAsia="楷体" w:cs="宋体"/>
          <w:sz w:val="24"/>
        </w:rPr>
        <w:t xml:space="preserve">1.8.3 </w:t>
      </w:r>
      <w:r>
        <w:rPr>
          <w:rFonts w:hint="eastAsia" w:ascii="楷体" w:hAnsi="楷体" w:eastAsia="楷体" w:cs="宋体"/>
          <w:sz w:val="24"/>
        </w:rPr>
        <w:t>交付方式：详见</w:t>
      </w:r>
      <w:r>
        <w:rPr>
          <w:rFonts w:hint="eastAsia" w:ascii="楷体" w:hAnsi="楷体" w:eastAsia="楷体" w:cs="宋体"/>
          <w:b/>
          <w:iCs/>
          <w:sz w:val="24"/>
          <w:u w:val="single"/>
        </w:rPr>
        <w:t>合同专用条款</w:t>
      </w:r>
      <w:r>
        <w:rPr>
          <w:rFonts w:ascii="楷体" w:hAnsi="楷体" w:eastAsia="楷体" w:cs="宋体"/>
          <w:b/>
          <w:iCs/>
          <w:sz w:val="24"/>
          <w:u w:val="single"/>
        </w:rPr>
        <w:t>1.8.3</w:t>
      </w:r>
      <w:r>
        <w:rPr>
          <w:rFonts w:hint="eastAsia" w:ascii="楷体" w:hAnsi="楷体" w:eastAsia="楷体" w:cs="宋体"/>
          <w:iCs/>
          <w:sz w:val="24"/>
        </w:rPr>
        <w:t>。</w:t>
      </w:r>
    </w:p>
    <w:p w14:paraId="5AF0CD06">
      <w:pPr>
        <w:spacing w:line="560" w:lineRule="exact"/>
        <w:ind w:firstLine="482"/>
        <w:outlineLvl w:val="0"/>
        <w:rPr>
          <w:rFonts w:ascii="楷体" w:hAnsi="楷体" w:eastAsia="楷体" w:cs="宋体"/>
          <w:b/>
          <w:sz w:val="24"/>
        </w:rPr>
      </w:pPr>
      <w:bookmarkStart w:id="105" w:name="_Toc19554"/>
      <w:bookmarkStart w:id="106" w:name="_Toc27250"/>
      <w:bookmarkStart w:id="107" w:name="_Toc21423"/>
      <w:r>
        <w:rPr>
          <w:rFonts w:ascii="楷体" w:hAnsi="楷体" w:eastAsia="楷体" w:cs="宋体"/>
          <w:b/>
          <w:sz w:val="24"/>
        </w:rPr>
        <w:t>1.9</w:t>
      </w:r>
      <w:r>
        <w:rPr>
          <w:rFonts w:hint="eastAsia" w:ascii="楷体" w:hAnsi="楷体" w:eastAsia="楷体" w:cs="宋体"/>
          <w:b/>
          <w:sz w:val="24"/>
        </w:rPr>
        <w:t>违约责任</w:t>
      </w:r>
      <w:bookmarkEnd w:id="105"/>
      <w:bookmarkEnd w:id="106"/>
      <w:bookmarkEnd w:id="107"/>
    </w:p>
    <w:p w14:paraId="2459F2CC">
      <w:pPr>
        <w:spacing w:line="560" w:lineRule="exact"/>
        <w:ind w:firstLine="480"/>
        <w:rPr>
          <w:rFonts w:ascii="楷体" w:hAnsi="楷体" w:eastAsia="楷体" w:cs="宋体"/>
          <w:sz w:val="24"/>
        </w:rPr>
      </w:pPr>
      <w:r>
        <w:rPr>
          <w:rFonts w:ascii="楷体" w:hAnsi="楷体" w:eastAsia="楷体" w:cs="宋体"/>
          <w:sz w:val="24"/>
        </w:rPr>
        <w:t xml:space="preserve">1.9.1 </w:t>
      </w:r>
      <w:r>
        <w:rPr>
          <w:rFonts w:hint="eastAsia" w:ascii="楷体" w:hAnsi="楷体" w:eastAsia="楷体" w:cs="宋体"/>
          <w:sz w:val="24"/>
        </w:rPr>
        <w:t>除不可抗力外，如果乙方没有按照本合同约定的期限、地点和方式交付货物或服务，那么甲方可要求乙方支付违约金，每延迟一日，违约金按合同金额的</w:t>
      </w:r>
      <w:r>
        <w:rPr>
          <w:rFonts w:ascii="楷体" w:hAnsi="楷体" w:eastAsia="楷体" w:cs="宋体"/>
          <w:sz w:val="24"/>
          <w:u w:val="single"/>
        </w:rPr>
        <w:t xml:space="preserve">  XX</w:t>
      </w:r>
      <w:r>
        <w:rPr>
          <w:rFonts w:hint="eastAsia" w:ascii="楷体" w:hAnsi="楷体" w:eastAsia="楷体" w:cs="宋体"/>
          <w:sz w:val="24"/>
          <w:u w:val="single"/>
        </w:rPr>
        <w:t>（</w:t>
      </w:r>
      <w:r>
        <w:rPr>
          <w:rFonts w:hint="eastAsia" w:ascii="楷体" w:hAnsi="楷体" w:eastAsia="楷体" w:cs="宋体"/>
          <w:i/>
          <w:iCs/>
          <w:sz w:val="24"/>
          <w:u w:val="single"/>
        </w:rPr>
        <w:t>可根据情况修改</w:t>
      </w:r>
      <w:r>
        <w:rPr>
          <w:rFonts w:hint="eastAsia" w:ascii="楷体" w:hAnsi="楷体" w:eastAsia="楷体" w:cs="宋体"/>
          <w:sz w:val="24"/>
          <w:u w:val="single"/>
        </w:rPr>
        <w:t>）</w:t>
      </w:r>
      <w:r>
        <w:rPr>
          <w:rFonts w:ascii="楷体" w:hAnsi="楷体" w:eastAsia="楷体" w:cs="宋体"/>
          <w:sz w:val="24"/>
          <w:u w:val="single"/>
        </w:rPr>
        <w:t xml:space="preserve">    </w:t>
      </w:r>
      <w:r>
        <w:rPr>
          <w:rFonts w:ascii="楷体" w:hAnsi="楷体" w:eastAsia="楷体" w:cs="宋体"/>
          <w:sz w:val="24"/>
        </w:rPr>
        <w:t>%/</w:t>
      </w:r>
      <w:r>
        <w:rPr>
          <w:rFonts w:hint="eastAsia" w:ascii="楷体" w:hAnsi="楷体" w:eastAsia="楷体" w:cs="宋体"/>
          <w:sz w:val="24"/>
        </w:rPr>
        <w:t>计算，最高限额为本合同金额的</w:t>
      </w:r>
      <w:r>
        <w:rPr>
          <w:rFonts w:ascii="楷体" w:hAnsi="楷体" w:eastAsia="楷体" w:cs="宋体"/>
          <w:sz w:val="24"/>
          <w:u w:val="single"/>
        </w:rPr>
        <w:t xml:space="preserve"> XX  </w:t>
      </w:r>
      <w:r>
        <w:rPr>
          <w:rFonts w:ascii="楷体" w:hAnsi="楷体" w:eastAsia="楷体" w:cs="宋体"/>
          <w:sz w:val="24"/>
        </w:rPr>
        <w:t>%；迟延交付货物或服务的违约金计算数额达到前述最高限额之日起，甲方有权在要求乙方支付违约金的同时，书面通知乙方解除本合同；</w:t>
      </w:r>
    </w:p>
    <w:p w14:paraId="3C769107">
      <w:pPr>
        <w:spacing w:line="560" w:lineRule="exact"/>
        <w:ind w:firstLine="480"/>
        <w:rPr>
          <w:rFonts w:ascii="楷体" w:hAnsi="楷体" w:eastAsia="楷体" w:cs="宋体"/>
          <w:sz w:val="24"/>
        </w:rPr>
      </w:pPr>
      <w:r>
        <w:rPr>
          <w:rFonts w:ascii="楷体" w:hAnsi="楷体" w:eastAsia="楷体" w:cs="宋体"/>
          <w:sz w:val="24"/>
        </w:rPr>
        <w:t xml:space="preserve">1.9.2 </w:t>
      </w:r>
      <w:r>
        <w:rPr>
          <w:rFonts w:hint="eastAsia" w:ascii="楷体" w:hAnsi="楷体" w:eastAsia="楷体" w:cs="宋体"/>
          <w:sz w:val="24"/>
        </w:rPr>
        <w:t>除不可抗力外，如果甲方没有按照本合同约定的付款方式付款，乙方可要求甲方支付违约金，每延迟一日，违约金按应付而未付款的</w:t>
      </w:r>
      <w:r>
        <w:rPr>
          <w:rFonts w:ascii="楷体" w:hAnsi="楷体" w:eastAsia="楷体" w:cs="宋体"/>
          <w:sz w:val="24"/>
          <w:u w:val="single"/>
        </w:rPr>
        <w:t xml:space="preserve"> XX</w:t>
      </w:r>
      <w:r>
        <w:rPr>
          <w:rFonts w:hint="eastAsia" w:ascii="楷体" w:hAnsi="楷体" w:eastAsia="楷体" w:cs="宋体"/>
          <w:sz w:val="24"/>
          <w:u w:val="single"/>
        </w:rPr>
        <w:t>（</w:t>
      </w:r>
      <w:r>
        <w:rPr>
          <w:rFonts w:hint="eastAsia" w:ascii="楷体" w:hAnsi="楷体" w:eastAsia="楷体" w:cs="宋体"/>
          <w:i/>
          <w:iCs/>
          <w:sz w:val="24"/>
          <w:u w:val="single"/>
        </w:rPr>
        <w:t>可根据情况修改</w:t>
      </w:r>
      <w:r>
        <w:rPr>
          <w:rFonts w:hint="eastAsia" w:ascii="楷体" w:hAnsi="楷体" w:eastAsia="楷体" w:cs="宋体"/>
          <w:sz w:val="24"/>
          <w:u w:val="single"/>
        </w:rPr>
        <w:t>）</w:t>
      </w:r>
      <w:r>
        <w:rPr>
          <w:rFonts w:ascii="楷体" w:hAnsi="楷体" w:eastAsia="楷体" w:cs="宋体"/>
          <w:sz w:val="24"/>
          <w:u w:val="single"/>
        </w:rPr>
        <w:t xml:space="preserve">      </w:t>
      </w:r>
      <w:r>
        <w:rPr>
          <w:rFonts w:ascii="楷体" w:hAnsi="楷体" w:eastAsia="楷体" w:cs="宋体"/>
          <w:sz w:val="24"/>
        </w:rPr>
        <w:t>%计算，最高限额为本合同总价的</w:t>
      </w:r>
      <w:r>
        <w:rPr>
          <w:rFonts w:ascii="楷体" w:hAnsi="楷体" w:eastAsia="楷体" w:cs="宋体"/>
          <w:sz w:val="24"/>
          <w:u w:val="single"/>
        </w:rPr>
        <w:t xml:space="preserve">   XX  </w:t>
      </w:r>
      <w:r>
        <w:rPr>
          <w:rFonts w:ascii="楷体" w:hAnsi="楷体" w:eastAsia="楷体" w:cs="宋体"/>
          <w:sz w:val="24"/>
        </w:rPr>
        <w:t>%；迟延付款的违约金计算数额达到前述最高限额之日起，乙方有权在要求甲方支付违约金的同时，书面通知甲方解除本合同；</w:t>
      </w:r>
    </w:p>
    <w:p w14:paraId="7D6C0FA0">
      <w:pPr>
        <w:spacing w:line="560" w:lineRule="exact"/>
        <w:ind w:firstLine="480"/>
        <w:rPr>
          <w:rFonts w:ascii="楷体" w:hAnsi="楷体" w:eastAsia="楷体" w:cs="宋体"/>
          <w:sz w:val="24"/>
        </w:rPr>
      </w:pPr>
      <w:r>
        <w:rPr>
          <w:rFonts w:ascii="楷体" w:hAnsi="楷体" w:eastAsia="楷体" w:cs="宋体"/>
          <w:sz w:val="24"/>
        </w:rPr>
        <w:t xml:space="preserve">1.9.3 </w:t>
      </w:r>
      <w:r>
        <w:rPr>
          <w:rFonts w:hint="eastAsia" w:ascii="楷体" w:hAnsi="楷体" w:eastAsia="楷体" w:cs="宋体"/>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979012A">
      <w:pPr>
        <w:spacing w:line="560" w:lineRule="exact"/>
        <w:ind w:firstLine="480"/>
        <w:rPr>
          <w:rFonts w:ascii="楷体" w:hAnsi="楷体" w:eastAsia="楷体" w:cs="宋体"/>
          <w:sz w:val="24"/>
        </w:rPr>
      </w:pPr>
      <w:r>
        <w:rPr>
          <w:rFonts w:ascii="楷体" w:hAnsi="楷体" w:eastAsia="楷体" w:cs="宋体"/>
          <w:sz w:val="24"/>
        </w:rPr>
        <w:t xml:space="preserve">1.9.4 </w:t>
      </w:r>
      <w:r>
        <w:rPr>
          <w:rFonts w:hint="eastAsia" w:ascii="楷体" w:hAnsi="楷体" w:eastAsia="楷体" w:cs="宋体"/>
          <w:sz w:val="24"/>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095EDABD">
      <w:pPr>
        <w:spacing w:line="560" w:lineRule="exact"/>
        <w:ind w:firstLine="480"/>
        <w:rPr>
          <w:rFonts w:ascii="楷体" w:hAnsi="楷体" w:eastAsia="楷体" w:cs="宋体"/>
          <w:sz w:val="24"/>
        </w:rPr>
      </w:pPr>
      <w:r>
        <w:rPr>
          <w:rFonts w:ascii="楷体" w:hAnsi="楷体" w:eastAsia="楷体" w:cs="宋体"/>
          <w:sz w:val="24"/>
        </w:rPr>
        <w:t>1.9.5如果出现政府采购监督管理部门在处理投诉事项期间，书面通知甲方暂停采购</w:t>
      </w:r>
      <w:r>
        <w:rPr>
          <w:rFonts w:hint="eastAsia" w:ascii="楷体" w:hAnsi="楷体" w:eastAsia="楷体" w:cs="宋体"/>
          <w:sz w:val="24"/>
        </w:rPr>
        <w:t>活动的情形，或者询问或质疑事项可能影响中标或者成交结果的，导致甲方中止履行合同的情形，均不视为甲方违约。</w:t>
      </w:r>
    </w:p>
    <w:p w14:paraId="08B2FF58">
      <w:pPr>
        <w:spacing w:line="560" w:lineRule="exact"/>
        <w:ind w:left="-420" w:right="-420" w:firstLine="960"/>
        <w:rPr>
          <w:rFonts w:ascii="楷体" w:hAnsi="楷体" w:eastAsia="楷体" w:cs="宋体"/>
        </w:rPr>
      </w:pPr>
      <w:r>
        <w:rPr>
          <w:rFonts w:ascii="楷体" w:hAnsi="楷体" w:eastAsia="楷体" w:cs="宋体"/>
          <w:sz w:val="24"/>
        </w:rPr>
        <w:t>1.9.6违约责任</w:t>
      </w:r>
      <w:r>
        <w:rPr>
          <w:rFonts w:hint="eastAsia" w:ascii="楷体" w:hAnsi="楷体" w:eastAsia="楷体" w:cs="宋体"/>
          <w:b/>
          <w:iCs/>
          <w:sz w:val="24"/>
          <w:u w:val="single"/>
        </w:rPr>
        <w:t>合同专用条款</w:t>
      </w:r>
      <w:r>
        <w:rPr>
          <w:rFonts w:ascii="楷体" w:hAnsi="楷体" w:eastAsia="楷体" w:cs="宋体"/>
          <w:b/>
          <w:iCs/>
          <w:sz w:val="24"/>
          <w:u w:val="single"/>
        </w:rPr>
        <w:t>1.9.6</w:t>
      </w:r>
      <w:r>
        <w:rPr>
          <w:rFonts w:hint="eastAsia" w:ascii="楷体" w:hAnsi="楷体" w:eastAsia="楷体" w:cs="宋体"/>
          <w:sz w:val="24"/>
        </w:rPr>
        <w:t>约定其他责任的，从其约定。</w:t>
      </w:r>
    </w:p>
    <w:p w14:paraId="2372D50F">
      <w:pPr>
        <w:spacing w:line="560" w:lineRule="exact"/>
        <w:ind w:firstLine="482"/>
        <w:outlineLvl w:val="0"/>
        <w:rPr>
          <w:rFonts w:ascii="楷体" w:hAnsi="楷体" w:eastAsia="楷体" w:cs="宋体"/>
          <w:b/>
          <w:sz w:val="24"/>
        </w:rPr>
      </w:pPr>
      <w:bookmarkStart w:id="108" w:name="_Toc16021"/>
      <w:bookmarkStart w:id="109" w:name="_Toc28375"/>
      <w:bookmarkStart w:id="110" w:name="_Toc15583"/>
      <w:r>
        <w:rPr>
          <w:rFonts w:ascii="楷体" w:hAnsi="楷体" w:eastAsia="楷体" w:cs="宋体"/>
          <w:b/>
          <w:sz w:val="24"/>
        </w:rPr>
        <w:t>1.10</w:t>
      </w:r>
      <w:r>
        <w:rPr>
          <w:rFonts w:hint="eastAsia" w:ascii="楷体" w:hAnsi="楷体" w:eastAsia="楷体" w:cs="宋体"/>
          <w:b/>
          <w:sz w:val="24"/>
        </w:rPr>
        <w:t>合同争议的解决</w:t>
      </w:r>
      <w:bookmarkEnd w:id="108"/>
      <w:bookmarkEnd w:id="109"/>
      <w:bookmarkEnd w:id="110"/>
    </w:p>
    <w:p w14:paraId="0F562B4C">
      <w:pPr>
        <w:spacing w:line="560" w:lineRule="exact"/>
        <w:ind w:firstLine="480"/>
        <w:jc w:val="left"/>
        <w:rPr>
          <w:rFonts w:ascii="楷体" w:hAnsi="楷体" w:eastAsia="楷体" w:cs="宋体"/>
          <w:sz w:val="24"/>
        </w:rPr>
      </w:pPr>
      <w:r>
        <w:rPr>
          <w:rFonts w:ascii="楷体" w:hAnsi="楷体" w:eastAsia="楷体" w:cs="宋体"/>
          <w:sz w:val="24"/>
        </w:rPr>
        <w:t>1.10.1本合同履行过程中发生的任何争议，双方当事人均可通过和解或者调解解决；不愿和解、调解或者和解、调解不成的，向</w:t>
      </w:r>
      <w:r>
        <w:rPr>
          <w:rFonts w:hint="eastAsia" w:ascii="楷体" w:hAnsi="楷体" w:eastAsia="楷体" w:cs="宋体"/>
          <w:b/>
          <w:sz w:val="24"/>
        </w:rPr>
        <w:t>甲方所在地</w:t>
      </w:r>
      <w:r>
        <w:rPr>
          <w:rFonts w:hint="eastAsia" w:ascii="楷体" w:hAnsi="楷体" w:eastAsia="楷体" w:cs="宋体"/>
          <w:sz w:val="24"/>
        </w:rPr>
        <w:t>人民法院起诉。</w:t>
      </w:r>
    </w:p>
    <w:p w14:paraId="7468F873">
      <w:pPr>
        <w:spacing w:line="560" w:lineRule="exact"/>
        <w:ind w:firstLine="480"/>
        <w:jc w:val="left"/>
        <w:rPr>
          <w:rFonts w:ascii="楷体" w:hAnsi="楷体" w:eastAsia="楷体" w:cs="宋体"/>
          <w:sz w:val="24"/>
        </w:rPr>
      </w:pPr>
      <w:r>
        <w:rPr>
          <w:rFonts w:ascii="楷体" w:hAnsi="楷体" w:eastAsia="楷体" w:cs="宋体"/>
          <w:sz w:val="24"/>
        </w:rPr>
        <w:t>1.10.2如对任何争议向人民法院提起诉讼，除争议事项或争议事项所涉及的条款外，双方应继续履行本合同项下的其它义务。</w:t>
      </w:r>
    </w:p>
    <w:p w14:paraId="671023D1">
      <w:pPr>
        <w:spacing w:line="560" w:lineRule="exact"/>
        <w:ind w:firstLine="480"/>
        <w:rPr>
          <w:rFonts w:ascii="楷体" w:hAnsi="楷体" w:eastAsia="楷体" w:cs="宋体"/>
          <w:sz w:val="24"/>
        </w:rPr>
      </w:pPr>
      <w:r>
        <w:rPr>
          <w:rFonts w:ascii="楷体" w:hAnsi="楷体" w:eastAsia="楷体" w:cs="宋体"/>
          <w:sz w:val="24"/>
        </w:rPr>
        <w:t>1.11</w:t>
      </w:r>
      <w:r>
        <w:rPr>
          <w:rFonts w:hint="eastAsia" w:ascii="楷体" w:hAnsi="楷体" w:eastAsia="楷体" w:cs="宋体"/>
          <w:sz w:val="24"/>
        </w:rPr>
        <w:t>合同生效及其他</w:t>
      </w:r>
    </w:p>
    <w:p w14:paraId="1095632F">
      <w:pPr>
        <w:spacing w:line="560" w:lineRule="exact"/>
        <w:ind w:firstLine="480"/>
        <w:rPr>
          <w:rFonts w:ascii="楷体" w:hAnsi="楷体" w:eastAsia="楷体" w:cs="宋体"/>
          <w:sz w:val="24"/>
        </w:rPr>
      </w:pPr>
      <w:r>
        <w:rPr>
          <w:rFonts w:ascii="楷体" w:hAnsi="楷体" w:eastAsia="楷体" w:cs="宋体"/>
          <w:sz w:val="24"/>
        </w:rPr>
        <w:t>1.11.1本合同自双方当事人盖章时生效。</w:t>
      </w:r>
    </w:p>
    <w:p w14:paraId="7B6729E9">
      <w:pPr>
        <w:widowControl/>
        <w:spacing w:line="560" w:lineRule="exact"/>
        <w:ind w:firstLine="480"/>
        <w:jc w:val="left"/>
        <w:rPr>
          <w:rFonts w:ascii="楷体" w:hAnsi="楷体" w:eastAsia="楷体"/>
        </w:rPr>
      </w:pPr>
      <w:r>
        <w:rPr>
          <w:rFonts w:ascii="楷体" w:hAnsi="楷体" w:eastAsia="楷体" w:cs="宋体"/>
          <w:sz w:val="24"/>
          <w:lang w:bidi="ar"/>
        </w:rPr>
        <w:t xml:space="preserve">1.11.2本合同未尽事宜，遵照《中华人民共和国民法典》有关条文执行。 </w:t>
      </w:r>
    </w:p>
    <w:p w14:paraId="006D945C">
      <w:pPr>
        <w:spacing w:line="560" w:lineRule="exact"/>
        <w:rPr>
          <w:rFonts w:ascii="楷体" w:hAnsi="楷体" w:eastAsia="楷体" w:cs="宋体"/>
          <w:sz w:val="24"/>
          <w:lang w:val="zh-CN"/>
        </w:rPr>
      </w:pPr>
    </w:p>
    <w:p w14:paraId="78C73766">
      <w:pPr>
        <w:spacing w:line="560" w:lineRule="exact"/>
        <w:rPr>
          <w:rFonts w:ascii="楷体" w:hAnsi="楷体" w:eastAsia="楷体" w:cs="宋体"/>
          <w:sz w:val="24"/>
          <w:lang w:val="zh-CN"/>
        </w:rPr>
      </w:pPr>
      <w:r>
        <w:rPr>
          <w:rFonts w:hint="eastAsia" w:ascii="楷体" w:hAnsi="楷体" w:eastAsia="楷体" w:cs="宋体"/>
          <w:b/>
          <w:sz w:val="24"/>
          <w:lang w:val="zh-CN"/>
        </w:rPr>
        <w:t>甲方（</w:t>
      </w:r>
      <w:r>
        <w:rPr>
          <w:rFonts w:hint="eastAsia" w:ascii="楷体" w:hAnsi="楷体" w:eastAsia="楷体" w:cs="宋体"/>
          <w:b/>
          <w:sz w:val="24"/>
        </w:rPr>
        <w:t>盖章</w:t>
      </w:r>
      <w:r>
        <w:rPr>
          <w:rFonts w:hint="eastAsia" w:ascii="楷体" w:hAnsi="楷体" w:eastAsia="楷体" w:cs="宋体"/>
          <w:b/>
          <w:sz w:val="24"/>
          <w:lang w:val="zh-CN"/>
        </w:rPr>
        <w:t>）</w:t>
      </w:r>
      <w:r>
        <w:rPr>
          <w:rFonts w:hint="eastAsia" w:ascii="楷体" w:hAnsi="楷体" w:eastAsia="楷体" w:cs="宋体"/>
          <w:sz w:val="24"/>
          <w:lang w:val="zh-CN"/>
        </w:rPr>
        <w:t>：</w:t>
      </w:r>
      <w:r>
        <w:rPr>
          <w:rFonts w:ascii="楷体" w:hAnsi="楷体" w:eastAsia="楷体" w:cs="宋体"/>
          <w:sz w:val="24"/>
          <w:lang w:val="zh-CN"/>
        </w:rPr>
        <w:t xml:space="preserve">                           </w:t>
      </w:r>
      <w:r>
        <w:rPr>
          <w:rFonts w:hint="eastAsia" w:ascii="楷体" w:hAnsi="楷体" w:eastAsia="楷体" w:cs="宋体"/>
          <w:b/>
          <w:sz w:val="24"/>
          <w:lang w:val="zh-CN"/>
        </w:rPr>
        <w:t>乙方（</w:t>
      </w:r>
      <w:r>
        <w:rPr>
          <w:rFonts w:hint="eastAsia" w:ascii="楷体" w:hAnsi="楷体" w:eastAsia="楷体" w:cs="宋体"/>
          <w:b/>
          <w:sz w:val="24"/>
        </w:rPr>
        <w:t>盖章</w:t>
      </w:r>
      <w:r>
        <w:rPr>
          <w:rFonts w:hint="eastAsia" w:ascii="楷体" w:hAnsi="楷体" w:eastAsia="楷体" w:cs="宋体"/>
          <w:b/>
          <w:sz w:val="24"/>
          <w:lang w:val="zh-CN"/>
        </w:rPr>
        <w:t>）</w:t>
      </w:r>
      <w:r>
        <w:rPr>
          <w:rFonts w:hint="eastAsia" w:ascii="楷体" w:hAnsi="楷体" w:eastAsia="楷体" w:cs="宋体"/>
          <w:sz w:val="24"/>
          <w:lang w:val="zh-CN"/>
        </w:rPr>
        <w:t>：</w:t>
      </w:r>
    </w:p>
    <w:p w14:paraId="3C837027">
      <w:pPr>
        <w:spacing w:line="560" w:lineRule="exact"/>
        <w:rPr>
          <w:rFonts w:ascii="楷体" w:hAnsi="楷体" w:eastAsia="楷体" w:cs="宋体"/>
          <w:sz w:val="24"/>
          <w:lang w:val="zh-CN"/>
        </w:rPr>
      </w:pPr>
      <w:r>
        <w:rPr>
          <w:rFonts w:hint="eastAsia" w:ascii="楷体" w:hAnsi="楷体" w:eastAsia="楷体" w:cs="宋体"/>
          <w:sz w:val="24"/>
          <w:lang w:val="zh-CN"/>
        </w:rPr>
        <w:t>统一社会信用代码：</w:t>
      </w:r>
      <w:r>
        <w:rPr>
          <w:rFonts w:ascii="楷体" w:hAnsi="楷体" w:eastAsia="楷体" w:cs="宋体"/>
          <w:sz w:val="24"/>
          <w:lang w:val="zh-CN"/>
        </w:rPr>
        <w:t xml:space="preserve">                </w:t>
      </w:r>
      <w:r>
        <w:rPr>
          <w:rFonts w:hint="eastAsia" w:ascii="楷体" w:hAnsi="楷体" w:eastAsia="楷体" w:cs="宋体"/>
          <w:sz w:val="24"/>
          <w:lang w:val="zh-CN"/>
        </w:rPr>
        <w:t>统一社会信用代码或身份证号码（乙方为自然人）：</w:t>
      </w:r>
    </w:p>
    <w:p w14:paraId="4F047298">
      <w:pPr>
        <w:spacing w:line="560" w:lineRule="exact"/>
        <w:rPr>
          <w:rFonts w:ascii="楷体" w:hAnsi="楷体" w:eastAsia="楷体" w:cs="宋体"/>
          <w:sz w:val="24"/>
          <w:lang w:val="zh-CN"/>
        </w:rPr>
      </w:pPr>
    </w:p>
    <w:p w14:paraId="1E2EC3F2">
      <w:pPr>
        <w:spacing w:line="560" w:lineRule="exact"/>
        <w:rPr>
          <w:rFonts w:ascii="楷体" w:hAnsi="楷体" w:eastAsia="楷体" w:cs="宋体"/>
          <w:sz w:val="24"/>
          <w:lang w:val="zh-CN"/>
        </w:rPr>
      </w:pPr>
      <w:r>
        <w:rPr>
          <w:rFonts w:hint="eastAsia" w:ascii="楷体" w:hAnsi="楷体" w:eastAsia="楷体" w:cs="宋体"/>
          <w:sz w:val="24"/>
          <w:lang w:val="zh-CN"/>
        </w:rPr>
        <w:t>法定代表人或</w:t>
      </w:r>
      <w:r>
        <w:rPr>
          <w:rFonts w:ascii="楷体" w:hAnsi="楷体" w:eastAsia="楷体" w:cs="宋体"/>
          <w:sz w:val="24"/>
          <w:lang w:val="zh-CN"/>
        </w:rPr>
        <w:t xml:space="preserve">                             </w:t>
      </w:r>
      <w:r>
        <w:rPr>
          <w:rFonts w:hint="eastAsia" w:ascii="楷体" w:hAnsi="楷体" w:eastAsia="楷体" w:cs="宋体"/>
          <w:sz w:val="24"/>
          <w:lang w:val="zh-CN"/>
        </w:rPr>
        <w:t>法定代表人</w:t>
      </w:r>
    </w:p>
    <w:p w14:paraId="680DFB63">
      <w:pPr>
        <w:spacing w:line="560" w:lineRule="exact"/>
        <w:rPr>
          <w:rFonts w:ascii="楷体" w:hAnsi="楷体" w:eastAsia="楷体" w:cs="宋体"/>
          <w:sz w:val="24"/>
          <w:lang w:val="zh-CN"/>
        </w:rPr>
      </w:pPr>
      <w:r>
        <w:rPr>
          <w:rFonts w:hint="eastAsia" w:ascii="楷体" w:hAnsi="楷体" w:eastAsia="楷体" w:cs="宋体"/>
          <w:sz w:val="24"/>
          <w:lang w:val="zh-CN"/>
        </w:rPr>
        <w:t>授权代表姓名：</w:t>
      </w:r>
      <w:r>
        <w:rPr>
          <w:rFonts w:ascii="楷体" w:hAnsi="楷体" w:eastAsia="楷体" w:cs="宋体"/>
          <w:sz w:val="24"/>
          <w:lang w:val="zh-CN"/>
        </w:rPr>
        <w:t xml:space="preserve">                           或授权代表姓名: </w:t>
      </w:r>
    </w:p>
    <w:p w14:paraId="4C7D14DD">
      <w:pPr>
        <w:spacing w:line="560" w:lineRule="exact"/>
        <w:rPr>
          <w:rFonts w:ascii="楷体" w:hAnsi="楷体" w:eastAsia="楷体" w:cs="宋体"/>
          <w:sz w:val="24"/>
          <w:lang w:val="zh-CN"/>
        </w:rPr>
      </w:pPr>
      <w:r>
        <w:rPr>
          <w:rFonts w:hint="eastAsia" w:ascii="楷体" w:hAnsi="楷体" w:eastAsia="楷体" w:cs="宋体"/>
          <w:sz w:val="24"/>
          <w:lang w:val="zh-CN"/>
        </w:rPr>
        <w:t>约定送达地址：</w:t>
      </w:r>
      <w:r>
        <w:rPr>
          <w:rFonts w:ascii="楷体" w:hAnsi="楷体" w:eastAsia="楷体" w:cs="宋体"/>
          <w:sz w:val="24"/>
          <w:lang w:val="zh-CN"/>
        </w:rPr>
        <w:t xml:space="preserve">                           </w:t>
      </w:r>
      <w:r>
        <w:rPr>
          <w:rFonts w:hint="eastAsia" w:ascii="楷体" w:hAnsi="楷体" w:eastAsia="楷体" w:cs="宋体"/>
          <w:sz w:val="24"/>
          <w:lang w:val="zh-CN"/>
        </w:rPr>
        <w:t>约定送达地址：</w:t>
      </w:r>
    </w:p>
    <w:p w14:paraId="4A2C975D">
      <w:pPr>
        <w:rPr>
          <w:rFonts w:ascii="楷体" w:hAnsi="楷体" w:eastAsia="楷体" w:cs="宋体"/>
          <w:color w:val="FF0000"/>
          <w:sz w:val="24"/>
        </w:rPr>
      </w:pPr>
    </w:p>
    <w:p w14:paraId="44017585">
      <w:pPr>
        <w:rPr>
          <w:rFonts w:ascii="楷体" w:hAnsi="楷体" w:eastAsia="楷体" w:cs="宋体"/>
          <w:b/>
          <w:sz w:val="24"/>
        </w:rPr>
      </w:pPr>
    </w:p>
    <w:p w14:paraId="467AE742">
      <w:pPr>
        <w:rPr>
          <w:rFonts w:ascii="楷体" w:hAnsi="楷体" w:eastAsia="楷体" w:cs="宋体"/>
          <w:b/>
          <w:sz w:val="28"/>
          <w:szCs w:val="28"/>
        </w:rPr>
      </w:pPr>
      <w:r>
        <w:rPr>
          <w:rFonts w:hint="eastAsia" w:ascii="楷体" w:hAnsi="楷体" w:eastAsia="楷体" w:cs="宋体"/>
          <w:b/>
          <w:sz w:val="24"/>
        </w:rPr>
        <w:t>见证方（盖章）：</w:t>
      </w:r>
      <w:r>
        <w:rPr>
          <w:rFonts w:ascii="楷体" w:hAnsi="楷体" w:eastAsia="楷体" w:cs="宋体"/>
          <w:b/>
          <w:sz w:val="28"/>
          <w:szCs w:val="28"/>
        </w:rPr>
        <w:t xml:space="preserve">         </w:t>
      </w:r>
    </w:p>
    <w:p w14:paraId="153E87DB">
      <w:pPr>
        <w:spacing w:line="560" w:lineRule="exact"/>
        <w:rPr>
          <w:rFonts w:ascii="楷体" w:hAnsi="楷体" w:eastAsia="楷体" w:cs="宋体"/>
          <w:sz w:val="24"/>
          <w:lang w:val="zh-CN"/>
        </w:rPr>
      </w:pPr>
      <w:r>
        <w:rPr>
          <w:rFonts w:hint="eastAsia" w:ascii="楷体" w:hAnsi="楷体" w:eastAsia="楷体" w:cs="宋体"/>
          <w:sz w:val="24"/>
          <w:lang w:val="zh-CN"/>
        </w:rPr>
        <w:t>地</w:t>
      </w:r>
      <w:r>
        <w:rPr>
          <w:rFonts w:ascii="楷体" w:hAnsi="楷体" w:eastAsia="楷体" w:cs="宋体"/>
          <w:sz w:val="24"/>
          <w:lang w:val="zh-CN"/>
        </w:rPr>
        <w:t xml:space="preserve">    </w:t>
      </w:r>
      <w:r>
        <w:rPr>
          <w:rFonts w:hint="eastAsia" w:ascii="楷体" w:hAnsi="楷体" w:eastAsia="楷体" w:cs="宋体"/>
          <w:sz w:val="24"/>
          <w:lang w:val="zh-CN"/>
        </w:rPr>
        <w:t>址：</w:t>
      </w:r>
    </w:p>
    <w:p w14:paraId="10B0DDCF">
      <w:pPr>
        <w:spacing w:line="560" w:lineRule="exact"/>
        <w:rPr>
          <w:rFonts w:ascii="楷体" w:hAnsi="楷体" w:eastAsia="楷体" w:cs="宋体"/>
          <w:bCs/>
          <w:sz w:val="28"/>
          <w:szCs w:val="28"/>
        </w:rPr>
      </w:pPr>
      <w:r>
        <w:rPr>
          <w:rFonts w:hint="eastAsia" w:ascii="楷体" w:hAnsi="楷体" w:eastAsia="楷体" w:cs="宋体"/>
          <w:sz w:val="24"/>
          <w:lang w:val="zh-CN"/>
        </w:rPr>
        <w:t>联系电话：</w:t>
      </w:r>
      <w:r>
        <w:rPr>
          <w:rFonts w:ascii="楷体" w:hAnsi="楷体" w:eastAsia="楷体" w:cs="宋体"/>
          <w:b/>
          <w:sz w:val="28"/>
          <w:szCs w:val="28"/>
        </w:rPr>
        <w:t xml:space="preserve">           </w:t>
      </w:r>
      <w:r>
        <w:rPr>
          <w:rFonts w:ascii="楷体" w:hAnsi="楷体" w:eastAsia="楷体" w:cs="宋体"/>
          <w:bCs/>
          <w:sz w:val="28"/>
          <w:szCs w:val="28"/>
        </w:rPr>
        <w:t xml:space="preserve">               </w:t>
      </w:r>
    </w:p>
    <w:p w14:paraId="00CE50F5">
      <w:pPr>
        <w:spacing w:line="560" w:lineRule="exact"/>
        <w:ind w:right="560"/>
        <w:jc w:val="center"/>
        <w:rPr>
          <w:rFonts w:ascii="楷体" w:hAnsi="楷体" w:eastAsia="楷体" w:cs="宋体"/>
          <w:bCs/>
          <w:sz w:val="28"/>
          <w:szCs w:val="28"/>
        </w:rPr>
      </w:pPr>
      <w:r>
        <w:rPr>
          <w:rFonts w:ascii="楷体" w:hAnsi="楷体" w:eastAsia="楷体" w:cs="宋体"/>
          <w:bCs/>
          <w:sz w:val="28"/>
          <w:szCs w:val="28"/>
        </w:rPr>
        <w:t xml:space="preserve">                 </w:t>
      </w:r>
    </w:p>
    <w:p w14:paraId="428F3C23">
      <w:pPr>
        <w:spacing w:line="560" w:lineRule="exact"/>
        <w:ind w:right="560"/>
        <w:jc w:val="center"/>
        <w:rPr>
          <w:rFonts w:ascii="楷体" w:hAnsi="楷体" w:eastAsia="楷体" w:cs="宋体"/>
          <w:bCs/>
          <w:sz w:val="28"/>
          <w:szCs w:val="28"/>
        </w:rPr>
      </w:pPr>
      <w:r>
        <w:rPr>
          <w:rFonts w:ascii="楷体" w:hAnsi="楷体" w:eastAsia="楷体" w:cs="宋体"/>
          <w:bCs/>
          <w:sz w:val="28"/>
          <w:szCs w:val="28"/>
        </w:rPr>
        <w:t xml:space="preserve">                    </w:t>
      </w:r>
      <w:r>
        <w:rPr>
          <w:rFonts w:hint="eastAsia" w:ascii="楷体" w:hAnsi="楷体" w:eastAsia="楷体" w:cs="宋体"/>
          <w:bCs/>
          <w:sz w:val="24"/>
          <w:lang w:val="zh-CN"/>
        </w:rPr>
        <w:t>签订日期：</w:t>
      </w:r>
    </w:p>
    <w:p w14:paraId="60248227">
      <w:pPr>
        <w:widowControl/>
        <w:jc w:val="left"/>
        <w:rPr>
          <w:rFonts w:ascii="楷体" w:hAnsi="楷体" w:eastAsia="楷体" w:cs="宋体"/>
          <w:b/>
          <w:sz w:val="28"/>
          <w:szCs w:val="28"/>
        </w:rPr>
      </w:pPr>
      <w:r>
        <w:rPr>
          <w:rFonts w:ascii="楷体" w:hAnsi="楷体" w:eastAsia="楷体" w:cs="宋体"/>
          <w:b/>
          <w:sz w:val="28"/>
          <w:szCs w:val="28"/>
        </w:rPr>
        <w:br w:type="page"/>
      </w:r>
    </w:p>
    <w:p w14:paraId="19BF4E5A">
      <w:pPr>
        <w:pStyle w:val="1289"/>
        <w:spacing w:line="560" w:lineRule="exact"/>
        <w:ind w:firstLine="482"/>
        <w:jc w:val="center"/>
        <w:rPr>
          <w:rFonts w:ascii="楷体" w:hAnsi="楷体" w:eastAsia="楷体" w:cs="宋体"/>
          <w:b/>
          <w:sz w:val="28"/>
          <w:szCs w:val="28"/>
        </w:rPr>
      </w:pPr>
      <w:r>
        <w:rPr>
          <w:rFonts w:hint="eastAsia" w:ascii="楷体" w:hAnsi="楷体" w:eastAsia="楷体" w:cs="宋体"/>
          <w:b/>
          <w:sz w:val="28"/>
          <w:szCs w:val="28"/>
        </w:rPr>
        <w:t>第二部分</w:t>
      </w:r>
      <w:r>
        <w:rPr>
          <w:rFonts w:ascii="楷体" w:hAnsi="楷体" w:eastAsia="楷体" w:cs="宋体"/>
          <w:b/>
          <w:sz w:val="28"/>
          <w:szCs w:val="28"/>
        </w:rPr>
        <w:t xml:space="preserve"> </w:t>
      </w:r>
      <w:r>
        <w:rPr>
          <w:rFonts w:hint="eastAsia" w:ascii="楷体" w:hAnsi="楷体" w:eastAsia="楷体" w:cs="宋体"/>
          <w:b/>
          <w:sz w:val="28"/>
          <w:szCs w:val="28"/>
        </w:rPr>
        <w:t>合同一般条款</w:t>
      </w:r>
    </w:p>
    <w:p w14:paraId="020CB7C7">
      <w:pPr>
        <w:spacing w:line="560" w:lineRule="exact"/>
        <w:ind w:firstLine="482"/>
        <w:outlineLvl w:val="0"/>
        <w:rPr>
          <w:rFonts w:ascii="楷体" w:hAnsi="楷体" w:eastAsia="楷体" w:cs="宋体"/>
          <w:b/>
          <w:sz w:val="24"/>
        </w:rPr>
      </w:pPr>
      <w:bookmarkStart w:id="111" w:name="_Toc19614"/>
      <w:bookmarkStart w:id="112" w:name="_Ref467379195"/>
      <w:bookmarkStart w:id="113" w:name="_Ref467379094"/>
      <w:bookmarkStart w:id="114" w:name="_Toc487900349"/>
      <w:bookmarkStart w:id="115" w:name="_Ref467378499"/>
      <w:bookmarkStart w:id="116" w:name="_Toc16917"/>
      <w:bookmarkStart w:id="117" w:name="_Ref467379109"/>
      <w:bookmarkStart w:id="118" w:name="_Ref467378463"/>
      <w:bookmarkStart w:id="119" w:name="_Toc28763"/>
      <w:bookmarkStart w:id="120" w:name="_Ref467379101"/>
      <w:bookmarkStart w:id="121" w:name="_Toc259093669"/>
      <w:bookmarkStart w:id="122" w:name="_Toc279701240"/>
      <w:bookmarkStart w:id="123" w:name="_Ref467378404"/>
      <w:bookmarkStart w:id="124" w:name="_Ref467379225"/>
      <w:bookmarkStart w:id="125" w:name="_Ref467379214"/>
      <w:bookmarkStart w:id="126" w:name="_Ref467379205"/>
      <w:r>
        <w:rPr>
          <w:rFonts w:ascii="楷体" w:hAnsi="楷体" w:eastAsia="楷体" w:cs="宋体"/>
          <w:b/>
          <w:sz w:val="24"/>
        </w:rPr>
        <w:t xml:space="preserve">2.1 </w:t>
      </w:r>
      <w:r>
        <w:rPr>
          <w:rFonts w:hint="eastAsia" w:ascii="楷体" w:hAnsi="楷体" w:eastAsia="楷体" w:cs="宋体"/>
          <w:b/>
          <w:sz w:val="24"/>
        </w:rPr>
        <w:t>定义</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415AB41A">
      <w:pPr>
        <w:spacing w:line="560" w:lineRule="exact"/>
        <w:ind w:firstLine="480"/>
        <w:rPr>
          <w:rFonts w:ascii="楷体" w:hAnsi="楷体" w:eastAsia="楷体" w:cs="宋体"/>
          <w:sz w:val="24"/>
        </w:rPr>
      </w:pPr>
      <w:r>
        <w:rPr>
          <w:rFonts w:hint="eastAsia" w:ascii="楷体" w:hAnsi="楷体" w:eastAsia="楷体" w:cs="宋体"/>
          <w:sz w:val="24"/>
        </w:rPr>
        <w:t>本合同中的下列词语应按以下内容进行解释：</w:t>
      </w:r>
    </w:p>
    <w:p w14:paraId="4C31D280">
      <w:pPr>
        <w:spacing w:line="560" w:lineRule="exact"/>
        <w:ind w:firstLine="480"/>
        <w:rPr>
          <w:rFonts w:ascii="楷体" w:hAnsi="楷体" w:eastAsia="楷体" w:cs="宋体"/>
          <w:sz w:val="24"/>
        </w:rPr>
      </w:pPr>
      <w:r>
        <w:rPr>
          <w:rFonts w:ascii="楷体" w:hAnsi="楷体" w:eastAsia="楷体" w:cs="宋体"/>
          <w:sz w:val="24"/>
        </w:rPr>
        <w:t xml:space="preserve">2.1.1 </w:t>
      </w:r>
      <w:r>
        <w:rPr>
          <w:rFonts w:hint="eastAsia" w:ascii="楷体" w:hAnsi="楷体" w:eastAsia="楷体" w:cs="宋体"/>
          <w:sz w:val="24"/>
        </w:rPr>
        <w:t>“合同”系指采购人和中标或成交供应商签订的载明双方当事人所达成的协议，并包括所有的附件、附录和构成合同的其他文件。</w:t>
      </w:r>
    </w:p>
    <w:p w14:paraId="7C1189E8">
      <w:pPr>
        <w:spacing w:line="560" w:lineRule="exact"/>
        <w:ind w:firstLine="480"/>
        <w:rPr>
          <w:rFonts w:ascii="楷体" w:hAnsi="楷体" w:eastAsia="楷体" w:cs="宋体"/>
          <w:sz w:val="24"/>
        </w:rPr>
      </w:pPr>
      <w:r>
        <w:rPr>
          <w:rFonts w:ascii="楷体" w:hAnsi="楷体" w:eastAsia="楷体" w:cs="宋体"/>
          <w:sz w:val="24"/>
        </w:rPr>
        <w:t xml:space="preserve">2.1.2 </w:t>
      </w:r>
      <w:r>
        <w:rPr>
          <w:rFonts w:hint="eastAsia" w:ascii="楷体" w:hAnsi="楷体" w:eastAsia="楷体" w:cs="宋体"/>
          <w:sz w:val="24"/>
        </w:rPr>
        <w:t>“合同价”系指根据合同约定，中标或成交供应商在完全履行合同义务后，采购人应支付给中标或成交供应商的价格。</w:t>
      </w:r>
    </w:p>
    <w:p w14:paraId="0EB2D557">
      <w:pPr>
        <w:spacing w:line="560" w:lineRule="exact"/>
        <w:ind w:firstLine="480"/>
        <w:rPr>
          <w:rFonts w:ascii="楷体" w:hAnsi="楷体" w:eastAsia="楷体" w:cs="宋体"/>
          <w:sz w:val="24"/>
        </w:rPr>
      </w:pPr>
      <w:bookmarkStart w:id="127" w:name="_Hlk132880551"/>
      <w:r>
        <w:rPr>
          <w:rFonts w:ascii="楷体" w:hAnsi="楷体" w:eastAsia="楷体" w:cs="宋体"/>
          <w:sz w:val="24"/>
        </w:rPr>
        <w:t>2.1.3</w:t>
      </w:r>
      <w:bookmarkEnd w:id="127"/>
      <w:r>
        <w:rPr>
          <w:rFonts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p>
    <w:p w14:paraId="2B348745">
      <w:pPr>
        <w:spacing w:line="560" w:lineRule="exact"/>
        <w:ind w:firstLine="480"/>
        <w:rPr>
          <w:rFonts w:ascii="楷体" w:hAnsi="楷体" w:eastAsia="楷体" w:cs="宋体"/>
          <w:sz w:val="24"/>
        </w:rPr>
      </w:pPr>
      <w:r>
        <w:rPr>
          <w:rFonts w:ascii="楷体" w:hAnsi="楷体" w:eastAsia="楷体" w:cs="宋体"/>
          <w:sz w:val="24"/>
        </w:rPr>
        <w:t>2.1.4</w:t>
      </w:r>
      <w:r>
        <w:rPr>
          <w:rFonts w:ascii="楷体" w:hAnsi="楷体" w:eastAsia="楷体"/>
          <w:sz w:val="24"/>
        </w:rPr>
        <w:t>“</w:t>
      </w:r>
      <w:r>
        <w:rPr>
          <w:rFonts w:hint="eastAsia" w:ascii="楷体" w:hAnsi="楷体" w:eastAsia="楷体"/>
          <w:sz w:val="24"/>
        </w:rPr>
        <w:t>服务</w:t>
      </w:r>
      <w:r>
        <w:rPr>
          <w:rFonts w:ascii="楷体" w:hAnsi="楷体" w:eastAsia="楷体"/>
          <w:sz w:val="24"/>
        </w:rPr>
        <w:t>”系指</w:t>
      </w:r>
      <w:r>
        <w:rPr>
          <w:rFonts w:hint="eastAsia" w:ascii="楷体" w:hAnsi="楷体" w:eastAsia="楷体" w:cs="宋体"/>
          <w:sz w:val="24"/>
        </w:rPr>
        <w:t>中标或成交</w:t>
      </w:r>
      <w:r>
        <w:rPr>
          <w:rFonts w:hint="eastAsia" w:ascii="楷体" w:hAnsi="楷体" w:eastAsia="楷体"/>
          <w:sz w:val="24"/>
        </w:rPr>
        <w:t>供应商</w:t>
      </w:r>
      <w:r>
        <w:rPr>
          <w:rFonts w:ascii="楷体" w:hAnsi="楷体" w:eastAsia="楷体"/>
          <w:sz w:val="24"/>
        </w:rPr>
        <w:t>根据合同约定应向采购人</w:t>
      </w:r>
      <w:r>
        <w:rPr>
          <w:rFonts w:hint="eastAsia" w:ascii="楷体" w:hAnsi="楷体" w:eastAsia="楷体"/>
          <w:sz w:val="24"/>
        </w:rPr>
        <w:t>履行</w:t>
      </w:r>
      <w:r>
        <w:rPr>
          <w:rFonts w:ascii="楷体" w:hAnsi="楷体" w:eastAsia="楷体"/>
          <w:sz w:val="24"/>
        </w:rPr>
        <w:t>的</w:t>
      </w:r>
      <w:r>
        <w:rPr>
          <w:rFonts w:hint="eastAsia" w:ascii="楷体" w:hAnsi="楷体" w:eastAsia="楷体"/>
          <w:sz w:val="24"/>
        </w:rPr>
        <w:t>除货物和工程以外的其他政府采购对象，包括采购人自身需要的服务和向社会公众提供的公共服务。</w:t>
      </w:r>
    </w:p>
    <w:p w14:paraId="467E9520">
      <w:pPr>
        <w:spacing w:line="560" w:lineRule="exact"/>
        <w:ind w:firstLine="480"/>
        <w:rPr>
          <w:rFonts w:ascii="楷体" w:hAnsi="楷体" w:eastAsia="楷体" w:cs="宋体"/>
          <w:sz w:val="24"/>
        </w:rPr>
      </w:pPr>
      <w:bookmarkStart w:id="128" w:name="_Ref467378840"/>
      <w:r>
        <w:rPr>
          <w:rFonts w:ascii="楷体" w:hAnsi="楷体" w:eastAsia="楷体" w:cs="宋体"/>
          <w:sz w:val="24"/>
        </w:rPr>
        <w:t>2.1.5 “甲方”系指与中标或成交供应商签署合同的采购人</w:t>
      </w:r>
      <w:bookmarkEnd w:id="128"/>
      <w:r>
        <w:rPr>
          <w:rFonts w:hint="eastAsia" w:ascii="楷体" w:hAnsi="楷体" w:eastAsia="楷体" w:cs="宋体"/>
          <w:sz w:val="24"/>
        </w:rPr>
        <w:t>；采购人委托采购代理机构代表其与乙方签订合同的，采购人的授权委托书作为合同附件。</w:t>
      </w:r>
    </w:p>
    <w:p w14:paraId="22C85139">
      <w:pPr>
        <w:spacing w:line="560" w:lineRule="exact"/>
        <w:ind w:firstLine="480"/>
        <w:rPr>
          <w:rFonts w:ascii="楷体" w:hAnsi="楷体" w:eastAsia="楷体" w:cs="宋体"/>
          <w:sz w:val="24"/>
        </w:rPr>
      </w:pPr>
      <w:bookmarkStart w:id="129" w:name="_Ref467379400"/>
      <w:r>
        <w:rPr>
          <w:rFonts w:ascii="楷体" w:hAnsi="楷体" w:eastAsia="楷体" w:cs="宋体"/>
          <w:sz w:val="24"/>
        </w:rPr>
        <w:t>2.1.6 “乙方”系指根据合同约定交付货物的中标或成交供应商</w:t>
      </w:r>
      <w:bookmarkEnd w:id="129"/>
      <w:r>
        <w:rPr>
          <w:rFonts w:hint="eastAsia" w:ascii="楷体" w:hAnsi="楷体" w:eastAsia="楷体" w:cs="宋体"/>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3BF617C">
      <w:pPr>
        <w:spacing w:line="560" w:lineRule="exact"/>
        <w:ind w:firstLine="480"/>
        <w:rPr>
          <w:rFonts w:ascii="楷体" w:hAnsi="楷体" w:eastAsia="楷体" w:cs="宋体"/>
          <w:sz w:val="24"/>
        </w:rPr>
      </w:pPr>
      <w:bookmarkStart w:id="130" w:name="_Ref467379436"/>
      <w:r>
        <w:rPr>
          <w:rFonts w:ascii="楷体" w:hAnsi="楷体" w:eastAsia="楷体" w:cs="宋体"/>
          <w:sz w:val="24"/>
        </w:rPr>
        <w:t>2.1.7 “现场”系指合同约定货物将要运至或者安装的地点。</w:t>
      </w:r>
      <w:bookmarkEnd w:id="130"/>
    </w:p>
    <w:p w14:paraId="6BFA9C09">
      <w:pPr>
        <w:spacing w:line="560" w:lineRule="exact"/>
        <w:ind w:firstLine="482"/>
        <w:outlineLvl w:val="0"/>
        <w:rPr>
          <w:rFonts w:ascii="楷体" w:hAnsi="楷体" w:eastAsia="楷体" w:cs="宋体"/>
          <w:b/>
          <w:sz w:val="24"/>
        </w:rPr>
      </w:pPr>
      <w:bookmarkStart w:id="131" w:name="_Toc27635"/>
      <w:bookmarkStart w:id="132" w:name="_Toc259093670"/>
      <w:bookmarkStart w:id="133" w:name="_Toc487900350"/>
      <w:bookmarkStart w:id="134" w:name="_Toc279701241"/>
      <w:bookmarkStart w:id="135" w:name="_Toc13336"/>
      <w:bookmarkStart w:id="136" w:name="_Toc32504"/>
      <w:r>
        <w:rPr>
          <w:rFonts w:ascii="楷体" w:hAnsi="楷体" w:eastAsia="楷体" w:cs="宋体"/>
          <w:b/>
          <w:sz w:val="24"/>
        </w:rPr>
        <w:t xml:space="preserve">2.2 </w:t>
      </w:r>
      <w:r>
        <w:rPr>
          <w:rFonts w:hint="eastAsia" w:ascii="楷体" w:hAnsi="楷体" w:eastAsia="楷体" w:cs="宋体"/>
          <w:b/>
          <w:sz w:val="24"/>
        </w:rPr>
        <w:t>技术规范</w:t>
      </w:r>
      <w:bookmarkEnd w:id="131"/>
      <w:bookmarkEnd w:id="132"/>
      <w:bookmarkEnd w:id="133"/>
      <w:bookmarkEnd w:id="134"/>
      <w:bookmarkEnd w:id="135"/>
      <w:bookmarkEnd w:id="136"/>
    </w:p>
    <w:p w14:paraId="017501B9">
      <w:pPr>
        <w:spacing w:line="560" w:lineRule="exact"/>
        <w:ind w:firstLine="480"/>
        <w:rPr>
          <w:rFonts w:ascii="楷体" w:hAnsi="楷体" w:eastAsia="楷体" w:cs="宋体"/>
          <w:sz w:val="24"/>
        </w:rPr>
      </w:pPr>
      <w:r>
        <w:rPr>
          <w:rFonts w:hint="eastAsia" w:ascii="楷体" w:hAnsi="楷体" w:eastAsia="楷体" w:cs="宋体"/>
          <w:sz w:val="24"/>
        </w:rPr>
        <w:t>货物或服务所应遵守的技术规范应与采购文件规定的技术规范和技术规范附件及其技术规范偏差表相一致；如果采购文件中没有技术规范的相应说明，那么应以国家有关部门最新颁布的相应标准和规范为准。</w:t>
      </w:r>
    </w:p>
    <w:p w14:paraId="7EBF6014">
      <w:pPr>
        <w:spacing w:line="560" w:lineRule="exact"/>
        <w:ind w:firstLine="482"/>
        <w:outlineLvl w:val="0"/>
        <w:rPr>
          <w:rFonts w:ascii="楷体" w:hAnsi="楷体" w:eastAsia="楷体" w:cs="宋体"/>
          <w:b/>
          <w:sz w:val="24"/>
        </w:rPr>
      </w:pPr>
      <w:bookmarkStart w:id="137" w:name="_Toc9829"/>
      <w:bookmarkStart w:id="138" w:name="_Toc27853"/>
      <w:bookmarkStart w:id="139" w:name="_Toc259093671"/>
      <w:bookmarkStart w:id="140" w:name="_Toc487900351"/>
      <w:bookmarkStart w:id="141" w:name="_Toc31634"/>
      <w:bookmarkStart w:id="142" w:name="_Toc279701242"/>
      <w:r>
        <w:rPr>
          <w:rFonts w:ascii="楷体" w:hAnsi="楷体" w:eastAsia="楷体" w:cs="宋体"/>
          <w:b/>
          <w:sz w:val="24"/>
        </w:rPr>
        <w:t xml:space="preserve">2.3 </w:t>
      </w:r>
      <w:r>
        <w:rPr>
          <w:rFonts w:hint="eastAsia" w:ascii="楷体" w:hAnsi="楷体" w:eastAsia="楷体" w:cs="宋体"/>
          <w:b/>
          <w:sz w:val="24"/>
        </w:rPr>
        <w:t>知识产权</w:t>
      </w:r>
      <w:bookmarkEnd w:id="137"/>
      <w:bookmarkEnd w:id="138"/>
      <w:bookmarkEnd w:id="139"/>
      <w:bookmarkEnd w:id="140"/>
      <w:bookmarkEnd w:id="141"/>
      <w:bookmarkEnd w:id="142"/>
    </w:p>
    <w:p w14:paraId="2B0973FF">
      <w:pPr>
        <w:spacing w:line="560" w:lineRule="exact"/>
        <w:ind w:firstLine="480"/>
        <w:rPr>
          <w:rFonts w:ascii="楷体" w:hAnsi="楷体" w:eastAsia="楷体" w:cs="宋体"/>
          <w:sz w:val="24"/>
        </w:rPr>
      </w:pPr>
      <w:r>
        <w:rPr>
          <w:rFonts w:ascii="楷体" w:hAnsi="楷体" w:eastAsia="楷体" w:cs="宋体"/>
          <w:sz w:val="24"/>
        </w:rPr>
        <w:t>2.3.1乙方应保证甲方在使用该货物、服务或其任何一部分时不受第三方提出侵犯其</w:t>
      </w:r>
      <w:r>
        <w:rPr>
          <w:rFonts w:hint="eastAsia" w:ascii="楷体" w:hAnsi="楷体" w:eastAsia="楷体" w:cs="宋体"/>
          <w:sz w:val="24"/>
        </w:rPr>
        <w:t>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06593FA8">
      <w:pPr>
        <w:spacing w:line="560" w:lineRule="exact"/>
        <w:ind w:firstLine="480"/>
        <w:rPr>
          <w:rFonts w:ascii="楷体" w:hAnsi="楷体" w:eastAsia="楷体" w:cs="宋体"/>
          <w:iCs/>
          <w:sz w:val="24"/>
        </w:rPr>
      </w:pPr>
      <w:r>
        <w:rPr>
          <w:rFonts w:ascii="楷体" w:hAnsi="楷体" w:eastAsia="楷体" w:cs="宋体"/>
          <w:sz w:val="24"/>
        </w:rPr>
        <w:t>2.3.2具有知识产权的计算机软件等货物或</w:t>
      </w:r>
      <w:r>
        <w:rPr>
          <w:rFonts w:hint="eastAsia" w:ascii="楷体" w:hAnsi="楷体" w:eastAsia="楷体"/>
          <w:sz w:val="24"/>
        </w:rPr>
        <w:t>技术成果</w:t>
      </w:r>
      <w:r>
        <w:rPr>
          <w:rFonts w:hint="eastAsia" w:ascii="楷体" w:hAnsi="楷体" w:eastAsia="楷体" w:cs="宋体"/>
          <w:sz w:val="24"/>
        </w:rPr>
        <w:t>的知识产权归属，详见</w:t>
      </w:r>
      <w:r>
        <w:rPr>
          <w:rFonts w:hint="eastAsia" w:ascii="楷体" w:hAnsi="楷体" w:eastAsia="楷体" w:cs="宋体"/>
          <w:b/>
          <w:iCs/>
          <w:sz w:val="24"/>
          <w:u w:val="single"/>
        </w:rPr>
        <w:t>合同专用条款</w:t>
      </w:r>
      <w:r>
        <w:rPr>
          <w:rFonts w:ascii="楷体" w:hAnsi="楷体" w:eastAsia="楷体" w:cs="宋体"/>
          <w:b/>
          <w:iCs/>
          <w:sz w:val="24"/>
          <w:u w:val="single"/>
        </w:rPr>
        <w:t>2.3.2</w:t>
      </w:r>
      <w:r>
        <w:rPr>
          <w:rFonts w:hint="eastAsia" w:ascii="楷体" w:hAnsi="楷体" w:eastAsia="楷体" w:cs="宋体"/>
          <w:iCs/>
          <w:sz w:val="24"/>
        </w:rPr>
        <w:t>。</w:t>
      </w:r>
    </w:p>
    <w:p w14:paraId="5F1CD859">
      <w:pPr>
        <w:spacing w:line="560" w:lineRule="exact"/>
        <w:ind w:firstLine="482"/>
        <w:outlineLvl w:val="0"/>
        <w:rPr>
          <w:rFonts w:ascii="楷体" w:hAnsi="楷体" w:eastAsia="楷体" w:cs="宋体"/>
          <w:b/>
          <w:sz w:val="24"/>
        </w:rPr>
      </w:pPr>
      <w:bookmarkStart w:id="143" w:name="_Toc29149"/>
      <w:bookmarkStart w:id="144" w:name="_Toc4194"/>
      <w:bookmarkStart w:id="145" w:name="_Toc11932"/>
      <w:r>
        <w:rPr>
          <w:rFonts w:ascii="楷体" w:hAnsi="楷体" w:eastAsia="楷体" w:cs="宋体"/>
          <w:b/>
          <w:sz w:val="24"/>
        </w:rPr>
        <w:t xml:space="preserve">2.4 </w:t>
      </w:r>
      <w:r>
        <w:rPr>
          <w:rFonts w:hint="eastAsia" w:ascii="楷体" w:hAnsi="楷体" w:eastAsia="楷体" w:cs="宋体"/>
          <w:b/>
          <w:sz w:val="24"/>
        </w:rPr>
        <w:t>包装和装运</w:t>
      </w:r>
      <w:bookmarkEnd w:id="143"/>
      <w:bookmarkEnd w:id="144"/>
      <w:bookmarkEnd w:id="145"/>
    </w:p>
    <w:p w14:paraId="284706AC">
      <w:pPr>
        <w:spacing w:line="560" w:lineRule="exact"/>
        <w:ind w:firstLine="480"/>
        <w:rPr>
          <w:rFonts w:ascii="楷体" w:hAnsi="楷体" w:eastAsia="楷体" w:cs="宋体"/>
          <w:sz w:val="24"/>
        </w:rPr>
      </w:pPr>
      <w:r>
        <w:rPr>
          <w:rFonts w:ascii="楷体" w:hAnsi="楷体" w:eastAsia="楷体" w:cs="宋体"/>
          <w:sz w:val="24"/>
        </w:rPr>
        <w:t>2.4.1除</w:t>
      </w:r>
      <w:r>
        <w:rPr>
          <w:rFonts w:hint="eastAsia" w:ascii="楷体" w:hAnsi="楷体" w:eastAsia="楷体" w:cs="宋体"/>
          <w:b/>
          <w:iCs/>
          <w:sz w:val="24"/>
          <w:u w:val="single"/>
        </w:rPr>
        <w:t>合同专用条款</w:t>
      </w:r>
      <w:r>
        <w:rPr>
          <w:rFonts w:ascii="楷体" w:hAnsi="楷体" w:eastAsia="楷体" w:cs="宋体"/>
          <w:b/>
          <w:iCs/>
          <w:sz w:val="24"/>
          <w:u w:val="single"/>
        </w:rPr>
        <w:t>2.4.1</w:t>
      </w:r>
      <w:r>
        <w:rPr>
          <w:rFonts w:hint="eastAsia" w:ascii="楷体" w:hAnsi="楷体" w:eastAsia="楷体" w:cs="宋体"/>
          <w:sz w:val="24"/>
        </w:rPr>
        <w:t>另有约定外</w:t>
      </w:r>
      <w:r>
        <w:rPr>
          <w:rFonts w:ascii="楷体" w:hAnsi="楷体" w:eastAsia="楷体" w:cs="宋体"/>
          <w:sz w:val="24"/>
        </w:rPr>
        <w:t>,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15505F1B">
      <w:pPr>
        <w:spacing w:line="560" w:lineRule="exact"/>
        <w:ind w:firstLine="480"/>
        <w:rPr>
          <w:rFonts w:ascii="楷体" w:hAnsi="楷体" w:eastAsia="楷体" w:cs="宋体"/>
          <w:sz w:val="24"/>
        </w:rPr>
      </w:pPr>
      <w:r>
        <w:rPr>
          <w:rFonts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1CDE8450">
      <w:pPr>
        <w:spacing w:line="560" w:lineRule="exact"/>
        <w:ind w:firstLine="480"/>
        <w:rPr>
          <w:rFonts w:ascii="楷体" w:hAnsi="楷体" w:eastAsia="楷体" w:cs="宋体"/>
          <w:sz w:val="24"/>
        </w:rPr>
      </w:pPr>
      <w:r>
        <w:rPr>
          <w:rFonts w:ascii="楷体" w:hAnsi="楷体" w:eastAsia="楷体" w:cs="宋体"/>
          <w:sz w:val="24"/>
        </w:rPr>
        <w:t xml:space="preserve">2.4.3 </w:t>
      </w:r>
      <w:r>
        <w:rPr>
          <w:rFonts w:hint="eastAsia" w:ascii="楷体" w:hAnsi="楷体" w:eastAsia="楷体" w:cs="宋体"/>
          <w:sz w:val="24"/>
        </w:rPr>
        <w:t>装运货物的要求和通知，详见</w:t>
      </w:r>
      <w:r>
        <w:rPr>
          <w:rFonts w:hint="eastAsia" w:ascii="楷体" w:hAnsi="楷体" w:eastAsia="楷体" w:cs="宋体"/>
          <w:b/>
          <w:iCs/>
          <w:sz w:val="24"/>
          <w:u w:val="single"/>
        </w:rPr>
        <w:t>合同专用条款</w:t>
      </w:r>
      <w:r>
        <w:rPr>
          <w:rFonts w:ascii="楷体" w:hAnsi="楷体" w:eastAsia="楷体" w:cs="宋体"/>
          <w:b/>
          <w:iCs/>
          <w:sz w:val="24"/>
          <w:u w:val="single"/>
        </w:rPr>
        <w:t>2.4.3</w:t>
      </w:r>
      <w:r>
        <w:rPr>
          <w:rFonts w:hint="eastAsia" w:ascii="楷体" w:hAnsi="楷体" w:eastAsia="楷体" w:cs="宋体"/>
          <w:iCs/>
          <w:sz w:val="24"/>
        </w:rPr>
        <w:t>。</w:t>
      </w:r>
    </w:p>
    <w:p w14:paraId="1E87ED51">
      <w:pPr>
        <w:spacing w:line="560" w:lineRule="exact"/>
        <w:ind w:firstLine="482"/>
        <w:outlineLvl w:val="0"/>
        <w:rPr>
          <w:rFonts w:ascii="楷体" w:hAnsi="楷体" w:eastAsia="楷体" w:cs="宋体"/>
          <w:b/>
          <w:sz w:val="24"/>
        </w:rPr>
      </w:pPr>
      <w:bookmarkStart w:id="146" w:name="_Ref467379527"/>
      <w:bookmarkStart w:id="147" w:name="_Toc279701245"/>
      <w:bookmarkStart w:id="148" w:name="_Ref467378591"/>
      <w:bookmarkStart w:id="149" w:name="_Ref467379536"/>
      <w:bookmarkStart w:id="150" w:name="_Toc487900354"/>
      <w:bookmarkStart w:id="151" w:name="_Toc259093674"/>
      <w:bookmarkStart w:id="152" w:name="_Ref467379542"/>
      <w:bookmarkStart w:id="153" w:name="_Ref467378541"/>
      <w:bookmarkStart w:id="154" w:name="_Toc30272"/>
      <w:bookmarkStart w:id="155" w:name="_Toc26182"/>
      <w:bookmarkStart w:id="156" w:name="_Toc19074"/>
      <w:r>
        <w:rPr>
          <w:rFonts w:ascii="楷体" w:hAnsi="楷体" w:eastAsia="楷体" w:cs="宋体"/>
          <w:b/>
          <w:sz w:val="24"/>
        </w:rPr>
        <w:t>2.</w:t>
      </w:r>
      <w:bookmarkEnd w:id="146"/>
      <w:bookmarkEnd w:id="147"/>
      <w:bookmarkEnd w:id="148"/>
      <w:bookmarkEnd w:id="149"/>
      <w:bookmarkEnd w:id="150"/>
      <w:bookmarkEnd w:id="151"/>
      <w:bookmarkEnd w:id="152"/>
      <w:bookmarkEnd w:id="153"/>
      <w:r>
        <w:rPr>
          <w:rFonts w:ascii="楷体" w:hAnsi="楷体" w:eastAsia="楷体" w:cs="宋体"/>
          <w:b/>
          <w:sz w:val="24"/>
        </w:rPr>
        <w:t xml:space="preserve">5 </w:t>
      </w:r>
      <w:r>
        <w:rPr>
          <w:rFonts w:hint="eastAsia" w:ascii="楷体" w:hAnsi="楷体" w:eastAsia="楷体" w:cs="宋体"/>
          <w:b/>
          <w:sz w:val="24"/>
        </w:rPr>
        <w:t>履约检查和问题反馈</w:t>
      </w:r>
      <w:bookmarkEnd w:id="154"/>
      <w:bookmarkEnd w:id="155"/>
      <w:bookmarkEnd w:id="156"/>
    </w:p>
    <w:p w14:paraId="10D517E3">
      <w:pPr>
        <w:spacing w:line="560" w:lineRule="exact"/>
        <w:ind w:firstLine="480"/>
        <w:rPr>
          <w:rFonts w:ascii="楷体" w:hAnsi="楷体" w:eastAsia="楷体" w:cs="宋体"/>
          <w:sz w:val="24"/>
        </w:rPr>
      </w:pPr>
      <w:bookmarkStart w:id="157" w:name="_Ref467379657"/>
      <w:r>
        <w:rPr>
          <w:rFonts w:ascii="楷体" w:hAnsi="楷体" w:eastAsia="楷体" w:cs="宋体"/>
          <w:sz w:val="24"/>
        </w:rPr>
        <w:t>2.5.1</w:t>
      </w:r>
      <w:bookmarkEnd w:id="157"/>
      <w:bookmarkStart w:id="158" w:name="_Toc186431854"/>
      <w:bookmarkStart w:id="159" w:name="_Toc487900357"/>
      <w:bookmarkStart w:id="160" w:name="_Toc279701247"/>
      <w:bookmarkStart w:id="161" w:name="_Ref467379793"/>
      <w:bookmarkStart w:id="162" w:name="_Ref467379807"/>
      <w:bookmarkStart w:id="163" w:name="_Toc259093676"/>
      <w:r>
        <w:rPr>
          <w:rFonts w:hint="eastAsia" w:ascii="楷体" w:hAnsi="楷体" w:eastAsia="楷体" w:cs="宋体"/>
          <w:sz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1EFF1C8B">
      <w:pPr>
        <w:spacing w:line="560" w:lineRule="exact"/>
        <w:ind w:firstLine="480"/>
        <w:rPr>
          <w:rFonts w:ascii="楷体" w:hAnsi="楷体" w:eastAsia="楷体" w:cs="宋体"/>
          <w:sz w:val="24"/>
        </w:rPr>
      </w:pPr>
      <w:r>
        <w:rPr>
          <w:rFonts w:ascii="楷体" w:hAnsi="楷体" w:eastAsia="楷体" w:cs="宋体"/>
          <w:sz w:val="24"/>
        </w:rPr>
        <w:t xml:space="preserve">2.5.2 </w:t>
      </w:r>
      <w:r>
        <w:rPr>
          <w:rFonts w:hint="eastAsia" w:ascii="楷体" w:hAnsi="楷体" w:eastAsia="楷体" w:cs="宋体"/>
          <w:sz w:val="24"/>
        </w:rPr>
        <w:t>合同履行期间，甲方有权将履行过程中出现的问题反馈给乙方，双方当事人应以书面形式约定需要完善和改进的内容</w:t>
      </w:r>
      <w:bookmarkEnd w:id="158"/>
      <w:bookmarkStart w:id="164" w:name="_Toc186431855"/>
      <w:r>
        <w:rPr>
          <w:rFonts w:hint="eastAsia" w:ascii="楷体" w:hAnsi="楷体" w:eastAsia="楷体" w:cs="宋体"/>
          <w:sz w:val="24"/>
        </w:rPr>
        <w:t>。</w:t>
      </w:r>
      <w:bookmarkEnd w:id="159"/>
      <w:bookmarkEnd w:id="160"/>
      <w:bookmarkEnd w:id="161"/>
      <w:bookmarkEnd w:id="162"/>
      <w:bookmarkEnd w:id="163"/>
      <w:bookmarkEnd w:id="164"/>
    </w:p>
    <w:p w14:paraId="61D1FDB0">
      <w:pPr>
        <w:spacing w:line="560" w:lineRule="exact"/>
        <w:ind w:firstLine="482"/>
        <w:outlineLvl w:val="0"/>
        <w:rPr>
          <w:rFonts w:ascii="楷体" w:hAnsi="楷体" w:eastAsia="楷体" w:cs="宋体"/>
          <w:b/>
          <w:sz w:val="24"/>
        </w:rPr>
      </w:pPr>
      <w:bookmarkStart w:id="165" w:name="_Toc279701248"/>
      <w:bookmarkStart w:id="166" w:name="_Ref467379923"/>
      <w:bookmarkStart w:id="167" w:name="_Ref467379863"/>
      <w:bookmarkStart w:id="168" w:name="_Toc487900358"/>
      <w:bookmarkStart w:id="169" w:name="_Toc259093677"/>
      <w:bookmarkStart w:id="170" w:name="_Ref467379852"/>
      <w:bookmarkStart w:id="171" w:name="_Toc774"/>
      <w:bookmarkStart w:id="172" w:name="_Toc16110"/>
      <w:bookmarkStart w:id="173" w:name="_Toc3225"/>
      <w:r>
        <w:rPr>
          <w:rFonts w:ascii="楷体" w:hAnsi="楷体" w:eastAsia="楷体" w:cs="宋体"/>
          <w:b/>
          <w:sz w:val="24"/>
        </w:rPr>
        <w:t xml:space="preserve">2.6 </w:t>
      </w:r>
      <w:r>
        <w:rPr>
          <w:rFonts w:hint="eastAsia" w:ascii="楷体" w:hAnsi="楷体" w:eastAsia="楷体" w:cs="宋体"/>
          <w:b/>
          <w:sz w:val="24"/>
        </w:rPr>
        <w:t>技术资料</w:t>
      </w:r>
      <w:bookmarkEnd w:id="165"/>
      <w:bookmarkEnd w:id="166"/>
      <w:bookmarkEnd w:id="167"/>
      <w:bookmarkEnd w:id="168"/>
      <w:bookmarkEnd w:id="169"/>
      <w:bookmarkEnd w:id="170"/>
      <w:r>
        <w:rPr>
          <w:rFonts w:hint="eastAsia" w:ascii="楷体" w:hAnsi="楷体" w:eastAsia="楷体" w:cs="宋体"/>
          <w:b/>
          <w:sz w:val="24"/>
        </w:rPr>
        <w:t>和保密义务</w:t>
      </w:r>
      <w:bookmarkEnd w:id="171"/>
      <w:bookmarkEnd w:id="172"/>
      <w:bookmarkEnd w:id="173"/>
    </w:p>
    <w:p w14:paraId="7FED0D48">
      <w:pPr>
        <w:spacing w:line="560" w:lineRule="exact"/>
        <w:ind w:firstLine="480"/>
        <w:rPr>
          <w:rFonts w:ascii="楷体" w:hAnsi="楷体" w:eastAsia="楷体" w:cs="宋体"/>
          <w:sz w:val="24"/>
        </w:rPr>
      </w:pPr>
      <w:r>
        <w:rPr>
          <w:rFonts w:ascii="楷体" w:hAnsi="楷体" w:eastAsia="楷体" w:cs="宋体"/>
          <w:sz w:val="24"/>
        </w:rPr>
        <w:t xml:space="preserve">2.6.1 </w:t>
      </w:r>
      <w:r>
        <w:rPr>
          <w:rFonts w:hint="eastAsia" w:ascii="楷体" w:hAnsi="楷体" w:eastAsia="楷体" w:cs="宋体"/>
          <w:sz w:val="24"/>
        </w:rPr>
        <w:t>乙方有权依据合同约定和项目需要，向甲方了解有关情况，调阅有关资料等，甲方应予积极配合；</w:t>
      </w:r>
    </w:p>
    <w:p w14:paraId="218D9AE7">
      <w:pPr>
        <w:spacing w:line="560" w:lineRule="exact"/>
        <w:ind w:firstLine="480"/>
        <w:rPr>
          <w:rFonts w:ascii="楷体" w:hAnsi="楷体" w:eastAsia="楷体" w:cs="宋体"/>
          <w:sz w:val="24"/>
        </w:rPr>
      </w:pPr>
      <w:r>
        <w:rPr>
          <w:rFonts w:ascii="楷体" w:hAnsi="楷体" w:eastAsia="楷体" w:cs="宋体"/>
          <w:sz w:val="24"/>
        </w:rPr>
        <w:t xml:space="preserve">2.6.2 </w:t>
      </w:r>
      <w:r>
        <w:rPr>
          <w:rFonts w:hint="eastAsia" w:ascii="楷体" w:hAnsi="楷体" w:eastAsia="楷体" w:cs="宋体"/>
          <w:sz w:val="24"/>
        </w:rPr>
        <w:t>乙方有义务妥善保管和保护由甲方提供的前款信息和资料等；</w:t>
      </w:r>
    </w:p>
    <w:p w14:paraId="37533616">
      <w:pPr>
        <w:spacing w:line="560" w:lineRule="exact"/>
        <w:ind w:firstLine="480"/>
        <w:rPr>
          <w:rFonts w:ascii="楷体" w:hAnsi="楷体" w:eastAsia="楷体" w:cs="宋体"/>
          <w:sz w:val="24"/>
        </w:rPr>
      </w:pPr>
      <w:r>
        <w:rPr>
          <w:rFonts w:ascii="楷体" w:hAnsi="楷体" w:eastAsia="楷体" w:cs="宋体"/>
          <w:sz w:val="24"/>
        </w:rPr>
        <w:t xml:space="preserve">2.6.3 </w:t>
      </w:r>
      <w:r>
        <w:rPr>
          <w:rFonts w:hint="eastAsia" w:ascii="楷体" w:hAnsi="楷体" w:eastAsia="楷体" w:cs="宋体"/>
          <w:sz w:val="24"/>
        </w:rPr>
        <w:t>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5939CF15">
      <w:pPr>
        <w:spacing w:line="560" w:lineRule="exact"/>
        <w:ind w:firstLine="480"/>
        <w:rPr>
          <w:rFonts w:ascii="楷体" w:hAnsi="楷体" w:eastAsia="楷体" w:cs="宋体"/>
          <w:sz w:val="24"/>
        </w:rPr>
      </w:pPr>
      <w:r>
        <w:rPr>
          <w:rFonts w:ascii="楷体" w:hAnsi="楷体" w:eastAsia="楷体" w:cs="宋体"/>
          <w:sz w:val="24"/>
        </w:rPr>
        <w:t xml:space="preserve">2.6.4 </w:t>
      </w:r>
      <w:r>
        <w:rPr>
          <w:rFonts w:hint="eastAsia" w:ascii="楷体" w:hAnsi="楷体" w:eastAsia="楷体" w:cs="宋体"/>
          <w:sz w:val="24"/>
        </w:rPr>
        <w:t>除履行本合同义务内容所需外，未经对方事先书面同意，任一方不得擅自使用、复制商标、标志、商业信息、技术及其他资料。</w:t>
      </w:r>
    </w:p>
    <w:p w14:paraId="3A897905">
      <w:pPr>
        <w:spacing w:line="560" w:lineRule="exact"/>
        <w:ind w:firstLine="480"/>
        <w:rPr>
          <w:rFonts w:ascii="楷体" w:hAnsi="楷体" w:eastAsia="楷体" w:cs="宋体"/>
          <w:sz w:val="24"/>
        </w:rPr>
      </w:pPr>
      <w:r>
        <w:rPr>
          <w:rFonts w:ascii="楷体" w:hAnsi="楷体" w:eastAsia="楷体" w:cs="宋体"/>
          <w:sz w:val="24"/>
        </w:rPr>
        <w:t xml:space="preserve">2.6.5 </w:t>
      </w:r>
      <w:r>
        <w:rPr>
          <w:rFonts w:hint="eastAsia" w:ascii="楷体" w:hAnsi="楷体" w:eastAsia="楷体" w:cs="宋体"/>
          <w:sz w:val="24"/>
        </w:rPr>
        <w:t>本保密条款长期有效，本合同变更、终止或解除等均不影响本条款的效力。</w:t>
      </w:r>
    </w:p>
    <w:p w14:paraId="3885E7F5">
      <w:pPr>
        <w:spacing w:line="560" w:lineRule="exact"/>
        <w:ind w:firstLine="482"/>
        <w:outlineLvl w:val="0"/>
        <w:rPr>
          <w:rFonts w:ascii="楷体" w:hAnsi="楷体" w:eastAsia="楷体" w:cs="宋体"/>
          <w:b/>
          <w:sz w:val="24"/>
        </w:rPr>
      </w:pPr>
      <w:bookmarkStart w:id="174" w:name="_Toc7860"/>
      <w:r>
        <w:rPr>
          <w:rFonts w:ascii="楷体" w:hAnsi="楷体" w:eastAsia="楷体" w:cs="宋体"/>
          <w:b/>
          <w:sz w:val="24"/>
        </w:rPr>
        <w:t xml:space="preserve">2.7 </w:t>
      </w:r>
      <w:r>
        <w:rPr>
          <w:rFonts w:hint="eastAsia" w:ascii="楷体" w:hAnsi="楷体" w:eastAsia="楷体" w:cs="宋体"/>
          <w:b/>
          <w:sz w:val="24"/>
        </w:rPr>
        <w:t>质量保证</w:t>
      </w:r>
      <w:bookmarkEnd w:id="174"/>
    </w:p>
    <w:p w14:paraId="41609699">
      <w:pPr>
        <w:spacing w:line="560" w:lineRule="exact"/>
        <w:ind w:firstLine="480"/>
        <w:rPr>
          <w:rFonts w:ascii="楷体" w:hAnsi="楷体" w:eastAsia="楷体" w:cs="宋体"/>
          <w:sz w:val="24"/>
        </w:rPr>
      </w:pPr>
      <w:r>
        <w:rPr>
          <w:rFonts w:ascii="楷体" w:hAnsi="楷体" w:eastAsia="楷体" w:cs="宋体"/>
          <w:sz w:val="24"/>
        </w:rPr>
        <w:t xml:space="preserve">2.7.1 </w:t>
      </w:r>
      <w:r>
        <w:rPr>
          <w:rFonts w:hint="eastAsia" w:ascii="楷体" w:hAnsi="楷体" w:eastAsia="楷体" w:cs="宋体"/>
          <w:sz w:val="24"/>
        </w:rPr>
        <w:t>乙方应建立和完善履行合同的内部质量保证体系，并提供相关内部规章制度给甲方，以便甲方进行监督检查；</w:t>
      </w:r>
    </w:p>
    <w:p w14:paraId="1E6FD1D0">
      <w:pPr>
        <w:spacing w:line="560" w:lineRule="exact"/>
        <w:ind w:firstLine="480"/>
        <w:rPr>
          <w:rFonts w:ascii="楷体" w:hAnsi="楷体" w:eastAsia="楷体" w:cs="宋体"/>
          <w:sz w:val="24"/>
        </w:rPr>
      </w:pPr>
      <w:r>
        <w:rPr>
          <w:rFonts w:ascii="楷体" w:hAnsi="楷体" w:eastAsia="楷体" w:cs="宋体"/>
          <w:sz w:val="24"/>
        </w:rPr>
        <w:t xml:space="preserve">2.7.2 </w:t>
      </w:r>
      <w:r>
        <w:rPr>
          <w:rFonts w:hint="eastAsia" w:ascii="楷体" w:hAnsi="楷体" w:eastAsia="楷体" w:cs="宋体"/>
          <w:sz w:val="24"/>
        </w:rPr>
        <w:t>乙方应保证履行合同的人员数量和素质、软件和硬件设备的配置、场地、环境和设施等满足全面履行合同的要求，并应接受甲方的监督检查。</w:t>
      </w:r>
    </w:p>
    <w:p w14:paraId="14A5C598">
      <w:pPr>
        <w:spacing w:line="560" w:lineRule="exact"/>
        <w:ind w:firstLine="482"/>
        <w:outlineLvl w:val="0"/>
        <w:rPr>
          <w:rFonts w:ascii="楷体" w:hAnsi="楷体" w:eastAsia="楷体" w:cs="宋体"/>
          <w:b/>
          <w:sz w:val="24"/>
        </w:rPr>
      </w:pPr>
      <w:bookmarkStart w:id="175" w:name="_Toc17244"/>
      <w:bookmarkStart w:id="176" w:name="_Toc259093681"/>
      <w:bookmarkStart w:id="177" w:name="_Toc279701252"/>
      <w:bookmarkStart w:id="178" w:name="_Toc487900362"/>
      <w:r>
        <w:rPr>
          <w:rFonts w:ascii="楷体" w:hAnsi="楷体" w:eastAsia="楷体" w:cs="宋体"/>
          <w:b/>
          <w:sz w:val="24"/>
        </w:rPr>
        <w:t xml:space="preserve">2.8 </w:t>
      </w:r>
      <w:r>
        <w:rPr>
          <w:rFonts w:hint="eastAsia" w:ascii="楷体" w:hAnsi="楷体" w:eastAsia="楷体" w:cs="宋体"/>
          <w:b/>
          <w:sz w:val="24"/>
        </w:rPr>
        <w:t>货物的风险负担</w:t>
      </w:r>
      <w:bookmarkEnd w:id="175"/>
    </w:p>
    <w:p w14:paraId="6AC4956D">
      <w:pPr>
        <w:spacing w:line="560" w:lineRule="exact"/>
        <w:ind w:firstLine="480"/>
        <w:rPr>
          <w:rFonts w:ascii="楷体" w:hAnsi="楷体" w:eastAsia="楷体" w:cs="宋体"/>
          <w:b/>
          <w:iCs/>
          <w:sz w:val="24"/>
        </w:rPr>
      </w:pPr>
      <w:r>
        <w:rPr>
          <w:rFonts w:hint="eastAsia" w:ascii="楷体" w:hAnsi="楷体" w:eastAsia="楷体" w:cs="宋体"/>
          <w:sz w:val="24"/>
        </w:rPr>
        <w:t>货物或者在途货物或者交付给第一承运人后的货物毁损、灭失的风险负担详见</w:t>
      </w:r>
      <w:r>
        <w:rPr>
          <w:rFonts w:hint="eastAsia" w:ascii="楷体" w:hAnsi="楷体" w:eastAsia="楷体" w:cs="宋体"/>
          <w:b/>
          <w:iCs/>
          <w:sz w:val="24"/>
          <w:u w:val="single"/>
        </w:rPr>
        <w:t>合同专用条款</w:t>
      </w:r>
      <w:r>
        <w:rPr>
          <w:rFonts w:ascii="楷体" w:hAnsi="楷体" w:eastAsia="楷体" w:cs="宋体"/>
          <w:b/>
          <w:iCs/>
          <w:sz w:val="24"/>
          <w:u w:val="single"/>
        </w:rPr>
        <w:t>2.8</w:t>
      </w:r>
      <w:r>
        <w:rPr>
          <w:rFonts w:hint="eastAsia" w:ascii="楷体" w:hAnsi="楷体" w:eastAsia="楷体" w:cs="宋体"/>
          <w:iCs/>
          <w:sz w:val="24"/>
        </w:rPr>
        <w:t>。</w:t>
      </w:r>
    </w:p>
    <w:p w14:paraId="38150D45">
      <w:pPr>
        <w:spacing w:line="560" w:lineRule="exact"/>
        <w:ind w:firstLine="482"/>
        <w:outlineLvl w:val="0"/>
        <w:rPr>
          <w:rFonts w:ascii="楷体" w:hAnsi="楷体" w:eastAsia="楷体" w:cs="宋体"/>
          <w:b/>
          <w:sz w:val="24"/>
        </w:rPr>
      </w:pPr>
      <w:bookmarkStart w:id="179" w:name="_Toc14055"/>
      <w:r>
        <w:rPr>
          <w:rFonts w:ascii="楷体" w:hAnsi="楷体" w:eastAsia="楷体" w:cs="宋体"/>
          <w:b/>
          <w:sz w:val="24"/>
        </w:rPr>
        <w:t xml:space="preserve">2.9 </w:t>
      </w:r>
      <w:r>
        <w:rPr>
          <w:rFonts w:hint="eastAsia" w:ascii="楷体" w:hAnsi="楷体" w:eastAsia="楷体" w:cs="宋体"/>
          <w:b/>
          <w:sz w:val="24"/>
        </w:rPr>
        <w:t>延迟</w:t>
      </w:r>
      <w:bookmarkEnd w:id="176"/>
      <w:bookmarkEnd w:id="177"/>
      <w:bookmarkEnd w:id="178"/>
      <w:bookmarkEnd w:id="179"/>
      <w:r>
        <w:rPr>
          <w:rFonts w:hint="eastAsia" w:ascii="楷体" w:hAnsi="楷体" w:eastAsia="楷体" w:cs="宋体"/>
          <w:b/>
          <w:sz w:val="24"/>
        </w:rPr>
        <w:t>交付</w:t>
      </w:r>
    </w:p>
    <w:p w14:paraId="62607716">
      <w:pPr>
        <w:spacing w:line="560" w:lineRule="exact"/>
        <w:ind w:firstLine="480"/>
        <w:rPr>
          <w:rFonts w:ascii="楷体" w:hAnsi="楷体" w:eastAsia="楷体" w:cs="宋体"/>
          <w:sz w:val="24"/>
        </w:rPr>
      </w:pPr>
      <w:r>
        <w:rPr>
          <w:rFonts w:hint="eastAsia" w:ascii="楷体" w:hAnsi="楷体" w:eastAsia="楷体"/>
          <w:sz w:val="24"/>
        </w:rPr>
        <w:t>甲乙双方签订合同后，乙方应按照合同约定履行合同义务，除不可抗力外，乙方不得延迟交付。</w:t>
      </w:r>
      <w:r>
        <w:rPr>
          <w:rFonts w:hint="eastAsia" w:ascii="楷体" w:hAnsi="楷体" w:eastAsia="楷体" w:cs="宋体"/>
          <w:sz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6A0E6251">
      <w:pPr>
        <w:spacing w:line="560" w:lineRule="exact"/>
        <w:ind w:firstLine="482"/>
        <w:outlineLvl w:val="0"/>
        <w:rPr>
          <w:rFonts w:ascii="楷体" w:hAnsi="楷体" w:eastAsia="楷体" w:cs="宋体"/>
          <w:b/>
          <w:sz w:val="24"/>
        </w:rPr>
      </w:pPr>
      <w:bookmarkStart w:id="180" w:name="_Toc7502"/>
      <w:bookmarkStart w:id="181" w:name="_Toc279701254"/>
      <w:bookmarkStart w:id="182" w:name="_Toc259093683"/>
      <w:bookmarkStart w:id="183" w:name="_Ref467378121"/>
      <w:bookmarkStart w:id="184" w:name="_Toc487900364"/>
      <w:r>
        <w:rPr>
          <w:rFonts w:ascii="楷体" w:hAnsi="楷体" w:eastAsia="楷体" w:cs="宋体"/>
          <w:b/>
          <w:sz w:val="24"/>
        </w:rPr>
        <w:t xml:space="preserve">2.10 </w:t>
      </w:r>
      <w:r>
        <w:rPr>
          <w:rFonts w:hint="eastAsia" w:ascii="楷体" w:hAnsi="楷体" w:eastAsia="楷体" w:cs="宋体"/>
          <w:b/>
          <w:sz w:val="24"/>
        </w:rPr>
        <w:t>合同变更</w:t>
      </w:r>
      <w:bookmarkEnd w:id="180"/>
    </w:p>
    <w:p w14:paraId="510D6F50">
      <w:pPr>
        <w:spacing w:line="560" w:lineRule="exact"/>
        <w:ind w:firstLine="480"/>
        <w:rPr>
          <w:rFonts w:ascii="楷体" w:hAnsi="楷体" w:eastAsia="楷体" w:cs="宋体"/>
          <w:sz w:val="24"/>
        </w:rPr>
      </w:pPr>
      <w:r>
        <w:rPr>
          <w:rFonts w:hint="eastAsia" w:ascii="楷体" w:hAnsi="楷体" w:eastAsia="楷体" w:cs="宋体"/>
          <w:sz w:val="24"/>
        </w:rPr>
        <w:t>合同继续履行将损害国家利益和社会公共利益的，双方当事人应当以书面形式变更合同。有过错的一方应当承担赔偿责任，双方当事人都有过错的，各自承担相应的责任。</w:t>
      </w:r>
      <w:bookmarkStart w:id="185" w:name="_Toc487900369"/>
      <w:bookmarkStart w:id="186" w:name="_Toc259093688"/>
      <w:bookmarkStart w:id="187" w:name="_Toc279701259"/>
    </w:p>
    <w:p w14:paraId="6C77FD11">
      <w:pPr>
        <w:spacing w:line="560" w:lineRule="exact"/>
        <w:ind w:firstLine="482"/>
        <w:outlineLvl w:val="0"/>
        <w:rPr>
          <w:rFonts w:ascii="楷体" w:hAnsi="楷体" w:eastAsia="楷体" w:cs="宋体"/>
          <w:b/>
          <w:sz w:val="24"/>
        </w:rPr>
      </w:pPr>
      <w:bookmarkStart w:id="188" w:name="_Toc15237"/>
      <w:bookmarkStart w:id="189" w:name="_Toc10366"/>
      <w:bookmarkStart w:id="190" w:name="_Toc22955"/>
      <w:r>
        <w:rPr>
          <w:rFonts w:ascii="楷体" w:hAnsi="楷体" w:eastAsia="楷体" w:cs="宋体"/>
          <w:b/>
          <w:sz w:val="24"/>
        </w:rPr>
        <w:t xml:space="preserve">2.11 </w:t>
      </w:r>
      <w:r>
        <w:rPr>
          <w:rFonts w:hint="eastAsia" w:ascii="楷体" w:hAnsi="楷体" w:eastAsia="楷体" w:cs="宋体"/>
          <w:b/>
          <w:sz w:val="24"/>
        </w:rPr>
        <w:t>合同转让</w:t>
      </w:r>
      <w:bookmarkEnd w:id="185"/>
      <w:bookmarkEnd w:id="186"/>
      <w:bookmarkEnd w:id="187"/>
      <w:r>
        <w:rPr>
          <w:rFonts w:hint="eastAsia" w:ascii="楷体" w:hAnsi="楷体" w:eastAsia="楷体" w:cs="宋体"/>
          <w:b/>
          <w:sz w:val="24"/>
        </w:rPr>
        <w:t>和分包</w:t>
      </w:r>
      <w:bookmarkEnd w:id="188"/>
      <w:bookmarkEnd w:id="189"/>
      <w:bookmarkEnd w:id="190"/>
    </w:p>
    <w:p w14:paraId="703AB890">
      <w:pPr>
        <w:spacing w:line="560" w:lineRule="exact"/>
        <w:ind w:firstLine="480"/>
        <w:rPr>
          <w:rFonts w:ascii="楷体" w:hAnsi="楷体" w:eastAsia="楷体" w:cs="宋体"/>
          <w:sz w:val="24"/>
        </w:rPr>
      </w:pPr>
      <w:r>
        <w:rPr>
          <w:rFonts w:ascii="楷体" w:hAnsi="楷体" w:eastAsia="楷体" w:cs="宋体"/>
          <w:sz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享受中小企业扶持政策获得政府采购合同的，小微企业不得将合同分包给大中型企业，中型企业不得将合同分包给大型企业。</w:t>
      </w:r>
    </w:p>
    <w:p w14:paraId="1641D7A3">
      <w:pPr>
        <w:spacing w:line="560" w:lineRule="exact"/>
        <w:ind w:firstLine="480"/>
        <w:rPr>
          <w:rFonts w:ascii="楷体" w:hAnsi="楷体" w:eastAsia="楷体" w:cs="宋体"/>
          <w:sz w:val="24"/>
        </w:rPr>
      </w:pPr>
      <w:r>
        <w:rPr>
          <w:rFonts w:ascii="楷体" w:hAnsi="楷体" w:eastAsia="楷体" w:cs="宋体"/>
          <w:sz w:val="24"/>
        </w:rPr>
        <w:t>2.11.2乙方采取分包方式履行合同的，甲方可直接向分包供应商支付款项。</w:t>
      </w:r>
    </w:p>
    <w:p w14:paraId="2595E784">
      <w:pPr>
        <w:spacing w:line="560" w:lineRule="exact"/>
        <w:ind w:firstLine="482"/>
        <w:outlineLvl w:val="0"/>
        <w:rPr>
          <w:rFonts w:ascii="楷体" w:hAnsi="楷体" w:eastAsia="楷体" w:cs="宋体"/>
          <w:b/>
          <w:sz w:val="24"/>
        </w:rPr>
      </w:pPr>
      <w:bookmarkStart w:id="191" w:name="_Toc13566"/>
      <w:bookmarkStart w:id="192" w:name="_Toc14066"/>
      <w:bookmarkStart w:id="193" w:name="_Toc16508"/>
      <w:r>
        <w:rPr>
          <w:rFonts w:ascii="楷体" w:hAnsi="楷体" w:eastAsia="楷体" w:cs="宋体"/>
          <w:b/>
          <w:sz w:val="24"/>
        </w:rPr>
        <w:t xml:space="preserve">2.12 </w:t>
      </w:r>
      <w:r>
        <w:rPr>
          <w:rFonts w:hint="eastAsia" w:ascii="楷体" w:hAnsi="楷体" w:eastAsia="楷体" w:cs="宋体"/>
          <w:b/>
          <w:sz w:val="24"/>
        </w:rPr>
        <w:t>不可抗力</w:t>
      </w:r>
      <w:bookmarkEnd w:id="191"/>
      <w:bookmarkEnd w:id="192"/>
      <w:bookmarkEnd w:id="193"/>
    </w:p>
    <w:p w14:paraId="30557D90">
      <w:pPr>
        <w:spacing w:line="560" w:lineRule="exact"/>
        <w:ind w:firstLine="480"/>
        <w:rPr>
          <w:rFonts w:ascii="楷体" w:hAnsi="楷体" w:eastAsia="楷体" w:cs="宋体"/>
          <w:sz w:val="24"/>
        </w:rPr>
      </w:pPr>
      <w:r>
        <w:rPr>
          <w:rFonts w:ascii="楷体" w:hAnsi="楷体" w:eastAsia="楷体" w:cs="宋体"/>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54E0ACA6">
      <w:pPr>
        <w:spacing w:line="560" w:lineRule="exact"/>
        <w:ind w:firstLine="480"/>
        <w:rPr>
          <w:rFonts w:ascii="楷体" w:hAnsi="楷体" w:eastAsia="楷体" w:cs="宋体"/>
          <w:sz w:val="24"/>
        </w:rPr>
      </w:pPr>
      <w:r>
        <w:rPr>
          <w:rFonts w:ascii="楷体" w:hAnsi="楷体" w:eastAsia="楷体" w:cs="宋体"/>
          <w:sz w:val="24"/>
        </w:rPr>
        <w:t>2.12.2如不可抗力无法消除，致使合同目的无法实现的，双方均有权解除合同，且均不互相索赔。</w:t>
      </w:r>
    </w:p>
    <w:p w14:paraId="5576C0BE">
      <w:pPr>
        <w:spacing w:line="560" w:lineRule="exact"/>
        <w:ind w:firstLine="480"/>
        <w:rPr>
          <w:rFonts w:ascii="楷体" w:hAnsi="楷体" w:eastAsia="楷体" w:cs="宋体"/>
          <w:sz w:val="24"/>
        </w:rPr>
      </w:pPr>
      <w:r>
        <w:rPr>
          <w:rFonts w:ascii="楷体" w:hAnsi="楷体" w:eastAsia="楷体" w:cs="宋体"/>
          <w:sz w:val="24"/>
        </w:rPr>
        <w:t xml:space="preserve">2.12.3 </w:t>
      </w:r>
      <w:r>
        <w:rPr>
          <w:rFonts w:hint="eastAsia" w:ascii="楷体" w:hAnsi="楷体" w:eastAsia="楷体" w:cs="宋体"/>
          <w:sz w:val="24"/>
        </w:rPr>
        <w:t>因不可抗力致使合同有变更必要的，双方当事人应在</w:t>
      </w:r>
      <w:r>
        <w:rPr>
          <w:rFonts w:hint="eastAsia" w:ascii="楷体" w:hAnsi="楷体" w:eastAsia="楷体" w:cs="宋体"/>
          <w:b/>
          <w:iCs/>
          <w:sz w:val="24"/>
        </w:rPr>
        <w:t>合同专用条款</w:t>
      </w:r>
      <w:r>
        <w:rPr>
          <w:rFonts w:ascii="楷体" w:hAnsi="楷体" w:eastAsia="楷体" w:cs="宋体"/>
          <w:b/>
          <w:iCs/>
          <w:sz w:val="24"/>
        </w:rPr>
        <w:t>2.12.3</w:t>
      </w:r>
      <w:r>
        <w:rPr>
          <w:rFonts w:hint="eastAsia" w:ascii="楷体" w:hAnsi="楷体" w:eastAsia="楷体" w:cs="宋体"/>
          <w:sz w:val="24"/>
        </w:rPr>
        <w:t>约定时间内以书面形式变更合同；</w:t>
      </w:r>
    </w:p>
    <w:p w14:paraId="6F7226E4">
      <w:pPr>
        <w:spacing w:line="560" w:lineRule="exact"/>
        <w:ind w:firstLine="480"/>
        <w:rPr>
          <w:rFonts w:ascii="楷体" w:hAnsi="楷体" w:eastAsia="楷体" w:cs="宋体"/>
          <w:sz w:val="24"/>
        </w:rPr>
      </w:pPr>
      <w:r>
        <w:rPr>
          <w:rFonts w:ascii="楷体" w:hAnsi="楷体" w:eastAsia="楷体" w:cs="宋体"/>
          <w:sz w:val="24"/>
        </w:rPr>
        <w:t>2.12.4受不可抗力影响的一方在不可抗力发生后，应在</w:t>
      </w:r>
      <w:r>
        <w:rPr>
          <w:rFonts w:hint="eastAsia" w:ascii="楷体" w:hAnsi="楷体" w:eastAsia="楷体" w:cs="宋体"/>
          <w:b/>
          <w:iCs/>
          <w:sz w:val="24"/>
          <w:u w:val="single"/>
        </w:rPr>
        <w:t>合同专用条款</w:t>
      </w:r>
      <w:r>
        <w:rPr>
          <w:rFonts w:ascii="楷体" w:hAnsi="楷体" w:eastAsia="楷体" w:cs="宋体"/>
          <w:b/>
          <w:iCs/>
          <w:sz w:val="24"/>
          <w:u w:val="single"/>
        </w:rPr>
        <w:t>2.12.4</w:t>
      </w:r>
      <w:r>
        <w:rPr>
          <w:rFonts w:hint="eastAsia" w:ascii="楷体" w:hAnsi="楷体" w:eastAsia="楷体" w:cs="宋体"/>
          <w:sz w:val="24"/>
        </w:rPr>
        <w:t>约定时间内以书面形式通知对方当事人，并在</w:t>
      </w:r>
      <w:r>
        <w:rPr>
          <w:rFonts w:hint="eastAsia" w:ascii="楷体" w:hAnsi="楷体" w:eastAsia="楷体" w:cs="宋体"/>
          <w:b/>
          <w:iCs/>
          <w:sz w:val="24"/>
          <w:u w:val="single"/>
        </w:rPr>
        <w:t>合同专用条款</w:t>
      </w:r>
      <w:r>
        <w:rPr>
          <w:rFonts w:ascii="楷体" w:hAnsi="楷体" w:eastAsia="楷体" w:cs="宋体"/>
          <w:b/>
          <w:iCs/>
          <w:sz w:val="24"/>
          <w:u w:val="single"/>
        </w:rPr>
        <w:t>2.12.4</w:t>
      </w:r>
      <w:r>
        <w:rPr>
          <w:rFonts w:hint="eastAsia" w:ascii="楷体" w:hAnsi="楷体" w:eastAsia="楷体" w:cs="宋体"/>
          <w:sz w:val="24"/>
        </w:rPr>
        <w:t>约定时间内，将有关部门出具的证明文件送达对方当事人。</w:t>
      </w:r>
    </w:p>
    <w:p w14:paraId="07B99A20">
      <w:pPr>
        <w:spacing w:line="560" w:lineRule="exact"/>
        <w:ind w:firstLine="482"/>
        <w:outlineLvl w:val="0"/>
        <w:rPr>
          <w:rFonts w:ascii="楷体" w:hAnsi="楷体" w:eastAsia="楷体" w:cs="宋体"/>
          <w:b/>
          <w:sz w:val="24"/>
        </w:rPr>
      </w:pPr>
      <w:bookmarkStart w:id="194" w:name="_Toc689"/>
      <w:bookmarkStart w:id="195" w:name="_Toc30676"/>
      <w:bookmarkStart w:id="196" w:name="_Toc279701255"/>
      <w:bookmarkStart w:id="197" w:name="_Toc6969"/>
      <w:bookmarkStart w:id="198" w:name="_Toc487900365"/>
      <w:bookmarkStart w:id="199" w:name="_Toc259093684"/>
      <w:r>
        <w:rPr>
          <w:rFonts w:ascii="楷体" w:hAnsi="楷体" w:eastAsia="楷体" w:cs="宋体"/>
          <w:b/>
          <w:sz w:val="24"/>
        </w:rPr>
        <w:t xml:space="preserve">2.13 </w:t>
      </w:r>
      <w:r>
        <w:rPr>
          <w:rFonts w:hint="eastAsia" w:ascii="楷体" w:hAnsi="楷体" w:eastAsia="楷体" w:cs="宋体"/>
          <w:b/>
          <w:sz w:val="24"/>
        </w:rPr>
        <w:t>税费</w:t>
      </w:r>
      <w:bookmarkEnd w:id="194"/>
      <w:bookmarkEnd w:id="195"/>
      <w:bookmarkEnd w:id="196"/>
      <w:bookmarkEnd w:id="197"/>
      <w:bookmarkEnd w:id="198"/>
      <w:bookmarkEnd w:id="199"/>
    </w:p>
    <w:p w14:paraId="4A47A237">
      <w:pPr>
        <w:spacing w:line="560" w:lineRule="exact"/>
        <w:ind w:firstLine="480"/>
        <w:rPr>
          <w:rFonts w:ascii="楷体" w:hAnsi="楷体" w:eastAsia="楷体" w:cs="宋体"/>
          <w:sz w:val="24"/>
        </w:rPr>
      </w:pPr>
      <w:r>
        <w:rPr>
          <w:rFonts w:hint="eastAsia" w:ascii="楷体" w:hAnsi="楷体" w:eastAsia="楷体" w:cs="宋体"/>
          <w:sz w:val="24"/>
        </w:rPr>
        <w:t>与合同有关的一切税费，均按照中华人民共和国法律的相关规定。</w:t>
      </w:r>
    </w:p>
    <w:p w14:paraId="536A7BCD">
      <w:pPr>
        <w:spacing w:line="560" w:lineRule="exact"/>
        <w:ind w:firstLine="482"/>
        <w:outlineLvl w:val="0"/>
        <w:rPr>
          <w:rFonts w:ascii="楷体" w:hAnsi="楷体" w:eastAsia="楷体" w:cs="宋体"/>
          <w:b/>
          <w:sz w:val="24"/>
        </w:rPr>
      </w:pPr>
      <w:bookmarkStart w:id="200" w:name="_Toc7102"/>
      <w:bookmarkStart w:id="201" w:name="_Toc8298"/>
      <w:bookmarkStart w:id="202" w:name="_Toc279701258"/>
      <w:bookmarkStart w:id="203" w:name="_Toc16959"/>
      <w:bookmarkStart w:id="204" w:name="_Toc259093687"/>
      <w:bookmarkStart w:id="205" w:name="_Toc487900368"/>
      <w:r>
        <w:rPr>
          <w:rFonts w:ascii="楷体" w:hAnsi="楷体" w:eastAsia="楷体" w:cs="宋体"/>
          <w:b/>
          <w:sz w:val="24"/>
        </w:rPr>
        <w:t>2.14乙方破产</w:t>
      </w:r>
      <w:bookmarkEnd w:id="200"/>
      <w:bookmarkEnd w:id="201"/>
      <w:bookmarkEnd w:id="202"/>
      <w:bookmarkEnd w:id="203"/>
      <w:bookmarkEnd w:id="204"/>
      <w:bookmarkEnd w:id="205"/>
    </w:p>
    <w:p w14:paraId="4EF9BBDA">
      <w:pPr>
        <w:spacing w:line="560" w:lineRule="exact"/>
        <w:ind w:firstLine="480"/>
        <w:rPr>
          <w:rFonts w:ascii="楷体" w:hAnsi="楷体" w:eastAsia="楷体" w:cs="宋体"/>
          <w:sz w:val="24"/>
        </w:rPr>
      </w:pPr>
      <w:r>
        <w:rPr>
          <w:rFonts w:hint="eastAsia" w:ascii="楷体" w:hAnsi="楷体" w:eastAsia="楷体" w:cs="宋体"/>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61CA7D5">
      <w:pPr>
        <w:spacing w:line="560" w:lineRule="exact"/>
        <w:ind w:firstLine="482"/>
        <w:outlineLvl w:val="0"/>
        <w:rPr>
          <w:rFonts w:ascii="楷体" w:hAnsi="楷体" w:eastAsia="楷体" w:cs="宋体"/>
          <w:b/>
          <w:sz w:val="24"/>
        </w:rPr>
      </w:pPr>
      <w:bookmarkStart w:id="206" w:name="_Toc15387"/>
      <w:bookmarkStart w:id="207" w:name="_Toc6134"/>
      <w:bookmarkStart w:id="208" w:name="_Toc29333"/>
      <w:r>
        <w:rPr>
          <w:rFonts w:ascii="楷体" w:hAnsi="楷体" w:eastAsia="楷体" w:cs="宋体"/>
          <w:b/>
          <w:sz w:val="24"/>
        </w:rPr>
        <w:t xml:space="preserve">2.15 </w:t>
      </w:r>
      <w:r>
        <w:rPr>
          <w:rFonts w:hint="eastAsia" w:ascii="楷体" w:hAnsi="楷体" w:eastAsia="楷体" w:cs="宋体"/>
          <w:b/>
          <w:sz w:val="24"/>
        </w:rPr>
        <w:t>合同中止、终止</w:t>
      </w:r>
      <w:bookmarkEnd w:id="206"/>
      <w:bookmarkEnd w:id="207"/>
      <w:bookmarkEnd w:id="208"/>
    </w:p>
    <w:p w14:paraId="13BE802C">
      <w:pPr>
        <w:spacing w:line="560" w:lineRule="exact"/>
        <w:ind w:firstLine="480"/>
        <w:rPr>
          <w:rFonts w:ascii="楷体" w:hAnsi="楷体" w:eastAsia="楷体" w:cs="宋体"/>
          <w:sz w:val="24"/>
        </w:rPr>
      </w:pPr>
      <w:r>
        <w:rPr>
          <w:rFonts w:ascii="楷体" w:hAnsi="楷体" w:eastAsia="楷体" w:cs="宋体"/>
          <w:sz w:val="24"/>
        </w:rPr>
        <w:t xml:space="preserve">2.15.1 </w:t>
      </w:r>
      <w:r>
        <w:rPr>
          <w:rFonts w:hint="eastAsia" w:ascii="楷体" w:hAnsi="楷体" w:eastAsia="楷体" w:cs="宋体"/>
          <w:sz w:val="24"/>
        </w:rPr>
        <w:t>双方当事人不得擅自中止或者终止合同；</w:t>
      </w:r>
    </w:p>
    <w:p w14:paraId="4BB99AC5">
      <w:pPr>
        <w:spacing w:line="560" w:lineRule="exact"/>
        <w:ind w:firstLine="480"/>
        <w:rPr>
          <w:rFonts w:ascii="楷体" w:hAnsi="楷体" w:eastAsia="楷体" w:cs="宋体"/>
          <w:sz w:val="24"/>
        </w:rPr>
      </w:pPr>
      <w:r>
        <w:rPr>
          <w:rFonts w:ascii="楷体" w:hAnsi="楷体" w:eastAsia="楷体" w:cs="宋体"/>
          <w:sz w:val="24"/>
        </w:rPr>
        <w:t>2.15.2合同继续履行将损害国家利益和社会公共利益的，双方当事人应当中止或者终止合同。有过错的一方应当承担赔偿责任，双方当事人都有过错的，各自承担相应的责任。</w:t>
      </w:r>
    </w:p>
    <w:p w14:paraId="13CD3812">
      <w:pPr>
        <w:spacing w:line="560" w:lineRule="exact"/>
        <w:ind w:firstLine="482"/>
        <w:outlineLvl w:val="0"/>
        <w:rPr>
          <w:rFonts w:ascii="楷体" w:hAnsi="楷体" w:eastAsia="楷体" w:cs="宋体"/>
          <w:b/>
          <w:sz w:val="24"/>
        </w:rPr>
      </w:pPr>
      <w:bookmarkStart w:id="209" w:name="_Toc6596"/>
      <w:bookmarkStart w:id="210" w:name="_Toc1125"/>
      <w:bookmarkStart w:id="211" w:name="_Toc14563"/>
      <w:r>
        <w:rPr>
          <w:rFonts w:ascii="楷体" w:hAnsi="楷体" w:eastAsia="楷体" w:cs="宋体"/>
          <w:b/>
          <w:sz w:val="24"/>
        </w:rPr>
        <w:t>2.16检验和验收</w:t>
      </w:r>
      <w:bookmarkEnd w:id="209"/>
      <w:bookmarkEnd w:id="210"/>
      <w:bookmarkEnd w:id="211"/>
    </w:p>
    <w:p w14:paraId="3B525829">
      <w:pPr>
        <w:tabs>
          <w:tab w:val="left" w:pos="360"/>
          <w:tab w:val="left" w:pos="540"/>
          <w:tab w:val="left" w:pos="1080"/>
        </w:tabs>
        <w:spacing w:line="560" w:lineRule="exact"/>
        <w:ind w:firstLine="480"/>
        <w:rPr>
          <w:rFonts w:ascii="楷体" w:hAnsi="楷体" w:eastAsia="楷体" w:cs="宋体"/>
          <w:sz w:val="24"/>
        </w:rPr>
      </w:pPr>
      <w:r>
        <w:rPr>
          <w:rFonts w:ascii="楷体" w:hAnsi="楷体" w:eastAsia="楷体" w:cs="宋体"/>
          <w:sz w:val="24"/>
        </w:rPr>
        <w:t>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合同专用条款</w:t>
      </w:r>
      <w:r>
        <w:rPr>
          <w:rFonts w:ascii="楷体" w:hAnsi="楷体" w:eastAsia="楷体" w:cs="宋体"/>
          <w:b/>
          <w:iCs/>
          <w:sz w:val="24"/>
          <w:u w:val="single"/>
        </w:rPr>
        <w:t>2.16.1</w:t>
      </w:r>
      <w:r>
        <w:rPr>
          <w:rFonts w:hint="eastAsia" w:ascii="楷体" w:hAnsi="楷体" w:eastAsia="楷体" w:cs="宋体"/>
          <w:b/>
          <w:iCs/>
          <w:sz w:val="24"/>
          <w:u w:val="single"/>
        </w:rPr>
        <w:t>（</w:t>
      </w:r>
      <w:r>
        <w:rPr>
          <w:rFonts w:hint="eastAsia" w:ascii="楷体" w:hAnsi="楷体" w:eastAsia="楷体" w:cs="宋体"/>
          <w:b/>
          <w:i/>
          <w:sz w:val="24"/>
          <w:u w:val="single"/>
        </w:rPr>
        <w:t>提醒：必须填写</w:t>
      </w:r>
      <w:r>
        <w:rPr>
          <w:rFonts w:hint="eastAsia" w:ascii="楷体" w:hAnsi="楷体" w:eastAsia="楷体" w:cs="宋体"/>
          <w:b/>
          <w:iCs/>
          <w:sz w:val="24"/>
          <w:u w:val="single"/>
        </w:rPr>
        <w:t>）</w:t>
      </w:r>
      <w:r>
        <w:rPr>
          <w:rFonts w:hint="eastAsia" w:ascii="楷体" w:hAnsi="楷体" w:eastAsia="楷体" w:cs="宋体"/>
          <w:sz w:val="24"/>
        </w:rPr>
        <w:t>约定时间内组织验收，</w:t>
      </w:r>
      <w:r>
        <w:rPr>
          <w:rFonts w:hint="eastAsia" w:ascii="楷体" w:hAnsi="楷体" w:eastAsia="楷体"/>
          <w:sz w:val="24"/>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3125FBDC">
      <w:pPr>
        <w:tabs>
          <w:tab w:val="left" w:pos="360"/>
          <w:tab w:val="left" w:pos="540"/>
          <w:tab w:val="left" w:pos="1080"/>
        </w:tabs>
        <w:spacing w:line="560" w:lineRule="exact"/>
        <w:ind w:firstLine="480"/>
        <w:rPr>
          <w:rFonts w:ascii="楷体" w:hAnsi="楷体" w:eastAsia="楷体" w:cs="宋体"/>
          <w:sz w:val="24"/>
        </w:rPr>
      </w:pPr>
      <w:r>
        <w:rPr>
          <w:rFonts w:ascii="楷体" w:hAnsi="楷体" w:eastAsia="楷体" w:cs="宋体"/>
          <w:sz w:val="24"/>
        </w:rPr>
        <w:t>2.16.2甲方按照合同约定的技术、服务、安全标准，组织对每一项技术、服务、安全标准的履约情况组织验收后，出具验收书。</w:t>
      </w:r>
      <w:r>
        <w:rPr>
          <w:rFonts w:hint="eastAsia" w:ascii="楷体" w:hAnsi="楷体" w:eastAsia="楷体"/>
          <w:sz w:val="24"/>
        </w:rPr>
        <w:t>验收方成员应当在验收书上签字，并承担相应的法律责任。</w:t>
      </w:r>
    </w:p>
    <w:p w14:paraId="74C14B5C">
      <w:pPr>
        <w:tabs>
          <w:tab w:val="left" w:pos="360"/>
          <w:tab w:val="left" w:pos="540"/>
          <w:tab w:val="left" w:pos="1080"/>
        </w:tabs>
        <w:spacing w:line="560" w:lineRule="exact"/>
        <w:ind w:firstLine="480"/>
        <w:rPr>
          <w:rFonts w:ascii="楷体" w:hAnsi="楷体" w:eastAsia="楷体" w:cs="宋体"/>
          <w:iCs/>
          <w:sz w:val="24"/>
        </w:rPr>
      </w:pPr>
      <w:r>
        <w:rPr>
          <w:rFonts w:ascii="楷体" w:hAnsi="楷体" w:eastAsia="楷体" w:cs="宋体"/>
          <w:sz w:val="24"/>
        </w:rPr>
        <w:t xml:space="preserve">2.16.3 </w:t>
      </w:r>
      <w:r>
        <w:rPr>
          <w:rFonts w:hint="eastAsia" w:ascii="楷体" w:hAnsi="楷体" w:eastAsia="楷体" w:cs="宋体"/>
          <w:sz w:val="24"/>
        </w:rPr>
        <w:t>检验和验收标准、程序等具体内容以及前述验收书的效力详见</w:t>
      </w:r>
      <w:r>
        <w:rPr>
          <w:rFonts w:hint="eastAsia" w:ascii="楷体" w:hAnsi="楷体" w:eastAsia="楷体" w:cs="宋体"/>
          <w:b/>
          <w:iCs/>
          <w:sz w:val="24"/>
          <w:u w:val="single"/>
        </w:rPr>
        <w:t>合同专用条款</w:t>
      </w:r>
      <w:r>
        <w:rPr>
          <w:rFonts w:ascii="楷体" w:hAnsi="楷体" w:eastAsia="楷体" w:cs="宋体"/>
          <w:b/>
          <w:iCs/>
          <w:sz w:val="24"/>
          <w:u w:val="single"/>
        </w:rPr>
        <w:t>2.16.3</w:t>
      </w:r>
      <w:r>
        <w:rPr>
          <w:rFonts w:hint="eastAsia" w:ascii="楷体" w:hAnsi="楷体" w:eastAsia="楷体" w:cs="宋体"/>
          <w:iCs/>
          <w:sz w:val="24"/>
        </w:rPr>
        <w:t>。</w:t>
      </w:r>
      <w:r>
        <w:rPr>
          <w:rFonts w:hint="eastAsia" w:ascii="楷体" w:hAnsi="楷体" w:eastAsia="楷体" w:cs="宋体"/>
          <w:i/>
          <w:sz w:val="24"/>
        </w:rPr>
        <w:t>（提醒：必须填写）</w:t>
      </w:r>
      <w:bookmarkEnd w:id="181"/>
      <w:bookmarkEnd w:id="182"/>
      <w:bookmarkEnd w:id="183"/>
      <w:bookmarkEnd w:id="184"/>
    </w:p>
    <w:p w14:paraId="01677E5C">
      <w:pPr>
        <w:spacing w:line="560" w:lineRule="exact"/>
        <w:ind w:firstLine="482"/>
        <w:outlineLvl w:val="0"/>
        <w:rPr>
          <w:rFonts w:ascii="楷体" w:hAnsi="楷体" w:eastAsia="楷体" w:cs="宋体"/>
          <w:b/>
          <w:sz w:val="24"/>
        </w:rPr>
      </w:pPr>
      <w:bookmarkStart w:id="212" w:name="_Toc259093690"/>
      <w:bookmarkStart w:id="213" w:name="_Toc487900371"/>
      <w:bookmarkStart w:id="214" w:name="_Toc279701261"/>
      <w:bookmarkStart w:id="215" w:name="_Toc19604"/>
      <w:bookmarkStart w:id="216" w:name="_Toc11284"/>
      <w:bookmarkStart w:id="217" w:name="_Toc25182"/>
      <w:r>
        <w:rPr>
          <w:rFonts w:ascii="楷体" w:hAnsi="楷体" w:eastAsia="楷体" w:cs="宋体"/>
          <w:b/>
          <w:sz w:val="24"/>
        </w:rPr>
        <w:t xml:space="preserve">2.17 </w:t>
      </w:r>
      <w:r>
        <w:rPr>
          <w:rFonts w:hint="eastAsia" w:ascii="楷体" w:hAnsi="楷体" w:eastAsia="楷体" w:cs="宋体"/>
          <w:b/>
          <w:sz w:val="24"/>
        </w:rPr>
        <w:t>通知</w:t>
      </w:r>
      <w:bookmarkEnd w:id="212"/>
      <w:bookmarkEnd w:id="213"/>
      <w:bookmarkEnd w:id="214"/>
      <w:r>
        <w:rPr>
          <w:rFonts w:hint="eastAsia" w:ascii="楷体" w:hAnsi="楷体" w:eastAsia="楷体" w:cs="宋体"/>
          <w:b/>
          <w:sz w:val="24"/>
        </w:rPr>
        <w:t>和送达</w:t>
      </w:r>
      <w:bookmarkEnd w:id="215"/>
      <w:bookmarkEnd w:id="216"/>
      <w:bookmarkEnd w:id="217"/>
    </w:p>
    <w:p w14:paraId="06B83AAA">
      <w:pPr>
        <w:spacing w:line="560" w:lineRule="exact"/>
        <w:ind w:firstLine="480"/>
        <w:rPr>
          <w:rFonts w:ascii="楷体" w:hAnsi="楷体" w:eastAsia="楷体" w:cs="宋体"/>
          <w:sz w:val="24"/>
        </w:rPr>
      </w:pPr>
      <w:bookmarkStart w:id="218" w:name="_Toc3135"/>
      <w:bookmarkStart w:id="219" w:name="_Toc6698"/>
      <w:bookmarkStart w:id="220" w:name="_Toc259093691"/>
      <w:bookmarkStart w:id="221" w:name="_Toc279701262"/>
      <w:bookmarkStart w:id="222" w:name="_Toc487900372"/>
      <w:r>
        <w:rPr>
          <w:rFonts w:ascii="楷体" w:hAnsi="楷体" w:eastAsia="楷体" w:cs="宋体"/>
          <w:sz w:val="24"/>
        </w:rPr>
        <w:t xml:space="preserve">2.17.1任何一方因履行合同而以合同第一部分尾部所列明的传真或电子邮件 </w:t>
      </w:r>
      <w:r>
        <w:rPr>
          <w:rFonts w:ascii="楷体" w:hAnsi="楷体" w:eastAsia="楷体" w:cs="宋体"/>
          <w:sz w:val="24"/>
          <w:u w:val="single"/>
        </w:rPr>
        <w:t xml:space="preserve">       </w:t>
      </w:r>
      <w:r>
        <w:rPr>
          <w:rFonts w:hint="eastAsia" w:ascii="楷体" w:hAnsi="楷体" w:eastAsia="楷体" w:cs="宋体"/>
          <w:sz w:val="24"/>
        </w:rPr>
        <w:t>发出的所有通知、文件、材料，均视为已向对方当事人送达；任何一方变更上述送达方式或者地址的，应于</w:t>
      </w:r>
      <w:r>
        <w:rPr>
          <w:rFonts w:ascii="楷体" w:hAnsi="楷体" w:eastAsia="楷体" w:cs="宋体"/>
          <w:sz w:val="24"/>
          <w:u w:val="single"/>
        </w:rPr>
        <w:t>3</w:t>
      </w:r>
      <w:r>
        <w:rPr>
          <w:rFonts w:hint="eastAsia" w:ascii="楷体" w:hAnsi="楷体" w:eastAsia="楷体" w:cs="宋体"/>
          <w:sz w:val="24"/>
        </w:rPr>
        <w:t>个工作日内书面通知对方当事人，在对方当事人收到有关变更通知之前，变更前的约定送达方式或者地址仍视为有效。</w:t>
      </w:r>
      <w:bookmarkEnd w:id="218"/>
      <w:bookmarkEnd w:id="219"/>
    </w:p>
    <w:p w14:paraId="05D67E93">
      <w:pPr>
        <w:spacing w:line="560" w:lineRule="exact"/>
        <w:ind w:firstLine="480"/>
        <w:rPr>
          <w:rFonts w:ascii="楷体" w:hAnsi="楷体" w:eastAsia="楷体" w:cs="宋体"/>
          <w:sz w:val="24"/>
        </w:rPr>
      </w:pPr>
      <w:bookmarkStart w:id="223" w:name="_Toc23128"/>
      <w:bookmarkStart w:id="224" w:name="_Toc23294"/>
      <w:r>
        <w:rPr>
          <w:rFonts w:ascii="楷体" w:hAnsi="楷体" w:eastAsia="楷体" w:cs="宋体"/>
          <w:sz w:val="24"/>
        </w:rPr>
        <w:t>2.17.2</w:t>
      </w:r>
      <w:bookmarkEnd w:id="223"/>
      <w:bookmarkEnd w:id="224"/>
      <w:r>
        <w:rPr>
          <w:rFonts w:hint="eastAsia" w:ascii="楷体" w:hAnsi="楷体" w:eastAsia="楷体" w:cs="宋体"/>
          <w:sz w:val="24"/>
        </w:rPr>
        <w:t>以当面交付方式送达的，交付之时视为送达；以传真、电子邮件方式送达的，以传真、电子邮件到达受送达人特定系统之时视为送达；以邮寄方式送达的，以回执上注明的收件日期视为送达。</w:t>
      </w:r>
    </w:p>
    <w:p w14:paraId="3B4BA2A2">
      <w:pPr>
        <w:spacing w:line="560" w:lineRule="exact"/>
        <w:ind w:firstLine="482"/>
        <w:outlineLvl w:val="0"/>
        <w:rPr>
          <w:rFonts w:ascii="楷体" w:hAnsi="楷体" w:eastAsia="楷体" w:cs="宋体"/>
          <w:b/>
          <w:sz w:val="24"/>
        </w:rPr>
      </w:pPr>
      <w:bookmarkStart w:id="225" w:name="_Toc4355"/>
      <w:bookmarkStart w:id="226" w:name="_Toc18540"/>
      <w:bookmarkStart w:id="227" w:name="_Toc30599"/>
      <w:r>
        <w:rPr>
          <w:rFonts w:ascii="楷体" w:hAnsi="楷体" w:eastAsia="楷体" w:cs="宋体"/>
          <w:b/>
          <w:sz w:val="24"/>
        </w:rPr>
        <w:t xml:space="preserve">2.18 </w:t>
      </w:r>
      <w:r>
        <w:rPr>
          <w:rFonts w:hint="eastAsia" w:ascii="楷体" w:hAnsi="楷体" w:eastAsia="楷体" w:cs="宋体"/>
          <w:b/>
          <w:sz w:val="24"/>
        </w:rPr>
        <w:t>计量单位</w:t>
      </w:r>
      <w:bookmarkEnd w:id="220"/>
      <w:bookmarkEnd w:id="221"/>
      <w:bookmarkEnd w:id="222"/>
      <w:bookmarkEnd w:id="225"/>
      <w:bookmarkEnd w:id="226"/>
      <w:bookmarkEnd w:id="227"/>
    </w:p>
    <w:p w14:paraId="28ED1940">
      <w:pPr>
        <w:spacing w:line="560" w:lineRule="exact"/>
        <w:ind w:firstLine="480"/>
        <w:rPr>
          <w:rFonts w:ascii="楷体" w:hAnsi="楷体" w:eastAsia="楷体" w:cs="宋体"/>
          <w:sz w:val="24"/>
        </w:rPr>
      </w:pPr>
      <w:r>
        <w:rPr>
          <w:rFonts w:hint="eastAsia" w:ascii="楷体" w:hAnsi="楷体" w:eastAsia="楷体" w:cs="宋体"/>
          <w:sz w:val="24"/>
        </w:rPr>
        <w:t>除技术规范中另有规定外</w:t>
      </w:r>
      <w:r>
        <w:rPr>
          <w:rFonts w:ascii="楷体" w:hAnsi="楷体" w:eastAsia="楷体" w:cs="宋体"/>
          <w:sz w:val="24"/>
        </w:rPr>
        <w:t>,合同的计量单位均使用国家法定计量单位。</w:t>
      </w:r>
    </w:p>
    <w:p w14:paraId="771676B2">
      <w:pPr>
        <w:spacing w:line="560" w:lineRule="exact"/>
        <w:ind w:firstLine="482"/>
        <w:outlineLvl w:val="0"/>
        <w:rPr>
          <w:rFonts w:ascii="楷体" w:hAnsi="楷体" w:eastAsia="楷体" w:cs="宋体"/>
          <w:b/>
          <w:sz w:val="24"/>
        </w:rPr>
      </w:pPr>
      <w:bookmarkStart w:id="228" w:name="_Toc12773"/>
      <w:bookmarkStart w:id="229" w:name="_Toc10330"/>
      <w:bookmarkStart w:id="230" w:name="_Toc279701263"/>
      <w:bookmarkStart w:id="231" w:name="_Toc487900373"/>
      <w:bookmarkStart w:id="232" w:name="_Toc259093692"/>
      <w:bookmarkStart w:id="233" w:name="_Toc18567"/>
      <w:r>
        <w:rPr>
          <w:rFonts w:ascii="楷体" w:hAnsi="楷体" w:eastAsia="楷体" w:cs="宋体"/>
          <w:b/>
          <w:sz w:val="24"/>
        </w:rPr>
        <w:t xml:space="preserve">2.19 </w:t>
      </w:r>
      <w:r>
        <w:rPr>
          <w:rFonts w:hint="eastAsia" w:ascii="楷体" w:hAnsi="楷体" w:eastAsia="楷体" w:cs="宋体"/>
          <w:b/>
          <w:sz w:val="24"/>
        </w:rPr>
        <w:t>合同使用的文字和适用的法律</w:t>
      </w:r>
      <w:bookmarkEnd w:id="228"/>
      <w:bookmarkEnd w:id="229"/>
      <w:bookmarkEnd w:id="230"/>
      <w:bookmarkEnd w:id="231"/>
      <w:bookmarkEnd w:id="232"/>
      <w:bookmarkEnd w:id="233"/>
    </w:p>
    <w:p w14:paraId="67EE70BB">
      <w:pPr>
        <w:spacing w:line="560" w:lineRule="exact"/>
        <w:ind w:firstLine="480"/>
        <w:rPr>
          <w:rFonts w:ascii="楷体" w:hAnsi="楷体" w:eastAsia="楷体" w:cs="宋体"/>
          <w:sz w:val="24"/>
        </w:rPr>
      </w:pPr>
      <w:r>
        <w:rPr>
          <w:rFonts w:ascii="楷体" w:hAnsi="楷体" w:eastAsia="楷体" w:cs="宋体"/>
          <w:sz w:val="24"/>
        </w:rPr>
        <w:t xml:space="preserve">2.19.1 </w:t>
      </w:r>
      <w:r>
        <w:rPr>
          <w:rFonts w:hint="eastAsia" w:ascii="楷体" w:hAnsi="楷体" w:eastAsia="楷体" w:cs="宋体"/>
          <w:sz w:val="24"/>
        </w:rPr>
        <w:t>合同使用汉语书就、变更和解释；</w:t>
      </w:r>
    </w:p>
    <w:p w14:paraId="21841EF8">
      <w:pPr>
        <w:spacing w:line="560" w:lineRule="exact"/>
        <w:ind w:firstLine="480"/>
        <w:rPr>
          <w:rFonts w:ascii="楷体" w:hAnsi="楷体" w:eastAsia="楷体" w:cs="宋体"/>
          <w:sz w:val="24"/>
        </w:rPr>
      </w:pPr>
      <w:r>
        <w:rPr>
          <w:rFonts w:ascii="楷体" w:hAnsi="楷体" w:eastAsia="楷体" w:cs="宋体"/>
          <w:sz w:val="24"/>
        </w:rPr>
        <w:t xml:space="preserve">2.19.2 </w:t>
      </w:r>
      <w:r>
        <w:rPr>
          <w:rFonts w:hint="eastAsia" w:ascii="楷体" w:hAnsi="楷体" w:eastAsia="楷体" w:cs="宋体"/>
          <w:sz w:val="24"/>
        </w:rPr>
        <w:t>合同适用中华人民共和国法律。</w:t>
      </w:r>
    </w:p>
    <w:p w14:paraId="0BC49BD7">
      <w:pPr>
        <w:spacing w:line="560" w:lineRule="exact"/>
        <w:ind w:firstLine="482"/>
        <w:rPr>
          <w:rFonts w:ascii="楷体" w:hAnsi="楷体" w:eastAsia="楷体" w:cs="宋体"/>
          <w:b/>
          <w:bCs/>
          <w:sz w:val="24"/>
        </w:rPr>
      </w:pPr>
      <w:r>
        <w:rPr>
          <w:rFonts w:ascii="楷体" w:hAnsi="楷体" w:eastAsia="楷体" w:cs="宋体"/>
          <w:b/>
          <w:bCs/>
          <w:sz w:val="24"/>
        </w:rPr>
        <w:t>2.20</w:t>
      </w:r>
      <w:r>
        <w:rPr>
          <w:rFonts w:hint="eastAsia" w:ascii="楷体" w:hAnsi="楷体" w:eastAsia="楷体" w:cs="宋体"/>
          <w:b/>
          <w:bCs/>
          <w:sz w:val="24"/>
        </w:rPr>
        <w:t>政府采购信用融资</w:t>
      </w:r>
    </w:p>
    <w:p w14:paraId="2204F0B8">
      <w:pPr>
        <w:spacing w:line="560" w:lineRule="exact"/>
        <w:ind w:firstLine="480"/>
        <w:rPr>
          <w:rFonts w:ascii="楷体" w:hAnsi="楷体" w:eastAsia="楷体" w:cs="宋体"/>
          <w:sz w:val="24"/>
        </w:rPr>
      </w:pPr>
      <w:r>
        <w:rPr>
          <w:rFonts w:hint="eastAsia" w:ascii="楷体" w:hAnsi="楷体" w:eastAsia="楷体" w:cs="宋体"/>
          <w:sz w:val="24"/>
        </w:rPr>
        <w:t>乙方在签订政府采购合同时如遇到资金困难，甲方应当按照</w:t>
      </w:r>
      <w:r>
        <w:rPr>
          <w:rFonts w:hint="eastAsia" w:ascii="楷体" w:hAnsi="楷体" w:eastAsia="楷体" w:cs="楷体"/>
          <w:sz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2C2ABF02">
      <w:pPr>
        <w:spacing w:line="560" w:lineRule="exact"/>
        <w:ind w:firstLine="482"/>
        <w:outlineLvl w:val="0"/>
        <w:rPr>
          <w:rFonts w:ascii="楷体" w:hAnsi="楷体" w:eastAsia="楷体" w:cs="宋体"/>
          <w:b/>
          <w:sz w:val="24"/>
        </w:rPr>
      </w:pPr>
      <w:bookmarkStart w:id="234" w:name="_Toc14001"/>
      <w:bookmarkStart w:id="235" w:name="_Toc19890"/>
      <w:bookmarkStart w:id="236" w:name="_Toc6885"/>
      <w:r>
        <w:rPr>
          <w:rFonts w:ascii="楷体" w:hAnsi="楷体" w:eastAsia="楷体" w:cs="宋体"/>
          <w:b/>
          <w:sz w:val="24"/>
        </w:rPr>
        <w:t>2.21 合同份数</w:t>
      </w:r>
      <w:bookmarkEnd w:id="234"/>
      <w:bookmarkEnd w:id="235"/>
      <w:bookmarkEnd w:id="236"/>
    </w:p>
    <w:p w14:paraId="02F01EE7">
      <w:pPr>
        <w:spacing w:line="560" w:lineRule="exact"/>
        <w:ind w:firstLine="480"/>
        <w:rPr>
          <w:rFonts w:ascii="楷体" w:hAnsi="楷体" w:eastAsia="楷体" w:cs="宋体"/>
          <w:sz w:val="24"/>
        </w:rPr>
      </w:pPr>
      <w:r>
        <w:rPr>
          <w:rFonts w:hint="eastAsia" w:ascii="楷体" w:hAnsi="楷体" w:eastAsia="楷体" w:cs="宋体"/>
          <w:sz w:val="24"/>
        </w:rPr>
        <w:t>合同份数按</w:t>
      </w:r>
      <w:r>
        <w:rPr>
          <w:rFonts w:hint="eastAsia" w:ascii="楷体" w:hAnsi="楷体" w:eastAsia="楷体" w:cs="宋体"/>
          <w:b/>
          <w:iCs/>
          <w:sz w:val="24"/>
          <w:u w:val="single"/>
        </w:rPr>
        <w:t>合同专用条款</w:t>
      </w:r>
      <w:r>
        <w:rPr>
          <w:rFonts w:ascii="楷体" w:hAnsi="楷体" w:eastAsia="楷体" w:cs="宋体"/>
          <w:b/>
          <w:iCs/>
          <w:sz w:val="24"/>
          <w:u w:val="single"/>
        </w:rPr>
        <w:t>2.21</w:t>
      </w:r>
      <w:r>
        <w:rPr>
          <w:rFonts w:hint="eastAsia" w:ascii="楷体" w:hAnsi="楷体" w:eastAsia="楷体" w:cs="宋体"/>
          <w:sz w:val="24"/>
        </w:rPr>
        <w:t>规定，每份均具有同等法律效力。</w:t>
      </w:r>
    </w:p>
    <w:p w14:paraId="10784ADD">
      <w:pPr>
        <w:spacing w:line="360" w:lineRule="auto"/>
        <w:ind w:firstLine="2513"/>
        <w:outlineLvl w:val="0"/>
        <w:rPr>
          <w:rFonts w:ascii="楷体" w:hAnsi="楷体" w:eastAsia="楷体" w:cs="宋体"/>
          <w:b/>
          <w:sz w:val="28"/>
          <w:szCs w:val="28"/>
        </w:rPr>
      </w:pPr>
      <w:r>
        <w:rPr>
          <w:rFonts w:ascii="楷体" w:hAnsi="楷体" w:eastAsia="楷体" w:cs="宋体"/>
        </w:rPr>
        <w:br w:type="page" w:clear="all"/>
      </w:r>
      <w:r>
        <w:rPr>
          <w:rFonts w:ascii="楷体" w:hAnsi="楷体" w:eastAsia="楷体" w:cs="宋体"/>
          <w:b/>
          <w:color w:val="FF0000"/>
          <w:sz w:val="32"/>
          <w:szCs w:val="20"/>
        </w:rPr>
        <w:t xml:space="preserve"> </w:t>
      </w:r>
      <w:r>
        <w:rPr>
          <w:rFonts w:hint="eastAsia" w:ascii="楷体" w:hAnsi="楷体" w:eastAsia="楷体" w:cs="宋体"/>
          <w:b/>
          <w:sz w:val="28"/>
          <w:szCs w:val="28"/>
        </w:rPr>
        <w:t>第三部分</w:t>
      </w:r>
      <w:r>
        <w:rPr>
          <w:rFonts w:ascii="楷体" w:hAnsi="楷体" w:eastAsia="楷体" w:cs="宋体"/>
          <w:b/>
          <w:color w:val="FF0000"/>
          <w:sz w:val="28"/>
          <w:szCs w:val="28"/>
        </w:rPr>
        <w:t xml:space="preserve"> </w:t>
      </w:r>
      <w:r>
        <w:rPr>
          <w:rFonts w:ascii="楷体" w:hAnsi="楷体" w:eastAsia="楷体" w:cs="宋体"/>
          <w:b/>
          <w:sz w:val="28"/>
          <w:szCs w:val="28"/>
        </w:rPr>
        <w:t xml:space="preserve"> 合同专用条款</w:t>
      </w:r>
    </w:p>
    <w:p w14:paraId="2FF18BD3">
      <w:pPr>
        <w:spacing w:line="560" w:lineRule="exact"/>
        <w:ind w:left="-420" w:right="-420" w:firstLine="480"/>
        <w:rPr>
          <w:rFonts w:ascii="楷体" w:hAnsi="楷体" w:eastAsia="楷体" w:cs="宋体"/>
        </w:rPr>
      </w:pPr>
      <w:r>
        <w:rPr>
          <w:rFonts w:hint="eastAsia" w:ascii="楷体" w:hAnsi="楷体" w:eastAsia="楷体" w:cs="宋体"/>
          <w:sz w:val="24"/>
        </w:rPr>
        <w:t>本</w:t>
      </w:r>
      <w:r>
        <w:rPr>
          <w:rFonts w:hint="eastAsia" w:ascii="楷体" w:hAnsi="楷体" w:eastAsia="楷体" w:cs="宋体"/>
          <w:bCs/>
        </w:rPr>
        <w:t>部分</w:t>
      </w:r>
      <w:r>
        <w:rPr>
          <w:rFonts w:hint="eastAsia" w:ascii="楷体" w:hAnsi="楷体" w:eastAsia="楷体" w:cs="宋体"/>
          <w:sz w:val="24"/>
        </w:rPr>
        <w:t>是对前两</w:t>
      </w:r>
      <w:bookmarkStart w:id="237" w:name="_Hlk136502841"/>
      <w:r>
        <w:rPr>
          <w:rFonts w:hint="eastAsia" w:ascii="楷体" w:hAnsi="楷体" w:eastAsia="楷体" w:cs="宋体"/>
          <w:bCs/>
        </w:rPr>
        <w:t>部分</w:t>
      </w:r>
      <w:bookmarkEnd w:id="237"/>
      <w:r>
        <w:rPr>
          <w:rFonts w:hint="eastAsia" w:ascii="楷体" w:hAnsi="楷体" w:eastAsia="楷体" w:cs="宋体"/>
          <w:sz w:val="24"/>
        </w:rPr>
        <w:t>的补充和修改，如果前两</w:t>
      </w:r>
      <w:r>
        <w:rPr>
          <w:rFonts w:hint="eastAsia" w:ascii="楷体" w:hAnsi="楷体" w:eastAsia="楷体" w:cs="宋体"/>
          <w:bCs/>
        </w:rPr>
        <w:t>部分</w:t>
      </w:r>
      <w:r>
        <w:rPr>
          <w:rFonts w:hint="eastAsia" w:ascii="楷体" w:hAnsi="楷体" w:eastAsia="楷体" w:cs="宋体"/>
          <w:sz w:val="24"/>
        </w:rPr>
        <w:t>和本</w:t>
      </w:r>
      <w:r>
        <w:rPr>
          <w:rFonts w:hint="eastAsia" w:ascii="楷体" w:hAnsi="楷体" w:eastAsia="楷体" w:cs="宋体"/>
          <w:bCs/>
        </w:rPr>
        <w:t>部分</w:t>
      </w:r>
      <w:r>
        <w:rPr>
          <w:rFonts w:hint="eastAsia" w:ascii="楷体" w:hAnsi="楷体" w:eastAsia="楷体" w:cs="宋体"/>
          <w:sz w:val="24"/>
        </w:rPr>
        <w:t>的约定不一致，应以本</w:t>
      </w:r>
      <w:r>
        <w:rPr>
          <w:rFonts w:hint="eastAsia" w:ascii="楷体" w:hAnsi="楷体" w:eastAsia="楷体" w:cs="宋体"/>
          <w:bCs/>
        </w:rPr>
        <w:t>部分</w:t>
      </w:r>
      <w:r>
        <w:rPr>
          <w:rFonts w:hint="eastAsia" w:ascii="楷体" w:hAnsi="楷体" w:eastAsia="楷体" w:cs="宋体"/>
          <w:sz w:val="24"/>
        </w:rPr>
        <w:t>的约定为准。本</w:t>
      </w:r>
      <w:r>
        <w:rPr>
          <w:rFonts w:hint="eastAsia" w:ascii="楷体" w:hAnsi="楷体" w:eastAsia="楷体" w:cs="宋体"/>
          <w:bCs/>
        </w:rPr>
        <w:t>部分</w:t>
      </w:r>
      <w:r>
        <w:rPr>
          <w:rFonts w:hint="eastAsia" w:ascii="楷体" w:hAnsi="楷体" w:eastAsia="楷体" w:cs="宋体"/>
          <w:sz w:val="24"/>
        </w:rPr>
        <w:t>的条款号应与前两</w:t>
      </w:r>
      <w:r>
        <w:rPr>
          <w:rFonts w:hint="eastAsia" w:ascii="楷体" w:hAnsi="楷体" w:eastAsia="楷体" w:cs="宋体"/>
          <w:bCs/>
        </w:rPr>
        <w:t>部分</w:t>
      </w:r>
      <w:r>
        <w:rPr>
          <w:rFonts w:hint="eastAsia" w:ascii="楷体" w:hAnsi="楷体" w:eastAsia="楷体" w:cs="宋体"/>
          <w:sz w:val="24"/>
        </w:rPr>
        <w:t>的条款号保持对应；与前两</w:t>
      </w:r>
      <w:r>
        <w:rPr>
          <w:rFonts w:hint="eastAsia" w:ascii="楷体" w:hAnsi="楷体" w:eastAsia="楷体" w:cs="宋体"/>
          <w:bCs/>
        </w:rPr>
        <w:t>部分</w:t>
      </w:r>
      <w:r>
        <w:rPr>
          <w:rFonts w:hint="eastAsia" w:ascii="楷体" w:hAnsi="楷体" w:eastAsia="楷体" w:cs="宋体"/>
          <w:sz w:val="24"/>
        </w:rPr>
        <w:t>无对应关系的内容可另行编制条款号。</w:t>
      </w:r>
    </w:p>
    <w:tbl>
      <w:tblPr>
        <w:tblStyle w:val="6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777"/>
        <w:gridCol w:w="8692"/>
      </w:tblGrid>
      <w:tr w14:paraId="54764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0" w:type="auto"/>
            <w:tcBorders>
              <w:left w:val="single" w:color="auto" w:sz="4" w:space="0"/>
            </w:tcBorders>
            <w:vAlign w:val="center"/>
          </w:tcPr>
          <w:p w14:paraId="65932022">
            <w:pPr>
              <w:spacing w:line="360" w:lineRule="auto"/>
              <w:jc w:val="center"/>
              <w:rPr>
                <w:rFonts w:ascii="楷体" w:hAnsi="楷体" w:eastAsia="楷体" w:cs="宋体"/>
                <w:b/>
                <w:sz w:val="24"/>
              </w:rPr>
            </w:pPr>
            <w:r>
              <w:rPr>
                <w:rFonts w:hint="eastAsia" w:ascii="楷体" w:hAnsi="楷体" w:eastAsia="楷体" w:cs="宋体"/>
                <w:b/>
                <w:sz w:val="24"/>
              </w:rPr>
              <w:t>条款号</w:t>
            </w:r>
          </w:p>
        </w:tc>
        <w:tc>
          <w:tcPr>
            <w:tcW w:w="0" w:type="auto"/>
            <w:vAlign w:val="center"/>
          </w:tcPr>
          <w:p w14:paraId="63851A3C">
            <w:pPr>
              <w:spacing w:line="360" w:lineRule="auto"/>
              <w:jc w:val="center"/>
              <w:rPr>
                <w:rFonts w:ascii="楷体" w:hAnsi="楷体" w:eastAsia="楷体" w:cs="宋体"/>
                <w:b/>
                <w:sz w:val="24"/>
              </w:rPr>
            </w:pPr>
            <w:r>
              <w:rPr>
                <w:rFonts w:hint="eastAsia" w:ascii="楷体" w:hAnsi="楷体" w:eastAsia="楷体" w:cs="宋体"/>
                <w:b/>
                <w:sz w:val="24"/>
              </w:rPr>
              <w:t>约定内容</w:t>
            </w:r>
          </w:p>
        </w:tc>
      </w:tr>
      <w:tr w14:paraId="126BA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0261B181">
            <w:pPr>
              <w:spacing w:line="360" w:lineRule="auto"/>
              <w:rPr>
                <w:rFonts w:ascii="楷体" w:hAnsi="楷体" w:eastAsia="楷体" w:cs="宋体"/>
                <w:sz w:val="24"/>
              </w:rPr>
            </w:pPr>
            <w:r>
              <w:rPr>
                <w:rFonts w:ascii="楷体" w:hAnsi="楷体" w:eastAsia="楷体" w:cs="宋体"/>
                <w:sz w:val="24"/>
              </w:rPr>
              <w:t>1.4.2</w:t>
            </w:r>
          </w:p>
        </w:tc>
        <w:tc>
          <w:tcPr>
            <w:tcW w:w="0" w:type="auto"/>
            <w:vAlign w:val="center"/>
          </w:tcPr>
          <w:p w14:paraId="67A03A6D">
            <w:pPr>
              <w:spacing w:line="360" w:lineRule="auto"/>
              <w:rPr>
                <w:rFonts w:ascii="楷体" w:hAnsi="楷体" w:eastAsia="楷体" w:cs="宋体"/>
                <w:sz w:val="24"/>
              </w:rPr>
            </w:pPr>
          </w:p>
        </w:tc>
      </w:tr>
      <w:tr w14:paraId="79F1D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71CEDD61">
            <w:pPr>
              <w:spacing w:line="360" w:lineRule="auto"/>
              <w:rPr>
                <w:rFonts w:ascii="楷体" w:hAnsi="楷体" w:eastAsia="楷体" w:cs="宋体"/>
                <w:sz w:val="24"/>
              </w:rPr>
            </w:pPr>
            <w:r>
              <w:rPr>
                <w:rFonts w:ascii="楷体" w:hAnsi="楷体" w:eastAsia="楷体" w:cs="宋体"/>
                <w:sz w:val="24"/>
              </w:rPr>
              <w:t>1.5.2</w:t>
            </w:r>
          </w:p>
        </w:tc>
        <w:tc>
          <w:tcPr>
            <w:tcW w:w="0" w:type="auto"/>
            <w:vAlign w:val="center"/>
          </w:tcPr>
          <w:p w14:paraId="33405988">
            <w:pPr>
              <w:spacing w:line="360" w:lineRule="auto"/>
              <w:rPr>
                <w:rFonts w:ascii="楷体" w:hAnsi="楷体" w:eastAsia="楷体" w:cs="宋体"/>
                <w:sz w:val="24"/>
              </w:rPr>
            </w:pPr>
          </w:p>
        </w:tc>
      </w:tr>
      <w:tr w14:paraId="7FBD4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59714B8A">
            <w:pPr>
              <w:spacing w:line="360" w:lineRule="auto"/>
              <w:rPr>
                <w:rFonts w:ascii="楷体" w:hAnsi="楷体" w:eastAsia="楷体" w:cs="宋体"/>
                <w:sz w:val="24"/>
              </w:rPr>
            </w:pPr>
            <w:r>
              <w:rPr>
                <w:rFonts w:ascii="楷体" w:hAnsi="楷体" w:eastAsia="楷体" w:cs="宋体"/>
                <w:sz w:val="24"/>
              </w:rPr>
              <w:t xml:space="preserve">1.6.1 </w:t>
            </w:r>
          </w:p>
        </w:tc>
        <w:tc>
          <w:tcPr>
            <w:tcW w:w="0" w:type="auto"/>
            <w:vAlign w:val="center"/>
          </w:tcPr>
          <w:p w14:paraId="00F95B2D">
            <w:pPr>
              <w:spacing w:line="360" w:lineRule="auto"/>
              <w:rPr>
                <w:rFonts w:ascii="楷体" w:hAnsi="楷体" w:eastAsia="楷体"/>
                <w:sz w:val="24"/>
              </w:rPr>
            </w:pPr>
            <w:r>
              <w:rPr>
                <w:rFonts w:hint="eastAsia" w:ascii="楷体" w:hAnsi="楷体" w:eastAsia="楷体"/>
                <w:sz w:val="24"/>
              </w:rPr>
              <w:t>□经双方协商乙方自愿放弃预付款。</w:t>
            </w:r>
          </w:p>
          <w:p w14:paraId="617EB109">
            <w:pPr>
              <w:spacing w:line="360" w:lineRule="auto"/>
              <w:rPr>
                <w:rFonts w:ascii="楷体" w:hAnsi="楷体" w:eastAsia="楷体" w:cs="宋体"/>
                <w:sz w:val="24"/>
              </w:rPr>
            </w:pPr>
            <w:r>
              <w:rPr>
                <w:rFonts w:hint="eastAsia" w:ascii="楷体" w:hAnsi="楷体" w:eastAsia="楷体"/>
                <w:sz w:val="24"/>
              </w:rPr>
              <w:t>□合同签订后甲方收到乙方提供的相应金额的正规发票后</w:t>
            </w:r>
            <w:r>
              <w:rPr>
                <w:rFonts w:ascii="楷体" w:hAnsi="楷体" w:eastAsia="楷体"/>
                <w:sz w:val="24"/>
              </w:rPr>
              <w:t>10个工作日内，支付合同价 30%的预付款。</w:t>
            </w:r>
          </w:p>
        </w:tc>
      </w:tr>
      <w:tr w14:paraId="7820E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2FEE6FF2">
            <w:pPr>
              <w:spacing w:line="360" w:lineRule="auto"/>
              <w:rPr>
                <w:rFonts w:ascii="楷体" w:hAnsi="楷体" w:eastAsia="楷体" w:cs="宋体"/>
                <w:color w:val="auto"/>
                <w:sz w:val="24"/>
              </w:rPr>
            </w:pPr>
            <w:r>
              <w:rPr>
                <w:rFonts w:ascii="楷体" w:hAnsi="楷体" w:eastAsia="楷体" w:cs="宋体"/>
                <w:color w:val="auto"/>
                <w:sz w:val="24"/>
              </w:rPr>
              <w:t>1.7.2</w:t>
            </w:r>
          </w:p>
        </w:tc>
        <w:tc>
          <w:tcPr>
            <w:tcW w:w="0" w:type="auto"/>
            <w:vAlign w:val="center"/>
          </w:tcPr>
          <w:p w14:paraId="47371A6D">
            <w:pPr>
              <w:spacing w:line="360" w:lineRule="auto"/>
              <w:rPr>
                <w:rFonts w:hint="eastAsia" w:ascii="楷体" w:hAnsi="楷体" w:eastAsia="楷体" w:cs="宋体"/>
                <w:color w:val="auto"/>
                <w:sz w:val="24"/>
                <w:lang w:eastAsia="zh-CN"/>
              </w:rPr>
            </w:pPr>
            <w:r>
              <w:rPr>
                <w:rFonts w:hint="eastAsia" w:ascii="楷体" w:hAnsi="楷体" w:eastAsia="楷体" w:cs="宋体"/>
                <w:color w:val="auto"/>
                <w:sz w:val="24"/>
              </w:rPr>
              <w:t>项目安装调试完毕并验收合格后10个工作日内，支付合同额的60%；第一年运维结束通过运维的阶段性验收通过后支付合同额的5%；第二年运维结束通过运维的阶段性验收通过后支付合同额的5%</w:t>
            </w:r>
            <w:r>
              <w:rPr>
                <w:rFonts w:hint="eastAsia" w:ascii="楷体" w:hAnsi="楷体" w:eastAsia="楷体" w:cs="宋体"/>
                <w:color w:val="auto"/>
                <w:sz w:val="24"/>
                <w:lang w:eastAsia="zh-CN"/>
              </w:rPr>
              <w:t>。</w:t>
            </w:r>
          </w:p>
        </w:tc>
      </w:tr>
      <w:tr w14:paraId="75CDD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396C5E20">
            <w:pPr>
              <w:spacing w:line="360" w:lineRule="auto"/>
              <w:rPr>
                <w:rFonts w:ascii="楷体" w:hAnsi="楷体" w:eastAsia="楷体" w:cs="宋体"/>
                <w:sz w:val="24"/>
              </w:rPr>
            </w:pPr>
            <w:r>
              <w:rPr>
                <w:rFonts w:ascii="楷体" w:hAnsi="楷体" w:eastAsia="楷体" w:cs="宋体"/>
                <w:sz w:val="24"/>
              </w:rPr>
              <w:t>1.8.1</w:t>
            </w:r>
          </w:p>
        </w:tc>
        <w:tc>
          <w:tcPr>
            <w:tcW w:w="0" w:type="auto"/>
            <w:vAlign w:val="center"/>
          </w:tcPr>
          <w:p w14:paraId="328B80C8">
            <w:pPr>
              <w:spacing w:line="360" w:lineRule="auto"/>
              <w:rPr>
                <w:rFonts w:ascii="楷体" w:hAnsi="楷体" w:eastAsia="楷体" w:cs="宋体"/>
                <w:sz w:val="24"/>
              </w:rPr>
            </w:pPr>
          </w:p>
        </w:tc>
      </w:tr>
      <w:tr w14:paraId="01BB3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624B4F9D">
            <w:pPr>
              <w:spacing w:line="360" w:lineRule="auto"/>
              <w:rPr>
                <w:rFonts w:ascii="楷体" w:hAnsi="楷体" w:eastAsia="楷体" w:cs="宋体"/>
                <w:sz w:val="24"/>
              </w:rPr>
            </w:pPr>
            <w:r>
              <w:rPr>
                <w:rFonts w:ascii="楷体" w:hAnsi="楷体" w:eastAsia="楷体" w:cs="宋体"/>
                <w:sz w:val="24"/>
              </w:rPr>
              <w:t>1.8.2</w:t>
            </w:r>
          </w:p>
        </w:tc>
        <w:tc>
          <w:tcPr>
            <w:tcW w:w="0" w:type="auto"/>
            <w:vAlign w:val="center"/>
          </w:tcPr>
          <w:p w14:paraId="31451ADF">
            <w:pPr>
              <w:spacing w:line="360" w:lineRule="auto"/>
              <w:rPr>
                <w:rFonts w:ascii="楷体" w:hAnsi="楷体" w:eastAsia="楷体" w:cs="宋体"/>
                <w:sz w:val="24"/>
              </w:rPr>
            </w:pPr>
          </w:p>
        </w:tc>
      </w:tr>
      <w:tr w14:paraId="1F74B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32104D5B">
            <w:pPr>
              <w:spacing w:line="360" w:lineRule="auto"/>
              <w:rPr>
                <w:rFonts w:ascii="楷体" w:hAnsi="楷体" w:eastAsia="楷体" w:cs="宋体"/>
                <w:sz w:val="24"/>
              </w:rPr>
            </w:pPr>
            <w:r>
              <w:rPr>
                <w:rFonts w:ascii="楷体" w:hAnsi="楷体" w:eastAsia="楷体" w:cs="宋体"/>
                <w:sz w:val="24"/>
              </w:rPr>
              <w:t>1.8.3</w:t>
            </w:r>
          </w:p>
        </w:tc>
        <w:tc>
          <w:tcPr>
            <w:tcW w:w="0" w:type="auto"/>
            <w:vAlign w:val="center"/>
          </w:tcPr>
          <w:p w14:paraId="0C3F9E97">
            <w:pPr>
              <w:spacing w:line="360" w:lineRule="auto"/>
              <w:rPr>
                <w:rFonts w:ascii="楷体" w:hAnsi="楷体" w:eastAsia="楷体" w:cs="宋体"/>
                <w:sz w:val="24"/>
              </w:rPr>
            </w:pPr>
          </w:p>
        </w:tc>
      </w:tr>
      <w:tr w14:paraId="46D5C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71AD9683">
            <w:pPr>
              <w:spacing w:line="360" w:lineRule="auto"/>
              <w:rPr>
                <w:rFonts w:ascii="楷体" w:hAnsi="楷体" w:eastAsia="楷体" w:cs="宋体"/>
                <w:sz w:val="24"/>
              </w:rPr>
            </w:pPr>
            <w:r>
              <w:rPr>
                <w:rFonts w:ascii="楷体" w:hAnsi="楷体" w:eastAsia="楷体" w:cs="宋体"/>
                <w:sz w:val="24"/>
              </w:rPr>
              <w:t>1.9.6</w:t>
            </w:r>
          </w:p>
        </w:tc>
        <w:tc>
          <w:tcPr>
            <w:tcW w:w="0" w:type="auto"/>
            <w:vAlign w:val="center"/>
          </w:tcPr>
          <w:p w14:paraId="727EA922">
            <w:pPr>
              <w:spacing w:line="360" w:lineRule="auto"/>
              <w:rPr>
                <w:rFonts w:ascii="楷体" w:hAnsi="楷体" w:eastAsia="楷体" w:cs="宋体"/>
                <w:sz w:val="24"/>
              </w:rPr>
            </w:pPr>
          </w:p>
        </w:tc>
      </w:tr>
      <w:tr w14:paraId="0FCC7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085E42D9">
            <w:pPr>
              <w:spacing w:line="360" w:lineRule="auto"/>
              <w:rPr>
                <w:rFonts w:ascii="楷体" w:hAnsi="楷体" w:eastAsia="楷体" w:cs="宋体"/>
                <w:sz w:val="24"/>
              </w:rPr>
            </w:pPr>
            <w:r>
              <w:rPr>
                <w:rFonts w:ascii="楷体" w:hAnsi="楷体" w:eastAsia="楷体" w:cs="宋体"/>
                <w:sz w:val="24"/>
              </w:rPr>
              <w:t>2.3.2</w:t>
            </w:r>
          </w:p>
        </w:tc>
        <w:tc>
          <w:tcPr>
            <w:tcW w:w="0" w:type="auto"/>
            <w:vAlign w:val="center"/>
          </w:tcPr>
          <w:p w14:paraId="604AC9FD">
            <w:pPr>
              <w:spacing w:line="360" w:lineRule="auto"/>
              <w:ind w:left="-420" w:right="-420" w:firstLine="480"/>
              <w:rPr>
                <w:rFonts w:ascii="楷体" w:hAnsi="楷体" w:eastAsia="楷体" w:cs="宋体"/>
                <w:sz w:val="24"/>
              </w:rPr>
            </w:pPr>
          </w:p>
        </w:tc>
      </w:tr>
      <w:tr w14:paraId="1964C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2E11A45F">
            <w:pPr>
              <w:spacing w:line="360" w:lineRule="auto"/>
              <w:rPr>
                <w:rFonts w:ascii="楷体" w:hAnsi="楷体" w:eastAsia="楷体" w:cs="宋体"/>
                <w:sz w:val="24"/>
              </w:rPr>
            </w:pPr>
            <w:r>
              <w:rPr>
                <w:rFonts w:ascii="楷体" w:hAnsi="楷体" w:eastAsia="楷体" w:cs="宋体"/>
                <w:sz w:val="24"/>
              </w:rPr>
              <w:t>2.4.1</w:t>
            </w:r>
          </w:p>
        </w:tc>
        <w:tc>
          <w:tcPr>
            <w:tcW w:w="0" w:type="auto"/>
            <w:vAlign w:val="center"/>
          </w:tcPr>
          <w:p w14:paraId="082378F9">
            <w:pPr>
              <w:spacing w:line="360" w:lineRule="auto"/>
              <w:ind w:firstLine="240"/>
              <w:rPr>
                <w:rFonts w:ascii="楷体" w:hAnsi="楷体" w:eastAsia="楷体"/>
              </w:rPr>
            </w:pPr>
          </w:p>
        </w:tc>
      </w:tr>
      <w:tr w14:paraId="59470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509C1054">
            <w:pPr>
              <w:spacing w:line="360" w:lineRule="auto"/>
              <w:rPr>
                <w:rFonts w:ascii="楷体" w:hAnsi="楷体" w:eastAsia="楷体" w:cs="宋体"/>
                <w:sz w:val="24"/>
              </w:rPr>
            </w:pPr>
            <w:r>
              <w:rPr>
                <w:rFonts w:ascii="楷体" w:hAnsi="楷体" w:eastAsia="楷体" w:cs="宋体"/>
                <w:sz w:val="24"/>
              </w:rPr>
              <w:t>2.4.3</w:t>
            </w:r>
          </w:p>
        </w:tc>
        <w:tc>
          <w:tcPr>
            <w:tcW w:w="0" w:type="auto"/>
            <w:vAlign w:val="center"/>
          </w:tcPr>
          <w:p w14:paraId="704ED843">
            <w:pPr>
              <w:spacing w:line="360" w:lineRule="auto"/>
              <w:rPr>
                <w:rFonts w:ascii="楷体" w:hAnsi="楷体" w:eastAsia="楷体" w:cs="宋体"/>
                <w:sz w:val="24"/>
              </w:rPr>
            </w:pPr>
          </w:p>
        </w:tc>
      </w:tr>
      <w:tr w14:paraId="7FE2B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tcPr>
          <w:p w14:paraId="48B765D1">
            <w:pPr>
              <w:spacing w:line="360" w:lineRule="auto"/>
              <w:rPr>
                <w:rFonts w:ascii="楷体" w:hAnsi="楷体" w:eastAsia="楷体" w:cs="宋体"/>
                <w:sz w:val="24"/>
              </w:rPr>
            </w:pPr>
            <w:r>
              <w:rPr>
                <w:rFonts w:ascii="楷体" w:hAnsi="楷体" w:eastAsia="楷体" w:cs="宋体"/>
                <w:sz w:val="24"/>
              </w:rPr>
              <w:t xml:space="preserve">2.8 </w:t>
            </w:r>
          </w:p>
        </w:tc>
        <w:tc>
          <w:tcPr>
            <w:tcW w:w="0" w:type="auto"/>
          </w:tcPr>
          <w:p w14:paraId="1CA96222">
            <w:pPr>
              <w:spacing w:line="360" w:lineRule="auto"/>
              <w:rPr>
                <w:rFonts w:ascii="楷体" w:hAnsi="楷体" w:eastAsia="楷体" w:cs="宋体"/>
                <w:sz w:val="24"/>
              </w:rPr>
            </w:pPr>
          </w:p>
        </w:tc>
      </w:tr>
      <w:tr w14:paraId="74F07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55F3298A">
            <w:pPr>
              <w:spacing w:line="360" w:lineRule="auto"/>
              <w:rPr>
                <w:rFonts w:ascii="楷体" w:hAnsi="楷体" w:eastAsia="楷体" w:cs="宋体"/>
                <w:sz w:val="24"/>
              </w:rPr>
            </w:pPr>
            <w:r>
              <w:rPr>
                <w:rFonts w:ascii="楷体" w:hAnsi="楷体" w:eastAsia="楷体" w:cs="宋体"/>
                <w:sz w:val="24"/>
              </w:rPr>
              <w:t>2.12.3</w:t>
            </w:r>
          </w:p>
        </w:tc>
        <w:tc>
          <w:tcPr>
            <w:tcW w:w="0" w:type="auto"/>
            <w:vAlign w:val="center"/>
          </w:tcPr>
          <w:p w14:paraId="73781B55">
            <w:pPr>
              <w:spacing w:line="360" w:lineRule="auto"/>
              <w:rPr>
                <w:rFonts w:ascii="楷体" w:hAnsi="楷体" w:eastAsia="楷体" w:cs="宋体"/>
                <w:sz w:val="24"/>
              </w:rPr>
            </w:pPr>
          </w:p>
        </w:tc>
      </w:tr>
      <w:tr w14:paraId="03E69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70DA91D7">
            <w:pPr>
              <w:spacing w:line="360" w:lineRule="auto"/>
              <w:rPr>
                <w:rFonts w:ascii="楷体" w:hAnsi="楷体" w:eastAsia="楷体" w:cs="宋体"/>
                <w:sz w:val="24"/>
              </w:rPr>
            </w:pPr>
            <w:r>
              <w:rPr>
                <w:rFonts w:ascii="楷体" w:hAnsi="楷体" w:eastAsia="楷体" w:cs="宋体"/>
                <w:sz w:val="24"/>
              </w:rPr>
              <w:t>2.12.4</w:t>
            </w:r>
          </w:p>
        </w:tc>
        <w:tc>
          <w:tcPr>
            <w:tcW w:w="0" w:type="auto"/>
            <w:vAlign w:val="center"/>
          </w:tcPr>
          <w:p w14:paraId="2CA86198">
            <w:pPr>
              <w:spacing w:line="360" w:lineRule="auto"/>
              <w:rPr>
                <w:rFonts w:ascii="楷体" w:hAnsi="楷体" w:eastAsia="楷体" w:cs="宋体"/>
                <w:sz w:val="24"/>
              </w:rPr>
            </w:pPr>
          </w:p>
        </w:tc>
      </w:tr>
      <w:tr w14:paraId="0B2C1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0" w:type="auto"/>
            <w:tcBorders>
              <w:left w:val="single" w:color="auto" w:sz="4" w:space="0"/>
            </w:tcBorders>
            <w:vAlign w:val="center"/>
          </w:tcPr>
          <w:p w14:paraId="453447E5">
            <w:pPr>
              <w:spacing w:line="360" w:lineRule="auto"/>
              <w:rPr>
                <w:rFonts w:ascii="楷体" w:hAnsi="楷体" w:eastAsia="楷体" w:cs="宋体"/>
                <w:sz w:val="24"/>
              </w:rPr>
            </w:pPr>
            <w:r>
              <w:rPr>
                <w:rFonts w:ascii="楷体" w:hAnsi="楷体" w:eastAsia="楷体" w:cs="宋体"/>
                <w:sz w:val="24"/>
              </w:rPr>
              <w:t>2.16.1</w:t>
            </w:r>
          </w:p>
        </w:tc>
        <w:tc>
          <w:tcPr>
            <w:tcW w:w="0" w:type="auto"/>
            <w:vAlign w:val="center"/>
          </w:tcPr>
          <w:p w14:paraId="40C7391F">
            <w:pPr>
              <w:spacing w:line="360" w:lineRule="auto"/>
              <w:rPr>
                <w:rFonts w:ascii="楷体" w:hAnsi="楷体" w:eastAsia="楷体" w:cs="宋体"/>
                <w:sz w:val="24"/>
              </w:rPr>
            </w:pPr>
          </w:p>
        </w:tc>
      </w:tr>
      <w:tr w14:paraId="7D810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8" w:hRule="atLeast"/>
        </w:trPr>
        <w:tc>
          <w:tcPr>
            <w:tcW w:w="0" w:type="auto"/>
            <w:tcBorders>
              <w:left w:val="single" w:color="auto" w:sz="4" w:space="0"/>
            </w:tcBorders>
            <w:vAlign w:val="center"/>
          </w:tcPr>
          <w:p w14:paraId="33CA2567">
            <w:pPr>
              <w:spacing w:line="360" w:lineRule="auto"/>
              <w:rPr>
                <w:rFonts w:ascii="楷体" w:hAnsi="楷体" w:eastAsia="楷体" w:cs="宋体"/>
                <w:sz w:val="24"/>
              </w:rPr>
            </w:pPr>
            <w:r>
              <w:rPr>
                <w:rFonts w:ascii="楷体" w:hAnsi="楷体" w:eastAsia="楷体" w:cs="宋体"/>
                <w:sz w:val="24"/>
              </w:rPr>
              <w:t>2.16.3</w:t>
            </w:r>
          </w:p>
        </w:tc>
        <w:tc>
          <w:tcPr>
            <w:tcW w:w="0" w:type="auto"/>
            <w:vAlign w:val="center"/>
          </w:tcPr>
          <w:p w14:paraId="73F44B84">
            <w:pPr>
              <w:spacing w:line="480" w:lineRule="exact"/>
              <w:rPr>
                <w:rFonts w:ascii="楷体" w:hAnsi="楷体" w:eastAsia="楷体"/>
              </w:rPr>
            </w:pPr>
          </w:p>
        </w:tc>
      </w:tr>
      <w:tr w14:paraId="2F0E8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0" w:type="auto"/>
            <w:tcBorders>
              <w:left w:val="single" w:color="auto" w:sz="4" w:space="0"/>
            </w:tcBorders>
            <w:vAlign w:val="center"/>
          </w:tcPr>
          <w:p w14:paraId="40C5E051">
            <w:pPr>
              <w:spacing w:line="360" w:lineRule="auto"/>
              <w:ind w:left="-420" w:right="-420" w:firstLine="480"/>
              <w:outlineLvl w:val="0"/>
              <w:rPr>
                <w:rFonts w:ascii="楷体" w:hAnsi="楷体" w:eastAsia="楷体" w:cs="宋体"/>
                <w:sz w:val="24"/>
              </w:rPr>
            </w:pPr>
            <w:r>
              <w:rPr>
                <w:rFonts w:ascii="楷体" w:hAnsi="楷体" w:eastAsia="楷体" w:cs="宋体"/>
                <w:sz w:val="24"/>
              </w:rPr>
              <w:t xml:space="preserve">2.21 </w:t>
            </w:r>
          </w:p>
        </w:tc>
        <w:tc>
          <w:tcPr>
            <w:tcW w:w="0" w:type="auto"/>
            <w:vAlign w:val="center"/>
          </w:tcPr>
          <w:p w14:paraId="674844CD">
            <w:pPr>
              <w:spacing w:line="360" w:lineRule="auto"/>
              <w:rPr>
                <w:rFonts w:ascii="楷体" w:hAnsi="楷体" w:eastAsia="楷体" w:cs="宋体"/>
                <w:sz w:val="24"/>
              </w:rPr>
            </w:pPr>
            <w:r>
              <w:rPr>
                <w:rFonts w:hint="eastAsia" w:ascii="楷体" w:hAnsi="楷体" w:eastAsia="楷体"/>
                <w:sz w:val="24"/>
              </w:rPr>
              <w:t>本合同经甲方、乙方签字盖章后生效。本合同一式肆份，甲乙双方、财政监督管理部门、见证方各壹份。</w:t>
            </w:r>
          </w:p>
        </w:tc>
      </w:tr>
      <w:tr w14:paraId="01455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0" w:type="auto"/>
            <w:tcBorders>
              <w:top w:val="single" w:color="auto" w:sz="6" w:space="0"/>
              <w:left w:val="single" w:color="auto" w:sz="4" w:space="0"/>
              <w:bottom w:val="single" w:color="auto" w:sz="6" w:space="0"/>
              <w:right w:val="single" w:color="auto" w:sz="6" w:space="0"/>
            </w:tcBorders>
            <w:vAlign w:val="center"/>
          </w:tcPr>
          <w:p w14:paraId="6B5516F0">
            <w:pPr>
              <w:spacing w:line="360" w:lineRule="auto"/>
              <w:ind w:left="-420" w:right="-420" w:firstLine="480"/>
              <w:outlineLvl w:val="0"/>
              <w:rPr>
                <w:rFonts w:ascii="楷体" w:hAnsi="楷体" w:eastAsia="楷体" w:cs="宋体"/>
                <w:sz w:val="24"/>
              </w:rPr>
            </w:pPr>
            <w:r>
              <w:rPr>
                <w:rFonts w:ascii="楷体" w:hAnsi="楷体" w:eastAsia="楷体" w:cs="宋体"/>
                <w:sz w:val="24"/>
              </w:rPr>
              <w:t>3.1</w:t>
            </w:r>
          </w:p>
          <w:p w14:paraId="3782FDF4">
            <w:pPr>
              <w:spacing w:line="360" w:lineRule="auto"/>
              <w:ind w:left="-420" w:right="-420" w:firstLine="480"/>
              <w:outlineLvl w:val="0"/>
              <w:rPr>
                <w:rFonts w:ascii="楷体" w:hAnsi="楷体" w:eastAsia="楷体"/>
              </w:rPr>
            </w:pPr>
            <w:r>
              <w:rPr>
                <w:rFonts w:hint="eastAsia" w:ascii="楷体" w:hAnsi="楷体" w:eastAsia="楷体" w:cs="宋体"/>
                <w:sz w:val="24"/>
              </w:rPr>
              <w:t>……</w:t>
            </w:r>
          </w:p>
        </w:tc>
        <w:tc>
          <w:tcPr>
            <w:tcW w:w="0" w:type="auto"/>
            <w:tcBorders>
              <w:top w:val="single" w:color="auto" w:sz="6" w:space="0"/>
              <w:left w:val="single" w:color="auto" w:sz="6" w:space="0"/>
              <w:bottom w:val="single" w:color="auto" w:sz="6" w:space="0"/>
              <w:right w:val="single" w:color="auto" w:sz="6" w:space="0"/>
            </w:tcBorders>
            <w:vAlign w:val="center"/>
          </w:tcPr>
          <w:p w14:paraId="59499942">
            <w:pPr>
              <w:spacing w:line="360" w:lineRule="auto"/>
              <w:rPr>
                <w:rFonts w:ascii="楷体" w:hAnsi="楷体" w:eastAsia="楷体" w:cs="宋体"/>
                <w:sz w:val="24"/>
              </w:rPr>
            </w:pPr>
            <w:r>
              <w:rPr>
                <w:rFonts w:hint="eastAsia" w:ascii="楷体" w:hAnsi="楷体" w:eastAsia="楷体" w:cs="宋体"/>
                <w:sz w:val="24"/>
              </w:rPr>
              <w:t>……</w:t>
            </w:r>
            <w:bookmarkEnd w:id="79"/>
          </w:p>
        </w:tc>
      </w:tr>
    </w:tbl>
    <w:p w14:paraId="0C0F7E28">
      <w:pPr>
        <w:jc w:val="left"/>
        <w:rPr>
          <w:rFonts w:ascii="楷体" w:hAnsi="楷体" w:eastAsia="楷体"/>
          <w:b/>
          <w:sz w:val="30"/>
          <w:szCs w:val="30"/>
        </w:rPr>
      </w:pPr>
    </w:p>
    <w:bookmarkEnd w:id="78"/>
    <w:p w14:paraId="333D1104">
      <w:pPr>
        <w:widowControl/>
        <w:jc w:val="left"/>
        <w:rPr>
          <w:rFonts w:ascii="楷体" w:hAnsi="楷体" w:eastAsia="楷体"/>
          <w:b/>
          <w:sz w:val="30"/>
          <w:szCs w:val="30"/>
        </w:rPr>
      </w:pPr>
    </w:p>
    <w:p w14:paraId="721BCCC3">
      <w:pPr>
        <w:widowControl/>
        <w:jc w:val="left"/>
        <w:rPr>
          <w:rFonts w:ascii="楷体" w:hAnsi="楷体" w:eastAsia="楷体"/>
          <w:b/>
          <w:sz w:val="30"/>
          <w:szCs w:val="30"/>
        </w:rPr>
      </w:pPr>
      <w:r>
        <w:rPr>
          <w:rFonts w:ascii="楷体" w:hAnsi="楷体" w:eastAsia="楷体"/>
          <w:b/>
          <w:sz w:val="30"/>
          <w:szCs w:val="30"/>
        </w:rPr>
        <w:br w:type="page"/>
      </w:r>
    </w:p>
    <w:p w14:paraId="3633A1DD">
      <w:pPr>
        <w:spacing w:line="360" w:lineRule="auto"/>
        <w:jc w:val="center"/>
        <w:rPr>
          <w:rFonts w:ascii="楷体" w:hAnsi="楷体" w:eastAsia="楷体"/>
          <w:sz w:val="30"/>
          <w:szCs w:val="30"/>
        </w:rPr>
      </w:pPr>
      <w:bookmarkStart w:id="238" w:name="_Hlk177109976"/>
      <w:r>
        <w:rPr>
          <w:rFonts w:hint="eastAsia" w:ascii="楷体" w:hAnsi="楷体" w:eastAsia="楷体"/>
          <w:b/>
          <w:sz w:val="30"/>
          <w:szCs w:val="30"/>
        </w:rPr>
        <w:t>第四部分 采购需求</w:t>
      </w:r>
    </w:p>
    <w:p w14:paraId="14F1AC18">
      <w:pPr>
        <w:spacing w:line="360" w:lineRule="auto"/>
        <w:ind w:firstLine="472"/>
        <w:rPr>
          <w:rFonts w:ascii="楷体" w:hAnsi="楷体" w:eastAsia="楷体" w:cs="Arial"/>
          <w:b/>
          <w:sz w:val="24"/>
        </w:rPr>
      </w:pPr>
      <w:r>
        <w:rPr>
          <w:rFonts w:hint="eastAsia" w:ascii="楷体" w:hAnsi="楷体" w:eastAsia="楷体" w:cs="Arial"/>
          <w:b/>
          <w:sz w:val="24"/>
        </w:rPr>
        <w:t>一、项目概况</w:t>
      </w:r>
    </w:p>
    <w:p w14:paraId="59B52CE9">
      <w:pPr>
        <w:spacing w:line="360" w:lineRule="auto"/>
        <w:ind w:firstLine="495"/>
        <w:rPr>
          <w:rFonts w:ascii="楷体" w:hAnsi="楷体" w:eastAsia="楷体" w:cs="Arial"/>
          <w:sz w:val="24"/>
        </w:rPr>
      </w:pPr>
      <w:r>
        <w:rPr>
          <w:rFonts w:hint="eastAsia" w:ascii="楷体" w:hAnsi="楷体" w:eastAsia="楷体" w:cs="Arial"/>
          <w:sz w:val="24"/>
        </w:rPr>
        <w:t>依据《省生态环境厅关于印发全省基层生态环境监测机构规范化建设名录的通知》（苏环办〔2023〕220号）、《江苏省基层生态环境监测机构规范化建设工作方案》（苏环办〔2023〕124号）以及《省生态环境厅关于印发〈江苏省基层生态环境监测机构规范化建设指标体系评分细则（试行）〉的通知》（苏环办〔2023〕204号）的要求，完成镇江市丹阳生态环境监测站规范化建设项目。</w:t>
      </w:r>
    </w:p>
    <w:p w14:paraId="6ACA8938">
      <w:pPr>
        <w:spacing w:line="360" w:lineRule="auto"/>
        <w:ind w:firstLine="495"/>
        <w:rPr>
          <w:rFonts w:ascii="楷体" w:hAnsi="楷体" w:eastAsia="楷体" w:cs="Arial"/>
          <w:sz w:val="24"/>
        </w:rPr>
      </w:pPr>
      <w:r>
        <w:rPr>
          <w:rFonts w:hint="eastAsia" w:ascii="楷体" w:hAnsi="楷体" w:eastAsia="楷体" w:cs="Arial"/>
          <w:sz w:val="24"/>
        </w:rPr>
        <w:t>项目所属行业：工业。</w:t>
      </w:r>
    </w:p>
    <w:p w14:paraId="3CDC4368">
      <w:pPr>
        <w:spacing w:line="360" w:lineRule="auto"/>
        <w:ind w:firstLine="472"/>
        <w:rPr>
          <w:rFonts w:ascii="楷体" w:hAnsi="楷体" w:eastAsia="楷体" w:cs="Arial"/>
          <w:b/>
          <w:sz w:val="24"/>
        </w:rPr>
      </w:pPr>
      <w:r>
        <w:rPr>
          <w:rFonts w:hint="eastAsia" w:ascii="楷体" w:hAnsi="楷体" w:eastAsia="楷体" w:cs="Arial"/>
          <w:b/>
          <w:sz w:val="24"/>
        </w:rPr>
        <w:t>二、采购预算（最高限价）</w:t>
      </w:r>
    </w:p>
    <w:p w14:paraId="264DBDED">
      <w:pPr>
        <w:spacing w:line="360" w:lineRule="auto"/>
        <w:ind w:firstLine="480"/>
        <w:rPr>
          <w:rFonts w:hint="eastAsia" w:ascii="楷体" w:hAnsi="楷体" w:eastAsia="楷体" w:cs="Arial"/>
          <w:sz w:val="24"/>
          <w:lang w:val="en-US" w:eastAsia="zh-CN"/>
        </w:rPr>
      </w:pPr>
      <w:r>
        <w:rPr>
          <w:rFonts w:hint="eastAsia" w:ascii="楷体" w:hAnsi="楷体" w:eastAsia="楷体" w:cs="Arial"/>
          <w:sz w:val="24"/>
        </w:rPr>
        <w:t>采购预算（最高限价）：</w:t>
      </w:r>
      <w:r>
        <w:rPr>
          <w:rFonts w:hint="eastAsia" w:ascii="楷体" w:hAnsi="楷体" w:eastAsia="楷体" w:cs="Arial"/>
          <w:sz w:val="24"/>
          <w:lang w:val="en-US" w:eastAsia="zh-CN"/>
        </w:rPr>
        <w:t>688.5万</w:t>
      </w:r>
      <w:r>
        <w:rPr>
          <w:rFonts w:hint="eastAsia" w:ascii="楷体" w:hAnsi="楷体" w:eastAsia="楷体" w:cs="Arial"/>
          <w:sz w:val="24"/>
        </w:rPr>
        <w:t>元</w:t>
      </w:r>
      <w:r>
        <w:rPr>
          <w:rFonts w:hint="eastAsia" w:ascii="楷体" w:hAnsi="楷体" w:eastAsia="楷体" w:cs="Arial"/>
          <w:sz w:val="24"/>
          <w:lang w:eastAsia="zh-CN"/>
        </w:rPr>
        <w:t>，</w:t>
      </w:r>
      <w:r>
        <w:rPr>
          <w:rFonts w:hint="eastAsia" w:ascii="楷体" w:hAnsi="楷体" w:eastAsia="楷体" w:cs="Arial"/>
          <w:sz w:val="24"/>
          <w:lang w:val="en-US" w:eastAsia="zh-CN"/>
        </w:rPr>
        <w:t>其中</w:t>
      </w:r>
      <w:r>
        <w:rPr>
          <w:rFonts w:hint="eastAsia" w:ascii="楷体" w:hAnsi="楷体" w:eastAsia="楷体" w:cs="Arial"/>
          <w:sz w:val="24"/>
        </w:rPr>
        <w:t>采购包1：</w:t>
      </w:r>
      <w:r>
        <w:rPr>
          <w:rFonts w:hint="eastAsia" w:ascii="楷体" w:hAnsi="楷体" w:eastAsia="楷体" w:cs="Arial"/>
          <w:sz w:val="24"/>
          <w:lang w:val="en-US" w:eastAsia="zh-CN"/>
        </w:rPr>
        <w:t>230</w:t>
      </w:r>
      <w:r>
        <w:rPr>
          <w:rFonts w:hint="eastAsia" w:ascii="楷体" w:hAnsi="楷体" w:eastAsia="楷体" w:cs="Arial"/>
          <w:sz w:val="24"/>
        </w:rPr>
        <w:t>万元</w:t>
      </w:r>
      <w:r>
        <w:rPr>
          <w:rFonts w:hint="eastAsia" w:ascii="楷体" w:hAnsi="楷体" w:eastAsia="楷体" w:cs="Arial"/>
          <w:sz w:val="24"/>
          <w:lang w:eastAsia="zh-CN"/>
        </w:rPr>
        <w:t>，</w:t>
      </w:r>
      <w:r>
        <w:rPr>
          <w:rFonts w:hint="eastAsia" w:ascii="楷体" w:hAnsi="楷体" w:eastAsia="楷体" w:cs="Arial"/>
          <w:sz w:val="24"/>
        </w:rPr>
        <w:t>采购包</w:t>
      </w:r>
      <w:r>
        <w:rPr>
          <w:rFonts w:hint="eastAsia" w:ascii="楷体" w:hAnsi="楷体" w:eastAsia="楷体" w:cs="Arial"/>
          <w:sz w:val="24"/>
          <w:lang w:val="en-US" w:eastAsia="zh-CN"/>
        </w:rPr>
        <w:t>2</w:t>
      </w:r>
      <w:r>
        <w:rPr>
          <w:rFonts w:hint="eastAsia" w:ascii="楷体" w:hAnsi="楷体" w:eastAsia="楷体" w:cs="Arial"/>
          <w:sz w:val="24"/>
        </w:rPr>
        <w:t>：</w:t>
      </w:r>
      <w:r>
        <w:rPr>
          <w:rFonts w:hint="eastAsia" w:ascii="楷体" w:hAnsi="楷体" w:eastAsia="楷体" w:cs="Arial"/>
          <w:sz w:val="24"/>
          <w:lang w:val="en-US" w:eastAsia="zh-CN"/>
        </w:rPr>
        <w:t>130万</w:t>
      </w:r>
      <w:r>
        <w:rPr>
          <w:rFonts w:hint="eastAsia" w:ascii="楷体" w:hAnsi="楷体" w:eastAsia="楷体" w:cs="Arial"/>
          <w:sz w:val="24"/>
        </w:rPr>
        <w:t>元</w:t>
      </w:r>
      <w:r>
        <w:rPr>
          <w:rFonts w:hint="eastAsia" w:ascii="楷体" w:hAnsi="楷体" w:eastAsia="楷体" w:cs="Arial"/>
          <w:sz w:val="24"/>
          <w:lang w:val="en-US" w:eastAsia="zh-CN"/>
        </w:rPr>
        <w:t>，</w:t>
      </w:r>
      <w:r>
        <w:rPr>
          <w:rFonts w:hint="eastAsia" w:ascii="楷体" w:hAnsi="楷体" w:eastAsia="楷体" w:cs="Arial"/>
          <w:sz w:val="24"/>
        </w:rPr>
        <w:t>采购包</w:t>
      </w:r>
      <w:r>
        <w:rPr>
          <w:rFonts w:hint="eastAsia" w:ascii="楷体" w:hAnsi="楷体" w:eastAsia="楷体" w:cs="Arial"/>
          <w:sz w:val="24"/>
          <w:lang w:val="en-US" w:eastAsia="zh-CN"/>
        </w:rPr>
        <w:t>3</w:t>
      </w:r>
      <w:r>
        <w:rPr>
          <w:rFonts w:hint="eastAsia" w:ascii="楷体" w:hAnsi="楷体" w:eastAsia="楷体" w:cs="Arial"/>
          <w:sz w:val="24"/>
        </w:rPr>
        <w:t>：186.1</w:t>
      </w:r>
      <w:r>
        <w:rPr>
          <w:rFonts w:hint="eastAsia" w:ascii="楷体" w:hAnsi="楷体" w:eastAsia="楷体" w:cs="Arial"/>
          <w:sz w:val="24"/>
          <w:lang w:val="en-US" w:eastAsia="zh-CN"/>
        </w:rPr>
        <w:t>万元，</w:t>
      </w:r>
      <w:r>
        <w:rPr>
          <w:rFonts w:hint="eastAsia" w:ascii="楷体" w:hAnsi="楷体" w:eastAsia="楷体" w:cs="Arial"/>
          <w:sz w:val="24"/>
        </w:rPr>
        <w:t>采购包</w:t>
      </w:r>
      <w:r>
        <w:rPr>
          <w:rFonts w:hint="eastAsia" w:ascii="楷体" w:hAnsi="楷体" w:eastAsia="楷体" w:cs="Arial"/>
          <w:sz w:val="24"/>
          <w:lang w:val="en-US" w:eastAsia="zh-CN"/>
        </w:rPr>
        <w:t>4</w:t>
      </w:r>
      <w:r>
        <w:rPr>
          <w:rFonts w:hint="eastAsia" w:ascii="楷体" w:hAnsi="楷体" w:eastAsia="楷体" w:cs="Arial"/>
          <w:sz w:val="24"/>
        </w:rPr>
        <w:t>：142.4</w:t>
      </w:r>
      <w:r>
        <w:rPr>
          <w:rFonts w:hint="eastAsia" w:ascii="楷体" w:hAnsi="楷体" w:eastAsia="楷体" w:cs="Arial"/>
          <w:sz w:val="24"/>
          <w:lang w:val="en-US" w:eastAsia="zh-CN"/>
        </w:rPr>
        <w:t>万元。</w:t>
      </w:r>
    </w:p>
    <w:p w14:paraId="657F0B88">
      <w:pPr>
        <w:spacing w:line="360" w:lineRule="auto"/>
        <w:ind w:firstLine="480"/>
        <w:rPr>
          <w:rFonts w:hint="eastAsia" w:ascii="楷体" w:hAnsi="楷体" w:eastAsia="楷体" w:cs="Arial"/>
          <w:b/>
          <w:bCs/>
          <w:sz w:val="24"/>
        </w:rPr>
      </w:pPr>
      <w:r>
        <w:rPr>
          <w:rFonts w:hint="eastAsia" w:ascii="楷体" w:hAnsi="楷体" w:eastAsia="楷体" w:cs="Arial"/>
          <w:b/>
          <w:bCs/>
          <w:sz w:val="24"/>
          <w:lang w:val="en-US" w:eastAsia="zh-CN"/>
        </w:rPr>
        <w:t>各</w:t>
      </w:r>
      <w:r>
        <w:rPr>
          <w:rFonts w:hint="eastAsia" w:ascii="楷体" w:hAnsi="楷体" w:eastAsia="楷体" w:cs="Arial"/>
          <w:b/>
          <w:bCs/>
          <w:sz w:val="24"/>
        </w:rPr>
        <w:t>采购包</w:t>
      </w:r>
      <w:r>
        <w:rPr>
          <w:rFonts w:hint="eastAsia" w:ascii="楷体" w:hAnsi="楷体" w:eastAsia="楷体" w:cs="Arial"/>
          <w:b/>
          <w:bCs/>
          <w:sz w:val="24"/>
          <w:lang w:val="en-US" w:eastAsia="zh-CN"/>
        </w:rPr>
        <w:t>的</w:t>
      </w:r>
      <w:r>
        <w:rPr>
          <w:rFonts w:hint="eastAsia" w:ascii="楷体" w:hAnsi="楷体" w:eastAsia="楷体" w:cs="Arial"/>
          <w:b/>
          <w:bCs/>
          <w:sz w:val="24"/>
        </w:rPr>
        <w:t>单项</w:t>
      </w:r>
      <w:r>
        <w:rPr>
          <w:rFonts w:hint="eastAsia" w:ascii="楷体" w:hAnsi="楷体" w:eastAsia="楷体" w:cs="Arial"/>
          <w:b/>
          <w:bCs/>
          <w:sz w:val="24"/>
          <w:lang w:val="en-US" w:eastAsia="zh-CN"/>
        </w:rPr>
        <w:t>最高限价详见招标文件第四部分采购需求</w:t>
      </w:r>
      <w:r>
        <w:rPr>
          <w:rFonts w:hint="eastAsia" w:ascii="楷体" w:hAnsi="楷体" w:eastAsia="楷体" w:cs="Arial"/>
          <w:b/>
          <w:bCs/>
          <w:sz w:val="24"/>
        </w:rPr>
        <w:t>。各单项货物投标报价超过各单项</w:t>
      </w:r>
      <w:r>
        <w:rPr>
          <w:rFonts w:hint="eastAsia" w:ascii="楷体" w:hAnsi="楷体" w:eastAsia="楷体" w:cs="Arial"/>
          <w:b/>
          <w:bCs/>
          <w:sz w:val="24"/>
          <w:lang w:eastAsia="zh-CN"/>
        </w:rPr>
        <w:t>最高限价</w:t>
      </w:r>
      <w:r>
        <w:rPr>
          <w:rFonts w:hint="eastAsia" w:ascii="楷体" w:hAnsi="楷体" w:eastAsia="楷体" w:cs="Arial"/>
          <w:b/>
          <w:bCs/>
          <w:sz w:val="24"/>
        </w:rPr>
        <w:t>的为无效报价，按照无效响应处理。</w:t>
      </w:r>
    </w:p>
    <w:p w14:paraId="5DEF0266">
      <w:pPr>
        <w:spacing w:line="360" w:lineRule="auto"/>
        <w:ind w:firstLine="472"/>
        <w:rPr>
          <w:rFonts w:ascii="楷体" w:hAnsi="楷体" w:eastAsia="楷体" w:cs="Arial"/>
          <w:b/>
          <w:sz w:val="24"/>
        </w:rPr>
      </w:pPr>
      <w:r>
        <w:rPr>
          <w:rFonts w:hint="eastAsia" w:ascii="楷体" w:hAnsi="楷体" w:eastAsia="楷体" w:cs="Arial"/>
          <w:b/>
          <w:sz w:val="24"/>
        </w:rPr>
        <w:t>三、采购标的汇总表</w:t>
      </w:r>
    </w:p>
    <w:p w14:paraId="1EC68D42">
      <w:pPr>
        <w:pStyle w:val="5"/>
        <w:spacing w:line="240" w:lineRule="auto"/>
        <w:ind w:firstLine="482" w:firstLineChars="200"/>
        <w:jc w:val="left"/>
        <w:rPr>
          <w:rFonts w:hint="default" w:ascii="楷体" w:hAnsi="楷体" w:eastAsia="楷体" w:cs="Arial"/>
          <w:b/>
          <w:bCs/>
          <w:sz w:val="24"/>
          <w:szCs w:val="24"/>
          <w:lang w:val="en-US" w:eastAsia="zh-CN" w:bidi="ar-SA"/>
        </w:rPr>
      </w:pPr>
      <w:r>
        <w:rPr>
          <w:rFonts w:hint="eastAsia" w:ascii="楷体" w:hAnsi="楷体" w:eastAsia="楷体" w:cs="Arial"/>
          <w:b/>
          <w:bCs/>
          <w:sz w:val="24"/>
          <w:szCs w:val="24"/>
          <w:lang w:val="en-US" w:eastAsia="zh-CN" w:bidi="ar-SA"/>
        </w:rPr>
        <w:t>采购包1</w:t>
      </w:r>
    </w:p>
    <w:tbl>
      <w:tblPr>
        <w:tblStyle w:val="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2093"/>
        <w:gridCol w:w="1050"/>
        <w:gridCol w:w="820"/>
        <w:gridCol w:w="1488"/>
        <w:gridCol w:w="935"/>
        <w:gridCol w:w="1546"/>
        <w:gridCol w:w="900"/>
      </w:tblGrid>
      <w:tr w14:paraId="4C964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419701F4">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序号</w:t>
            </w:r>
          </w:p>
        </w:tc>
        <w:tc>
          <w:tcPr>
            <w:tcW w:w="2093" w:type="dxa"/>
            <w:vAlign w:val="center"/>
          </w:tcPr>
          <w:p w14:paraId="6F96CE9B">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货物类标的名称</w:t>
            </w:r>
          </w:p>
        </w:tc>
        <w:tc>
          <w:tcPr>
            <w:tcW w:w="1050" w:type="dxa"/>
            <w:vAlign w:val="center"/>
          </w:tcPr>
          <w:p w14:paraId="2C191C9C">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计量</w:t>
            </w:r>
          </w:p>
          <w:p w14:paraId="11B0721A">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单位</w:t>
            </w:r>
          </w:p>
        </w:tc>
        <w:tc>
          <w:tcPr>
            <w:tcW w:w="820" w:type="dxa"/>
            <w:vAlign w:val="center"/>
          </w:tcPr>
          <w:p w14:paraId="698CA18C">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数量</w:t>
            </w:r>
          </w:p>
        </w:tc>
        <w:tc>
          <w:tcPr>
            <w:tcW w:w="1488" w:type="dxa"/>
            <w:vAlign w:val="center"/>
          </w:tcPr>
          <w:p w14:paraId="53BAF13A">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单项最高</w:t>
            </w:r>
            <w:r>
              <w:rPr>
                <w:rFonts w:hint="eastAsia" w:ascii="楷体" w:hAnsi="楷体" w:eastAsia="楷体" w:cs="Arial"/>
                <w:sz w:val="24"/>
                <w:highlight w:val="none"/>
                <w:lang w:eastAsia="zh-CN"/>
              </w:rPr>
              <w:t>限</w:t>
            </w:r>
            <w:r>
              <w:rPr>
                <w:rFonts w:hint="eastAsia" w:ascii="楷体" w:hAnsi="楷体" w:eastAsia="楷体" w:cs="Arial"/>
                <w:sz w:val="24"/>
                <w:highlight w:val="none"/>
              </w:rPr>
              <w:t>价（</w:t>
            </w:r>
            <w:r>
              <w:rPr>
                <w:rFonts w:hint="eastAsia" w:ascii="楷体" w:hAnsi="楷体" w:eastAsia="楷体" w:cs="Arial"/>
                <w:sz w:val="24"/>
                <w:highlight w:val="none"/>
                <w:lang w:val="en-US" w:eastAsia="zh-CN"/>
              </w:rPr>
              <w:t>万</w:t>
            </w:r>
            <w:r>
              <w:rPr>
                <w:rFonts w:hint="eastAsia" w:ascii="楷体" w:hAnsi="楷体" w:eastAsia="楷体" w:cs="Arial"/>
                <w:sz w:val="24"/>
                <w:highlight w:val="none"/>
              </w:rPr>
              <w:t>元）</w:t>
            </w:r>
          </w:p>
        </w:tc>
        <w:tc>
          <w:tcPr>
            <w:tcW w:w="935" w:type="dxa"/>
            <w:vAlign w:val="center"/>
          </w:tcPr>
          <w:p w14:paraId="3A54F0BE">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是否进口</w:t>
            </w:r>
          </w:p>
        </w:tc>
        <w:tc>
          <w:tcPr>
            <w:tcW w:w="1546" w:type="dxa"/>
            <w:vAlign w:val="center"/>
          </w:tcPr>
          <w:p w14:paraId="4C5D5135">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是否强制或优先采购节能环保产品</w:t>
            </w:r>
          </w:p>
        </w:tc>
        <w:tc>
          <w:tcPr>
            <w:tcW w:w="900" w:type="dxa"/>
            <w:tcBorders>
              <w:left w:val="single" w:color="auto" w:sz="4" w:space="0"/>
            </w:tcBorders>
            <w:vAlign w:val="center"/>
          </w:tcPr>
          <w:p w14:paraId="7ED844B4">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备注</w:t>
            </w:r>
          </w:p>
        </w:tc>
      </w:tr>
      <w:tr w14:paraId="23A2B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11AC103D">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lang w:eastAsia="zh-CN"/>
              </w:rPr>
            </w:pPr>
            <w:r>
              <w:rPr>
                <w:rFonts w:hint="eastAsia" w:ascii="楷体" w:hAnsi="楷体" w:eastAsia="楷体" w:cs="Arial"/>
                <w:sz w:val="24"/>
                <w:highlight w:val="none"/>
                <w:lang w:val="en-US" w:eastAsia="zh-CN"/>
              </w:rPr>
              <w:t>1</w:t>
            </w:r>
          </w:p>
        </w:tc>
        <w:tc>
          <w:tcPr>
            <w:tcW w:w="2093" w:type="dxa"/>
            <w:vAlign w:val="center"/>
          </w:tcPr>
          <w:p w14:paraId="2E8072B3">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气相色谱-质谱联用仪</w:t>
            </w:r>
          </w:p>
        </w:tc>
        <w:tc>
          <w:tcPr>
            <w:tcW w:w="1050" w:type="dxa"/>
            <w:vAlign w:val="center"/>
          </w:tcPr>
          <w:p w14:paraId="2AA01F12">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套</w:t>
            </w:r>
          </w:p>
        </w:tc>
        <w:tc>
          <w:tcPr>
            <w:tcW w:w="820" w:type="dxa"/>
            <w:vAlign w:val="center"/>
          </w:tcPr>
          <w:p w14:paraId="1700D7E4">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1</w:t>
            </w:r>
          </w:p>
        </w:tc>
        <w:tc>
          <w:tcPr>
            <w:tcW w:w="1488" w:type="dxa"/>
            <w:vAlign w:val="center"/>
          </w:tcPr>
          <w:p w14:paraId="7A284158">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宋体" w:hAnsi="宋体"/>
                <w:szCs w:val="21"/>
                <w:highlight w:val="none"/>
              </w:rPr>
              <w:t>130</w:t>
            </w:r>
          </w:p>
        </w:tc>
        <w:tc>
          <w:tcPr>
            <w:tcW w:w="935" w:type="dxa"/>
            <w:vAlign w:val="center"/>
          </w:tcPr>
          <w:p w14:paraId="312F4941">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lang w:val="en-US" w:eastAsia="zh-CN"/>
              </w:rPr>
              <w:t>否</w:t>
            </w:r>
          </w:p>
        </w:tc>
        <w:tc>
          <w:tcPr>
            <w:tcW w:w="1546" w:type="dxa"/>
            <w:vAlign w:val="center"/>
          </w:tcPr>
          <w:p w14:paraId="29E1D79A">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lang w:val="en-US" w:eastAsia="zh-CN"/>
              </w:rPr>
              <w:t>否</w:t>
            </w:r>
          </w:p>
        </w:tc>
        <w:tc>
          <w:tcPr>
            <w:tcW w:w="900" w:type="dxa"/>
            <w:tcBorders>
              <w:left w:val="single" w:color="auto" w:sz="4" w:space="0"/>
            </w:tcBorders>
            <w:vAlign w:val="center"/>
          </w:tcPr>
          <w:p w14:paraId="62F565D9">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p>
        </w:tc>
      </w:tr>
      <w:tr w14:paraId="531A1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305A5DC5">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lang w:eastAsia="zh-CN"/>
              </w:rPr>
            </w:pPr>
            <w:r>
              <w:rPr>
                <w:rFonts w:hint="eastAsia" w:ascii="楷体" w:hAnsi="楷体" w:eastAsia="楷体" w:cs="Arial"/>
                <w:sz w:val="24"/>
                <w:highlight w:val="none"/>
                <w:lang w:val="en-US" w:eastAsia="zh-CN"/>
              </w:rPr>
              <w:t>2</w:t>
            </w:r>
          </w:p>
        </w:tc>
        <w:tc>
          <w:tcPr>
            <w:tcW w:w="2093" w:type="dxa"/>
            <w:vAlign w:val="center"/>
          </w:tcPr>
          <w:p w14:paraId="28150AB5">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气相色谱仪</w:t>
            </w:r>
          </w:p>
        </w:tc>
        <w:tc>
          <w:tcPr>
            <w:tcW w:w="1050" w:type="dxa"/>
            <w:vAlign w:val="center"/>
          </w:tcPr>
          <w:p w14:paraId="2A85CF47">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lang w:eastAsia="zh-CN"/>
              </w:rPr>
            </w:pPr>
            <w:r>
              <w:rPr>
                <w:rFonts w:hint="eastAsia" w:ascii="楷体" w:hAnsi="楷体" w:eastAsia="楷体" w:cs="Arial"/>
                <w:sz w:val="24"/>
                <w:highlight w:val="none"/>
                <w:lang w:val="en-US" w:eastAsia="zh-CN"/>
              </w:rPr>
              <w:t>套</w:t>
            </w:r>
          </w:p>
        </w:tc>
        <w:tc>
          <w:tcPr>
            <w:tcW w:w="820" w:type="dxa"/>
            <w:vAlign w:val="center"/>
          </w:tcPr>
          <w:p w14:paraId="6056449E">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1</w:t>
            </w:r>
          </w:p>
        </w:tc>
        <w:tc>
          <w:tcPr>
            <w:tcW w:w="1488" w:type="dxa"/>
            <w:vAlign w:val="center"/>
          </w:tcPr>
          <w:p w14:paraId="5FEECCE1">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宋体" w:hAnsi="宋体"/>
                <w:szCs w:val="21"/>
                <w:highlight w:val="none"/>
              </w:rPr>
              <w:t>100</w:t>
            </w:r>
          </w:p>
        </w:tc>
        <w:tc>
          <w:tcPr>
            <w:tcW w:w="935" w:type="dxa"/>
            <w:vAlign w:val="center"/>
          </w:tcPr>
          <w:p w14:paraId="12862045">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lang w:val="en-US" w:eastAsia="zh-CN"/>
              </w:rPr>
            </w:pPr>
            <w:r>
              <w:rPr>
                <w:rFonts w:hint="eastAsia" w:ascii="楷体" w:hAnsi="楷体" w:eastAsia="楷体" w:cs="Arial"/>
                <w:sz w:val="24"/>
                <w:highlight w:val="none"/>
                <w:lang w:val="en-US" w:eastAsia="zh-CN"/>
              </w:rPr>
              <w:t>否</w:t>
            </w:r>
          </w:p>
        </w:tc>
        <w:tc>
          <w:tcPr>
            <w:tcW w:w="1546" w:type="dxa"/>
            <w:vAlign w:val="center"/>
          </w:tcPr>
          <w:p w14:paraId="11364FE9">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lang w:val="en-US" w:eastAsia="zh-CN"/>
              </w:rPr>
              <w:t>否</w:t>
            </w:r>
          </w:p>
        </w:tc>
        <w:tc>
          <w:tcPr>
            <w:tcW w:w="900" w:type="dxa"/>
            <w:tcBorders>
              <w:left w:val="single" w:color="auto" w:sz="4" w:space="0"/>
            </w:tcBorders>
            <w:vAlign w:val="center"/>
          </w:tcPr>
          <w:p w14:paraId="29FEF7CC">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p>
        </w:tc>
      </w:tr>
    </w:tbl>
    <w:p w14:paraId="0C7BACE4">
      <w:pPr>
        <w:pStyle w:val="5"/>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楷体" w:hAnsi="楷体" w:eastAsia="楷体" w:cs="Arial"/>
          <w:b/>
          <w:bCs/>
          <w:sz w:val="24"/>
          <w:szCs w:val="24"/>
          <w:highlight w:val="none"/>
          <w:lang w:val="en-US" w:eastAsia="zh-CN" w:bidi="ar-SA"/>
        </w:rPr>
      </w:pPr>
    </w:p>
    <w:p w14:paraId="5685335C">
      <w:pPr>
        <w:pStyle w:val="5"/>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楷体" w:hAnsi="楷体" w:eastAsia="楷体" w:cs="Arial"/>
          <w:b/>
          <w:bCs/>
          <w:sz w:val="24"/>
          <w:szCs w:val="24"/>
          <w:highlight w:val="none"/>
          <w:lang w:val="en-US" w:eastAsia="zh-CN" w:bidi="ar-SA"/>
        </w:rPr>
      </w:pPr>
      <w:r>
        <w:rPr>
          <w:rFonts w:hint="eastAsia" w:ascii="楷体" w:hAnsi="楷体" w:eastAsia="楷体" w:cs="Arial"/>
          <w:b/>
          <w:bCs/>
          <w:sz w:val="24"/>
          <w:szCs w:val="24"/>
          <w:highlight w:val="none"/>
          <w:lang w:val="en-US" w:eastAsia="zh-CN" w:bidi="ar-SA"/>
        </w:rPr>
        <w:t>采购包2</w:t>
      </w:r>
    </w:p>
    <w:tbl>
      <w:tblPr>
        <w:tblStyle w:val="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2128"/>
        <w:gridCol w:w="992"/>
        <w:gridCol w:w="808"/>
        <w:gridCol w:w="1512"/>
        <w:gridCol w:w="946"/>
        <w:gridCol w:w="1581"/>
        <w:gridCol w:w="876"/>
      </w:tblGrid>
      <w:tr w14:paraId="090D9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vAlign w:val="center"/>
          </w:tcPr>
          <w:p w14:paraId="0F07B420">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序号</w:t>
            </w:r>
          </w:p>
        </w:tc>
        <w:tc>
          <w:tcPr>
            <w:tcW w:w="2128" w:type="dxa"/>
            <w:vAlign w:val="center"/>
          </w:tcPr>
          <w:p w14:paraId="2BEBFA3B">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货物类标的名称</w:t>
            </w:r>
          </w:p>
        </w:tc>
        <w:tc>
          <w:tcPr>
            <w:tcW w:w="992" w:type="dxa"/>
            <w:vAlign w:val="center"/>
          </w:tcPr>
          <w:p w14:paraId="6BABB898">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计量</w:t>
            </w:r>
          </w:p>
          <w:p w14:paraId="343B4C46">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单位</w:t>
            </w:r>
          </w:p>
        </w:tc>
        <w:tc>
          <w:tcPr>
            <w:tcW w:w="808" w:type="dxa"/>
            <w:vAlign w:val="center"/>
          </w:tcPr>
          <w:p w14:paraId="01A6D871">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数量</w:t>
            </w:r>
          </w:p>
        </w:tc>
        <w:tc>
          <w:tcPr>
            <w:tcW w:w="1512" w:type="dxa"/>
            <w:vAlign w:val="center"/>
          </w:tcPr>
          <w:p w14:paraId="0A5C3CEF">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单项最高</w:t>
            </w:r>
            <w:r>
              <w:rPr>
                <w:rFonts w:hint="eastAsia" w:ascii="楷体" w:hAnsi="楷体" w:eastAsia="楷体" w:cs="Arial"/>
                <w:sz w:val="24"/>
                <w:highlight w:val="none"/>
                <w:lang w:eastAsia="zh-CN"/>
              </w:rPr>
              <w:t>限</w:t>
            </w:r>
            <w:r>
              <w:rPr>
                <w:rFonts w:hint="eastAsia" w:ascii="楷体" w:hAnsi="楷体" w:eastAsia="楷体" w:cs="Arial"/>
                <w:sz w:val="24"/>
                <w:highlight w:val="none"/>
              </w:rPr>
              <w:t>价（</w:t>
            </w:r>
            <w:r>
              <w:rPr>
                <w:rFonts w:hint="eastAsia" w:ascii="楷体" w:hAnsi="楷体" w:eastAsia="楷体" w:cs="Arial"/>
                <w:sz w:val="24"/>
                <w:highlight w:val="none"/>
                <w:lang w:val="en-US" w:eastAsia="zh-CN"/>
              </w:rPr>
              <w:t>万</w:t>
            </w:r>
            <w:r>
              <w:rPr>
                <w:rFonts w:hint="eastAsia" w:ascii="楷体" w:hAnsi="楷体" w:eastAsia="楷体" w:cs="Arial"/>
                <w:sz w:val="24"/>
                <w:highlight w:val="none"/>
              </w:rPr>
              <w:t>元）</w:t>
            </w:r>
          </w:p>
        </w:tc>
        <w:tc>
          <w:tcPr>
            <w:tcW w:w="946" w:type="dxa"/>
            <w:vAlign w:val="center"/>
          </w:tcPr>
          <w:p w14:paraId="7240C444">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是否</w:t>
            </w:r>
          </w:p>
          <w:p w14:paraId="39208CBB">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进口</w:t>
            </w:r>
          </w:p>
        </w:tc>
        <w:tc>
          <w:tcPr>
            <w:tcW w:w="1581" w:type="dxa"/>
            <w:vAlign w:val="center"/>
          </w:tcPr>
          <w:p w14:paraId="06171519">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是否强制或优先采购节能环保产品</w:t>
            </w:r>
          </w:p>
        </w:tc>
        <w:tc>
          <w:tcPr>
            <w:tcW w:w="876" w:type="dxa"/>
            <w:tcBorders>
              <w:left w:val="single" w:color="auto" w:sz="4" w:space="0"/>
            </w:tcBorders>
            <w:vAlign w:val="center"/>
          </w:tcPr>
          <w:p w14:paraId="15B4005E">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备注</w:t>
            </w:r>
          </w:p>
        </w:tc>
      </w:tr>
      <w:tr w14:paraId="43A83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573983C9">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lang w:eastAsia="zh-CN"/>
              </w:rPr>
            </w:pPr>
            <w:r>
              <w:rPr>
                <w:rFonts w:hint="eastAsia" w:ascii="楷体" w:hAnsi="楷体" w:eastAsia="楷体" w:cs="Arial"/>
                <w:sz w:val="24"/>
                <w:highlight w:val="none"/>
                <w:lang w:val="en-US" w:eastAsia="zh-CN"/>
              </w:rPr>
              <w:t>1</w:t>
            </w:r>
          </w:p>
        </w:tc>
        <w:tc>
          <w:tcPr>
            <w:tcW w:w="2128" w:type="dxa"/>
            <w:vAlign w:val="center"/>
          </w:tcPr>
          <w:p w14:paraId="6531CDFC">
            <w:pPr>
              <w:pageBreakBefore w:val="0"/>
              <w:widowControl w:val="0"/>
              <w:kinsoku/>
              <w:wordWrap/>
              <w:overflowPunct/>
              <w:topLinePunct w:val="0"/>
              <w:autoSpaceDE/>
              <w:autoSpaceDN/>
              <w:bidi w:val="0"/>
              <w:adjustRightInd/>
              <w:snapToGrid/>
              <w:spacing w:line="400" w:lineRule="exact"/>
              <w:jc w:val="center"/>
              <w:textAlignment w:val="auto"/>
              <w:rPr>
                <w:rFonts w:ascii="楷体" w:hAnsi="楷体" w:eastAsia="楷体" w:cs="Arial"/>
                <w:sz w:val="24"/>
                <w:highlight w:val="none"/>
              </w:rPr>
            </w:pPr>
            <w:r>
              <w:rPr>
                <w:rFonts w:hint="eastAsia" w:ascii="楷体" w:hAnsi="楷体" w:eastAsia="楷体" w:cs="Arial"/>
                <w:sz w:val="24"/>
                <w:highlight w:val="none"/>
              </w:rPr>
              <w:t>ICP-MS电感耦合等离子体质谱仪</w:t>
            </w:r>
          </w:p>
        </w:tc>
        <w:tc>
          <w:tcPr>
            <w:tcW w:w="992" w:type="dxa"/>
            <w:vAlign w:val="center"/>
          </w:tcPr>
          <w:p w14:paraId="1D84AE56">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套</w:t>
            </w:r>
          </w:p>
        </w:tc>
        <w:tc>
          <w:tcPr>
            <w:tcW w:w="808" w:type="dxa"/>
            <w:vAlign w:val="center"/>
          </w:tcPr>
          <w:p w14:paraId="1D46DB3D">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rPr>
              <w:t>1</w:t>
            </w:r>
          </w:p>
        </w:tc>
        <w:tc>
          <w:tcPr>
            <w:tcW w:w="1512" w:type="dxa"/>
            <w:vAlign w:val="center"/>
          </w:tcPr>
          <w:p w14:paraId="51E8B91F">
            <w:pPr>
              <w:pageBreakBefore w:val="0"/>
              <w:widowControl w:val="0"/>
              <w:kinsoku/>
              <w:wordWrap/>
              <w:overflowPunct/>
              <w:topLinePunct w:val="0"/>
              <w:autoSpaceDE/>
              <w:autoSpaceDN/>
              <w:bidi w:val="0"/>
              <w:adjustRightInd/>
              <w:snapToGrid/>
              <w:spacing w:line="400" w:lineRule="exact"/>
              <w:jc w:val="center"/>
              <w:textAlignment w:val="auto"/>
              <w:rPr>
                <w:rFonts w:hint="default" w:ascii="楷体" w:hAnsi="楷体" w:eastAsia="楷体" w:cs="Arial"/>
                <w:sz w:val="24"/>
                <w:highlight w:val="none"/>
                <w:lang w:val="en-US" w:eastAsia="zh-CN"/>
              </w:rPr>
            </w:pPr>
            <w:r>
              <w:rPr>
                <w:rFonts w:hint="eastAsia" w:ascii="楷体" w:hAnsi="楷体" w:eastAsia="楷体" w:cs="Arial"/>
                <w:sz w:val="24"/>
                <w:highlight w:val="none"/>
                <w:lang w:val="en-US" w:eastAsia="zh-CN"/>
              </w:rPr>
              <w:t>130</w:t>
            </w:r>
          </w:p>
        </w:tc>
        <w:tc>
          <w:tcPr>
            <w:tcW w:w="946" w:type="dxa"/>
            <w:vAlign w:val="center"/>
          </w:tcPr>
          <w:p w14:paraId="5DC76404">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lang w:val="en-US" w:eastAsia="zh-CN"/>
              </w:rPr>
              <w:t>否</w:t>
            </w:r>
          </w:p>
        </w:tc>
        <w:tc>
          <w:tcPr>
            <w:tcW w:w="1581" w:type="dxa"/>
            <w:vAlign w:val="center"/>
          </w:tcPr>
          <w:p w14:paraId="761A2992">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r>
              <w:rPr>
                <w:rFonts w:hint="eastAsia" w:ascii="楷体" w:hAnsi="楷体" w:eastAsia="楷体" w:cs="Arial"/>
                <w:sz w:val="24"/>
                <w:highlight w:val="none"/>
                <w:lang w:val="en-US" w:eastAsia="zh-CN"/>
              </w:rPr>
              <w:t>否</w:t>
            </w:r>
          </w:p>
        </w:tc>
        <w:tc>
          <w:tcPr>
            <w:tcW w:w="876" w:type="dxa"/>
            <w:tcBorders>
              <w:left w:val="single" w:color="auto" w:sz="4" w:space="0"/>
            </w:tcBorders>
            <w:vAlign w:val="center"/>
          </w:tcPr>
          <w:p w14:paraId="4BE10091">
            <w:pPr>
              <w:pageBreakBefore w:val="0"/>
              <w:widowControl w:val="0"/>
              <w:kinsoku/>
              <w:wordWrap/>
              <w:overflowPunct/>
              <w:topLinePunct w:val="0"/>
              <w:autoSpaceDE/>
              <w:autoSpaceDN/>
              <w:bidi w:val="0"/>
              <w:adjustRightInd/>
              <w:snapToGrid/>
              <w:spacing w:line="400" w:lineRule="exact"/>
              <w:jc w:val="center"/>
              <w:textAlignment w:val="auto"/>
              <w:rPr>
                <w:rFonts w:hint="eastAsia" w:ascii="楷体" w:hAnsi="楷体" w:eastAsia="楷体" w:cs="Arial"/>
                <w:sz w:val="24"/>
                <w:highlight w:val="none"/>
              </w:rPr>
            </w:pPr>
          </w:p>
        </w:tc>
      </w:tr>
    </w:tbl>
    <w:p w14:paraId="4ED9817A">
      <w:pPr>
        <w:rPr>
          <w:rFonts w:hint="default"/>
          <w:highlight w:val="none"/>
          <w:lang w:val="en-US" w:eastAsia="zh-CN"/>
        </w:rPr>
      </w:pPr>
    </w:p>
    <w:p w14:paraId="32CCCB56">
      <w:pPr>
        <w:pStyle w:val="5"/>
        <w:spacing w:line="240" w:lineRule="auto"/>
        <w:ind w:firstLine="482" w:firstLineChars="200"/>
        <w:jc w:val="left"/>
        <w:rPr>
          <w:rFonts w:hint="eastAsia" w:ascii="楷体" w:hAnsi="楷体" w:eastAsia="楷体" w:cs="Arial"/>
          <w:b/>
          <w:bCs/>
          <w:sz w:val="24"/>
          <w:szCs w:val="24"/>
          <w:highlight w:val="none"/>
          <w:lang w:val="en-US" w:eastAsia="zh-CN" w:bidi="ar-SA"/>
        </w:rPr>
      </w:pPr>
      <w:r>
        <w:rPr>
          <w:rFonts w:hint="eastAsia" w:ascii="楷体" w:hAnsi="楷体" w:eastAsia="楷体" w:cs="Arial"/>
          <w:b/>
          <w:bCs/>
          <w:sz w:val="24"/>
          <w:szCs w:val="24"/>
          <w:highlight w:val="none"/>
          <w:lang w:val="en-US" w:eastAsia="zh-CN" w:bidi="ar-SA"/>
        </w:rPr>
        <w:t>采购包3</w:t>
      </w:r>
    </w:p>
    <w:tbl>
      <w:tblPr>
        <w:tblStyle w:val="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2140"/>
        <w:gridCol w:w="969"/>
        <w:gridCol w:w="819"/>
        <w:gridCol w:w="1512"/>
        <w:gridCol w:w="957"/>
        <w:gridCol w:w="1604"/>
        <w:gridCol w:w="854"/>
      </w:tblGrid>
      <w:tr w14:paraId="59E5B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vAlign w:val="center"/>
          </w:tcPr>
          <w:p w14:paraId="3701B5A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2140" w:type="dxa"/>
            <w:vAlign w:val="center"/>
          </w:tcPr>
          <w:p w14:paraId="34D51EA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货物类标的名称</w:t>
            </w:r>
          </w:p>
        </w:tc>
        <w:tc>
          <w:tcPr>
            <w:tcW w:w="969" w:type="dxa"/>
            <w:vAlign w:val="center"/>
          </w:tcPr>
          <w:p w14:paraId="203C837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计量单位</w:t>
            </w:r>
          </w:p>
        </w:tc>
        <w:tc>
          <w:tcPr>
            <w:tcW w:w="819" w:type="dxa"/>
            <w:vAlign w:val="center"/>
          </w:tcPr>
          <w:p w14:paraId="5EEAE45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数量</w:t>
            </w:r>
          </w:p>
        </w:tc>
        <w:tc>
          <w:tcPr>
            <w:tcW w:w="1512" w:type="dxa"/>
            <w:vAlign w:val="center"/>
          </w:tcPr>
          <w:p w14:paraId="1203F44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Arial"/>
                <w:sz w:val="24"/>
                <w:highlight w:val="none"/>
              </w:rPr>
              <w:t>单项</w:t>
            </w:r>
            <w:r>
              <w:rPr>
                <w:rFonts w:hint="eastAsia" w:ascii="楷体" w:hAnsi="楷体" w:eastAsia="楷体" w:cs="楷体"/>
                <w:sz w:val="24"/>
                <w:szCs w:val="24"/>
                <w:highlight w:val="none"/>
              </w:rPr>
              <w:t>最高</w:t>
            </w:r>
            <w:r>
              <w:rPr>
                <w:rFonts w:hint="eastAsia" w:ascii="楷体" w:hAnsi="楷体" w:eastAsia="楷体" w:cs="楷体"/>
                <w:sz w:val="24"/>
                <w:szCs w:val="24"/>
                <w:highlight w:val="none"/>
                <w:lang w:eastAsia="zh-CN"/>
              </w:rPr>
              <w:t>限</w:t>
            </w:r>
            <w:r>
              <w:rPr>
                <w:rFonts w:hint="eastAsia" w:ascii="楷体" w:hAnsi="楷体" w:eastAsia="楷体" w:cs="楷体"/>
                <w:sz w:val="24"/>
                <w:szCs w:val="24"/>
                <w:highlight w:val="none"/>
              </w:rPr>
              <w:t>价（</w:t>
            </w:r>
            <w:r>
              <w:rPr>
                <w:rFonts w:hint="eastAsia" w:ascii="楷体" w:hAnsi="楷体" w:eastAsia="楷体" w:cs="楷体"/>
                <w:sz w:val="24"/>
                <w:szCs w:val="24"/>
                <w:highlight w:val="none"/>
                <w:lang w:val="en-US" w:eastAsia="zh-CN"/>
              </w:rPr>
              <w:t>万</w:t>
            </w:r>
            <w:r>
              <w:rPr>
                <w:rFonts w:hint="eastAsia" w:ascii="楷体" w:hAnsi="楷体" w:eastAsia="楷体" w:cs="楷体"/>
                <w:sz w:val="24"/>
                <w:szCs w:val="24"/>
                <w:highlight w:val="none"/>
              </w:rPr>
              <w:t>元）</w:t>
            </w:r>
          </w:p>
        </w:tc>
        <w:tc>
          <w:tcPr>
            <w:tcW w:w="957" w:type="dxa"/>
            <w:vAlign w:val="center"/>
          </w:tcPr>
          <w:p w14:paraId="04BFF6D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是否进口</w:t>
            </w:r>
          </w:p>
        </w:tc>
        <w:tc>
          <w:tcPr>
            <w:tcW w:w="1604" w:type="dxa"/>
            <w:vAlign w:val="center"/>
          </w:tcPr>
          <w:p w14:paraId="56263F7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是否强制或优先采购节能环保产品</w:t>
            </w:r>
          </w:p>
        </w:tc>
        <w:tc>
          <w:tcPr>
            <w:tcW w:w="854" w:type="dxa"/>
            <w:tcBorders>
              <w:left w:val="single" w:color="auto" w:sz="4" w:space="0"/>
            </w:tcBorders>
            <w:vAlign w:val="center"/>
          </w:tcPr>
          <w:p w14:paraId="7D803E0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备注</w:t>
            </w:r>
          </w:p>
        </w:tc>
      </w:tr>
      <w:tr w14:paraId="04F1A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75288E8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2140" w:type="dxa"/>
            <w:vAlign w:val="center"/>
          </w:tcPr>
          <w:p w14:paraId="7A81271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冷原子吸收测汞仪（核心产品）</w:t>
            </w:r>
          </w:p>
        </w:tc>
        <w:tc>
          <w:tcPr>
            <w:tcW w:w="969" w:type="dxa"/>
            <w:vAlign w:val="center"/>
          </w:tcPr>
          <w:p w14:paraId="5115DCA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套</w:t>
            </w:r>
          </w:p>
        </w:tc>
        <w:tc>
          <w:tcPr>
            <w:tcW w:w="819" w:type="dxa"/>
            <w:vAlign w:val="center"/>
          </w:tcPr>
          <w:p w14:paraId="1004C3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0BAD02FD">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32</w:t>
            </w:r>
          </w:p>
        </w:tc>
        <w:tc>
          <w:tcPr>
            <w:tcW w:w="957" w:type="dxa"/>
            <w:vAlign w:val="center"/>
          </w:tcPr>
          <w:p w14:paraId="62444E8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0AB9973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6F77FDC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6BAFF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7863FC5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2140" w:type="dxa"/>
            <w:vAlign w:val="center"/>
          </w:tcPr>
          <w:p w14:paraId="2D62557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红外测油仪（核心产品）</w:t>
            </w:r>
          </w:p>
        </w:tc>
        <w:tc>
          <w:tcPr>
            <w:tcW w:w="969" w:type="dxa"/>
            <w:vAlign w:val="center"/>
          </w:tcPr>
          <w:p w14:paraId="44548AB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套</w:t>
            </w:r>
          </w:p>
        </w:tc>
        <w:tc>
          <w:tcPr>
            <w:tcW w:w="819" w:type="dxa"/>
            <w:vAlign w:val="center"/>
          </w:tcPr>
          <w:p w14:paraId="0602858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7A085DB0">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30</w:t>
            </w:r>
          </w:p>
        </w:tc>
        <w:tc>
          <w:tcPr>
            <w:tcW w:w="957" w:type="dxa"/>
            <w:vAlign w:val="center"/>
          </w:tcPr>
          <w:p w14:paraId="6C50D7B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1604" w:type="dxa"/>
            <w:vAlign w:val="center"/>
          </w:tcPr>
          <w:p w14:paraId="2C2ECCA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4DBC554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15CEF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166A55D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2140" w:type="dxa"/>
            <w:vAlign w:val="center"/>
          </w:tcPr>
          <w:p w14:paraId="036FF1A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紫外分光测油仪（核心产品）</w:t>
            </w:r>
          </w:p>
        </w:tc>
        <w:tc>
          <w:tcPr>
            <w:tcW w:w="969" w:type="dxa"/>
            <w:vAlign w:val="center"/>
          </w:tcPr>
          <w:p w14:paraId="04B0E21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套</w:t>
            </w:r>
          </w:p>
        </w:tc>
        <w:tc>
          <w:tcPr>
            <w:tcW w:w="819" w:type="dxa"/>
            <w:vAlign w:val="center"/>
          </w:tcPr>
          <w:p w14:paraId="3CB03C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73CB03A7">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30</w:t>
            </w:r>
          </w:p>
        </w:tc>
        <w:tc>
          <w:tcPr>
            <w:tcW w:w="957" w:type="dxa"/>
            <w:vAlign w:val="center"/>
          </w:tcPr>
          <w:p w14:paraId="654762B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7A4D0D3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1436837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15520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6CC66B8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2140" w:type="dxa"/>
            <w:vAlign w:val="center"/>
          </w:tcPr>
          <w:p w14:paraId="67783BB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微波消解仪</w:t>
            </w:r>
          </w:p>
        </w:tc>
        <w:tc>
          <w:tcPr>
            <w:tcW w:w="969" w:type="dxa"/>
            <w:vAlign w:val="center"/>
          </w:tcPr>
          <w:p w14:paraId="33471B8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套</w:t>
            </w:r>
          </w:p>
        </w:tc>
        <w:tc>
          <w:tcPr>
            <w:tcW w:w="819" w:type="dxa"/>
            <w:vAlign w:val="center"/>
          </w:tcPr>
          <w:p w14:paraId="1041606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4AEB4F57">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30</w:t>
            </w:r>
          </w:p>
        </w:tc>
        <w:tc>
          <w:tcPr>
            <w:tcW w:w="957" w:type="dxa"/>
            <w:vAlign w:val="center"/>
          </w:tcPr>
          <w:p w14:paraId="50E0BC6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0D806EF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3A51A3A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5C449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0" w:type="auto"/>
            <w:vAlign w:val="center"/>
          </w:tcPr>
          <w:p w14:paraId="72D2D6D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2140" w:type="dxa"/>
            <w:vAlign w:val="center"/>
          </w:tcPr>
          <w:p w14:paraId="3CED64C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恒温恒湿称重系统</w:t>
            </w:r>
          </w:p>
        </w:tc>
        <w:tc>
          <w:tcPr>
            <w:tcW w:w="969" w:type="dxa"/>
            <w:vAlign w:val="center"/>
          </w:tcPr>
          <w:p w14:paraId="6B6F4EF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套</w:t>
            </w:r>
          </w:p>
        </w:tc>
        <w:tc>
          <w:tcPr>
            <w:tcW w:w="819" w:type="dxa"/>
            <w:vAlign w:val="center"/>
          </w:tcPr>
          <w:p w14:paraId="09C5FB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6970A35C">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33</w:t>
            </w:r>
          </w:p>
        </w:tc>
        <w:tc>
          <w:tcPr>
            <w:tcW w:w="957" w:type="dxa"/>
            <w:vAlign w:val="center"/>
          </w:tcPr>
          <w:p w14:paraId="36C3B94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590C938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3CE44FC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394F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5F96464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6</w:t>
            </w:r>
          </w:p>
        </w:tc>
        <w:tc>
          <w:tcPr>
            <w:tcW w:w="2140" w:type="dxa"/>
            <w:vAlign w:val="center"/>
          </w:tcPr>
          <w:p w14:paraId="6226B74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十万分之一电子天平</w:t>
            </w:r>
          </w:p>
        </w:tc>
        <w:tc>
          <w:tcPr>
            <w:tcW w:w="969" w:type="dxa"/>
            <w:vAlign w:val="center"/>
          </w:tcPr>
          <w:p w14:paraId="398CC55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0558FAF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760361A4">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9</w:t>
            </w:r>
          </w:p>
        </w:tc>
        <w:tc>
          <w:tcPr>
            <w:tcW w:w="957" w:type="dxa"/>
            <w:vAlign w:val="center"/>
          </w:tcPr>
          <w:p w14:paraId="1CD02CE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1F7A986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2D321F2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527B9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73A4EB0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7</w:t>
            </w:r>
          </w:p>
        </w:tc>
        <w:tc>
          <w:tcPr>
            <w:tcW w:w="2140" w:type="dxa"/>
            <w:vAlign w:val="center"/>
          </w:tcPr>
          <w:p w14:paraId="21B4694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COD消解回流仪</w:t>
            </w:r>
          </w:p>
        </w:tc>
        <w:tc>
          <w:tcPr>
            <w:tcW w:w="969" w:type="dxa"/>
            <w:vAlign w:val="center"/>
          </w:tcPr>
          <w:p w14:paraId="1FBAFF7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70F9A3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3</w:t>
            </w:r>
          </w:p>
        </w:tc>
        <w:tc>
          <w:tcPr>
            <w:tcW w:w="1512" w:type="dxa"/>
            <w:vAlign w:val="center"/>
          </w:tcPr>
          <w:p w14:paraId="2328A816">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9</w:t>
            </w:r>
          </w:p>
        </w:tc>
        <w:tc>
          <w:tcPr>
            <w:tcW w:w="957" w:type="dxa"/>
            <w:vAlign w:val="center"/>
          </w:tcPr>
          <w:p w14:paraId="2A0CE62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577F0F6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3D46370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32CCB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1205D0E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8</w:t>
            </w:r>
          </w:p>
        </w:tc>
        <w:tc>
          <w:tcPr>
            <w:tcW w:w="2140" w:type="dxa"/>
            <w:vAlign w:val="center"/>
          </w:tcPr>
          <w:p w14:paraId="6BEEA4C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超纯水仪</w:t>
            </w:r>
          </w:p>
        </w:tc>
        <w:tc>
          <w:tcPr>
            <w:tcW w:w="969" w:type="dxa"/>
            <w:vAlign w:val="center"/>
          </w:tcPr>
          <w:p w14:paraId="5F701FA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6C233C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51E61CD2">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957" w:type="dxa"/>
            <w:vAlign w:val="center"/>
          </w:tcPr>
          <w:p w14:paraId="04B9D9E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5476C3B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0E66B47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08885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0D61795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9</w:t>
            </w:r>
          </w:p>
        </w:tc>
        <w:tc>
          <w:tcPr>
            <w:tcW w:w="2140" w:type="dxa"/>
            <w:vAlign w:val="center"/>
          </w:tcPr>
          <w:p w14:paraId="28090E7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生化培养箱</w:t>
            </w:r>
          </w:p>
        </w:tc>
        <w:tc>
          <w:tcPr>
            <w:tcW w:w="969" w:type="dxa"/>
            <w:vAlign w:val="center"/>
          </w:tcPr>
          <w:p w14:paraId="55337B3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6D15D49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6E06D580">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957" w:type="dxa"/>
            <w:vAlign w:val="center"/>
          </w:tcPr>
          <w:p w14:paraId="18D804A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3EAB325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3CC4210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2A04B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2CA4DC6E">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10</w:t>
            </w:r>
          </w:p>
        </w:tc>
        <w:tc>
          <w:tcPr>
            <w:tcW w:w="2140" w:type="dxa"/>
            <w:vAlign w:val="center"/>
          </w:tcPr>
          <w:p w14:paraId="27F086C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离子计</w:t>
            </w:r>
          </w:p>
        </w:tc>
        <w:tc>
          <w:tcPr>
            <w:tcW w:w="969" w:type="dxa"/>
            <w:vAlign w:val="center"/>
          </w:tcPr>
          <w:p w14:paraId="0380BBF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2F877B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1</w:t>
            </w:r>
          </w:p>
        </w:tc>
        <w:tc>
          <w:tcPr>
            <w:tcW w:w="1512" w:type="dxa"/>
            <w:vAlign w:val="center"/>
          </w:tcPr>
          <w:p w14:paraId="6129FDFC">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0.9</w:t>
            </w:r>
          </w:p>
        </w:tc>
        <w:tc>
          <w:tcPr>
            <w:tcW w:w="957" w:type="dxa"/>
            <w:vAlign w:val="center"/>
          </w:tcPr>
          <w:p w14:paraId="363E98C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4341C77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253D138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6ABC3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4994FAB0">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11</w:t>
            </w:r>
          </w:p>
        </w:tc>
        <w:tc>
          <w:tcPr>
            <w:tcW w:w="2140" w:type="dxa"/>
            <w:vAlign w:val="center"/>
          </w:tcPr>
          <w:p w14:paraId="20166B4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可见分光光度计</w:t>
            </w:r>
          </w:p>
        </w:tc>
        <w:tc>
          <w:tcPr>
            <w:tcW w:w="969" w:type="dxa"/>
            <w:vAlign w:val="center"/>
          </w:tcPr>
          <w:p w14:paraId="018FA61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台</w:t>
            </w:r>
          </w:p>
        </w:tc>
        <w:tc>
          <w:tcPr>
            <w:tcW w:w="819" w:type="dxa"/>
            <w:vAlign w:val="center"/>
          </w:tcPr>
          <w:p w14:paraId="7C1BD57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2</w:t>
            </w:r>
          </w:p>
        </w:tc>
        <w:tc>
          <w:tcPr>
            <w:tcW w:w="1512" w:type="dxa"/>
            <w:vAlign w:val="center"/>
          </w:tcPr>
          <w:p w14:paraId="2AF67428">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957" w:type="dxa"/>
            <w:vAlign w:val="center"/>
          </w:tcPr>
          <w:p w14:paraId="77555BF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6D90440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2D0A1DB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1045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vAlign w:val="center"/>
          </w:tcPr>
          <w:p w14:paraId="31930AE0">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12</w:t>
            </w:r>
          </w:p>
        </w:tc>
        <w:tc>
          <w:tcPr>
            <w:tcW w:w="2140" w:type="dxa"/>
            <w:vAlign w:val="center"/>
          </w:tcPr>
          <w:p w14:paraId="0370A96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手动连续分液枪</w:t>
            </w:r>
          </w:p>
        </w:tc>
        <w:tc>
          <w:tcPr>
            <w:tcW w:w="969" w:type="dxa"/>
            <w:vAlign w:val="center"/>
          </w:tcPr>
          <w:p w14:paraId="52EF17D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套</w:t>
            </w:r>
          </w:p>
        </w:tc>
        <w:tc>
          <w:tcPr>
            <w:tcW w:w="819" w:type="dxa"/>
            <w:vAlign w:val="center"/>
          </w:tcPr>
          <w:p w14:paraId="64D47E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2</w:t>
            </w:r>
          </w:p>
        </w:tc>
        <w:tc>
          <w:tcPr>
            <w:tcW w:w="1512" w:type="dxa"/>
            <w:vAlign w:val="center"/>
          </w:tcPr>
          <w:p w14:paraId="3CACB96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1.2</w:t>
            </w:r>
          </w:p>
        </w:tc>
        <w:tc>
          <w:tcPr>
            <w:tcW w:w="957" w:type="dxa"/>
            <w:vAlign w:val="center"/>
          </w:tcPr>
          <w:p w14:paraId="3425ED0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7EF1AB7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374C19B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r w14:paraId="6E79A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0" w:type="auto"/>
            <w:vAlign w:val="center"/>
          </w:tcPr>
          <w:p w14:paraId="2875C3E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13</w:t>
            </w:r>
          </w:p>
        </w:tc>
        <w:tc>
          <w:tcPr>
            <w:tcW w:w="2140" w:type="dxa"/>
            <w:vAlign w:val="center"/>
          </w:tcPr>
          <w:p w14:paraId="6E94245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手动移液枪</w:t>
            </w:r>
          </w:p>
        </w:tc>
        <w:tc>
          <w:tcPr>
            <w:tcW w:w="969" w:type="dxa"/>
            <w:vAlign w:val="center"/>
          </w:tcPr>
          <w:p w14:paraId="42B16F1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套</w:t>
            </w:r>
          </w:p>
        </w:tc>
        <w:tc>
          <w:tcPr>
            <w:tcW w:w="819" w:type="dxa"/>
            <w:vAlign w:val="center"/>
          </w:tcPr>
          <w:p w14:paraId="646E725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r>
              <w:rPr>
                <w:rFonts w:hint="eastAsia" w:ascii="楷体" w:hAnsi="楷体" w:eastAsia="楷体" w:cs="楷体"/>
                <w:color w:val="000000"/>
                <w:sz w:val="24"/>
                <w:szCs w:val="24"/>
                <w:highlight w:val="none"/>
                <w:lang w:bidi="ar"/>
              </w:rPr>
              <w:t>2</w:t>
            </w:r>
          </w:p>
        </w:tc>
        <w:tc>
          <w:tcPr>
            <w:tcW w:w="1512" w:type="dxa"/>
            <w:vAlign w:val="center"/>
          </w:tcPr>
          <w:p w14:paraId="18F0419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957" w:type="dxa"/>
            <w:vAlign w:val="center"/>
          </w:tcPr>
          <w:p w14:paraId="14B5ECB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604" w:type="dxa"/>
            <w:vAlign w:val="center"/>
          </w:tcPr>
          <w:p w14:paraId="114215A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54" w:type="dxa"/>
            <w:tcBorders>
              <w:left w:val="single" w:color="auto" w:sz="4" w:space="0"/>
            </w:tcBorders>
            <w:vAlign w:val="center"/>
          </w:tcPr>
          <w:p w14:paraId="03BE1B2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楷体" w:hAnsi="楷体" w:eastAsia="楷体" w:cs="楷体"/>
                <w:sz w:val="24"/>
                <w:szCs w:val="24"/>
                <w:highlight w:val="none"/>
              </w:rPr>
            </w:pPr>
          </w:p>
        </w:tc>
      </w:tr>
    </w:tbl>
    <w:p w14:paraId="65479EF1">
      <w:pPr>
        <w:rPr>
          <w:rFonts w:hint="eastAsia"/>
          <w:highlight w:val="none"/>
          <w:lang w:val="en-US" w:eastAsia="zh-CN"/>
        </w:rPr>
      </w:pPr>
    </w:p>
    <w:p w14:paraId="682A3F53">
      <w:pPr>
        <w:pStyle w:val="5"/>
        <w:spacing w:line="240" w:lineRule="auto"/>
        <w:ind w:firstLine="482" w:firstLineChars="200"/>
        <w:jc w:val="left"/>
        <w:rPr>
          <w:rFonts w:hint="eastAsia" w:ascii="楷体" w:hAnsi="楷体" w:eastAsia="楷体" w:cs="Arial"/>
          <w:b/>
          <w:bCs/>
          <w:sz w:val="24"/>
          <w:szCs w:val="24"/>
          <w:highlight w:val="none"/>
          <w:lang w:val="en-US" w:eastAsia="zh-CN" w:bidi="ar-SA"/>
        </w:rPr>
      </w:pPr>
      <w:r>
        <w:rPr>
          <w:rFonts w:hint="eastAsia" w:ascii="楷体" w:hAnsi="楷体" w:eastAsia="楷体" w:cs="Arial"/>
          <w:b/>
          <w:bCs/>
          <w:sz w:val="24"/>
          <w:szCs w:val="24"/>
          <w:highlight w:val="none"/>
          <w:lang w:val="en-US" w:eastAsia="zh-CN" w:bidi="ar-SA"/>
        </w:rPr>
        <w:t>采购包4</w:t>
      </w:r>
    </w:p>
    <w:tbl>
      <w:tblPr>
        <w:tblStyle w:val="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2151"/>
        <w:gridCol w:w="946"/>
        <w:gridCol w:w="820"/>
        <w:gridCol w:w="1534"/>
        <w:gridCol w:w="958"/>
        <w:gridCol w:w="1592"/>
        <w:gridCol w:w="866"/>
      </w:tblGrid>
      <w:tr w14:paraId="24048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5" w:hRule="atLeast"/>
        </w:trPr>
        <w:tc>
          <w:tcPr>
            <w:tcW w:w="696" w:type="dxa"/>
            <w:vAlign w:val="center"/>
          </w:tcPr>
          <w:p w14:paraId="2F02B8CD">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2151" w:type="dxa"/>
            <w:vAlign w:val="center"/>
          </w:tcPr>
          <w:p w14:paraId="35324E9D">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货物类标的名称</w:t>
            </w:r>
          </w:p>
        </w:tc>
        <w:tc>
          <w:tcPr>
            <w:tcW w:w="946" w:type="dxa"/>
            <w:vAlign w:val="center"/>
          </w:tcPr>
          <w:p w14:paraId="2A7F9C3D">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计量单位</w:t>
            </w:r>
          </w:p>
        </w:tc>
        <w:tc>
          <w:tcPr>
            <w:tcW w:w="820" w:type="dxa"/>
            <w:vAlign w:val="center"/>
          </w:tcPr>
          <w:p w14:paraId="0C897DCB">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数量</w:t>
            </w:r>
          </w:p>
        </w:tc>
        <w:tc>
          <w:tcPr>
            <w:tcW w:w="1534" w:type="dxa"/>
            <w:vAlign w:val="center"/>
          </w:tcPr>
          <w:p w14:paraId="67FE6064">
            <w:pPr>
              <w:spacing w:line="360" w:lineRule="auto"/>
              <w:jc w:val="center"/>
              <w:rPr>
                <w:rFonts w:hint="eastAsia" w:ascii="楷体" w:hAnsi="楷体" w:eastAsia="楷体" w:cs="楷体"/>
                <w:sz w:val="24"/>
                <w:szCs w:val="24"/>
                <w:highlight w:val="none"/>
              </w:rPr>
            </w:pPr>
            <w:r>
              <w:rPr>
                <w:rFonts w:hint="eastAsia" w:ascii="楷体" w:hAnsi="楷体" w:eastAsia="楷体" w:cs="Arial"/>
                <w:sz w:val="24"/>
                <w:highlight w:val="none"/>
              </w:rPr>
              <w:t>单项</w:t>
            </w:r>
            <w:r>
              <w:rPr>
                <w:rFonts w:hint="eastAsia" w:ascii="楷体" w:hAnsi="楷体" w:eastAsia="楷体" w:cs="楷体"/>
                <w:sz w:val="24"/>
                <w:szCs w:val="24"/>
                <w:highlight w:val="none"/>
              </w:rPr>
              <w:t>最高</w:t>
            </w:r>
            <w:r>
              <w:rPr>
                <w:rFonts w:hint="eastAsia" w:ascii="楷体" w:hAnsi="楷体" w:eastAsia="楷体" w:cs="楷体"/>
                <w:sz w:val="24"/>
                <w:szCs w:val="24"/>
                <w:highlight w:val="none"/>
                <w:lang w:eastAsia="zh-CN"/>
              </w:rPr>
              <w:t>限</w:t>
            </w:r>
            <w:r>
              <w:rPr>
                <w:rFonts w:hint="eastAsia" w:ascii="楷体" w:hAnsi="楷体" w:eastAsia="楷体" w:cs="楷体"/>
                <w:sz w:val="24"/>
                <w:szCs w:val="24"/>
                <w:highlight w:val="none"/>
              </w:rPr>
              <w:t>价（</w:t>
            </w:r>
            <w:r>
              <w:rPr>
                <w:rFonts w:hint="eastAsia" w:ascii="楷体" w:hAnsi="楷体" w:eastAsia="楷体" w:cs="楷体"/>
                <w:sz w:val="24"/>
                <w:szCs w:val="24"/>
                <w:highlight w:val="none"/>
                <w:lang w:val="en-US" w:eastAsia="zh-CN"/>
              </w:rPr>
              <w:t>万</w:t>
            </w:r>
            <w:r>
              <w:rPr>
                <w:rFonts w:hint="eastAsia" w:ascii="楷体" w:hAnsi="楷体" w:eastAsia="楷体" w:cs="楷体"/>
                <w:sz w:val="24"/>
                <w:szCs w:val="24"/>
                <w:highlight w:val="none"/>
              </w:rPr>
              <w:t>元）</w:t>
            </w:r>
          </w:p>
        </w:tc>
        <w:tc>
          <w:tcPr>
            <w:tcW w:w="958" w:type="dxa"/>
            <w:vAlign w:val="center"/>
          </w:tcPr>
          <w:p w14:paraId="0D85ABD6">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是否进口</w:t>
            </w:r>
          </w:p>
        </w:tc>
        <w:tc>
          <w:tcPr>
            <w:tcW w:w="1592" w:type="dxa"/>
            <w:vAlign w:val="center"/>
          </w:tcPr>
          <w:p w14:paraId="1A692398">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是否强制或优先采购节能环保产品</w:t>
            </w:r>
          </w:p>
        </w:tc>
        <w:tc>
          <w:tcPr>
            <w:tcW w:w="866" w:type="dxa"/>
            <w:tcBorders>
              <w:left w:val="single" w:color="auto" w:sz="4" w:space="0"/>
            </w:tcBorders>
            <w:vAlign w:val="center"/>
          </w:tcPr>
          <w:p w14:paraId="630BBA8B">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备注</w:t>
            </w:r>
          </w:p>
        </w:tc>
      </w:tr>
      <w:tr w14:paraId="0548C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6B7398A9">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2151" w:type="dxa"/>
            <w:vAlign w:val="center"/>
          </w:tcPr>
          <w:p w14:paraId="51C0DB47">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户外供电电源 </w:t>
            </w:r>
          </w:p>
        </w:tc>
        <w:tc>
          <w:tcPr>
            <w:tcW w:w="946" w:type="dxa"/>
            <w:vAlign w:val="center"/>
          </w:tcPr>
          <w:p w14:paraId="5994BF70">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24B464D2">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4</w:t>
            </w:r>
          </w:p>
        </w:tc>
        <w:tc>
          <w:tcPr>
            <w:tcW w:w="1534" w:type="dxa"/>
            <w:vAlign w:val="center"/>
          </w:tcPr>
          <w:p w14:paraId="6A97D49D">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3.2</w:t>
            </w:r>
          </w:p>
        </w:tc>
        <w:tc>
          <w:tcPr>
            <w:tcW w:w="958" w:type="dxa"/>
            <w:vAlign w:val="center"/>
          </w:tcPr>
          <w:p w14:paraId="4EAF0200">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74E76F95">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58FACA2F">
            <w:pPr>
              <w:spacing w:line="360" w:lineRule="auto"/>
              <w:jc w:val="center"/>
              <w:rPr>
                <w:rFonts w:hint="eastAsia" w:ascii="楷体" w:hAnsi="楷体" w:eastAsia="楷体" w:cs="楷体"/>
                <w:sz w:val="24"/>
                <w:szCs w:val="24"/>
                <w:highlight w:val="none"/>
              </w:rPr>
            </w:pPr>
          </w:p>
        </w:tc>
      </w:tr>
      <w:tr w14:paraId="3A276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551E9758">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2151" w:type="dxa"/>
            <w:vAlign w:val="center"/>
          </w:tcPr>
          <w:p w14:paraId="61F4165D">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风速仪 </w:t>
            </w:r>
          </w:p>
        </w:tc>
        <w:tc>
          <w:tcPr>
            <w:tcW w:w="946" w:type="dxa"/>
            <w:vAlign w:val="center"/>
          </w:tcPr>
          <w:p w14:paraId="1B76F889">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685249F0">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5442B427">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0.5</w:t>
            </w:r>
          </w:p>
        </w:tc>
        <w:tc>
          <w:tcPr>
            <w:tcW w:w="958" w:type="dxa"/>
            <w:vAlign w:val="center"/>
          </w:tcPr>
          <w:p w14:paraId="7FB02F80">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1592" w:type="dxa"/>
            <w:vAlign w:val="center"/>
          </w:tcPr>
          <w:p w14:paraId="750E4A6A">
            <w:pPr>
              <w:spacing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5E13FF62">
            <w:pPr>
              <w:spacing w:line="360" w:lineRule="auto"/>
              <w:jc w:val="center"/>
              <w:rPr>
                <w:rFonts w:hint="eastAsia" w:ascii="楷体" w:hAnsi="楷体" w:eastAsia="楷体" w:cs="楷体"/>
                <w:sz w:val="24"/>
                <w:szCs w:val="24"/>
                <w:highlight w:val="none"/>
              </w:rPr>
            </w:pPr>
          </w:p>
        </w:tc>
      </w:tr>
      <w:tr w14:paraId="0C222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420A99A4">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2151" w:type="dxa"/>
            <w:vAlign w:val="center"/>
          </w:tcPr>
          <w:p w14:paraId="5B43244C">
            <w:pPr>
              <w:spacing w:line="420" w:lineRule="exact"/>
              <w:jc w:val="left"/>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便携式水质多参数测定仪</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含溶解氧、PH、电导率</w:t>
            </w:r>
            <w:r>
              <w:rPr>
                <w:rFonts w:hint="eastAsia" w:ascii="楷体" w:hAnsi="楷体" w:eastAsia="楷体" w:cs="楷体"/>
                <w:sz w:val="24"/>
                <w:szCs w:val="24"/>
                <w:highlight w:val="none"/>
                <w:lang w:eastAsia="zh-CN"/>
              </w:rPr>
              <w:t>）</w:t>
            </w:r>
          </w:p>
        </w:tc>
        <w:tc>
          <w:tcPr>
            <w:tcW w:w="946" w:type="dxa"/>
            <w:vAlign w:val="center"/>
          </w:tcPr>
          <w:p w14:paraId="6E351096">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4B284FC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4E7A02E5">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1.5</w:t>
            </w:r>
          </w:p>
        </w:tc>
        <w:tc>
          <w:tcPr>
            <w:tcW w:w="958" w:type="dxa"/>
            <w:vAlign w:val="center"/>
          </w:tcPr>
          <w:p w14:paraId="3F1F085F">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12316740">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31F06D21">
            <w:pPr>
              <w:spacing w:line="360" w:lineRule="auto"/>
              <w:jc w:val="center"/>
              <w:rPr>
                <w:rFonts w:hint="eastAsia" w:ascii="楷体" w:hAnsi="楷体" w:eastAsia="楷体" w:cs="楷体"/>
                <w:sz w:val="24"/>
                <w:szCs w:val="24"/>
                <w:highlight w:val="none"/>
              </w:rPr>
            </w:pPr>
          </w:p>
        </w:tc>
      </w:tr>
      <w:tr w14:paraId="57B96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22D38305">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4</w:t>
            </w:r>
          </w:p>
        </w:tc>
        <w:tc>
          <w:tcPr>
            <w:tcW w:w="2151" w:type="dxa"/>
            <w:vAlign w:val="center"/>
          </w:tcPr>
          <w:p w14:paraId="32F13FE7">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苏玛罐（6L）  </w:t>
            </w:r>
          </w:p>
        </w:tc>
        <w:tc>
          <w:tcPr>
            <w:tcW w:w="946" w:type="dxa"/>
            <w:vAlign w:val="center"/>
          </w:tcPr>
          <w:p w14:paraId="2A9BED1C">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3ED120F2">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1534" w:type="dxa"/>
            <w:vAlign w:val="center"/>
          </w:tcPr>
          <w:p w14:paraId="7A2C4CDA">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958" w:type="dxa"/>
            <w:vAlign w:val="center"/>
          </w:tcPr>
          <w:p w14:paraId="0D36056E">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1778923C">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24A9D96B">
            <w:pPr>
              <w:spacing w:line="360" w:lineRule="auto"/>
              <w:jc w:val="center"/>
              <w:rPr>
                <w:rFonts w:hint="eastAsia" w:ascii="楷体" w:hAnsi="楷体" w:eastAsia="楷体" w:cs="楷体"/>
                <w:sz w:val="24"/>
                <w:szCs w:val="24"/>
                <w:highlight w:val="none"/>
              </w:rPr>
            </w:pPr>
          </w:p>
        </w:tc>
      </w:tr>
      <w:tr w14:paraId="7175E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0350E8A8">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5</w:t>
            </w:r>
          </w:p>
        </w:tc>
        <w:tc>
          <w:tcPr>
            <w:tcW w:w="2151" w:type="dxa"/>
            <w:vAlign w:val="center"/>
          </w:tcPr>
          <w:p w14:paraId="542827F5">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土壤采样器 </w:t>
            </w:r>
          </w:p>
        </w:tc>
        <w:tc>
          <w:tcPr>
            <w:tcW w:w="946" w:type="dxa"/>
            <w:vAlign w:val="center"/>
          </w:tcPr>
          <w:p w14:paraId="5862FFAD">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2EB8248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1534" w:type="dxa"/>
            <w:vAlign w:val="center"/>
          </w:tcPr>
          <w:p w14:paraId="16A0D009">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1.3</w:t>
            </w:r>
          </w:p>
        </w:tc>
        <w:tc>
          <w:tcPr>
            <w:tcW w:w="958" w:type="dxa"/>
            <w:vAlign w:val="center"/>
          </w:tcPr>
          <w:p w14:paraId="05A55D4A">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3FBBE1FF">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25D223D9">
            <w:pPr>
              <w:spacing w:line="360" w:lineRule="auto"/>
              <w:jc w:val="center"/>
              <w:rPr>
                <w:rFonts w:hint="eastAsia" w:ascii="楷体" w:hAnsi="楷体" w:eastAsia="楷体" w:cs="楷体"/>
                <w:sz w:val="24"/>
                <w:szCs w:val="24"/>
                <w:highlight w:val="none"/>
              </w:rPr>
            </w:pPr>
          </w:p>
        </w:tc>
      </w:tr>
      <w:tr w14:paraId="4475B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59890483">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2151" w:type="dxa"/>
            <w:vAlign w:val="center"/>
          </w:tcPr>
          <w:p w14:paraId="3236A52F">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PM10/PM2.5检测仪 </w:t>
            </w:r>
          </w:p>
        </w:tc>
        <w:tc>
          <w:tcPr>
            <w:tcW w:w="946" w:type="dxa"/>
            <w:vAlign w:val="center"/>
          </w:tcPr>
          <w:p w14:paraId="7948A85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4366DAFC">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2B63B824">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958" w:type="dxa"/>
            <w:vAlign w:val="center"/>
          </w:tcPr>
          <w:p w14:paraId="3997A05C">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7BC93E84">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0E508E79">
            <w:pPr>
              <w:spacing w:line="360" w:lineRule="auto"/>
              <w:jc w:val="center"/>
              <w:rPr>
                <w:rFonts w:hint="eastAsia" w:ascii="楷体" w:hAnsi="楷体" w:eastAsia="楷体" w:cs="楷体"/>
                <w:sz w:val="24"/>
                <w:szCs w:val="24"/>
                <w:highlight w:val="none"/>
              </w:rPr>
            </w:pPr>
          </w:p>
        </w:tc>
      </w:tr>
      <w:tr w14:paraId="6B3EF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167DEE98">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7</w:t>
            </w:r>
          </w:p>
        </w:tc>
        <w:tc>
          <w:tcPr>
            <w:tcW w:w="2151" w:type="dxa"/>
            <w:vAlign w:val="center"/>
          </w:tcPr>
          <w:p w14:paraId="15CD65E6">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便携式生物毒性检测仪</w:t>
            </w:r>
          </w:p>
        </w:tc>
        <w:tc>
          <w:tcPr>
            <w:tcW w:w="946" w:type="dxa"/>
            <w:vAlign w:val="center"/>
          </w:tcPr>
          <w:p w14:paraId="133C9C8F">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682D96C3">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7BE53615">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4</w:t>
            </w:r>
          </w:p>
        </w:tc>
        <w:tc>
          <w:tcPr>
            <w:tcW w:w="958" w:type="dxa"/>
            <w:vAlign w:val="center"/>
          </w:tcPr>
          <w:p w14:paraId="014BC787">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3301FAFC">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3D0E4393">
            <w:pPr>
              <w:spacing w:line="360" w:lineRule="auto"/>
              <w:jc w:val="center"/>
              <w:rPr>
                <w:rFonts w:hint="eastAsia" w:ascii="楷体" w:hAnsi="楷体" w:eastAsia="楷体" w:cs="楷体"/>
                <w:sz w:val="24"/>
                <w:szCs w:val="24"/>
                <w:highlight w:val="none"/>
              </w:rPr>
            </w:pPr>
          </w:p>
        </w:tc>
      </w:tr>
      <w:tr w14:paraId="4D9E9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756943C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8</w:t>
            </w:r>
          </w:p>
        </w:tc>
        <w:tc>
          <w:tcPr>
            <w:tcW w:w="2151" w:type="dxa"/>
            <w:vAlign w:val="center"/>
          </w:tcPr>
          <w:p w14:paraId="7377B3AC">
            <w:pPr>
              <w:spacing w:line="420" w:lineRule="exact"/>
              <w:jc w:val="left"/>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便携式测油仪</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核心产品</w:t>
            </w:r>
            <w:r>
              <w:rPr>
                <w:rFonts w:hint="eastAsia" w:ascii="楷体" w:hAnsi="楷体" w:eastAsia="楷体" w:cs="楷体"/>
                <w:sz w:val="24"/>
                <w:szCs w:val="24"/>
                <w:highlight w:val="none"/>
                <w:lang w:eastAsia="zh-CN"/>
              </w:rPr>
              <w:t>）</w:t>
            </w:r>
          </w:p>
        </w:tc>
        <w:tc>
          <w:tcPr>
            <w:tcW w:w="946" w:type="dxa"/>
            <w:vAlign w:val="center"/>
          </w:tcPr>
          <w:p w14:paraId="536A936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6CC4F48F">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5AAF7C1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25</w:t>
            </w:r>
          </w:p>
        </w:tc>
        <w:tc>
          <w:tcPr>
            <w:tcW w:w="958" w:type="dxa"/>
            <w:vAlign w:val="center"/>
          </w:tcPr>
          <w:p w14:paraId="33F272FA">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011B3DDB">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03D22DC5">
            <w:pPr>
              <w:spacing w:line="360" w:lineRule="auto"/>
              <w:jc w:val="center"/>
              <w:rPr>
                <w:rFonts w:hint="eastAsia" w:ascii="楷体" w:hAnsi="楷体" w:eastAsia="楷体" w:cs="楷体"/>
                <w:sz w:val="24"/>
                <w:szCs w:val="24"/>
                <w:highlight w:val="none"/>
              </w:rPr>
            </w:pPr>
          </w:p>
        </w:tc>
      </w:tr>
      <w:tr w14:paraId="1BE7F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72BD755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9</w:t>
            </w:r>
          </w:p>
        </w:tc>
        <w:tc>
          <w:tcPr>
            <w:tcW w:w="2151" w:type="dxa"/>
            <w:vAlign w:val="center"/>
          </w:tcPr>
          <w:p w14:paraId="6BB00CF6">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气袋采样系统（含采样箱、采样泵等）</w:t>
            </w:r>
          </w:p>
        </w:tc>
        <w:tc>
          <w:tcPr>
            <w:tcW w:w="946" w:type="dxa"/>
            <w:vAlign w:val="center"/>
          </w:tcPr>
          <w:p w14:paraId="217A59D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49805803">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1534" w:type="dxa"/>
            <w:vAlign w:val="center"/>
          </w:tcPr>
          <w:p w14:paraId="6940EE4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9</w:t>
            </w:r>
          </w:p>
        </w:tc>
        <w:tc>
          <w:tcPr>
            <w:tcW w:w="958" w:type="dxa"/>
            <w:vAlign w:val="center"/>
          </w:tcPr>
          <w:p w14:paraId="67E35F93">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18322130">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105BDA79">
            <w:pPr>
              <w:spacing w:line="360" w:lineRule="auto"/>
              <w:jc w:val="center"/>
              <w:rPr>
                <w:rFonts w:hint="eastAsia" w:ascii="楷体" w:hAnsi="楷体" w:eastAsia="楷体" w:cs="楷体"/>
                <w:sz w:val="24"/>
                <w:szCs w:val="24"/>
                <w:highlight w:val="none"/>
              </w:rPr>
            </w:pPr>
          </w:p>
        </w:tc>
      </w:tr>
      <w:tr w14:paraId="5EFA4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0A7D27B5">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10</w:t>
            </w:r>
          </w:p>
        </w:tc>
        <w:tc>
          <w:tcPr>
            <w:tcW w:w="2151" w:type="dxa"/>
            <w:vAlign w:val="center"/>
          </w:tcPr>
          <w:p w14:paraId="4071387E">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废气多功能取样管</w:t>
            </w:r>
          </w:p>
        </w:tc>
        <w:tc>
          <w:tcPr>
            <w:tcW w:w="946" w:type="dxa"/>
            <w:vAlign w:val="center"/>
          </w:tcPr>
          <w:p w14:paraId="6C73D653">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0A36BB40">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27E3C89F">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1.5</w:t>
            </w:r>
          </w:p>
        </w:tc>
        <w:tc>
          <w:tcPr>
            <w:tcW w:w="958" w:type="dxa"/>
            <w:vAlign w:val="center"/>
          </w:tcPr>
          <w:p w14:paraId="1B44969B">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752067D1">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26421D99">
            <w:pPr>
              <w:spacing w:line="360" w:lineRule="auto"/>
              <w:jc w:val="center"/>
              <w:rPr>
                <w:rFonts w:hint="eastAsia" w:ascii="楷体" w:hAnsi="楷体" w:eastAsia="楷体" w:cs="楷体"/>
                <w:sz w:val="24"/>
                <w:szCs w:val="24"/>
                <w:highlight w:val="none"/>
              </w:rPr>
            </w:pPr>
          </w:p>
        </w:tc>
      </w:tr>
      <w:tr w14:paraId="0C8BA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2B973E6B">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11</w:t>
            </w:r>
          </w:p>
        </w:tc>
        <w:tc>
          <w:tcPr>
            <w:tcW w:w="2151" w:type="dxa"/>
            <w:vAlign w:val="center"/>
          </w:tcPr>
          <w:p w14:paraId="549D5902">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加长烟尘采样枪</w:t>
            </w:r>
          </w:p>
        </w:tc>
        <w:tc>
          <w:tcPr>
            <w:tcW w:w="946" w:type="dxa"/>
            <w:vAlign w:val="center"/>
          </w:tcPr>
          <w:p w14:paraId="257CE4F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支</w:t>
            </w:r>
          </w:p>
        </w:tc>
        <w:tc>
          <w:tcPr>
            <w:tcW w:w="820" w:type="dxa"/>
            <w:vAlign w:val="center"/>
          </w:tcPr>
          <w:p w14:paraId="56A75552">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1534" w:type="dxa"/>
            <w:vAlign w:val="center"/>
          </w:tcPr>
          <w:p w14:paraId="704212E6">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958" w:type="dxa"/>
            <w:vAlign w:val="center"/>
          </w:tcPr>
          <w:p w14:paraId="426B385E">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44674769">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4EB220DD">
            <w:pPr>
              <w:spacing w:line="360" w:lineRule="auto"/>
              <w:jc w:val="center"/>
              <w:rPr>
                <w:rFonts w:hint="eastAsia" w:ascii="楷体" w:hAnsi="楷体" w:eastAsia="楷体" w:cs="楷体"/>
                <w:sz w:val="24"/>
                <w:szCs w:val="24"/>
                <w:highlight w:val="none"/>
              </w:rPr>
            </w:pPr>
          </w:p>
        </w:tc>
      </w:tr>
      <w:tr w14:paraId="471E4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70F58DF9">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12</w:t>
            </w:r>
          </w:p>
        </w:tc>
        <w:tc>
          <w:tcPr>
            <w:tcW w:w="2151" w:type="dxa"/>
            <w:vAlign w:val="center"/>
          </w:tcPr>
          <w:p w14:paraId="29F85AFC">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便携式浊度仪</w:t>
            </w:r>
          </w:p>
        </w:tc>
        <w:tc>
          <w:tcPr>
            <w:tcW w:w="946" w:type="dxa"/>
            <w:vAlign w:val="center"/>
          </w:tcPr>
          <w:p w14:paraId="33BA3CBD">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08893E16">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1534" w:type="dxa"/>
            <w:vAlign w:val="center"/>
          </w:tcPr>
          <w:p w14:paraId="6DD5AA33">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5</w:t>
            </w:r>
          </w:p>
        </w:tc>
        <w:tc>
          <w:tcPr>
            <w:tcW w:w="958" w:type="dxa"/>
            <w:vAlign w:val="center"/>
          </w:tcPr>
          <w:p w14:paraId="10034CF7">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0FFBDA94">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4DD3D0D4">
            <w:pPr>
              <w:spacing w:line="360" w:lineRule="auto"/>
              <w:jc w:val="center"/>
              <w:rPr>
                <w:rFonts w:hint="eastAsia" w:ascii="楷体" w:hAnsi="楷体" w:eastAsia="楷体" w:cs="楷体"/>
                <w:sz w:val="24"/>
                <w:szCs w:val="24"/>
                <w:highlight w:val="none"/>
              </w:rPr>
            </w:pPr>
          </w:p>
        </w:tc>
      </w:tr>
      <w:tr w14:paraId="5AEC0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25A92ED0">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13</w:t>
            </w:r>
          </w:p>
        </w:tc>
        <w:tc>
          <w:tcPr>
            <w:tcW w:w="2151" w:type="dxa"/>
            <w:vAlign w:val="center"/>
          </w:tcPr>
          <w:p w14:paraId="156AF9A4">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便携式烟尘采样仪</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核心产品</w:t>
            </w:r>
            <w:r>
              <w:rPr>
                <w:rFonts w:hint="eastAsia" w:ascii="楷体" w:hAnsi="楷体" w:eastAsia="楷体" w:cs="楷体"/>
                <w:sz w:val="24"/>
                <w:szCs w:val="24"/>
                <w:highlight w:val="none"/>
                <w:lang w:eastAsia="zh-CN"/>
              </w:rPr>
              <w:t>）</w:t>
            </w:r>
          </w:p>
        </w:tc>
        <w:tc>
          <w:tcPr>
            <w:tcW w:w="946" w:type="dxa"/>
            <w:vAlign w:val="center"/>
          </w:tcPr>
          <w:p w14:paraId="6BB1264E">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1D32DED0">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1534" w:type="dxa"/>
            <w:vAlign w:val="center"/>
          </w:tcPr>
          <w:p w14:paraId="69292E7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21</w:t>
            </w:r>
          </w:p>
        </w:tc>
        <w:tc>
          <w:tcPr>
            <w:tcW w:w="958" w:type="dxa"/>
            <w:vAlign w:val="center"/>
          </w:tcPr>
          <w:p w14:paraId="68F53C72">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2E9A298A">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192E6D1B">
            <w:pPr>
              <w:spacing w:line="360" w:lineRule="auto"/>
              <w:jc w:val="center"/>
              <w:rPr>
                <w:rFonts w:hint="eastAsia" w:ascii="楷体" w:hAnsi="楷体" w:eastAsia="楷体" w:cs="楷体"/>
                <w:sz w:val="24"/>
                <w:szCs w:val="24"/>
                <w:highlight w:val="none"/>
              </w:rPr>
            </w:pPr>
          </w:p>
        </w:tc>
      </w:tr>
      <w:tr w14:paraId="1627F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1144B6E9">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14</w:t>
            </w:r>
          </w:p>
        </w:tc>
        <w:tc>
          <w:tcPr>
            <w:tcW w:w="2151" w:type="dxa"/>
            <w:vAlign w:val="center"/>
          </w:tcPr>
          <w:p w14:paraId="0496FF0C">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便携式高温采样单元</w:t>
            </w:r>
          </w:p>
        </w:tc>
        <w:tc>
          <w:tcPr>
            <w:tcW w:w="946" w:type="dxa"/>
            <w:vAlign w:val="center"/>
          </w:tcPr>
          <w:p w14:paraId="237D274E">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支</w:t>
            </w:r>
          </w:p>
        </w:tc>
        <w:tc>
          <w:tcPr>
            <w:tcW w:w="820" w:type="dxa"/>
            <w:vAlign w:val="center"/>
          </w:tcPr>
          <w:p w14:paraId="74D003C6">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2E460422">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0.5</w:t>
            </w:r>
          </w:p>
        </w:tc>
        <w:tc>
          <w:tcPr>
            <w:tcW w:w="958" w:type="dxa"/>
            <w:vAlign w:val="center"/>
          </w:tcPr>
          <w:p w14:paraId="1D39464B">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392B464C">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72AD4612">
            <w:pPr>
              <w:spacing w:line="360" w:lineRule="auto"/>
              <w:jc w:val="center"/>
              <w:rPr>
                <w:rFonts w:hint="eastAsia" w:ascii="楷体" w:hAnsi="楷体" w:eastAsia="楷体" w:cs="楷体"/>
                <w:sz w:val="24"/>
                <w:szCs w:val="24"/>
                <w:highlight w:val="none"/>
              </w:rPr>
            </w:pPr>
          </w:p>
        </w:tc>
      </w:tr>
      <w:tr w14:paraId="0670A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2299B8C3">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15</w:t>
            </w:r>
          </w:p>
        </w:tc>
        <w:tc>
          <w:tcPr>
            <w:tcW w:w="2151" w:type="dxa"/>
            <w:vAlign w:val="center"/>
          </w:tcPr>
          <w:p w14:paraId="53ACBCA5">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便携式烟尘烟气测试仪（定电位法）</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核心产品</w:t>
            </w:r>
            <w:r>
              <w:rPr>
                <w:rFonts w:hint="eastAsia" w:ascii="楷体" w:hAnsi="楷体" w:eastAsia="楷体" w:cs="楷体"/>
                <w:sz w:val="24"/>
                <w:szCs w:val="24"/>
                <w:highlight w:val="none"/>
                <w:lang w:eastAsia="zh-CN"/>
              </w:rPr>
              <w:t>）</w:t>
            </w:r>
          </w:p>
        </w:tc>
        <w:tc>
          <w:tcPr>
            <w:tcW w:w="946" w:type="dxa"/>
            <w:vAlign w:val="center"/>
          </w:tcPr>
          <w:p w14:paraId="030C815B">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64C6427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04E9D60E">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5.5</w:t>
            </w:r>
          </w:p>
        </w:tc>
        <w:tc>
          <w:tcPr>
            <w:tcW w:w="958" w:type="dxa"/>
            <w:vAlign w:val="center"/>
          </w:tcPr>
          <w:p w14:paraId="2F1B2BFB">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64651466">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1B899576">
            <w:pPr>
              <w:spacing w:line="360" w:lineRule="auto"/>
              <w:jc w:val="center"/>
              <w:rPr>
                <w:rFonts w:hint="eastAsia" w:ascii="楷体" w:hAnsi="楷体" w:eastAsia="楷体" w:cs="楷体"/>
                <w:sz w:val="24"/>
                <w:szCs w:val="24"/>
                <w:highlight w:val="none"/>
              </w:rPr>
            </w:pPr>
          </w:p>
        </w:tc>
      </w:tr>
      <w:tr w14:paraId="38D83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576E4FF2">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16</w:t>
            </w:r>
          </w:p>
        </w:tc>
        <w:tc>
          <w:tcPr>
            <w:tcW w:w="2151" w:type="dxa"/>
            <w:vAlign w:val="center"/>
          </w:tcPr>
          <w:p w14:paraId="7D2C735E">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烟气黑度仪</w:t>
            </w:r>
          </w:p>
        </w:tc>
        <w:tc>
          <w:tcPr>
            <w:tcW w:w="946" w:type="dxa"/>
            <w:vAlign w:val="center"/>
          </w:tcPr>
          <w:p w14:paraId="184F8DA2">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22AC7F01">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5F9A6C81">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0.4</w:t>
            </w:r>
          </w:p>
        </w:tc>
        <w:tc>
          <w:tcPr>
            <w:tcW w:w="958" w:type="dxa"/>
            <w:vAlign w:val="center"/>
          </w:tcPr>
          <w:p w14:paraId="757C5643">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67408B08">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01F68F44">
            <w:pPr>
              <w:spacing w:line="360" w:lineRule="auto"/>
              <w:jc w:val="center"/>
              <w:rPr>
                <w:rFonts w:hint="eastAsia" w:ascii="楷体" w:hAnsi="楷体" w:eastAsia="楷体" w:cs="楷体"/>
                <w:sz w:val="24"/>
                <w:szCs w:val="24"/>
                <w:highlight w:val="none"/>
              </w:rPr>
            </w:pPr>
          </w:p>
        </w:tc>
      </w:tr>
      <w:tr w14:paraId="38028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7C46D52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17</w:t>
            </w:r>
          </w:p>
        </w:tc>
        <w:tc>
          <w:tcPr>
            <w:tcW w:w="2151" w:type="dxa"/>
            <w:vAlign w:val="center"/>
          </w:tcPr>
          <w:p w14:paraId="26311FD1">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溶解氧测定仪</w:t>
            </w:r>
          </w:p>
        </w:tc>
        <w:tc>
          <w:tcPr>
            <w:tcW w:w="946" w:type="dxa"/>
            <w:vAlign w:val="center"/>
          </w:tcPr>
          <w:p w14:paraId="5BA1C848">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3AD79D68">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1534" w:type="dxa"/>
            <w:vAlign w:val="center"/>
          </w:tcPr>
          <w:p w14:paraId="6DF3C3A9">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958" w:type="dxa"/>
            <w:vAlign w:val="center"/>
          </w:tcPr>
          <w:p w14:paraId="1EA9F5DF">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714355A4">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07CDC92F">
            <w:pPr>
              <w:spacing w:line="360" w:lineRule="auto"/>
              <w:jc w:val="center"/>
              <w:rPr>
                <w:rFonts w:hint="eastAsia" w:ascii="楷体" w:hAnsi="楷体" w:eastAsia="楷体" w:cs="楷体"/>
                <w:sz w:val="24"/>
                <w:szCs w:val="24"/>
                <w:highlight w:val="none"/>
              </w:rPr>
            </w:pPr>
          </w:p>
        </w:tc>
      </w:tr>
      <w:tr w14:paraId="14547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0F40F471">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18</w:t>
            </w:r>
          </w:p>
        </w:tc>
        <w:tc>
          <w:tcPr>
            <w:tcW w:w="2151" w:type="dxa"/>
            <w:vAlign w:val="center"/>
          </w:tcPr>
          <w:p w14:paraId="76402F5D">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环境空气综合采样器 </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核心产品</w:t>
            </w:r>
            <w:r>
              <w:rPr>
                <w:rFonts w:hint="eastAsia" w:ascii="楷体" w:hAnsi="楷体" w:eastAsia="楷体" w:cs="楷体"/>
                <w:sz w:val="24"/>
                <w:szCs w:val="24"/>
                <w:highlight w:val="none"/>
                <w:lang w:eastAsia="zh-CN"/>
              </w:rPr>
              <w:t>）</w:t>
            </w:r>
          </w:p>
        </w:tc>
        <w:tc>
          <w:tcPr>
            <w:tcW w:w="946" w:type="dxa"/>
            <w:vAlign w:val="center"/>
          </w:tcPr>
          <w:p w14:paraId="5B4947EB">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7E3DA07D">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6</w:t>
            </w:r>
          </w:p>
        </w:tc>
        <w:tc>
          <w:tcPr>
            <w:tcW w:w="1534" w:type="dxa"/>
            <w:vAlign w:val="center"/>
          </w:tcPr>
          <w:p w14:paraId="076A0850">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18</w:t>
            </w:r>
          </w:p>
        </w:tc>
        <w:tc>
          <w:tcPr>
            <w:tcW w:w="958" w:type="dxa"/>
            <w:vAlign w:val="center"/>
          </w:tcPr>
          <w:p w14:paraId="2B13BB5C">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2BA62408">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38F7E257">
            <w:pPr>
              <w:spacing w:line="360" w:lineRule="auto"/>
              <w:jc w:val="center"/>
              <w:rPr>
                <w:rFonts w:hint="eastAsia" w:ascii="楷体" w:hAnsi="楷体" w:eastAsia="楷体" w:cs="楷体"/>
                <w:sz w:val="24"/>
                <w:szCs w:val="24"/>
                <w:highlight w:val="none"/>
              </w:rPr>
            </w:pPr>
          </w:p>
        </w:tc>
      </w:tr>
      <w:tr w14:paraId="17EC7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5279499F">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19</w:t>
            </w:r>
          </w:p>
        </w:tc>
        <w:tc>
          <w:tcPr>
            <w:tcW w:w="2151" w:type="dxa"/>
            <w:vAlign w:val="center"/>
          </w:tcPr>
          <w:p w14:paraId="3568478F">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噪声统计分析仪</w:t>
            </w:r>
          </w:p>
        </w:tc>
        <w:tc>
          <w:tcPr>
            <w:tcW w:w="946" w:type="dxa"/>
            <w:vAlign w:val="center"/>
          </w:tcPr>
          <w:p w14:paraId="7B48B4A4">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台</w:t>
            </w:r>
          </w:p>
        </w:tc>
        <w:tc>
          <w:tcPr>
            <w:tcW w:w="820" w:type="dxa"/>
            <w:vAlign w:val="center"/>
          </w:tcPr>
          <w:p w14:paraId="597D075B">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3</w:t>
            </w:r>
          </w:p>
        </w:tc>
        <w:tc>
          <w:tcPr>
            <w:tcW w:w="1534" w:type="dxa"/>
            <w:vAlign w:val="center"/>
          </w:tcPr>
          <w:p w14:paraId="5759DAFB">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9</w:t>
            </w:r>
          </w:p>
        </w:tc>
        <w:tc>
          <w:tcPr>
            <w:tcW w:w="958" w:type="dxa"/>
            <w:vAlign w:val="center"/>
          </w:tcPr>
          <w:p w14:paraId="1D3AF26D">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29D602B2">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201EA682">
            <w:pPr>
              <w:spacing w:line="360" w:lineRule="auto"/>
              <w:jc w:val="center"/>
              <w:rPr>
                <w:rFonts w:hint="eastAsia" w:ascii="楷体" w:hAnsi="楷体" w:eastAsia="楷体" w:cs="楷体"/>
                <w:sz w:val="24"/>
                <w:szCs w:val="24"/>
                <w:highlight w:val="none"/>
              </w:rPr>
            </w:pPr>
          </w:p>
        </w:tc>
      </w:tr>
      <w:tr w14:paraId="006EA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1FBCFFE1">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20</w:t>
            </w:r>
          </w:p>
        </w:tc>
        <w:tc>
          <w:tcPr>
            <w:tcW w:w="2151" w:type="dxa"/>
            <w:vAlign w:val="center"/>
          </w:tcPr>
          <w:p w14:paraId="5AE6859E">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智能降水采样器</w:t>
            </w:r>
          </w:p>
        </w:tc>
        <w:tc>
          <w:tcPr>
            <w:tcW w:w="946" w:type="dxa"/>
            <w:vAlign w:val="center"/>
          </w:tcPr>
          <w:p w14:paraId="140E81E1">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0407FD8B">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w:t>
            </w:r>
          </w:p>
        </w:tc>
        <w:tc>
          <w:tcPr>
            <w:tcW w:w="1534" w:type="dxa"/>
            <w:vAlign w:val="center"/>
          </w:tcPr>
          <w:p w14:paraId="236243A2">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20</w:t>
            </w:r>
          </w:p>
        </w:tc>
        <w:tc>
          <w:tcPr>
            <w:tcW w:w="958" w:type="dxa"/>
            <w:vAlign w:val="center"/>
          </w:tcPr>
          <w:p w14:paraId="5736B6D9">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328B66D8">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0F8C289A">
            <w:pPr>
              <w:spacing w:line="360" w:lineRule="auto"/>
              <w:jc w:val="center"/>
              <w:rPr>
                <w:rFonts w:hint="eastAsia" w:ascii="楷体" w:hAnsi="楷体" w:eastAsia="楷体" w:cs="楷体"/>
                <w:sz w:val="24"/>
                <w:szCs w:val="24"/>
                <w:highlight w:val="none"/>
              </w:rPr>
            </w:pPr>
          </w:p>
        </w:tc>
      </w:tr>
      <w:tr w14:paraId="3A6DB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6" w:type="dxa"/>
            <w:vAlign w:val="center"/>
          </w:tcPr>
          <w:p w14:paraId="1713C477">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21</w:t>
            </w:r>
          </w:p>
        </w:tc>
        <w:tc>
          <w:tcPr>
            <w:tcW w:w="2151" w:type="dxa"/>
            <w:vAlign w:val="center"/>
          </w:tcPr>
          <w:p w14:paraId="3FBD40D4">
            <w:pPr>
              <w:spacing w:line="420" w:lineRule="exact"/>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烟气汞采样器</w:t>
            </w:r>
          </w:p>
        </w:tc>
        <w:tc>
          <w:tcPr>
            <w:tcW w:w="946" w:type="dxa"/>
            <w:vAlign w:val="center"/>
          </w:tcPr>
          <w:p w14:paraId="1E84B10A">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套</w:t>
            </w:r>
          </w:p>
        </w:tc>
        <w:tc>
          <w:tcPr>
            <w:tcW w:w="820" w:type="dxa"/>
            <w:vAlign w:val="center"/>
          </w:tcPr>
          <w:p w14:paraId="0FE8B149">
            <w:pPr>
              <w:spacing w:line="42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1534" w:type="dxa"/>
            <w:vAlign w:val="center"/>
          </w:tcPr>
          <w:p w14:paraId="20BBD24D">
            <w:pPr>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958" w:type="dxa"/>
            <w:vAlign w:val="center"/>
          </w:tcPr>
          <w:p w14:paraId="0C829D65">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1592" w:type="dxa"/>
            <w:vAlign w:val="center"/>
          </w:tcPr>
          <w:p w14:paraId="7E3C1635">
            <w:pPr>
              <w:spacing w:line="36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否</w:t>
            </w:r>
          </w:p>
        </w:tc>
        <w:tc>
          <w:tcPr>
            <w:tcW w:w="866" w:type="dxa"/>
            <w:tcBorders>
              <w:left w:val="single" w:color="auto" w:sz="4" w:space="0"/>
            </w:tcBorders>
            <w:vAlign w:val="center"/>
          </w:tcPr>
          <w:p w14:paraId="1DE5A90D">
            <w:pPr>
              <w:spacing w:line="360" w:lineRule="auto"/>
              <w:jc w:val="center"/>
              <w:rPr>
                <w:rFonts w:hint="eastAsia" w:ascii="楷体" w:hAnsi="楷体" w:eastAsia="楷体" w:cs="楷体"/>
                <w:sz w:val="24"/>
                <w:szCs w:val="24"/>
                <w:highlight w:val="none"/>
              </w:rPr>
            </w:pPr>
          </w:p>
        </w:tc>
      </w:tr>
    </w:tbl>
    <w:p w14:paraId="29EF6BD9">
      <w:pPr>
        <w:spacing w:line="360" w:lineRule="auto"/>
        <w:ind w:firstLine="420"/>
        <w:rPr>
          <w:rFonts w:hint="eastAsia" w:ascii="楷体" w:hAnsi="楷体" w:eastAsia="楷体" w:cs="Arial"/>
          <w:b/>
          <w:sz w:val="24"/>
          <w:highlight w:val="none"/>
        </w:rPr>
      </w:pPr>
    </w:p>
    <w:p w14:paraId="4351B81A">
      <w:pPr>
        <w:spacing w:line="360" w:lineRule="auto"/>
        <w:ind w:firstLine="420"/>
        <w:rPr>
          <w:rFonts w:ascii="楷体" w:hAnsi="楷体" w:eastAsia="楷体" w:cs="Arial"/>
          <w:b/>
          <w:sz w:val="24"/>
        </w:rPr>
      </w:pPr>
      <w:r>
        <w:rPr>
          <w:rFonts w:hint="eastAsia" w:ascii="楷体" w:hAnsi="楷体" w:eastAsia="楷体" w:cs="Arial"/>
          <w:b/>
          <w:sz w:val="24"/>
        </w:rPr>
        <w:t>注：投标人报价和合同的对应标的应与采购需求文件中的采购标的一致。</w:t>
      </w:r>
    </w:p>
    <w:p w14:paraId="302B4886">
      <w:pPr>
        <w:numPr>
          <w:ilvl w:val="0"/>
          <w:numId w:val="0"/>
        </w:numPr>
        <w:spacing w:line="360" w:lineRule="auto"/>
        <w:rPr>
          <w:rFonts w:ascii="楷体" w:hAnsi="楷体" w:eastAsia="楷体" w:cs="Arial"/>
          <w:b/>
          <w:sz w:val="24"/>
        </w:rPr>
      </w:pPr>
    </w:p>
    <w:p w14:paraId="7B994004">
      <w:pPr>
        <w:numPr>
          <w:ilvl w:val="0"/>
          <w:numId w:val="1"/>
        </w:numPr>
        <w:spacing w:line="360" w:lineRule="auto"/>
        <w:ind w:firstLine="420"/>
        <w:rPr>
          <w:rFonts w:ascii="楷体" w:hAnsi="楷体" w:eastAsia="楷体" w:cs="Arial"/>
          <w:b/>
          <w:sz w:val="24"/>
        </w:rPr>
      </w:pPr>
      <w:r>
        <w:rPr>
          <w:rFonts w:ascii="楷体" w:hAnsi="楷体" w:eastAsia="楷体" w:cs="Arial"/>
          <w:b/>
          <w:sz w:val="24"/>
        </w:rPr>
        <w:t>技术</w:t>
      </w:r>
      <w:r>
        <w:rPr>
          <w:rFonts w:hint="eastAsia" w:ascii="楷体" w:hAnsi="楷体" w:eastAsia="楷体" w:cs="Arial"/>
          <w:b/>
          <w:sz w:val="24"/>
          <w:lang w:val="en-US" w:eastAsia="zh-CN"/>
        </w:rPr>
        <w:t>及服务</w:t>
      </w:r>
      <w:r>
        <w:rPr>
          <w:rFonts w:ascii="楷体" w:hAnsi="楷体" w:eastAsia="楷体" w:cs="Arial"/>
          <w:b/>
          <w:sz w:val="24"/>
        </w:rPr>
        <w:t>要求</w:t>
      </w:r>
    </w:p>
    <w:p w14:paraId="7C5BB3E9">
      <w:pPr>
        <w:numPr>
          <w:ilvl w:val="0"/>
          <w:numId w:val="0"/>
        </w:numPr>
        <w:spacing w:line="360" w:lineRule="auto"/>
        <w:rPr>
          <w:rFonts w:hint="default" w:ascii="楷体" w:hAnsi="楷体" w:eastAsia="楷体" w:cs="Arial"/>
          <w:b/>
          <w:sz w:val="24"/>
          <w:lang w:val="en-US" w:eastAsia="zh-CN"/>
        </w:rPr>
      </w:pPr>
      <w:r>
        <w:rPr>
          <w:rFonts w:hint="eastAsia" w:ascii="楷体" w:hAnsi="楷体" w:eastAsia="楷体" w:cs="Arial"/>
          <w:b/>
          <w:sz w:val="24"/>
          <w:lang w:val="en-US" w:eastAsia="zh-CN"/>
        </w:rPr>
        <w:t>采购包1</w:t>
      </w:r>
    </w:p>
    <w:p w14:paraId="2D062705">
      <w:pPr>
        <w:keepNext w:val="0"/>
        <w:keepLines w:val="0"/>
        <w:pageBreakBefore w:val="0"/>
        <w:kinsoku/>
        <w:wordWrap/>
        <w:overflowPunct/>
        <w:topLinePunct w:val="0"/>
        <w:bidi w:val="0"/>
        <w:spacing w:line="420" w:lineRule="exact"/>
        <w:jc w:val="both"/>
        <w:textAlignment w:val="auto"/>
        <w:rPr>
          <w:rFonts w:hint="eastAsia" w:ascii="楷体" w:hAnsi="楷体" w:eastAsia="楷体" w:cs="楷体"/>
          <w:b/>
          <w:sz w:val="24"/>
          <w:szCs w:val="24"/>
        </w:rPr>
      </w:pPr>
      <w:r>
        <w:rPr>
          <w:rFonts w:hint="eastAsia" w:ascii="楷体" w:hAnsi="楷体" w:eastAsia="楷体" w:cs="楷体"/>
          <w:b/>
          <w:sz w:val="24"/>
          <w:szCs w:val="24"/>
          <w:lang w:val="en-US" w:eastAsia="zh-CN"/>
        </w:rPr>
        <w:t>（一）</w:t>
      </w:r>
      <w:r>
        <w:rPr>
          <w:rFonts w:hint="eastAsia" w:ascii="楷体" w:hAnsi="楷体" w:eastAsia="楷体" w:cs="楷体"/>
          <w:b/>
          <w:sz w:val="24"/>
          <w:szCs w:val="24"/>
        </w:rPr>
        <w:t>气相色谱-质谱联用仪</w:t>
      </w:r>
      <w:r>
        <w:rPr>
          <w:rFonts w:ascii="楷体" w:hAnsi="楷体" w:eastAsia="楷体" w:cs="Arial"/>
          <w:b/>
          <w:sz w:val="24"/>
        </w:rPr>
        <w:t>技术</w:t>
      </w:r>
      <w:r>
        <w:rPr>
          <w:rFonts w:hint="eastAsia" w:ascii="楷体" w:hAnsi="楷体" w:eastAsia="楷体" w:cs="Arial"/>
          <w:b/>
          <w:sz w:val="24"/>
          <w:lang w:val="en-US" w:eastAsia="zh-CN"/>
        </w:rPr>
        <w:t>参数及服务</w:t>
      </w:r>
      <w:r>
        <w:rPr>
          <w:rFonts w:ascii="楷体" w:hAnsi="楷体" w:eastAsia="楷体" w:cs="Arial"/>
          <w:b/>
          <w:sz w:val="24"/>
        </w:rPr>
        <w:t>要求</w:t>
      </w:r>
    </w:p>
    <w:p w14:paraId="1E2F7F59">
      <w:pPr>
        <w:keepNext w:val="0"/>
        <w:keepLines w:val="0"/>
        <w:pageBreakBefore w:val="0"/>
        <w:kinsoku/>
        <w:wordWrap/>
        <w:overflowPunct/>
        <w:topLinePunct w:val="0"/>
        <w:bidi w:val="0"/>
        <w:spacing w:line="420" w:lineRule="exact"/>
        <w:textAlignment w:val="auto"/>
        <w:rPr>
          <w:rFonts w:hint="eastAsia" w:ascii="楷体" w:hAnsi="楷体" w:eastAsia="楷体" w:cs="楷体"/>
          <w:b/>
          <w:sz w:val="24"/>
          <w:szCs w:val="24"/>
        </w:rPr>
      </w:pPr>
      <w:r>
        <w:rPr>
          <w:rFonts w:hint="eastAsia" w:ascii="楷体" w:hAnsi="楷体" w:eastAsia="楷体" w:cs="楷体"/>
          <w:b/>
          <w:sz w:val="24"/>
          <w:szCs w:val="24"/>
          <w:lang w:val="en-US" w:eastAsia="zh-CN"/>
        </w:rPr>
        <w:t>一</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1EE955F1">
      <w:pPr>
        <w:spacing w:line="420" w:lineRule="exact"/>
        <w:rPr>
          <w:rFonts w:hint="eastAsia" w:ascii="楷体" w:hAnsi="楷体" w:eastAsia="楷体" w:cs="楷体"/>
          <w:sz w:val="24"/>
          <w:szCs w:val="24"/>
        </w:rPr>
      </w:pPr>
      <w:r>
        <w:rPr>
          <w:rFonts w:hint="eastAsia" w:ascii="楷体" w:hAnsi="楷体" w:eastAsia="楷体" w:cs="楷体"/>
          <w:sz w:val="24"/>
          <w:szCs w:val="24"/>
        </w:rPr>
        <w:t>1、系统性能指标</w:t>
      </w:r>
    </w:p>
    <w:p w14:paraId="335E6CC9">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1.1、峰面积重现性：&lt;0.3% RSD</w:t>
      </w:r>
    </w:p>
    <w:p w14:paraId="217B3C9E">
      <w:pPr>
        <w:spacing w:line="420" w:lineRule="exact"/>
        <w:rPr>
          <w:rFonts w:hint="eastAsia" w:ascii="楷体" w:hAnsi="楷体" w:eastAsia="楷体" w:cs="楷体"/>
          <w:sz w:val="24"/>
          <w:szCs w:val="24"/>
        </w:rPr>
      </w:pPr>
      <w:r>
        <w:rPr>
          <w:rFonts w:hint="eastAsia" w:ascii="楷体" w:hAnsi="楷体" w:eastAsia="楷体" w:cs="楷体"/>
          <w:sz w:val="24"/>
          <w:szCs w:val="24"/>
        </w:rPr>
        <w:t>2、柱温箱</w:t>
      </w:r>
    </w:p>
    <w:p w14:paraId="2F95BBA4">
      <w:pPr>
        <w:spacing w:line="420" w:lineRule="exact"/>
        <w:rPr>
          <w:rFonts w:hint="eastAsia" w:ascii="楷体" w:hAnsi="楷体" w:eastAsia="楷体" w:cs="楷体"/>
          <w:sz w:val="24"/>
          <w:szCs w:val="24"/>
        </w:rPr>
      </w:pPr>
      <w:r>
        <w:rPr>
          <w:rFonts w:hint="eastAsia" w:ascii="楷体" w:hAnsi="楷体" w:eastAsia="楷体" w:cs="楷体"/>
          <w:sz w:val="24"/>
          <w:szCs w:val="24"/>
        </w:rPr>
        <w:t>2.1、操作温度范围：室温以上5℃ 到450℃</w:t>
      </w:r>
    </w:p>
    <w:p w14:paraId="6B4C6A96">
      <w:pPr>
        <w:spacing w:line="420" w:lineRule="exact"/>
        <w:rPr>
          <w:rFonts w:hint="eastAsia" w:ascii="楷体" w:hAnsi="楷体" w:eastAsia="楷体" w:cs="楷体"/>
          <w:sz w:val="24"/>
          <w:szCs w:val="24"/>
        </w:rPr>
      </w:pPr>
      <w:r>
        <w:rPr>
          <w:rFonts w:hint="eastAsia" w:ascii="楷体" w:hAnsi="楷体" w:eastAsia="楷体" w:cs="楷体"/>
          <w:sz w:val="24"/>
          <w:szCs w:val="24"/>
        </w:rPr>
        <w:t>2.2、温度控制精度：0.1℃</w:t>
      </w:r>
    </w:p>
    <w:p w14:paraId="17568113">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2.3、程序升温：32阶/33平台</w:t>
      </w:r>
    </w:p>
    <w:p w14:paraId="40D54600">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2.4、最高升温速率：125℃/min</w:t>
      </w:r>
    </w:p>
    <w:p w14:paraId="78CF458C">
      <w:pPr>
        <w:spacing w:line="420" w:lineRule="exact"/>
        <w:rPr>
          <w:rFonts w:hint="eastAsia" w:ascii="楷体" w:hAnsi="楷体" w:eastAsia="楷体" w:cs="楷体"/>
          <w:sz w:val="24"/>
          <w:szCs w:val="24"/>
        </w:rPr>
      </w:pPr>
      <w:r>
        <w:rPr>
          <w:rFonts w:hint="eastAsia" w:ascii="楷体" w:hAnsi="楷体" w:eastAsia="楷体" w:cs="楷体"/>
          <w:sz w:val="24"/>
          <w:szCs w:val="24"/>
        </w:rPr>
        <w:t>2.5、温度稳定性：0.01℃/1℃</w:t>
      </w:r>
    </w:p>
    <w:p w14:paraId="6EF974EC">
      <w:pPr>
        <w:pStyle w:val="2"/>
        <w:spacing w:line="420" w:lineRule="exact"/>
        <w:rPr>
          <w:rFonts w:hint="eastAsia" w:ascii="楷体" w:hAnsi="楷体" w:eastAsia="楷体" w:cs="楷体"/>
          <w:sz w:val="24"/>
          <w:szCs w:val="24"/>
          <w:highlight w:val="none"/>
        </w:rPr>
      </w:pPr>
      <w:r>
        <w:rPr>
          <w:rFonts w:hint="eastAsia" w:ascii="楷体" w:hAnsi="楷体" w:eastAsia="楷体" w:cs="楷体"/>
          <w:b/>
          <w:sz w:val="24"/>
          <w:szCs w:val="24"/>
        </w:rPr>
        <w:t>＃</w:t>
      </w:r>
      <w:r>
        <w:rPr>
          <w:rFonts w:hint="eastAsia" w:ascii="楷体" w:hAnsi="楷体" w:eastAsia="楷体" w:cs="楷体"/>
          <w:sz w:val="24"/>
          <w:szCs w:val="24"/>
        </w:rPr>
        <w:t>2.6、柱温箱照明灯，柱温箱门打开</w:t>
      </w:r>
      <w:r>
        <w:rPr>
          <w:rFonts w:hint="eastAsia" w:ascii="楷体" w:hAnsi="楷体" w:eastAsia="楷体" w:cs="楷体"/>
          <w:sz w:val="24"/>
          <w:szCs w:val="24"/>
          <w:highlight w:val="none"/>
        </w:rPr>
        <w:t>自动点亮</w:t>
      </w:r>
    </w:p>
    <w:p w14:paraId="7DDF8E25">
      <w:pPr>
        <w:spacing w:line="420" w:lineRule="exact"/>
        <w:rPr>
          <w:rFonts w:hint="eastAsia" w:ascii="楷体" w:hAnsi="楷体" w:eastAsia="楷体" w:cs="楷体"/>
          <w:sz w:val="24"/>
          <w:szCs w:val="24"/>
        </w:rPr>
      </w:pPr>
      <w:r>
        <w:rPr>
          <w:rFonts w:hint="eastAsia" w:ascii="楷体" w:hAnsi="楷体" w:eastAsia="楷体" w:cs="楷体"/>
          <w:sz w:val="24"/>
          <w:szCs w:val="24"/>
        </w:rPr>
        <w:t>3、电子压力控制器</w:t>
      </w:r>
    </w:p>
    <w:p w14:paraId="71C71E52">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3.1、压力范围：0～1050kPa（152psi）</w:t>
      </w:r>
    </w:p>
    <w:p w14:paraId="0E443475">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3.2、全程压力控制精度：0.001psi</w:t>
      </w:r>
    </w:p>
    <w:p w14:paraId="3698ED61">
      <w:pPr>
        <w:spacing w:line="420" w:lineRule="exact"/>
        <w:rPr>
          <w:rFonts w:hint="eastAsia" w:ascii="楷体" w:hAnsi="楷体" w:eastAsia="楷体" w:cs="楷体"/>
          <w:sz w:val="24"/>
          <w:szCs w:val="24"/>
        </w:rPr>
      </w:pPr>
      <w:r>
        <w:rPr>
          <w:rFonts w:hint="eastAsia" w:ascii="楷体" w:hAnsi="楷体" w:eastAsia="楷体" w:cs="楷体"/>
          <w:sz w:val="24"/>
          <w:szCs w:val="24"/>
        </w:rPr>
        <w:t>4、分流不分流进样口</w:t>
      </w:r>
    </w:p>
    <w:p w14:paraId="26CF758E">
      <w:pPr>
        <w:spacing w:line="420" w:lineRule="exact"/>
        <w:rPr>
          <w:rFonts w:hint="eastAsia" w:ascii="楷体" w:hAnsi="楷体" w:eastAsia="楷体" w:cs="楷体"/>
          <w:sz w:val="24"/>
          <w:szCs w:val="24"/>
        </w:rPr>
      </w:pPr>
      <w:r>
        <w:rPr>
          <w:rFonts w:hint="eastAsia" w:ascii="楷体" w:hAnsi="楷体" w:eastAsia="楷体" w:cs="楷体"/>
          <w:sz w:val="24"/>
          <w:szCs w:val="24"/>
        </w:rPr>
        <w:t>▲4.1、进样口即时联接模块设计，用户可2min之内更换进样口</w:t>
      </w:r>
    </w:p>
    <w:p w14:paraId="75B8941E">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4.2、最大分流比：12500:1</w:t>
      </w:r>
    </w:p>
    <w:p w14:paraId="03306A56">
      <w:pPr>
        <w:spacing w:line="420" w:lineRule="exact"/>
        <w:rPr>
          <w:rFonts w:hint="eastAsia" w:ascii="楷体" w:hAnsi="楷体" w:eastAsia="楷体" w:cs="楷体"/>
          <w:sz w:val="24"/>
          <w:szCs w:val="24"/>
        </w:rPr>
      </w:pPr>
      <w:r>
        <w:rPr>
          <w:rFonts w:hint="eastAsia" w:ascii="楷体" w:hAnsi="楷体" w:eastAsia="楷体" w:cs="楷体"/>
          <w:sz w:val="24"/>
          <w:szCs w:val="24"/>
        </w:rPr>
        <w:t>5、全自动热脱附进样系统</w:t>
      </w:r>
    </w:p>
    <w:p w14:paraId="0AB1F602">
      <w:pPr>
        <w:spacing w:line="420" w:lineRule="exact"/>
        <w:rPr>
          <w:rFonts w:hint="eastAsia" w:ascii="楷体" w:hAnsi="楷体" w:eastAsia="楷体" w:cs="楷体"/>
          <w:sz w:val="24"/>
          <w:szCs w:val="24"/>
        </w:rPr>
      </w:pPr>
      <w:r>
        <w:rPr>
          <w:rFonts w:hint="eastAsia" w:ascii="楷体" w:hAnsi="楷体" w:eastAsia="楷体" w:cs="楷体"/>
          <w:sz w:val="24"/>
          <w:szCs w:val="24"/>
        </w:rPr>
        <w:t>5.1、气路控制：直接采用气相精度为0.001psi的电子气路控制（EPC）对热脱附进行气路控制，能精确控制载气，采用二级或以上冷阱进出口分流流量，使之不受温度、压力变化的影响，实现色谱保留时间稳定， 完全匹配原有色谱条件。</w:t>
      </w:r>
    </w:p>
    <w:p w14:paraId="4C18C886">
      <w:pPr>
        <w:spacing w:line="420" w:lineRule="exact"/>
        <w:rPr>
          <w:rFonts w:hint="eastAsia" w:ascii="楷体" w:hAnsi="楷体" w:eastAsia="楷体" w:cs="楷体"/>
          <w:sz w:val="24"/>
          <w:szCs w:val="24"/>
        </w:rPr>
      </w:pPr>
      <w:r>
        <w:rPr>
          <w:rFonts w:hint="eastAsia" w:ascii="楷体" w:hAnsi="楷体" w:eastAsia="楷体" w:cs="楷体"/>
          <w:sz w:val="24"/>
          <w:szCs w:val="24"/>
        </w:rPr>
        <w:t>5.2、脱附时间：0-600min，可设增量为0.1min。</w:t>
      </w:r>
    </w:p>
    <w:p w14:paraId="0CB220A5">
      <w:pPr>
        <w:spacing w:line="420" w:lineRule="exact"/>
        <w:rPr>
          <w:rFonts w:hint="eastAsia" w:ascii="楷体" w:hAnsi="楷体" w:eastAsia="楷体" w:cs="楷体"/>
          <w:sz w:val="24"/>
          <w:szCs w:val="24"/>
        </w:rPr>
      </w:pPr>
      <w:r>
        <w:rPr>
          <w:rFonts w:hint="eastAsia" w:ascii="楷体" w:hAnsi="楷体" w:eastAsia="楷体" w:cs="楷体"/>
          <w:sz w:val="24"/>
          <w:szCs w:val="24"/>
        </w:rPr>
        <w:t>5.3、阀门温度范围50-210℃，增量为1℃</w:t>
      </w:r>
    </w:p>
    <w:p w14:paraId="0F225FA5">
      <w:pPr>
        <w:spacing w:line="420" w:lineRule="exact"/>
        <w:rPr>
          <w:rFonts w:hint="eastAsia" w:ascii="楷体" w:hAnsi="楷体" w:eastAsia="楷体" w:cs="楷体"/>
          <w:sz w:val="24"/>
          <w:szCs w:val="24"/>
        </w:rPr>
      </w:pPr>
      <w:r>
        <w:rPr>
          <w:rFonts w:hint="eastAsia" w:ascii="楷体" w:hAnsi="楷体" w:eastAsia="楷体" w:cs="楷体"/>
          <w:sz w:val="24"/>
          <w:szCs w:val="24"/>
        </w:rPr>
        <w:t>5.4、传输线温度范围50-250℃，增量为1℃</w:t>
      </w:r>
    </w:p>
    <w:p w14:paraId="3573FF7C">
      <w:pPr>
        <w:spacing w:line="420" w:lineRule="exact"/>
        <w:rPr>
          <w:rFonts w:hint="eastAsia" w:ascii="楷体" w:hAnsi="楷体" w:eastAsia="楷体" w:cs="楷体"/>
          <w:sz w:val="24"/>
          <w:szCs w:val="24"/>
        </w:rPr>
      </w:pPr>
      <w:r>
        <w:rPr>
          <w:rFonts w:hint="eastAsia" w:ascii="楷体" w:hAnsi="楷体" w:eastAsia="楷体" w:cs="楷体"/>
          <w:sz w:val="24"/>
          <w:szCs w:val="24"/>
        </w:rPr>
        <w:t>5.5、材料完全惰性，由PTFE、石英、惰性涂层不锈钢管和无涂敷熔融石英管组成流路。</w:t>
      </w:r>
    </w:p>
    <w:p w14:paraId="6FB85FB8">
      <w:pPr>
        <w:spacing w:line="420" w:lineRule="exact"/>
        <w:rPr>
          <w:rFonts w:hint="eastAsia" w:ascii="楷体" w:hAnsi="楷体" w:eastAsia="楷体" w:cs="楷体"/>
          <w:sz w:val="24"/>
          <w:szCs w:val="24"/>
        </w:rPr>
      </w:pPr>
      <w:r>
        <w:rPr>
          <w:rFonts w:hint="eastAsia" w:ascii="楷体" w:hAnsi="楷体" w:eastAsia="楷体" w:cs="楷体"/>
          <w:sz w:val="24"/>
          <w:szCs w:val="24"/>
        </w:rPr>
        <w:t>5.6、自动进样器系统：不少于100位自动进样器。</w:t>
      </w:r>
    </w:p>
    <w:p w14:paraId="24514877">
      <w:pPr>
        <w:spacing w:line="420" w:lineRule="exact"/>
        <w:rPr>
          <w:rFonts w:hint="eastAsia" w:ascii="楷体" w:hAnsi="楷体" w:eastAsia="楷体" w:cs="楷体"/>
          <w:sz w:val="24"/>
          <w:szCs w:val="24"/>
        </w:rPr>
      </w:pPr>
      <w:r>
        <w:rPr>
          <w:rFonts w:hint="eastAsia" w:ascii="楷体" w:hAnsi="楷体" w:eastAsia="楷体" w:cs="楷体"/>
          <w:sz w:val="24"/>
          <w:szCs w:val="24"/>
        </w:rPr>
        <w:t>6、质谱部分</w:t>
      </w:r>
    </w:p>
    <w:p w14:paraId="06A338BF">
      <w:pPr>
        <w:spacing w:line="420" w:lineRule="exact"/>
        <w:rPr>
          <w:rFonts w:hint="eastAsia" w:ascii="楷体" w:hAnsi="楷体" w:eastAsia="楷体" w:cs="楷体"/>
          <w:sz w:val="24"/>
          <w:szCs w:val="24"/>
        </w:rPr>
      </w:pPr>
      <w:r>
        <w:rPr>
          <w:rFonts w:hint="eastAsia" w:ascii="楷体" w:hAnsi="楷体" w:eastAsia="楷体" w:cs="楷体"/>
          <w:sz w:val="24"/>
          <w:szCs w:val="24"/>
        </w:rPr>
        <w:t>6.1、离子源</w:t>
      </w:r>
    </w:p>
    <w:p w14:paraId="040C532C">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6.1.1、无线式组装离子源，一体化设计，推斥极、离子盒、源透镜和RF透镜必须整合在单一的套筒内，以方便日常维护快速拆卸离子源</w:t>
      </w:r>
    </w:p>
    <w:p w14:paraId="4CC89591">
      <w:pPr>
        <w:spacing w:line="420" w:lineRule="exact"/>
        <w:rPr>
          <w:rFonts w:hint="eastAsia" w:ascii="楷体" w:hAnsi="楷体" w:eastAsia="楷体" w:cs="楷体"/>
          <w:sz w:val="24"/>
          <w:szCs w:val="24"/>
        </w:rPr>
      </w:pPr>
      <w:r>
        <w:rPr>
          <w:rFonts w:hint="eastAsia" w:ascii="楷体" w:hAnsi="楷体" w:eastAsia="楷体" w:cs="楷体"/>
          <w:sz w:val="24"/>
          <w:szCs w:val="24"/>
        </w:rPr>
        <w:t>6.1.2、无镀层的惰性材料，离子源独立加热控制，温度可到350℃；减少维护，增加运行时间。</w:t>
      </w:r>
    </w:p>
    <w:p w14:paraId="228B7381">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6.1.3、精确调节的灯丝发射电流最大可到350µA</w:t>
      </w:r>
    </w:p>
    <w:p w14:paraId="0802EC0B">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6.1.4、可调的气质接口温度最高400℃ ，可有效的将化合物，包括高沸点化合物从GC传递到质谱仪。</w:t>
      </w:r>
    </w:p>
    <w:p w14:paraId="0AAD12AF">
      <w:pPr>
        <w:spacing w:line="420" w:lineRule="exact"/>
        <w:rPr>
          <w:rFonts w:hint="eastAsia" w:ascii="楷体" w:hAnsi="楷体" w:eastAsia="楷体" w:cs="楷体"/>
          <w:sz w:val="24"/>
          <w:szCs w:val="24"/>
        </w:rPr>
      </w:pPr>
      <w:r>
        <w:rPr>
          <w:rFonts w:hint="eastAsia" w:ascii="楷体" w:hAnsi="楷体" w:eastAsia="楷体" w:cs="楷体"/>
          <w:sz w:val="24"/>
          <w:szCs w:val="24"/>
        </w:rPr>
        <w:t>6.2、四极杆质量分析器</w:t>
      </w:r>
    </w:p>
    <w:p w14:paraId="1102A428">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6.2.1、全金属钼主四极杆，惰性，均一无镀层设计，可打磨可清洗，在离子源和四极杆之间必须配备可加热S型弯曲的离子轨道。</w:t>
      </w:r>
    </w:p>
    <w:p w14:paraId="1B70A161">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6.2.2、质量范围：1.2-1100u</w:t>
      </w:r>
    </w:p>
    <w:p w14:paraId="75AF0D7C">
      <w:pPr>
        <w:spacing w:line="420" w:lineRule="exact"/>
        <w:rPr>
          <w:rFonts w:hint="eastAsia" w:ascii="楷体" w:hAnsi="楷体" w:eastAsia="楷体" w:cs="楷体"/>
          <w:sz w:val="24"/>
          <w:szCs w:val="24"/>
        </w:rPr>
      </w:pPr>
      <w:r>
        <w:rPr>
          <w:rFonts w:hint="eastAsia" w:ascii="楷体" w:hAnsi="楷体" w:eastAsia="楷体" w:cs="楷体"/>
          <w:sz w:val="24"/>
          <w:szCs w:val="24"/>
        </w:rPr>
        <w:t>6.2.3、分辨率：全质量范围内单位质量分辨</w:t>
      </w:r>
    </w:p>
    <w:p w14:paraId="37AC3E96">
      <w:pPr>
        <w:spacing w:line="420" w:lineRule="exact"/>
        <w:rPr>
          <w:rFonts w:hint="eastAsia" w:ascii="楷体" w:hAnsi="楷体" w:eastAsia="楷体" w:cs="楷体"/>
          <w:sz w:val="24"/>
          <w:szCs w:val="24"/>
        </w:rPr>
      </w:pPr>
      <w:r>
        <w:rPr>
          <w:rFonts w:hint="eastAsia" w:ascii="楷体" w:hAnsi="楷体" w:eastAsia="楷体" w:cs="楷体"/>
          <w:sz w:val="24"/>
          <w:szCs w:val="24"/>
        </w:rPr>
        <w:t>6.2.4、 扫描速度：20000u/s</w:t>
      </w:r>
    </w:p>
    <w:p w14:paraId="3009A117">
      <w:pPr>
        <w:spacing w:line="420" w:lineRule="exact"/>
        <w:rPr>
          <w:rFonts w:hint="eastAsia" w:ascii="楷体" w:hAnsi="楷体" w:eastAsia="楷体" w:cs="楷体"/>
          <w:sz w:val="24"/>
          <w:szCs w:val="24"/>
        </w:rPr>
      </w:pPr>
      <w:r>
        <w:rPr>
          <w:rFonts w:hint="eastAsia" w:ascii="楷体" w:hAnsi="楷体" w:eastAsia="楷体" w:cs="楷体"/>
          <w:sz w:val="24"/>
          <w:szCs w:val="24"/>
        </w:rPr>
        <w:t>6.2.5、采集速率</w:t>
      </w:r>
    </w:p>
    <w:p w14:paraId="1EEEEF4A">
      <w:pPr>
        <w:spacing w:line="420" w:lineRule="exact"/>
        <w:rPr>
          <w:rFonts w:hint="eastAsia" w:ascii="楷体" w:hAnsi="楷体" w:eastAsia="楷体" w:cs="楷体"/>
          <w:sz w:val="24"/>
          <w:szCs w:val="24"/>
        </w:rPr>
      </w:pPr>
      <w:r>
        <w:rPr>
          <w:rFonts w:hint="eastAsia" w:ascii="楷体" w:hAnsi="楷体" w:eastAsia="楷体" w:cs="楷体"/>
          <w:sz w:val="24"/>
          <w:szCs w:val="24"/>
        </w:rPr>
        <w:t>SIM模式，采集速率≥240 scans/sec</w:t>
      </w:r>
    </w:p>
    <w:p w14:paraId="6D35DDAE">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全扫描模式（扫描范围≥125u），采集速率≥97 scans/sec </w:t>
      </w:r>
    </w:p>
    <w:p w14:paraId="55851898">
      <w:pPr>
        <w:spacing w:line="420" w:lineRule="exact"/>
        <w:rPr>
          <w:rFonts w:hint="eastAsia" w:ascii="楷体" w:hAnsi="楷体" w:eastAsia="楷体" w:cs="楷体"/>
          <w:sz w:val="24"/>
          <w:szCs w:val="24"/>
          <w:highlight w:val="red"/>
        </w:rPr>
      </w:pPr>
      <w:r>
        <w:rPr>
          <w:rFonts w:hint="eastAsia" w:ascii="楷体" w:hAnsi="楷体" w:eastAsia="楷体" w:cs="楷体"/>
          <w:bCs/>
          <w:sz w:val="24"/>
          <w:szCs w:val="24"/>
        </w:rPr>
        <w:t>▲</w:t>
      </w:r>
      <w:r>
        <w:rPr>
          <w:rFonts w:hint="eastAsia" w:ascii="楷体" w:hAnsi="楷体" w:eastAsia="楷体" w:cs="楷体"/>
          <w:sz w:val="24"/>
          <w:szCs w:val="24"/>
        </w:rPr>
        <w:t xml:space="preserve">6.2.6、灵敏度（使用He气做载气）：   </w:t>
      </w:r>
      <w:r>
        <w:rPr>
          <w:rFonts w:hint="eastAsia" w:ascii="楷体" w:hAnsi="楷体" w:eastAsia="楷体" w:cs="楷体"/>
          <w:b/>
          <w:bCs/>
          <w:sz w:val="24"/>
          <w:szCs w:val="24"/>
        </w:rPr>
        <w:t xml:space="preserve"> </w:t>
      </w:r>
    </w:p>
    <w:p w14:paraId="4C02E861">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EI 全扫描，1pg/µL八氟萘 进样1µL，扫描范围50-300u，S/N ≥ 3000:1 (mass 272，RMS)  仪器检出限（IDL）≤2fg（100 fg OFN 八次连续不分流进样，监测 m/z 272 离子的峰面积，置信区间为 99％）。 </w:t>
      </w:r>
    </w:p>
    <w:p w14:paraId="60F69086">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7、检测器系统：配置离轴 10 kV 打拿极、离散打拿极电子倍增器和静电计，动态线性范围&gt;10</w:t>
      </w:r>
      <w:r>
        <w:rPr>
          <w:rFonts w:hint="eastAsia" w:ascii="楷体" w:hAnsi="楷体" w:eastAsia="楷体" w:cs="楷体"/>
          <w:sz w:val="24"/>
          <w:szCs w:val="24"/>
          <w:vertAlign w:val="superscript"/>
        </w:rPr>
        <w:t>7</w:t>
      </w:r>
      <w:r>
        <w:rPr>
          <w:rFonts w:hint="eastAsia" w:ascii="楷体" w:hAnsi="楷体" w:eastAsia="楷体" w:cs="楷体"/>
          <w:sz w:val="24"/>
          <w:szCs w:val="24"/>
        </w:rPr>
        <w:t>（0-110 μA） ，提供宽达9个数量级的线性动态范围。</w:t>
      </w:r>
    </w:p>
    <w:p w14:paraId="5458130A">
      <w:pPr>
        <w:spacing w:line="420" w:lineRule="exact"/>
        <w:rPr>
          <w:rFonts w:hint="eastAsia" w:ascii="楷体" w:hAnsi="楷体" w:eastAsia="楷体" w:cs="楷体"/>
          <w:sz w:val="24"/>
          <w:szCs w:val="24"/>
        </w:rPr>
      </w:pPr>
      <w:r>
        <w:rPr>
          <w:rFonts w:hint="eastAsia" w:ascii="楷体" w:hAnsi="楷体" w:eastAsia="楷体" w:cs="楷体"/>
          <w:sz w:val="24"/>
          <w:szCs w:val="24"/>
        </w:rPr>
        <w:t>8、真空系统：空气冷却的高真空大抽速分子涡轮泵</w:t>
      </w:r>
    </w:p>
    <w:p w14:paraId="2836701C">
      <w:pPr>
        <w:spacing w:line="420" w:lineRule="exact"/>
        <w:rPr>
          <w:rFonts w:hint="eastAsia" w:ascii="楷体" w:hAnsi="楷体" w:eastAsia="楷体" w:cs="楷体"/>
          <w:sz w:val="24"/>
          <w:szCs w:val="24"/>
        </w:rPr>
      </w:pPr>
      <w:r>
        <w:rPr>
          <w:rFonts w:hint="eastAsia" w:ascii="楷体" w:hAnsi="楷体" w:eastAsia="楷体" w:cs="楷体"/>
          <w:b/>
          <w:bCs/>
          <w:sz w:val="24"/>
          <w:szCs w:val="24"/>
        </w:rPr>
        <w:t>＃</w:t>
      </w:r>
      <w:r>
        <w:rPr>
          <w:rFonts w:hint="eastAsia" w:ascii="楷体" w:hAnsi="楷体" w:eastAsia="楷体" w:cs="楷体"/>
          <w:sz w:val="24"/>
          <w:szCs w:val="24"/>
        </w:rPr>
        <w:t>8.1、分子涡轮泵抽速不低于300L/s(He)</w:t>
      </w:r>
    </w:p>
    <w:p w14:paraId="31136E95">
      <w:pPr>
        <w:spacing w:line="420" w:lineRule="exact"/>
        <w:rPr>
          <w:rFonts w:hint="eastAsia" w:ascii="楷体" w:hAnsi="楷体" w:eastAsia="楷体" w:cs="楷体"/>
          <w:sz w:val="24"/>
          <w:szCs w:val="24"/>
        </w:rPr>
      </w:pPr>
      <w:r>
        <w:rPr>
          <w:rFonts w:hint="eastAsia" w:ascii="楷体" w:hAnsi="楷体" w:eastAsia="楷体" w:cs="楷体"/>
          <w:sz w:val="24"/>
          <w:szCs w:val="24"/>
        </w:rPr>
        <w:t>8.2、前级机械泵抽速不低于3m</w:t>
      </w:r>
      <w:r>
        <w:rPr>
          <w:rFonts w:hint="eastAsia" w:ascii="楷体" w:hAnsi="楷体" w:eastAsia="楷体" w:cs="楷体"/>
          <w:sz w:val="24"/>
          <w:szCs w:val="24"/>
          <w:vertAlign w:val="superscript"/>
        </w:rPr>
        <w:t>3</w:t>
      </w:r>
      <w:r>
        <w:rPr>
          <w:rFonts w:hint="eastAsia" w:ascii="楷体" w:hAnsi="楷体" w:eastAsia="楷体" w:cs="楷体"/>
          <w:sz w:val="24"/>
          <w:szCs w:val="24"/>
        </w:rPr>
        <w:t>/h</w:t>
      </w:r>
    </w:p>
    <w:p w14:paraId="48A89AEF">
      <w:pPr>
        <w:spacing w:line="420" w:lineRule="exact"/>
        <w:rPr>
          <w:rFonts w:hint="eastAsia" w:ascii="楷体" w:hAnsi="楷体" w:eastAsia="楷体" w:cs="楷体"/>
          <w:sz w:val="24"/>
          <w:szCs w:val="24"/>
        </w:rPr>
      </w:pPr>
      <w:r>
        <w:rPr>
          <w:rFonts w:hint="eastAsia" w:ascii="楷体" w:hAnsi="楷体" w:eastAsia="楷体" w:cs="楷体"/>
          <w:sz w:val="24"/>
          <w:szCs w:val="24"/>
        </w:rPr>
        <w:t>9、仪器控制</w:t>
      </w:r>
    </w:p>
    <w:p w14:paraId="4FD62B23">
      <w:pPr>
        <w:spacing w:line="420" w:lineRule="exact"/>
        <w:rPr>
          <w:rFonts w:hint="eastAsia" w:ascii="楷体" w:hAnsi="楷体" w:eastAsia="楷体" w:cs="楷体"/>
          <w:sz w:val="24"/>
          <w:szCs w:val="24"/>
        </w:rPr>
      </w:pPr>
      <w:r>
        <w:rPr>
          <w:rFonts w:hint="eastAsia" w:ascii="楷体" w:hAnsi="楷体" w:eastAsia="楷体" w:cs="楷体"/>
          <w:sz w:val="24"/>
          <w:szCs w:val="24"/>
        </w:rPr>
        <w:t>9.1、具有棒状图和轮廓图数据采集能力</w:t>
      </w:r>
    </w:p>
    <w:p w14:paraId="7556263E">
      <w:pPr>
        <w:spacing w:line="420" w:lineRule="exact"/>
        <w:rPr>
          <w:rFonts w:hint="eastAsia" w:ascii="楷体" w:hAnsi="楷体" w:eastAsia="楷体" w:cs="楷体"/>
          <w:sz w:val="24"/>
          <w:szCs w:val="24"/>
        </w:rPr>
      </w:pPr>
      <w:r>
        <w:rPr>
          <w:rFonts w:hint="eastAsia" w:ascii="楷体" w:hAnsi="楷体" w:eastAsia="楷体" w:cs="楷体"/>
          <w:sz w:val="24"/>
          <w:szCs w:val="24"/>
        </w:rPr>
        <w:t>9.2、提供全扫描、选择离子扫描和全扫描/选择离子扫描交替扫描 (&gt;100组)。</w:t>
      </w:r>
    </w:p>
    <w:p w14:paraId="4443F9D9">
      <w:pPr>
        <w:spacing w:line="420" w:lineRule="exact"/>
        <w:rPr>
          <w:rFonts w:hint="eastAsia" w:ascii="楷体" w:hAnsi="楷体" w:eastAsia="楷体" w:cs="楷体"/>
          <w:sz w:val="24"/>
          <w:szCs w:val="24"/>
        </w:rPr>
      </w:pPr>
      <w:r>
        <w:rPr>
          <w:rFonts w:hint="eastAsia" w:ascii="楷体" w:hAnsi="楷体" w:eastAsia="楷体" w:cs="楷体"/>
          <w:sz w:val="24"/>
          <w:szCs w:val="24"/>
        </w:rPr>
        <w:t>9.3、可对每段扫描的扫描速度、扫描范围、离子极性、棒状图或轮廓图的采集、发射电流、检测器增益、化学源气体流速，指定调谐文件进行控制。</w:t>
      </w:r>
    </w:p>
    <w:p w14:paraId="7943E6C5">
      <w:pPr>
        <w:spacing w:line="420" w:lineRule="exact"/>
        <w:rPr>
          <w:rFonts w:hint="eastAsia" w:ascii="楷体" w:hAnsi="楷体" w:eastAsia="楷体" w:cs="楷体"/>
          <w:sz w:val="24"/>
          <w:szCs w:val="24"/>
        </w:rPr>
      </w:pPr>
      <w:r>
        <w:rPr>
          <w:rFonts w:hint="eastAsia" w:ascii="楷体" w:hAnsi="楷体" w:eastAsia="楷体" w:cs="楷体"/>
          <w:sz w:val="24"/>
          <w:szCs w:val="24"/>
        </w:rPr>
        <w:t>9.4、具有AutoSIM和t-SIM功能（即根据全扫描自动生成SIM定量离子和保留时间的方法，并根据每个分析物的保留时间自动分配以该化合物保留时间为中心的SIM片段采集方法）</w:t>
      </w:r>
    </w:p>
    <w:p w14:paraId="2E41BDA9">
      <w:pPr>
        <w:spacing w:line="420" w:lineRule="exact"/>
        <w:rPr>
          <w:rFonts w:hint="eastAsia" w:ascii="楷体" w:hAnsi="楷体" w:eastAsia="楷体" w:cs="楷体"/>
          <w:sz w:val="24"/>
          <w:szCs w:val="24"/>
        </w:rPr>
      </w:pPr>
      <w:r>
        <w:rPr>
          <w:rFonts w:hint="eastAsia" w:ascii="楷体" w:hAnsi="楷体" w:eastAsia="楷体" w:cs="楷体"/>
          <w:sz w:val="24"/>
          <w:szCs w:val="24"/>
        </w:rPr>
        <w:t>9.5、配置清单</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5920"/>
        <w:gridCol w:w="1470"/>
        <w:gridCol w:w="1320"/>
      </w:tblGrid>
      <w:tr w14:paraId="4575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77" w:type="pct"/>
            <w:noWrap w:val="0"/>
            <w:vAlign w:val="center"/>
          </w:tcPr>
          <w:p w14:paraId="5159FDD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序号</w:t>
            </w:r>
          </w:p>
        </w:tc>
        <w:tc>
          <w:tcPr>
            <w:tcW w:w="3073" w:type="pct"/>
            <w:noWrap w:val="0"/>
            <w:vAlign w:val="center"/>
          </w:tcPr>
          <w:p w14:paraId="359C4C2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描述</w:t>
            </w:r>
          </w:p>
        </w:tc>
        <w:tc>
          <w:tcPr>
            <w:tcW w:w="763" w:type="pct"/>
            <w:noWrap w:val="0"/>
            <w:vAlign w:val="center"/>
          </w:tcPr>
          <w:p w14:paraId="735FEF5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单位</w:t>
            </w:r>
          </w:p>
        </w:tc>
        <w:tc>
          <w:tcPr>
            <w:tcW w:w="685" w:type="pct"/>
            <w:noWrap w:val="0"/>
            <w:vAlign w:val="center"/>
          </w:tcPr>
          <w:p w14:paraId="434A3DC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数量</w:t>
            </w:r>
          </w:p>
        </w:tc>
      </w:tr>
      <w:tr w14:paraId="69F1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77" w:type="pct"/>
            <w:noWrap w:val="0"/>
            <w:vAlign w:val="center"/>
          </w:tcPr>
          <w:p w14:paraId="57CB740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c>
          <w:tcPr>
            <w:tcW w:w="3073" w:type="pct"/>
            <w:noWrap w:val="0"/>
            <w:vAlign w:val="center"/>
          </w:tcPr>
          <w:p w14:paraId="0457DAC8">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气相色谱仪主机</w:t>
            </w:r>
          </w:p>
        </w:tc>
        <w:tc>
          <w:tcPr>
            <w:tcW w:w="763" w:type="pct"/>
            <w:noWrap w:val="0"/>
            <w:vAlign w:val="center"/>
          </w:tcPr>
          <w:p w14:paraId="54053696">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5C196ED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D68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77" w:type="pct"/>
            <w:noWrap w:val="0"/>
            <w:vAlign w:val="center"/>
          </w:tcPr>
          <w:p w14:paraId="636EB421">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2</w:t>
            </w:r>
          </w:p>
        </w:tc>
        <w:tc>
          <w:tcPr>
            <w:tcW w:w="3073" w:type="pct"/>
            <w:noWrap w:val="0"/>
            <w:vAlign w:val="center"/>
          </w:tcPr>
          <w:p w14:paraId="7CA29C2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分流/不分流进样口</w:t>
            </w:r>
          </w:p>
        </w:tc>
        <w:tc>
          <w:tcPr>
            <w:tcW w:w="763" w:type="pct"/>
            <w:noWrap w:val="0"/>
            <w:vAlign w:val="center"/>
          </w:tcPr>
          <w:p w14:paraId="2FD73428">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个</w:t>
            </w:r>
          </w:p>
        </w:tc>
        <w:tc>
          <w:tcPr>
            <w:tcW w:w="685" w:type="pct"/>
            <w:noWrap w:val="0"/>
            <w:vAlign w:val="center"/>
          </w:tcPr>
          <w:p w14:paraId="0BD4DF2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70A2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477" w:type="pct"/>
            <w:noWrap w:val="0"/>
            <w:vAlign w:val="center"/>
          </w:tcPr>
          <w:p w14:paraId="0114DF1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3</w:t>
            </w:r>
          </w:p>
        </w:tc>
        <w:tc>
          <w:tcPr>
            <w:tcW w:w="3073" w:type="pct"/>
            <w:noWrap w:val="0"/>
            <w:vAlign w:val="center"/>
          </w:tcPr>
          <w:p w14:paraId="75030541">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质谱接口</w:t>
            </w:r>
          </w:p>
        </w:tc>
        <w:tc>
          <w:tcPr>
            <w:tcW w:w="763" w:type="pct"/>
            <w:noWrap w:val="0"/>
            <w:vAlign w:val="center"/>
          </w:tcPr>
          <w:p w14:paraId="3501BE4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个</w:t>
            </w:r>
          </w:p>
        </w:tc>
        <w:tc>
          <w:tcPr>
            <w:tcW w:w="685" w:type="pct"/>
            <w:noWrap w:val="0"/>
            <w:vAlign w:val="center"/>
          </w:tcPr>
          <w:p w14:paraId="2918E710">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B0A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477" w:type="pct"/>
            <w:noWrap w:val="0"/>
            <w:vAlign w:val="center"/>
          </w:tcPr>
          <w:p w14:paraId="0BAD1240">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4</w:t>
            </w:r>
          </w:p>
        </w:tc>
        <w:tc>
          <w:tcPr>
            <w:tcW w:w="3073" w:type="pct"/>
            <w:noWrap w:val="0"/>
            <w:vAlign w:val="center"/>
          </w:tcPr>
          <w:p w14:paraId="432D052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质谱主机</w:t>
            </w:r>
          </w:p>
        </w:tc>
        <w:tc>
          <w:tcPr>
            <w:tcW w:w="763" w:type="pct"/>
            <w:noWrap w:val="0"/>
            <w:vAlign w:val="center"/>
          </w:tcPr>
          <w:p w14:paraId="6DE3716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651A8FD9">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3223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77" w:type="pct"/>
            <w:noWrap w:val="0"/>
            <w:vAlign w:val="center"/>
          </w:tcPr>
          <w:p w14:paraId="7346FEE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5</w:t>
            </w:r>
          </w:p>
        </w:tc>
        <w:tc>
          <w:tcPr>
            <w:tcW w:w="3073" w:type="pct"/>
            <w:noWrap w:val="0"/>
            <w:vAlign w:val="center"/>
          </w:tcPr>
          <w:p w14:paraId="445AACF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热脱附进样系统</w:t>
            </w:r>
          </w:p>
        </w:tc>
        <w:tc>
          <w:tcPr>
            <w:tcW w:w="763" w:type="pct"/>
            <w:noWrap w:val="0"/>
            <w:vAlign w:val="center"/>
          </w:tcPr>
          <w:p w14:paraId="0883C47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6899ADE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EC1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77" w:type="pct"/>
            <w:noWrap w:val="0"/>
            <w:vAlign w:val="center"/>
          </w:tcPr>
          <w:p w14:paraId="43FC364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6</w:t>
            </w:r>
          </w:p>
        </w:tc>
        <w:tc>
          <w:tcPr>
            <w:tcW w:w="3073" w:type="pct"/>
            <w:noWrap w:val="0"/>
            <w:vAlign w:val="center"/>
          </w:tcPr>
          <w:p w14:paraId="6FB0BC3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工具包</w:t>
            </w:r>
          </w:p>
        </w:tc>
        <w:tc>
          <w:tcPr>
            <w:tcW w:w="763" w:type="pct"/>
            <w:noWrap w:val="0"/>
            <w:vAlign w:val="center"/>
          </w:tcPr>
          <w:p w14:paraId="6AAA812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包</w:t>
            </w:r>
          </w:p>
        </w:tc>
        <w:tc>
          <w:tcPr>
            <w:tcW w:w="685" w:type="pct"/>
            <w:noWrap w:val="0"/>
            <w:vAlign w:val="center"/>
          </w:tcPr>
          <w:p w14:paraId="7ED5778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0228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477" w:type="pct"/>
            <w:noWrap w:val="0"/>
            <w:vAlign w:val="center"/>
          </w:tcPr>
          <w:p w14:paraId="24D9D840">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7</w:t>
            </w:r>
          </w:p>
        </w:tc>
        <w:tc>
          <w:tcPr>
            <w:tcW w:w="3073" w:type="pct"/>
            <w:noWrap w:val="0"/>
            <w:vAlign w:val="center"/>
          </w:tcPr>
          <w:p w14:paraId="6D62EE1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载气捕集阱</w:t>
            </w:r>
          </w:p>
        </w:tc>
        <w:tc>
          <w:tcPr>
            <w:tcW w:w="763" w:type="pct"/>
            <w:noWrap w:val="0"/>
            <w:vAlign w:val="center"/>
          </w:tcPr>
          <w:p w14:paraId="7A2B9EB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685" w:type="pct"/>
            <w:noWrap w:val="0"/>
            <w:vAlign w:val="center"/>
          </w:tcPr>
          <w:p w14:paraId="45C3359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1C5D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77" w:type="pct"/>
            <w:noWrap w:val="0"/>
            <w:vAlign w:val="center"/>
          </w:tcPr>
          <w:p w14:paraId="33B95224">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8</w:t>
            </w:r>
          </w:p>
        </w:tc>
        <w:tc>
          <w:tcPr>
            <w:tcW w:w="3073" w:type="pct"/>
            <w:noWrap w:val="0"/>
            <w:vAlign w:val="center"/>
          </w:tcPr>
          <w:p w14:paraId="2BE4823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数据处理工作站及应用软件</w:t>
            </w:r>
          </w:p>
        </w:tc>
        <w:tc>
          <w:tcPr>
            <w:tcW w:w="763" w:type="pct"/>
            <w:noWrap w:val="0"/>
            <w:vAlign w:val="center"/>
          </w:tcPr>
          <w:p w14:paraId="2D8BD00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685" w:type="pct"/>
            <w:noWrap w:val="0"/>
            <w:vAlign w:val="center"/>
          </w:tcPr>
          <w:p w14:paraId="1E608F9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D96C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77" w:type="pct"/>
            <w:noWrap w:val="0"/>
            <w:vAlign w:val="center"/>
          </w:tcPr>
          <w:p w14:paraId="4FE80975">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9</w:t>
            </w:r>
          </w:p>
        </w:tc>
        <w:tc>
          <w:tcPr>
            <w:tcW w:w="3073" w:type="pct"/>
            <w:noWrap w:val="0"/>
            <w:vAlign w:val="center"/>
          </w:tcPr>
          <w:p w14:paraId="5E0A2B5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最新谱库</w:t>
            </w:r>
          </w:p>
        </w:tc>
        <w:tc>
          <w:tcPr>
            <w:tcW w:w="763" w:type="pct"/>
            <w:noWrap w:val="0"/>
            <w:vAlign w:val="center"/>
          </w:tcPr>
          <w:p w14:paraId="28B32CD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685" w:type="pct"/>
            <w:noWrap w:val="0"/>
            <w:vAlign w:val="center"/>
          </w:tcPr>
          <w:p w14:paraId="1041BD8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7BB9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noWrap w:val="0"/>
            <w:vAlign w:val="center"/>
          </w:tcPr>
          <w:p w14:paraId="23C816FB">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10</w:t>
            </w:r>
          </w:p>
        </w:tc>
        <w:tc>
          <w:tcPr>
            <w:tcW w:w="3073" w:type="pct"/>
            <w:noWrap w:val="0"/>
            <w:vAlign w:val="center"/>
          </w:tcPr>
          <w:p w14:paraId="53CD317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耗材包：色谱柱30m,0.25mm,0.25um 1 根、超惰性不分流衬管 5根、超惰性分流衬管5根、进样口低流失隔垫50个/包 1包、分流不分流衬管密封圈 5 个、石墨垫10个、柱螺母5个、2ml 螺口样品瓶（含瓶子和瓶盖瓶垫）100/包 1包；</w:t>
            </w:r>
          </w:p>
        </w:tc>
        <w:tc>
          <w:tcPr>
            <w:tcW w:w="763" w:type="pct"/>
            <w:noWrap w:val="0"/>
            <w:vAlign w:val="center"/>
          </w:tcPr>
          <w:p w14:paraId="179E573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包</w:t>
            </w:r>
          </w:p>
        </w:tc>
        <w:tc>
          <w:tcPr>
            <w:tcW w:w="685" w:type="pct"/>
            <w:noWrap w:val="0"/>
            <w:vAlign w:val="center"/>
          </w:tcPr>
          <w:p w14:paraId="09FD60A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402A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77" w:type="pct"/>
            <w:noWrap w:val="0"/>
            <w:vAlign w:val="center"/>
          </w:tcPr>
          <w:p w14:paraId="6A723E66">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12</w:t>
            </w:r>
          </w:p>
        </w:tc>
        <w:tc>
          <w:tcPr>
            <w:tcW w:w="3073" w:type="pct"/>
            <w:noWrap w:val="0"/>
            <w:vAlign w:val="center"/>
          </w:tcPr>
          <w:p w14:paraId="5E5398E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索式提取装置</w:t>
            </w:r>
          </w:p>
        </w:tc>
        <w:tc>
          <w:tcPr>
            <w:tcW w:w="763" w:type="pct"/>
            <w:noWrap w:val="0"/>
            <w:vAlign w:val="center"/>
          </w:tcPr>
          <w:p w14:paraId="1AEB5D8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685" w:type="pct"/>
            <w:noWrap w:val="0"/>
            <w:vAlign w:val="center"/>
          </w:tcPr>
          <w:p w14:paraId="12EF61B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5</w:t>
            </w:r>
          </w:p>
        </w:tc>
      </w:tr>
      <w:tr w14:paraId="6F2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77" w:type="pct"/>
            <w:noWrap w:val="0"/>
            <w:vAlign w:val="center"/>
          </w:tcPr>
          <w:p w14:paraId="7EE8B2C6">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13</w:t>
            </w:r>
          </w:p>
        </w:tc>
        <w:tc>
          <w:tcPr>
            <w:tcW w:w="3073" w:type="pct"/>
            <w:noWrap w:val="0"/>
            <w:vAlign w:val="center"/>
          </w:tcPr>
          <w:p w14:paraId="6128DB7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固相萃取装置</w:t>
            </w:r>
          </w:p>
        </w:tc>
        <w:tc>
          <w:tcPr>
            <w:tcW w:w="763" w:type="pct"/>
            <w:noWrap w:val="0"/>
            <w:vAlign w:val="center"/>
          </w:tcPr>
          <w:p w14:paraId="08908BC9">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685" w:type="pct"/>
            <w:noWrap w:val="0"/>
            <w:vAlign w:val="center"/>
          </w:tcPr>
          <w:p w14:paraId="545F112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5A3A4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7" w:type="pct"/>
            <w:noWrap w:val="0"/>
            <w:vAlign w:val="center"/>
          </w:tcPr>
          <w:p w14:paraId="3CBAE18B">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14</w:t>
            </w:r>
          </w:p>
        </w:tc>
        <w:tc>
          <w:tcPr>
            <w:tcW w:w="3073" w:type="pct"/>
            <w:noWrap w:val="0"/>
            <w:vAlign w:val="center"/>
          </w:tcPr>
          <w:p w14:paraId="5622E221">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氮吹仪</w:t>
            </w:r>
          </w:p>
        </w:tc>
        <w:tc>
          <w:tcPr>
            <w:tcW w:w="763" w:type="pct"/>
            <w:noWrap w:val="0"/>
            <w:vAlign w:val="center"/>
          </w:tcPr>
          <w:p w14:paraId="6CFA4C71">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294DC31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63F33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7" w:type="pct"/>
            <w:noWrap w:val="0"/>
            <w:vAlign w:val="center"/>
          </w:tcPr>
          <w:p w14:paraId="4DF5ED07">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15</w:t>
            </w:r>
          </w:p>
        </w:tc>
        <w:tc>
          <w:tcPr>
            <w:tcW w:w="3073" w:type="pct"/>
            <w:noWrap w:val="0"/>
            <w:vAlign w:val="center"/>
          </w:tcPr>
          <w:p w14:paraId="4451E598">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老化仪</w:t>
            </w:r>
          </w:p>
        </w:tc>
        <w:tc>
          <w:tcPr>
            <w:tcW w:w="763" w:type="pct"/>
            <w:noWrap w:val="0"/>
            <w:vAlign w:val="center"/>
          </w:tcPr>
          <w:p w14:paraId="497015E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358E9DAC">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6FB4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477" w:type="pct"/>
            <w:noWrap w:val="0"/>
            <w:vAlign w:val="center"/>
          </w:tcPr>
          <w:p w14:paraId="69C98B83">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16</w:t>
            </w:r>
          </w:p>
        </w:tc>
        <w:tc>
          <w:tcPr>
            <w:tcW w:w="3073" w:type="pct"/>
            <w:noWrap w:val="0"/>
            <w:vAlign w:val="center"/>
          </w:tcPr>
          <w:p w14:paraId="29FE0CE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微量进样针</w:t>
            </w:r>
          </w:p>
        </w:tc>
        <w:tc>
          <w:tcPr>
            <w:tcW w:w="763" w:type="pct"/>
            <w:noWrap w:val="0"/>
            <w:vAlign w:val="center"/>
          </w:tcPr>
          <w:p w14:paraId="26E817F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根</w:t>
            </w:r>
          </w:p>
        </w:tc>
        <w:tc>
          <w:tcPr>
            <w:tcW w:w="685" w:type="pct"/>
            <w:noWrap w:val="0"/>
            <w:vAlign w:val="center"/>
          </w:tcPr>
          <w:p w14:paraId="55F85E2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10</w:t>
            </w:r>
          </w:p>
        </w:tc>
      </w:tr>
      <w:tr w14:paraId="7190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477" w:type="pct"/>
            <w:noWrap w:val="0"/>
            <w:vAlign w:val="center"/>
          </w:tcPr>
          <w:p w14:paraId="5906A1C2">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17</w:t>
            </w:r>
          </w:p>
        </w:tc>
        <w:tc>
          <w:tcPr>
            <w:tcW w:w="3073" w:type="pct"/>
            <w:noWrap w:val="0"/>
            <w:vAlign w:val="center"/>
          </w:tcPr>
          <w:p w14:paraId="64ECAAC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UPS电源15KV</w:t>
            </w:r>
          </w:p>
        </w:tc>
        <w:tc>
          <w:tcPr>
            <w:tcW w:w="763" w:type="pct"/>
            <w:noWrap w:val="0"/>
            <w:vAlign w:val="center"/>
          </w:tcPr>
          <w:p w14:paraId="4D4AE081">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685" w:type="pct"/>
            <w:noWrap w:val="0"/>
            <w:vAlign w:val="center"/>
          </w:tcPr>
          <w:p w14:paraId="51FBA4A8">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bl>
    <w:p w14:paraId="5DB48BEC">
      <w:pPr>
        <w:spacing w:line="420" w:lineRule="exact"/>
        <w:rPr>
          <w:rFonts w:hint="eastAsia" w:ascii="楷体" w:hAnsi="楷体" w:eastAsia="楷体" w:cs="楷体"/>
          <w:b/>
          <w:bCs/>
          <w:sz w:val="24"/>
          <w:szCs w:val="24"/>
        </w:rPr>
      </w:pPr>
    </w:p>
    <w:p w14:paraId="21428E78">
      <w:pPr>
        <w:spacing w:line="420" w:lineRule="exact"/>
        <w:rPr>
          <w:rFonts w:hint="eastAsia" w:ascii="楷体" w:hAnsi="楷体" w:eastAsia="楷体" w:cs="楷体"/>
          <w:sz w:val="24"/>
          <w:szCs w:val="24"/>
        </w:rPr>
      </w:pPr>
      <w:r>
        <w:rPr>
          <w:rFonts w:hint="eastAsia" w:ascii="楷体" w:hAnsi="楷体" w:eastAsia="楷体" w:cs="楷体"/>
          <w:b/>
          <w:bCs/>
          <w:sz w:val="24"/>
          <w:szCs w:val="24"/>
        </w:rPr>
        <w:t>二</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sz w:val="24"/>
          <w:szCs w:val="24"/>
        </w:rPr>
        <w:t>及服务要求</w:t>
      </w:r>
    </w:p>
    <w:p w14:paraId="24630E67">
      <w:pPr>
        <w:spacing w:line="420" w:lineRule="exact"/>
        <w:rPr>
          <w:rFonts w:hint="eastAsia" w:ascii="楷体" w:hAnsi="楷体" w:eastAsia="楷体" w:cs="楷体"/>
          <w:sz w:val="24"/>
          <w:szCs w:val="24"/>
        </w:rPr>
      </w:pPr>
      <w:r>
        <w:rPr>
          <w:rFonts w:hint="eastAsia" w:ascii="楷体" w:hAnsi="楷体" w:eastAsia="楷体" w:cs="楷体"/>
          <w:sz w:val="24"/>
          <w:szCs w:val="24"/>
        </w:rPr>
        <w:t>2.1产品质量必须符合中华人民共和国国家标准及我国最新颁布的与之相关的技术规范与正宗合格产品标准，同时必须满足招标文件中所列全部规格、型号、具体配置、技术条件及功能要求和供方承诺的其它指标；产品质量出现问题，供方负责包退、包换、包修，其费用由供应商负责。</w:t>
      </w:r>
    </w:p>
    <w:p w14:paraId="398FE6CA">
      <w:pPr>
        <w:spacing w:line="420" w:lineRule="exact"/>
        <w:rPr>
          <w:rFonts w:hint="eastAsia" w:ascii="楷体" w:hAnsi="楷体" w:eastAsia="楷体" w:cs="楷体"/>
          <w:sz w:val="24"/>
          <w:szCs w:val="24"/>
        </w:rPr>
      </w:pPr>
      <w:r>
        <w:rPr>
          <w:rFonts w:hint="eastAsia" w:ascii="楷体" w:hAnsi="楷体" w:eastAsia="楷体" w:cs="楷体"/>
          <w:sz w:val="24"/>
          <w:szCs w:val="24"/>
        </w:rPr>
        <w:t>2.2交货时间及地点：合同签订后2周内，将全新原厂设备发至买方指定地点。</w:t>
      </w:r>
    </w:p>
    <w:p w14:paraId="7A779F68">
      <w:pPr>
        <w:spacing w:line="420" w:lineRule="exact"/>
        <w:rPr>
          <w:rFonts w:hint="eastAsia" w:ascii="楷体" w:hAnsi="楷体" w:eastAsia="楷体" w:cs="楷体"/>
          <w:sz w:val="24"/>
          <w:szCs w:val="24"/>
        </w:rPr>
      </w:pPr>
      <w:r>
        <w:rPr>
          <w:rFonts w:hint="eastAsia" w:ascii="楷体" w:hAnsi="楷体" w:eastAsia="楷体" w:cs="楷体"/>
          <w:sz w:val="24"/>
          <w:szCs w:val="24"/>
        </w:rPr>
        <w:t>2.3相关文件：供货方提供详细的操作指南、产品说明书、产品合格证书、供货证明。</w:t>
      </w:r>
    </w:p>
    <w:p w14:paraId="79C3D6DE">
      <w:pPr>
        <w:spacing w:line="420" w:lineRule="exact"/>
        <w:rPr>
          <w:rFonts w:hint="eastAsia" w:ascii="楷体" w:hAnsi="楷体" w:eastAsia="楷体" w:cs="楷体"/>
          <w:sz w:val="24"/>
          <w:szCs w:val="24"/>
        </w:rPr>
      </w:pPr>
      <w:r>
        <w:rPr>
          <w:rFonts w:hint="eastAsia" w:ascii="楷体" w:hAnsi="楷体" w:eastAsia="楷体" w:cs="楷体"/>
          <w:sz w:val="24"/>
          <w:szCs w:val="24"/>
        </w:rPr>
        <w:t>2.4安装调试：供货方应在接到买方安装调试要求的7个工作日内上门免费安装、调试。安装调试检验结果应符合制造厂产品标准和买方认可的技术性能。</w:t>
      </w:r>
    </w:p>
    <w:p w14:paraId="741E573C">
      <w:pPr>
        <w:spacing w:line="420" w:lineRule="exact"/>
        <w:rPr>
          <w:rFonts w:hint="eastAsia" w:ascii="楷体" w:hAnsi="楷体" w:eastAsia="楷体" w:cs="楷体"/>
          <w:sz w:val="24"/>
          <w:szCs w:val="24"/>
        </w:rPr>
      </w:pPr>
      <w:r>
        <w:rPr>
          <w:rFonts w:hint="eastAsia" w:ascii="楷体" w:hAnsi="楷体" w:eastAsia="楷体" w:cs="楷体"/>
          <w:sz w:val="24"/>
          <w:szCs w:val="24"/>
        </w:rPr>
        <w:t>2.5质保期:至少是货物安装验收合格后24个月。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bookmarkStart w:id="239" w:name="OLE_LINK3"/>
      <w:r>
        <w:rPr>
          <w:rFonts w:hint="eastAsia" w:ascii="楷体" w:hAnsi="楷体" w:eastAsia="楷体" w:cs="楷体"/>
          <w:sz w:val="24"/>
          <w:szCs w:val="24"/>
          <w:lang w:val="en-US" w:eastAsia="zh-CN"/>
        </w:rPr>
        <w:t>在投标文件中</w:t>
      </w:r>
      <w:bookmarkEnd w:id="239"/>
      <w:r>
        <w:rPr>
          <w:rFonts w:hint="eastAsia" w:ascii="楷体" w:hAnsi="楷体" w:eastAsia="楷体" w:cs="楷体"/>
          <w:sz w:val="24"/>
          <w:szCs w:val="24"/>
        </w:rPr>
        <w:t>提供不同维保方式的收费标准及折扣率），并且保证使用方能更换或购买到原厂正宗的零部件及易损件，确保设备的正常使用。</w:t>
      </w:r>
    </w:p>
    <w:p w14:paraId="1CAA2D9D">
      <w:pPr>
        <w:spacing w:line="420" w:lineRule="exact"/>
        <w:rPr>
          <w:rFonts w:hint="eastAsia" w:ascii="楷体" w:hAnsi="楷体" w:eastAsia="楷体" w:cs="楷体"/>
          <w:sz w:val="24"/>
          <w:szCs w:val="24"/>
        </w:rPr>
      </w:pPr>
      <w:r>
        <w:rPr>
          <w:rFonts w:hint="eastAsia" w:ascii="楷体" w:hAnsi="楷体" w:eastAsia="楷体" w:cs="楷体"/>
          <w:sz w:val="24"/>
          <w:szCs w:val="24"/>
        </w:rPr>
        <w:t>2.6维修服务：供货方在接到买方要求提供服务的电话后，会在2小时内响应。电话服务无法解决的，将会在24小时内派服务工程师到达买方现场检修仪器。如因外界交通或其它非可控之原因而无法及时到达买方现场的，应通知买方说明这些原因并将计划达到的日期通知买方。对于一般性故障问题，承诺24-48小时内修复；对于复杂和疑难性或境内没有零配件(需要向国外订购的)故障，承诺在6周内保证修复。如因非能事先预见的原因（包括没有完成服务所需的零部件）而使派遣的技术人员不能通过一次上门服务完成所需的协议服务，则供货方应承诺将采取有效及快捷之措施，在最短的时间内完成协议规定的维修服务。供货方应终身负责维护维修，如因非人为原因导致仪器出现故障，需要寄送厂家返修，则期间产生费用由供货方承担。</w:t>
      </w:r>
    </w:p>
    <w:p w14:paraId="1BA293AB">
      <w:pPr>
        <w:spacing w:line="420" w:lineRule="exact"/>
        <w:rPr>
          <w:rFonts w:hint="eastAsia" w:ascii="楷体" w:hAnsi="楷体" w:eastAsia="楷体" w:cs="楷体"/>
          <w:sz w:val="24"/>
          <w:szCs w:val="24"/>
        </w:rPr>
      </w:pPr>
      <w:r>
        <w:rPr>
          <w:rFonts w:hint="eastAsia" w:ascii="楷体" w:hAnsi="楷体" w:eastAsia="楷体" w:cs="楷体"/>
          <w:sz w:val="24"/>
          <w:szCs w:val="24"/>
        </w:rPr>
        <w:t>2.7硬件维护及软件升级：供货方定期（至少1年1次）提供免费上门维护服务，买方享有免费升级软件的权力，确保仪器软硬件正常使用。</w:t>
      </w:r>
    </w:p>
    <w:p w14:paraId="54287DA8">
      <w:pPr>
        <w:spacing w:line="420" w:lineRule="exact"/>
        <w:rPr>
          <w:rFonts w:hint="eastAsia" w:ascii="楷体" w:hAnsi="楷体" w:eastAsia="楷体" w:cs="楷体"/>
          <w:sz w:val="24"/>
          <w:szCs w:val="24"/>
        </w:rPr>
      </w:pPr>
      <w:r>
        <w:rPr>
          <w:rFonts w:hint="eastAsia" w:ascii="楷体" w:hAnsi="楷体" w:eastAsia="楷体" w:cs="楷体"/>
          <w:sz w:val="24"/>
          <w:szCs w:val="24"/>
        </w:rPr>
        <w:t>2.8培训：提供4人次厂家组织的免费培训。所采购仪器设备均需原厂家工程师进行调试安装及培训，供应商方应免费对采购人技术人员进行操作、维修、保养等方面进行培训，并提供现场操作培训，内容包括仪器的基本原理，操作保养，维修等方面，直到技术人员能独立操作和使用。</w:t>
      </w:r>
    </w:p>
    <w:p w14:paraId="5B0F1A94">
      <w:pPr>
        <w:pStyle w:val="1542"/>
        <w:spacing w:line="420" w:lineRule="exact"/>
        <w:ind w:firstLine="0"/>
        <w:rPr>
          <w:rFonts w:hint="eastAsia" w:ascii="楷体" w:hAnsi="楷体" w:eastAsia="楷体" w:cs="楷体"/>
          <w:sz w:val="24"/>
          <w:szCs w:val="24"/>
        </w:rPr>
      </w:pPr>
      <w:r>
        <w:rPr>
          <w:rFonts w:hint="eastAsia" w:ascii="楷体" w:hAnsi="楷体" w:eastAsia="楷体" w:cs="楷体"/>
          <w:kern w:val="2"/>
          <w:sz w:val="24"/>
          <w:szCs w:val="24"/>
        </w:rPr>
        <w:t>2.9安装调试结束后,投标人需要提供由国家法定计量认证机构出具的气相色谱质谱联用仪检定或校准证书。</w:t>
      </w:r>
    </w:p>
    <w:p w14:paraId="49440916">
      <w:pPr>
        <w:keepNext w:val="0"/>
        <w:keepLines w:val="0"/>
        <w:pageBreakBefore w:val="0"/>
        <w:kinsoku/>
        <w:wordWrap/>
        <w:overflowPunct/>
        <w:topLinePunct w:val="0"/>
        <w:bidi w:val="0"/>
        <w:spacing w:line="420" w:lineRule="exact"/>
        <w:jc w:val="center"/>
        <w:textAlignment w:val="auto"/>
        <w:rPr>
          <w:rFonts w:hint="eastAsia" w:ascii="楷体" w:hAnsi="楷体" w:eastAsia="楷体" w:cs="楷体"/>
          <w:b/>
          <w:bCs/>
          <w:sz w:val="24"/>
          <w:szCs w:val="24"/>
        </w:rPr>
      </w:pPr>
    </w:p>
    <w:p w14:paraId="4DBB064C">
      <w:pPr>
        <w:keepNext w:val="0"/>
        <w:keepLines w:val="0"/>
        <w:pageBreakBefore w:val="0"/>
        <w:kinsoku/>
        <w:wordWrap/>
        <w:overflowPunct/>
        <w:topLinePunct w:val="0"/>
        <w:bidi w:val="0"/>
        <w:spacing w:line="420" w:lineRule="exact"/>
        <w:jc w:val="both"/>
        <w:textAlignment w:val="auto"/>
        <w:rPr>
          <w:rFonts w:hint="eastAsia" w:ascii="楷体" w:hAnsi="楷体" w:eastAsia="楷体" w:cs="楷体"/>
          <w:b/>
          <w:bCs/>
          <w:sz w:val="24"/>
          <w:szCs w:val="24"/>
        </w:rPr>
      </w:pPr>
      <w:r>
        <w:rPr>
          <w:rFonts w:hint="eastAsia" w:ascii="楷体" w:hAnsi="楷体" w:eastAsia="楷体" w:cs="楷体"/>
          <w:b/>
          <w:bCs/>
          <w:sz w:val="24"/>
          <w:szCs w:val="24"/>
          <w:lang w:val="en-US" w:eastAsia="zh-CN"/>
        </w:rPr>
        <w:t>（二）</w:t>
      </w:r>
      <w:r>
        <w:rPr>
          <w:rFonts w:hint="eastAsia" w:ascii="楷体" w:hAnsi="楷体" w:eastAsia="楷体" w:cs="楷体"/>
          <w:b/>
          <w:bCs/>
          <w:sz w:val="24"/>
          <w:szCs w:val="24"/>
        </w:rPr>
        <w:t>气相色谱仪</w:t>
      </w:r>
      <w:r>
        <w:rPr>
          <w:rFonts w:ascii="楷体" w:hAnsi="楷体" w:eastAsia="楷体" w:cs="Arial"/>
          <w:b/>
          <w:sz w:val="24"/>
        </w:rPr>
        <w:t>技术</w:t>
      </w:r>
      <w:r>
        <w:rPr>
          <w:rFonts w:hint="eastAsia" w:ascii="楷体" w:hAnsi="楷体" w:eastAsia="楷体" w:cs="Arial"/>
          <w:b/>
          <w:sz w:val="24"/>
          <w:lang w:val="en-US" w:eastAsia="zh-CN"/>
        </w:rPr>
        <w:t>参数及服务</w:t>
      </w:r>
      <w:r>
        <w:rPr>
          <w:rFonts w:ascii="楷体" w:hAnsi="楷体" w:eastAsia="楷体" w:cs="Arial"/>
          <w:b/>
          <w:sz w:val="24"/>
        </w:rPr>
        <w:t>要求</w:t>
      </w:r>
    </w:p>
    <w:p w14:paraId="29B82AE4">
      <w:pPr>
        <w:keepNext w:val="0"/>
        <w:keepLines w:val="0"/>
        <w:pageBreakBefore w:val="0"/>
        <w:kinsoku/>
        <w:wordWrap/>
        <w:overflowPunct/>
        <w:topLinePunct w:val="0"/>
        <w:bidi w:val="0"/>
        <w:spacing w:line="420" w:lineRule="exact"/>
        <w:textAlignment w:val="auto"/>
        <w:rPr>
          <w:rFonts w:hint="eastAsia" w:ascii="楷体" w:hAnsi="楷体" w:eastAsia="楷体" w:cs="楷体"/>
          <w:b/>
          <w:sz w:val="24"/>
          <w:szCs w:val="24"/>
        </w:rPr>
      </w:pPr>
      <w:r>
        <w:rPr>
          <w:rFonts w:hint="eastAsia" w:ascii="楷体" w:hAnsi="楷体" w:eastAsia="楷体" w:cs="楷体"/>
          <w:b/>
          <w:sz w:val="24"/>
          <w:szCs w:val="24"/>
          <w:lang w:val="en-US" w:eastAsia="zh-CN"/>
        </w:rPr>
        <w:t>一</w:t>
      </w:r>
      <w:r>
        <w:rPr>
          <w:rFonts w:hint="eastAsia" w:ascii="楷体" w:hAnsi="楷体" w:eastAsia="楷体" w:cs="楷体"/>
          <w:b/>
          <w:sz w:val="24"/>
          <w:szCs w:val="24"/>
          <w:lang w:eastAsia="zh-CN"/>
        </w:rPr>
        <w:t>）</w:t>
      </w:r>
      <w:r>
        <w:rPr>
          <w:rFonts w:hint="eastAsia" w:ascii="楷体" w:hAnsi="楷体" w:eastAsia="楷体" w:cs="楷体"/>
          <w:b/>
          <w:sz w:val="24"/>
          <w:szCs w:val="24"/>
        </w:rPr>
        <w:t>仪器工作环境</w:t>
      </w:r>
    </w:p>
    <w:p w14:paraId="6E31A422">
      <w:pPr>
        <w:spacing w:line="420" w:lineRule="exact"/>
        <w:rPr>
          <w:rFonts w:hint="eastAsia" w:ascii="楷体" w:hAnsi="楷体" w:eastAsia="楷体" w:cs="楷体"/>
          <w:b/>
          <w:sz w:val="24"/>
          <w:szCs w:val="24"/>
        </w:rPr>
      </w:pPr>
      <w:r>
        <w:rPr>
          <w:rFonts w:hint="eastAsia" w:ascii="楷体" w:hAnsi="楷体" w:eastAsia="楷体" w:cs="楷体"/>
          <w:b/>
          <w:sz w:val="24"/>
          <w:szCs w:val="24"/>
          <w:lang w:val="en-US" w:eastAsia="zh-CN"/>
        </w:rPr>
        <w:t>1、</w:t>
      </w:r>
      <w:r>
        <w:rPr>
          <w:rFonts w:hint="eastAsia" w:ascii="楷体" w:hAnsi="楷体" w:eastAsia="楷体" w:cs="楷体"/>
          <w:b/>
          <w:sz w:val="24"/>
          <w:szCs w:val="24"/>
        </w:rPr>
        <w:t>仪器工作环境</w:t>
      </w:r>
    </w:p>
    <w:p w14:paraId="2094B3CB">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1</w:t>
      </w:r>
      <w:r>
        <w:rPr>
          <w:rFonts w:hint="eastAsia" w:ascii="楷体" w:hAnsi="楷体" w:eastAsia="楷体" w:cs="楷体"/>
          <w:sz w:val="24"/>
          <w:szCs w:val="24"/>
        </w:rPr>
        <w:t>.1、工作环境温度：5-35℃</w:t>
      </w:r>
    </w:p>
    <w:p w14:paraId="7E6F3ACA">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1</w:t>
      </w:r>
      <w:r>
        <w:rPr>
          <w:rFonts w:hint="eastAsia" w:ascii="楷体" w:hAnsi="楷体" w:eastAsia="楷体" w:cs="楷体"/>
          <w:sz w:val="24"/>
          <w:szCs w:val="24"/>
        </w:rPr>
        <w:t xml:space="preserve">.2、工作环境湿度:＜85% </w:t>
      </w:r>
    </w:p>
    <w:p w14:paraId="161D6D69">
      <w:pPr>
        <w:spacing w:line="420" w:lineRule="exact"/>
        <w:rPr>
          <w:rFonts w:hint="eastAsia" w:ascii="楷体" w:hAnsi="楷体" w:eastAsia="楷体" w:cs="楷体"/>
          <w:b/>
          <w:sz w:val="24"/>
          <w:szCs w:val="24"/>
        </w:rPr>
      </w:pPr>
      <w:r>
        <w:rPr>
          <w:rFonts w:hint="eastAsia" w:ascii="楷体" w:hAnsi="楷体" w:eastAsia="楷体" w:cs="楷体"/>
          <w:b/>
          <w:sz w:val="24"/>
          <w:szCs w:val="24"/>
          <w:lang w:val="en-US" w:eastAsia="zh-CN"/>
        </w:rPr>
        <w:t>二</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5E81D4D3">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2.1</w:t>
      </w:r>
      <w:r>
        <w:rPr>
          <w:rFonts w:hint="eastAsia" w:ascii="楷体" w:hAnsi="楷体" w:eastAsia="楷体" w:cs="楷体"/>
          <w:sz w:val="24"/>
          <w:szCs w:val="24"/>
        </w:rPr>
        <w:t>、系统性能指标</w:t>
      </w:r>
    </w:p>
    <w:p w14:paraId="219B9572">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bCs/>
          <w:sz w:val="24"/>
          <w:szCs w:val="24"/>
          <w:lang w:val="en-US" w:eastAsia="zh-CN"/>
        </w:rPr>
        <w:t>2.</w:t>
      </w:r>
      <w:r>
        <w:rPr>
          <w:rFonts w:hint="eastAsia" w:ascii="楷体" w:hAnsi="楷体" w:eastAsia="楷体" w:cs="楷体"/>
          <w:sz w:val="24"/>
          <w:szCs w:val="24"/>
        </w:rPr>
        <w:t>1.1、峰面积重现性：&lt;0.3% RSD</w:t>
      </w:r>
    </w:p>
    <w:p w14:paraId="1A0D2C7D">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2.2</w:t>
      </w:r>
      <w:r>
        <w:rPr>
          <w:rFonts w:hint="eastAsia" w:ascii="楷体" w:hAnsi="楷体" w:eastAsia="楷体" w:cs="楷体"/>
          <w:sz w:val="24"/>
          <w:szCs w:val="24"/>
        </w:rPr>
        <w:t>、柱温箱</w:t>
      </w:r>
    </w:p>
    <w:p w14:paraId="745C9589">
      <w:pPr>
        <w:spacing w:line="420" w:lineRule="exact"/>
        <w:rPr>
          <w:rFonts w:hint="eastAsia" w:ascii="楷体" w:hAnsi="楷体" w:eastAsia="楷体" w:cs="楷体"/>
          <w:sz w:val="24"/>
          <w:szCs w:val="24"/>
        </w:rPr>
      </w:pPr>
      <w:r>
        <w:rPr>
          <w:rFonts w:hint="eastAsia" w:ascii="楷体" w:hAnsi="楷体" w:eastAsia="楷体" w:cs="楷体"/>
          <w:sz w:val="24"/>
          <w:szCs w:val="24"/>
        </w:rPr>
        <w:t>2.</w:t>
      </w:r>
      <w:r>
        <w:rPr>
          <w:rFonts w:hint="eastAsia" w:ascii="楷体" w:hAnsi="楷体" w:eastAsia="楷体" w:cs="楷体"/>
          <w:sz w:val="24"/>
          <w:szCs w:val="24"/>
          <w:lang w:val="en-US" w:eastAsia="zh-CN"/>
        </w:rPr>
        <w:t>2.1</w:t>
      </w:r>
      <w:r>
        <w:rPr>
          <w:rFonts w:hint="eastAsia" w:ascii="楷体" w:hAnsi="楷体" w:eastAsia="楷体" w:cs="楷体"/>
          <w:sz w:val="24"/>
          <w:szCs w:val="24"/>
        </w:rPr>
        <w:t>、操作温度范围：室温以上5℃ 到450℃</w:t>
      </w:r>
    </w:p>
    <w:p w14:paraId="5D308FAE">
      <w:pPr>
        <w:spacing w:line="420" w:lineRule="exact"/>
        <w:rPr>
          <w:rFonts w:hint="eastAsia" w:ascii="楷体" w:hAnsi="楷体" w:eastAsia="楷体" w:cs="楷体"/>
          <w:sz w:val="24"/>
          <w:szCs w:val="24"/>
        </w:rPr>
      </w:pPr>
      <w:r>
        <w:rPr>
          <w:rFonts w:hint="eastAsia" w:ascii="楷体" w:hAnsi="楷体" w:eastAsia="楷体" w:cs="楷体"/>
          <w:sz w:val="24"/>
          <w:szCs w:val="24"/>
        </w:rPr>
        <w:t>2.2</w:t>
      </w:r>
      <w:r>
        <w:rPr>
          <w:rFonts w:hint="eastAsia" w:ascii="楷体" w:hAnsi="楷体" w:eastAsia="楷体" w:cs="楷体"/>
          <w:sz w:val="24"/>
          <w:szCs w:val="24"/>
          <w:lang w:val="en-US" w:eastAsia="zh-CN"/>
        </w:rPr>
        <w:t>.2</w:t>
      </w:r>
      <w:r>
        <w:rPr>
          <w:rFonts w:hint="eastAsia" w:ascii="楷体" w:hAnsi="楷体" w:eastAsia="楷体" w:cs="楷体"/>
          <w:sz w:val="24"/>
          <w:szCs w:val="24"/>
        </w:rPr>
        <w:t>、温度控制精度：0.1℃</w:t>
      </w:r>
    </w:p>
    <w:p w14:paraId="09FFA886">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w:t>
      </w:r>
      <w:r>
        <w:rPr>
          <w:rFonts w:hint="eastAsia" w:ascii="楷体" w:hAnsi="楷体" w:eastAsia="楷体" w:cs="楷体"/>
          <w:sz w:val="24"/>
          <w:szCs w:val="24"/>
          <w:lang w:val="en-US" w:eastAsia="zh-CN"/>
        </w:rPr>
        <w:t>2.</w:t>
      </w:r>
      <w:r>
        <w:rPr>
          <w:rFonts w:hint="eastAsia" w:ascii="楷体" w:hAnsi="楷体" w:eastAsia="楷体" w:cs="楷体"/>
          <w:sz w:val="24"/>
          <w:szCs w:val="24"/>
        </w:rPr>
        <w:t>3、程序升温：32阶/33平台</w:t>
      </w:r>
    </w:p>
    <w:p w14:paraId="2BFB1C3A">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2.</w:t>
      </w:r>
      <w:r>
        <w:rPr>
          <w:rFonts w:hint="eastAsia" w:ascii="楷体" w:hAnsi="楷体" w:eastAsia="楷体" w:cs="楷体"/>
          <w:sz w:val="24"/>
          <w:szCs w:val="24"/>
          <w:lang w:val="en-US" w:eastAsia="zh-CN"/>
        </w:rPr>
        <w:t>2.</w:t>
      </w:r>
      <w:r>
        <w:rPr>
          <w:rFonts w:hint="eastAsia" w:ascii="楷体" w:hAnsi="楷体" w:eastAsia="楷体" w:cs="楷体"/>
          <w:sz w:val="24"/>
          <w:szCs w:val="24"/>
        </w:rPr>
        <w:t>4、最高升温速率：125℃/min</w:t>
      </w:r>
    </w:p>
    <w:p w14:paraId="08579633">
      <w:pPr>
        <w:spacing w:line="420" w:lineRule="exact"/>
        <w:rPr>
          <w:rFonts w:hint="eastAsia" w:ascii="楷体" w:hAnsi="楷体" w:eastAsia="楷体" w:cs="楷体"/>
          <w:sz w:val="24"/>
          <w:szCs w:val="24"/>
        </w:rPr>
      </w:pPr>
      <w:r>
        <w:rPr>
          <w:rFonts w:hint="eastAsia" w:ascii="楷体" w:hAnsi="楷体" w:eastAsia="楷体" w:cs="楷体"/>
          <w:sz w:val="24"/>
          <w:szCs w:val="24"/>
        </w:rPr>
        <w:t>2.</w:t>
      </w:r>
      <w:r>
        <w:rPr>
          <w:rFonts w:hint="eastAsia" w:ascii="楷体" w:hAnsi="楷体" w:eastAsia="楷体" w:cs="楷体"/>
          <w:sz w:val="24"/>
          <w:szCs w:val="24"/>
          <w:lang w:val="en-US" w:eastAsia="zh-CN"/>
        </w:rPr>
        <w:t>2.</w:t>
      </w:r>
      <w:r>
        <w:rPr>
          <w:rFonts w:hint="eastAsia" w:ascii="楷体" w:hAnsi="楷体" w:eastAsia="楷体" w:cs="楷体"/>
          <w:sz w:val="24"/>
          <w:szCs w:val="24"/>
        </w:rPr>
        <w:t>5、温度稳定性：0.01℃/1℃</w:t>
      </w:r>
    </w:p>
    <w:p w14:paraId="2FA612A1">
      <w:pPr>
        <w:pStyle w:val="2"/>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w:t>
      </w:r>
      <w:r>
        <w:rPr>
          <w:rFonts w:hint="eastAsia" w:ascii="楷体" w:hAnsi="楷体" w:eastAsia="楷体" w:cs="楷体"/>
          <w:sz w:val="24"/>
          <w:szCs w:val="24"/>
          <w:lang w:val="en-US" w:eastAsia="zh-CN"/>
        </w:rPr>
        <w:t>2.</w:t>
      </w:r>
      <w:r>
        <w:rPr>
          <w:rFonts w:hint="eastAsia" w:ascii="楷体" w:hAnsi="楷体" w:eastAsia="楷体" w:cs="楷体"/>
          <w:sz w:val="24"/>
          <w:szCs w:val="24"/>
        </w:rPr>
        <w:t>6、柱温箱照明灯，柱温箱门打开自动点亮</w:t>
      </w:r>
    </w:p>
    <w:p w14:paraId="1DC9690E">
      <w:pPr>
        <w:spacing w:line="420" w:lineRule="exact"/>
        <w:rPr>
          <w:rFonts w:hint="eastAsia" w:ascii="楷体" w:hAnsi="楷体" w:eastAsia="楷体" w:cs="楷体"/>
          <w:sz w:val="24"/>
          <w:szCs w:val="24"/>
        </w:rPr>
      </w:pPr>
      <w:r>
        <w:rPr>
          <w:rFonts w:hint="eastAsia" w:ascii="楷体" w:hAnsi="楷体" w:eastAsia="楷体" w:cs="楷体"/>
          <w:sz w:val="24"/>
          <w:szCs w:val="24"/>
        </w:rPr>
        <w:t>3、电子压力控制器</w:t>
      </w:r>
    </w:p>
    <w:p w14:paraId="2C887A1F">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3.1、压力范围：0～1050kPa（152psi）</w:t>
      </w:r>
    </w:p>
    <w:p w14:paraId="317DDDE5">
      <w:pPr>
        <w:spacing w:line="420" w:lineRule="exact"/>
        <w:rPr>
          <w:rFonts w:hint="eastAsia" w:ascii="楷体" w:hAnsi="楷体" w:eastAsia="楷体" w:cs="楷体"/>
          <w:sz w:val="24"/>
          <w:szCs w:val="24"/>
        </w:rPr>
      </w:pPr>
      <w:r>
        <w:rPr>
          <w:rFonts w:hint="eastAsia" w:ascii="楷体" w:hAnsi="楷体" w:eastAsia="楷体" w:cs="楷体"/>
          <w:bCs/>
          <w:sz w:val="24"/>
          <w:szCs w:val="24"/>
        </w:rPr>
        <w:t>▲</w:t>
      </w:r>
      <w:r>
        <w:rPr>
          <w:rFonts w:hint="eastAsia" w:ascii="楷体" w:hAnsi="楷体" w:eastAsia="楷体" w:cs="楷体"/>
          <w:sz w:val="24"/>
          <w:szCs w:val="24"/>
        </w:rPr>
        <w:t>3.2、全程压力控制精度： 0.001psi</w:t>
      </w:r>
    </w:p>
    <w:p w14:paraId="34655369">
      <w:pPr>
        <w:spacing w:line="420" w:lineRule="exact"/>
        <w:rPr>
          <w:rFonts w:hint="eastAsia" w:ascii="楷体" w:hAnsi="楷体" w:eastAsia="楷体" w:cs="楷体"/>
          <w:sz w:val="24"/>
          <w:szCs w:val="24"/>
        </w:rPr>
      </w:pPr>
      <w:r>
        <w:rPr>
          <w:rFonts w:hint="eastAsia" w:ascii="楷体" w:hAnsi="楷体" w:eastAsia="楷体" w:cs="楷体"/>
          <w:sz w:val="24"/>
          <w:szCs w:val="24"/>
        </w:rPr>
        <w:t>4、分流不分流进样口</w:t>
      </w:r>
    </w:p>
    <w:p w14:paraId="1F2E1CE6">
      <w:pPr>
        <w:spacing w:line="420" w:lineRule="exact"/>
        <w:rPr>
          <w:rFonts w:hint="eastAsia" w:ascii="楷体" w:hAnsi="楷体" w:eastAsia="楷体" w:cs="楷体"/>
          <w:sz w:val="24"/>
          <w:szCs w:val="24"/>
        </w:rPr>
      </w:pPr>
      <w:r>
        <w:rPr>
          <w:rFonts w:hint="eastAsia" w:ascii="楷体" w:hAnsi="楷体" w:eastAsia="楷体" w:cs="楷体"/>
          <w:sz w:val="24"/>
          <w:szCs w:val="24"/>
        </w:rPr>
        <w:t>▲4.1、进样口即时联接模块设计，用户可2min之内更换进样口</w:t>
      </w:r>
    </w:p>
    <w:p w14:paraId="20CB797E">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4.2、最大分流比：12500:1</w:t>
      </w:r>
    </w:p>
    <w:p w14:paraId="10EA00DF">
      <w:pPr>
        <w:spacing w:line="420" w:lineRule="exact"/>
        <w:rPr>
          <w:rFonts w:hint="eastAsia" w:ascii="楷体" w:hAnsi="楷体" w:eastAsia="楷体" w:cs="楷体"/>
          <w:b/>
          <w:sz w:val="24"/>
          <w:szCs w:val="24"/>
        </w:rPr>
      </w:pPr>
      <w:r>
        <w:rPr>
          <w:rFonts w:hint="eastAsia" w:ascii="楷体" w:hAnsi="楷体" w:eastAsia="楷体" w:cs="楷体"/>
          <w:b/>
          <w:sz w:val="24"/>
          <w:szCs w:val="24"/>
        </w:rPr>
        <w:t>5、氢火焰检测器（FID）</w:t>
      </w:r>
    </w:p>
    <w:p w14:paraId="7B7B2DF5">
      <w:pPr>
        <w:spacing w:line="420" w:lineRule="exact"/>
        <w:rPr>
          <w:rFonts w:hint="eastAsia" w:ascii="楷体" w:hAnsi="楷体" w:eastAsia="楷体" w:cs="楷体"/>
          <w:sz w:val="24"/>
          <w:szCs w:val="24"/>
        </w:rPr>
      </w:pPr>
      <w:r>
        <w:rPr>
          <w:rFonts w:hint="eastAsia" w:ascii="楷体" w:hAnsi="楷体" w:eastAsia="楷体" w:cs="楷体"/>
          <w:sz w:val="24"/>
          <w:szCs w:val="24"/>
        </w:rPr>
        <w:t>5.1、最高操作温度：400℃</w:t>
      </w:r>
    </w:p>
    <w:p w14:paraId="26F12DA0">
      <w:pPr>
        <w:spacing w:line="420" w:lineRule="exact"/>
        <w:rPr>
          <w:rFonts w:hint="eastAsia" w:ascii="楷体" w:hAnsi="楷体" w:eastAsia="楷体" w:cs="楷体"/>
          <w:sz w:val="24"/>
          <w:szCs w:val="24"/>
        </w:rPr>
      </w:pPr>
      <w:r>
        <w:rPr>
          <w:rFonts w:hint="eastAsia" w:ascii="楷体" w:hAnsi="楷体" w:eastAsia="楷体" w:cs="楷体"/>
          <w:sz w:val="24"/>
          <w:szCs w:val="24"/>
        </w:rPr>
        <w:t>5.2、最低检测限：&lt;1.5 pg C/sec （十二烷）</w:t>
      </w:r>
    </w:p>
    <w:p w14:paraId="1B05D61A">
      <w:pPr>
        <w:spacing w:line="420" w:lineRule="exact"/>
        <w:rPr>
          <w:rFonts w:hint="eastAsia" w:ascii="楷体" w:hAnsi="楷体" w:eastAsia="楷体" w:cs="楷体"/>
          <w:b/>
          <w:sz w:val="24"/>
          <w:szCs w:val="24"/>
        </w:rPr>
      </w:pPr>
      <w:r>
        <w:rPr>
          <w:rFonts w:hint="eastAsia" w:ascii="楷体" w:hAnsi="楷体" w:eastAsia="楷体" w:cs="楷体"/>
          <w:b/>
          <w:sz w:val="24"/>
          <w:szCs w:val="24"/>
        </w:rPr>
        <w:t>6、电子捕获检测器（ECD）</w:t>
      </w:r>
    </w:p>
    <w:p w14:paraId="4AFB2A68">
      <w:pPr>
        <w:spacing w:line="420" w:lineRule="exact"/>
        <w:rPr>
          <w:rFonts w:hint="eastAsia" w:ascii="楷体" w:hAnsi="楷体" w:eastAsia="楷体" w:cs="楷体"/>
          <w:sz w:val="24"/>
          <w:szCs w:val="24"/>
        </w:rPr>
      </w:pPr>
      <w:r>
        <w:rPr>
          <w:rFonts w:hint="eastAsia" w:ascii="楷体" w:hAnsi="楷体" w:eastAsia="楷体" w:cs="楷体"/>
          <w:sz w:val="24"/>
          <w:szCs w:val="24"/>
        </w:rPr>
        <w:t>6.1、MDL: &lt;4.5 fg/s lindane</w:t>
      </w:r>
    </w:p>
    <w:p w14:paraId="1D4AC86C">
      <w:pPr>
        <w:spacing w:line="420" w:lineRule="exact"/>
        <w:rPr>
          <w:rFonts w:hint="eastAsia" w:ascii="楷体" w:hAnsi="楷体" w:eastAsia="楷体" w:cs="楷体"/>
          <w:sz w:val="24"/>
          <w:szCs w:val="24"/>
        </w:rPr>
      </w:pPr>
      <w:r>
        <w:rPr>
          <w:rFonts w:hint="eastAsia" w:ascii="楷体" w:hAnsi="楷体" w:eastAsia="楷体" w:cs="楷体"/>
          <w:sz w:val="24"/>
          <w:szCs w:val="24"/>
        </w:rPr>
        <w:t>6.2、最高温度：400℃，增量为 0.1℃</w:t>
      </w:r>
    </w:p>
    <w:p w14:paraId="28D016EA">
      <w:pPr>
        <w:spacing w:line="420" w:lineRule="exact"/>
        <w:rPr>
          <w:rFonts w:hint="eastAsia" w:ascii="楷体" w:hAnsi="楷体" w:eastAsia="楷体" w:cs="楷体"/>
          <w:b/>
          <w:sz w:val="24"/>
          <w:szCs w:val="24"/>
        </w:rPr>
      </w:pPr>
      <w:r>
        <w:rPr>
          <w:rFonts w:hint="eastAsia" w:ascii="楷体" w:hAnsi="楷体" w:eastAsia="楷体" w:cs="楷体"/>
          <w:b/>
          <w:sz w:val="24"/>
          <w:szCs w:val="24"/>
        </w:rPr>
        <w:t>7、液体自动进样器</w:t>
      </w:r>
    </w:p>
    <w:p w14:paraId="5B059306">
      <w:pPr>
        <w:spacing w:line="420" w:lineRule="exact"/>
        <w:rPr>
          <w:rFonts w:hint="eastAsia" w:ascii="楷体" w:hAnsi="楷体" w:eastAsia="楷体" w:cs="楷体"/>
          <w:sz w:val="24"/>
          <w:szCs w:val="24"/>
        </w:rPr>
      </w:pPr>
      <w:r>
        <w:rPr>
          <w:rFonts w:hint="eastAsia" w:ascii="楷体" w:hAnsi="楷体" w:eastAsia="楷体" w:cs="楷体"/>
          <w:sz w:val="24"/>
          <w:szCs w:val="24"/>
        </w:rPr>
        <w:t>7.1、自动进样器：位数≥100</w:t>
      </w:r>
    </w:p>
    <w:p w14:paraId="3E2CFDC0">
      <w:pPr>
        <w:tabs>
          <w:tab w:val="left" w:pos="851"/>
        </w:tabs>
        <w:spacing w:line="420" w:lineRule="exact"/>
        <w:rPr>
          <w:rFonts w:hint="eastAsia" w:ascii="楷体" w:hAnsi="楷体" w:eastAsia="楷体" w:cs="楷体"/>
          <w:sz w:val="24"/>
          <w:szCs w:val="24"/>
        </w:rPr>
      </w:pPr>
      <w:r>
        <w:rPr>
          <w:rFonts w:hint="eastAsia" w:ascii="楷体" w:hAnsi="楷体" w:eastAsia="楷体" w:cs="楷体"/>
          <w:sz w:val="24"/>
          <w:szCs w:val="24"/>
        </w:rPr>
        <w:t>7.2、最大进样体积5uL</w:t>
      </w:r>
    </w:p>
    <w:p w14:paraId="2E1EA75C">
      <w:pPr>
        <w:tabs>
          <w:tab w:val="left" w:pos="851"/>
        </w:tabs>
        <w:spacing w:line="420" w:lineRule="exact"/>
        <w:rPr>
          <w:rFonts w:hint="eastAsia" w:ascii="楷体" w:hAnsi="楷体" w:eastAsia="楷体" w:cs="楷体"/>
          <w:sz w:val="24"/>
          <w:szCs w:val="24"/>
        </w:rPr>
      </w:pPr>
      <w:r>
        <w:rPr>
          <w:rFonts w:hint="eastAsia" w:ascii="楷体" w:hAnsi="楷体" w:eastAsia="楷体" w:cs="楷体"/>
          <w:sz w:val="24"/>
          <w:szCs w:val="24"/>
        </w:rPr>
        <w:t>7.3、最小进样体积0.01uL</w:t>
      </w:r>
    </w:p>
    <w:p w14:paraId="030BCEB3">
      <w:pPr>
        <w:spacing w:line="420" w:lineRule="exact"/>
        <w:rPr>
          <w:rFonts w:hint="eastAsia" w:ascii="楷体" w:hAnsi="楷体" w:eastAsia="楷体" w:cs="楷体"/>
          <w:sz w:val="24"/>
          <w:szCs w:val="24"/>
        </w:rPr>
      </w:pPr>
      <w:r>
        <w:rPr>
          <w:rFonts w:hint="eastAsia" w:ascii="楷体" w:hAnsi="楷体" w:eastAsia="楷体" w:cs="楷体"/>
          <w:sz w:val="24"/>
          <w:szCs w:val="24"/>
        </w:rPr>
        <w:t>7.4、增量0.01uL</w:t>
      </w:r>
    </w:p>
    <w:p w14:paraId="2D2F4F4D">
      <w:pPr>
        <w:spacing w:line="420" w:lineRule="exact"/>
        <w:rPr>
          <w:rFonts w:hint="eastAsia" w:ascii="楷体" w:hAnsi="楷体" w:eastAsia="楷体" w:cs="楷体"/>
          <w:b/>
          <w:sz w:val="24"/>
          <w:szCs w:val="24"/>
        </w:rPr>
      </w:pPr>
      <w:r>
        <w:rPr>
          <w:rFonts w:hint="eastAsia" w:ascii="楷体" w:hAnsi="楷体" w:eastAsia="楷体" w:cs="楷体"/>
          <w:b/>
          <w:sz w:val="24"/>
          <w:szCs w:val="24"/>
        </w:rPr>
        <w:t>8、顶空自动进样器</w:t>
      </w:r>
    </w:p>
    <w:p w14:paraId="47D5A98B">
      <w:pPr>
        <w:spacing w:line="420" w:lineRule="exact"/>
        <w:rPr>
          <w:rFonts w:hint="eastAsia" w:ascii="楷体" w:hAnsi="楷体" w:eastAsia="楷体" w:cs="楷体"/>
          <w:sz w:val="24"/>
          <w:szCs w:val="24"/>
        </w:rPr>
      </w:pPr>
      <w:r>
        <w:rPr>
          <w:rFonts w:hint="eastAsia" w:ascii="楷体" w:hAnsi="楷体" w:eastAsia="楷体" w:cs="楷体"/>
          <w:sz w:val="24"/>
          <w:szCs w:val="24"/>
        </w:rPr>
        <w:t>8.1、样品位数：120位。</w:t>
      </w:r>
    </w:p>
    <w:p w14:paraId="76116D21">
      <w:pPr>
        <w:spacing w:line="420" w:lineRule="exact"/>
        <w:rPr>
          <w:rFonts w:hint="eastAsia" w:ascii="楷体" w:hAnsi="楷体" w:eastAsia="楷体" w:cs="楷体"/>
          <w:sz w:val="24"/>
          <w:szCs w:val="24"/>
        </w:rPr>
      </w:pPr>
      <w:r>
        <w:rPr>
          <w:rFonts w:hint="eastAsia" w:ascii="楷体" w:hAnsi="楷体" w:eastAsia="楷体" w:cs="楷体"/>
          <w:sz w:val="24"/>
          <w:szCs w:val="24"/>
        </w:rPr>
        <w:t>8.2、孵化箱位数：12位。</w:t>
      </w:r>
    </w:p>
    <w:p w14:paraId="65346845">
      <w:pPr>
        <w:spacing w:line="420" w:lineRule="exact"/>
        <w:rPr>
          <w:rFonts w:hint="eastAsia" w:ascii="楷体" w:hAnsi="楷体" w:eastAsia="楷体" w:cs="楷体"/>
          <w:sz w:val="24"/>
          <w:szCs w:val="24"/>
        </w:rPr>
      </w:pPr>
      <w:r>
        <w:rPr>
          <w:rFonts w:hint="eastAsia" w:ascii="楷体" w:hAnsi="楷体" w:eastAsia="楷体" w:cs="楷体"/>
          <w:sz w:val="24"/>
          <w:szCs w:val="24"/>
        </w:rPr>
        <w:t>8.3、操作模式：自动优化模式，恒定温度时间模式。</w:t>
      </w:r>
    </w:p>
    <w:p w14:paraId="29EB8AA2">
      <w:pPr>
        <w:spacing w:line="420" w:lineRule="exact"/>
        <w:rPr>
          <w:rFonts w:hint="eastAsia" w:ascii="楷体" w:hAnsi="楷体" w:eastAsia="楷体" w:cs="楷体"/>
          <w:sz w:val="24"/>
          <w:szCs w:val="24"/>
        </w:rPr>
      </w:pPr>
      <w:r>
        <w:rPr>
          <w:rFonts w:hint="eastAsia" w:ascii="楷体" w:hAnsi="楷体" w:eastAsia="楷体" w:cs="楷体"/>
          <w:sz w:val="24"/>
          <w:szCs w:val="24"/>
        </w:rPr>
        <w:t>8.4、样品加热温度：40-200℃， 增量 1℃。</w:t>
      </w:r>
    </w:p>
    <w:p w14:paraId="1C0C50AC">
      <w:pPr>
        <w:spacing w:line="420" w:lineRule="exact"/>
        <w:rPr>
          <w:rFonts w:hint="eastAsia" w:ascii="楷体" w:hAnsi="楷体" w:eastAsia="楷体" w:cs="楷体"/>
          <w:sz w:val="24"/>
          <w:szCs w:val="24"/>
          <w:highlight w:val="red"/>
        </w:rPr>
      </w:pPr>
      <w:r>
        <w:rPr>
          <w:rFonts w:hint="eastAsia" w:ascii="楷体" w:hAnsi="楷体" w:eastAsia="楷体" w:cs="楷体"/>
          <w:sz w:val="24"/>
          <w:szCs w:val="24"/>
        </w:rPr>
        <w:t>8.5、样品峰面积重现性：RSD≤1%。</w:t>
      </w:r>
    </w:p>
    <w:p w14:paraId="2E0D2ED0">
      <w:pPr>
        <w:spacing w:line="420" w:lineRule="exact"/>
        <w:rPr>
          <w:rFonts w:hint="eastAsia" w:ascii="楷体" w:hAnsi="楷体" w:eastAsia="楷体" w:cs="楷体"/>
          <w:b/>
          <w:sz w:val="24"/>
          <w:szCs w:val="24"/>
        </w:rPr>
      </w:pPr>
      <w:r>
        <w:rPr>
          <w:rFonts w:hint="eastAsia" w:ascii="楷体" w:hAnsi="楷体" w:eastAsia="楷体" w:cs="楷体"/>
          <w:b/>
          <w:sz w:val="24"/>
          <w:szCs w:val="24"/>
        </w:rPr>
        <w:t>9、配置清单</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
        <w:gridCol w:w="6203"/>
        <w:gridCol w:w="923"/>
        <w:gridCol w:w="1582"/>
      </w:tblGrid>
      <w:tr w14:paraId="3FA9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8" w:type="pct"/>
            <w:noWrap w:val="0"/>
            <w:vAlign w:val="center"/>
          </w:tcPr>
          <w:p w14:paraId="629C77E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序号</w:t>
            </w:r>
          </w:p>
        </w:tc>
        <w:tc>
          <w:tcPr>
            <w:tcW w:w="3219" w:type="pct"/>
            <w:noWrap w:val="0"/>
            <w:vAlign w:val="center"/>
          </w:tcPr>
          <w:p w14:paraId="6ED8847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描述</w:t>
            </w:r>
          </w:p>
        </w:tc>
        <w:tc>
          <w:tcPr>
            <w:tcW w:w="479" w:type="pct"/>
            <w:noWrap w:val="0"/>
            <w:vAlign w:val="center"/>
          </w:tcPr>
          <w:p w14:paraId="47311AF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单位</w:t>
            </w:r>
          </w:p>
        </w:tc>
        <w:tc>
          <w:tcPr>
            <w:tcW w:w="821" w:type="pct"/>
            <w:noWrap w:val="0"/>
            <w:vAlign w:val="center"/>
          </w:tcPr>
          <w:p w14:paraId="6CBDB65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数量</w:t>
            </w:r>
          </w:p>
        </w:tc>
      </w:tr>
      <w:tr w14:paraId="60E6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478" w:type="pct"/>
            <w:noWrap w:val="0"/>
            <w:vAlign w:val="center"/>
          </w:tcPr>
          <w:p w14:paraId="0680544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c>
          <w:tcPr>
            <w:tcW w:w="3219" w:type="pct"/>
            <w:noWrap w:val="0"/>
            <w:vAlign w:val="center"/>
          </w:tcPr>
          <w:p w14:paraId="09F7F429">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气相色谱仪主机</w:t>
            </w:r>
          </w:p>
        </w:tc>
        <w:tc>
          <w:tcPr>
            <w:tcW w:w="479" w:type="pct"/>
            <w:noWrap w:val="0"/>
            <w:vAlign w:val="center"/>
          </w:tcPr>
          <w:p w14:paraId="7036395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4571E978">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69F6B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78" w:type="pct"/>
            <w:noWrap w:val="0"/>
            <w:vAlign w:val="center"/>
          </w:tcPr>
          <w:p w14:paraId="0F66280C">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2</w:t>
            </w:r>
          </w:p>
        </w:tc>
        <w:tc>
          <w:tcPr>
            <w:tcW w:w="3219" w:type="pct"/>
            <w:noWrap w:val="0"/>
            <w:vAlign w:val="center"/>
          </w:tcPr>
          <w:p w14:paraId="7EC838D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毛细管柱分流不分流进样口</w:t>
            </w:r>
          </w:p>
        </w:tc>
        <w:tc>
          <w:tcPr>
            <w:tcW w:w="479" w:type="pct"/>
            <w:noWrap w:val="0"/>
            <w:vAlign w:val="center"/>
          </w:tcPr>
          <w:p w14:paraId="46E6C64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个</w:t>
            </w:r>
          </w:p>
        </w:tc>
        <w:tc>
          <w:tcPr>
            <w:tcW w:w="821" w:type="pct"/>
            <w:noWrap w:val="0"/>
            <w:vAlign w:val="center"/>
          </w:tcPr>
          <w:p w14:paraId="20EEB5E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2</w:t>
            </w:r>
          </w:p>
        </w:tc>
      </w:tr>
      <w:tr w14:paraId="5315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78" w:type="pct"/>
            <w:noWrap w:val="0"/>
            <w:vAlign w:val="center"/>
          </w:tcPr>
          <w:p w14:paraId="05DDD78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3</w:t>
            </w:r>
          </w:p>
        </w:tc>
        <w:tc>
          <w:tcPr>
            <w:tcW w:w="3219" w:type="pct"/>
            <w:noWrap w:val="0"/>
            <w:vAlign w:val="center"/>
          </w:tcPr>
          <w:p w14:paraId="308F69E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氢火焰检测器</w:t>
            </w:r>
          </w:p>
        </w:tc>
        <w:tc>
          <w:tcPr>
            <w:tcW w:w="479" w:type="pct"/>
            <w:noWrap w:val="0"/>
            <w:vAlign w:val="center"/>
          </w:tcPr>
          <w:p w14:paraId="49E27AD9">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个</w:t>
            </w:r>
          </w:p>
        </w:tc>
        <w:tc>
          <w:tcPr>
            <w:tcW w:w="821" w:type="pct"/>
            <w:noWrap w:val="0"/>
            <w:vAlign w:val="center"/>
          </w:tcPr>
          <w:p w14:paraId="44A3663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2</w:t>
            </w:r>
          </w:p>
        </w:tc>
      </w:tr>
      <w:tr w14:paraId="6186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78" w:type="pct"/>
            <w:noWrap w:val="0"/>
            <w:vAlign w:val="center"/>
          </w:tcPr>
          <w:p w14:paraId="222FB60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4</w:t>
            </w:r>
          </w:p>
        </w:tc>
        <w:tc>
          <w:tcPr>
            <w:tcW w:w="3219" w:type="pct"/>
            <w:noWrap w:val="0"/>
            <w:vAlign w:val="center"/>
          </w:tcPr>
          <w:p w14:paraId="43C5B1D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电子捕获检测器</w:t>
            </w:r>
          </w:p>
        </w:tc>
        <w:tc>
          <w:tcPr>
            <w:tcW w:w="479" w:type="pct"/>
            <w:noWrap w:val="0"/>
            <w:vAlign w:val="center"/>
          </w:tcPr>
          <w:p w14:paraId="1C211CE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个</w:t>
            </w:r>
          </w:p>
        </w:tc>
        <w:tc>
          <w:tcPr>
            <w:tcW w:w="821" w:type="pct"/>
            <w:noWrap w:val="0"/>
            <w:vAlign w:val="center"/>
          </w:tcPr>
          <w:p w14:paraId="6F7003F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DDBD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78" w:type="pct"/>
            <w:noWrap w:val="0"/>
            <w:vAlign w:val="center"/>
          </w:tcPr>
          <w:p w14:paraId="1A468BF6">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5</w:t>
            </w:r>
          </w:p>
        </w:tc>
        <w:tc>
          <w:tcPr>
            <w:tcW w:w="3219" w:type="pct"/>
            <w:noWrap w:val="0"/>
            <w:vAlign w:val="center"/>
          </w:tcPr>
          <w:p w14:paraId="7FA325F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液体自动进样器</w:t>
            </w:r>
          </w:p>
        </w:tc>
        <w:tc>
          <w:tcPr>
            <w:tcW w:w="479" w:type="pct"/>
            <w:noWrap w:val="0"/>
            <w:vAlign w:val="center"/>
          </w:tcPr>
          <w:p w14:paraId="7A87BAA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05F568AF">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7240B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78" w:type="pct"/>
            <w:noWrap w:val="0"/>
            <w:vAlign w:val="center"/>
          </w:tcPr>
          <w:p w14:paraId="06B655E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6</w:t>
            </w:r>
          </w:p>
        </w:tc>
        <w:tc>
          <w:tcPr>
            <w:tcW w:w="3219" w:type="pct"/>
            <w:noWrap w:val="0"/>
            <w:vAlign w:val="center"/>
          </w:tcPr>
          <w:p w14:paraId="573FF8EB">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顶空自动进样器</w:t>
            </w:r>
          </w:p>
        </w:tc>
        <w:tc>
          <w:tcPr>
            <w:tcW w:w="479" w:type="pct"/>
            <w:noWrap w:val="0"/>
            <w:vAlign w:val="center"/>
          </w:tcPr>
          <w:p w14:paraId="6023D8B0">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0035AE8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6AAF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78" w:type="pct"/>
            <w:noWrap w:val="0"/>
            <w:vAlign w:val="center"/>
          </w:tcPr>
          <w:p w14:paraId="30DA14E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7</w:t>
            </w:r>
          </w:p>
        </w:tc>
        <w:tc>
          <w:tcPr>
            <w:tcW w:w="3219" w:type="pct"/>
            <w:noWrap w:val="0"/>
            <w:vAlign w:val="center"/>
          </w:tcPr>
          <w:p w14:paraId="357C89C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气相色谱安装工具（包驱动软件，色谱工作站软件）</w:t>
            </w:r>
          </w:p>
        </w:tc>
        <w:tc>
          <w:tcPr>
            <w:tcW w:w="479" w:type="pct"/>
            <w:noWrap w:val="0"/>
            <w:vAlign w:val="center"/>
          </w:tcPr>
          <w:p w14:paraId="754F738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821" w:type="pct"/>
            <w:noWrap w:val="0"/>
            <w:vAlign w:val="center"/>
          </w:tcPr>
          <w:p w14:paraId="1847B90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7021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8" w:type="pct"/>
            <w:noWrap w:val="0"/>
            <w:vAlign w:val="center"/>
          </w:tcPr>
          <w:p w14:paraId="274403D2">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8</w:t>
            </w:r>
          </w:p>
        </w:tc>
        <w:tc>
          <w:tcPr>
            <w:tcW w:w="3219" w:type="pct"/>
            <w:noWrap w:val="0"/>
            <w:vAlign w:val="center"/>
          </w:tcPr>
          <w:p w14:paraId="62C3F58E">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数据处理工作站</w:t>
            </w:r>
          </w:p>
        </w:tc>
        <w:tc>
          <w:tcPr>
            <w:tcW w:w="479" w:type="pct"/>
            <w:noWrap w:val="0"/>
            <w:vAlign w:val="center"/>
          </w:tcPr>
          <w:p w14:paraId="230495D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套</w:t>
            </w:r>
          </w:p>
        </w:tc>
        <w:tc>
          <w:tcPr>
            <w:tcW w:w="821" w:type="pct"/>
            <w:noWrap w:val="0"/>
            <w:vAlign w:val="center"/>
          </w:tcPr>
          <w:p w14:paraId="374C2FF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1904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trPr>
        <w:tc>
          <w:tcPr>
            <w:tcW w:w="478" w:type="pct"/>
            <w:noWrap w:val="0"/>
            <w:vAlign w:val="center"/>
          </w:tcPr>
          <w:p w14:paraId="6FF9CC16">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9</w:t>
            </w:r>
          </w:p>
        </w:tc>
        <w:tc>
          <w:tcPr>
            <w:tcW w:w="3219" w:type="pct"/>
            <w:noWrap w:val="0"/>
            <w:vAlign w:val="center"/>
          </w:tcPr>
          <w:p w14:paraId="6537A8C6">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耗材包：色谱柱 30m,0.32mm,0.25um 1根、载气捕集阱 1套、超惰性不分流衬管 5根、超惰性分流衬管5根、进样口低流失隔垫50个/包 1包、分流不分流衬管密封圈 5 个、石墨垫10个、柱螺母5个、2ml 螺口样品瓶（含瓶子和瓶盖瓶垫）100/包 1包、顶空瓶125个/套 1套</w:t>
            </w:r>
          </w:p>
        </w:tc>
        <w:tc>
          <w:tcPr>
            <w:tcW w:w="479" w:type="pct"/>
            <w:noWrap w:val="0"/>
            <w:vAlign w:val="center"/>
          </w:tcPr>
          <w:p w14:paraId="740A0C8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包</w:t>
            </w:r>
          </w:p>
        </w:tc>
        <w:tc>
          <w:tcPr>
            <w:tcW w:w="821" w:type="pct"/>
            <w:noWrap w:val="0"/>
            <w:vAlign w:val="center"/>
          </w:tcPr>
          <w:p w14:paraId="2883089C">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64E0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78" w:type="pct"/>
            <w:noWrap w:val="0"/>
            <w:vAlign w:val="center"/>
          </w:tcPr>
          <w:p w14:paraId="4AF19771">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10</w:t>
            </w:r>
          </w:p>
        </w:tc>
        <w:tc>
          <w:tcPr>
            <w:tcW w:w="3219" w:type="pct"/>
            <w:noWrap w:val="0"/>
            <w:vAlign w:val="center"/>
          </w:tcPr>
          <w:p w14:paraId="25D1DA6A">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非甲烷总烃分析仪 1台</w:t>
            </w:r>
          </w:p>
        </w:tc>
        <w:tc>
          <w:tcPr>
            <w:tcW w:w="479" w:type="pct"/>
            <w:noWrap w:val="0"/>
            <w:vAlign w:val="center"/>
          </w:tcPr>
          <w:p w14:paraId="109DD3F3">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2D2214F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7EEF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78" w:type="pct"/>
            <w:noWrap w:val="0"/>
            <w:vAlign w:val="center"/>
          </w:tcPr>
          <w:p w14:paraId="357292FF">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11</w:t>
            </w:r>
          </w:p>
        </w:tc>
        <w:tc>
          <w:tcPr>
            <w:tcW w:w="3219" w:type="pct"/>
            <w:noWrap w:val="0"/>
            <w:vAlign w:val="center"/>
          </w:tcPr>
          <w:p w14:paraId="403C9C99">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气体自动稀释仪</w:t>
            </w:r>
          </w:p>
        </w:tc>
        <w:tc>
          <w:tcPr>
            <w:tcW w:w="479" w:type="pct"/>
            <w:noWrap w:val="0"/>
            <w:vAlign w:val="center"/>
          </w:tcPr>
          <w:p w14:paraId="43111095">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21CC26B7">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3A2B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78" w:type="pct"/>
            <w:noWrap w:val="0"/>
            <w:vAlign w:val="center"/>
          </w:tcPr>
          <w:p w14:paraId="0383226C">
            <w:pPr>
              <w:pStyle w:val="3"/>
              <w:spacing w:line="420" w:lineRule="exact"/>
              <w:ind w:firstLine="0" w:firstLineChars="0"/>
              <w:jc w:val="center"/>
              <w:rPr>
                <w:rFonts w:hint="eastAsia" w:ascii="楷体" w:hAnsi="楷体" w:eastAsia="楷体" w:cs="楷体"/>
                <w:sz w:val="24"/>
                <w:szCs w:val="24"/>
              </w:rPr>
            </w:pPr>
            <w:r>
              <w:rPr>
                <w:rFonts w:hint="eastAsia" w:ascii="楷体" w:hAnsi="楷体" w:eastAsia="楷体" w:cs="楷体"/>
                <w:sz w:val="24"/>
                <w:szCs w:val="24"/>
              </w:rPr>
              <w:t>12</w:t>
            </w:r>
          </w:p>
        </w:tc>
        <w:tc>
          <w:tcPr>
            <w:tcW w:w="3219" w:type="pct"/>
            <w:noWrap w:val="0"/>
            <w:vAlign w:val="center"/>
          </w:tcPr>
          <w:p w14:paraId="69EE147D">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UPS电源15KV</w:t>
            </w:r>
          </w:p>
        </w:tc>
        <w:tc>
          <w:tcPr>
            <w:tcW w:w="479" w:type="pct"/>
            <w:noWrap w:val="0"/>
            <w:vAlign w:val="center"/>
          </w:tcPr>
          <w:p w14:paraId="4B579074">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台</w:t>
            </w:r>
          </w:p>
        </w:tc>
        <w:tc>
          <w:tcPr>
            <w:tcW w:w="821" w:type="pct"/>
            <w:noWrap w:val="0"/>
            <w:vAlign w:val="center"/>
          </w:tcPr>
          <w:p w14:paraId="0332FAA2">
            <w:pPr>
              <w:pStyle w:val="2"/>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bl>
    <w:p w14:paraId="3832E80F">
      <w:pPr>
        <w:spacing w:line="420" w:lineRule="exact"/>
        <w:rPr>
          <w:rFonts w:hint="eastAsia" w:ascii="楷体" w:hAnsi="楷体" w:eastAsia="楷体" w:cs="楷体"/>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sz w:val="24"/>
          <w:szCs w:val="24"/>
        </w:rPr>
        <w:t>及服务要求</w:t>
      </w:r>
    </w:p>
    <w:p w14:paraId="5FB48DCB">
      <w:pPr>
        <w:spacing w:line="420" w:lineRule="exact"/>
        <w:rPr>
          <w:rFonts w:hint="eastAsia" w:ascii="楷体" w:hAnsi="楷体" w:eastAsia="楷体" w:cs="楷体"/>
          <w:sz w:val="24"/>
          <w:szCs w:val="24"/>
        </w:rPr>
      </w:pPr>
      <w:r>
        <w:rPr>
          <w:rFonts w:hint="eastAsia" w:ascii="楷体" w:hAnsi="楷体" w:eastAsia="楷体" w:cs="楷体"/>
          <w:sz w:val="24"/>
          <w:szCs w:val="24"/>
        </w:rPr>
        <w:t>3.1产品质量必须符合中华人民共和国国家标准及我国最新颁布的与之相关的技术规范与正宗合格产品标准，同时必须满足招标文件中所列全部规格、型号、具体配置、技术条件及功能要求和供方承诺的其它指标；产品质量出现问题，供方负责包退、包换、包修，其费用由供应商负责。</w:t>
      </w:r>
    </w:p>
    <w:p w14:paraId="22B168CB">
      <w:pPr>
        <w:spacing w:line="420" w:lineRule="exact"/>
        <w:rPr>
          <w:rFonts w:hint="eastAsia" w:ascii="楷体" w:hAnsi="楷体" w:eastAsia="楷体" w:cs="楷体"/>
          <w:sz w:val="24"/>
          <w:szCs w:val="24"/>
        </w:rPr>
      </w:pPr>
      <w:r>
        <w:rPr>
          <w:rFonts w:hint="eastAsia" w:ascii="楷体" w:hAnsi="楷体" w:eastAsia="楷体" w:cs="楷体"/>
          <w:sz w:val="24"/>
          <w:szCs w:val="24"/>
        </w:rPr>
        <w:t>3.2交货时间及地点：合同签订后2周内，将全新原厂设备发至买方指定地点。</w:t>
      </w:r>
    </w:p>
    <w:p w14:paraId="04C6A1F4">
      <w:pPr>
        <w:spacing w:line="420" w:lineRule="exact"/>
        <w:rPr>
          <w:rFonts w:hint="eastAsia" w:ascii="楷体" w:hAnsi="楷体" w:eastAsia="楷体" w:cs="楷体"/>
          <w:sz w:val="24"/>
          <w:szCs w:val="24"/>
        </w:rPr>
      </w:pPr>
      <w:r>
        <w:rPr>
          <w:rFonts w:hint="eastAsia" w:ascii="楷体" w:hAnsi="楷体" w:eastAsia="楷体" w:cs="楷体"/>
          <w:sz w:val="24"/>
          <w:szCs w:val="24"/>
        </w:rPr>
        <w:t>3.3相关文件：供货方提供详细的操作指南、产品说明书、产品合格证书、供货证明。</w:t>
      </w:r>
    </w:p>
    <w:p w14:paraId="4BC64AFD">
      <w:pPr>
        <w:spacing w:line="420" w:lineRule="exact"/>
        <w:rPr>
          <w:rFonts w:hint="eastAsia" w:ascii="楷体" w:hAnsi="楷体" w:eastAsia="楷体" w:cs="楷体"/>
          <w:sz w:val="24"/>
          <w:szCs w:val="24"/>
        </w:rPr>
      </w:pPr>
      <w:r>
        <w:rPr>
          <w:rFonts w:hint="eastAsia" w:ascii="楷体" w:hAnsi="楷体" w:eastAsia="楷体" w:cs="楷体"/>
          <w:sz w:val="24"/>
          <w:szCs w:val="24"/>
        </w:rPr>
        <w:t>3.4安装调试：供货方应在接到买方安装调试要求的7个工作日内上门免费安装、调试。安装调试检验结果应符合制造厂产品标准和买方认可的技术性能。</w:t>
      </w:r>
    </w:p>
    <w:p w14:paraId="48C40445">
      <w:pPr>
        <w:spacing w:line="420" w:lineRule="exact"/>
        <w:rPr>
          <w:rFonts w:hint="eastAsia" w:ascii="楷体" w:hAnsi="楷体" w:eastAsia="楷体" w:cs="楷体"/>
          <w:sz w:val="24"/>
          <w:szCs w:val="24"/>
        </w:rPr>
      </w:pPr>
      <w:r>
        <w:rPr>
          <w:rFonts w:hint="eastAsia" w:ascii="楷体" w:hAnsi="楷体" w:eastAsia="楷体" w:cs="楷体"/>
          <w:sz w:val="24"/>
          <w:szCs w:val="24"/>
        </w:rPr>
        <w:t>3.5质保期:至少是货物安装验收合格后24个月。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r>
        <w:rPr>
          <w:rFonts w:hint="eastAsia" w:ascii="楷体" w:hAnsi="楷体" w:eastAsia="楷体" w:cs="楷体"/>
          <w:sz w:val="24"/>
          <w:szCs w:val="24"/>
          <w:lang w:val="en-US" w:eastAsia="zh-CN"/>
        </w:rPr>
        <w:t>在投标文件中</w:t>
      </w:r>
      <w:r>
        <w:rPr>
          <w:rFonts w:hint="eastAsia" w:ascii="楷体" w:hAnsi="楷体" w:eastAsia="楷体" w:cs="楷体"/>
          <w:sz w:val="24"/>
          <w:szCs w:val="24"/>
        </w:rPr>
        <w:t>提供不同维保方式的收费标准及折扣率），并且保证使用方能更换或购买到原厂正宗的零部件及易损件，确保设备的正常使用。</w:t>
      </w:r>
    </w:p>
    <w:p w14:paraId="61B5191B">
      <w:pPr>
        <w:spacing w:line="420" w:lineRule="exact"/>
        <w:rPr>
          <w:rFonts w:hint="eastAsia" w:ascii="楷体" w:hAnsi="楷体" w:eastAsia="楷体" w:cs="楷体"/>
          <w:sz w:val="24"/>
          <w:szCs w:val="24"/>
        </w:rPr>
      </w:pPr>
      <w:r>
        <w:rPr>
          <w:rFonts w:hint="eastAsia" w:ascii="楷体" w:hAnsi="楷体" w:eastAsia="楷体" w:cs="楷体"/>
          <w:sz w:val="24"/>
          <w:szCs w:val="24"/>
        </w:rPr>
        <w:t>3.6维修服务：供货方在接到买方要求提供服务的电话后，会在2小时内响应。电话服务无法解决的，将会在24小时内派服务工程师到达买方现场检修仪器。如因外界交通或其它非可控之原因而无法及时到达买方现场的，应通知买方说明这些原因并将计划达到的日期通知买方。对于一般性故障问题，承诺24-48小时内修复；对于复杂和疑难性或境内没有零配件(需要向国外订购的)故障，承诺在6周内保证修复。如因非能事先预见的原因（包括没有完成服务所需的零部件）而使派遣的技术人员不能通过一次上门服务完成所需的协议服务，则供货方应承诺将采取有效及快捷之措施，在最短的时间内完成协议规定的维修服务。供货方应终身负责维护维修，如因非人为原因导致仪器出现故障，需要寄送厂家返修，则期间产生费用由供货方承担。</w:t>
      </w:r>
    </w:p>
    <w:p w14:paraId="2BAA0F6A">
      <w:pPr>
        <w:spacing w:line="420" w:lineRule="exact"/>
        <w:rPr>
          <w:rFonts w:hint="eastAsia" w:ascii="楷体" w:hAnsi="楷体" w:eastAsia="楷体" w:cs="楷体"/>
          <w:sz w:val="24"/>
          <w:szCs w:val="24"/>
        </w:rPr>
      </w:pPr>
      <w:r>
        <w:rPr>
          <w:rFonts w:hint="eastAsia" w:ascii="楷体" w:hAnsi="楷体" w:eastAsia="楷体" w:cs="楷体"/>
          <w:sz w:val="24"/>
          <w:szCs w:val="24"/>
        </w:rPr>
        <w:t>3.7硬件维护及软件升级：供货方定期（至少1年1次）提供免费上门维护服务，买方享有免费升级软件的权力，确保仪器软硬件正常使用。</w:t>
      </w:r>
    </w:p>
    <w:p w14:paraId="76AEFDF9">
      <w:pPr>
        <w:spacing w:line="420" w:lineRule="exact"/>
        <w:rPr>
          <w:rFonts w:hint="eastAsia" w:ascii="楷体" w:hAnsi="楷体" w:eastAsia="楷体" w:cs="楷体"/>
          <w:sz w:val="24"/>
          <w:szCs w:val="24"/>
        </w:rPr>
      </w:pPr>
      <w:r>
        <w:rPr>
          <w:rFonts w:hint="eastAsia" w:ascii="楷体" w:hAnsi="楷体" w:eastAsia="楷体" w:cs="楷体"/>
          <w:sz w:val="24"/>
          <w:szCs w:val="24"/>
        </w:rPr>
        <w:t>3.8培训：提供4人次厂家组织的免费培训。所采购仪器设备均需原厂家工程师进行调试安装及培训，供应商方应免费对采购人技术人员进行操作、维修、保养等方面进行培训，并提供现场操作培训，内容包括仪器的基本原理，操作保养，维修等方面，直到技术人员能独立操作和使用。</w:t>
      </w:r>
    </w:p>
    <w:p w14:paraId="218C281A">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3.9安装调试结束后,投标人需要提供由国家法定计量认证机构出具的气相色谱仪检定或校准证书。</w:t>
      </w:r>
    </w:p>
    <w:p w14:paraId="51D01101">
      <w:pPr>
        <w:rPr>
          <w:rFonts w:ascii="楷体" w:hAnsi="楷体" w:eastAsia="楷体"/>
          <w:kern w:val="2"/>
          <w:sz w:val="24"/>
        </w:rPr>
      </w:pPr>
    </w:p>
    <w:p w14:paraId="1B95F23A">
      <w:pPr>
        <w:spacing w:line="440" w:lineRule="exact"/>
        <w:ind w:firstLine="480"/>
        <w:rPr>
          <w:rFonts w:ascii="楷体" w:hAnsi="楷体" w:eastAsia="楷体" w:cs="Arial"/>
          <w:bCs/>
          <w:sz w:val="24"/>
        </w:rPr>
      </w:pPr>
      <w:r>
        <w:rPr>
          <w:rFonts w:hint="eastAsia" w:ascii="楷体" w:hAnsi="楷体" w:eastAsia="楷体" w:cs="Arial"/>
          <w:bCs/>
          <w:sz w:val="24"/>
        </w:rPr>
        <w:t>注：</w:t>
      </w:r>
    </w:p>
    <w:p w14:paraId="70C46961">
      <w:pPr>
        <w:pStyle w:val="62"/>
        <w:spacing w:line="360" w:lineRule="auto"/>
        <w:ind w:firstLine="240"/>
        <w:rPr>
          <w:rFonts w:ascii="楷体" w:hAnsi="楷体" w:eastAsia="楷体" w:cs="Arial"/>
          <w:sz w:val="24"/>
          <w:szCs w:val="24"/>
          <w:highlight w:val="none"/>
        </w:rPr>
      </w:pPr>
      <w:r>
        <w:rPr>
          <w:rFonts w:hint="eastAsia" w:ascii="楷体" w:hAnsi="楷体" w:eastAsia="楷体" w:cs="Arial"/>
          <w:sz w:val="24"/>
          <w:szCs w:val="24"/>
        </w:rPr>
        <w:t>（</w:t>
      </w:r>
      <w:r>
        <w:rPr>
          <w:rFonts w:ascii="楷体" w:hAnsi="楷体" w:eastAsia="楷体" w:cs="Arial"/>
          <w:sz w:val="24"/>
          <w:szCs w:val="24"/>
        </w:rPr>
        <w:t>1）</w:t>
      </w:r>
      <w:r>
        <w:rPr>
          <w:rFonts w:ascii="楷体" w:hAnsi="楷体" w:eastAsia="楷体" w:cs="Arial"/>
          <w:sz w:val="24"/>
          <w:szCs w:val="24"/>
          <w:highlight w:val="none"/>
        </w:rPr>
        <w:t>本</w:t>
      </w:r>
      <w:r>
        <w:rPr>
          <w:rFonts w:hint="eastAsia" w:ascii="楷体" w:hAnsi="楷体" w:eastAsia="楷体" w:cs="Arial"/>
          <w:sz w:val="24"/>
          <w:szCs w:val="24"/>
          <w:highlight w:val="none"/>
          <w:lang w:val="en-US" w:eastAsia="zh-CN"/>
        </w:rPr>
        <w:t>采购包</w:t>
      </w:r>
      <w:r>
        <w:rPr>
          <w:rFonts w:ascii="楷体" w:hAnsi="楷体" w:eastAsia="楷体" w:cs="Arial"/>
          <w:sz w:val="24"/>
          <w:szCs w:val="24"/>
          <w:highlight w:val="none"/>
        </w:rPr>
        <w:t>核心产品是“</w:t>
      </w:r>
      <w:r>
        <w:rPr>
          <w:rFonts w:hint="eastAsia" w:ascii="楷体" w:hAnsi="楷体" w:eastAsia="楷体" w:cs="Arial"/>
          <w:sz w:val="24"/>
          <w:szCs w:val="24"/>
          <w:highlight w:val="none"/>
        </w:rPr>
        <w:t>气相色谱-质谱联用仪”。</w:t>
      </w:r>
    </w:p>
    <w:p w14:paraId="412BF26B">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2）投标人一旦在本项目中中标，即被认为其同意承担在采购期间内货物价格变动所带来的一切风险，投标人不得以任何理由变更其投标时的投标单价。</w:t>
      </w:r>
    </w:p>
    <w:p w14:paraId="2BE2E28B">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3）技术要求中提及的品牌或型号仅为参照品牌型号，非限制性条件，投标人可以不</w:t>
      </w:r>
      <w:r>
        <w:rPr>
          <w:rFonts w:hint="eastAsia" w:ascii="楷体" w:hAnsi="楷体" w:eastAsia="楷体" w:cs="Arial"/>
          <w:sz w:val="24"/>
          <w:szCs w:val="24"/>
        </w:rPr>
        <w:t>低于参照品牌质量、性能、设备参数的同等档次的其它品牌产品参与投标。投标人须提供具有公信力的证明材料，并获得三分之二及以上评委的认定。如未提供相关证明材料的，由此对最终评定结果所造成的影响和后果由投标人负全责。</w:t>
      </w:r>
    </w:p>
    <w:p w14:paraId="75DFCBD1">
      <w:pPr>
        <w:pStyle w:val="62"/>
        <w:spacing w:line="360" w:lineRule="auto"/>
        <w:ind w:left="0" w:leftChars="0" w:firstLine="219" w:firstLineChars="91"/>
        <w:rPr>
          <w:rFonts w:ascii="楷体" w:hAnsi="楷体" w:eastAsia="楷体"/>
          <w:b/>
          <w:sz w:val="24"/>
          <w:szCs w:val="24"/>
        </w:rPr>
      </w:pP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4</w:t>
      </w:r>
      <w:r>
        <w:rPr>
          <w:rFonts w:hint="eastAsia" w:ascii="楷体" w:hAnsi="楷体" w:eastAsia="楷体" w:cs="Arial"/>
          <w:b/>
          <w:sz w:val="24"/>
          <w:szCs w:val="24"/>
          <w:lang w:eastAsia="zh-CN"/>
        </w:rPr>
        <w:t>）</w:t>
      </w:r>
      <w:r>
        <w:rPr>
          <w:rFonts w:hint="eastAsia" w:ascii="楷体" w:hAnsi="楷体" w:eastAsia="楷体" w:cs="Arial"/>
          <w:b/>
          <w:sz w:val="24"/>
          <w:szCs w:val="24"/>
        </w:rPr>
        <w:t>招标文件</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第四部分 采购需求</w:t>
      </w:r>
      <w:r>
        <w:rPr>
          <w:rFonts w:hint="eastAsia" w:ascii="楷体" w:hAnsi="楷体" w:eastAsia="楷体" w:cs="Arial"/>
          <w:b/>
          <w:sz w:val="24"/>
          <w:szCs w:val="24"/>
          <w:lang w:eastAsia="zh-CN"/>
        </w:rPr>
        <w:t>”</w:t>
      </w:r>
      <w:r>
        <w:rPr>
          <w:rFonts w:hint="eastAsia" w:ascii="楷体" w:hAnsi="楷体" w:eastAsia="楷体" w:cs="Arial"/>
          <w:b/>
          <w:sz w:val="24"/>
          <w:szCs w:val="24"/>
        </w:rPr>
        <w:t>“</w:t>
      </w:r>
      <w:r>
        <w:rPr>
          <w:rFonts w:hint="eastAsia" w:ascii="楷体" w:hAnsi="楷体" w:eastAsia="楷体" w:cs="Arial"/>
          <w:b/>
          <w:sz w:val="24"/>
          <w:szCs w:val="24"/>
          <w:lang w:val="en-US" w:eastAsia="zh-CN"/>
        </w:rPr>
        <w:t>四、技术及服务要求</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中</w:t>
      </w:r>
      <w:r>
        <w:rPr>
          <w:rFonts w:hint="eastAsia" w:ascii="楷体" w:hAnsi="楷体" w:eastAsia="楷体" w:cs="Arial"/>
          <w:b/>
          <w:sz w:val="24"/>
          <w:szCs w:val="24"/>
        </w:rPr>
        <w:t>标“▲</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及“＃”的内容</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投标人须在投标文件中</w:t>
      </w:r>
      <w:r>
        <w:rPr>
          <w:rFonts w:hint="eastAsia" w:ascii="楷体" w:hAnsi="楷体" w:eastAsia="楷体" w:cs="Arial"/>
          <w:b/>
          <w:sz w:val="24"/>
          <w:szCs w:val="24"/>
        </w:rPr>
        <w:t>提供技术支持资料（如厂家技术白皮书、产品样本、手册、检测报告等复印件加盖厂家公章）</w:t>
      </w:r>
      <w:r>
        <w:rPr>
          <w:rFonts w:hint="eastAsia" w:ascii="楷体" w:hAnsi="楷体" w:eastAsia="楷体" w:cs="Arial"/>
          <w:b/>
          <w:sz w:val="24"/>
          <w:szCs w:val="24"/>
          <w:lang w:eastAsia="zh-CN"/>
        </w:rPr>
        <w:t>，</w:t>
      </w:r>
      <w:r>
        <w:rPr>
          <w:rFonts w:hint="eastAsia" w:ascii="楷体" w:hAnsi="楷体" w:eastAsia="楷体" w:cs="Arial"/>
          <w:b/>
          <w:sz w:val="24"/>
          <w:szCs w:val="24"/>
        </w:rPr>
        <w:t>未提供有效证明材料或证明材料中内容与所填报指标不一致的，该指标按不满足处理。【注：</w:t>
      </w:r>
      <w:r>
        <w:rPr>
          <w:rFonts w:hint="eastAsia" w:ascii="楷体" w:hAnsi="楷体" w:eastAsia="楷体" w:cs="Arial"/>
          <w:b/>
          <w:sz w:val="24"/>
          <w:szCs w:val="24"/>
          <w:lang w:val="en-US" w:eastAsia="zh-CN"/>
        </w:rPr>
        <w:t>签订合同前，</w:t>
      </w:r>
      <w:r>
        <w:rPr>
          <w:rFonts w:hint="eastAsia" w:ascii="楷体" w:hAnsi="楷体" w:eastAsia="楷体" w:cs="Arial"/>
          <w:b/>
          <w:sz w:val="24"/>
          <w:szCs w:val="24"/>
          <w:lang w:eastAsia="zh-CN"/>
        </w:rPr>
        <w:t>采购人有权要求中标供应商</w:t>
      </w:r>
      <w:r>
        <w:rPr>
          <w:rFonts w:hint="eastAsia" w:ascii="楷体" w:hAnsi="楷体" w:eastAsia="楷体" w:cs="Arial"/>
          <w:b/>
          <w:sz w:val="24"/>
          <w:szCs w:val="24"/>
          <w:lang w:val="en-US" w:eastAsia="zh-CN"/>
        </w:rPr>
        <w:t>提供佐证材料原件核查，中标供应商不能按时提供的视为虚假响应，将取消中标资格</w:t>
      </w:r>
      <w:r>
        <w:rPr>
          <w:rFonts w:hint="eastAsia" w:ascii="楷体" w:hAnsi="楷体" w:eastAsia="楷体" w:cs="Arial"/>
          <w:b/>
          <w:sz w:val="24"/>
          <w:szCs w:val="24"/>
        </w:rPr>
        <w:t>】</w:t>
      </w:r>
      <w:r>
        <w:rPr>
          <w:rFonts w:hint="eastAsia" w:ascii="楷体" w:hAnsi="楷体" w:eastAsia="楷体"/>
          <w:b/>
          <w:sz w:val="24"/>
          <w:szCs w:val="24"/>
        </w:rPr>
        <w:t>。</w:t>
      </w:r>
    </w:p>
    <w:p w14:paraId="549973BC">
      <w:pPr>
        <w:spacing w:line="360" w:lineRule="auto"/>
        <w:ind w:firstLine="420"/>
        <w:rPr>
          <w:rFonts w:ascii="楷体" w:hAnsi="楷体" w:eastAsia="楷体" w:cs="Arial"/>
          <w:b/>
          <w:sz w:val="24"/>
        </w:rPr>
      </w:pPr>
      <w:r>
        <w:rPr>
          <w:rFonts w:hint="eastAsia" w:ascii="楷体" w:hAnsi="楷体" w:eastAsia="楷体" w:cs="Arial"/>
          <w:b/>
          <w:sz w:val="24"/>
        </w:rPr>
        <w:t>★</w:t>
      </w:r>
      <w:r>
        <w:rPr>
          <w:rFonts w:hint="eastAsia" w:ascii="楷体" w:hAnsi="楷体" w:eastAsia="楷体" w:cs="Arial"/>
          <w:b/>
          <w:sz w:val="24"/>
          <w:lang w:val="en-US" w:eastAsia="zh-CN"/>
        </w:rPr>
        <w:t>五</w:t>
      </w:r>
      <w:r>
        <w:rPr>
          <w:rFonts w:hint="eastAsia" w:ascii="楷体" w:hAnsi="楷体" w:eastAsia="楷体" w:cs="Arial"/>
          <w:b/>
          <w:sz w:val="24"/>
        </w:rPr>
        <w:t>、商务要求</w:t>
      </w:r>
    </w:p>
    <w:p w14:paraId="66C5B85A">
      <w:pPr>
        <w:spacing w:line="360" w:lineRule="auto"/>
        <w:ind w:firstLine="420"/>
        <w:rPr>
          <w:rFonts w:hint="eastAsia" w:ascii="楷体" w:hAnsi="楷体" w:eastAsia="楷体" w:cs="Arial"/>
          <w:color w:val="auto"/>
          <w:sz w:val="24"/>
        </w:rPr>
      </w:pPr>
      <w:r>
        <w:rPr>
          <w:rFonts w:ascii="楷体" w:hAnsi="楷体" w:eastAsia="楷体" w:cs="Arial"/>
          <w:b/>
          <w:sz w:val="24"/>
          <w:highlight w:val="none"/>
        </w:rPr>
        <w:t>1.</w:t>
      </w:r>
      <w:r>
        <w:rPr>
          <w:rFonts w:hint="eastAsia" w:ascii="楷体" w:hAnsi="楷体" w:eastAsia="楷体" w:cs="Arial"/>
          <w:b/>
          <w:color w:val="auto"/>
          <w:sz w:val="24"/>
          <w:highlight w:val="none"/>
        </w:rPr>
        <w:t>供货期：</w:t>
      </w:r>
      <w:r>
        <w:rPr>
          <w:rFonts w:hint="eastAsia" w:ascii="楷体" w:hAnsi="楷体" w:eastAsia="楷体" w:cs="Arial"/>
          <w:color w:val="auto"/>
          <w:sz w:val="24"/>
          <w:highlight w:val="none"/>
        </w:rPr>
        <w:t>合同签订后2周内。</w:t>
      </w:r>
    </w:p>
    <w:p w14:paraId="07B9FC61">
      <w:pPr>
        <w:spacing w:line="360" w:lineRule="auto"/>
        <w:ind w:firstLine="420"/>
        <w:rPr>
          <w:rFonts w:ascii="楷体" w:hAnsi="楷体" w:eastAsia="楷体" w:cs="Arial"/>
          <w:color w:val="auto"/>
          <w:sz w:val="24"/>
        </w:rPr>
      </w:pPr>
      <w:r>
        <w:rPr>
          <w:rFonts w:ascii="楷体" w:hAnsi="楷体" w:eastAsia="楷体" w:cs="Arial"/>
          <w:b/>
          <w:color w:val="auto"/>
          <w:sz w:val="24"/>
        </w:rPr>
        <w:t>2.</w:t>
      </w:r>
      <w:r>
        <w:rPr>
          <w:rFonts w:hint="eastAsia" w:ascii="楷体" w:hAnsi="楷体" w:eastAsia="楷体" w:cs="Arial"/>
          <w:b/>
          <w:color w:val="auto"/>
          <w:sz w:val="24"/>
        </w:rPr>
        <w:t>交付（实施）的地点（范围）：</w:t>
      </w:r>
      <w:r>
        <w:rPr>
          <w:rFonts w:hint="eastAsia" w:ascii="楷体" w:hAnsi="楷体" w:eastAsia="楷体" w:cs="Arial"/>
          <w:color w:val="auto"/>
          <w:sz w:val="24"/>
        </w:rPr>
        <w:t>采购人指定地点</w:t>
      </w:r>
    </w:p>
    <w:p w14:paraId="062B3880">
      <w:pPr>
        <w:spacing w:line="360" w:lineRule="auto"/>
        <w:ind w:firstLine="420"/>
        <w:rPr>
          <w:rFonts w:hint="eastAsia" w:ascii="楷体" w:hAnsi="楷体" w:eastAsia="楷体" w:cs="Arial"/>
          <w:b w:val="0"/>
          <w:bCs/>
          <w:color w:val="auto"/>
          <w:sz w:val="24"/>
        </w:rPr>
      </w:pPr>
      <w:r>
        <w:rPr>
          <w:rFonts w:hint="eastAsia" w:ascii="楷体" w:hAnsi="楷体" w:eastAsia="楷体" w:cs="Arial"/>
          <w:b/>
          <w:color w:val="auto"/>
          <w:sz w:val="24"/>
          <w:lang w:val="en-US" w:eastAsia="zh-CN"/>
        </w:rPr>
        <w:t>3</w:t>
      </w:r>
      <w:r>
        <w:rPr>
          <w:rFonts w:ascii="楷体" w:hAnsi="楷体" w:eastAsia="楷体" w:cs="Arial"/>
          <w:b/>
          <w:color w:val="auto"/>
          <w:sz w:val="24"/>
        </w:rPr>
        <w:t>.付款条件（进度和方式）</w:t>
      </w:r>
      <w:r>
        <w:rPr>
          <w:rFonts w:hint="eastAsia" w:ascii="楷体" w:hAnsi="楷体" w:eastAsia="楷体" w:cs="Arial"/>
          <w:b/>
          <w:color w:val="auto"/>
          <w:sz w:val="24"/>
        </w:rPr>
        <w:t>：</w:t>
      </w:r>
      <w:r>
        <w:rPr>
          <w:rFonts w:hint="eastAsia" w:ascii="楷体" w:hAnsi="楷体" w:eastAsia="楷体" w:cs="Arial"/>
          <w:b w:val="0"/>
          <w:bCs/>
          <w:color w:val="auto"/>
          <w:sz w:val="24"/>
        </w:rPr>
        <w:t>合同签订后，采购人在收到中标人提供的相应金额的正规发票后10个工作日内支付合同金额的30%作为预付款。</w:t>
      </w:r>
    </w:p>
    <w:p w14:paraId="1A2CC960">
      <w:pPr>
        <w:spacing w:line="360" w:lineRule="auto"/>
        <w:ind w:firstLine="420"/>
        <w:rPr>
          <w:rFonts w:ascii="楷体" w:hAnsi="楷体" w:eastAsia="楷体" w:cs="Arial"/>
          <w:b w:val="0"/>
          <w:bCs/>
          <w:color w:val="auto"/>
          <w:sz w:val="24"/>
        </w:rPr>
      </w:pPr>
      <w:r>
        <w:rPr>
          <w:rFonts w:hint="eastAsia" w:ascii="楷体" w:hAnsi="楷体" w:eastAsia="楷体" w:cs="Arial"/>
          <w:b w:val="0"/>
          <w:bCs/>
          <w:color w:val="auto"/>
          <w:sz w:val="24"/>
        </w:rPr>
        <w:t>项目安装调试完毕并验收合格后10个工作日内，支付合同额的60%；第一年运维结束通过运维的阶段性验收通过后支付合同额的5%；第二年运维结束通过运维的阶段性验收通过后支付合同额的5%。</w:t>
      </w:r>
    </w:p>
    <w:p w14:paraId="41BE11BA">
      <w:pPr>
        <w:spacing w:line="360" w:lineRule="auto"/>
        <w:ind w:firstLine="420"/>
        <w:rPr>
          <w:rFonts w:ascii="楷体" w:hAnsi="楷体" w:eastAsia="楷体" w:cs="Arial"/>
          <w:b/>
          <w:color w:val="auto"/>
          <w:sz w:val="24"/>
        </w:rPr>
      </w:pPr>
      <w:r>
        <w:rPr>
          <w:rFonts w:hint="eastAsia" w:ascii="楷体" w:hAnsi="楷体" w:eastAsia="楷体" w:cs="Arial"/>
          <w:b/>
          <w:color w:val="auto"/>
          <w:sz w:val="24"/>
          <w:lang w:val="en-US" w:eastAsia="zh-CN"/>
        </w:rPr>
        <w:t>4</w:t>
      </w:r>
      <w:r>
        <w:rPr>
          <w:rFonts w:ascii="楷体" w:hAnsi="楷体" w:eastAsia="楷体" w:cs="Arial"/>
          <w:b/>
          <w:color w:val="auto"/>
          <w:sz w:val="24"/>
        </w:rPr>
        <w:t>.</w:t>
      </w:r>
      <w:r>
        <w:rPr>
          <w:rFonts w:hint="eastAsia" w:ascii="楷体" w:hAnsi="楷体" w:eastAsia="楷体" w:cs="Arial"/>
          <w:b/>
          <w:color w:val="auto"/>
          <w:sz w:val="24"/>
        </w:rPr>
        <w:t>验收要求：</w:t>
      </w:r>
    </w:p>
    <w:p w14:paraId="1817E8BF">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1</w:t>
      </w:r>
      <w:r>
        <w:rPr>
          <w:rFonts w:hint="eastAsia" w:ascii="楷体" w:hAnsi="楷体" w:eastAsia="楷体" w:cs="Arial"/>
          <w:color w:val="auto"/>
          <w:sz w:val="24"/>
          <w:lang w:eastAsia="zh-CN"/>
        </w:rPr>
        <w:t>）</w:t>
      </w:r>
      <w:r>
        <w:rPr>
          <w:rFonts w:hint="eastAsia" w:ascii="楷体" w:hAnsi="楷体" w:eastAsia="楷体" w:cs="Arial"/>
          <w:color w:val="auto"/>
          <w:sz w:val="24"/>
        </w:rPr>
        <w:t>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p>
    <w:p w14:paraId="06BF0317">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2</w:t>
      </w:r>
      <w:r>
        <w:rPr>
          <w:rFonts w:hint="eastAsia" w:ascii="楷体" w:hAnsi="楷体" w:eastAsia="楷体" w:cs="Arial"/>
          <w:color w:val="auto"/>
          <w:sz w:val="24"/>
          <w:lang w:eastAsia="zh-CN"/>
        </w:rPr>
        <w:t>）</w:t>
      </w:r>
      <w:r>
        <w:rPr>
          <w:rFonts w:hint="eastAsia" w:ascii="楷体" w:hAnsi="楷体" w:eastAsia="楷体" w:cs="Arial"/>
          <w:color w:val="auto"/>
          <w:sz w:val="24"/>
        </w:rPr>
        <w:t>供应商应负责在采购人验收前将本项目全部相关的系统软硬件，以及有关使用说明书（手册）等交付至采购人，由采购人组织验收。</w:t>
      </w:r>
    </w:p>
    <w:p w14:paraId="1655548A">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3</w:t>
      </w:r>
      <w:r>
        <w:rPr>
          <w:rFonts w:hint="eastAsia" w:ascii="楷体" w:hAnsi="楷体" w:eastAsia="楷体" w:cs="Arial"/>
          <w:color w:val="auto"/>
          <w:sz w:val="24"/>
          <w:lang w:eastAsia="zh-CN"/>
        </w:rPr>
        <w:t>）</w:t>
      </w:r>
      <w:r>
        <w:rPr>
          <w:rFonts w:hint="eastAsia" w:ascii="楷体" w:hAnsi="楷体" w:eastAsia="楷体" w:cs="Arial"/>
          <w:color w:val="auto"/>
          <w:sz w:val="24"/>
        </w:rPr>
        <w:t>供应商负责货物的安装</w:t>
      </w:r>
      <w:r>
        <w:rPr>
          <w:rFonts w:hint="eastAsia" w:ascii="楷体" w:hAnsi="楷体" w:eastAsia="楷体" w:cs="Arial"/>
          <w:color w:val="auto"/>
          <w:sz w:val="24"/>
          <w:lang w:eastAsia="zh-CN"/>
        </w:rPr>
        <w:t>、</w:t>
      </w:r>
      <w:r>
        <w:rPr>
          <w:rFonts w:hint="eastAsia" w:ascii="楷体" w:hAnsi="楷体" w:eastAsia="楷体" w:cs="Arial"/>
          <w:color w:val="auto"/>
          <w:sz w:val="24"/>
        </w:rPr>
        <w:t>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r>
        <w:rPr>
          <w:rFonts w:hint="eastAsia" w:ascii="楷体" w:hAnsi="楷体" w:eastAsia="楷体" w:cs="Arial"/>
          <w:color w:val="auto"/>
          <w:sz w:val="24"/>
          <w:lang w:eastAsia="zh-CN"/>
        </w:rPr>
        <w:t>。</w:t>
      </w:r>
      <w:r>
        <w:rPr>
          <w:rFonts w:hint="eastAsia" w:ascii="楷体" w:hAnsi="楷体" w:eastAsia="楷体" w:cs="Arial"/>
          <w:color w:val="auto"/>
          <w:sz w:val="24"/>
        </w:rPr>
        <w:t xml:space="preserve"> </w:t>
      </w:r>
    </w:p>
    <w:p w14:paraId="0093943A">
      <w:pPr>
        <w:spacing w:line="360" w:lineRule="auto"/>
        <w:ind w:firstLine="420"/>
        <w:rPr>
          <w:rFonts w:ascii="楷体" w:hAnsi="楷体" w:eastAsia="楷体" w:cs="Arial"/>
          <w:color w:val="auto"/>
          <w:sz w:val="24"/>
        </w:rPr>
      </w:pPr>
      <w:r>
        <w:rPr>
          <w:rFonts w:hint="eastAsia" w:ascii="楷体" w:hAnsi="楷体" w:eastAsia="楷体" w:cs="Arial"/>
          <w:b/>
          <w:color w:val="auto"/>
          <w:sz w:val="24"/>
          <w:lang w:val="en-US" w:eastAsia="zh-CN"/>
        </w:rPr>
        <w:t>5</w:t>
      </w:r>
      <w:r>
        <w:rPr>
          <w:rFonts w:ascii="楷体" w:hAnsi="楷体" w:eastAsia="楷体" w:cs="Arial"/>
          <w:b/>
          <w:color w:val="auto"/>
          <w:sz w:val="24"/>
        </w:rPr>
        <w:t>.</w:t>
      </w:r>
      <w:r>
        <w:rPr>
          <w:rFonts w:hint="eastAsia" w:ascii="楷体" w:hAnsi="楷体" w:eastAsia="楷体" w:cs="Arial"/>
          <w:b/>
          <w:color w:val="auto"/>
          <w:sz w:val="24"/>
        </w:rPr>
        <w:t>投标货币：</w:t>
      </w:r>
      <w:r>
        <w:rPr>
          <w:rFonts w:hint="eastAsia" w:ascii="楷体" w:hAnsi="楷体" w:eastAsia="楷体" w:cs="Arial"/>
          <w:color w:val="auto"/>
          <w:sz w:val="24"/>
        </w:rPr>
        <w:t>投标文件中的所有货物、服务单价和总价采用人民币报价，以元为单位标注。</w:t>
      </w:r>
    </w:p>
    <w:p w14:paraId="3503C11E">
      <w:pPr>
        <w:spacing w:line="360" w:lineRule="auto"/>
        <w:ind w:firstLine="420"/>
        <w:rPr>
          <w:rFonts w:ascii="楷体" w:hAnsi="楷体" w:eastAsia="楷体"/>
          <w:sz w:val="24"/>
        </w:rPr>
      </w:pPr>
      <w:r>
        <w:rPr>
          <w:rFonts w:hint="eastAsia" w:ascii="楷体" w:hAnsi="楷体" w:eastAsia="楷体" w:cs="Arial"/>
          <w:b/>
          <w:sz w:val="24"/>
          <w:lang w:val="en-US" w:eastAsia="zh-CN"/>
        </w:rPr>
        <w:t>六</w:t>
      </w:r>
      <w:r>
        <w:rPr>
          <w:rFonts w:hint="eastAsia" w:ascii="楷体" w:hAnsi="楷体" w:eastAsia="楷体" w:cs="Arial"/>
          <w:b/>
          <w:sz w:val="24"/>
        </w:rPr>
        <w:t>、其他要求</w:t>
      </w:r>
    </w:p>
    <w:p w14:paraId="27B671F8">
      <w:pPr>
        <w:pStyle w:val="1539"/>
        <w:ind w:firstLine="480"/>
        <w:jc w:val="both"/>
        <w:rPr>
          <w:rFonts w:ascii="楷体" w:hAnsi="楷体" w:eastAsia="楷体" w:cs="Arial"/>
          <w:color w:val="FF0000"/>
        </w:rPr>
      </w:pPr>
      <w:r>
        <w:rPr>
          <w:rFonts w:ascii="楷体" w:hAnsi="楷体" w:eastAsia="楷体" w:cs="Arial"/>
          <w:color w:val="FF0000"/>
        </w:rPr>
        <w:t>注：对采购需求部分的询问、质疑请向采购人提出，询问、质疑由采购人负责解释。</w:t>
      </w:r>
    </w:p>
    <w:p w14:paraId="0082621D">
      <w:pPr>
        <w:pStyle w:val="1539"/>
        <w:spacing w:after="750"/>
        <w:jc w:val="both"/>
        <w:rPr>
          <w:rFonts w:ascii="楷体" w:hAnsi="楷体" w:eastAsia="楷体" w:cs="Arial"/>
          <w:color w:val="FF0000"/>
        </w:rPr>
      </w:pPr>
      <w:r>
        <w:rPr>
          <w:rFonts w:ascii="楷体" w:hAnsi="楷体" w:eastAsia="楷体" w:cs="Arial"/>
          <w:color w:val="FF0000"/>
        </w:rPr>
        <w:t>本部分标注“★”实质性要求，必须响应，不允许负偏离，否则作为无效投标处理。</w:t>
      </w:r>
      <w:bookmarkEnd w:id="238"/>
    </w:p>
    <w:p w14:paraId="56D26A55">
      <w:pPr>
        <w:spacing w:line="360" w:lineRule="auto"/>
        <w:ind w:firstLine="420"/>
        <w:rPr>
          <w:rFonts w:hint="eastAsia" w:ascii="楷体" w:hAnsi="楷体" w:eastAsia="楷体" w:cs="Arial"/>
          <w:b/>
          <w:bCs/>
          <w:color w:val="auto"/>
          <w:sz w:val="24"/>
          <w:lang w:val="en-US" w:eastAsia="zh-CN"/>
        </w:rPr>
      </w:pPr>
    </w:p>
    <w:p w14:paraId="3B7F2778">
      <w:pPr>
        <w:spacing w:line="360" w:lineRule="auto"/>
        <w:ind w:firstLine="420"/>
        <w:rPr>
          <w:rFonts w:hint="eastAsia" w:ascii="楷体" w:hAnsi="楷体" w:eastAsia="楷体" w:cs="Arial"/>
          <w:b/>
          <w:bCs/>
          <w:color w:val="auto"/>
          <w:sz w:val="24"/>
          <w:lang w:val="en-US" w:eastAsia="zh-CN"/>
        </w:rPr>
      </w:pPr>
    </w:p>
    <w:p w14:paraId="2D142DAE">
      <w:pPr>
        <w:spacing w:line="360" w:lineRule="auto"/>
        <w:ind w:firstLine="420"/>
        <w:rPr>
          <w:rFonts w:hint="eastAsia" w:ascii="楷体" w:hAnsi="楷体" w:eastAsia="楷体" w:cs="Arial"/>
          <w:b/>
          <w:bCs/>
          <w:color w:val="auto"/>
          <w:sz w:val="24"/>
          <w:lang w:val="en-US" w:eastAsia="zh-CN"/>
        </w:rPr>
      </w:pPr>
    </w:p>
    <w:p w14:paraId="30EB0F71">
      <w:pPr>
        <w:spacing w:line="360" w:lineRule="auto"/>
        <w:ind w:firstLine="420"/>
        <w:rPr>
          <w:rFonts w:hint="eastAsia" w:ascii="楷体" w:hAnsi="楷体" w:eastAsia="楷体" w:cs="Arial"/>
          <w:b/>
          <w:bCs/>
          <w:color w:val="auto"/>
          <w:sz w:val="24"/>
          <w:lang w:val="en-US" w:eastAsia="zh-CN"/>
        </w:rPr>
      </w:pPr>
    </w:p>
    <w:p w14:paraId="52C7CCF4">
      <w:pPr>
        <w:spacing w:line="360" w:lineRule="auto"/>
        <w:ind w:firstLine="420"/>
        <w:rPr>
          <w:rFonts w:hint="eastAsia" w:ascii="楷体" w:hAnsi="楷体" w:eastAsia="楷体" w:cs="Arial"/>
          <w:b/>
          <w:bCs/>
          <w:color w:val="auto"/>
          <w:sz w:val="24"/>
          <w:lang w:val="en-US" w:eastAsia="zh-CN"/>
        </w:rPr>
      </w:pPr>
    </w:p>
    <w:p w14:paraId="73C2F369">
      <w:pPr>
        <w:spacing w:line="360" w:lineRule="auto"/>
        <w:ind w:firstLine="420"/>
        <w:rPr>
          <w:rFonts w:hint="eastAsia" w:ascii="楷体" w:hAnsi="楷体" w:eastAsia="楷体" w:cs="Arial"/>
          <w:b/>
          <w:bCs/>
          <w:color w:val="auto"/>
          <w:sz w:val="24"/>
          <w:lang w:val="en-US" w:eastAsia="zh-CN"/>
        </w:rPr>
      </w:pPr>
      <w:r>
        <w:rPr>
          <w:rFonts w:hint="eastAsia" w:ascii="楷体" w:hAnsi="楷体" w:eastAsia="楷体" w:cs="Arial"/>
          <w:b/>
          <w:bCs/>
          <w:color w:val="auto"/>
          <w:sz w:val="24"/>
          <w:lang w:val="en-US" w:eastAsia="zh-CN"/>
        </w:rPr>
        <w:t>采购包2</w:t>
      </w:r>
    </w:p>
    <w:p w14:paraId="47740FCF">
      <w:pPr>
        <w:spacing w:line="360" w:lineRule="auto"/>
        <w:ind w:firstLine="420"/>
        <w:rPr>
          <w:rFonts w:hint="default" w:ascii="楷体" w:hAnsi="楷体" w:eastAsia="楷体" w:cs="Arial"/>
          <w:b/>
          <w:bCs/>
          <w:color w:val="auto"/>
          <w:sz w:val="24"/>
          <w:lang w:val="en-US" w:eastAsia="zh-CN"/>
        </w:rPr>
      </w:pPr>
      <w:r>
        <w:rPr>
          <w:rFonts w:hint="eastAsia" w:ascii="楷体" w:hAnsi="楷体" w:eastAsia="楷体" w:cs="Arial"/>
          <w:b/>
          <w:bCs/>
          <w:color w:val="auto"/>
          <w:sz w:val="24"/>
          <w:lang w:val="en-US" w:eastAsia="zh-CN"/>
        </w:rPr>
        <w:t>1、技术要求</w:t>
      </w:r>
    </w:p>
    <w:tbl>
      <w:tblPr>
        <w:tblStyle w:val="68"/>
        <w:tblW w:w="5000" w:type="pct"/>
        <w:tblInd w:w="0" w:type="dxa"/>
        <w:tblLayout w:type="autofit"/>
        <w:tblCellMar>
          <w:top w:w="0" w:type="dxa"/>
          <w:left w:w="108" w:type="dxa"/>
          <w:bottom w:w="0" w:type="dxa"/>
          <w:right w:w="108" w:type="dxa"/>
        </w:tblCellMar>
      </w:tblPr>
      <w:tblGrid>
        <w:gridCol w:w="788"/>
        <w:gridCol w:w="1374"/>
        <w:gridCol w:w="5400"/>
        <w:gridCol w:w="2067"/>
      </w:tblGrid>
      <w:tr w14:paraId="5FCCC2C6">
        <w:tblPrEx>
          <w:tblCellMar>
            <w:top w:w="0" w:type="dxa"/>
            <w:left w:w="108" w:type="dxa"/>
            <w:bottom w:w="0" w:type="dxa"/>
            <w:right w:w="108" w:type="dxa"/>
          </w:tblCellMar>
        </w:tblPrEx>
        <w:trPr>
          <w:trHeight w:val="280" w:hRule="atLeast"/>
        </w:trPr>
        <w:tc>
          <w:tcPr>
            <w:tcW w:w="409" w:type="pct"/>
            <w:tcBorders>
              <w:top w:val="single" w:color="auto" w:sz="4" w:space="0"/>
              <w:left w:val="single" w:color="auto" w:sz="4" w:space="0"/>
              <w:bottom w:val="single" w:color="auto" w:sz="4" w:space="0"/>
              <w:right w:val="single" w:color="auto" w:sz="4" w:space="0"/>
            </w:tcBorders>
            <w:noWrap/>
            <w:vAlign w:val="center"/>
          </w:tcPr>
          <w:p w14:paraId="580F5C42">
            <w:pPr>
              <w:widowControl/>
              <w:spacing w:line="420" w:lineRule="exact"/>
              <w:jc w:val="center"/>
              <w:rPr>
                <w:rFonts w:hint="eastAsia" w:ascii="楷体" w:hAnsi="楷体" w:eastAsia="楷体" w:cs="楷体"/>
                <w:b/>
                <w:bCs/>
                <w:color w:val="000000"/>
                <w:kern w:val="0"/>
                <w:sz w:val="24"/>
                <w:szCs w:val="24"/>
              </w:rPr>
            </w:pPr>
            <w:r>
              <w:rPr>
                <w:rFonts w:hint="eastAsia" w:ascii="楷体" w:hAnsi="楷体" w:eastAsia="楷体" w:cs="楷体"/>
                <w:b/>
                <w:bCs/>
                <w:color w:val="000000"/>
                <w:kern w:val="0"/>
                <w:sz w:val="24"/>
                <w:szCs w:val="24"/>
              </w:rPr>
              <w:t>序号</w:t>
            </w:r>
          </w:p>
        </w:tc>
        <w:tc>
          <w:tcPr>
            <w:tcW w:w="713" w:type="pct"/>
            <w:tcBorders>
              <w:top w:val="single" w:color="auto" w:sz="4" w:space="0"/>
              <w:left w:val="nil"/>
              <w:bottom w:val="single" w:color="auto" w:sz="4" w:space="0"/>
              <w:right w:val="single" w:color="auto" w:sz="4" w:space="0"/>
            </w:tcBorders>
            <w:noWrap w:val="0"/>
            <w:vAlign w:val="center"/>
          </w:tcPr>
          <w:p w14:paraId="113DFC03">
            <w:pPr>
              <w:widowControl/>
              <w:spacing w:line="420" w:lineRule="exact"/>
              <w:jc w:val="center"/>
              <w:rPr>
                <w:rFonts w:hint="eastAsia" w:ascii="楷体" w:hAnsi="楷体" w:eastAsia="楷体" w:cs="楷体"/>
                <w:b/>
                <w:bCs/>
                <w:color w:val="000000"/>
                <w:kern w:val="0"/>
                <w:sz w:val="24"/>
                <w:szCs w:val="24"/>
              </w:rPr>
            </w:pPr>
            <w:r>
              <w:rPr>
                <w:rFonts w:hint="eastAsia" w:ascii="楷体" w:hAnsi="楷体" w:eastAsia="楷体" w:cs="楷体"/>
                <w:b/>
                <w:bCs/>
                <w:color w:val="000000"/>
                <w:kern w:val="0"/>
                <w:sz w:val="24"/>
                <w:szCs w:val="24"/>
              </w:rPr>
              <w:t>技术参数</w:t>
            </w:r>
          </w:p>
        </w:tc>
        <w:tc>
          <w:tcPr>
            <w:tcW w:w="2803" w:type="pct"/>
            <w:tcBorders>
              <w:top w:val="single" w:color="auto" w:sz="4" w:space="0"/>
              <w:left w:val="nil"/>
              <w:bottom w:val="single" w:color="auto" w:sz="4" w:space="0"/>
              <w:right w:val="single" w:color="auto" w:sz="4" w:space="0"/>
            </w:tcBorders>
            <w:noWrap w:val="0"/>
            <w:vAlign w:val="center"/>
          </w:tcPr>
          <w:p w14:paraId="71938849">
            <w:pPr>
              <w:widowControl/>
              <w:spacing w:line="420" w:lineRule="exact"/>
              <w:jc w:val="center"/>
              <w:rPr>
                <w:rFonts w:hint="eastAsia" w:ascii="楷体" w:hAnsi="楷体" w:eastAsia="楷体" w:cs="楷体"/>
                <w:b/>
                <w:bCs/>
                <w:color w:val="000000"/>
                <w:kern w:val="0"/>
                <w:sz w:val="24"/>
                <w:szCs w:val="24"/>
              </w:rPr>
            </w:pPr>
            <w:r>
              <w:rPr>
                <w:rFonts w:hint="eastAsia" w:ascii="楷体" w:hAnsi="楷体" w:eastAsia="楷体" w:cs="楷体"/>
                <w:b/>
                <w:bCs/>
                <w:color w:val="000000"/>
                <w:kern w:val="0"/>
                <w:sz w:val="24"/>
                <w:szCs w:val="24"/>
              </w:rPr>
              <w:t>详细技术要求</w:t>
            </w:r>
          </w:p>
        </w:tc>
        <w:tc>
          <w:tcPr>
            <w:tcW w:w="1073" w:type="pct"/>
            <w:tcBorders>
              <w:top w:val="single" w:color="auto" w:sz="4" w:space="0"/>
              <w:left w:val="nil"/>
              <w:bottom w:val="single" w:color="auto" w:sz="4" w:space="0"/>
              <w:right w:val="single" w:color="auto" w:sz="4" w:space="0"/>
            </w:tcBorders>
            <w:noWrap w:val="0"/>
            <w:vAlign w:val="center"/>
          </w:tcPr>
          <w:p w14:paraId="56495E09">
            <w:pPr>
              <w:widowControl/>
              <w:spacing w:line="420" w:lineRule="exact"/>
              <w:jc w:val="center"/>
              <w:rPr>
                <w:rFonts w:hint="eastAsia" w:ascii="楷体" w:hAnsi="楷体" w:eastAsia="楷体" w:cs="楷体"/>
                <w:b/>
                <w:bCs/>
                <w:color w:val="000000"/>
                <w:kern w:val="0"/>
                <w:sz w:val="24"/>
                <w:szCs w:val="24"/>
              </w:rPr>
            </w:pPr>
            <w:r>
              <w:rPr>
                <w:rFonts w:hint="eastAsia" w:ascii="楷体" w:hAnsi="楷体" w:eastAsia="楷体" w:cs="楷体"/>
                <w:b/>
                <w:bCs/>
                <w:color w:val="000000"/>
                <w:kern w:val="0"/>
                <w:sz w:val="24"/>
                <w:szCs w:val="24"/>
              </w:rPr>
              <w:t>证明材料</w:t>
            </w:r>
          </w:p>
        </w:tc>
      </w:tr>
      <w:tr w14:paraId="3D08A3B9">
        <w:tblPrEx>
          <w:tblCellMar>
            <w:top w:w="0" w:type="dxa"/>
            <w:left w:w="108" w:type="dxa"/>
            <w:bottom w:w="0" w:type="dxa"/>
            <w:right w:w="108" w:type="dxa"/>
          </w:tblCellMar>
        </w:tblPrEx>
        <w:trPr>
          <w:trHeight w:val="520" w:hRule="atLeast"/>
        </w:trPr>
        <w:tc>
          <w:tcPr>
            <w:tcW w:w="409" w:type="pct"/>
            <w:tcBorders>
              <w:top w:val="nil"/>
              <w:left w:val="single" w:color="auto" w:sz="4" w:space="0"/>
              <w:bottom w:val="single" w:color="auto" w:sz="4" w:space="0"/>
              <w:right w:val="single" w:color="auto" w:sz="4" w:space="0"/>
            </w:tcBorders>
            <w:noWrap/>
            <w:vAlign w:val="center"/>
          </w:tcPr>
          <w:p w14:paraId="643C0E6A">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w:t>
            </w:r>
          </w:p>
        </w:tc>
        <w:tc>
          <w:tcPr>
            <w:tcW w:w="713" w:type="pct"/>
            <w:tcBorders>
              <w:top w:val="nil"/>
              <w:left w:val="nil"/>
              <w:bottom w:val="single" w:color="auto" w:sz="4" w:space="0"/>
              <w:right w:val="single" w:color="auto" w:sz="4" w:space="0"/>
            </w:tcBorders>
            <w:noWrap w:val="0"/>
            <w:vAlign w:val="center"/>
          </w:tcPr>
          <w:p w14:paraId="07A86540">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标准方法</w:t>
            </w:r>
          </w:p>
        </w:tc>
        <w:tc>
          <w:tcPr>
            <w:tcW w:w="2803" w:type="pct"/>
            <w:tcBorders>
              <w:top w:val="nil"/>
              <w:left w:val="nil"/>
              <w:bottom w:val="single" w:color="auto" w:sz="4" w:space="0"/>
              <w:right w:val="single" w:color="auto" w:sz="4" w:space="0"/>
            </w:tcBorders>
            <w:noWrap w:val="0"/>
            <w:vAlign w:val="center"/>
          </w:tcPr>
          <w:p w14:paraId="38E39D6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1、产品符合《空气和废气 颗粒物中铅等金属元素的测定 电感耦合等离子体质谱法》（HJ 657-2013）</w:t>
            </w:r>
          </w:p>
        </w:tc>
        <w:tc>
          <w:tcPr>
            <w:tcW w:w="1073" w:type="pct"/>
            <w:tcBorders>
              <w:top w:val="nil"/>
              <w:left w:val="nil"/>
              <w:bottom w:val="single" w:color="auto" w:sz="4" w:space="0"/>
              <w:right w:val="single" w:color="auto" w:sz="4" w:space="0"/>
            </w:tcBorders>
            <w:noWrap w:val="0"/>
            <w:vAlign w:val="center"/>
          </w:tcPr>
          <w:p w14:paraId="7B24BDB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3968BF2D">
        <w:tblPrEx>
          <w:tblCellMar>
            <w:top w:w="0" w:type="dxa"/>
            <w:left w:w="108" w:type="dxa"/>
            <w:bottom w:w="0" w:type="dxa"/>
            <w:right w:w="108" w:type="dxa"/>
          </w:tblCellMar>
        </w:tblPrEx>
        <w:trPr>
          <w:trHeight w:val="780" w:hRule="atLeast"/>
        </w:trPr>
        <w:tc>
          <w:tcPr>
            <w:tcW w:w="409" w:type="pct"/>
            <w:tcBorders>
              <w:top w:val="single" w:color="auto" w:sz="4" w:space="0"/>
              <w:left w:val="single" w:color="auto" w:sz="4" w:space="0"/>
              <w:bottom w:val="single" w:color="auto" w:sz="4" w:space="0"/>
              <w:right w:val="single" w:color="auto" w:sz="4" w:space="0"/>
            </w:tcBorders>
            <w:noWrap/>
            <w:vAlign w:val="center"/>
          </w:tcPr>
          <w:p w14:paraId="677FB0E0">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w:t>
            </w:r>
          </w:p>
        </w:tc>
        <w:tc>
          <w:tcPr>
            <w:tcW w:w="713" w:type="pct"/>
            <w:tcBorders>
              <w:top w:val="single" w:color="auto" w:sz="4" w:space="0"/>
              <w:left w:val="single" w:color="auto" w:sz="4" w:space="0"/>
              <w:bottom w:val="single" w:color="auto" w:sz="4" w:space="0"/>
              <w:right w:val="single" w:color="auto" w:sz="4" w:space="0"/>
            </w:tcBorders>
            <w:noWrap w:val="0"/>
            <w:vAlign w:val="center"/>
          </w:tcPr>
          <w:p w14:paraId="66FA7944">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应用范围</w:t>
            </w:r>
          </w:p>
        </w:tc>
        <w:tc>
          <w:tcPr>
            <w:tcW w:w="2803" w:type="pct"/>
            <w:tcBorders>
              <w:top w:val="single" w:color="auto" w:sz="4" w:space="0"/>
              <w:left w:val="single" w:color="auto" w:sz="4" w:space="0"/>
              <w:bottom w:val="single" w:color="auto" w:sz="4" w:space="0"/>
              <w:right w:val="single" w:color="auto" w:sz="4" w:space="0"/>
            </w:tcBorders>
            <w:noWrap w:val="0"/>
            <w:vAlign w:val="center"/>
          </w:tcPr>
          <w:p w14:paraId="1AA3E7A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1、要求能适用于应用领域广泛的各种样品的元素分析、同位素分析和元素形态分析任务，满足环保、食品、地质、金属、生物样品、化工材料分析等等。</w:t>
            </w:r>
          </w:p>
        </w:tc>
        <w:tc>
          <w:tcPr>
            <w:tcW w:w="1073" w:type="pct"/>
            <w:tcBorders>
              <w:top w:val="single" w:color="auto" w:sz="4" w:space="0"/>
              <w:left w:val="single" w:color="auto" w:sz="4" w:space="0"/>
              <w:bottom w:val="single" w:color="auto" w:sz="4" w:space="0"/>
              <w:right w:val="single" w:color="auto" w:sz="4" w:space="0"/>
            </w:tcBorders>
            <w:noWrap w:val="0"/>
            <w:vAlign w:val="center"/>
          </w:tcPr>
          <w:p w14:paraId="0F7D765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2E5F718B">
        <w:tblPrEx>
          <w:tblCellMar>
            <w:top w:w="0" w:type="dxa"/>
            <w:left w:w="108" w:type="dxa"/>
            <w:bottom w:w="0" w:type="dxa"/>
            <w:right w:w="108" w:type="dxa"/>
          </w:tblCellMar>
        </w:tblPrEx>
        <w:trPr>
          <w:trHeight w:val="280" w:hRule="atLeast"/>
        </w:trPr>
        <w:tc>
          <w:tcPr>
            <w:tcW w:w="409" w:type="pct"/>
            <w:vMerge w:val="restart"/>
            <w:tcBorders>
              <w:top w:val="single" w:color="auto" w:sz="4" w:space="0"/>
              <w:left w:val="single" w:color="auto" w:sz="4" w:space="0"/>
              <w:bottom w:val="single" w:color="auto" w:sz="4" w:space="0"/>
              <w:right w:val="single" w:color="auto" w:sz="4" w:space="0"/>
            </w:tcBorders>
            <w:noWrap/>
            <w:vAlign w:val="center"/>
          </w:tcPr>
          <w:p w14:paraId="01D44C30">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w:t>
            </w:r>
          </w:p>
        </w:tc>
        <w:tc>
          <w:tcPr>
            <w:tcW w:w="713" w:type="pct"/>
            <w:vMerge w:val="restart"/>
            <w:tcBorders>
              <w:top w:val="single" w:color="auto" w:sz="4" w:space="0"/>
              <w:left w:val="single" w:color="auto" w:sz="4" w:space="0"/>
              <w:bottom w:val="single" w:color="auto" w:sz="4" w:space="0"/>
              <w:right w:val="single" w:color="auto" w:sz="4" w:space="0"/>
            </w:tcBorders>
            <w:noWrap w:val="0"/>
            <w:vAlign w:val="center"/>
          </w:tcPr>
          <w:p w14:paraId="7FB5BE18">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工作环境</w:t>
            </w:r>
          </w:p>
        </w:tc>
        <w:tc>
          <w:tcPr>
            <w:tcW w:w="2803" w:type="pct"/>
            <w:tcBorders>
              <w:top w:val="single" w:color="auto" w:sz="4" w:space="0"/>
              <w:left w:val="nil"/>
              <w:bottom w:val="single" w:color="auto" w:sz="4" w:space="0"/>
              <w:right w:val="single" w:color="auto" w:sz="4" w:space="0"/>
            </w:tcBorders>
            <w:noWrap w:val="0"/>
            <w:vAlign w:val="center"/>
          </w:tcPr>
          <w:p w14:paraId="5367101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1、工作环境温度： 15-30℃.</w:t>
            </w:r>
          </w:p>
        </w:tc>
        <w:tc>
          <w:tcPr>
            <w:tcW w:w="1073" w:type="pct"/>
            <w:tcBorders>
              <w:top w:val="single" w:color="auto" w:sz="4" w:space="0"/>
              <w:left w:val="nil"/>
              <w:bottom w:val="single" w:color="auto" w:sz="4" w:space="0"/>
              <w:right w:val="single" w:color="auto" w:sz="4" w:space="0"/>
            </w:tcBorders>
            <w:noWrap w:val="0"/>
            <w:vAlign w:val="center"/>
          </w:tcPr>
          <w:p w14:paraId="3AD4E9B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7B2A3A90">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92C9AF7">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45C02A0E">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1C13C32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2、工作环境湿度： &lt; 80% (无冷凝)</w:t>
            </w:r>
          </w:p>
        </w:tc>
        <w:tc>
          <w:tcPr>
            <w:tcW w:w="1073" w:type="pct"/>
            <w:tcBorders>
              <w:top w:val="nil"/>
              <w:left w:val="nil"/>
              <w:bottom w:val="single" w:color="auto" w:sz="4" w:space="0"/>
              <w:right w:val="single" w:color="auto" w:sz="4" w:space="0"/>
            </w:tcBorders>
            <w:noWrap w:val="0"/>
            <w:vAlign w:val="center"/>
          </w:tcPr>
          <w:p w14:paraId="20A6F95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19B1FBFA">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0E22DBC">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B35486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33BD9A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3、电源：单相200-240V ，50 Hz</w:t>
            </w:r>
          </w:p>
        </w:tc>
        <w:tc>
          <w:tcPr>
            <w:tcW w:w="1073" w:type="pct"/>
            <w:tcBorders>
              <w:top w:val="nil"/>
              <w:left w:val="nil"/>
              <w:bottom w:val="single" w:color="auto" w:sz="4" w:space="0"/>
              <w:right w:val="single" w:color="auto" w:sz="4" w:space="0"/>
            </w:tcBorders>
            <w:noWrap w:val="0"/>
            <w:vAlign w:val="center"/>
          </w:tcPr>
          <w:p w14:paraId="17A3578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45AE6590">
        <w:tblPrEx>
          <w:tblCellMar>
            <w:top w:w="0" w:type="dxa"/>
            <w:left w:w="108" w:type="dxa"/>
            <w:bottom w:w="0" w:type="dxa"/>
            <w:right w:w="108" w:type="dxa"/>
          </w:tblCellMar>
        </w:tblPrEx>
        <w:trPr>
          <w:trHeight w:val="780" w:hRule="atLeast"/>
        </w:trPr>
        <w:tc>
          <w:tcPr>
            <w:tcW w:w="409" w:type="pct"/>
            <w:tcBorders>
              <w:top w:val="nil"/>
              <w:left w:val="single" w:color="auto" w:sz="4" w:space="0"/>
              <w:bottom w:val="single" w:color="auto" w:sz="4" w:space="0"/>
              <w:right w:val="single" w:color="auto" w:sz="4" w:space="0"/>
            </w:tcBorders>
            <w:noWrap/>
            <w:vAlign w:val="center"/>
          </w:tcPr>
          <w:p w14:paraId="4A392486">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w:t>
            </w:r>
          </w:p>
        </w:tc>
        <w:tc>
          <w:tcPr>
            <w:tcW w:w="713" w:type="pct"/>
            <w:tcBorders>
              <w:top w:val="nil"/>
              <w:left w:val="nil"/>
              <w:bottom w:val="single" w:color="auto" w:sz="4" w:space="0"/>
              <w:right w:val="single" w:color="auto" w:sz="4" w:space="0"/>
            </w:tcBorders>
            <w:noWrap w:val="0"/>
            <w:vAlign w:val="center"/>
          </w:tcPr>
          <w:p w14:paraId="552BB527">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整体要求</w:t>
            </w:r>
          </w:p>
        </w:tc>
        <w:tc>
          <w:tcPr>
            <w:tcW w:w="2803" w:type="pct"/>
            <w:tcBorders>
              <w:top w:val="nil"/>
              <w:left w:val="nil"/>
              <w:bottom w:val="single" w:color="auto" w:sz="4" w:space="0"/>
              <w:right w:val="single" w:color="auto" w:sz="4" w:space="0"/>
            </w:tcBorders>
            <w:noWrap w:val="0"/>
            <w:vAlign w:val="center"/>
          </w:tcPr>
          <w:p w14:paraId="7955D1F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1、▲为了能够在碰撞或反应模式中引入质量筛选功能以实现更有效的多原子离子干扰去除效果，实现对复杂基体样品的准确分析，仪器供应商所提供的产品应具有两套可实现质量筛选功能的四极杆。</w:t>
            </w:r>
          </w:p>
        </w:tc>
        <w:tc>
          <w:tcPr>
            <w:tcW w:w="1073" w:type="pct"/>
            <w:tcBorders>
              <w:top w:val="nil"/>
              <w:left w:val="nil"/>
              <w:bottom w:val="single" w:color="auto" w:sz="4" w:space="0"/>
              <w:right w:val="single" w:color="auto" w:sz="4" w:space="0"/>
            </w:tcBorders>
            <w:noWrap w:val="0"/>
            <w:vAlign w:val="center"/>
          </w:tcPr>
          <w:p w14:paraId="174922B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5752FBBF">
        <w:tblPrEx>
          <w:tblCellMar>
            <w:top w:w="0" w:type="dxa"/>
            <w:left w:w="108" w:type="dxa"/>
            <w:bottom w:w="0" w:type="dxa"/>
            <w:right w:w="108" w:type="dxa"/>
          </w:tblCellMar>
        </w:tblPrEx>
        <w:trPr>
          <w:trHeight w:val="1040" w:hRule="atLeast"/>
        </w:trPr>
        <w:tc>
          <w:tcPr>
            <w:tcW w:w="409" w:type="pct"/>
            <w:vMerge w:val="restart"/>
            <w:tcBorders>
              <w:top w:val="nil"/>
              <w:left w:val="single" w:color="auto" w:sz="4" w:space="0"/>
              <w:bottom w:val="single" w:color="auto" w:sz="4" w:space="0"/>
              <w:right w:val="single" w:color="auto" w:sz="4" w:space="0"/>
            </w:tcBorders>
            <w:noWrap/>
            <w:vAlign w:val="center"/>
          </w:tcPr>
          <w:p w14:paraId="44B93B6A">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5</w:t>
            </w:r>
          </w:p>
        </w:tc>
        <w:tc>
          <w:tcPr>
            <w:tcW w:w="713" w:type="pct"/>
            <w:vMerge w:val="restart"/>
            <w:tcBorders>
              <w:top w:val="nil"/>
              <w:left w:val="single" w:color="auto" w:sz="4" w:space="0"/>
              <w:bottom w:val="single" w:color="auto" w:sz="4" w:space="0"/>
              <w:right w:val="single" w:color="auto" w:sz="4" w:space="0"/>
            </w:tcBorders>
            <w:noWrap w:val="0"/>
            <w:vAlign w:val="center"/>
          </w:tcPr>
          <w:p w14:paraId="1D94657F">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进样系统</w:t>
            </w:r>
          </w:p>
        </w:tc>
        <w:tc>
          <w:tcPr>
            <w:tcW w:w="2803" w:type="pct"/>
            <w:tcBorders>
              <w:top w:val="nil"/>
              <w:left w:val="nil"/>
              <w:bottom w:val="single" w:color="auto" w:sz="4" w:space="0"/>
              <w:right w:val="single" w:color="auto" w:sz="4" w:space="0"/>
            </w:tcBorders>
            <w:noWrap w:val="0"/>
            <w:vAlign w:val="center"/>
          </w:tcPr>
          <w:p w14:paraId="3DD2605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蠕动泵：最高可调转动速度大于等于45rpm（每分钟45转）的四通道蠕动泵系统，以加快样品的引入和冲洗速度，使仪器具有更高的分析效率，同时保证更强的进样拓展能力；泵体应采用惰性材质制造，防止酸液滴落对滚轮的腐蚀。可自动适配松紧程度，无需手动调节。</w:t>
            </w:r>
          </w:p>
        </w:tc>
        <w:tc>
          <w:tcPr>
            <w:tcW w:w="1073" w:type="pct"/>
            <w:tcBorders>
              <w:top w:val="nil"/>
              <w:left w:val="nil"/>
              <w:bottom w:val="single" w:color="auto" w:sz="4" w:space="0"/>
              <w:right w:val="single" w:color="auto" w:sz="4" w:space="0"/>
            </w:tcBorders>
            <w:noWrap w:val="0"/>
            <w:vAlign w:val="center"/>
          </w:tcPr>
          <w:p w14:paraId="6069118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0F3DAEC6">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79AFC0A9">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CC66A3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015611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2、雾化器：具备高雾化效率和耐高盐性能的同心雾化器。</w:t>
            </w:r>
          </w:p>
        </w:tc>
        <w:tc>
          <w:tcPr>
            <w:tcW w:w="1073" w:type="pct"/>
            <w:tcBorders>
              <w:top w:val="nil"/>
              <w:left w:val="nil"/>
              <w:bottom w:val="single" w:color="auto" w:sz="4" w:space="0"/>
              <w:right w:val="single" w:color="auto" w:sz="4" w:space="0"/>
            </w:tcBorders>
            <w:noWrap w:val="0"/>
            <w:vAlign w:val="center"/>
          </w:tcPr>
          <w:p w14:paraId="7263E6E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04E9CB91">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32556E59">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3AB50748">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1F0A6347">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雾化室：为了减少基体溶剂的引入量，抑制多原子离子干扰物的产率，同时消除温度波动对稳定性的影响。产品应配备具有半导体制冷功能的小体积旋流型雾化室，制冷能力应小于-8℃，且制冷温度越低越好。</w:t>
            </w:r>
          </w:p>
        </w:tc>
        <w:tc>
          <w:tcPr>
            <w:tcW w:w="1073" w:type="pct"/>
            <w:tcBorders>
              <w:top w:val="nil"/>
              <w:left w:val="nil"/>
              <w:bottom w:val="single" w:color="auto" w:sz="4" w:space="0"/>
              <w:right w:val="single" w:color="auto" w:sz="4" w:space="0"/>
            </w:tcBorders>
            <w:noWrap w:val="0"/>
            <w:vAlign w:val="center"/>
          </w:tcPr>
          <w:p w14:paraId="74EEDDF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76925A62">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F3B3D4F">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12691D1A">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3F40762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4、炬管：采用无需手动连接等离子气，辅助气气路的卡式推入炬管设计，以方便日常更换维护且避免多次维护导致的漏气现象；可配置多种口径中心管的分体式石英炬管，用以降低炬管的后期使用成本。</w:t>
            </w:r>
          </w:p>
        </w:tc>
        <w:tc>
          <w:tcPr>
            <w:tcW w:w="1073" w:type="pct"/>
            <w:tcBorders>
              <w:top w:val="nil"/>
              <w:left w:val="nil"/>
              <w:bottom w:val="single" w:color="auto" w:sz="4" w:space="0"/>
              <w:right w:val="single" w:color="auto" w:sz="4" w:space="0"/>
            </w:tcBorders>
            <w:noWrap w:val="0"/>
            <w:vAlign w:val="center"/>
          </w:tcPr>
          <w:p w14:paraId="0DBDD1B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1BB76CCC">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75A831E4">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9F7DDB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174785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5、中心管：可拆卸式中心管设计，方便买方针对不同样品类型选择并更换合适尺寸的中心管。</w:t>
            </w:r>
          </w:p>
        </w:tc>
        <w:tc>
          <w:tcPr>
            <w:tcW w:w="1073" w:type="pct"/>
            <w:tcBorders>
              <w:top w:val="nil"/>
              <w:left w:val="nil"/>
              <w:bottom w:val="single" w:color="auto" w:sz="4" w:space="0"/>
              <w:right w:val="single" w:color="auto" w:sz="4" w:space="0"/>
            </w:tcBorders>
            <w:noWrap w:val="0"/>
            <w:vAlign w:val="center"/>
          </w:tcPr>
          <w:p w14:paraId="6B4502A0">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4A13411A">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7A631AA8">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F8E7BB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00514F0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6、等离子体炬位调整：由计算机控制步进电机进行三维(X,Y, Z方向)位置控制，步长调节精度0.05mm，参数存储于计算机软件中。</w:t>
            </w:r>
          </w:p>
        </w:tc>
        <w:tc>
          <w:tcPr>
            <w:tcW w:w="1073" w:type="pct"/>
            <w:tcBorders>
              <w:top w:val="nil"/>
              <w:left w:val="nil"/>
              <w:bottom w:val="single" w:color="auto" w:sz="4" w:space="0"/>
              <w:right w:val="single" w:color="auto" w:sz="4" w:space="0"/>
            </w:tcBorders>
            <w:noWrap w:val="0"/>
            <w:vAlign w:val="center"/>
          </w:tcPr>
          <w:p w14:paraId="742E854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0A8ABD1B">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35DB768F">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3A072D78">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2151355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7、气路部分均采用高精度的质量流量计控制（包括冷却气、辅助气、雾化气）。</w:t>
            </w:r>
          </w:p>
        </w:tc>
        <w:tc>
          <w:tcPr>
            <w:tcW w:w="1073" w:type="pct"/>
            <w:tcBorders>
              <w:top w:val="nil"/>
              <w:left w:val="nil"/>
              <w:bottom w:val="single" w:color="auto" w:sz="4" w:space="0"/>
              <w:right w:val="single" w:color="auto" w:sz="4" w:space="0"/>
            </w:tcBorders>
            <w:noWrap w:val="0"/>
            <w:vAlign w:val="center"/>
          </w:tcPr>
          <w:p w14:paraId="77BDE6F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535EF5BA">
        <w:tblPrEx>
          <w:tblCellMar>
            <w:top w:w="0" w:type="dxa"/>
            <w:left w:w="108" w:type="dxa"/>
            <w:bottom w:w="0" w:type="dxa"/>
            <w:right w:w="108" w:type="dxa"/>
          </w:tblCellMar>
        </w:tblPrEx>
        <w:trPr>
          <w:trHeight w:val="104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46062203">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397F1A34">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6537F34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8、▲等离子体可视系统：可以实时通过电脑显示器监控等离子体及锥口和中心管的状态，便于及时判断仪器是否需要维护。方便将ICP-MS主机与控制电脑分开放置的买方直接通过控制电脑观察仪器运行情况并进行参数优化。</w:t>
            </w:r>
          </w:p>
        </w:tc>
        <w:tc>
          <w:tcPr>
            <w:tcW w:w="1073" w:type="pct"/>
            <w:tcBorders>
              <w:top w:val="nil"/>
              <w:left w:val="nil"/>
              <w:bottom w:val="single" w:color="auto" w:sz="4" w:space="0"/>
              <w:right w:val="single" w:color="auto" w:sz="4" w:space="0"/>
            </w:tcBorders>
            <w:noWrap w:val="0"/>
            <w:vAlign w:val="center"/>
          </w:tcPr>
          <w:p w14:paraId="2870F3C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40FC7890">
        <w:tblPrEx>
          <w:tblCellMar>
            <w:top w:w="0" w:type="dxa"/>
            <w:left w:w="108" w:type="dxa"/>
            <w:bottom w:w="0" w:type="dxa"/>
            <w:right w:w="108" w:type="dxa"/>
          </w:tblCellMar>
        </w:tblPrEx>
        <w:trPr>
          <w:trHeight w:val="780" w:hRule="atLeast"/>
        </w:trPr>
        <w:tc>
          <w:tcPr>
            <w:tcW w:w="409" w:type="pct"/>
            <w:vMerge w:val="restart"/>
            <w:tcBorders>
              <w:top w:val="nil"/>
              <w:left w:val="single" w:color="auto" w:sz="4" w:space="0"/>
              <w:bottom w:val="single" w:color="auto" w:sz="4" w:space="0"/>
              <w:right w:val="single" w:color="auto" w:sz="4" w:space="0"/>
            </w:tcBorders>
            <w:noWrap/>
            <w:vAlign w:val="center"/>
          </w:tcPr>
          <w:p w14:paraId="5DA34CBF">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6</w:t>
            </w:r>
          </w:p>
        </w:tc>
        <w:tc>
          <w:tcPr>
            <w:tcW w:w="713" w:type="pct"/>
            <w:vMerge w:val="restart"/>
            <w:tcBorders>
              <w:top w:val="nil"/>
              <w:left w:val="single" w:color="auto" w:sz="4" w:space="0"/>
              <w:bottom w:val="single" w:color="auto" w:sz="4" w:space="0"/>
              <w:right w:val="single" w:color="auto" w:sz="4" w:space="0"/>
            </w:tcBorders>
            <w:noWrap w:val="0"/>
            <w:vAlign w:val="center"/>
          </w:tcPr>
          <w:p w14:paraId="5B28D007">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射频发生系统</w:t>
            </w:r>
          </w:p>
        </w:tc>
        <w:tc>
          <w:tcPr>
            <w:tcW w:w="2803" w:type="pct"/>
            <w:tcBorders>
              <w:top w:val="nil"/>
              <w:left w:val="nil"/>
              <w:bottom w:val="single" w:color="auto" w:sz="4" w:space="0"/>
              <w:right w:val="single" w:color="auto" w:sz="4" w:space="0"/>
            </w:tcBorders>
            <w:noWrap w:val="0"/>
            <w:vAlign w:val="center"/>
          </w:tcPr>
          <w:p w14:paraId="2FCF27D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1、▲离子源：为获得更高的等离子体中心通道温度提高样品的离子化效率，仪器应采用27.12MHz工作频率驱动的自激式全固态RF发生器；功率在400-1600W范围内连续可调，调节精度0.5W。</w:t>
            </w:r>
          </w:p>
        </w:tc>
        <w:tc>
          <w:tcPr>
            <w:tcW w:w="1073" w:type="pct"/>
            <w:tcBorders>
              <w:top w:val="nil"/>
              <w:left w:val="nil"/>
              <w:bottom w:val="single" w:color="auto" w:sz="4" w:space="0"/>
              <w:right w:val="single" w:color="auto" w:sz="4" w:space="0"/>
            </w:tcBorders>
            <w:noWrap w:val="0"/>
            <w:vAlign w:val="center"/>
          </w:tcPr>
          <w:p w14:paraId="75F7C64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28DF26BD">
        <w:tblPrEx>
          <w:tblCellMar>
            <w:top w:w="0" w:type="dxa"/>
            <w:left w:w="108" w:type="dxa"/>
            <w:bottom w:w="0" w:type="dxa"/>
            <w:right w:w="108" w:type="dxa"/>
          </w:tblCellMar>
        </w:tblPrEx>
        <w:trPr>
          <w:trHeight w:val="104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39CC9C5">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042337A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F40A6F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仪器应能够使用500W的冷等离子体进行样品分析，进行冷焰分析时无需使用屏蔽炬亦可保证冷等离子体的稳定工作及信号的灵敏度。要求在一次样品分析中能自动切换冷焰模式和标准模式，保证样品中所有分析元素（在两种不同模式中）一次进样完成分析。</w:t>
            </w:r>
          </w:p>
        </w:tc>
        <w:tc>
          <w:tcPr>
            <w:tcW w:w="1073" w:type="pct"/>
            <w:tcBorders>
              <w:top w:val="nil"/>
              <w:left w:val="nil"/>
              <w:bottom w:val="single" w:color="auto" w:sz="4" w:space="0"/>
              <w:right w:val="single" w:color="auto" w:sz="4" w:space="0"/>
            </w:tcBorders>
            <w:noWrap w:val="0"/>
            <w:vAlign w:val="center"/>
          </w:tcPr>
          <w:p w14:paraId="127B5E60">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70DEEA2B">
        <w:tblPrEx>
          <w:tblCellMar>
            <w:top w:w="0" w:type="dxa"/>
            <w:left w:w="108" w:type="dxa"/>
            <w:bottom w:w="0" w:type="dxa"/>
            <w:right w:w="108" w:type="dxa"/>
          </w:tblCellMar>
        </w:tblPrEx>
        <w:trPr>
          <w:trHeight w:val="47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10B58AFD">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F5EE685">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27D3F18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3、▲具有工作线圈和接口的二次放电消除功能，采用无需屏蔽炬设计的虚拟接地技术，保证仪器最佳性能的同时减少不必要的消耗品——屏蔽炬。（对使用屏蔽炬技术的产品，需配备5套屏蔽炬以备更换。）</w:t>
            </w:r>
          </w:p>
        </w:tc>
        <w:tc>
          <w:tcPr>
            <w:tcW w:w="1073" w:type="pct"/>
            <w:tcBorders>
              <w:top w:val="nil"/>
              <w:left w:val="nil"/>
              <w:bottom w:val="single" w:color="auto" w:sz="4" w:space="0"/>
              <w:right w:val="single" w:color="auto" w:sz="4" w:space="0"/>
            </w:tcBorders>
            <w:noWrap w:val="0"/>
            <w:vAlign w:val="center"/>
          </w:tcPr>
          <w:p w14:paraId="2B9BF212">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6BD26487">
        <w:tblPrEx>
          <w:tblCellMar>
            <w:top w:w="0" w:type="dxa"/>
            <w:left w:w="108" w:type="dxa"/>
            <w:bottom w:w="0" w:type="dxa"/>
            <w:right w:w="108" w:type="dxa"/>
          </w:tblCellMar>
        </w:tblPrEx>
        <w:trPr>
          <w:trHeight w:val="780" w:hRule="atLeast"/>
        </w:trPr>
        <w:tc>
          <w:tcPr>
            <w:tcW w:w="409" w:type="pct"/>
            <w:tcBorders>
              <w:top w:val="nil"/>
              <w:left w:val="single" w:color="auto" w:sz="4" w:space="0"/>
              <w:bottom w:val="single" w:color="auto" w:sz="4" w:space="0"/>
              <w:right w:val="single" w:color="auto" w:sz="4" w:space="0"/>
            </w:tcBorders>
            <w:noWrap/>
            <w:vAlign w:val="center"/>
          </w:tcPr>
          <w:p w14:paraId="481B45F4">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7</w:t>
            </w:r>
          </w:p>
        </w:tc>
        <w:tc>
          <w:tcPr>
            <w:tcW w:w="713" w:type="pct"/>
            <w:tcBorders>
              <w:top w:val="nil"/>
              <w:left w:val="nil"/>
              <w:bottom w:val="single" w:color="auto" w:sz="4" w:space="0"/>
              <w:right w:val="single" w:color="auto" w:sz="4" w:space="0"/>
            </w:tcBorders>
            <w:noWrap w:val="0"/>
            <w:vAlign w:val="center"/>
          </w:tcPr>
          <w:p w14:paraId="442DB26C">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接口部分</w:t>
            </w:r>
          </w:p>
        </w:tc>
        <w:tc>
          <w:tcPr>
            <w:tcW w:w="2803" w:type="pct"/>
            <w:tcBorders>
              <w:top w:val="nil"/>
              <w:left w:val="nil"/>
              <w:bottom w:val="single" w:color="auto" w:sz="4" w:space="0"/>
              <w:right w:val="single" w:color="auto" w:sz="4" w:space="0"/>
            </w:tcBorders>
            <w:noWrap w:val="0"/>
            <w:vAlign w:val="center"/>
          </w:tcPr>
          <w:p w14:paraId="77A20320">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1、▲接口：采用两锥设计，采样锥口径应控制在0.9-1.2mm，截取锥口径应控制在0.5-0.7mm。（对使用第三锥口超锥技术的产品，配备20套超锥以备更换）</w:t>
            </w:r>
          </w:p>
        </w:tc>
        <w:tc>
          <w:tcPr>
            <w:tcW w:w="1073" w:type="pct"/>
            <w:tcBorders>
              <w:top w:val="nil"/>
              <w:left w:val="nil"/>
              <w:bottom w:val="single" w:color="auto" w:sz="4" w:space="0"/>
              <w:right w:val="single" w:color="auto" w:sz="4" w:space="0"/>
            </w:tcBorders>
            <w:noWrap w:val="0"/>
            <w:vAlign w:val="center"/>
          </w:tcPr>
          <w:p w14:paraId="3405942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5ABAB9C3">
        <w:tblPrEx>
          <w:tblCellMar>
            <w:top w:w="0" w:type="dxa"/>
            <w:left w:w="108" w:type="dxa"/>
            <w:bottom w:w="0" w:type="dxa"/>
            <w:right w:w="108" w:type="dxa"/>
          </w:tblCellMar>
        </w:tblPrEx>
        <w:trPr>
          <w:trHeight w:val="1300" w:hRule="atLeast"/>
        </w:trPr>
        <w:tc>
          <w:tcPr>
            <w:tcW w:w="409" w:type="pct"/>
            <w:vMerge w:val="restart"/>
            <w:tcBorders>
              <w:top w:val="nil"/>
              <w:left w:val="single" w:color="auto" w:sz="4" w:space="0"/>
              <w:bottom w:val="single" w:color="auto" w:sz="4" w:space="0"/>
              <w:right w:val="single" w:color="auto" w:sz="4" w:space="0"/>
            </w:tcBorders>
            <w:noWrap/>
            <w:vAlign w:val="center"/>
          </w:tcPr>
          <w:p w14:paraId="1506C7FE">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8</w:t>
            </w:r>
          </w:p>
        </w:tc>
        <w:tc>
          <w:tcPr>
            <w:tcW w:w="713" w:type="pct"/>
            <w:vMerge w:val="restart"/>
            <w:tcBorders>
              <w:top w:val="nil"/>
              <w:left w:val="single" w:color="auto" w:sz="4" w:space="0"/>
              <w:bottom w:val="single" w:color="auto" w:sz="4" w:space="0"/>
              <w:right w:val="single" w:color="auto" w:sz="4" w:space="0"/>
            </w:tcBorders>
            <w:noWrap w:val="0"/>
            <w:vAlign w:val="center"/>
          </w:tcPr>
          <w:p w14:paraId="15560BAD">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离子偏转聚焦系统</w:t>
            </w:r>
          </w:p>
        </w:tc>
        <w:tc>
          <w:tcPr>
            <w:tcW w:w="2803" w:type="pct"/>
            <w:tcBorders>
              <w:top w:val="nil"/>
              <w:left w:val="nil"/>
              <w:bottom w:val="single" w:color="auto" w:sz="4" w:space="0"/>
              <w:right w:val="single" w:color="auto" w:sz="4" w:space="0"/>
            </w:tcBorders>
            <w:noWrap w:val="0"/>
            <w:vAlign w:val="center"/>
          </w:tcPr>
          <w:p w14:paraId="775B75F7">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为避免分析腔内碰撞反应池和质量分析器的样品沉积，仪器应在接口后部配置一套正交离子偏转聚焦系统。通过电场作用使样品离子产生90°偏转并与未解离的中性粒子和光子实现完全分离，以降低仪器背景噪音；中性粒子和光子应通过分子泵排出而无需采用任何挡板技术阻挡，避免后期对该系统的维护。</w:t>
            </w:r>
          </w:p>
        </w:tc>
        <w:tc>
          <w:tcPr>
            <w:tcW w:w="1073" w:type="pct"/>
            <w:tcBorders>
              <w:top w:val="nil"/>
              <w:left w:val="nil"/>
              <w:bottom w:val="single" w:color="auto" w:sz="4" w:space="0"/>
              <w:right w:val="single" w:color="auto" w:sz="4" w:space="0"/>
            </w:tcBorders>
            <w:noWrap w:val="0"/>
            <w:vAlign w:val="center"/>
          </w:tcPr>
          <w:p w14:paraId="55CB719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04C5542B">
        <w:tblPrEx>
          <w:tblCellMar>
            <w:top w:w="0" w:type="dxa"/>
            <w:left w:w="108" w:type="dxa"/>
            <w:bottom w:w="0" w:type="dxa"/>
            <w:right w:w="108" w:type="dxa"/>
          </w:tblCellMar>
        </w:tblPrEx>
        <w:trPr>
          <w:trHeight w:val="104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772A643">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7CE1950">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12898B7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该偏转聚焦系统应具备抑制离子束展宽的功能。可在系统内形成空间三维电场分布，保证样品离子在进行90°偏转的同时实现三维方向的离子束聚焦，抑制空间电荷效应带来的展宽，提高样品离子的传递效率进而保证仪器的灵敏度水平。</w:t>
            </w:r>
          </w:p>
        </w:tc>
        <w:tc>
          <w:tcPr>
            <w:tcW w:w="1073" w:type="pct"/>
            <w:tcBorders>
              <w:top w:val="nil"/>
              <w:left w:val="nil"/>
              <w:bottom w:val="single" w:color="auto" w:sz="4" w:space="0"/>
              <w:right w:val="single" w:color="auto" w:sz="4" w:space="0"/>
            </w:tcBorders>
            <w:noWrap w:val="0"/>
            <w:vAlign w:val="center"/>
          </w:tcPr>
          <w:p w14:paraId="5A5FE2D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368CBA6A">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56B92D0B">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453BDB4">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CED233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3、DA透镜：为了消除因碰撞或反应过程中由于电荷转移而二次产生的中性粒子，保证仪器具有极低的背景噪音，样品离子在通过碰撞反应池后可被DA透镜进行离轴偏转，将池内可能产生的二次中性干扰消除。</w:t>
            </w:r>
          </w:p>
        </w:tc>
        <w:tc>
          <w:tcPr>
            <w:tcW w:w="1073" w:type="pct"/>
            <w:tcBorders>
              <w:top w:val="nil"/>
              <w:left w:val="nil"/>
              <w:bottom w:val="single" w:color="auto" w:sz="4" w:space="0"/>
              <w:right w:val="single" w:color="auto" w:sz="4" w:space="0"/>
            </w:tcBorders>
            <w:noWrap w:val="0"/>
            <w:vAlign w:val="center"/>
          </w:tcPr>
          <w:p w14:paraId="2B93578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7B0F270E">
        <w:tblPrEx>
          <w:tblCellMar>
            <w:top w:w="0" w:type="dxa"/>
            <w:left w:w="108" w:type="dxa"/>
            <w:bottom w:w="0" w:type="dxa"/>
            <w:right w:w="108" w:type="dxa"/>
          </w:tblCellMar>
        </w:tblPrEx>
        <w:trPr>
          <w:trHeight w:val="1040" w:hRule="atLeast"/>
        </w:trPr>
        <w:tc>
          <w:tcPr>
            <w:tcW w:w="409" w:type="pct"/>
            <w:vMerge w:val="restart"/>
            <w:tcBorders>
              <w:top w:val="nil"/>
              <w:left w:val="single" w:color="auto" w:sz="4" w:space="0"/>
              <w:bottom w:val="single" w:color="auto" w:sz="4" w:space="0"/>
              <w:right w:val="single" w:color="auto" w:sz="4" w:space="0"/>
            </w:tcBorders>
            <w:noWrap/>
            <w:vAlign w:val="center"/>
          </w:tcPr>
          <w:p w14:paraId="233E9CAE">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9</w:t>
            </w:r>
          </w:p>
        </w:tc>
        <w:tc>
          <w:tcPr>
            <w:tcW w:w="713" w:type="pct"/>
            <w:vMerge w:val="restart"/>
            <w:tcBorders>
              <w:top w:val="nil"/>
              <w:left w:val="single" w:color="auto" w:sz="4" w:space="0"/>
              <w:bottom w:val="single" w:color="auto" w:sz="4" w:space="0"/>
              <w:right w:val="single" w:color="auto" w:sz="4" w:space="0"/>
            </w:tcBorders>
            <w:noWrap w:val="0"/>
            <w:vAlign w:val="center"/>
          </w:tcPr>
          <w:p w14:paraId="385857F1">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四极杆碰撞反应池</w:t>
            </w:r>
          </w:p>
        </w:tc>
        <w:tc>
          <w:tcPr>
            <w:tcW w:w="2803" w:type="pct"/>
            <w:tcBorders>
              <w:top w:val="nil"/>
              <w:left w:val="nil"/>
              <w:bottom w:val="single" w:color="auto" w:sz="4" w:space="0"/>
              <w:right w:val="single" w:color="auto" w:sz="4" w:space="0"/>
            </w:tcBorders>
            <w:noWrap w:val="0"/>
            <w:vAlign w:val="center"/>
          </w:tcPr>
          <w:p w14:paraId="688494EC">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池体内部或池体的前端应具有一套可实现质量筛选功能的四极杆结构设计。针对不同的被测元素，该四极杆结构可通过控制软件分别自动给出相应元素所需的质量筛选区段，更彻底的去除二次多原子离子干扰或反应副产物。</w:t>
            </w:r>
          </w:p>
        </w:tc>
        <w:tc>
          <w:tcPr>
            <w:tcW w:w="1073" w:type="pct"/>
            <w:tcBorders>
              <w:top w:val="nil"/>
              <w:left w:val="nil"/>
              <w:bottom w:val="single" w:color="auto" w:sz="4" w:space="0"/>
              <w:right w:val="single" w:color="auto" w:sz="4" w:space="0"/>
            </w:tcBorders>
            <w:noWrap w:val="0"/>
            <w:vAlign w:val="center"/>
          </w:tcPr>
          <w:p w14:paraId="3C0165E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625F4373">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5752169F">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2D84AC90">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63CE8C5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2、▲池内可使用标准模式（STD模式）、碰撞模式（KED模式）和反应模式（CCT模式）进行干扰的消除和样品分析，每种模式都可通过平面四极杆设置带宽进行质量数的区段筛选以达到更优异的干扰消除效果。</w:t>
            </w:r>
          </w:p>
        </w:tc>
        <w:tc>
          <w:tcPr>
            <w:tcW w:w="1073" w:type="pct"/>
            <w:tcBorders>
              <w:top w:val="nil"/>
              <w:left w:val="nil"/>
              <w:bottom w:val="single" w:color="auto" w:sz="4" w:space="0"/>
              <w:right w:val="single" w:color="auto" w:sz="4" w:space="0"/>
            </w:tcBorders>
            <w:noWrap w:val="0"/>
            <w:vAlign w:val="center"/>
          </w:tcPr>
          <w:p w14:paraId="0EDC151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481183F8">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2F74DD4">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0B811FE8">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388FDD37">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3、▲碰撞反应池可使用He气，O2，H2He混合气， NH3He混合气。</w:t>
            </w:r>
          </w:p>
        </w:tc>
        <w:tc>
          <w:tcPr>
            <w:tcW w:w="1073" w:type="pct"/>
            <w:tcBorders>
              <w:top w:val="nil"/>
              <w:left w:val="nil"/>
              <w:bottom w:val="single" w:color="auto" w:sz="4" w:space="0"/>
              <w:right w:val="single" w:color="auto" w:sz="4" w:space="0"/>
            </w:tcBorders>
            <w:noWrap w:val="0"/>
            <w:vAlign w:val="center"/>
          </w:tcPr>
          <w:p w14:paraId="486B825C">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7139435B">
        <w:tblPrEx>
          <w:tblCellMar>
            <w:top w:w="0" w:type="dxa"/>
            <w:left w:w="108" w:type="dxa"/>
            <w:bottom w:w="0" w:type="dxa"/>
            <w:right w:w="108" w:type="dxa"/>
          </w:tblCellMar>
        </w:tblPrEx>
        <w:trPr>
          <w:trHeight w:val="780" w:hRule="atLeast"/>
        </w:trPr>
        <w:tc>
          <w:tcPr>
            <w:tcW w:w="409" w:type="pct"/>
            <w:vMerge w:val="restart"/>
            <w:tcBorders>
              <w:top w:val="nil"/>
              <w:left w:val="single" w:color="auto" w:sz="4" w:space="0"/>
              <w:bottom w:val="single" w:color="auto" w:sz="4" w:space="0"/>
              <w:right w:val="single" w:color="auto" w:sz="4" w:space="0"/>
            </w:tcBorders>
            <w:noWrap/>
            <w:vAlign w:val="center"/>
          </w:tcPr>
          <w:p w14:paraId="2259E7EF">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10</w:t>
            </w:r>
          </w:p>
        </w:tc>
        <w:tc>
          <w:tcPr>
            <w:tcW w:w="713" w:type="pct"/>
            <w:vMerge w:val="restart"/>
            <w:tcBorders>
              <w:top w:val="nil"/>
              <w:left w:val="single" w:color="auto" w:sz="4" w:space="0"/>
              <w:bottom w:val="single" w:color="auto" w:sz="4" w:space="0"/>
              <w:right w:val="single" w:color="auto" w:sz="4" w:space="0"/>
            </w:tcBorders>
            <w:noWrap w:val="0"/>
            <w:vAlign w:val="center"/>
          </w:tcPr>
          <w:p w14:paraId="7031F471">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四极杆质量分辨器</w:t>
            </w:r>
          </w:p>
        </w:tc>
        <w:tc>
          <w:tcPr>
            <w:tcW w:w="2803" w:type="pct"/>
            <w:tcBorders>
              <w:top w:val="nil"/>
              <w:left w:val="nil"/>
              <w:bottom w:val="single" w:color="auto" w:sz="4" w:space="0"/>
              <w:right w:val="single" w:color="auto" w:sz="4" w:space="0"/>
            </w:tcBorders>
            <w:noWrap w:val="0"/>
            <w:vAlign w:val="center"/>
          </w:tcPr>
          <w:p w14:paraId="5A85538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1、▲纯Mo材料的长杆结构设计，提供双曲面电势场保证最佳的质量轴分辨率、丰度灵敏度；采用2.0MHz低频驱动四极杆，以获得更宽的质谱分析范围和更优异的质量轴稳定性。</w:t>
            </w:r>
          </w:p>
        </w:tc>
        <w:tc>
          <w:tcPr>
            <w:tcW w:w="1073" w:type="pct"/>
            <w:tcBorders>
              <w:top w:val="nil"/>
              <w:left w:val="nil"/>
              <w:bottom w:val="single" w:color="auto" w:sz="4" w:space="0"/>
              <w:right w:val="single" w:color="auto" w:sz="4" w:space="0"/>
            </w:tcBorders>
            <w:noWrap w:val="0"/>
            <w:vAlign w:val="center"/>
          </w:tcPr>
          <w:p w14:paraId="6EC0A93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465891CB">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E502332">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D78895B">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119849E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四极杆具有可调分辨率功能，可以在同一方法中针对不同元素进行不同分辨率的设定，要求在一次样品测试中，四极杆在不同分辨率下自动切换。</w:t>
            </w:r>
          </w:p>
        </w:tc>
        <w:tc>
          <w:tcPr>
            <w:tcW w:w="1073" w:type="pct"/>
            <w:tcBorders>
              <w:top w:val="nil"/>
              <w:left w:val="nil"/>
              <w:bottom w:val="single" w:color="auto" w:sz="4" w:space="0"/>
              <w:right w:val="single" w:color="auto" w:sz="4" w:space="0"/>
            </w:tcBorders>
            <w:noWrap w:val="0"/>
            <w:vAlign w:val="center"/>
          </w:tcPr>
          <w:p w14:paraId="355238F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551C455E">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DC63C6C">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5B8245F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CF9579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3、▲质谱范围：2-290amu，且仪器应具备分析286UOOO+离子的能力。</w:t>
            </w:r>
          </w:p>
        </w:tc>
        <w:tc>
          <w:tcPr>
            <w:tcW w:w="1073" w:type="pct"/>
            <w:tcBorders>
              <w:top w:val="nil"/>
              <w:left w:val="nil"/>
              <w:bottom w:val="single" w:color="auto" w:sz="4" w:space="0"/>
              <w:right w:val="single" w:color="auto" w:sz="4" w:space="0"/>
            </w:tcBorders>
            <w:noWrap w:val="0"/>
            <w:vAlign w:val="center"/>
          </w:tcPr>
          <w:p w14:paraId="7B530E6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6A62279B">
        <w:tblPrEx>
          <w:tblCellMar>
            <w:top w:w="0" w:type="dxa"/>
            <w:left w:w="108" w:type="dxa"/>
            <w:bottom w:w="0" w:type="dxa"/>
            <w:right w:w="108" w:type="dxa"/>
          </w:tblCellMar>
        </w:tblPrEx>
        <w:trPr>
          <w:trHeight w:val="1040" w:hRule="atLeast"/>
        </w:trPr>
        <w:tc>
          <w:tcPr>
            <w:tcW w:w="409" w:type="pct"/>
            <w:tcBorders>
              <w:top w:val="nil"/>
              <w:left w:val="single" w:color="auto" w:sz="4" w:space="0"/>
              <w:bottom w:val="single" w:color="auto" w:sz="4" w:space="0"/>
              <w:right w:val="single" w:color="auto" w:sz="4" w:space="0"/>
            </w:tcBorders>
            <w:noWrap/>
            <w:vAlign w:val="center"/>
          </w:tcPr>
          <w:p w14:paraId="0E5575CA">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11</w:t>
            </w:r>
          </w:p>
        </w:tc>
        <w:tc>
          <w:tcPr>
            <w:tcW w:w="713" w:type="pct"/>
            <w:tcBorders>
              <w:top w:val="nil"/>
              <w:left w:val="nil"/>
              <w:bottom w:val="single" w:color="auto" w:sz="4" w:space="0"/>
              <w:right w:val="single" w:color="auto" w:sz="4" w:space="0"/>
            </w:tcBorders>
            <w:noWrap w:val="0"/>
            <w:vAlign w:val="center"/>
          </w:tcPr>
          <w:p w14:paraId="590B2706">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检测器</w:t>
            </w:r>
          </w:p>
        </w:tc>
        <w:tc>
          <w:tcPr>
            <w:tcW w:w="2803" w:type="pct"/>
            <w:tcBorders>
              <w:top w:val="nil"/>
              <w:left w:val="nil"/>
              <w:bottom w:val="single" w:color="auto" w:sz="4" w:space="0"/>
              <w:right w:val="single" w:color="auto" w:sz="4" w:space="0"/>
            </w:tcBorders>
            <w:noWrap w:val="0"/>
            <w:vAlign w:val="center"/>
          </w:tcPr>
          <w:p w14:paraId="5C13E25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1、脉冲模拟双模式同时型电子倍增器两种模式可以自动切换，必须可以在一次进样过程中同时完成扫描和跳峰分析（定性和定量分析），电子倍增器可对 &lt;0.1cps或 &gt;109cps的信号进行计数且两种模式分析过程中的驻留时间可达0.1ms。</w:t>
            </w:r>
          </w:p>
        </w:tc>
        <w:tc>
          <w:tcPr>
            <w:tcW w:w="1073" w:type="pct"/>
            <w:tcBorders>
              <w:top w:val="nil"/>
              <w:left w:val="nil"/>
              <w:bottom w:val="single" w:color="auto" w:sz="4" w:space="0"/>
              <w:right w:val="single" w:color="auto" w:sz="4" w:space="0"/>
            </w:tcBorders>
            <w:noWrap w:val="0"/>
            <w:vAlign w:val="center"/>
          </w:tcPr>
          <w:p w14:paraId="637998A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0E7345F8">
        <w:tblPrEx>
          <w:tblCellMar>
            <w:top w:w="0" w:type="dxa"/>
            <w:left w:w="108" w:type="dxa"/>
            <w:bottom w:w="0" w:type="dxa"/>
            <w:right w:w="108" w:type="dxa"/>
          </w:tblCellMar>
        </w:tblPrEx>
        <w:trPr>
          <w:trHeight w:val="520" w:hRule="atLeast"/>
        </w:trPr>
        <w:tc>
          <w:tcPr>
            <w:tcW w:w="409" w:type="pct"/>
            <w:vMerge w:val="restart"/>
            <w:tcBorders>
              <w:top w:val="nil"/>
              <w:left w:val="single" w:color="auto" w:sz="4" w:space="0"/>
              <w:bottom w:val="single" w:color="auto" w:sz="4" w:space="0"/>
              <w:right w:val="single" w:color="auto" w:sz="4" w:space="0"/>
            </w:tcBorders>
            <w:noWrap/>
            <w:vAlign w:val="center"/>
          </w:tcPr>
          <w:p w14:paraId="33CF1678">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12</w:t>
            </w:r>
          </w:p>
        </w:tc>
        <w:tc>
          <w:tcPr>
            <w:tcW w:w="713" w:type="pct"/>
            <w:vMerge w:val="restart"/>
            <w:tcBorders>
              <w:top w:val="nil"/>
              <w:left w:val="single" w:color="auto" w:sz="4" w:space="0"/>
              <w:bottom w:val="single" w:color="auto" w:sz="4" w:space="0"/>
              <w:right w:val="single" w:color="auto" w:sz="4" w:space="0"/>
            </w:tcBorders>
            <w:noWrap w:val="0"/>
            <w:vAlign w:val="center"/>
          </w:tcPr>
          <w:p w14:paraId="2214A887">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分析能力</w:t>
            </w:r>
          </w:p>
        </w:tc>
        <w:tc>
          <w:tcPr>
            <w:tcW w:w="2803" w:type="pct"/>
            <w:tcBorders>
              <w:top w:val="nil"/>
              <w:left w:val="nil"/>
              <w:bottom w:val="single" w:color="auto" w:sz="4" w:space="0"/>
              <w:right w:val="single" w:color="auto" w:sz="4" w:space="0"/>
            </w:tcBorders>
            <w:noWrap w:val="0"/>
            <w:vAlign w:val="center"/>
          </w:tcPr>
          <w:p w14:paraId="088BB063">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1、标准模式下无需使用碰撞反应池或冷焰技术，即可保证56Fe的方法检出限符合国际水质分析标准小于3ppb的要求。</w:t>
            </w:r>
          </w:p>
        </w:tc>
        <w:tc>
          <w:tcPr>
            <w:tcW w:w="1073" w:type="pct"/>
            <w:tcBorders>
              <w:top w:val="nil"/>
              <w:left w:val="nil"/>
              <w:bottom w:val="single" w:color="auto" w:sz="4" w:space="0"/>
              <w:right w:val="single" w:color="auto" w:sz="4" w:space="0"/>
            </w:tcBorders>
            <w:noWrap w:val="0"/>
            <w:vAlign w:val="center"/>
          </w:tcPr>
          <w:p w14:paraId="2194EA0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3040067C">
        <w:tblPrEx>
          <w:tblCellMar>
            <w:top w:w="0" w:type="dxa"/>
            <w:left w:w="108" w:type="dxa"/>
            <w:bottom w:w="0" w:type="dxa"/>
            <w:right w:w="108" w:type="dxa"/>
          </w:tblCellMar>
        </w:tblPrEx>
        <w:trPr>
          <w:trHeight w:val="79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38F23A60">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0A45F139">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bottom"/>
          </w:tcPr>
          <w:p w14:paraId="6E4419A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对于高Cl和高Ca样品（5% HCl，200ppm Ca）中As元素的分析，可直接利用碰撞模式消除ArCl+和CaCl+离子对As元素的干扰并获得0.5ppt的检出限水平，无需使用O2或其他反应气体以及复杂的反应模式。</w:t>
            </w:r>
          </w:p>
        </w:tc>
        <w:tc>
          <w:tcPr>
            <w:tcW w:w="1073" w:type="pct"/>
            <w:tcBorders>
              <w:top w:val="nil"/>
              <w:left w:val="nil"/>
              <w:bottom w:val="single" w:color="auto" w:sz="4" w:space="0"/>
              <w:right w:val="single" w:color="auto" w:sz="4" w:space="0"/>
            </w:tcBorders>
            <w:noWrap w:val="0"/>
            <w:vAlign w:val="center"/>
          </w:tcPr>
          <w:p w14:paraId="774B228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15FE82DE">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7246B6CA">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57020C1C">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FA2CF2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可以通过碰撞模式直接消除ArAr+多原子离子对Se元素的干扰，无需使用CH4或H2气的反应模式即可获得3ppt的Se元素检出限水平。</w:t>
            </w:r>
          </w:p>
        </w:tc>
        <w:tc>
          <w:tcPr>
            <w:tcW w:w="1073" w:type="pct"/>
            <w:tcBorders>
              <w:top w:val="nil"/>
              <w:left w:val="nil"/>
              <w:bottom w:val="single" w:color="auto" w:sz="4" w:space="0"/>
              <w:right w:val="single" w:color="auto" w:sz="4" w:space="0"/>
            </w:tcBorders>
            <w:noWrap w:val="0"/>
            <w:vAlign w:val="center"/>
          </w:tcPr>
          <w:p w14:paraId="15F2F24F">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7BCAB02F">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500A5E95">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2B72AA80">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C9E1FA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具有使用反应模式分析P和S元素的能力，在同一个方法中可通过氧气的反应性，把P和S元素反应到PO47，SO48位置，并获得优于0.05ppb和1ppb的检出限水平。</w:t>
            </w:r>
          </w:p>
        </w:tc>
        <w:tc>
          <w:tcPr>
            <w:tcW w:w="1073" w:type="pct"/>
            <w:tcBorders>
              <w:top w:val="nil"/>
              <w:left w:val="nil"/>
              <w:bottom w:val="single" w:color="auto" w:sz="4" w:space="0"/>
              <w:right w:val="single" w:color="auto" w:sz="4" w:space="0"/>
            </w:tcBorders>
            <w:noWrap w:val="0"/>
            <w:vAlign w:val="center"/>
          </w:tcPr>
          <w:p w14:paraId="10B9B3C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2E306F02">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184104D0">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CAF246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19BDFE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5、仪器应对高盐度样品具有良好的耐受性，可以实现对盐度超过25%的饱和食盐水样品的进行长时间的稳定分析。</w:t>
            </w:r>
          </w:p>
        </w:tc>
        <w:tc>
          <w:tcPr>
            <w:tcW w:w="1073" w:type="pct"/>
            <w:tcBorders>
              <w:top w:val="nil"/>
              <w:left w:val="nil"/>
              <w:bottom w:val="single" w:color="auto" w:sz="4" w:space="0"/>
              <w:right w:val="single" w:color="auto" w:sz="4" w:space="0"/>
            </w:tcBorders>
            <w:noWrap w:val="0"/>
            <w:vAlign w:val="center"/>
          </w:tcPr>
          <w:p w14:paraId="779B902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6D23EEC6">
        <w:tblPrEx>
          <w:tblCellMar>
            <w:top w:w="0" w:type="dxa"/>
            <w:left w:w="108" w:type="dxa"/>
            <w:bottom w:w="0" w:type="dxa"/>
            <w:right w:w="108" w:type="dxa"/>
          </w:tblCellMar>
        </w:tblPrEx>
        <w:trPr>
          <w:trHeight w:val="7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3B482D2F">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40366062">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EEBB3AB">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6、</w:t>
            </w:r>
            <w:r>
              <w:rPr>
                <w:rFonts w:hint="eastAsia" w:ascii="楷体" w:hAnsi="楷体" w:eastAsia="楷体" w:cs="楷体"/>
                <w:b/>
                <w:color w:val="000000"/>
                <w:kern w:val="0"/>
                <w:sz w:val="24"/>
                <w:szCs w:val="24"/>
              </w:rPr>
              <w:t>＃</w:t>
            </w:r>
            <w:r>
              <w:rPr>
                <w:rFonts w:hint="eastAsia" w:ascii="楷体" w:hAnsi="楷体" w:eastAsia="楷体" w:cs="楷体"/>
                <w:color w:val="000000"/>
                <w:kern w:val="0"/>
                <w:sz w:val="24"/>
                <w:szCs w:val="24"/>
              </w:rPr>
              <w:t>可实现超低含量的Cr3+和Cr6+形态检测，对于Cr6+可达到0.5ppt的检出限能力。</w:t>
            </w:r>
          </w:p>
        </w:tc>
        <w:tc>
          <w:tcPr>
            <w:tcW w:w="1073" w:type="pct"/>
            <w:tcBorders>
              <w:top w:val="nil"/>
              <w:left w:val="nil"/>
              <w:bottom w:val="single" w:color="auto" w:sz="4" w:space="0"/>
              <w:right w:val="single" w:color="auto" w:sz="4" w:space="0"/>
            </w:tcBorders>
            <w:noWrap w:val="0"/>
            <w:vAlign w:val="center"/>
          </w:tcPr>
          <w:p w14:paraId="5BEF0A53">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提供厂家技术白皮书或产品样本手册或检测报告复印件加盖厂家公章</w:t>
            </w:r>
          </w:p>
        </w:tc>
      </w:tr>
      <w:tr w14:paraId="34C92F40">
        <w:tblPrEx>
          <w:tblCellMar>
            <w:top w:w="0" w:type="dxa"/>
            <w:left w:w="108" w:type="dxa"/>
            <w:bottom w:w="0" w:type="dxa"/>
            <w:right w:w="108" w:type="dxa"/>
          </w:tblCellMar>
        </w:tblPrEx>
        <w:trPr>
          <w:trHeight w:val="520" w:hRule="atLeast"/>
        </w:trPr>
        <w:tc>
          <w:tcPr>
            <w:tcW w:w="409" w:type="pct"/>
            <w:vMerge w:val="restart"/>
            <w:tcBorders>
              <w:top w:val="nil"/>
              <w:left w:val="single" w:color="auto" w:sz="4" w:space="0"/>
              <w:bottom w:val="single" w:color="auto" w:sz="4" w:space="0"/>
              <w:right w:val="single" w:color="auto" w:sz="4" w:space="0"/>
            </w:tcBorders>
            <w:noWrap/>
            <w:vAlign w:val="center"/>
          </w:tcPr>
          <w:p w14:paraId="32F339ED">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13</w:t>
            </w:r>
          </w:p>
        </w:tc>
        <w:tc>
          <w:tcPr>
            <w:tcW w:w="713" w:type="pct"/>
            <w:vMerge w:val="restart"/>
            <w:tcBorders>
              <w:top w:val="nil"/>
              <w:left w:val="single" w:color="auto" w:sz="4" w:space="0"/>
              <w:bottom w:val="single" w:color="auto" w:sz="4" w:space="0"/>
              <w:right w:val="single" w:color="auto" w:sz="4" w:space="0"/>
            </w:tcBorders>
            <w:noWrap w:val="0"/>
            <w:vAlign w:val="center"/>
          </w:tcPr>
          <w:p w14:paraId="2FE43469">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软件部分</w:t>
            </w:r>
          </w:p>
        </w:tc>
        <w:tc>
          <w:tcPr>
            <w:tcW w:w="2803" w:type="pct"/>
            <w:tcBorders>
              <w:top w:val="nil"/>
              <w:left w:val="nil"/>
              <w:bottom w:val="single" w:color="auto" w:sz="4" w:space="0"/>
              <w:right w:val="single" w:color="auto" w:sz="4" w:space="0"/>
            </w:tcBorders>
            <w:noWrap w:val="0"/>
            <w:vAlign w:val="center"/>
          </w:tcPr>
          <w:p w14:paraId="2FFD6BAF">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w:t>
            </w:r>
            <w:r>
              <w:rPr>
                <w:rFonts w:hint="eastAsia" w:ascii="楷体" w:hAnsi="楷体" w:eastAsia="楷体" w:cs="楷体"/>
                <w:kern w:val="0"/>
                <w:sz w:val="24"/>
                <w:szCs w:val="24"/>
              </w:rPr>
              <w:t>数据处理工作站及软件。</w:t>
            </w:r>
          </w:p>
        </w:tc>
        <w:tc>
          <w:tcPr>
            <w:tcW w:w="1073" w:type="pct"/>
            <w:tcBorders>
              <w:top w:val="nil"/>
              <w:left w:val="nil"/>
              <w:bottom w:val="single" w:color="auto" w:sz="4" w:space="0"/>
              <w:right w:val="single" w:color="auto" w:sz="4" w:space="0"/>
            </w:tcBorders>
            <w:noWrap w:val="0"/>
            <w:vAlign w:val="center"/>
          </w:tcPr>
          <w:p w14:paraId="05109F3A">
            <w:pPr>
              <w:widowControl/>
              <w:spacing w:line="420" w:lineRule="exact"/>
              <w:rPr>
                <w:rFonts w:hint="eastAsia" w:ascii="楷体" w:hAnsi="楷体" w:eastAsia="楷体" w:cs="楷体"/>
                <w:color w:val="000000"/>
                <w:kern w:val="0"/>
                <w:sz w:val="24"/>
                <w:szCs w:val="24"/>
              </w:rPr>
            </w:pPr>
          </w:p>
        </w:tc>
      </w:tr>
      <w:tr w14:paraId="75DE7BB0">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48E405DB">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BC56B7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EDEA663">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2、全自动分析功能(启动关闭仪器 ,炬位调整, 等离子体参数, 离子透镜, 标准等离子体条件与冷等离子体条件切换,标准技术与碰撞池技术切换等)</w:t>
            </w:r>
          </w:p>
        </w:tc>
        <w:tc>
          <w:tcPr>
            <w:tcW w:w="1073" w:type="pct"/>
            <w:tcBorders>
              <w:top w:val="nil"/>
              <w:left w:val="nil"/>
              <w:bottom w:val="single" w:color="auto" w:sz="4" w:space="0"/>
              <w:right w:val="single" w:color="auto" w:sz="4" w:space="0"/>
            </w:tcBorders>
            <w:noWrap w:val="0"/>
            <w:vAlign w:val="center"/>
          </w:tcPr>
          <w:p w14:paraId="3BE0B688">
            <w:pPr>
              <w:widowControl/>
              <w:spacing w:line="420" w:lineRule="exact"/>
              <w:rPr>
                <w:rFonts w:hint="eastAsia" w:ascii="楷体" w:hAnsi="楷体" w:eastAsia="楷体" w:cs="楷体"/>
                <w:color w:val="000000"/>
                <w:kern w:val="0"/>
                <w:sz w:val="24"/>
                <w:szCs w:val="24"/>
              </w:rPr>
            </w:pPr>
          </w:p>
        </w:tc>
      </w:tr>
      <w:tr w14:paraId="062B9A05">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17CCA34">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4ED5359">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6FD8B05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3、包含色谱连用的瞬间信号分析软件以便与色谱或激光进样系统等连用。可以满足色谱连用中的数据采集，色谱积分计算，报告输出等功能。</w:t>
            </w:r>
          </w:p>
        </w:tc>
        <w:tc>
          <w:tcPr>
            <w:tcW w:w="1073" w:type="pct"/>
            <w:tcBorders>
              <w:top w:val="nil"/>
              <w:left w:val="nil"/>
              <w:bottom w:val="single" w:color="auto" w:sz="4" w:space="0"/>
              <w:right w:val="single" w:color="auto" w:sz="4" w:space="0"/>
            </w:tcBorders>
            <w:noWrap w:val="0"/>
            <w:vAlign w:val="center"/>
          </w:tcPr>
          <w:p w14:paraId="5AE37822">
            <w:pPr>
              <w:widowControl/>
              <w:spacing w:line="420" w:lineRule="exact"/>
              <w:rPr>
                <w:rFonts w:hint="eastAsia" w:ascii="楷体" w:hAnsi="楷体" w:eastAsia="楷体" w:cs="楷体"/>
                <w:color w:val="000000"/>
                <w:kern w:val="0"/>
                <w:sz w:val="24"/>
                <w:szCs w:val="24"/>
              </w:rPr>
            </w:pPr>
          </w:p>
        </w:tc>
      </w:tr>
      <w:tr w14:paraId="6E436AE0">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75D1918F">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25453727">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3AEC84D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4、实时数据显示,和实时报告显示。</w:t>
            </w:r>
          </w:p>
        </w:tc>
        <w:tc>
          <w:tcPr>
            <w:tcW w:w="1073" w:type="pct"/>
            <w:tcBorders>
              <w:top w:val="nil"/>
              <w:left w:val="nil"/>
              <w:bottom w:val="single" w:color="auto" w:sz="4" w:space="0"/>
              <w:right w:val="single" w:color="auto" w:sz="4" w:space="0"/>
            </w:tcBorders>
            <w:noWrap w:val="0"/>
            <w:vAlign w:val="center"/>
          </w:tcPr>
          <w:p w14:paraId="4D20DA23">
            <w:pPr>
              <w:widowControl/>
              <w:spacing w:line="420" w:lineRule="exact"/>
              <w:rPr>
                <w:rFonts w:hint="eastAsia" w:ascii="楷体" w:hAnsi="楷体" w:eastAsia="楷体" w:cs="楷体"/>
                <w:color w:val="000000"/>
                <w:kern w:val="0"/>
                <w:sz w:val="24"/>
                <w:szCs w:val="24"/>
              </w:rPr>
            </w:pPr>
          </w:p>
        </w:tc>
      </w:tr>
      <w:tr w14:paraId="0D2EBB01">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45A3E96B">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1921AB15">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6395AA1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5、要求拥有智能化软件包括：智能进样时间和智能冲洗时间，QAQC 软件，可以满足EPA方法的QC要求，智能谱图解释软件。</w:t>
            </w:r>
          </w:p>
        </w:tc>
        <w:tc>
          <w:tcPr>
            <w:tcW w:w="1073" w:type="pct"/>
            <w:tcBorders>
              <w:top w:val="nil"/>
              <w:left w:val="nil"/>
              <w:bottom w:val="single" w:color="auto" w:sz="4" w:space="0"/>
              <w:right w:val="single" w:color="auto" w:sz="4" w:space="0"/>
            </w:tcBorders>
            <w:noWrap w:val="0"/>
            <w:vAlign w:val="center"/>
          </w:tcPr>
          <w:p w14:paraId="3A13FDBC">
            <w:pPr>
              <w:widowControl/>
              <w:spacing w:line="420" w:lineRule="exact"/>
              <w:rPr>
                <w:rFonts w:hint="eastAsia" w:ascii="楷体" w:hAnsi="楷体" w:eastAsia="楷体" w:cs="楷体"/>
                <w:color w:val="000000"/>
                <w:kern w:val="0"/>
                <w:sz w:val="24"/>
                <w:szCs w:val="24"/>
              </w:rPr>
            </w:pPr>
          </w:p>
        </w:tc>
      </w:tr>
      <w:tr w14:paraId="6E02FBF1">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64BD41A0">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0ED0C418">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A3103FD">
            <w:pPr>
              <w:widowControl/>
              <w:numPr>
                <w:ilvl w:val="0"/>
                <w:numId w:val="2"/>
              </w:numPr>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ICP-MS操作软件终身免费升级，如有更换工作站需求，原有软件可免费授权安装至新工作站</w:t>
            </w:r>
          </w:p>
        </w:tc>
        <w:tc>
          <w:tcPr>
            <w:tcW w:w="1073" w:type="pct"/>
            <w:tcBorders>
              <w:top w:val="nil"/>
              <w:left w:val="nil"/>
              <w:bottom w:val="single" w:color="auto" w:sz="4" w:space="0"/>
              <w:right w:val="single" w:color="auto" w:sz="4" w:space="0"/>
            </w:tcBorders>
            <w:noWrap w:val="0"/>
            <w:vAlign w:val="center"/>
          </w:tcPr>
          <w:p w14:paraId="2EE839D5">
            <w:pPr>
              <w:widowControl/>
              <w:spacing w:line="420" w:lineRule="exact"/>
              <w:rPr>
                <w:rFonts w:hint="eastAsia" w:ascii="楷体" w:hAnsi="楷体" w:eastAsia="楷体" w:cs="楷体"/>
                <w:color w:val="000000"/>
                <w:kern w:val="0"/>
                <w:sz w:val="24"/>
                <w:szCs w:val="24"/>
              </w:rPr>
            </w:pPr>
          </w:p>
        </w:tc>
      </w:tr>
      <w:tr w14:paraId="6A15E644">
        <w:tblPrEx>
          <w:tblCellMar>
            <w:top w:w="0" w:type="dxa"/>
            <w:left w:w="108" w:type="dxa"/>
            <w:bottom w:w="0" w:type="dxa"/>
            <w:right w:w="108" w:type="dxa"/>
          </w:tblCellMar>
        </w:tblPrEx>
        <w:trPr>
          <w:trHeight w:val="520" w:hRule="atLeast"/>
        </w:trPr>
        <w:tc>
          <w:tcPr>
            <w:tcW w:w="409" w:type="pct"/>
            <w:vMerge w:val="restart"/>
            <w:tcBorders>
              <w:top w:val="nil"/>
              <w:left w:val="single" w:color="auto" w:sz="4" w:space="0"/>
              <w:bottom w:val="single" w:color="auto" w:sz="4" w:space="0"/>
              <w:right w:val="single" w:color="auto" w:sz="4" w:space="0"/>
            </w:tcBorders>
            <w:noWrap/>
            <w:vAlign w:val="center"/>
          </w:tcPr>
          <w:p w14:paraId="53522E55">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14</w:t>
            </w:r>
          </w:p>
        </w:tc>
        <w:tc>
          <w:tcPr>
            <w:tcW w:w="713" w:type="pct"/>
            <w:vMerge w:val="restart"/>
            <w:tcBorders>
              <w:top w:val="nil"/>
              <w:left w:val="single" w:color="auto" w:sz="4" w:space="0"/>
              <w:bottom w:val="single" w:color="auto" w:sz="4" w:space="0"/>
              <w:right w:val="single" w:color="auto" w:sz="4" w:space="0"/>
            </w:tcBorders>
            <w:noWrap w:val="0"/>
            <w:vAlign w:val="center"/>
          </w:tcPr>
          <w:p w14:paraId="25A3969E">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仪器性能要求</w:t>
            </w:r>
          </w:p>
        </w:tc>
        <w:tc>
          <w:tcPr>
            <w:tcW w:w="2803" w:type="pct"/>
            <w:tcBorders>
              <w:top w:val="nil"/>
              <w:left w:val="nil"/>
              <w:bottom w:val="single" w:color="auto" w:sz="4" w:space="0"/>
              <w:right w:val="single" w:color="auto" w:sz="4" w:space="0"/>
            </w:tcBorders>
            <w:noWrap w:val="0"/>
            <w:vAlign w:val="center"/>
          </w:tcPr>
          <w:p w14:paraId="13DFE7F2">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1、仪器性能应以仪器制造商官方网站可供下载的本仪器产品的英文样本上公布的数据为准且该仪器性能参数应与仪器安装验收参数相同。</w:t>
            </w:r>
          </w:p>
        </w:tc>
        <w:tc>
          <w:tcPr>
            <w:tcW w:w="1073" w:type="pct"/>
            <w:tcBorders>
              <w:top w:val="nil"/>
              <w:left w:val="nil"/>
              <w:bottom w:val="single" w:color="auto" w:sz="4" w:space="0"/>
              <w:right w:val="single" w:color="auto" w:sz="4" w:space="0"/>
            </w:tcBorders>
            <w:noWrap w:val="0"/>
            <w:vAlign w:val="center"/>
          </w:tcPr>
          <w:p w14:paraId="0A3FB8E5">
            <w:pPr>
              <w:widowControl/>
              <w:spacing w:line="420" w:lineRule="exact"/>
              <w:rPr>
                <w:rFonts w:hint="eastAsia" w:ascii="楷体" w:hAnsi="楷体" w:eastAsia="楷体" w:cs="楷体"/>
                <w:color w:val="000000"/>
                <w:kern w:val="0"/>
                <w:sz w:val="24"/>
                <w:szCs w:val="24"/>
              </w:rPr>
            </w:pPr>
          </w:p>
        </w:tc>
      </w:tr>
      <w:tr w14:paraId="06B32BF0">
        <w:tblPrEx>
          <w:tblCellMar>
            <w:top w:w="0" w:type="dxa"/>
            <w:left w:w="108" w:type="dxa"/>
            <w:bottom w:w="0" w:type="dxa"/>
            <w:right w:w="108" w:type="dxa"/>
          </w:tblCellMar>
        </w:tblPrEx>
        <w:trPr>
          <w:trHeight w:val="79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5404E51">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C78992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bottom"/>
          </w:tcPr>
          <w:p w14:paraId="52A405D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2、标准模式灵敏度：</w:t>
            </w:r>
          </w:p>
          <w:p w14:paraId="056E145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xml:space="preserve">中质量数(Y或In): &gt; 270Mcps/ppm     </w:t>
            </w:r>
          </w:p>
          <w:p w14:paraId="60D2CF1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xml:space="preserve">高质量数(Tl或U): &gt; 400Mcps/ppm     </w:t>
            </w:r>
          </w:p>
        </w:tc>
        <w:tc>
          <w:tcPr>
            <w:tcW w:w="1073" w:type="pct"/>
            <w:tcBorders>
              <w:top w:val="nil"/>
              <w:left w:val="nil"/>
              <w:bottom w:val="single" w:color="auto" w:sz="4" w:space="0"/>
              <w:right w:val="single" w:color="auto" w:sz="4" w:space="0"/>
            </w:tcBorders>
            <w:noWrap w:val="0"/>
            <w:vAlign w:val="center"/>
          </w:tcPr>
          <w:p w14:paraId="18198E84">
            <w:pPr>
              <w:widowControl/>
              <w:spacing w:line="420" w:lineRule="exact"/>
              <w:rPr>
                <w:rFonts w:hint="eastAsia" w:ascii="楷体" w:hAnsi="楷体" w:eastAsia="楷体" w:cs="楷体"/>
                <w:color w:val="000000"/>
                <w:kern w:val="0"/>
                <w:sz w:val="24"/>
                <w:szCs w:val="24"/>
              </w:rPr>
            </w:pPr>
          </w:p>
        </w:tc>
      </w:tr>
      <w:tr w14:paraId="78C0792F">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D15ED88">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CD70EF9">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2EB35C7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3、标准模式下（No Gas）随机背景：＜1 cps (4.5amu),He 模式随机背景：＜0.5 cps (4.5amu)</w:t>
            </w:r>
          </w:p>
        </w:tc>
        <w:tc>
          <w:tcPr>
            <w:tcW w:w="1073" w:type="pct"/>
            <w:tcBorders>
              <w:top w:val="nil"/>
              <w:left w:val="nil"/>
              <w:bottom w:val="single" w:color="auto" w:sz="4" w:space="0"/>
              <w:right w:val="single" w:color="auto" w:sz="4" w:space="0"/>
            </w:tcBorders>
            <w:noWrap w:val="0"/>
            <w:vAlign w:val="center"/>
          </w:tcPr>
          <w:p w14:paraId="24459D54">
            <w:pPr>
              <w:widowControl/>
              <w:spacing w:line="420" w:lineRule="exact"/>
              <w:rPr>
                <w:rFonts w:hint="eastAsia" w:ascii="楷体" w:hAnsi="楷体" w:eastAsia="楷体" w:cs="楷体"/>
                <w:color w:val="000000"/>
                <w:kern w:val="0"/>
                <w:sz w:val="24"/>
                <w:szCs w:val="24"/>
              </w:rPr>
            </w:pPr>
          </w:p>
        </w:tc>
      </w:tr>
      <w:tr w14:paraId="4D337347">
        <w:tblPrEx>
          <w:tblCellMar>
            <w:top w:w="0" w:type="dxa"/>
            <w:left w:w="108" w:type="dxa"/>
            <w:bottom w:w="0" w:type="dxa"/>
            <w:right w:w="108" w:type="dxa"/>
          </w:tblCellMar>
        </w:tblPrEx>
        <w:trPr>
          <w:trHeight w:val="52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465BA5A2">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752E4683">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1C884D4E">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4、标准模式下，仪器信噪比&gt;220M(1ppm中质量元素溶液，灵敏度/随机背景)</w:t>
            </w:r>
          </w:p>
        </w:tc>
        <w:tc>
          <w:tcPr>
            <w:tcW w:w="1073" w:type="pct"/>
            <w:tcBorders>
              <w:top w:val="nil"/>
              <w:left w:val="nil"/>
              <w:bottom w:val="single" w:color="auto" w:sz="4" w:space="0"/>
              <w:right w:val="single" w:color="auto" w:sz="4" w:space="0"/>
            </w:tcBorders>
            <w:noWrap w:val="0"/>
            <w:vAlign w:val="center"/>
          </w:tcPr>
          <w:p w14:paraId="0EB33C2C">
            <w:pPr>
              <w:widowControl/>
              <w:spacing w:line="420" w:lineRule="exact"/>
              <w:rPr>
                <w:rFonts w:hint="eastAsia" w:ascii="楷体" w:hAnsi="楷体" w:eastAsia="楷体" w:cs="楷体"/>
                <w:color w:val="000000"/>
                <w:kern w:val="0"/>
                <w:sz w:val="24"/>
                <w:szCs w:val="24"/>
              </w:rPr>
            </w:pPr>
          </w:p>
        </w:tc>
      </w:tr>
      <w:tr w14:paraId="190525B0">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4D667657">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59FF400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CC0923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5、氧化物离子(CeO+/Ce+)＜2%；双电荷粒子(Ba++/Ba+&gt;)＜3%。</w:t>
            </w:r>
          </w:p>
        </w:tc>
        <w:tc>
          <w:tcPr>
            <w:tcW w:w="1073" w:type="pct"/>
            <w:tcBorders>
              <w:top w:val="nil"/>
              <w:left w:val="nil"/>
              <w:bottom w:val="single" w:color="auto" w:sz="4" w:space="0"/>
              <w:right w:val="single" w:color="auto" w:sz="4" w:space="0"/>
            </w:tcBorders>
            <w:noWrap w:val="0"/>
            <w:vAlign w:val="center"/>
          </w:tcPr>
          <w:p w14:paraId="393A2AC6">
            <w:pPr>
              <w:widowControl/>
              <w:spacing w:line="420" w:lineRule="exact"/>
              <w:rPr>
                <w:rFonts w:hint="eastAsia" w:ascii="楷体" w:hAnsi="楷体" w:eastAsia="楷体" w:cs="楷体"/>
                <w:color w:val="000000"/>
                <w:kern w:val="0"/>
                <w:sz w:val="24"/>
                <w:szCs w:val="24"/>
              </w:rPr>
            </w:pPr>
          </w:p>
        </w:tc>
      </w:tr>
      <w:tr w14:paraId="3ECDDC7D">
        <w:tblPrEx>
          <w:tblCellMar>
            <w:top w:w="0" w:type="dxa"/>
            <w:left w:w="108" w:type="dxa"/>
            <w:bottom w:w="0" w:type="dxa"/>
            <w:right w:w="108" w:type="dxa"/>
          </w:tblCellMar>
        </w:tblPrEx>
        <w:trPr>
          <w:trHeight w:val="105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0886E1E7">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2CED55A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bottom"/>
          </w:tcPr>
          <w:p w14:paraId="229399D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6、仪器检出限：</w:t>
            </w:r>
          </w:p>
          <w:p w14:paraId="300E105C">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轻质量元素:＜0.5ppt；</w:t>
            </w:r>
          </w:p>
          <w:p w14:paraId="53428EC3">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xml:space="preserve">中质量数元素:＜0.1ppt； </w:t>
            </w:r>
          </w:p>
          <w:p w14:paraId="1B2F0D45">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高质量数元素:＜0.1ppt</w:t>
            </w:r>
          </w:p>
        </w:tc>
        <w:tc>
          <w:tcPr>
            <w:tcW w:w="1073" w:type="pct"/>
            <w:tcBorders>
              <w:top w:val="nil"/>
              <w:left w:val="nil"/>
              <w:bottom w:val="single" w:color="auto" w:sz="4" w:space="0"/>
              <w:right w:val="single" w:color="auto" w:sz="4" w:space="0"/>
            </w:tcBorders>
            <w:noWrap w:val="0"/>
            <w:vAlign w:val="center"/>
          </w:tcPr>
          <w:p w14:paraId="52930FCF">
            <w:pPr>
              <w:widowControl/>
              <w:spacing w:line="420" w:lineRule="exact"/>
              <w:rPr>
                <w:rFonts w:hint="eastAsia" w:ascii="楷体" w:hAnsi="楷体" w:eastAsia="楷体" w:cs="楷体"/>
                <w:color w:val="000000"/>
                <w:kern w:val="0"/>
                <w:sz w:val="24"/>
                <w:szCs w:val="24"/>
              </w:rPr>
            </w:pPr>
          </w:p>
        </w:tc>
      </w:tr>
      <w:tr w14:paraId="7D678A38">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170490F6">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624A5F9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2E33BB3">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xml:space="preserve">7、短期稳定性 10min (RSD): &lt; 2% </w:t>
            </w:r>
          </w:p>
        </w:tc>
        <w:tc>
          <w:tcPr>
            <w:tcW w:w="1073" w:type="pct"/>
            <w:tcBorders>
              <w:top w:val="nil"/>
              <w:left w:val="nil"/>
              <w:bottom w:val="single" w:color="auto" w:sz="4" w:space="0"/>
              <w:right w:val="single" w:color="auto" w:sz="4" w:space="0"/>
            </w:tcBorders>
            <w:noWrap w:val="0"/>
            <w:vAlign w:val="center"/>
          </w:tcPr>
          <w:p w14:paraId="1F39E7C8">
            <w:pPr>
              <w:widowControl/>
              <w:spacing w:line="420" w:lineRule="exact"/>
              <w:rPr>
                <w:rFonts w:hint="eastAsia" w:ascii="楷体" w:hAnsi="楷体" w:eastAsia="楷体" w:cs="楷体"/>
                <w:color w:val="000000"/>
                <w:kern w:val="0"/>
                <w:sz w:val="24"/>
                <w:szCs w:val="24"/>
              </w:rPr>
            </w:pPr>
          </w:p>
        </w:tc>
      </w:tr>
      <w:tr w14:paraId="3CAB7C55">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5513E041">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2BCF34C3">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267FA29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8、长期稳定性 2 hr(RSD): &lt; 3%</w:t>
            </w:r>
          </w:p>
        </w:tc>
        <w:tc>
          <w:tcPr>
            <w:tcW w:w="1073" w:type="pct"/>
            <w:tcBorders>
              <w:top w:val="nil"/>
              <w:left w:val="nil"/>
              <w:bottom w:val="single" w:color="auto" w:sz="4" w:space="0"/>
              <w:right w:val="single" w:color="auto" w:sz="4" w:space="0"/>
            </w:tcBorders>
            <w:noWrap w:val="0"/>
            <w:vAlign w:val="center"/>
          </w:tcPr>
          <w:p w14:paraId="2846B69C">
            <w:pPr>
              <w:widowControl/>
              <w:spacing w:line="420" w:lineRule="exact"/>
              <w:rPr>
                <w:rFonts w:hint="eastAsia" w:ascii="楷体" w:hAnsi="楷体" w:eastAsia="楷体" w:cs="楷体"/>
                <w:color w:val="000000"/>
                <w:kern w:val="0"/>
                <w:sz w:val="24"/>
                <w:szCs w:val="24"/>
              </w:rPr>
            </w:pPr>
          </w:p>
        </w:tc>
      </w:tr>
      <w:tr w14:paraId="7F83FE57">
        <w:tblPrEx>
          <w:tblCellMar>
            <w:top w:w="0" w:type="dxa"/>
            <w:left w:w="108" w:type="dxa"/>
            <w:bottom w:w="0" w:type="dxa"/>
            <w:right w:w="108" w:type="dxa"/>
          </w:tblCellMar>
        </w:tblPrEx>
        <w:trPr>
          <w:trHeight w:val="280" w:hRule="atLeast"/>
        </w:trPr>
        <w:tc>
          <w:tcPr>
            <w:tcW w:w="409" w:type="pct"/>
            <w:vMerge w:val="continue"/>
            <w:tcBorders>
              <w:top w:val="nil"/>
              <w:left w:val="single" w:color="auto" w:sz="4" w:space="0"/>
              <w:bottom w:val="single" w:color="auto" w:sz="4" w:space="0"/>
              <w:right w:val="single" w:color="auto" w:sz="4" w:space="0"/>
            </w:tcBorders>
            <w:noWrap w:val="0"/>
            <w:vAlign w:val="center"/>
          </w:tcPr>
          <w:p w14:paraId="24886FD7">
            <w:pPr>
              <w:widowControl/>
              <w:spacing w:line="420" w:lineRule="exact"/>
              <w:rPr>
                <w:rFonts w:hint="eastAsia" w:ascii="楷体" w:hAnsi="楷体" w:eastAsia="楷体" w:cs="楷体"/>
                <w:color w:val="000000"/>
                <w:kern w:val="0"/>
                <w:sz w:val="24"/>
                <w:szCs w:val="24"/>
              </w:rPr>
            </w:pPr>
          </w:p>
        </w:tc>
        <w:tc>
          <w:tcPr>
            <w:tcW w:w="713" w:type="pct"/>
            <w:vMerge w:val="continue"/>
            <w:tcBorders>
              <w:top w:val="nil"/>
              <w:left w:val="single" w:color="auto" w:sz="4" w:space="0"/>
              <w:bottom w:val="single" w:color="auto" w:sz="4" w:space="0"/>
              <w:right w:val="single" w:color="auto" w:sz="4" w:space="0"/>
            </w:tcBorders>
            <w:noWrap w:val="0"/>
            <w:vAlign w:val="center"/>
          </w:tcPr>
          <w:p w14:paraId="0E87712B">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DAD7938">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9、质谱校正稳定性: &lt; 0.025 amu/24hr</w:t>
            </w:r>
          </w:p>
        </w:tc>
        <w:tc>
          <w:tcPr>
            <w:tcW w:w="1073" w:type="pct"/>
            <w:tcBorders>
              <w:top w:val="nil"/>
              <w:left w:val="nil"/>
              <w:bottom w:val="single" w:color="auto" w:sz="4" w:space="0"/>
              <w:right w:val="single" w:color="auto" w:sz="4" w:space="0"/>
            </w:tcBorders>
            <w:noWrap w:val="0"/>
            <w:vAlign w:val="center"/>
          </w:tcPr>
          <w:p w14:paraId="2155E4AD">
            <w:pPr>
              <w:widowControl/>
              <w:spacing w:line="420" w:lineRule="exact"/>
              <w:rPr>
                <w:rFonts w:hint="eastAsia" w:ascii="楷体" w:hAnsi="楷体" w:eastAsia="楷体" w:cs="楷体"/>
                <w:color w:val="000000"/>
                <w:kern w:val="0"/>
                <w:sz w:val="24"/>
                <w:szCs w:val="24"/>
              </w:rPr>
            </w:pPr>
          </w:p>
        </w:tc>
      </w:tr>
      <w:tr w14:paraId="79E1D194">
        <w:tblPrEx>
          <w:tblCellMar>
            <w:top w:w="0" w:type="dxa"/>
            <w:left w:w="108" w:type="dxa"/>
            <w:bottom w:w="0" w:type="dxa"/>
            <w:right w:w="108" w:type="dxa"/>
          </w:tblCellMar>
        </w:tblPrEx>
        <w:trPr>
          <w:trHeight w:val="280" w:hRule="atLeast"/>
        </w:trPr>
        <w:tc>
          <w:tcPr>
            <w:tcW w:w="409" w:type="pct"/>
            <w:vMerge w:val="restart"/>
            <w:tcBorders>
              <w:top w:val="nil"/>
              <w:left w:val="single" w:color="auto" w:sz="4" w:space="0"/>
              <w:right w:val="single" w:color="auto" w:sz="4" w:space="0"/>
            </w:tcBorders>
            <w:noWrap/>
            <w:vAlign w:val="center"/>
          </w:tcPr>
          <w:p w14:paraId="32CA3071">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15</w:t>
            </w:r>
          </w:p>
        </w:tc>
        <w:tc>
          <w:tcPr>
            <w:tcW w:w="713" w:type="pct"/>
            <w:vMerge w:val="restart"/>
            <w:tcBorders>
              <w:top w:val="nil"/>
              <w:left w:val="single" w:color="auto" w:sz="4" w:space="0"/>
              <w:right w:val="single" w:color="auto" w:sz="4" w:space="0"/>
            </w:tcBorders>
            <w:noWrap w:val="0"/>
            <w:vAlign w:val="center"/>
          </w:tcPr>
          <w:p w14:paraId="17647FCB">
            <w:pPr>
              <w:widowControl/>
              <w:spacing w:line="420" w:lineRule="exact"/>
              <w:jc w:val="center"/>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本次配置</w:t>
            </w:r>
          </w:p>
        </w:tc>
        <w:tc>
          <w:tcPr>
            <w:tcW w:w="2803" w:type="pct"/>
            <w:tcBorders>
              <w:top w:val="nil"/>
              <w:left w:val="nil"/>
              <w:bottom w:val="single" w:color="auto" w:sz="4" w:space="0"/>
              <w:right w:val="single" w:color="auto" w:sz="4" w:space="0"/>
            </w:tcBorders>
            <w:noWrap w:val="0"/>
            <w:vAlign w:val="center"/>
          </w:tcPr>
          <w:p w14:paraId="2437464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1、电感耦合等离子体质谱仪主机1台，提供中文版的控制软件。</w:t>
            </w:r>
          </w:p>
        </w:tc>
        <w:tc>
          <w:tcPr>
            <w:tcW w:w="1073" w:type="pct"/>
            <w:tcBorders>
              <w:top w:val="nil"/>
              <w:left w:val="nil"/>
              <w:bottom w:val="single" w:color="auto" w:sz="4" w:space="0"/>
              <w:right w:val="single" w:color="auto" w:sz="4" w:space="0"/>
            </w:tcBorders>
            <w:noWrap w:val="0"/>
            <w:vAlign w:val="center"/>
          </w:tcPr>
          <w:p w14:paraId="75610A89">
            <w:pPr>
              <w:widowControl/>
              <w:spacing w:line="420" w:lineRule="exact"/>
              <w:rPr>
                <w:rFonts w:hint="eastAsia" w:ascii="楷体" w:hAnsi="楷体" w:eastAsia="楷体" w:cs="楷体"/>
                <w:color w:val="000000"/>
                <w:kern w:val="0"/>
                <w:sz w:val="24"/>
                <w:szCs w:val="24"/>
              </w:rPr>
            </w:pPr>
          </w:p>
        </w:tc>
      </w:tr>
      <w:tr w14:paraId="609C0CCE">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44AEE53A">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1F5A3A2E">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7AD8855D">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2、自动进样器1台</w:t>
            </w:r>
          </w:p>
        </w:tc>
        <w:tc>
          <w:tcPr>
            <w:tcW w:w="1073" w:type="pct"/>
            <w:tcBorders>
              <w:top w:val="nil"/>
              <w:left w:val="nil"/>
              <w:bottom w:val="single" w:color="auto" w:sz="4" w:space="0"/>
              <w:right w:val="single" w:color="auto" w:sz="4" w:space="0"/>
            </w:tcBorders>
            <w:noWrap w:val="0"/>
            <w:vAlign w:val="center"/>
          </w:tcPr>
          <w:p w14:paraId="1D63E61B">
            <w:pPr>
              <w:widowControl/>
              <w:spacing w:line="420" w:lineRule="exact"/>
              <w:rPr>
                <w:rFonts w:hint="eastAsia" w:ascii="楷体" w:hAnsi="楷体" w:eastAsia="楷体" w:cs="楷体"/>
                <w:color w:val="000000"/>
                <w:kern w:val="0"/>
                <w:sz w:val="24"/>
                <w:szCs w:val="24"/>
              </w:rPr>
            </w:pPr>
          </w:p>
        </w:tc>
      </w:tr>
      <w:tr w14:paraId="2D761CD5">
        <w:tblPrEx>
          <w:tblCellMar>
            <w:top w:w="0" w:type="dxa"/>
            <w:left w:w="108" w:type="dxa"/>
            <w:bottom w:w="0" w:type="dxa"/>
            <w:right w:w="108" w:type="dxa"/>
          </w:tblCellMar>
        </w:tblPrEx>
        <w:trPr>
          <w:trHeight w:val="1050" w:hRule="atLeast"/>
        </w:trPr>
        <w:tc>
          <w:tcPr>
            <w:tcW w:w="409" w:type="pct"/>
            <w:vMerge w:val="continue"/>
            <w:tcBorders>
              <w:left w:val="single" w:color="auto" w:sz="4" w:space="0"/>
              <w:right w:val="single" w:color="auto" w:sz="4" w:space="0"/>
            </w:tcBorders>
            <w:noWrap w:val="0"/>
            <w:vAlign w:val="center"/>
          </w:tcPr>
          <w:p w14:paraId="44F84922">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336A4FB5">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bottom"/>
          </w:tcPr>
          <w:p w14:paraId="0A8AFE9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3、二年耗材备件</w:t>
            </w:r>
          </w:p>
          <w:p w14:paraId="4BA99CE1">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石英炬管2根；石英中心管2根；镍采样锥1套；镍</w:t>
            </w:r>
            <w:r>
              <w:rPr>
                <w:rFonts w:hint="eastAsia" w:ascii="楷体" w:hAnsi="楷体" w:eastAsia="楷体" w:cs="楷体"/>
                <w:kern w:val="0"/>
                <w:sz w:val="24"/>
                <w:szCs w:val="24"/>
              </w:rPr>
              <w:t>截取锥1套；蠕动泵管48根；废液管48根</w:t>
            </w:r>
            <w:r>
              <w:rPr>
                <w:rFonts w:hint="eastAsia" w:ascii="楷体" w:hAnsi="楷体" w:eastAsia="楷体" w:cs="楷体"/>
                <w:color w:val="000000"/>
                <w:kern w:val="0"/>
                <w:sz w:val="24"/>
                <w:szCs w:val="24"/>
              </w:rPr>
              <w:t>，采样锥用石墨导热垫片20个；特氟隆材质毛细管2包（5m/包）。</w:t>
            </w:r>
          </w:p>
        </w:tc>
        <w:tc>
          <w:tcPr>
            <w:tcW w:w="1073" w:type="pct"/>
            <w:tcBorders>
              <w:top w:val="nil"/>
              <w:left w:val="nil"/>
              <w:bottom w:val="single" w:color="auto" w:sz="4" w:space="0"/>
              <w:right w:val="single" w:color="auto" w:sz="4" w:space="0"/>
            </w:tcBorders>
            <w:noWrap w:val="0"/>
            <w:vAlign w:val="center"/>
          </w:tcPr>
          <w:p w14:paraId="448DD667">
            <w:pPr>
              <w:widowControl/>
              <w:spacing w:line="420" w:lineRule="exact"/>
              <w:rPr>
                <w:rFonts w:hint="eastAsia" w:ascii="楷体" w:hAnsi="楷体" w:eastAsia="楷体" w:cs="楷体"/>
                <w:color w:val="000000"/>
                <w:kern w:val="0"/>
                <w:sz w:val="24"/>
                <w:szCs w:val="24"/>
              </w:rPr>
            </w:pPr>
          </w:p>
        </w:tc>
      </w:tr>
      <w:tr w14:paraId="356B6F0A">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09C3B102">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1AF12A13">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3494AA4F">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4、冷却循环水机1台</w:t>
            </w:r>
          </w:p>
        </w:tc>
        <w:tc>
          <w:tcPr>
            <w:tcW w:w="1073" w:type="pct"/>
            <w:tcBorders>
              <w:top w:val="nil"/>
              <w:left w:val="nil"/>
              <w:bottom w:val="single" w:color="auto" w:sz="4" w:space="0"/>
              <w:right w:val="single" w:color="auto" w:sz="4" w:space="0"/>
            </w:tcBorders>
            <w:noWrap w:val="0"/>
            <w:vAlign w:val="center"/>
          </w:tcPr>
          <w:p w14:paraId="37A25F49">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0B27EF5F">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37767646">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3E17E95F">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53C0FBBE">
            <w:pPr>
              <w:widowControl/>
              <w:spacing w:line="420" w:lineRule="exact"/>
              <w:rPr>
                <w:rFonts w:hint="eastAsia" w:ascii="楷体" w:hAnsi="楷体" w:eastAsia="楷体" w:cs="楷体"/>
                <w:kern w:val="0"/>
                <w:sz w:val="24"/>
                <w:szCs w:val="24"/>
              </w:rPr>
            </w:pPr>
            <w:r>
              <w:rPr>
                <w:rFonts w:hint="eastAsia" w:ascii="楷体" w:hAnsi="楷体" w:eastAsia="楷体" w:cs="楷体"/>
                <w:kern w:val="0"/>
                <w:sz w:val="24"/>
                <w:szCs w:val="24"/>
              </w:rPr>
              <w:t>5、UPS电源 15KVA 1台</w:t>
            </w:r>
          </w:p>
        </w:tc>
        <w:tc>
          <w:tcPr>
            <w:tcW w:w="1073" w:type="pct"/>
            <w:tcBorders>
              <w:top w:val="nil"/>
              <w:left w:val="nil"/>
              <w:bottom w:val="single" w:color="auto" w:sz="4" w:space="0"/>
              <w:right w:val="single" w:color="auto" w:sz="4" w:space="0"/>
            </w:tcBorders>
            <w:noWrap w:val="0"/>
            <w:vAlign w:val="center"/>
          </w:tcPr>
          <w:p w14:paraId="708974D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6EA6D0C2">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3B37C58B">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42A2A3B1">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45E698F6">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6、原厂调谐母液（10ppm ,100mL）1套</w:t>
            </w:r>
          </w:p>
        </w:tc>
        <w:tc>
          <w:tcPr>
            <w:tcW w:w="1073" w:type="pct"/>
            <w:tcBorders>
              <w:top w:val="nil"/>
              <w:left w:val="nil"/>
              <w:bottom w:val="single" w:color="auto" w:sz="4" w:space="0"/>
              <w:right w:val="single" w:color="auto" w:sz="4" w:space="0"/>
            </w:tcBorders>
            <w:noWrap w:val="0"/>
            <w:vAlign w:val="center"/>
          </w:tcPr>
          <w:p w14:paraId="2530EB20">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58908AB9">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65F89469">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6132585D">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nil"/>
              <w:right w:val="single" w:color="auto" w:sz="4" w:space="0"/>
            </w:tcBorders>
            <w:noWrap w:val="0"/>
            <w:vAlign w:val="center"/>
          </w:tcPr>
          <w:p w14:paraId="264F7D2A">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7、内标母液（100ppm, 100mL）、常用多元素标准溶液各1套</w:t>
            </w:r>
          </w:p>
        </w:tc>
        <w:tc>
          <w:tcPr>
            <w:tcW w:w="1073" w:type="pct"/>
            <w:tcBorders>
              <w:top w:val="nil"/>
              <w:left w:val="nil"/>
              <w:bottom w:val="nil"/>
              <w:right w:val="single" w:color="auto" w:sz="4" w:space="0"/>
            </w:tcBorders>
            <w:noWrap w:val="0"/>
            <w:vAlign w:val="center"/>
          </w:tcPr>
          <w:p w14:paraId="73A1F140">
            <w:pPr>
              <w:widowControl/>
              <w:spacing w:line="420" w:lineRule="exact"/>
              <w:rPr>
                <w:rFonts w:hint="eastAsia" w:ascii="楷体" w:hAnsi="楷体" w:eastAsia="楷体" w:cs="楷体"/>
                <w:color w:val="000000"/>
                <w:kern w:val="0"/>
                <w:sz w:val="24"/>
                <w:szCs w:val="24"/>
              </w:rPr>
            </w:pPr>
            <w:r>
              <w:rPr>
                <w:rFonts w:hint="eastAsia" w:ascii="楷体" w:hAnsi="楷体" w:eastAsia="楷体" w:cs="楷体"/>
                <w:color w:val="000000"/>
                <w:kern w:val="0"/>
                <w:sz w:val="24"/>
                <w:szCs w:val="24"/>
              </w:rPr>
              <w:t>　</w:t>
            </w:r>
          </w:p>
        </w:tc>
      </w:tr>
      <w:tr w14:paraId="5E5BD85E">
        <w:tblPrEx>
          <w:tblCellMar>
            <w:top w:w="0" w:type="dxa"/>
            <w:left w:w="108" w:type="dxa"/>
            <w:bottom w:w="0" w:type="dxa"/>
            <w:right w:w="108" w:type="dxa"/>
          </w:tblCellMar>
        </w:tblPrEx>
        <w:trPr>
          <w:trHeight w:val="280" w:hRule="atLeast"/>
        </w:trPr>
        <w:tc>
          <w:tcPr>
            <w:tcW w:w="409" w:type="pct"/>
            <w:vMerge w:val="continue"/>
            <w:tcBorders>
              <w:left w:val="single" w:color="auto" w:sz="4" w:space="0"/>
              <w:right w:val="single" w:color="auto" w:sz="4" w:space="0"/>
            </w:tcBorders>
            <w:noWrap w:val="0"/>
            <w:vAlign w:val="center"/>
          </w:tcPr>
          <w:p w14:paraId="5D4B9E6E">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right w:val="single" w:color="auto" w:sz="4" w:space="0"/>
            </w:tcBorders>
            <w:noWrap w:val="0"/>
            <w:vAlign w:val="center"/>
          </w:tcPr>
          <w:p w14:paraId="4886091E">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nil"/>
              <w:right w:val="single" w:color="auto" w:sz="4" w:space="0"/>
            </w:tcBorders>
            <w:noWrap w:val="0"/>
            <w:vAlign w:val="center"/>
          </w:tcPr>
          <w:p w14:paraId="5E66E4C4">
            <w:pPr>
              <w:widowControl/>
              <w:spacing w:line="420" w:lineRule="exact"/>
              <w:rPr>
                <w:rFonts w:hint="eastAsia" w:ascii="楷体" w:hAnsi="楷体" w:eastAsia="楷体" w:cs="楷体"/>
                <w:color w:val="000000"/>
                <w:kern w:val="0"/>
                <w:sz w:val="24"/>
                <w:szCs w:val="24"/>
              </w:rPr>
            </w:pPr>
            <w:r>
              <w:rPr>
                <w:rFonts w:hint="eastAsia" w:ascii="楷体" w:hAnsi="楷体" w:eastAsia="楷体" w:cs="楷体"/>
                <w:kern w:val="0"/>
                <w:sz w:val="24"/>
                <w:szCs w:val="24"/>
              </w:rPr>
              <w:t>8、除湿机1台</w:t>
            </w:r>
          </w:p>
        </w:tc>
        <w:tc>
          <w:tcPr>
            <w:tcW w:w="1073" w:type="pct"/>
            <w:tcBorders>
              <w:top w:val="nil"/>
              <w:left w:val="nil"/>
              <w:bottom w:val="nil"/>
              <w:right w:val="single" w:color="auto" w:sz="4" w:space="0"/>
            </w:tcBorders>
            <w:noWrap w:val="0"/>
            <w:vAlign w:val="center"/>
          </w:tcPr>
          <w:p w14:paraId="52A960A3">
            <w:pPr>
              <w:widowControl/>
              <w:spacing w:line="420" w:lineRule="exact"/>
              <w:rPr>
                <w:rFonts w:hint="eastAsia" w:ascii="楷体" w:hAnsi="楷体" w:eastAsia="楷体" w:cs="楷体"/>
                <w:color w:val="000000"/>
                <w:kern w:val="0"/>
                <w:sz w:val="24"/>
                <w:szCs w:val="24"/>
              </w:rPr>
            </w:pPr>
          </w:p>
        </w:tc>
      </w:tr>
      <w:tr w14:paraId="55A2995F">
        <w:tblPrEx>
          <w:tblCellMar>
            <w:top w:w="0" w:type="dxa"/>
            <w:left w:w="108" w:type="dxa"/>
            <w:bottom w:w="0" w:type="dxa"/>
            <w:right w:w="108" w:type="dxa"/>
          </w:tblCellMar>
        </w:tblPrEx>
        <w:trPr>
          <w:trHeight w:val="280" w:hRule="atLeast"/>
        </w:trPr>
        <w:tc>
          <w:tcPr>
            <w:tcW w:w="409" w:type="pct"/>
            <w:vMerge w:val="continue"/>
            <w:tcBorders>
              <w:left w:val="single" w:color="auto" w:sz="4" w:space="0"/>
              <w:bottom w:val="single" w:color="auto" w:sz="4" w:space="0"/>
              <w:right w:val="single" w:color="auto" w:sz="4" w:space="0"/>
            </w:tcBorders>
            <w:noWrap w:val="0"/>
            <w:vAlign w:val="center"/>
          </w:tcPr>
          <w:p w14:paraId="0E67AAC8">
            <w:pPr>
              <w:widowControl/>
              <w:spacing w:line="420" w:lineRule="exact"/>
              <w:rPr>
                <w:rFonts w:hint="eastAsia" w:ascii="楷体" w:hAnsi="楷体" w:eastAsia="楷体" w:cs="楷体"/>
                <w:color w:val="000000"/>
                <w:kern w:val="0"/>
                <w:sz w:val="24"/>
                <w:szCs w:val="24"/>
              </w:rPr>
            </w:pPr>
          </w:p>
        </w:tc>
        <w:tc>
          <w:tcPr>
            <w:tcW w:w="713" w:type="pct"/>
            <w:vMerge w:val="continue"/>
            <w:tcBorders>
              <w:left w:val="single" w:color="auto" w:sz="4" w:space="0"/>
              <w:bottom w:val="single" w:color="auto" w:sz="4" w:space="0"/>
              <w:right w:val="single" w:color="auto" w:sz="4" w:space="0"/>
            </w:tcBorders>
            <w:noWrap w:val="0"/>
            <w:vAlign w:val="center"/>
          </w:tcPr>
          <w:p w14:paraId="4E29987A">
            <w:pPr>
              <w:widowControl/>
              <w:spacing w:line="420" w:lineRule="exact"/>
              <w:rPr>
                <w:rFonts w:hint="eastAsia" w:ascii="楷体" w:hAnsi="楷体" w:eastAsia="楷体" w:cs="楷体"/>
                <w:color w:val="000000"/>
                <w:kern w:val="0"/>
                <w:sz w:val="24"/>
                <w:szCs w:val="24"/>
              </w:rPr>
            </w:pPr>
          </w:p>
        </w:tc>
        <w:tc>
          <w:tcPr>
            <w:tcW w:w="2803" w:type="pct"/>
            <w:tcBorders>
              <w:top w:val="nil"/>
              <w:left w:val="nil"/>
              <w:bottom w:val="single" w:color="auto" w:sz="4" w:space="0"/>
              <w:right w:val="single" w:color="auto" w:sz="4" w:space="0"/>
            </w:tcBorders>
            <w:noWrap w:val="0"/>
            <w:vAlign w:val="center"/>
          </w:tcPr>
          <w:p w14:paraId="08298FB6">
            <w:pPr>
              <w:widowControl/>
              <w:spacing w:line="420" w:lineRule="exact"/>
              <w:rPr>
                <w:rFonts w:hint="eastAsia" w:ascii="楷体" w:hAnsi="楷体" w:eastAsia="楷体" w:cs="楷体"/>
                <w:kern w:val="0"/>
                <w:sz w:val="24"/>
                <w:szCs w:val="24"/>
              </w:rPr>
            </w:pPr>
            <w:r>
              <w:rPr>
                <w:rFonts w:hint="eastAsia" w:ascii="楷体" w:hAnsi="楷体" w:eastAsia="楷体" w:cs="楷体"/>
                <w:kern w:val="0"/>
                <w:sz w:val="24"/>
                <w:szCs w:val="24"/>
              </w:rPr>
              <w:t>9、数据处理工作站1套</w:t>
            </w:r>
          </w:p>
        </w:tc>
        <w:tc>
          <w:tcPr>
            <w:tcW w:w="1073" w:type="pct"/>
            <w:tcBorders>
              <w:top w:val="nil"/>
              <w:left w:val="nil"/>
              <w:bottom w:val="single" w:color="auto" w:sz="4" w:space="0"/>
              <w:right w:val="single" w:color="auto" w:sz="4" w:space="0"/>
            </w:tcBorders>
            <w:noWrap w:val="0"/>
            <w:vAlign w:val="center"/>
          </w:tcPr>
          <w:p w14:paraId="66C33FFD">
            <w:pPr>
              <w:widowControl/>
              <w:spacing w:line="420" w:lineRule="exact"/>
              <w:rPr>
                <w:rFonts w:hint="eastAsia" w:ascii="楷体" w:hAnsi="楷体" w:eastAsia="楷体" w:cs="楷体"/>
                <w:color w:val="000000"/>
                <w:kern w:val="0"/>
                <w:sz w:val="24"/>
                <w:szCs w:val="24"/>
              </w:rPr>
            </w:pPr>
          </w:p>
        </w:tc>
      </w:tr>
    </w:tbl>
    <w:p w14:paraId="7B69DA5B">
      <w:pPr>
        <w:pStyle w:val="2"/>
      </w:pPr>
    </w:p>
    <w:p w14:paraId="05EAE9AD">
      <w:pPr>
        <w:keepNext w:val="0"/>
        <w:keepLines w:val="0"/>
        <w:pageBreakBefore w:val="0"/>
        <w:kinsoku/>
        <w:wordWrap/>
        <w:overflowPunct/>
        <w:topLinePunct w:val="0"/>
        <w:bidi w:val="0"/>
        <w:spacing w:line="420" w:lineRule="exact"/>
        <w:textAlignment w:val="auto"/>
        <w:rPr>
          <w:rFonts w:hint="eastAsia" w:ascii="楷体" w:hAnsi="楷体" w:eastAsia="楷体" w:cs="楷体"/>
          <w:sz w:val="24"/>
          <w:szCs w:val="24"/>
        </w:rPr>
      </w:pPr>
      <w:r>
        <w:rPr>
          <w:rFonts w:hint="eastAsia" w:ascii="楷体" w:hAnsi="楷体" w:eastAsia="楷体" w:cs="楷体"/>
          <w:b/>
          <w:sz w:val="24"/>
          <w:szCs w:val="24"/>
          <w:lang w:val="en-US" w:eastAsia="zh-CN"/>
        </w:rPr>
        <w:t>2、</w:t>
      </w:r>
      <w:r>
        <w:rPr>
          <w:rFonts w:hint="eastAsia" w:ascii="楷体" w:hAnsi="楷体" w:eastAsia="楷体" w:cs="楷体"/>
          <w:b/>
          <w:sz w:val="24"/>
          <w:szCs w:val="24"/>
        </w:rPr>
        <w:t>服务要求</w:t>
      </w:r>
    </w:p>
    <w:p w14:paraId="513656BA">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2.1产品质量必须符合中华人民共和国国家标准及我国最新颁布的与之相关的技术规范与正宗合格产品标准，同时必须满足招标文件中所列全部规格、型号、具体配置、技术条件及功能要求和供方承诺的其它指标；产品质量出现问题，供方负责包退、包换、包修，其费用由供应商负责。</w:t>
      </w:r>
    </w:p>
    <w:p w14:paraId="742B02F7">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2.2交货时间及地点：合同签订后2周内，将全新原厂设备发至买方指定地点。</w:t>
      </w:r>
    </w:p>
    <w:p w14:paraId="5305FFF8">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2.3相关文件：供货方提供详细的操作指南、产品说明书、产品合格证书、供货证明。</w:t>
      </w:r>
    </w:p>
    <w:p w14:paraId="2D18CA39">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2.4安装调试：供货方应在接到买方安装调试要求的7个工作日内上门免费安装、调试。安装调试检验结果应符合制造厂产品标准和买方认可的技术性能。</w:t>
      </w:r>
    </w:p>
    <w:p w14:paraId="7018AFB1">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2.5质保期:至少是货物安装验收合格后24个月。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r>
        <w:rPr>
          <w:rFonts w:hint="eastAsia" w:ascii="楷体" w:hAnsi="楷体" w:eastAsia="楷体" w:cs="楷体"/>
          <w:kern w:val="2"/>
          <w:sz w:val="24"/>
          <w:szCs w:val="24"/>
          <w:lang w:val="en-US" w:eastAsia="zh-CN"/>
        </w:rPr>
        <w:t>在投标文件中</w:t>
      </w:r>
      <w:r>
        <w:rPr>
          <w:rFonts w:hint="eastAsia" w:ascii="楷体" w:hAnsi="楷体" w:eastAsia="楷体" w:cs="楷体"/>
          <w:kern w:val="2"/>
          <w:sz w:val="24"/>
          <w:szCs w:val="24"/>
        </w:rPr>
        <w:t>提供不同维保方式的收费标准及折扣率），并且保证使用方能更换或购买到原厂正宗的零部件及易损件，确保设备的正常使用。</w:t>
      </w:r>
    </w:p>
    <w:p w14:paraId="2ACA67D6">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2.6维修服务：供货方在接到买方要求提供服务的电话后，会在2小时内响应。电话服务无法解决的，将会在24小时内派服务工程师到达买方现场检修仪器。如因外界交通或其它非可控之原因而无法及时到达买方现场的，应通知买方说明这些原因并将计划达到的日期通知买方。对于一般性故障问题，承诺24-48小时内修复；对于复杂和疑难性或境内没有零配件(需要向国外订购的)故障，承诺在6周内保证修复。如因非能事先预见的原因（包括没有完成服务所需的零部件）而使派遣的技术人员不能通过一次上门服务完成所需的协议服务，则供货方应承诺将采取有效及快捷之措施，在最短的时间内完成协议规定的维修服务。供货方应终身负责维护维修，如因非人为原因导致仪器出现故障，需要寄送厂家返修，则期间产生费用由供货方承担。</w:t>
      </w:r>
    </w:p>
    <w:p w14:paraId="3F1678A3">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2.7硬件维护及软件升级：供货方定期（至少1年1次）提供免费上门维护服务，买方享有免费升级软件的权力，确保仪器软硬件正常使用。</w:t>
      </w:r>
    </w:p>
    <w:p w14:paraId="24FF7154">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2.8培训：提供4人次厂家组织的免费培训。所采购仪器设备均需原厂家工程师进行调试安装及培训，供应商方应免费对采购人技术人员进行操作、维修、保养等方面进行培训，并提供现场操作培训，内容包括仪器的基本原理，操作保养，维修等方面，直到技术人员能独立操作和使用。</w:t>
      </w:r>
    </w:p>
    <w:p w14:paraId="5ECD413C">
      <w:pPr>
        <w:pStyle w:val="1542"/>
        <w:keepNext w:val="0"/>
        <w:keepLines w:val="0"/>
        <w:pageBreakBefore w:val="0"/>
        <w:kinsoku/>
        <w:wordWrap/>
        <w:overflowPunct/>
        <w:topLinePunct w:val="0"/>
        <w:bidi w:val="0"/>
        <w:spacing w:line="420" w:lineRule="exact"/>
        <w:ind w:firstLine="0"/>
        <w:textAlignment w:val="auto"/>
        <w:rPr>
          <w:rFonts w:hint="eastAsia" w:ascii="楷体" w:hAnsi="楷体" w:eastAsia="楷体" w:cs="楷体"/>
          <w:kern w:val="2"/>
          <w:sz w:val="24"/>
          <w:szCs w:val="24"/>
        </w:rPr>
      </w:pPr>
      <w:r>
        <w:rPr>
          <w:rFonts w:hint="eastAsia" w:ascii="楷体" w:hAnsi="楷体" w:eastAsia="楷体" w:cs="楷体"/>
          <w:kern w:val="2"/>
          <w:sz w:val="24"/>
          <w:szCs w:val="24"/>
        </w:rPr>
        <w:t>2.9安装调试结束后,投标人需要提供由国家法定计量认证机构出具的 ICP-MS电感耦合等离子体质谱仪检定或校准证书。</w:t>
      </w:r>
    </w:p>
    <w:p w14:paraId="0A7825BA">
      <w:pPr>
        <w:spacing w:line="440" w:lineRule="exact"/>
        <w:ind w:firstLine="480"/>
        <w:rPr>
          <w:rFonts w:ascii="楷体" w:hAnsi="楷体" w:eastAsia="楷体" w:cs="Arial"/>
          <w:bCs/>
          <w:sz w:val="24"/>
        </w:rPr>
      </w:pPr>
      <w:r>
        <w:rPr>
          <w:rFonts w:hint="eastAsia" w:ascii="楷体" w:hAnsi="楷体" w:eastAsia="楷体" w:cs="Arial"/>
          <w:bCs/>
          <w:sz w:val="24"/>
        </w:rPr>
        <w:t>注：</w:t>
      </w:r>
    </w:p>
    <w:p w14:paraId="54EA8F94">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1）本</w:t>
      </w:r>
      <w:r>
        <w:rPr>
          <w:rFonts w:hint="eastAsia" w:ascii="楷体" w:hAnsi="楷体" w:eastAsia="楷体" w:cs="Arial"/>
          <w:sz w:val="24"/>
          <w:szCs w:val="24"/>
          <w:lang w:val="en-US" w:eastAsia="zh-CN"/>
        </w:rPr>
        <w:t>采购包的</w:t>
      </w:r>
      <w:r>
        <w:rPr>
          <w:rFonts w:ascii="楷体" w:hAnsi="楷体" w:eastAsia="楷体" w:cs="Arial"/>
          <w:sz w:val="24"/>
          <w:szCs w:val="24"/>
        </w:rPr>
        <w:t>核心产品</w:t>
      </w:r>
      <w:r>
        <w:rPr>
          <w:rFonts w:ascii="楷体" w:hAnsi="楷体" w:eastAsia="楷体" w:cs="Arial"/>
          <w:sz w:val="24"/>
          <w:szCs w:val="24"/>
          <w:highlight w:val="none"/>
        </w:rPr>
        <w:t>是“</w:t>
      </w:r>
      <w:r>
        <w:rPr>
          <w:rFonts w:hint="eastAsia" w:ascii="楷体" w:hAnsi="楷体" w:eastAsia="楷体" w:cs="Arial"/>
          <w:sz w:val="24"/>
          <w:szCs w:val="24"/>
          <w:highlight w:val="none"/>
        </w:rPr>
        <w:t>ICP-MS电感耦合等离子体质谱仪”。</w:t>
      </w:r>
    </w:p>
    <w:p w14:paraId="53DBE31A">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2）投标人一旦在本项目中中标，即被认为其同意承担在采购期间内货物价格变动所带来的一切风险，投标人不得以任何理由变更其投标时的投标单价。</w:t>
      </w:r>
    </w:p>
    <w:p w14:paraId="1CABD19D">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3）技术要求中提及的品牌或型号仅为参照品牌型号，非限制性条件，投标人可以不</w:t>
      </w:r>
      <w:r>
        <w:rPr>
          <w:rFonts w:hint="eastAsia" w:ascii="楷体" w:hAnsi="楷体" w:eastAsia="楷体" w:cs="Arial"/>
          <w:sz w:val="24"/>
          <w:szCs w:val="24"/>
        </w:rPr>
        <w:t>低于参照品牌质量、性能、设备参数的同等档次的其它品牌产品参与投标。投标人须提供具有公信力的证明材料，并获得三分之二及以上评委的认定。如未提供相关证明材料的，由此对最终评定结果所造成的影响和后果由投标人负全责。</w:t>
      </w:r>
    </w:p>
    <w:p w14:paraId="7C388E33">
      <w:pPr>
        <w:pStyle w:val="62"/>
        <w:spacing w:line="360" w:lineRule="auto"/>
        <w:ind w:left="0" w:leftChars="0" w:firstLine="219" w:firstLineChars="91"/>
        <w:rPr>
          <w:rFonts w:hint="eastAsia" w:ascii="楷体" w:hAnsi="楷体" w:eastAsia="楷体"/>
          <w:b/>
          <w:sz w:val="24"/>
          <w:szCs w:val="24"/>
        </w:rPr>
      </w:pP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4</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注：签订合同前，采购人有权要求中标供应商提供佐证材料原件核查，中标供应商不能按时提供的视为虚假响应，将取消中标资格】</w:t>
      </w:r>
      <w:r>
        <w:rPr>
          <w:rFonts w:hint="eastAsia" w:ascii="楷体" w:hAnsi="楷体" w:eastAsia="楷体"/>
          <w:b/>
          <w:sz w:val="24"/>
          <w:szCs w:val="24"/>
        </w:rPr>
        <w:t>。</w:t>
      </w:r>
    </w:p>
    <w:p w14:paraId="0A397FBC">
      <w:pPr>
        <w:spacing w:line="360" w:lineRule="auto"/>
        <w:ind w:firstLine="420"/>
        <w:rPr>
          <w:rFonts w:ascii="楷体" w:hAnsi="楷体" w:eastAsia="楷体" w:cs="Arial"/>
          <w:b/>
          <w:sz w:val="24"/>
        </w:rPr>
      </w:pPr>
      <w:r>
        <w:rPr>
          <w:rFonts w:hint="eastAsia" w:ascii="楷体" w:hAnsi="楷体" w:eastAsia="楷体" w:cs="Arial"/>
          <w:b/>
          <w:sz w:val="24"/>
        </w:rPr>
        <w:t>★</w:t>
      </w:r>
      <w:r>
        <w:rPr>
          <w:rFonts w:hint="eastAsia" w:ascii="楷体" w:hAnsi="楷体" w:eastAsia="楷体" w:cs="Arial"/>
          <w:b/>
          <w:sz w:val="24"/>
          <w:lang w:val="en-US" w:eastAsia="zh-CN"/>
        </w:rPr>
        <w:t>五</w:t>
      </w:r>
      <w:r>
        <w:rPr>
          <w:rFonts w:hint="eastAsia" w:ascii="楷体" w:hAnsi="楷体" w:eastAsia="楷体" w:cs="Arial"/>
          <w:b/>
          <w:sz w:val="24"/>
        </w:rPr>
        <w:t>、商务要求</w:t>
      </w:r>
    </w:p>
    <w:p w14:paraId="66DA66DA">
      <w:pPr>
        <w:spacing w:line="360" w:lineRule="auto"/>
        <w:ind w:firstLine="420"/>
        <w:rPr>
          <w:rFonts w:ascii="楷体" w:hAnsi="楷体" w:eastAsia="楷体" w:cs="Arial"/>
          <w:color w:val="auto"/>
          <w:sz w:val="24"/>
          <w:highlight w:val="none"/>
        </w:rPr>
      </w:pPr>
      <w:r>
        <w:rPr>
          <w:rFonts w:ascii="楷体" w:hAnsi="楷体" w:eastAsia="楷体" w:cs="Arial"/>
          <w:b/>
          <w:sz w:val="24"/>
          <w:highlight w:val="none"/>
        </w:rPr>
        <w:t>1.</w:t>
      </w:r>
      <w:r>
        <w:rPr>
          <w:rFonts w:hint="eastAsia" w:ascii="楷体" w:hAnsi="楷体" w:eastAsia="楷体" w:cs="Arial"/>
          <w:b/>
          <w:color w:val="auto"/>
          <w:sz w:val="24"/>
          <w:highlight w:val="none"/>
        </w:rPr>
        <w:t>供货期：</w:t>
      </w:r>
      <w:r>
        <w:rPr>
          <w:rFonts w:hint="eastAsia" w:ascii="楷体" w:hAnsi="楷体" w:eastAsia="楷体" w:cs="楷体"/>
          <w:sz w:val="24"/>
          <w:szCs w:val="24"/>
          <w:highlight w:val="none"/>
        </w:rPr>
        <w:t>合同签订后2周内</w:t>
      </w:r>
      <w:r>
        <w:rPr>
          <w:rFonts w:hint="eastAsia" w:ascii="楷体" w:hAnsi="楷体" w:eastAsia="楷体" w:cs="Arial"/>
          <w:color w:val="auto"/>
          <w:sz w:val="24"/>
          <w:highlight w:val="none"/>
        </w:rPr>
        <w:t>。</w:t>
      </w:r>
    </w:p>
    <w:p w14:paraId="4FF5B76B">
      <w:pPr>
        <w:spacing w:line="360" w:lineRule="auto"/>
        <w:ind w:firstLine="420"/>
        <w:rPr>
          <w:rFonts w:ascii="楷体" w:hAnsi="楷体" w:eastAsia="楷体" w:cs="Arial"/>
          <w:color w:val="auto"/>
          <w:sz w:val="24"/>
        </w:rPr>
      </w:pPr>
      <w:r>
        <w:rPr>
          <w:rFonts w:ascii="楷体" w:hAnsi="楷体" w:eastAsia="楷体" w:cs="Arial"/>
          <w:b/>
          <w:color w:val="auto"/>
          <w:sz w:val="24"/>
        </w:rPr>
        <w:t>2.</w:t>
      </w:r>
      <w:r>
        <w:rPr>
          <w:rFonts w:hint="eastAsia" w:ascii="楷体" w:hAnsi="楷体" w:eastAsia="楷体" w:cs="Arial"/>
          <w:b/>
          <w:color w:val="auto"/>
          <w:sz w:val="24"/>
        </w:rPr>
        <w:t>交付（实施）的地点（范围）：</w:t>
      </w:r>
      <w:r>
        <w:rPr>
          <w:rFonts w:hint="eastAsia" w:ascii="楷体" w:hAnsi="楷体" w:eastAsia="楷体" w:cs="Arial"/>
          <w:color w:val="auto"/>
          <w:sz w:val="24"/>
        </w:rPr>
        <w:t>采购人指定地点</w:t>
      </w:r>
    </w:p>
    <w:p w14:paraId="1F4525AF">
      <w:pPr>
        <w:spacing w:line="360" w:lineRule="auto"/>
        <w:ind w:firstLine="420"/>
        <w:rPr>
          <w:rFonts w:hint="eastAsia" w:ascii="楷体" w:hAnsi="楷体" w:eastAsia="楷体" w:cs="Arial"/>
          <w:b w:val="0"/>
          <w:bCs/>
          <w:color w:val="auto"/>
          <w:sz w:val="24"/>
        </w:rPr>
      </w:pPr>
      <w:r>
        <w:rPr>
          <w:rFonts w:hint="eastAsia" w:ascii="楷体" w:hAnsi="楷体" w:eastAsia="楷体" w:cs="Arial"/>
          <w:b/>
          <w:color w:val="auto"/>
          <w:sz w:val="24"/>
          <w:lang w:val="en-US" w:eastAsia="zh-CN"/>
        </w:rPr>
        <w:t>3</w:t>
      </w:r>
      <w:r>
        <w:rPr>
          <w:rFonts w:ascii="楷体" w:hAnsi="楷体" w:eastAsia="楷体" w:cs="Arial"/>
          <w:b/>
          <w:color w:val="auto"/>
          <w:sz w:val="24"/>
        </w:rPr>
        <w:t>.付款条件（进度和方式）</w:t>
      </w:r>
      <w:r>
        <w:rPr>
          <w:rFonts w:hint="eastAsia" w:ascii="楷体" w:hAnsi="楷体" w:eastAsia="楷体" w:cs="Arial"/>
          <w:b/>
          <w:color w:val="auto"/>
          <w:sz w:val="24"/>
        </w:rPr>
        <w:t>：</w:t>
      </w:r>
      <w:r>
        <w:rPr>
          <w:rFonts w:hint="eastAsia" w:ascii="楷体" w:hAnsi="楷体" w:eastAsia="楷体" w:cs="Arial"/>
          <w:b w:val="0"/>
          <w:bCs/>
          <w:color w:val="auto"/>
          <w:sz w:val="24"/>
        </w:rPr>
        <w:t>合同签订后，采购人在收到中标人提供的相应金额的正规发票后10个工作日内支付合同金额的30%作为预付款。</w:t>
      </w:r>
    </w:p>
    <w:p w14:paraId="739D571F">
      <w:pPr>
        <w:spacing w:line="360" w:lineRule="auto"/>
        <w:ind w:firstLine="420"/>
        <w:rPr>
          <w:rFonts w:ascii="楷体" w:hAnsi="楷体" w:eastAsia="楷体" w:cs="Arial"/>
          <w:b w:val="0"/>
          <w:bCs/>
          <w:color w:val="auto"/>
          <w:sz w:val="24"/>
        </w:rPr>
      </w:pPr>
      <w:r>
        <w:rPr>
          <w:rFonts w:hint="eastAsia" w:ascii="楷体" w:hAnsi="楷体" w:eastAsia="楷体" w:cs="Arial"/>
          <w:b w:val="0"/>
          <w:bCs/>
          <w:color w:val="auto"/>
          <w:sz w:val="24"/>
        </w:rPr>
        <w:t>项目安装调试完毕并验收合格后10个工作日内，支付合同额的60%；第一年运维结束通过运维的阶段性验收通过后支付合同额的5%；第二年运维结束通过运维的阶段性验收通过后支付合同额的5%。</w:t>
      </w:r>
    </w:p>
    <w:p w14:paraId="0014E981">
      <w:pPr>
        <w:spacing w:line="360" w:lineRule="auto"/>
        <w:ind w:firstLine="420"/>
        <w:rPr>
          <w:rFonts w:ascii="楷体" w:hAnsi="楷体" w:eastAsia="楷体" w:cs="Arial"/>
          <w:b/>
          <w:color w:val="auto"/>
          <w:sz w:val="24"/>
        </w:rPr>
      </w:pPr>
      <w:r>
        <w:rPr>
          <w:rFonts w:hint="eastAsia" w:ascii="楷体" w:hAnsi="楷体" w:eastAsia="楷体" w:cs="Arial"/>
          <w:b/>
          <w:color w:val="auto"/>
          <w:sz w:val="24"/>
          <w:lang w:val="en-US" w:eastAsia="zh-CN"/>
        </w:rPr>
        <w:t>4</w:t>
      </w:r>
      <w:r>
        <w:rPr>
          <w:rFonts w:ascii="楷体" w:hAnsi="楷体" w:eastAsia="楷体" w:cs="Arial"/>
          <w:b/>
          <w:color w:val="auto"/>
          <w:sz w:val="24"/>
        </w:rPr>
        <w:t>.</w:t>
      </w:r>
      <w:r>
        <w:rPr>
          <w:rFonts w:hint="eastAsia" w:ascii="楷体" w:hAnsi="楷体" w:eastAsia="楷体" w:cs="Arial"/>
          <w:b/>
          <w:color w:val="auto"/>
          <w:sz w:val="24"/>
        </w:rPr>
        <w:t>验收要求：</w:t>
      </w:r>
    </w:p>
    <w:p w14:paraId="274FA66C">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1</w:t>
      </w:r>
      <w:r>
        <w:rPr>
          <w:rFonts w:hint="eastAsia" w:ascii="楷体" w:hAnsi="楷体" w:eastAsia="楷体" w:cs="Arial"/>
          <w:color w:val="auto"/>
          <w:sz w:val="24"/>
          <w:lang w:eastAsia="zh-CN"/>
        </w:rPr>
        <w:t>）</w:t>
      </w:r>
      <w:r>
        <w:rPr>
          <w:rFonts w:hint="eastAsia" w:ascii="楷体" w:hAnsi="楷体" w:eastAsia="楷体" w:cs="Arial"/>
          <w:color w:val="auto"/>
          <w:sz w:val="24"/>
        </w:rPr>
        <w:t>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p>
    <w:p w14:paraId="40DB6FF4">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2</w:t>
      </w:r>
      <w:r>
        <w:rPr>
          <w:rFonts w:hint="eastAsia" w:ascii="楷体" w:hAnsi="楷体" w:eastAsia="楷体" w:cs="Arial"/>
          <w:color w:val="auto"/>
          <w:sz w:val="24"/>
          <w:lang w:eastAsia="zh-CN"/>
        </w:rPr>
        <w:t>）</w:t>
      </w:r>
      <w:r>
        <w:rPr>
          <w:rFonts w:hint="eastAsia" w:ascii="楷体" w:hAnsi="楷体" w:eastAsia="楷体" w:cs="Arial"/>
          <w:color w:val="auto"/>
          <w:sz w:val="24"/>
        </w:rPr>
        <w:t>供应商应负责在采购人验收前将本项目全部相关的系统软硬件，以及有关使用说明书（手册）等交付至采购人，由采购人组织验收。</w:t>
      </w:r>
    </w:p>
    <w:p w14:paraId="40D58541">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3</w:t>
      </w:r>
      <w:r>
        <w:rPr>
          <w:rFonts w:hint="eastAsia" w:ascii="楷体" w:hAnsi="楷体" w:eastAsia="楷体" w:cs="Arial"/>
          <w:color w:val="auto"/>
          <w:sz w:val="24"/>
          <w:lang w:eastAsia="zh-CN"/>
        </w:rPr>
        <w:t>）</w:t>
      </w:r>
      <w:r>
        <w:rPr>
          <w:rFonts w:hint="eastAsia" w:ascii="楷体" w:hAnsi="楷体" w:eastAsia="楷体" w:cs="Arial"/>
          <w:color w:val="auto"/>
          <w:sz w:val="24"/>
        </w:rPr>
        <w:t>供应商负责货物的安装</w:t>
      </w:r>
      <w:r>
        <w:rPr>
          <w:rFonts w:hint="eastAsia" w:ascii="楷体" w:hAnsi="楷体" w:eastAsia="楷体" w:cs="Arial"/>
          <w:color w:val="auto"/>
          <w:sz w:val="24"/>
          <w:lang w:eastAsia="zh-CN"/>
        </w:rPr>
        <w:t>、</w:t>
      </w:r>
      <w:r>
        <w:rPr>
          <w:rFonts w:hint="eastAsia" w:ascii="楷体" w:hAnsi="楷体" w:eastAsia="楷体" w:cs="Arial"/>
          <w:color w:val="auto"/>
          <w:sz w:val="24"/>
        </w:rPr>
        <w:t>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r>
        <w:rPr>
          <w:rFonts w:hint="eastAsia" w:ascii="楷体" w:hAnsi="楷体" w:eastAsia="楷体" w:cs="Arial"/>
          <w:color w:val="auto"/>
          <w:sz w:val="24"/>
          <w:lang w:eastAsia="zh-CN"/>
        </w:rPr>
        <w:t>。</w:t>
      </w:r>
      <w:r>
        <w:rPr>
          <w:rFonts w:hint="eastAsia" w:ascii="楷体" w:hAnsi="楷体" w:eastAsia="楷体" w:cs="Arial"/>
          <w:color w:val="auto"/>
          <w:sz w:val="24"/>
        </w:rPr>
        <w:t xml:space="preserve"> </w:t>
      </w:r>
    </w:p>
    <w:p w14:paraId="353858CA">
      <w:pPr>
        <w:spacing w:line="360" w:lineRule="auto"/>
        <w:ind w:firstLine="420"/>
        <w:rPr>
          <w:rFonts w:ascii="楷体" w:hAnsi="楷体" w:eastAsia="楷体" w:cs="Arial"/>
          <w:color w:val="auto"/>
          <w:sz w:val="24"/>
        </w:rPr>
      </w:pPr>
      <w:r>
        <w:rPr>
          <w:rFonts w:hint="eastAsia" w:ascii="楷体" w:hAnsi="楷体" w:eastAsia="楷体" w:cs="Arial"/>
          <w:b/>
          <w:color w:val="auto"/>
          <w:sz w:val="24"/>
          <w:lang w:val="en-US" w:eastAsia="zh-CN"/>
        </w:rPr>
        <w:t>5</w:t>
      </w:r>
      <w:r>
        <w:rPr>
          <w:rFonts w:ascii="楷体" w:hAnsi="楷体" w:eastAsia="楷体" w:cs="Arial"/>
          <w:b/>
          <w:color w:val="auto"/>
          <w:sz w:val="24"/>
        </w:rPr>
        <w:t>.</w:t>
      </w:r>
      <w:r>
        <w:rPr>
          <w:rFonts w:hint="eastAsia" w:ascii="楷体" w:hAnsi="楷体" w:eastAsia="楷体" w:cs="Arial"/>
          <w:b/>
          <w:color w:val="auto"/>
          <w:sz w:val="24"/>
        </w:rPr>
        <w:t>投标货币：</w:t>
      </w:r>
      <w:r>
        <w:rPr>
          <w:rFonts w:hint="eastAsia" w:ascii="楷体" w:hAnsi="楷体" w:eastAsia="楷体" w:cs="Arial"/>
          <w:color w:val="auto"/>
          <w:sz w:val="24"/>
        </w:rPr>
        <w:t>投标文件中的所有货物、服务单价和总价采用人民币报价，以元为单位标注。</w:t>
      </w:r>
    </w:p>
    <w:p w14:paraId="1E880FE1">
      <w:pPr>
        <w:spacing w:line="360" w:lineRule="auto"/>
        <w:ind w:firstLine="420"/>
        <w:rPr>
          <w:rFonts w:ascii="楷体" w:hAnsi="楷体" w:eastAsia="楷体"/>
          <w:sz w:val="24"/>
        </w:rPr>
      </w:pPr>
      <w:r>
        <w:rPr>
          <w:rFonts w:hint="eastAsia" w:ascii="楷体" w:hAnsi="楷体" w:eastAsia="楷体" w:cs="Arial"/>
          <w:b/>
          <w:sz w:val="24"/>
          <w:lang w:val="en-US" w:eastAsia="zh-CN"/>
        </w:rPr>
        <w:t>六</w:t>
      </w:r>
      <w:r>
        <w:rPr>
          <w:rFonts w:hint="eastAsia" w:ascii="楷体" w:hAnsi="楷体" w:eastAsia="楷体" w:cs="Arial"/>
          <w:b/>
          <w:sz w:val="24"/>
        </w:rPr>
        <w:t>、其他要求</w:t>
      </w:r>
    </w:p>
    <w:p w14:paraId="17FE435A">
      <w:pPr>
        <w:pStyle w:val="1539"/>
        <w:ind w:firstLine="480"/>
        <w:jc w:val="both"/>
        <w:rPr>
          <w:rFonts w:ascii="楷体" w:hAnsi="楷体" w:eastAsia="楷体" w:cs="Arial"/>
          <w:color w:val="FF0000"/>
        </w:rPr>
      </w:pPr>
      <w:r>
        <w:rPr>
          <w:rFonts w:ascii="楷体" w:hAnsi="楷体" w:eastAsia="楷体" w:cs="Arial"/>
          <w:color w:val="FF0000"/>
        </w:rPr>
        <w:t>注：对采购需求部分的询问、质疑请向采购人提出，询问、质疑由采购人负责解释。</w:t>
      </w:r>
    </w:p>
    <w:p w14:paraId="02C56E0A">
      <w:pPr>
        <w:pStyle w:val="1539"/>
        <w:spacing w:after="750"/>
        <w:ind w:firstLine="480" w:firstLineChars="200"/>
        <w:jc w:val="both"/>
        <w:rPr>
          <w:rFonts w:hint="eastAsia" w:ascii="楷体" w:hAnsi="楷体" w:eastAsia="楷体" w:cs="Arial"/>
          <w:color w:val="FF0000"/>
          <w:lang w:eastAsia="zh-CN"/>
        </w:rPr>
      </w:pPr>
      <w:r>
        <w:rPr>
          <w:rFonts w:ascii="楷体" w:hAnsi="楷体" w:eastAsia="楷体" w:cs="Arial"/>
          <w:color w:val="FF0000"/>
        </w:rPr>
        <w:t>本部分标注“★”实质性要求，必须响应，不允许负偏离，否则作为无效投标处理</w:t>
      </w:r>
      <w:r>
        <w:rPr>
          <w:rFonts w:hint="eastAsia" w:ascii="楷体" w:hAnsi="楷体" w:eastAsia="楷体" w:cs="Arial"/>
          <w:color w:val="FF0000"/>
          <w:lang w:eastAsia="zh-CN"/>
        </w:rPr>
        <w:t>。</w:t>
      </w:r>
    </w:p>
    <w:p w14:paraId="623100D1">
      <w:pPr>
        <w:spacing w:line="360" w:lineRule="auto"/>
        <w:ind w:firstLine="420"/>
        <w:rPr>
          <w:rFonts w:hint="eastAsia" w:ascii="楷体" w:hAnsi="楷体" w:eastAsia="楷体" w:cs="Arial"/>
          <w:b/>
          <w:bCs/>
          <w:color w:val="auto"/>
          <w:sz w:val="24"/>
          <w:lang w:val="en-US" w:eastAsia="zh-CN"/>
        </w:rPr>
      </w:pPr>
    </w:p>
    <w:p w14:paraId="4BD3F794">
      <w:pPr>
        <w:spacing w:line="360" w:lineRule="auto"/>
        <w:ind w:firstLine="420"/>
        <w:rPr>
          <w:rFonts w:hint="eastAsia" w:ascii="楷体" w:hAnsi="楷体" w:eastAsia="楷体" w:cs="Arial"/>
          <w:b/>
          <w:bCs/>
          <w:color w:val="auto"/>
          <w:sz w:val="24"/>
          <w:lang w:val="en-US" w:eastAsia="zh-CN"/>
        </w:rPr>
      </w:pPr>
    </w:p>
    <w:p w14:paraId="67523245">
      <w:pPr>
        <w:spacing w:line="360" w:lineRule="auto"/>
        <w:ind w:firstLine="420"/>
        <w:rPr>
          <w:rFonts w:hint="eastAsia" w:ascii="楷体" w:hAnsi="楷体" w:eastAsia="楷体" w:cs="Arial"/>
          <w:b/>
          <w:bCs/>
          <w:color w:val="auto"/>
          <w:sz w:val="24"/>
          <w:lang w:val="en-US" w:eastAsia="zh-CN"/>
        </w:rPr>
      </w:pPr>
    </w:p>
    <w:p w14:paraId="574F9839">
      <w:pPr>
        <w:spacing w:line="360" w:lineRule="auto"/>
        <w:ind w:firstLine="420"/>
        <w:rPr>
          <w:rFonts w:hint="eastAsia" w:ascii="楷体" w:hAnsi="楷体" w:eastAsia="楷体" w:cs="Arial"/>
          <w:b/>
          <w:bCs/>
          <w:color w:val="auto"/>
          <w:sz w:val="24"/>
          <w:lang w:val="en-US" w:eastAsia="zh-CN"/>
        </w:rPr>
      </w:pPr>
    </w:p>
    <w:p w14:paraId="360CEABB">
      <w:pPr>
        <w:spacing w:line="360" w:lineRule="auto"/>
        <w:ind w:firstLine="420"/>
        <w:rPr>
          <w:rFonts w:hint="eastAsia" w:ascii="楷体" w:hAnsi="楷体" w:eastAsia="楷体" w:cs="Arial"/>
          <w:b/>
          <w:bCs/>
          <w:color w:val="auto"/>
          <w:sz w:val="24"/>
          <w:lang w:val="en-US" w:eastAsia="zh-CN"/>
        </w:rPr>
      </w:pPr>
    </w:p>
    <w:p w14:paraId="1D612B3C">
      <w:pPr>
        <w:spacing w:line="360" w:lineRule="auto"/>
        <w:ind w:firstLine="420"/>
        <w:rPr>
          <w:rFonts w:hint="eastAsia" w:ascii="楷体" w:hAnsi="楷体" w:eastAsia="楷体" w:cs="Arial"/>
          <w:b/>
          <w:bCs/>
          <w:color w:val="auto"/>
          <w:sz w:val="24"/>
          <w:lang w:val="en-US" w:eastAsia="zh-CN"/>
        </w:rPr>
      </w:pPr>
    </w:p>
    <w:p w14:paraId="4463FEE5">
      <w:pPr>
        <w:spacing w:line="360" w:lineRule="auto"/>
        <w:ind w:firstLine="420"/>
        <w:rPr>
          <w:rFonts w:hint="eastAsia" w:ascii="楷体" w:hAnsi="楷体" w:eastAsia="楷体" w:cs="Arial"/>
          <w:b/>
          <w:bCs/>
          <w:color w:val="auto"/>
          <w:sz w:val="24"/>
          <w:lang w:val="en-US" w:eastAsia="zh-CN"/>
        </w:rPr>
      </w:pPr>
    </w:p>
    <w:p w14:paraId="272EB431">
      <w:pPr>
        <w:spacing w:line="360" w:lineRule="auto"/>
        <w:ind w:firstLine="420"/>
        <w:rPr>
          <w:rFonts w:hint="eastAsia" w:ascii="楷体" w:hAnsi="楷体" w:eastAsia="楷体" w:cs="Arial"/>
          <w:b/>
          <w:bCs/>
          <w:color w:val="auto"/>
          <w:sz w:val="24"/>
          <w:lang w:val="en-US" w:eastAsia="zh-CN"/>
        </w:rPr>
      </w:pPr>
    </w:p>
    <w:p w14:paraId="0EAA2F6D">
      <w:pPr>
        <w:spacing w:line="360" w:lineRule="auto"/>
        <w:ind w:firstLine="420"/>
        <w:rPr>
          <w:rFonts w:hint="eastAsia" w:ascii="楷体" w:hAnsi="楷体" w:eastAsia="楷体" w:cs="Arial"/>
          <w:b/>
          <w:bCs/>
          <w:color w:val="auto"/>
          <w:sz w:val="24"/>
          <w:lang w:val="en-US" w:eastAsia="zh-CN"/>
        </w:rPr>
      </w:pPr>
    </w:p>
    <w:p w14:paraId="58C10930">
      <w:pPr>
        <w:spacing w:line="360" w:lineRule="auto"/>
        <w:ind w:firstLine="420"/>
        <w:rPr>
          <w:rFonts w:hint="eastAsia" w:ascii="楷体" w:hAnsi="楷体" w:eastAsia="楷体" w:cs="Arial"/>
          <w:b/>
          <w:bCs/>
          <w:color w:val="auto"/>
          <w:sz w:val="24"/>
          <w:lang w:val="en-US" w:eastAsia="zh-CN"/>
        </w:rPr>
      </w:pPr>
    </w:p>
    <w:p w14:paraId="3508DC16">
      <w:pPr>
        <w:spacing w:line="360" w:lineRule="auto"/>
        <w:ind w:firstLine="420"/>
        <w:rPr>
          <w:rFonts w:hint="eastAsia" w:ascii="楷体" w:hAnsi="楷体" w:eastAsia="楷体" w:cs="Arial"/>
          <w:b/>
          <w:bCs/>
          <w:color w:val="auto"/>
          <w:sz w:val="24"/>
          <w:lang w:val="en-US" w:eastAsia="zh-CN"/>
        </w:rPr>
      </w:pPr>
    </w:p>
    <w:p w14:paraId="67904D33">
      <w:pPr>
        <w:spacing w:line="360" w:lineRule="auto"/>
        <w:ind w:firstLine="420"/>
        <w:rPr>
          <w:rFonts w:hint="eastAsia" w:ascii="楷体" w:hAnsi="楷体" w:eastAsia="楷体" w:cs="Arial"/>
          <w:b/>
          <w:bCs/>
          <w:color w:val="auto"/>
          <w:sz w:val="24"/>
          <w:lang w:val="en-US" w:eastAsia="zh-CN"/>
        </w:rPr>
      </w:pPr>
    </w:p>
    <w:p w14:paraId="72D29569">
      <w:pPr>
        <w:spacing w:line="360" w:lineRule="auto"/>
        <w:ind w:firstLine="420"/>
        <w:rPr>
          <w:rFonts w:hint="eastAsia" w:ascii="楷体" w:hAnsi="楷体" w:eastAsia="楷体" w:cs="Arial"/>
          <w:b/>
          <w:bCs/>
          <w:color w:val="auto"/>
          <w:sz w:val="24"/>
          <w:lang w:val="en-US" w:eastAsia="zh-CN"/>
        </w:rPr>
      </w:pPr>
    </w:p>
    <w:p w14:paraId="241B0B04">
      <w:pPr>
        <w:spacing w:line="360" w:lineRule="auto"/>
        <w:ind w:firstLine="420"/>
        <w:rPr>
          <w:rFonts w:hint="eastAsia" w:ascii="楷体" w:hAnsi="楷体" w:eastAsia="楷体" w:cs="Arial"/>
          <w:b/>
          <w:bCs/>
          <w:color w:val="auto"/>
          <w:sz w:val="24"/>
          <w:lang w:val="en-US" w:eastAsia="zh-CN"/>
        </w:rPr>
      </w:pPr>
    </w:p>
    <w:p w14:paraId="6FAE13F4">
      <w:pPr>
        <w:spacing w:line="360" w:lineRule="auto"/>
        <w:ind w:firstLine="420"/>
        <w:rPr>
          <w:rFonts w:hint="eastAsia" w:ascii="楷体" w:hAnsi="楷体" w:eastAsia="楷体" w:cs="Arial"/>
          <w:b/>
          <w:bCs/>
          <w:color w:val="auto"/>
          <w:sz w:val="24"/>
          <w:lang w:val="en-US" w:eastAsia="zh-CN"/>
        </w:rPr>
      </w:pPr>
    </w:p>
    <w:p w14:paraId="446F6077">
      <w:pPr>
        <w:spacing w:line="360" w:lineRule="auto"/>
        <w:ind w:firstLine="420"/>
        <w:rPr>
          <w:rFonts w:hint="eastAsia" w:ascii="楷体" w:hAnsi="楷体" w:eastAsia="楷体" w:cs="Arial"/>
          <w:b/>
          <w:bCs/>
          <w:color w:val="auto"/>
          <w:sz w:val="24"/>
          <w:lang w:val="en-US" w:eastAsia="zh-CN"/>
        </w:rPr>
      </w:pPr>
    </w:p>
    <w:p w14:paraId="44F2FD16">
      <w:pPr>
        <w:spacing w:line="360" w:lineRule="auto"/>
        <w:ind w:firstLine="420"/>
        <w:rPr>
          <w:rFonts w:hint="eastAsia" w:ascii="楷体" w:hAnsi="楷体" w:eastAsia="楷体" w:cs="Arial"/>
          <w:b/>
          <w:bCs/>
          <w:color w:val="auto"/>
          <w:sz w:val="24"/>
          <w:lang w:val="en-US" w:eastAsia="zh-CN"/>
        </w:rPr>
      </w:pPr>
    </w:p>
    <w:p w14:paraId="046959C5">
      <w:pPr>
        <w:spacing w:line="360" w:lineRule="auto"/>
        <w:ind w:firstLine="420"/>
        <w:rPr>
          <w:rFonts w:hint="eastAsia" w:ascii="楷体" w:hAnsi="楷体" w:eastAsia="楷体" w:cs="Arial"/>
          <w:b/>
          <w:bCs/>
          <w:color w:val="auto"/>
          <w:sz w:val="24"/>
          <w:lang w:val="en-US" w:eastAsia="zh-CN"/>
        </w:rPr>
      </w:pPr>
      <w:r>
        <w:rPr>
          <w:rFonts w:hint="eastAsia" w:ascii="楷体" w:hAnsi="楷体" w:eastAsia="楷体" w:cs="Arial"/>
          <w:b/>
          <w:bCs/>
          <w:color w:val="auto"/>
          <w:sz w:val="24"/>
          <w:lang w:val="en-US" w:eastAsia="zh-CN"/>
        </w:rPr>
        <w:t>采购包3</w:t>
      </w:r>
    </w:p>
    <w:p w14:paraId="180D72D8">
      <w:pPr>
        <w:keepNext w:val="0"/>
        <w:keepLines w:val="0"/>
        <w:pageBreakBefore w:val="0"/>
        <w:kinsoku/>
        <w:wordWrap/>
        <w:overflowPunct/>
        <w:topLinePunct w:val="0"/>
        <w:bidi w:val="0"/>
        <w:spacing w:line="420" w:lineRule="exact"/>
        <w:jc w:val="both"/>
        <w:textAlignment w:val="auto"/>
        <w:rPr>
          <w:rFonts w:hint="eastAsia" w:ascii="楷体" w:hAnsi="楷体" w:eastAsia="楷体" w:cs="楷体"/>
          <w:b/>
          <w:sz w:val="24"/>
          <w:szCs w:val="24"/>
        </w:rPr>
      </w:pPr>
      <w:r>
        <w:rPr>
          <w:rFonts w:hint="eastAsia" w:ascii="楷体" w:hAnsi="楷体" w:eastAsia="楷体" w:cs="楷体"/>
          <w:b/>
          <w:sz w:val="24"/>
          <w:szCs w:val="24"/>
          <w:lang w:val="en-US" w:eastAsia="zh-CN"/>
        </w:rPr>
        <w:t>（一）冷原子吸收测汞仪技术</w:t>
      </w:r>
      <w:r>
        <w:rPr>
          <w:rFonts w:hint="eastAsia" w:ascii="楷体" w:hAnsi="楷体" w:eastAsia="楷体" w:cs="Arial"/>
          <w:b/>
          <w:sz w:val="24"/>
          <w:lang w:val="en-US" w:eastAsia="zh-CN"/>
        </w:rPr>
        <w:t>及服务</w:t>
      </w:r>
      <w:r>
        <w:rPr>
          <w:rFonts w:ascii="楷体" w:hAnsi="楷体" w:eastAsia="楷体" w:cs="Arial"/>
          <w:b/>
          <w:sz w:val="24"/>
        </w:rPr>
        <w:t>要求</w:t>
      </w:r>
    </w:p>
    <w:p w14:paraId="0BE38CD1">
      <w:pPr>
        <w:keepNext w:val="0"/>
        <w:keepLines w:val="0"/>
        <w:pageBreakBefore w:val="0"/>
        <w:kinsoku/>
        <w:wordWrap/>
        <w:overflowPunct/>
        <w:topLinePunct w:val="0"/>
        <w:bidi w:val="0"/>
        <w:spacing w:line="420" w:lineRule="exact"/>
        <w:textAlignment w:val="auto"/>
        <w:rPr>
          <w:rFonts w:hint="eastAsia" w:ascii="楷体" w:hAnsi="楷体" w:eastAsia="楷体" w:cs="楷体"/>
          <w:b/>
          <w:sz w:val="24"/>
          <w:szCs w:val="24"/>
          <w:lang w:eastAsia="zh-CN"/>
        </w:rPr>
      </w:pPr>
      <w:r>
        <w:rPr>
          <w:rFonts w:hint="eastAsia" w:ascii="楷体" w:hAnsi="楷体" w:eastAsia="楷体" w:cs="楷体"/>
          <w:b/>
          <w:sz w:val="24"/>
          <w:szCs w:val="24"/>
          <w:lang w:val="en-US" w:eastAsia="zh-CN"/>
        </w:rPr>
        <w:t>一</w:t>
      </w: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技术参数</w:t>
      </w:r>
    </w:p>
    <w:p w14:paraId="0997D63B">
      <w:pPr>
        <w:spacing w:line="420" w:lineRule="exact"/>
        <w:rPr>
          <w:rFonts w:hint="eastAsia" w:ascii="楷体" w:hAnsi="楷体" w:eastAsia="楷体" w:cs="楷体"/>
          <w:sz w:val="24"/>
          <w:szCs w:val="24"/>
        </w:rPr>
      </w:pPr>
      <w:r>
        <w:rPr>
          <w:rFonts w:hint="eastAsia" w:ascii="楷体" w:hAnsi="楷体" w:eastAsia="楷体" w:cs="楷体"/>
          <w:sz w:val="24"/>
          <w:szCs w:val="24"/>
        </w:rPr>
        <w:t>1、</w:t>
      </w:r>
      <w:r>
        <w:rPr>
          <w:rFonts w:hint="eastAsia" w:ascii="楷体" w:hAnsi="楷体" w:eastAsia="楷体" w:cs="楷体"/>
          <w:bCs/>
          <w:sz w:val="24"/>
          <w:szCs w:val="24"/>
        </w:rPr>
        <w:t>样品检出限：≤0.001g/L</w:t>
      </w:r>
    </w:p>
    <w:p w14:paraId="330B4BBE">
      <w:pPr>
        <w:spacing w:line="420" w:lineRule="exact"/>
        <w:rPr>
          <w:rFonts w:hint="eastAsia" w:ascii="楷体" w:hAnsi="楷体" w:eastAsia="楷体" w:cs="楷体"/>
          <w:bCs/>
          <w:sz w:val="24"/>
          <w:szCs w:val="24"/>
        </w:rPr>
      </w:pPr>
      <w:r>
        <w:rPr>
          <w:rFonts w:hint="eastAsia" w:ascii="楷体" w:hAnsi="楷体" w:eastAsia="楷体" w:cs="楷体"/>
          <w:color w:val="000000"/>
          <w:sz w:val="24"/>
          <w:szCs w:val="24"/>
        </w:rPr>
        <w:t>▲2、</w:t>
      </w:r>
      <w:r>
        <w:rPr>
          <w:rFonts w:hint="eastAsia" w:ascii="楷体" w:hAnsi="楷体" w:eastAsia="楷体" w:cs="楷体"/>
          <w:bCs/>
          <w:sz w:val="24"/>
          <w:szCs w:val="24"/>
        </w:rPr>
        <w:t>相对标准偏差（RSD）：≤1%</w:t>
      </w:r>
    </w:p>
    <w:p w14:paraId="6DA5A037">
      <w:pPr>
        <w:spacing w:line="420" w:lineRule="exact"/>
        <w:rPr>
          <w:rFonts w:hint="eastAsia" w:ascii="楷体" w:hAnsi="楷体" w:eastAsia="楷体" w:cs="楷体"/>
          <w:sz w:val="24"/>
          <w:szCs w:val="24"/>
        </w:rPr>
      </w:pPr>
      <w:r>
        <w:rPr>
          <w:rFonts w:hint="eastAsia" w:ascii="楷体" w:hAnsi="楷体" w:eastAsia="楷体" w:cs="楷体"/>
          <w:sz w:val="24"/>
          <w:szCs w:val="24"/>
        </w:rPr>
        <w:t>3、相关系数≥0.9990</w:t>
      </w:r>
    </w:p>
    <w:p w14:paraId="2310422B">
      <w:pPr>
        <w:spacing w:line="420" w:lineRule="exact"/>
        <w:rPr>
          <w:rFonts w:hint="eastAsia" w:ascii="楷体" w:hAnsi="楷体" w:eastAsia="楷体" w:cs="楷体"/>
          <w:b/>
          <w:sz w:val="24"/>
          <w:szCs w:val="24"/>
        </w:rPr>
      </w:pPr>
      <w:r>
        <w:rPr>
          <w:rFonts w:hint="eastAsia" w:ascii="楷体" w:hAnsi="楷体" w:eastAsia="楷体" w:cs="楷体"/>
          <w:b/>
          <w:sz w:val="24"/>
          <w:szCs w:val="24"/>
        </w:rPr>
        <w:t>#</w:t>
      </w:r>
      <w:r>
        <w:rPr>
          <w:rFonts w:hint="eastAsia" w:ascii="楷体" w:hAnsi="楷体" w:eastAsia="楷体" w:cs="楷体"/>
          <w:sz w:val="24"/>
          <w:szCs w:val="24"/>
        </w:rPr>
        <w:t>4、</w:t>
      </w:r>
      <w:r>
        <w:rPr>
          <w:rFonts w:hint="eastAsia" w:ascii="楷体" w:hAnsi="楷体" w:eastAsia="楷体" w:cs="楷体"/>
          <w:bCs/>
          <w:sz w:val="24"/>
          <w:szCs w:val="24"/>
        </w:rPr>
        <w:t>线性范围：0.005</w:t>
      </w:r>
      <w:r>
        <w:rPr>
          <w:rFonts w:hint="eastAsia" w:ascii="楷体" w:hAnsi="楷体" w:eastAsia="楷体" w:cs="楷体"/>
          <w:sz w:val="24"/>
          <w:szCs w:val="24"/>
        </w:rPr>
        <w:t>～</w:t>
      </w:r>
      <w:r>
        <w:rPr>
          <w:rFonts w:hint="eastAsia" w:ascii="楷体" w:hAnsi="楷体" w:eastAsia="楷体" w:cs="楷体"/>
          <w:bCs/>
          <w:sz w:val="24"/>
          <w:szCs w:val="24"/>
        </w:rPr>
        <w:t>2 g/L（长吸收池）；2</w:t>
      </w:r>
      <w:r>
        <w:rPr>
          <w:rFonts w:hint="eastAsia" w:ascii="楷体" w:hAnsi="楷体" w:eastAsia="楷体" w:cs="楷体"/>
          <w:sz w:val="24"/>
          <w:szCs w:val="24"/>
        </w:rPr>
        <w:t>～</w:t>
      </w:r>
      <w:r>
        <w:rPr>
          <w:rFonts w:hint="eastAsia" w:ascii="楷体" w:hAnsi="楷体" w:eastAsia="楷体" w:cs="楷体"/>
          <w:bCs/>
          <w:sz w:val="24"/>
          <w:szCs w:val="24"/>
        </w:rPr>
        <w:t>100 g/L（短吸收池）；</w:t>
      </w:r>
    </w:p>
    <w:p w14:paraId="6D1EF140">
      <w:pPr>
        <w:spacing w:line="420" w:lineRule="exact"/>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6E314E1F">
      <w:pPr>
        <w:spacing w:line="420" w:lineRule="exact"/>
        <w:rPr>
          <w:rFonts w:hint="eastAsia" w:ascii="楷体" w:hAnsi="楷体" w:eastAsia="楷体" w:cs="楷体"/>
          <w:bCs/>
          <w:sz w:val="24"/>
          <w:szCs w:val="24"/>
        </w:rPr>
      </w:pPr>
      <w:r>
        <w:rPr>
          <w:rFonts w:hint="eastAsia" w:ascii="楷体" w:hAnsi="楷体" w:eastAsia="楷体" w:cs="楷体"/>
          <w:bCs/>
          <w:sz w:val="24"/>
          <w:szCs w:val="24"/>
        </w:rPr>
        <w:t>1、具有在线多次富集功能，降低检出限；</w:t>
      </w:r>
    </w:p>
    <w:p w14:paraId="17FF30EF">
      <w:pPr>
        <w:spacing w:line="420" w:lineRule="exact"/>
        <w:rPr>
          <w:rFonts w:hint="eastAsia" w:ascii="楷体" w:hAnsi="楷体" w:eastAsia="楷体" w:cs="楷体"/>
          <w:bCs/>
          <w:sz w:val="24"/>
          <w:szCs w:val="24"/>
        </w:rPr>
      </w:pPr>
      <w:r>
        <w:rPr>
          <w:rFonts w:hint="eastAsia" w:ascii="楷体" w:hAnsi="楷体" w:eastAsia="楷体" w:cs="楷体"/>
          <w:bCs/>
          <w:sz w:val="24"/>
          <w:szCs w:val="24"/>
        </w:rPr>
        <w:t>2、后排废涌泡模式的蒸气发生反应功能，使氧化还原彻底、信号值更稳定；</w:t>
      </w:r>
    </w:p>
    <w:p w14:paraId="6A9E2C9C">
      <w:pPr>
        <w:spacing w:line="420" w:lineRule="exact"/>
        <w:rPr>
          <w:rFonts w:hint="eastAsia" w:ascii="楷体" w:hAnsi="楷体" w:eastAsia="楷体" w:cs="楷体"/>
          <w:bCs/>
          <w:sz w:val="24"/>
          <w:szCs w:val="24"/>
        </w:rPr>
      </w:pPr>
      <w:r>
        <w:rPr>
          <w:rFonts w:hint="eastAsia" w:ascii="楷体" w:hAnsi="楷体" w:eastAsia="楷体" w:cs="楷体"/>
          <w:bCs/>
          <w:sz w:val="24"/>
          <w:szCs w:val="24"/>
        </w:rPr>
        <w:t>3、连续吹扫气路设计，最大限度避免汞记忆效应对检测结果的影响；</w:t>
      </w:r>
    </w:p>
    <w:p w14:paraId="62A21980">
      <w:pPr>
        <w:spacing w:line="420" w:lineRule="exact"/>
        <w:rPr>
          <w:rFonts w:hint="eastAsia" w:ascii="楷体" w:hAnsi="楷体" w:eastAsia="楷体" w:cs="楷体"/>
          <w:bCs/>
          <w:sz w:val="24"/>
          <w:szCs w:val="24"/>
        </w:rPr>
      </w:pPr>
      <w:r>
        <w:rPr>
          <w:rFonts w:hint="eastAsia" w:ascii="楷体" w:hAnsi="楷体" w:eastAsia="楷体" w:cs="楷体"/>
          <w:bCs/>
          <w:sz w:val="24"/>
          <w:szCs w:val="24"/>
        </w:rPr>
        <w:t>4、高效、金属热传导以及闭环温控模式集成设计，PID数字全温控设计，控温误差±1℃，避免汞蒸气记忆效应；</w:t>
      </w:r>
    </w:p>
    <w:p w14:paraId="186E066D">
      <w:pPr>
        <w:spacing w:line="420" w:lineRule="exact"/>
        <w:rPr>
          <w:rFonts w:hint="eastAsia" w:ascii="楷体" w:hAnsi="楷体" w:eastAsia="楷体" w:cs="楷体"/>
          <w:bCs/>
          <w:sz w:val="24"/>
          <w:szCs w:val="24"/>
        </w:rPr>
      </w:pPr>
      <w:r>
        <w:rPr>
          <w:rFonts w:hint="eastAsia" w:ascii="楷体" w:hAnsi="楷体" w:eastAsia="楷体" w:cs="楷体"/>
          <w:bCs/>
          <w:sz w:val="24"/>
          <w:szCs w:val="24"/>
        </w:rPr>
        <w:t>5、恒温长、短吸收池多光程技术，根据样品的浓度自动切换选择不同的校正曲线进行定量计算；</w:t>
      </w:r>
    </w:p>
    <w:p w14:paraId="4AF16578">
      <w:pPr>
        <w:spacing w:line="420" w:lineRule="exact"/>
        <w:rPr>
          <w:rFonts w:hint="eastAsia" w:ascii="楷体" w:hAnsi="楷体" w:eastAsia="楷体" w:cs="楷体"/>
          <w:bCs/>
          <w:sz w:val="24"/>
          <w:szCs w:val="24"/>
        </w:rPr>
      </w:pPr>
      <w:r>
        <w:rPr>
          <w:rFonts w:hint="eastAsia" w:ascii="楷体" w:hAnsi="楷体" w:eastAsia="楷体" w:cs="楷体"/>
          <w:color w:val="000000"/>
          <w:sz w:val="24"/>
          <w:szCs w:val="24"/>
        </w:rPr>
        <w:t>▲</w:t>
      </w:r>
      <w:r>
        <w:rPr>
          <w:rFonts w:hint="eastAsia" w:ascii="楷体" w:hAnsi="楷体" w:eastAsia="楷体" w:cs="楷体"/>
          <w:bCs/>
          <w:sz w:val="24"/>
          <w:szCs w:val="24"/>
        </w:rPr>
        <w:t>6、实时双光束系统，检测过程对光源漂移和波动进行实时校正；</w:t>
      </w:r>
    </w:p>
    <w:p w14:paraId="575FC168">
      <w:pPr>
        <w:spacing w:line="420" w:lineRule="exact"/>
        <w:rPr>
          <w:rFonts w:hint="eastAsia" w:ascii="楷体" w:hAnsi="楷体" w:eastAsia="楷体" w:cs="楷体"/>
          <w:bCs/>
          <w:sz w:val="24"/>
          <w:szCs w:val="24"/>
        </w:rPr>
      </w:pPr>
      <w:r>
        <w:rPr>
          <w:rFonts w:hint="eastAsia" w:ascii="楷体" w:hAnsi="楷体" w:eastAsia="楷体" w:cs="楷体"/>
          <w:b/>
          <w:bCs/>
          <w:sz w:val="24"/>
          <w:szCs w:val="24"/>
        </w:rPr>
        <w:t>#</w:t>
      </w:r>
      <w:r>
        <w:rPr>
          <w:rFonts w:hint="eastAsia" w:ascii="楷体" w:hAnsi="楷体" w:eastAsia="楷体" w:cs="楷体"/>
          <w:bCs/>
          <w:sz w:val="24"/>
          <w:szCs w:val="24"/>
        </w:rPr>
        <w:t>7、配备单个汞反应瓶50毫升，自动进样盘不低于30位，实现无人值守，全自动测量；进样器具专用清洗位，杜绝样品交叉污染。</w:t>
      </w:r>
    </w:p>
    <w:p w14:paraId="3B4DD401">
      <w:pPr>
        <w:spacing w:line="420" w:lineRule="exact"/>
        <w:rPr>
          <w:rFonts w:hint="eastAsia" w:ascii="楷体" w:hAnsi="楷体" w:eastAsia="楷体" w:cs="楷体"/>
          <w:bCs/>
          <w:sz w:val="24"/>
          <w:szCs w:val="24"/>
        </w:rPr>
      </w:pPr>
      <w:r>
        <w:rPr>
          <w:rFonts w:hint="eastAsia" w:ascii="楷体" w:hAnsi="楷体" w:eastAsia="楷体" w:cs="楷体"/>
          <w:bCs/>
          <w:sz w:val="24"/>
          <w:szCs w:val="24"/>
        </w:rPr>
        <w:t>8、内置高清晰、可调光亮摄像探头，核心部件齐化管的实时可视化监测。</w:t>
      </w:r>
    </w:p>
    <w:p w14:paraId="7BFFE16E">
      <w:pPr>
        <w:spacing w:line="420" w:lineRule="exact"/>
        <w:rPr>
          <w:rFonts w:hint="eastAsia" w:ascii="楷体" w:hAnsi="楷体" w:eastAsia="楷体" w:cs="楷体"/>
          <w:bCs/>
          <w:sz w:val="24"/>
          <w:szCs w:val="24"/>
        </w:rPr>
      </w:pPr>
      <w:r>
        <w:rPr>
          <w:rFonts w:hint="eastAsia" w:ascii="楷体" w:hAnsi="楷体" w:eastAsia="楷体" w:cs="楷体"/>
          <w:bCs/>
          <w:sz w:val="24"/>
          <w:szCs w:val="24"/>
        </w:rPr>
        <w:t>9、精确温控系统，避免汞记忆效应；</w:t>
      </w:r>
    </w:p>
    <w:p w14:paraId="4BBBDBBD">
      <w:pPr>
        <w:spacing w:line="420" w:lineRule="exact"/>
        <w:rPr>
          <w:rFonts w:hint="eastAsia" w:ascii="楷体" w:hAnsi="楷体" w:eastAsia="楷体" w:cs="楷体"/>
          <w:bCs/>
          <w:sz w:val="24"/>
          <w:szCs w:val="24"/>
        </w:rPr>
      </w:pPr>
      <w:r>
        <w:rPr>
          <w:rFonts w:hint="eastAsia" w:ascii="楷体" w:hAnsi="楷体" w:eastAsia="楷体" w:cs="楷体"/>
          <w:bCs/>
          <w:sz w:val="24"/>
          <w:szCs w:val="24"/>
        </w:rPr>
        <w:t>10、高汞保护：高汞样品警报提示以及自动清除功能；</w:t>
      </w:r>
    </w:p>
    <w:p w14:paraId="0BDF6495">
      <w:pPr>
        <w:spacing w:line="420" w:lineRule="exact"/>
        <w:rPr>
          <w:rFonts w:hint="eastAsia" w:ascii="楷体" w:hAnsi="楷体" w:eastAsia="楷体" w:cs="楷体"/>
          <w:bCs/>
          <w:sz w:val="24"/>
          <w:szCs w:val="24"/>
        </w:rPr>
      </w:pPr>
      <w:r>
        <w:rPr>
          <w:rFonts w:hint="eastAsia" w:ascii="楷体" w:hAnsi="楷体" w:eastAsia="楷体" w:cs="楷体"/>
          <w:b/>
          <w:bCs/>
          <w:sz w:val="24"/>
          <w:szCs w:val="24"/>
        </w:rPr>
        <w:t>#</w:t>
      </w:r>
      <w:r>
        <w:rPr>
          <w:rFonts w:hint="eastAsia" w:ascii="楷体" w:hAnsi="楷体" w:eastAsia="楷体" w:cs="楷体"/>
          <w:bCs/>
          <w:sz w:val="24"/>
          <w:szCs w:val="24"/>
        </w:rPr>
        <w:t>11、状态指示灯功能，具备4种可视化状态指示灯颜色提示；</w:t>
      </w:r>
    </w:p>
    <w:p w14:paraId="1C536B7E">
      <w:pPr>
        <w:spacing w:line="420" w:lineRule="exact"/>
        <w:rPr>
          <w:rFonts w:hint="eastAsia" w:ascii="楷体" w:hAnsi="楷体" w:eastAsia="楷体" w:cs="楷体"/>
          <w:sz w:val="24"/>
          <w:szCs w:val="24"/>
        </w:rPr>
      </w:pPr>
      <w:r>
        <w:rPr>
          <w:rFonts w:hint="eastAsia" w:ascii="楷体" w:hAnsi="楷体" w:eastAsia="楷体" w:cs="楷体"/>
          <w:bCs/>
          <w:sz w:val="24"/>
          <w:szCs w:val="24"/>
        </w:rPr>
        <w:t>▲12、</w:t>
      </w:r>
      <w:r>
        <w:rPr>
          <w:rFonts w:hint="eastAsia" w:ascii="楷体" w:hAnsi="楷体" w:eastAsia="楷体" w:cs="楷体"/>
          <w:sz w:val="24"/>
          <w:szCs w:val="24"/>
        </w:rPr>
        <w:t>汞元素废气对环境二次污染，配备高效率吸附活性炭净化系统，具有颜色指示功能便于判断即时更换；</w:t>
      </w:r>
    </w:p>
    <w:p w14:paraId="6EA34EFA">
      <w:pPr>
        <w:spacing w:line="420" w:lineRule="exact"/>
        <w:rPr>
          <w:rFonts w:hint="eastAsia" w:ascii="楷体" w:hAnsi="楷体" w:eastAsia="楷体" w:cs="楷体"/>
          <w:bCs/>
          <w:sz w:val="24"/>
          <w:szCs w:val="24"/>
        </w:rPr>
      </w:pPr>
      <w:r>
        <w:rPr>
          <w:rFonts w:hint="eastAsia" w:ascii="楷体" w:hAnsi="楷体" w:eastAsia="楷体" w:cs="楷体"/>
          <w:sz w:val="24"/>
          <w:szCs w:val="24"/>
        </w:rPr>
        <w:t>13、</w:t>
      </w:r>
      <w:r>
        <w:rPr>
          <w:rFonts w:hint="eastAsia" w:ascii="楷体" w:hAnsi="楷体" w:eastAsia="楷体" w:cs="楷体"/>
          <w:bCs/>
          <w:sz w:val="24"/>
          <w:szCs w:val="24"/>
        </w:rPr>
        <w:t>配备高精度、数控微量气体流量模块，实时监测载气，提高检测分析的稳定性；</w:t>
      </w:r>
    </w:p>
    <w:p w14:paraId="6B9615A4">
      <w:pPr>
        <w:spacing w:line="420" w:lineRule="exact"/>
        <w:rPr>
          <w:rFonts w:hint="eastAsia" w:ascii="楷体" w:hAnsi="楷体" w:eastAsia="楷体" w:cs="楷体"/>
          <w:bCs/>
          <w:sz w:val="24"/>
          <w:szCs w:val="24"/>
        </w:rPr>
      </w:pPr>
      <w:r>
        <w:rPr>
          <w:rFonts w:hint="eastAsia" w:ascii="楷体" w:hAnsi="楷体" w:eastAsia="楷体" w:cs="楷体"/>
          <w:bCs/>
          <w:sz w:val="24"/>
          <w:szCs w:val="24"/>
        </w:rPr>
        <w:t xml:space="preserve">14、防止汞元素废气对环境二次污染，配备净化系统； </w:t>
      </w:r>
    </w:p>
    <w:p w14:paraId="3F25C778">
      <w:pPr>
        <w:spacing w:line="420" w:lineRule="exact"/>
        <w:rPr>
          <w:rFonts w:hint="eastAsia" w:ascii="楷体" w:hAnsi="楷体" w:eastAsia="楷体" w:cs="楷体"/>
          <w:bCs/>
          <w:sz w:val="24"/>
          <w:szCs w:val="24"/>
        </w:rPr>
      </w:pPr>
      <w:r>
        <w:rPr>
          <w:rFonts w:hint="eastAsia" w:ascii="楷体" w:hAnsi="楷体" w:eastAsia="楷体" w:cs="楷体"/>
          <w:bCs/>
          <w:sz w:val="24"/>
          <w:szCs w:val="24"/>
        </w:rPr>
        <w:t>15、无污染废液收集系统，并可实现废液液位实时报警功能；</w:t>
      </w:r>
    </w:p>
    <w:p w14:paraId="154EDCE5">
      <w:pPr>
        <w:spacing w:line="420" w:lineRule="exact"/>
        <w:rPr>
          <w:rFonts w:hint="eastAsia" w:ascii="楷体" w:hAnsi="楷体" w:eastAsia="楷体" w:cs="楷体"/>
          <w:bCs/>
          <w:sz w:val="24"/>
          <w:szCs w:val="24"/>
        </w:rPr>
      </w:pPr>
      <w:r>
        <w:rPr>
          <w:rFonts w:hint="eastAsia" w:ascii="楷体" w:hAnsi="楷体" w:eastAsia="楷体" w:cs="楷体"/>
          <w:color w:val="000000"/>
          <w:sz w:val="24"/>
          <w:szCs w:val="24"/>
        </w:rPr>
        <w:t>▲</w:t>
      </w:r>
      <w:r>
        <w:rPr>
          <w:rFonts w:hint="eastAsia" w:ascii="楷体" w:hAnsi="楷体" w:eastAsia="楷体" w:cs="楷体"/>
          <w:bCs/>
          <w:sz w:val="24"/>
          <w:szCs w:val="24"/>
        </w:rPr>
        <w:t>16、注射泵精确定量，可自动稀释在线自动配置标准曲线。</w:t>
      </w:r>
    </w:p>
    <w:p w14:paraId="1DDE939F">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数据处理系统要求</w:t>
      </w:r>
    </w:p>
    <w:p w14:paraId="5F58C919">
      <w:pPr>
        <w:spacing w:line="420" w:lineRule="exact"/>
        <w:rPr>
          <w:rFonts w:hint="eastAsia" w:ascii="楷体" w:hAnsi="楷体" w:eastAsia="楷体" w:cs="楷体"/>
          <w:bCs/>
          <w:sz w:val="24"/>
          <w:szCs w:val="24"/>
        </w:rPr>
      </w:pPr>
      <w:r>
        <w:rPr>
          <w:rFonts w:hint="eastAsia" w:ascii="楷体" w:hAnsi="楷体" w:eastAsia="楷体" w:cs="楷体"/>
          <w:bCs/>
          <w:sz w:val="24"/>
          <w:szCs w:val="24"/>
        </w:rPr>
        <w:t>1、提供数据处理工作站</w:t>
      </w:r>
    </w:p>
    <w:p w14:paraId="68429725">
      <w:pPr>
        <w:spacing w:line="420" w:lineRule="exact"/>
        <w:rPr>
          <w:rFonts w:hint="eastAsia" w:ascii="楷体" w:hAnsi="楷体" w:eastAsia="楷体" w:cs="楷体"/>
          <w:bCs/>
          <w:sz w:val="24"/>
          <w:szCs w:val="24"/>
        </w:rPr>
      </w:pPr>
      <w:r>
        <w:rPr>
          <w:rFonts w:hint="eastAsia" w:ascii="楷体" w:hAnsi="楷体" w:eastAsia="楷体" w:cs="楷体"/>
          <w:bCs/>
          <w:sz w:val="24"/>
          <w:szCs w:val="24"/>
        </w:rPr>
        <w:t>2、软件可实现测量数据快速导入EXCEL，实现网络资源共享。</w:t>
      </w:r>
    </w:p>
    <w:p w14:paraId="739F6AF5">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仪器配置及要求</w:t>
      </w:r>
    </w:p>
    <w:p w14:paraId="26E8556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1、主机1台；</w:t>
      </w:r>
    </w:p>
    <w:p w14:paraId="430EFBA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2、自动进样器1台；</w:t>
      </w:r>
    </w:p>
    <w:p w14:paraId="3420806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3、试剂托盘1套；</w:t>
      </w:r>
    </w:p>
    <w:p w14:paraId="1ED2C4F6">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4、尾气净化装置1套；</w:t>
      </w:r>
    </w:p>
    <w:p w14:paraId="731DA5E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5、废液收集系统1套；</w:t>
      </w:r>
    </w:p>
    <w:p w14:paraId="6430CC3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6、数据处理工作站1套。</w:t>
      </w:r>
    </w:p>
    <w:p w14:paraId="0CCC6398">
      <w:pPr>
        <w:spacing w:line="420" w:lineRule="exact"/>
        <w:rPr>
          <w:rFonts w:hint="eastAsia" w:ascii="楷体" w:hAnsi="楷体" w:eastAsia="楷体" w:cs="楷体"/>
          <w:sz w:val="24"/>
          <w:szCs w:val="24"/>
        </w:rPr>
      </w:pPr>
      <w:r>
        <w:rPr>
          <w:rFonts w:hint="eastAsia" w:ascii="楷体" w:hAnsi="楷体" w:eastAsia="楷体" w:cs="楷体"/>
          <w:b/>
          <w:bCs/>
          <w:sz w:val="24"/>
          <w:szCs w:val="24"/>
          <w:lang w:val="en-US" w:eastAsia="zh-CN"/>
        </w:rPr>
        <w:t>五</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sz w:val="24"/>
          <w:szCs w:val="24"/>
        </w:rPr>
        <w:t>及服务要求</w:t>
      </w:r>
    </w:p>
    <w:p w14:paraId="7840685A">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1、供货要求</w:t>
      </w:r>
    </w:p>
    <w:p w14:paraId="29DEFECD">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(1)保证产品为全新原厂设备。</w:t>
      </w:r>
    </w:p>
    <w:p w14:paraId="2A19EA8A">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(2)供货方保证产品不存在因材质、设计、制造等问题所引起的缺陷，否则应无偿予以纠正。</w:t>
      </w:r>
    </w:p>
    <w:p w14:paraId="05E80E99">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(3)供货方提供的设备发生非人为因素严重故障时，应当免费在七日内将补充或者更换的货物运抵发生故障的货物所在地，由此产生的一切相关费用由供货方承担。</w:t>
      </w:r>
    </w:p>
    <w:p w14:paraId="4ACD628E">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(4)项目所涉及的设备及软件到货时，须提供原厂商的供货证明。</w:t>
      </w:r>
    </w:p>
    <w:p w14:paraId="1115EBB4">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(5)免费质保期满后，需提供在设备设计使用周期内的有偿包修（</w:t>
      </w:r>
      <w:r>
        <w:rPr>
          <w:rFonts w:hint="eastAsia" w:ascii="楷体" w:hAnsi="楷体" w:eastAsia="楷体" w:cs="楷体"/>
          <w:kern w:val="2"/>
          <w:sz w:val="24"/>
          <w:szCs w:val="24"/>
          <w:lang w:val="en-US" w:eastAsia="zh-CN"/>
        </w:rPr>
        <w:t>在投标文件中</w:t>
      </w:r>
      <w:r>
        <w:rPr>
          <w:rFonts w:hint="eastAsia" w:ascii="楷体" w:hAnsi="楷体" w:eastAsia="楷体" w:cs="楷体"/>
          <w:kern w:val="2"/>
          <w:sz w:val="24"/>
          <w:szCs w:val="24"/>
        </w:rPr>
        <w:t>提供不同维保方式的收费标准及折扣率），并且保证使用方能更换或购买到原厂正宗的零部件及易损件，确保设备的正常使用。</w:t>
      </w:r>
    </w:p>
    <w:p w14:paraId="7AA10E73">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(6)供货方保证厂家有同系列仪器软件升级，买方享有免费升级的权力。</w:t>
      </w:r>
    </w:p>
    <w:p w14:paraId="072290F5">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2、安装调试和培训要求</w:t>
      </w:r>
    </w:p>
    <w:p w14:paraId="6122DEB7">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(1)仪器到货后在3个工作日内安排专职工程师到达现场，在采购方技术人员在场的情况下开箱清点货物，组织安装、调试，并承担因此发生的一切费用。</w:t>
      </w:r>
    </w:p>
    <w:p w14:paraId="6C6EC5FC">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(2)仪器现场安装、调试期间进行仪器操作培训内容包括仪器的原理、使用、日常维护及现场操作。</w:t>
      </w:r>
    </w:p>
    <w:p w14:paraId="033CC5B1">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(3)供货方提供3人次为期一周的厂家集中免费培训名额，并提供相应的培训计划，详细说明培训的方式、地点、人数、时间等实质性内容。</w:t>
      </w:r>
    </w:p>
    <w:p w14:paraId="6B2490A4">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3、售后服务</w:t>
      </w:r>
    </w:p>
    <w:p w14:paraId="4ADFDD60">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(1)自验收合格之日起，质保期三年。质保期内，对产品质量实行三包，因设备配置或制造质量问题而引起的故障，应在48小时内立即予以免费维修或更换并承担由此产生的一切费用。</w:t>
      </w:r>
    </w:p>
    <w:p w14:paraId="551BB08F">
      <w:pPr>
        <w:pStyle w:val="1542"/>
        <w:spacing w:line="420" w:lineRule="exact"/>
        <w:ind w:firstLine="0"/>
        <w:rPr>
          <w:rFonts w:hint="eastAsia" w:ascii="楷体" w:hAnsi="楷体" w:eastAsia="楷体" w:cs="楷体"/>
          <w:kern w:val="2"/>
          <w:sz w:val="24"/>
          <w:szCs w:val="24"/>
        </w:rPr>
      </w:pPr>
      <w:r>
        <w:rPr>
          <w:rFonts w:hint="eastAsia" w:ascii="楷体" w:hAnsi="楷体" w:eastAsia="楷体" w:cs="楷体"/>
          <w:kern w:val="2"/>
          <w:sz w:val="24"/>
          <w:szCs w:val="24"/>
        </w:rPr>
        <w:t>(2)指派专人负责与采购人联系售后服务事宜。质保期内应免费提供技术服务，技术服务包括硬件更换、维修（包括更换仪器及零配件等）系统的维护和技术支持。在质保期内，供货方应对由于设计、工艺或材料的缺陷所发生的任何不足或故障负责，所需费用由供货方承担。</w:t>
      </w:r>
    </w:p>
    <w:p w14:paraId="743BBCD5">
      <w:pPr>
        <w:pStyle w:val="1542"/>
        <w:spacing w:line="420" w:lineRule="exact"/>
        <w:ind w:firstLine="0"/>
        <w:rPr>
          <w:rFonts w:hint="eastAsia" w:ascii="楷体" w:hAnsi="楷体" w:eastAsia="楷体" w:cs="楷体"/>
          <w:sz w:val="24"/>
          <w:szCs w:val="24"/>
        </w:rPr>
      </w:pPr>
      <w:r>
        <w:rPr>
          <w:rFonts w:hint="eastAsia" w:ascii="楷体" w:hAnsi="楷体" w:eastAsia="楷体" w:cs="楷体"/>
          <w:kern w:val="2"/>
          <w:sz w:val="24"/>
          <w:szCs w:val="24"/>
        </w:rPr>
        <w:t>(3)技术支持响应时间：在接到采购单位维修函电后，必须在2小时内对及时对提出的维修要求作出响应，48小时内到达维修现场，并在最短时间内修复完毕。</w:t>
      </w:r>
    </w:p>
    <w:p w14:paraId="0E82E17B">
      <w:pPr>
        <w:keepNext w:val="0"/>
        <w:keepLines w:val="0"/>
        <w:pageBreakBefore w:val="0"/>
        <w:kinsoku/>
        <w:wordWrap/>
        <w:overflowPunct/>
        <w:topLinePunct w:val="0"/>
        <w:bidi w:val="0"/>
        <w:spacing w:line="420" w:lineRule="exact"/>
        <w:jc w:val="center"/>
        <w:textAlignment w:val="auto"/>
        <w:rPr>
          <w:rFonts w:hint="eastAsia" w:ascii="楷体" w:hAnsi="楷体" w:eastAsia="楷体" w:cs="楷体"/>
          <w:b/>
          <w:bCs/>
          <w:sz w:val="24"/>
          <w:szCs w:val="24"/>
        </w:rPr>
      </w:pPr>
    </w:p>
    <w:p w14:paraId="63787A74">
      <w:pPr>
        <w:keepNext w:val="0"/>
        <w:keepLines w:val="0"/>
        <w:pageBreakBefore w:val="0"/>
        <w:kinsoku/>
        <w:wordWrap/>
        <w:overflowPunct/>
        <w:topLinePunct w:val="0"/>
        <w:bidi w:val="0"/>
        <w:spacing w:line="420" w:lineRule="exact"/>
        <w:jc w:val="both"/>
        <w:textAlignment w:val="auto"/>
        <w:rPr>
          <w:rFonts w:hint="eastAsia" w:ascii="楷体" w:hAnsi="楷体" w:eastAsia="楷体" w:cs="楷体"/>
          <w:b/>
          <w:bCs/>
          <w:sz w:val="24"/>
          <w:szCs w:val="24"/>
        </w:rPr>
      </w:pPr>
      <w:r>
        <w:rPr>
          <w:rFonts w:hint="eastAsia" w:ascii="楷体" w:hAnsi="楷体" w:eastAsia="楷体" w:cs="楷体"/>
          <w:b/>
          <w:bCs/>
          <w:sz w:val="24"/>
          <w:szCs w:val="24"/>
          <w:lang w:val="en-US" w:eastAsia="zh-CN"/>
        </w:rPr>
        <w:t>（二）红外测油仪技术及</w:t>
      </w:r>
      <w:r>
        <w:rPr>
          <w:rFonts w:hint="eastAsia" w:ascii="楷体" w:hAnsi="楷体" w:eastAsia="楷体" w:cs="Arial"/>
          <w:b/>
          <w:sz w:val="24"/>
          <w:lang w:val="en-US" w:eastAsia="zh-CN"/>
        </w:rPr>
        <w:t>服务</w:t>
      </w:r>
      <w:r>
        <w:rPr>
          <w:rFonts w:ascii="楷体" w:hAnsi="楷体" w:eastAsia="楷体" w:cs="Arial"/>
          <w:b/>
          <w:sz w:val="24"/>
        </w:rPr>
        <w:t>要求</w:t>
      </w:r>
    </w:p>
    <w:p w14:paraId="120F7D41">
      <w:pPr>
        <w:keepNext w:val="0"/>
        <w:keepLines w:val="0"/>
        <w:pageBreakBefore w:val="0"/>
        <w:kinsoku/>
        <w:wordWrap/>
        <w:overflowPunct/>
        <w:topLinePunct w:val="0"/>
        <w:bidi w:val="0"/>
        <w:spacing w:line="420" w:lineRule="exact"/>
        <w:textAlignment w:val="auto"/>
        <w:rPr>
          <w:rFonts w:hint="eastAsia" w:ascii="楷体" w:hAnsi="楷体" w:eastAsia="楷体" w:cs="楷体"/>
          <w:b/>
          <w:sz w:val="24"/>
          <w:szCs w:val="24"/>
        </w:rPr>
      </w:pPr>
      <w:r>
        <w:rPr>
          <w:rFonts w:hint="eastAsia" w:ascii="楷体" w:hAnsi="楷体" w:eastAsia="楷体" w:cs="楷体"/>
          <w:b/>
          <w:sz w:val="24"/>
          <w:szCs w:val="24"/>
          <w:lang w:val="en-US" w:eastAsia="zh-CN"/>
        </w:rPr>
        <w:t>一</w:t>
      </w:r>
      <w:r>
        <w:rPr>
          <w:rFonts w:hint="eastAsia" w:ascii="楷体" w:hAnsi="楷体" w:eastAsia="楷体" w:cs="楷体"/>
          <w:b/>
          <w:sz w:val="24"/>
          <w:szCs w:val="24"/>
          <w:lang w:eastAsia="zh-CN"/>
        </w:rPr>
        <w:t>）技术要求</w:t>
      </w:r>
    </w:p>
    <w:p w14:paraId="3383193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1、仪器需包含但不限于前处理装置、检测装置、数据分析装置，可相互联机工作，亦可分别独立使用。</w:t>
      </w:r>
    </w:p>
    <w:p w14:paraId="7C4FA7F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2、联机工作时从水样的定容、萃取、分离、吸附到进样、分析、检测、清洗、排废等全流程实现自动化。吸附时可自动切换硅酸镁柱，电脑实时提示硅酸镁剩余吸附量。</w:t>
      </w:r>
    </w:p>
    <w:p w14:paraId="434F620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3、分离方式：萃取、分离管、隔水膜三次分离。</w:t>
      </w:r>
    </w:p>
    <w:p w14:paraId="0CF53D2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4、进样器有不少于两个独立取放样窗口，方便样品分析时中途添加。</w:t>
      </w:r>
    </w:p>
    <w:p w14:paraId="13AE124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5、水样萃取、试剂添加、仪器测量、废液排放、萃取液收集，五大模块同时运行，大大提高工作效率。</w:t>
      </w:r>
    </w:p>
    <w:p w14:paraId="7AE29F5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6、自动收集：自带废气处理装置和废液回收装置</w:t>
      </w:r>
    </w:p>
    <w:p w14:paraId="1FE4364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7、自动分离：废液中的试剂与水完全自动分离</w:t>
      </w:r>
    </w:p>
    <w:p w14:paraId="66777F8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8、采用十一通切换阀和精密注射器配合。   </w:t>
      </w:r>
    </w:p>
    <w:p w14:paraId="2AB83AC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9、操作方式：自带触屏电脑，也可外接电脑。</w:t>
      </w:r>
    </w:p>
    <w:p w14:paraId="2E3A2A8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10、远程监控：可用手机远程操作仪器，监控、调取数据</w:t>
      </w:r>
    </w:p>
    <w:p w14:paraId="19B93D2E">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▲11、硅酸镁柱需安装在仪器主机上，可实现实验员手工萃取后，萃取液可自动通过硅酸镁柱吸附后进行测量，无需实验员手工过柱。</w:t>
      </w:r>
    </w:p>
    <w:p w14:paraId="582296D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bCs/>
          <w:sz w:val="24"/>
          <w:szCs w:val="24"/>
        </w:rPr>
        <w:t>二</w:t>
      </w:r>
      <w:r>
        <w:rPr>
          <w:rFonts w:hint="eastAsia" w:ascii="楷体" w:hAnsi="楷体" w:eastAsia="楷体" w:cs="楷体"/>
          <w:b/>
          <w:bCs/>
          <w:sz w:val="24"/>
          <w:szCs w:val="24"/>
          <w:lang w:eastAsia="zh-CN"/>
        </w:rPr>
        <w:t>）</w:t>
      </w:r>
      <w:r>
        <w:rPr>
          <w:rFonts w:hint="eastAsia" w:ascii="楷体" w:hAnsi="楷体" w:eastAsia="楷体" w:cs="楷体"/>
          <w:b/>
          <w:bCs/>
          <w:sz w:val="24"/>
          <w:szCs w:val="24"/>
        </w:rPr>
        <w:t>技术指标</w:t>
      </w:r>
    </w:p>
    <w:p w14:paraId="20D3A1D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1、萃取试剂：四氯乙烯。</w:t>
      </w:r>
    </w:p>
    <w:p w14:paraId="7179B7F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2、全自动进样器的样品位数：≥12位，最多可同时连续做12个水样。   </w:t>
      </w:r>
    </w:p>
    <w:p w14:paraId="78E1835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3、采样方式：广口瓶现场采样，直接上机萃取，自动测量、自动读取水样体积，样品不转移。</w:t>
      </w:r>
    </w:p>
    <w:p w14:paraId="69DFC8F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▲4、体积量取：非接触式自动测量水样体积，避免交叉污染，体积测量误差&lt;2%（不接受探针液面探测法，避免交叉污染）。</w:t>
      </w:r>
    </w:p>
    <w:p w14:paraId="74E0B28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▲5、为避免水样萃取时，有机试剂挥发导致核心部件被腐蚀，切换阀和注射器不允许安装在前处理进样器设备中。</w:t>
      </w:r>
    </w:p>
    <w:p w14:paraId="2704A94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6、自动收集：自带废气处理装置和废液回收装置。</w:t>
      </w:r>
    </w:p>
    <w:p w14:paraId="5A3A665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7、自动分离：废液中的试剂与水完全自动分离。</w:t>
      </w:r>
    </w:p>
    <w:p w14:paraId="4D5D409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8、试剂计量：精密注射器，带细分刻度，便于客户观察抽取试剂的有效体积。</w:t>
      </w:r>
    </w:p>
    <w:p w14:paraId="29173176">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9、操作方式：内置平板触控电脑。专用自动测油分析软件，包含校正、分析、计算等功能。</w:t>
      </w:r>
    </w:p>
    <w:p w14:paraId="24CF2C7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10、远程监控：可用手机远程操作仪器，监控、调取数据；可对接LIMS，实时上传检测数据，科学完善实验管理。</w:t>
      </w:r>
    </w:p>
    <w:p w14:paraId="4B406A0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11、校正方法：标准物质校正、标准曲线校正、单点快速校正。</w:t>
      </w:r>
    </w:p>
    <w:p w14:paraId="481B9C4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12、线性：&gt;0.999</w:t>
      </w:r>
    </w:p>
    <w:p w14:paraId="10AE6476">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13、测量范围：0-50000mg/L，超量程自动稀释。</w:t>
      </w:r>
    </w:p>
    <w:p w14:paraId="5DF1A19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14、分辨率：≤0.001mg/L</w:t>
      </w:r>
    </w:p>
    <w:p w14:paraId="6C8F1FA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15、检出限：≤0.03mg/L   </w:t>
      </w:r>
    </w:p>
    <w:p w14:paraId="5BD1EE6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16、重现性：RSD&lt;2%</w:t>
      </w:r>
    </w:p>
    <w:p w14:paraId="57871F5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17、准确度：±2%</w:t>
      </w:r>
    </w:p>
    <w:p w14:paraId="2603C6C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18、测量波长：2930、2960、3030cm-1</w:t>
      </w:r>
    </w:p>
    <w:p w14:paraId="3CE63D7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19、测量时间：8-12分钟。</w:t>
      </w:r>
    </w:p>
    <w:p w14:paraId="487E71F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20、电源：220V 50Hz </w:t>
      </w:r>
    </w:p>
    <w:p w14:paraId="791E790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仪器配置要求：</w:t>
      </w:r>
      <w:r>
        <w:rPr>
          <w:rFonts w:hint="eastAsia" w:ascii="楷体" w:hAnsi="楷体" w:eastAsia="楷体" w:cs="楷体"/>
          <w:sz w:val="24"/>
          <w:szCs w:val="24"/>
        </w:rPr>
        <w:t xml:space="preserve"> </w:t>
      </w:r>
    </w:p>
    <w:p w14:paraId="49DF752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1、测油仪主机（内置平板触控电脑）1台</w:t>
      </w:r>
    </w:p>
    <w:p w14:paraId="63F0FEF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2、12位全自动定量萃取进样器1台</w:t>
      </w:r>
    </w:p>
    <w:p w14:paraId="5B1A535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3、自动测油分析软件1套</w:t>
      </w:r>
    </w:p>
    <w:p w14:paraId="112FE52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4、广口采样萃取瓶50个</w:t>
      </w:r>
    </w:p>
    <w:p w14:paraId="264FCC4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5、专用采样箱1个</w:t>
      </w:r>
    </w:p>
    <w:p w14:paraId="6B315E4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6、标准耗材配件1套（隔水膜1包、硅酸镁柱20根、过滤膜1包、10升废液桶1个）</w:t>
      </w:r>
    </w:p>
    <w:p w14:paraId="2E86C062">
      <w:pPr>
        <w:autoSpaceDE w:val="0"/>
        <w:autoSpaceDN w:val="0"/>
        <w:adjustRightInd w:val="0"/>
        <w:spacing w:line="420" w:lineRule="exact"/>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四</w:t>
      </w: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售后及</w:t>
      </w:r>
      <w:r>
        <w:rPr>
          <w:rFonts w:hint="eastAsia" w:ascii="楷体" w:hAnsi="楷体" w:eastAsia="楷体" w:cs="楷体"/>
          <w:b/>
          <w:bCs/>
          <w:sz w:val="24"/>
          <w:szCs w:val="24"/>
        </w:rPr>
        <w:t>服务</w:t>
      </w:r>
      <w:r>
        <w:rPr>
          <w:rFonts w:hint="eastAsia" w:ascii="楷体" w:hAnsi="楷体" w:eastAsia="楷体" w:cs="楷体"/>
          <w:b/>
          <w:bCs/>
          <w:sz w:val="24"/>
          <w:szCs w:val="24"/>
          <w:lang w:val="en-US" w:eastAsia="zh-CN"/>
        </w:rPr>
        <w:t>要求</w:t>
      </w:r>
    </w:p>
    <w:p w14:paraId="3209187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1、交货时间及地点：合同签订后2周内，将全新原厂设备发至用户指定地点。</w:t>
      </w:r>
    </w:p>
    <w:p w14:paraId="15CF6EB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2、相关文件：供货方提供详细的操作指南、产品说明书、产品合格证书及供货证明。</w:t>
      </w:r>
    </w:p>
    <w:p w14:paraId="28283EA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3、安装调试：仪器到达用户所在地后，供货方应根据用户安装调试要求7个工作日内上门免费安装、调试。安装调试检验结果应符合制造厂产品标准和用户认可的技术性能。</w:t>
      </w:r>
    </w:p>
    <w:p w14:paraId="33E126D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质保期：货物安装验收后三年。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r>
        <w:rPr>
          <w:rFonts w:hint="eastAsia" w:ascii="楷体" w:hAnsi="楷体" w:eastAsia="楷体" w:cs="楷体"/>
          <w:kern w:val="2"/>
          <w:sz w:val="24"/>
          <w:szCs w:val="24"/>
          <w:lang w:val="en-US" w:eastAsia="zh-CN"/>
        </w:rPr>
        <w:t>在投标文件中</w:t>
      </w:r>
      <w:r>
        <w:rPr>
          <w:rFonts w:hint="eastAsia" w:ascii="楷体" w:hAnsi="楷体" w:eastAsia="楷体" w:cs="楷体"/>
          <w:sz w:val="24"/>
          <w:szCs w:val="24"/>
        </w:rPr>
        <w:t>提供不同维保方式的收费标准及折扣率），并且保证使用方能更换或购买到原厂正宗的零部件及易损件，确保设备的正常使用。</w:t>
      </w:r>
    </w:p>
    <w:p w14:paraId="36886D8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维修服务：供货方在接到买方要求提供服务的电话后，会在15分钟内响应，48小时内到达现场检修仪器。如因非能事先预见的原因（包括没有完成服务所需的零部件）而使派遣的技术人员不能一次通过上门服务完成所需的协议服务，则供货方应承诺将采取有效及快捷之措施，在最短的时间内完成协议规定的维修服务。供货方应终身负责维护维修。</w:t>
      </w:r>
    </w:p>
    <w:p w14:paraId="20981AC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6、硬件维护及软件升级：供货方定期（至少1年1次）提供免费上门维护服务，买方享有免费升级软件的权力，确保仪器软硬件正常使用。</w:t>
      </w:r>
    </w:p>
    <w:p w14:paraId="69AE52C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培训：供货方应免费安装、对使用的技术人员进行现场操作、维修、保养等方面进行培训，不限人数，提供4人次厂家组织的免费培训。所有培训内容应包括仪器的基本原理，操作保养，维修等方面，直到技术人员能独立操作和使用。</w:t>
      </w:r>
    </w:p>
    <w:p w14:paraId="2FCD62D8">
      <w:pPr>
        <w:spacing w:line="420" w:lineRule="exact"/>
        <w:rPr>
          <w:rFonts w:hint="eastAsia" w:ascii="楷体" w:hAnsi="楷体" w:eastAsia="楷体" w:cs="楷体"/>
          <w:b/>
          <w:bCs/>
          <w:sz w:val="24"/>
          <w:szCs w:val="24"/>
        </w:rPr>
      </w:pP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紫外分光测油仪技术及配置要求</w:t>
      </w:r>
    </w:p>
    <w:p w14:paraId="570E47CA">
      <w:pPr>
        <w:autoSpaceDE w:val="0"/>
        <w:autoSpaceDN w:val="0"/>
        <w:adjustRightInd w:val="0"/>
        <w:spacing w:line="420" w:lineRule="exact"/>
        <w:rPr>
          <w:rFonts w:hint="eastAsia" w:ascii="楷体" w:hAnsi="楷体" w:eastAsia="楷体" w:cs="楷体"/>
          <w:b/>
          <w:bCs/>
          <w:sz w:val="24"/>
          <w:szCs w:val="24"/>
        </w:rPr>
      </w:pPr>
      <w:r>
        <w:rPr>
          <w:rFonts w:hint="eastAsia" w:ascii="楷体" w:hAnsi="楷体" w:eastAsia="楷体" w:cs="楷体"/>
          <w:b/>
          <w:bCs/>
          <w:sz w:val="24"/>
          <w:szCs w:val="24"/>
        </w:rPr>
        <w:t>一</w:t>
      </w: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技术参数</w:t>
      </w:r>
      <w:r>
        <w:rPr>
          <w:rFonts w:hint="eastAsia" w:ascii="楷体" w:hAnsi="楷体" w:eastAsia="楷体" w:cs="楷体"/>
          <w:b/>
          <w:bCs/>
          <w:sz w:val="24"/>
          <w:szCs w:val="24"/>
        </w:rPr>
        <w:t>要求</w:t>
      </w:r>
    </w:p>
    <w:p w14:paraId="4F976F9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1、采用高精度进口注射泵，可任意选定正己烷用量，准确注射，试剂注射、萃取、分离自动完成，自带反冲洗功能，无交叉污染。</w:t>
      </w:r>
    </w:p>
    <w:p w14:paraId="4EBB76A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2、单台进样器的样品位数不少于10位，全自动进样器放置水样的底盘采用椭圆型链条式转盘，链条式转盘可以无限循环转动，实现无限循环做样。（提供水样底盘的高清实物图片证明材料）</w:t>
      </w:r>
    </w:p>
    <w:p w14:paraId="1E17E6C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进样器具有多套独立上下运行的机械臂；正己烷的添加、水样的萃取、废液的排放和萃取液的收集各由一套独立的机械臂控制完成；三套机械臂可同时上下运行，也可独立运行，实现不少于4个样品同时作业，提高工作效率。每个机械臂均采用闭环设计，具有撞针报警，自动停止功能。(提供产品彩页等证明文件)</w:t>
      </w:r>
    </w:p>
    <w:p w14:paraId="1F63143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4、水样体积读取有自动和手动两种方式可供选择。仪器采用探针液面探测技术自动测量水样体积。</w:t>
      </w:r>
    </w:p>
    <w:p w14:paraId="048E7F3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5、仪器主机上自带工控机系统，一套软件中同时拥有手动、自动两种操作模式。</w:t>
      </w:r>
    </w:p>
    <w:p w14:paraId="5D631CB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软件有自动配置标准曲线和手工做标准曲线的功能，自动配标准曲线要求：按照国家标准方法《水质石油类的测定紫外分光光度法》（HJ970-2018）中8.1配置标准曲线的要求，自动配置标准曲线，标准曲线的每个点都要从石油类标准使用液中取液稀释，浓度16mg/L-100mg/L均可，浓度从低到高和浓度从高到低两种配置方式都可以操作，而且线性都可以达到≥0.9999。（提供产品彩页等证明文件）</w:t>
      </w:r>
    </w:p>
    <w:p w14:paraId="6021A25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7、注射泵重复7次注射25ml重量法称重 RSD&lt;0.05%，重复7次注射2.5ml重量法称重RSD&lt;0.5%；采用闭环设计，管路堵塞造成压力过大时会立即报警，并停止运行；阀在旋转不到位时，软件会立即报警，并停止运行。</w:t>
      </w:r>
    </w:p>
    <w:p w14:paraId="74F1746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▲8、多通道陶瓷旋转阀和注射泵直接相接，中间不需要用管线连接，最大程度减少交叉污染，减少清洗试剂的用量。为了避免机械部件运动影响测量的准确性，注射泵及多通阀不能安装在测量主机上。</w:t>
      </w:r>
    </w:p>
    <w:p w14:paraId="65DB601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9、为方便放置和取出采样瓶，也为了防止萃取过程中酸性物质挥发导致机械臂腐蚀，机械臂不能安装在进样器转盘中间。</w:t>
      </w:r>
    </w:p>
    <w:p w14:paraId="2D32672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10、注射泵使用寿命不低于400万次。</w:t>
      </w:r>
    </w:p>
    <w:p w14:paraId="2C268A62">
      <w:pPr>
        <w:autoSpaceDE w:val="0"/>
        <w:autoSpaceDN w:val="0"/>
        <w:adjustRightInd w:val="0"/>
        <w:spacing w:line="420" w:lineRule="exact"/>
        <w:rPr>
          <w:rFonts w:hint="eastAsia" w:ascii="楷体" w:hAnsi="楷体" w:eastAsia="楷体" w:cs="楷体"/>
          <w:b/>
          <w:bCs/>
          <w:sz w:val="24"/>
          <w:szCs w:val="24"/>
        </w:rPr>
      </w:pPr>
      <w:r>
        <w:rPr>
          <w:rFonts w:hint="eastAsia" w:ascii="楷体" w:hAnsi="楷体" w:eastAsia="楷体" w:cs="楷体"/>
          <w:b/>
          <w:bCs/>
          <w:sz w:val="24"/>
          <w:szCs w:val="24"/>
        </w:rPr>
        <w:t>二</w:t>
      </w:r>
      <w:r>
        <w:rPr>
          <w:rFonts w:hint="eastAsia" w:ascii="楷体" w:hAnsi="楷体" w:eastAsia="楷体" w:cs="楷体"/>
          <w:b/>
          <w:bCs/>
          <w:sz w:val="24"/>
          <w:szCs w:val="24"/>
          <w:lang w:eastAsia="zh-CN"/>
        </w:rPr>
        <w:t>）</w:t>
      </w:r>
      <w:r>
        <w:rPr>
          <w:rFonts w:hint="eastAsia" w:ascii="楷体" w:hAnsi="楷体" w:eastAsia="楷体" w:cs="楷体"/>
          <w:b/>
          <w:bCs/>
          <w:sz w:val="24"/>
          <w:szCs w:val="24"/>
        </w:rPr>
        <w:t>配置要求</w:t>
      </w:r>
    </w:p>
    <w:p w14:paraId="6D22CBB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1、全自动紫外分光测油仪主机1台</w:t>
      </w:r>
    </w:p>
    <w:p w14:paraId="586F920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2、全自动进样器1台</w:t>
      </w:r>
    </w:p>
    <w:p w14:paraId="3FDAB67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3、系统操作软1套</w:t>
      </w:r>
    </w:p>
    <w:p w14:paraId="4C75729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4、专用萃取瓶配备50个</w:t>
      </w:r>
    </w:p>
    <w:p w14:paraId="3ED71D1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5、硅酸镁柱20根</w:t>
      </w:r>
    </w:p>
    <w:p w14:paraId="7F29030E">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6、过滤膜100片</w:t>
      </w:r>
    </w:p>
    <w:p w14:paraId="60B0F27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7、除水膜5片</w:t>
      </w:r>
    </w:p>
    <w:p w14:paraId="1E2E1414">
      <w:pPr>
        <w:autoSpaceDE w:val="0"/>
        <w:autoSpaceDN w:val="0"/>
        <w:adjustRightInd w:val="0"/>
        <w:spacing w:line="420" w:lineRule="exact"/>
        <w:rPr>
          <w:rFonts w:hint="eastAsia" w:ascii="楷体" w:hAnsi="楷体" w:eastAsia="楷体" w:cs="楷体"/>
          <w:b/>
          <w:bCs/>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技术指标：</w:t>
      </w:r>
    </w:p>
    <w:p w14:paraId="3E8BBE4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1、萃取试剂：正己烷</w:t>
      </w:r>
    </w:p>
    <w:p w14:paraId="7E97664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2、测量方法：紫外分光光度法</w:t>
      </w:r>
    </w:p>
    <w:p w14:paraId="21F1FE3E">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3、测量项目：石油类</w:t>
      </w:r>
    </w:p>
    <w:p w14:paraId="747E895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4、水样种类：地表水、地下水和海水中的石油类</w:t>
      </w:r>
    </w:p>
    <w:p w14:paraId="1E90217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5、分离方式：膜分离</w:t>
      </w:r>
    </w:p>
    <w:p w14:paraId="3CB6E2B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6、采样方式：专用样品瓶，水样无需转移，自动测量</w:t>
      </w:r>
    </w:p>
    <w:p w14:paraId="3CF6743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7、试剂回收：过程全自动密闭完成，自动收集废液、废气。</w:t>
      </w:r>
    </w:p>
    <w:p w14:paraId="60FDD28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8、萃取：搅拌萃取，萃取率＞95%</w:t>
      </w:r>
    </w:p>
    <w:p w14:paraId="2FC7CCF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9、样本位数：≥10位</w:t>
      </w:r>
    </w:p>
    <w:p w14:paraId="0ED08A0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10、测量范围：0-50mg/L，超量程自动稀释</w:t>
      </w:r>
    </w:p>
    <w:p w14:paraId="16534A9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11、分辨率：≤0.001mg/L</w:t>
      </w:r>
    </w:p>
    <w:p w14:paraId="06E2B56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12、检出限：≤0.005mg/L</w:t>
      </w:r>
    </w:p>
    <w:p w14:paraId="483F501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13、重现性：RSD&lt;2%</w:t>
      </w:r>
    </w:p>
    <w:p w14:paraId="05EB9AA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14、仪器线性：R≥0.9999</w:t>
      </w:r>
    </w:p>
    <w:p w14:paraId="66313EE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15、准确度：≤±5%</w:t>
      </w:r>
    </w:p>
    <w:p w14:paraId="7EE91ED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16、波数波长：225nm</w:t>
      </w:r>
    </w:p>
    <w:p w14:paraId="0F7F287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17、波长准确度：≤0.5nm</w:t>
      </w:r>
    </w:p>
    <w:p w14:paraId="16FE835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18、波数重复性：≤0.2nm</w:t>
      </w:r>
    </w:p>
    <w:p w14:paraId="58B4EE1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19、加标回收率≥90%</w:t>
      </w:r>
    </w:p>
    <w:p w14:paraId="74C5C15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20、分析速度：连续测量，单个样品时间不超过8分钟</w:t>
      </w:r>
    </w:p>
    <w:p w14:paraId="127EC400">
      <w:pPr>
        <w:autoSpaceDE w:val="0"/>
        <w:autoSpaceDN w:val="0"/>
        <w:adjustRightInd w:val="0"/>
        <w:spacing w:line="420" w:lineRule="exact"/>
        <w:rPr>
          <w:rFonts w:hint="eastAsia" w:ascii="楷体" w:hAnsi="楷体" w:eastAsia="楷体" w:cs="楷体"/>
          <w:b/>
          <w:bCs/>
          <w:sz w:val="24"/>
          <w:szCs w:val="24"/>
        </w:rPr>
      </w:pPr>
      <w:r>
        <w:rPr>
          <w:rFonts w:hint="eastAsia" w:ascii="楷体" w:hAnsi="楷体" w:eastAsia="楷体" w:cs="楷体"/>
          <w:b/>
          <w:bCs/>
          <w:sz w:val="24"/>
          <w:szCs w:val="24"/>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bCs/>
          <w:sz w:val="24"/>
          <w:szCs w:val="24"/>
          <w:lang w:val="en-US" w:eastAsia="zh-CN"/>
        </w:rPr>
        <w:t>及</w:t>
      </w:r>
      <w:r>
        <w:rPr>
          <w:rFonts w:hint="eastAsia" w:ascii="楷体" w:hAnsi="楷体" w:eastAsia="楷体" w:cs="楷体"/>
          <w:b/>
          <w:bCs/>
          <w:sz w:val="24"/>
          <w:szCs w:val="24"/>
        </w:rPr>
        <w:t>服务要求：</w:t>
      </w:r>
    </w:p>
    <w:p w14:paraId="260A4E3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质保期为货物安装验收后三年。保修期间，提供免费上门维修、更换非人为原因损坏零部件及技术咨询服务。质保期外，根据书面协议约定的相关零配件价格和维修报告收费。免费质保期满后，供货方应主动提供在设备设计使用周期内的有偿包修方案（</w:t>
      </w:r>
      <w:r>
        <w:rPr>
          <w:rFonts w:hint="eastAsia" w:ascii="楷体" w:hAnsi="楷体" w:eastAsia="楷体" w:cs="楷体"/>
          <w:kern w:val="2"/>
          <w:sz w:val="24"/>
          <w:szCs w:val="24"/>
          <w:lang w:val="en-US" w:eastAsia="zh-CN"/>
        </w:rPr>
        <w:t>在投标文件中</w:t>
      </w:r>
      <w:r>
        <w:rPr>
          <w:rFonts w:hint="eastAsia" w:ascii="楷体" w:hAnsi="楷体" w:eastAsia="楷体" w:cs="楷体"/>
          <w:sz w:val="24"/>
          <w:szCs w:val="24"/>
        </w:rPr>
        <w:t>提供不同维保方式的收费标准及折扣率）。</w:t>
      </w:r>
    </w:p>
    <w:p w14:paraId="412322C9">
      <w:pPr>
        <w:autoSpaceDE w:val="0"/>
        <w:autoSpaceDN w:val="0"/>
        <w:adjustRightInd w:val="0"/>
        <w:spacing w:line="420" w:lineRule="exact"/>
        <w:rPr>
          <w:rFonts w:hint="eastAsia" w:ascii="楷体" w:hAnsi="楷体" w:eastAsia="楷体" w:cs="楷体"/>
          <w:sz w:val="24"/>
          <w:szCs w:val="24"/>
          <w:highlight w:val="red"/>
        </w:rPr>
      </w:pPr>
      <w:r>
        <w:rPr>
          <w:rFonts w:hint="eastAsia" w:ascii="楷体" w:hAnsi="楷体" w:eastAsia="楷体" w:cs="楷体"/>
          <w:sz w:val="24"/>
          <w:szCs w:val="24"/>
        </w:rPr>
        <w:t>2、在保修期结束后，保证10年内提供备件、配件及试剂供应。</w:t>
      </w:r>
    </w:p>
    <w:p w14:paraId="62FD843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3、保证产品为最新原厂设备。合同签订后一个月，供货方将全新原厂设备发至用户指定地点。供货方提供详细的操作指南、产品说明书、产品合格证书及供货证明。</w:t>
      </w:r>
    </w:p>
    <w:p w14:paraId="52AB2E7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4、仪器一旦出现问题要求1小时内做出响应，24小时到现场服务。</w:t>
      </w:r>
    </w:p>
    <w:p w14:paraId="4B85751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供货方应免费安装、对使用的技术人员进行现场操作、维修、保养等方面进行培训，不限人数，提供4人次厂家组织的免费培训。所有培训内容应包括仪器的基本原理，操作保养，维修等方面，直到技术人员能独立操作和使用。</w:t>
      </w:r>
    </w:p>
    <w:p w14:paraId="72D6904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6、硬件维护及软件升级：供货方定期（至少1年1次）提供免费上门维护服务，买方享有免费升级软件的权力，确保仪器软硬件正常使用。</w:t>
      </w:r>
    </w:p>
    <w:p w14:paraId="24AE6569">
      <w:pPr>
        <w:spacing w:line="420" w:lineRule="exact"/>
        <w:jc w:val="center"/>
        <w:rPr>
          <w:rFonts w:hint="eastAsia" w:ascii="楷体" w:hAnsi="楷体" w:eastAsia="楷体" w:cs="楷体"/>
          <w:b/>
          <w:bCs/>
          <w:sz w:val="24"/>
          <w:szCs w:val="24"/>
        </w:rPr>
      </w:pPr>
    </w:p>
    <w:p w14:paraId="7EBA33EE">
      <w:pPr>
        <w:spacing w:line="420" w:lineRule="exact"/>
        <w:rPr>
          <w:rFonts w:hint="eastAsia" w:ascii="楷体" w:hAnsi="楷体" w:eastAsia="楷体" w:cs="楷体"/>
          <w:b/>
          <w:bCs/>
          <w:sz w:val="24"/>
          <w:szCs w:val="24"/>
        </w:rPr>
      </w:pP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微波消解仪技术及配置要求</w:t>
      </w:r>
    </w:p>
    <w:p w14:paraId="287EF062">
      <w:pPr>
        <w:pStyle w:val="237"/>
        <w:spacing w:line="420" w:lineRule="exact"/>
        <w:ind w:firstLine="0" w:firstLineChars="0"/>
        <w:rPr>
          <w:rFonts w:hint="eastAsia" w:ascii="楷体" w:hAnsi="楷体" w:eastAsia="楷体" w:cs="楷体"/>
          <w:b/>
          <w:bCs/>
          <w:sz w:val="24"/>
          <w:szCs w:val="24"/>
        </w:rPr>
      </w:pPr>
      <w:r>
        <w:rPr>
          <w:rFonts w:hint="eastAsia" w:ascii="楷体" w:hAnsi="楷体" w:eastAsia="楷体" w:cs="楷体"/>
          <w:b/>
          <w:bCs/>
          <w:sz w:val="24"/>
          <w:szCs w:val="24"/>
          <w:lang w:val="en-US" w:eastAsia="zh-CN"/>
        </w:rPr>
        <w:t>一)</w:t>
      </w:r>
      <w:r>
        <w:rPr>
          <w:rFonts w:hint="eastAsia" w:ascii="楷体" w:hAnsi="楷体" w:eastAsia="楷体" w:cs="楷体"/>
          <w:b/>
          <w:bCs/>
          <w:sz w:val="24"/>
          <w:szCs w:val="24"/>
        </w:rPr>
        <w:t>基本性能</w:t>
      </w:r>
    </w:p>
    <w:p w14:paraId="0313C75E">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1.消解方式</w:t>
      </w:r>
    </w:p>
    <w:p w14:paraId="16EC4F80">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微波密闭消解模式，批量处理，确保挥发性元素回收率。</w:t>
      </w:r>
      <w:r>
        <w:rPr>
          <w:rFonts w:hint="eastAsia" w:ascii="楷体" w:hAnsi="楷体" w:eastAsia="楷体" w:cs="楷体"/>
          <w:sz w:val="24"/>
          <w:szCs w:val="24"/>
          <w:lang w:val="zh-TW" w:eastAsia="zh-TW"/>
        </w:rPr>
        <w:t>用于土壤</w:t>
      </w:r>
      <w:r>
        <w:rPr>
          <w:rFonts w:hint="eastAsia" w:ascii="楷体" w:hAnsi="楷体" w:eastAsia="楷体" w:cs="楷体"/>
          <w:sz w:val="24"/>
          <w:szCs w:val="24"/>
          <w:lang w:val="zh-TW"/>
        </w:rPr>
        <w:t>、</w:t>
      </w:r>
      <w:r>
        <w:rPr>
          <w:rFonts w:hint="eastAsia" w:ascii="楷体" w:hAnsi="楷体" w:eastAsia="楷体" w:cs="楷体"/>
          <w:sz w:val="24"/>
          <w:szCs w:val="24"/>
          <w:lang w:val="zh-TW" w:eastAsia="zh-TW"/>
        </w:rPr>
        <w:t>食品</w:t>
      </w:r>
      <w:r>
        <w:rPr>
          <w:rFonts w:hint="eastAsia" w:ascii="楷体" w:hAnsi="楷体" w:eastAsia="楷体" w:cs="楷体"/>
          <w:sz w:val="24"/>
          <w:szCs w:val="24"/>
          <w:lang w:val="zh-TW"/>
        </w:rPr>
        <w:t>、</w:t>
      </w:r>
      <w:r>
        <w:rPr>
          <w:rFonts w:hint="eastAsia" w:ascii="楷体" w:hAnsi="楷体" w:eastAsia="楷体" w:cs="楷体"/>
          <w:sz w:val="24"/>
          <w:szCs w:val="24"/>
          <w:lang w:val="zh-TW" w:eastAsia="zh-TW"/>
        </w:rPr>
        <w:t>农产品等</w:t>
      </w:r>
      <w:r>
        <w:rPr>
          <w:rFonts w:hint="eastAsia" w:ascii="楷体" w:hAnsi="楷体" w:eastAsia="楷体" w:cs="楷体"/>
          <w:sz w:val="24"/>
          <w:szCs w:val="24"/>
          <w:lang w:val="zh-TW"/>
        </w:rPr>
        <w:t>各类</w:t>
      </w:r>
      <w:r>
        <w:rPr>
          <w:rFonts w:hint="eastAsia" w:ascii="楷体" w:hAnsi="楷体" w:eastAsia="楷体" w:cs="楷体"/>
          <w:sz w:val="24"/>
          <w:szCs w:val="24"/>
          <w:lang w:val="zh-TW" w:eastAsia="zh-TW"/>
        </w:rPr>
        <w:t>样品的酸消解、溶剂萃取等样品前处理，为</w:t>
      </w:r>
      <w:r>
        <w:rPr>
          <w:rFonts w:hint="eastAsia" w:ascii="楷体" w:hAnsi="楷体" w:eastAsia="楷体" w:cs="楷体"/>
          <w:sz w:val="24"/>
          <w:szCs w:val="24"/>
        </w:rPr>
        <w:t>AAS</w:t>
      </w:r>
      <w:r>
        <w:rPr>
          <w:rFonts w:hint="eastAsia" w:ascii="楷体" w:hAnsi="楷体" w:eastAsia="楷体" w:cs="楷体"/>
          <w:sz w:val="24"/>
          <w:szCs w:val="24"/>
          <w:lang w:val="zh-TW" w:eastAsia="zh-TW"/>
        </w:rPr>
        <w:t>，</w:t>
      </w:r>
      <w:r>
        <w:rPr>
          <w:rFonts w:hint="eastAsia" w:ascii="楷体" w:hAnsi="楷体" w:eastAsia="楷体" w:cs="楷体"/>
          <w:sz w:val="24"/>
          <w:szCs w:val="24"/>
        </w:rPr>
        <w:t>ICP</w:t>
      </w:r>
      <w:r>
        <w:rPr>
          <w:rFonts w:hint="eastAsia" w:ascii="楷体" w:hAnsi="楷体" w:eastAsia="楷体" w:cs="楷体"/>
          <w:sz w:val="24"/>
          <w:szCs w:val="24"/>
          <w:lang w:val="zh-TW" w:eastAsia="zh-TW"/>
        </w:rPr>
        <w:t>，</w:t>
      </w:r>
      <w:r>
        <w:rPr>
          <w:rFonts w:hint="eastAsia" w:ascii="楷体" w:hAnsi="楷体" w:eastAsia="楷体" w:cs="楷体"/>
          <w:sz w:val="24"/>
          <w:szCs w:val="24"/>
        </w:rPr>
        <w:t>ICP-MS</w:t>
      </w:r>
      <w:r>
        <w:rPr>
          <w:rFonts w:hint="eastAsia" w:ascii="楷体" w:hAnsi="楷体" w:eastAsia="楷体" w:cs="楷体"/>
          <w:sz w:val="24"/>
          <w:szCs w:val="24"/>
          <w:lang w:val="zh-TW" w:eastAsia="zh-TW"/>
        </w:rPr>
        <w:t>等仪器提供样品制备。</w:t>
      </w:r>
    </w:p>
    <w:p w14:paraId="705D562D">
      <w:pPr>
        <w:pStyle w:val="237"/>
        <w:spacing w:line="420" w:lineRule="exact"/>
        <w:ind w:firstLine="0" w:firstLineChars="0"/>
        <w:rPr>
          <w:rFonts w:hint="eastAsia" w:ascii="楷体" w:hAnsi="楷体" w:eastAsia="楷体" w:cs="楷体"/>
          <w:b/>
          <w:bCs/>
          <w:sz w:val="24"/>
          <w:szCs w:val="24"/>
        </w:rPr>
      </w:pPr>
      <w:r>
        <w:rPr>
          <w:rFonts w:hint="eastAsia" w:ascii="楷体" w:hAnsi="楷体" w:eastAsia="楷体" w:cs="楷体"/>
          <w:b/>
          <w:bCs/>
          <w:sz w:val="24"/>
          <w:szCs w:val="24"/>
          <w:lang w:val="en-US" w:eastAsia="zh-CN"/>
        </w:rPr>
        <w:t>二</w:t>
      </w:r>
      <w:r>
        <w:rPr>
          <w:rFonts w:hint="eastAsia" w:ascii="楷体" w:hAnsi="楷体" w:eastAsia="楷体" w:cs="楷体"/>
          <w:b/>
          <w:bCs/>
          <w:sz w:val="24"/>
          <w:szCs w:val="24"/>
          <w:lang w:eastAsia="zh-CN"/>
        </w:rPr>
        <w:t>）</w:t>
      </w:r>
      <w:r>
        <w:rPr>
          <w:rFonts w:hint="eastAsia" w:ascii="楷体" w:hAnsi="楷体" w:eastAsia="楷体" w:cs="楷体"/>
          <w:b/>
          <w:bCs/>
          <w:sz w:val="24"/>
          <w:szCs w:val="24"/>
        </w:rPr>
        <w:t>工作环境</w:t>
      </w:r>
    </w:p>
    <w:p w14:paraId="28168D7E">
      <w:pPr>
        <w:spacing w:line="420" w:lineRule="exact"/>
        <w:rPr>
          <w:rFonts w:hint="eastAsia" w:ascii="楷体" w:hAnsi="楷体" w:eastAsia="楷体" w:cs="楷体"/>
          <w:sz w:val="24"/>
          <w:szCs w:val="24"/>
        </w:rPr>
      </w:pPr>
      <w:r>
        <w:rPr>
          <w:rFonts w:hint="eastAsia" w:ascii="楷体" w:hAnsi="楷体" w:eastAsia="楷体" w:cs="楷体"/>
          <w:sz w:val="24"/>
          <w:szCs w:val="24"/>
        </w:rPr>
        <w:t>2.1 工作电压:220V±10%</w:t>
      </w:r>
    </w:p>
    <w:p w14:paraId="3B1A502E">
      <w:pPr>
        <w:spacing w:line="420" w:lineRule="exact"/>
        <w:rPr>
          <w:rFonts w:hint="eastAsia" w:ascii="楷体" w:hAnsi="楷体" w:eastAsia="楷体" w:cs="楷体"/>
          <w:sz w:val="24"/>
          <w:szCs w:val="24"/>
        </w:rPr>
      </w:pPr>
      <w:r>
        <w:rPr>
          <w:rFonts w:hint="eastAsia" w:ascii="楷体" w:hAnsi="楷体" w:eastAsia="楷体" w:cs="楷体"/>
          <w:sz w:val="24"/>
          <w:szCs w:val="24"/>
        </w:rPr>
        <w:t>2.2 工作温度:5-40℃</w:t>
      </w:r>
    </w:p>
    <w:p w14:paraId="53330D7C">
      <w:pPr>
        <w:spacing w:line="420" w:lineRule="exact"/>
        <w:rPr>
          <w:rFonts w:hint="eastAsia" w:ascii="楷体" w:hAnsi="楷体" w:eastAsia="楷体" w:cs="楷体"/>
          <w:sz w:val="24"/>
          <w:szCs w:val="24"/>
        </w:rPr>
      </w:pPr>
      <w:r>
        <w:rPr>
          <w:rFonts w:hint="eastAsia" w:ascii="楷体" w:hAnsi="楷体" w:eastAsia="楷体" w:cs="楷体"/>
          <w:sz w:val="24"/>
          <w:szCs w:val="24"/>
        </w:rPr>
        <w:t>2.3 工作湿度:15-80%</w:t>
      </w:r>
    </w:p>
    <w:p w14:paraId="442E7E5C">
      <w:pPr>
        <w:spacing w:line="420" w:lineRule="exact"/>
        <w:outlineLvl w:val="3"/>
        <w:rPr>
          <w:rFonts w:hint="eastAsia" w:ascii="楷体" w:hAnsi="楷体" w:eastAsia="楷体" w:cs="楷体"/>
          <w:b/>
          <w:bCs/>
          <w:sz w:val="24"/>
          <w:szCs w:val="24"/>
        </w:rPr>
      </w:pPr>
      <w:r>
        <w:rPr>
          <w:rFonts w:hint="eastAsia" w:ascii="楷体" w:hAnsi="楷体" w:eastAsia="楷体" w:cs="楷体"/>
          <w:b/>
          <w:bCs/>
          <w:sz w:val="24"/>
          <w:szCs w:val="24"/>
          <w:lang w:val="en-US" w:eastAsia="zh-CN"/>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技术参数：</w:t>
      </w:r>
    </w:p>
    <w:p w14:paraId="3A864559">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 主机</w:t>
      </w:r>
    </w:p>
    <w:p w14:paraId="1A9E57ED">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.1.1 双磁控管非脉冲变频控制系统双向二维排布，微波最大输出功率≥2000W，高频闭环反馈控制实时调节微波输出功率，保证腔体内微波磁场均匀，确保实验样品消解的一致性。</w:t>
      </w:r>
    </w:p>
    <w:p w14:paraId="581D60B8">
      <w:pPr>
        <w:spacing w:line="420" w:lineRule="exact"/>
        <w:rPr>
          <w:rFonts w:hint="eastAsia" w:ascii="楷体" w:hAnsi="楷体" w:eastAsia="楷体" w:cs="楷体"/>
          <w:sz w:val="24"/>
          <w:szCs w:val="24"/>
          <w:lang w:val="zh-CN"/>
        </w:rPr>
      </w:pPr>
      <w:r>
        <w:rPr>
          <w:rFonts w:hint="eastAsia" w:ascii="楷体" w:hAnsi="楷体" w:eastAsia="楷体" w:cs="楷体"/>
          <w:b/>
          <w:sz w:val="24"/>
          <w:szCs w:val="24"/>
        </w:rPr>
        <w:t>#</w:t>
      </w:r>
      <w:r>
        <w:rPr>
          <w:rFonts w:hint="eastAsia" w:ascii="楷体" w:hAnsi="楷体" w:eastAsia="楷体" w:cs="楷体"/>
          <w:sz w:val="24"/>
          <w:szCs w:val="24"/>
        </w:rPr>
        <w:t>3</w:t>
      </w:r>
      <w:r>
        <w:rPr>
          <w:rFonts w:hint="eastAsia" w:ascii="楷体" w:hAnsi="楷体" w:eastAsia="楷体" w:cs="楷体"/>
          <w:sz w:val="24"/>
          <w:szCs w:val="24"/>
          <w:lang w:val="zh-CN"/>
        </w:rPr>
        <w:t>.1.2 炉腔为316L材质不锈钢谐振腔，体积≥6</w:t>
      </w:r>
      <w:r>
        <w:rPr>
          <w:rFonts w:hint="eastAsia" w:ascii="楷体" w:hAnsi="楷体" w:eastAsia="楷体" w:cs="楷体"/>
          <w:sz w:val="24"/>
          <w:szCs w:val="24"/>
        </w:rPr>
        <w:t>0</w:t>
      </w:r>
      <w:r>
        <w:rPr>
          <w:rFonts w:hint="eastAsia" w:ascii="楷体" w:hAnsi="楷体" w:eastAsia="楷体" w:cs="楷体"/>
          <w:sz w:val="24"/>
          <w:szCs w:val="24"/>
          <w:lang w:val="zh-CN"/>
        </w:rPr>
        <w:t>L，喷涂多层特氟龙涂层，耐各种酸碱溶剂腐蚀及高温，炉腔5年质保。</w:t>
      </w:r>
    </w:p>
    <w:p w14:paraId="7163E2AD">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.1.3 安全门三维定向防爆机制设计，配备防爆可视窗，具有一体化抗流槽结构，提供高强度的防爆能力的同时防止腔内微波泄露。</w:t>
      </w:r>
    </w:p>
    <w:p w14:paraId="1A18148F">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.1.4 具备机械和电子双重门锁，非低于安全温度无法打开炉门，安全温度可设置，以保证使用安全；具备感应自动开门功能，非工作状态下无需按压门锁或屏幕即可感应开门，使用更加便捷。</w:t>
      </w:r>
    </w:p>
    <w:p w14:paraId="6135D2DE">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.1.5 视频影像监控系统：炉腔内置摄像头，主机配备7寸彩色触摸屏及7寸彩色视频监控屏，可实时显示实验参数及温压变化曲线，又可同时清晰观察炉腔内部工作影像，实验状态一目了然。</w:t>
      </w:r>
    </w:p>
    <w:p w14:paraId="7AAA4AE6">
      <w:pPr>
        <w:spacing w:line="420" w:lineRule="exact"/>
        <w:rPr>
          <w:rFonts w:hint="eastAsia" w:ascii="楷体" w:hAnsi="楷体" w:eastAsia="楷体" w:cs="楷体"/>
          <w:sz w:val="24"/>
          <w:szCs w:val="24"/>
          <w:lang w:val="zh-CN"/>
        </w:rPr>
      </w:pPr>
      <w:r>
        <w:rPr>
          <w:rFonts w:hint="eastAsia" w:ascii="楷体" w:hAnsi="楷体" w:eastAsia="楷体" w:cs="楷体"/>
          <w:b/>
          <w:sz w:val="24"/>
          <w:szCs w:val="24"/>
        </w:rPr>
        <w:t>#</w:t>
      </w:r>
      <w:r>
        <w:rPr>
          <w:rFonts w:hint="eastAsia" w:ascii="楷体" w:hAnsi="楷体" w:eastAsia="楷体" w:cs="楷体"/>
          <w:sz w:val="24"/>
          <w:szCs w:val="24"/>
        </w:rPr>
        <w:t>3</w:t>
      </w:r>
      <w:r>
        <w:rPr>
          <w:rFonts w:hint="eastAsia" w:ascii="楷体" w:hAnsi="楷体" w:eastAsia="楷体" w:cs="楷体"/>
          <w:sz w:val="24"/>
          <w:szCs w:val="24"/>
          <w:lang w:val="zh-CN"/>
        </w:rPr>
        <w:t>.1.6 灯光识别系统：具有≥4种颜色变化功能，可远距离通过可视窗观察灯光变化，掌握机器运行状态。</w:t>
      </w:r>
    </w:p>
    <w:p w14:paraId="2B144639">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.1.7 炉腔配备大功率排风系统，风量可根据实验进程自动调整，各种反应可在通风、安全且易于观察的环境下长时间连续进行，采用腔内强制风冷/腔外自然风冷等冷却方式。</w:t>
      </w:r>
    </w:p>
    <w:p w14:paraId="46B18635">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.1.</w:t>
      </w:r>
      <w:r>
        <w:rPr>
          <w:rFonts w:hint="eastAsia" w:ascii="楷体" w:hAnsi="楷体" w:eastAsia="楷体" w:cs="楷体"/>
          <w:sz w:val="24"/>
          <w:szCs w:val="24"/>
        </w:rPr>
        <w:t>8配置高灵敏度溶剂监控系统，能够实时监测腔内溶剂泄漏情况，有效消除合成萃取实验过程的安全隐患。</w:t>
      </w:r>
    </w:p>
    <w:p w14:paraId="0E848D1C">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.2 温度、压力控制系统</w:t>
      </w:r>
    </w:p>
    <w:p w14:paraId="0F4F38C4">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.2.1 全罐测温：采用非接触式中红外全罐测温技术，直接测量每个消解罐内样品溶液的温度，可对全部消解罐底部而非侧面进行温度扫描，测温范围不小于60-400℃，检测精度±0.1℃；</w:t>
      </w:r>
    </w:p>
    <w:p w14:paraId="6ED1F9A0">
      <w:pPr>
        <w:spacing w:line="420" w:lineRule="exact"/>
        <w:rPr>
          <w:rFonts w:hint="eastAsia" w:ascii="楷体" w:hAnsi="楷体" w:eastAsia="楷体" w:cs="楷体"/>
          <w:sz w:val="24"/>
          <w:szCs w:val="24"/>
        </w:rPr>
      </w:pPr>
      <w:r>
        <w:rPr>
          <w:rFonts w:hint="eastAsia" w:ascii="楷体" w:hAnsi="楷体" w:eastAsia="楷体" w:cs="楷体"/>
          <w:sz w:val="24"/>
          <w:szCs w:val="24"/>
        </w:rPr>
        <w:t>▲3</w:t>
      </w:r>
      <w:r>
        <w:rPr>
          <w:rFonts w:hint="eastAsia" w:ascii="楷体" w:hAnsi="楷体" w:eastAsia="楷体" w:cs="楷体"/>
          <w:sz w:val="24"/>
          <w:szCs w:val="24"/>
          <w:lang w:val="zh-CN"/>
        </w:rPr>
        <w:t>.2.</w:t>
      </w:r>
      <w:r>
        <w:rPr>
          <w:rFonts w:hint="eastAsia" w:ascii="楷体" w:hAnsi="楷体" w:eastAsia="楷体" w:cs="楷体"/>
          <w:sz w:val="24"/>
          <w:szCs w:val="24"/>
        </w:rPr>
        <w:t>2</w:t>
      </w:r>
      <w:r>
        <w:rPr>
          <w:rFonts w:hint="eastAsia" w:ascii="楷体" w:hAnsi="楷体" w:eastAsia="楷体" w:cs="楷体"/>
          <w:sz w:val="24"/>
          <w:szCs w:val="24"/>
          <w:lang w:val="zh-CN"/>
        </w:rPr>
        <w:t xml:space="preserve"> </w:t>
      </w:r>
      <w:r>
        <w:rPr>
          <w:rFonts w:hint="eastAsia" w:ascii="楷体" w:hAnsi="楷体" w:eastAsia="楷体" w:cs="楷体"/>
          <w:sz w:val="24"/>
          <w:szCs w:val="24"/>
        </w:rPr>
        <w:t>配备光纤测温系统，低温段测温准确，也可避免其他插入式测温方式易产生火花等危险，测温范围不小于</w:t>
      </w:r>
      <w:r>
        <w:rPr>
          <w:rFonts w:hint="eastAsia" w:ascii="楷体" w:hAnsi="楷体" w:eastAsia="楷体" w:cs="楷体"/>
          <w:color w:val="000000"/>
          <w:sz w:val="24"/>
          <w:szCs w:val="24"/>
        </w:rPr>
        <w:t>-40℃～305℃，</w:t>
      </w:r>
      <w:r>
        <w:rPr>
          <w:rFonts w:hint="eastAsia" w:ascii="楷体" w:hAnsi="楷体" w:eastAsia="楷体" w:cs="楷体"/>
          <w:sz w:val="24"/>
          <w:szCs w:val="24"/>
        </w:rPr>
        <w:t>检测精度：±0.1℃。</w:t>
      </w:r>
    </w:p>
    <w:p w14:paraId="31D5273C">
      <w:pPr>
        <w:spacing w:line="420" w:lineRule="exact"/>
        <w:rPr>
          <w:rFonts w:hint="eastAsia" w:ascii="楷体" w:hAnsi="楷体" w:eastAsia="楷体" w:cs="楷体"/>
          <w:sz w:val="24"/>
          <w:szCs w:val="24"/>
        </w:rPr>
      </w:pPr>
      <w:r>
        <w:rPr>
          <w:rFonts w:hint="eastAsia" w:ascii="楷体" w:hAnsi="楷体" w:eastAsia="楷体" w:cs="楷体"/>
          <w:sz w:val="24"/>
          <w:szCs w:val="24"/>
        </w:rPr>
        <w:t>3</w:t>
      </w:r>
      <w:r>
        <w:rPr>
          <w:rFonts w:hint="eastAsia" w:ascii="楷体" w:hAnsi="楷体" w:eastAsia="楷体" w:cs="楷体"/>
          <w:sz w:val="24"/>
          <w:szCs w:val="24"/>
          <w:lang w:val="zh-CN"/>
        </w:rPr>
        <w:t>.2.</w:t>
      </w:r>
      <w:r>
        <w:rPr>
          <w:rFonts w:hint="eastAsia" w:ascii="楷体" w:hAnsi="楷体" w:eastAsia="楷体" w:cs="楷体"/>
          <w:sz w:val="24"/>
          <w:szCs w:val="24"/>
        </w:rPr>
        <w:t>3主控罐测压：采用高精度压力传感器，可实时显示压力数值，传感器测压范围不小于0-15MPa，检测精度±0.01MPa或1PSI；</w:t>
      </w:r>
    </w:p>
    <w:p w14:paraId="0DD07FFD">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.2.</w:t>
      </w:r>
      <w:r>
        <w:rPr>
          <w:rFonts w:hint="eastAsia" w:ascii="楷体" w:hAnsi="楷体" w:eastAsia="楷体" w:cs="楷体"/>
          <w:sz w:val="24"/>
          <w:szCs w:val="24"/>
        </w:rPr>
        <w:t>4</w:t>
      </w:r>
      <w:r>
        <w:rPr>
          <w:rFonts w:hint="eastAsia" w:ascii="楷体" w:hAnsi="楷体" w:eastAsia="楷体" w:cs="楷体"/>
          <w:sz w:val="24"/>
          <w:szCs w:val="24"/>
          <w:lang w:val="zh-CN"/>
        </w:rPr>
        <w:t>全罐控压：实时监控每个消解罐内压力变化，具备弹性泄压自密封技术，无须任何消耗品，可在压力过高时及时释放多余压力并继续保持消解罐密封状态。</w:t>
      </w:r>
    </w:p>
    <w:p w14:paraId="59FC6507">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.2.</w:t>
      </w:r>
      <w:r>
        <w:rPr>
          <w:rFonts w:hint="eastAsia" w:ascii="楷体" w:hAnsi="楷体" w:eastAsia="楷体" w:cs="楷体"/>
          <w:sz w:val="24"/>
          <w:szCs w:val="24"/>
        </w:rPr>
        <w:t>5</w:t>
      </w:r>
      <w:r>
        <w:rPr>
          <w:rFonts w:hint="eastAsia" w:ascii="楷体" w:hAnsi="楷体" w:eastAsia="楷体" w:cs="楷体"/>
          <w:sz w:val="24"/>
          <w:szCs w:val="24"/>
          <w:lang w:val="zh-CN"/>
        </w:rPr>
        <w:t xml:space="preserve"> 配备</w:t>
      </w:r>
      <w:r>
        <w:rPr>
          <w:rFonts w:hint="eastAsia" w:ascii="楷体" w:hAnsi="楷体" w:eastAsia="楷体" w:cs="楷体"/>
          <w:sz w:val="24"/>
          <w:szCs w:val="24"/>
        </w:rPr>
        <w:t>COT</w:t>
      </w:r>
      <w:r>
        <w:rPr>
          <w:rFonts w:hint="eastAsia" w:ascii="楷体" w:hAnsi="楷体" w:eastAsia="楷体" w:cs="楷体"/>
          <w:sz w:val="24"/>
          <w:szCs w:val="24"/>
          <w:lang w:val="zh-CN"/>
        </w:rPr>
        <w:t>实时异常监控系统，能够在任意消解罐出现异常时，自动报警并切断微波，多方位监控以确保仪器安全运行。</w:t>
      </w:r>
    </w:p>
    <w:p w14:paraId="6B6464E8">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.3 消解转子系统</w:t>
      </w:r>
    </w:p>
    <w:p w14:paraId="64925106">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.3.1 外罐：采用宇航复合纤维材质，而非PEEK或者陶瓷材料，耐压≥</w:t>
      </w:r>
      <w:r>
        <w:rPr>
          <w:rFonts w:hint="eastAsia" w:ascii="楷体" w:hAnsi="楷体" w:eastAsia="楷体" w:cs="楷体"/>
          <w:sz w:val="24"/>
          <w:szCs w:val="24"/>
        </w:rPr>
        <w:t>20MPa</w:t>
      </w:r>
      <w:r>
        <w:rPr>
          <w:rFonts w:hint="eastAsia" w:ascii="楷体" w:hAnsi="楷体" w:eastAsia="楷体" w:cs="楷体"/>
          <w:sz w:val="24"/>
          <w:szCs w:val="24"/>
          <w:lang w:val="zh-CN"/>
        </w:rPr>
        <w:t>。外罐应整体喷涂特氟龙涂层，耐腐蚀、支持水洗易于清洁。</w:t>
      </w:r>
    </w:p>
    <w:p w14:paraId="2B55ADB2">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.3.2 内罐：</w:t>
      </w:r>
      <w:r>
        <w:rPr>
          <w:rFonts w:hint="eastAsia" w:ascii="楷体" w:hAnsi="楷体" w:eastAsia="楷体" w:cs="楷体"/>
          <w:sz w:val="24"/>
          <w:szCs w:val="24"/>
        </w:rPr>
        <w:t>高通量罐体容积≥50mL，高压罐体容积≥110mL，可适配一次性萃取组件。所有罐体均</w:t>
      </w:r>
      <w:r>
        <w:rPr>
          <w:rFonts w:hint="eastAsia" w:ascii="楷体" w:hAnsi="楷体" w:eastAsia="楷体" w:cs="楷体"/>
          <w:sz w:val="24"/>
          <w:szCs w:val="24"/>
          <w:lang w:val="zh-CN"/>
        </w:rPr>
        <w:t>带有识别编码无需手写，内罐、内塞、盖子等应采用TFM或PFA材质，不得含有任何金属材质的零部件、可泡酸清洗，以保证实验的准确性和重复性。</w:t>
      </w:r>
    </w:p>
    <w:p w14:paraId="64D64E85">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 xml:space="preserve">.3.3 </w:t>
      </w:r>
      <w:r>
        <w:rPr>
          <w:rFonts w:hint="eastAsia" w:ascii="楷体" w:hAnsi="楷体" w:eastAsia="楷体" w:cs="楷体"/>
          <w:sz w:val="24"/>
          <w:szCs w:val="24"/>
        </w:rPr>
        <w:t>高通量批次处理量≥40位，高压转子批处理量≥24位</w:t>
      </w:r>
      <w:r>
        <w:rPr>
          <w:rFonts w:hint="eastAsia" w:ascii="楷体" w:hAnsi="楷体" w:eastAsia="楷体" w:cs="楷体"/>
          <w:sz w:val="24"/>
          <w:szCs w:val="24"/>
          <w:lang w:val="zh-CN"/>
        </w:rPr>
        <w:t>，转子应为上下双层结构，用于固定外罐，以保证运行过程安全。</w:t>
      </w:r>
    </w:p>
    <w:p w14:paraId="40E982C7">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.4 软件系统</w:t>
      </w:r>
    </w:p>
    <w:p w14:paraId="377CF7A4">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.4.1 内置专业应用方法库和视频培训教程，仪器可自动识别转子类型，自动判断消解罐位置并计数消解罐数量。</w:t>
      </w:r>
    </w:p>
    <w:p w14:paraId="042AE9CE">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.4.2 配备≥7寸彩色触摸屏，可实时显示温度、步骤、时间、功率等实验状态，可显示全罐温度柱状图，并查看任意消解罐升温曲线。</w:t>
      </w:r>
    </w:p>
    <w:p w14:paraId="150EA719">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.4.3 可置顶最近用过的实验方法≥5个，可选择标准控制、功率控制、爬坡控制等不同升温模式，仪器内置温度、压力及微波功率校准程序，可自行对仪器做定期维护校准，确保仪器安全状况。</w:t>
      </w:r>
    </w:p>
    <w:p w14:paraId="50CC8C9C">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.4.4 操作系统可实现用户权限分级管理、密码登录、日志追溯等功能。</w:t>
      </w:r>
    </w:p>
    <w:p w14:paraId="54B81DBE">
      <w:pPr>
        <w:spacing w:line="420" w:lineRule="exact"/>
        <w:rPr>
          <w:rFonts w:hint="eastAsia" w:ascii="楷体" w:hAnsi="楷体" w:eastAsia="楷体" w:cs="楷体"/>
          <w:sz w:val="24"/>
          <w:szCs w:val="24"/>
          <w:lang w:val="zh-CN"/>
        </w:rPr>
      </w:pPr>
      <w:r>
        <w:rPr>
          <w:rFonts w:hint="eastAsia" w:ascii="楷体" w:hAnsi="楷体" w:eastAsia="楷体" w:cs="楷体"/>
          <w:sz w:val="24"/>
          <w:szCs w:val="24"/>
        </w:rPr>
        <w:t>3</w:t>
      </w:r>
      <w:r>
        <w:rPr>
          <w:rFonts w:hint="eastAsia" w:ascii="楷体" w:hAnsi="楷体" w:eastAsia="楷体" w:cs="楷体"/>
          <w:sz w:val="24"/>
          <w:szCs w:val="24"/>
          <w:lang w:val="zh-CN"/>
        </w:rPr>
        <w:t>.5 配备专用工具车，用于升降、转移消解转子，转子的转运、装载和取出均无需手工操作。</w:t>
      </w:r>
    </w:p>
    <w:p w14:paraId="578D2FC1">
      <w:pPr>
        <w:spacing w:line="420" w:lineRule="exact"/>
        <w:rPr>
          <w:rFonts w:hint="eastAsia" w:ascii="楷体" w:hAnsi="楷体" w:eastAsia="楷体" w:cs="楷体"/>
          <w:b/>
          <w:bCs/>
          <w:sz w:val="24"/>
          <w:szCs w:val="24"/>
          <w:lang w:val="zh-CN"/>
        </w:rPr>
      </w:pPr>
      <w:r>
        <w:rPr>
          <w:rFonts w:hint="eastAsia" w:ascii="楷体" w:hAnsi="楷体" w:eastAsia="楷体" w:cs="楷体"/>
          <w:b/>
          <w:bCs/>
          <w:sz w:val="24"/>
          <w:szCs w:val="24"/>
          <w:lang w:val="en-US" w:eastAsia="zh-CN"/>
        </w:rPr>
        <w:t>四</w:t>
      </w:r>
      <w:r>
        <w:rPr>
          <w:rFonts w:hint="eastAsia" w:ascii="楷体" w:hAnsi="楷体" w:eastAsia="楷体" w:cs="楷体"/>
          <w:b/>
          <w:bCs/>
          <w:sz w:val="24"/>
          <w:szCs w:val="24"/>
          <w:lang w:eastAsia="zh-CN"/>
        </w:rPr>
        <w:t>）</w:t>
      </w:r>
      <w:r>
        <w:rPr>
          <w:rFonts w:hint="eastAsia" w:ascii="楷体" w:hAnsi="楷体" w:eastAsia="楷体" w:cs="楷体"/>
          <w:b/>
          <w:bCs/>
          <w:sz w:val="24"/>
          <w:szCs w:val="24"/>
          <w:lang w:val="zh-CN"/>
        </w:rPr>
        <w:t>配置</w:t>
      </w:r>
      <w:r>
        <w:rPr>
          <w:rFonts w:hint="eastAsia" w:ascii="楷体" w:hAnsi="楷体" w:eastAsia="楷体" w:cs="楷体"/>
          <w:b/>
          <w:bCs/>
          <w:sz w:val="24"/>
          <w:szCs w:val="24"/>
        </w:rPr>
        <w:t>明细</w:t>
      </w:r>
    </w:p>
    <w:tbl>
      <w:tblPr>
        <w:tblStyle w:val="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971"/>
        <w:gridCol w:w="4785"/>
        <w:gridCol w:w="1056"/>
      </w:tblGrid>
      <w:tr w14:paraId="2BAD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27B7E">
            <w:pPr>
              <w:spacing w:line="420" w:lineRule="exact"/>
              <w:jc w:val="center"/>
              <w:outlineLvl w:val="3"/>
              <w:rPr>
                <w:rFonts w:hint="eastAsia" w:ascii="楷体" w:hAnsi="楷体" w:eastAsia="楷体" w:cs="楷体"/>
                <w:b/>
                <w:color w:val="000000"/>
                <w:sz w:val="24"/>
                <w:szCs w:val="24"/>
              </w:rPr>
            </w:pPr>
            <w:r>
              <w:rPr>
                <w:rFonts w:hint="eastAsia" w:ascii="楷体" w:hAnsi="楷体" w:eastAsia="楷体" w:cs="楷体"/>
                <w:b/>
                <w:color w:val="000000"/>
                <w:sz w:val="24"/>
                <w:szCs w:val="24"/>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BC9C46">
            <w:pPr>
              <w:spacing w:line="420" w:lineRule="exact"/>
              <w:jc w:val="center"/>
              <w:outlineLvl w:val="3"/>
              <w:rPr>
                <w:rFonts w:hint="eastAsia" w:ascii="楷体" w:hAnsi="楷体" w:eastAsia="楷体" w:cs="楷体"/>
                <w:b/>
                <w:color w:val="000000"/>
                <w:sz w:val="24"/>
                <w:szCs w:val="24"/>
              </w:rPr>
            </w:pPr>
            <w:r>
              <w:rPr>
                <w:rFonts w:hint="eastAsia" w:ascii="楷体" w:hAnsi="楷体" w:eastAsia="楷体" w:cs="楷体"/>
                <w:b/>
                <w:color w:val="000000"/>
                <w:sz w:val="24"/>
                <w:szCs w:val="24"/>
              </w:rPr>
              <w:t>配置名称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7464F">
            <w:pPr>
              <w:spacing w:line="420" w:lineRule="exact"/>
              <w:jc w:val="center"/>
              <w:outlineLvl w:val="3"/>
              <w:rPr>
                <w:rFonts w:hint="eastAsia" w:ascii="楷体" w:hAnsi="楷体" w:eastAsia="楷体" w:cs="楷体"/>
                <w:b/>
                <w:color w:val="000000"/>
                <w:sz w:val="24"/>
                <w:szCs w:val="24"/>
              </w:rPr>
            </w:pPr>
            <w:r>
              <w:rPr>
                <w:rFonts w:hint="eastAsia" w:ascii="楷体" w:hAnsi="楷体" w:eastAsia="楷体" w:cs="楷体"/>
                <w:b/>
                <w:color w:val="000000"/>
                <w:sz w:val="24"/>
                <w:szCs w:val="24"/>
              </w:rPr>
              <w:t>数量</w:t>
            </w:r>
          </w:p>
        </w:tc>
      </w:tr>
      <w:tr w14:paraId="003E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EB557">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4.1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73577">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lang w:val="zh-CN"/>
              </w:rPr>
              <w:t>微波消解仪主机（含软件操作系统和排风系统）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E8C5E">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lang w:val="zh-CN"/>
              </w:rPr>
              <w:t>1台</w:t>
            </w:r>
          </w:p>
        </w:tc>
      </w:tr>
      <w:tr w14:paraId="14006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23F8D">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rPr>
              <w:t>4.2</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07194">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sz w:val="24"/>
                <w:szCs w:val="24"/>
                <w:lang w:val="zh-CN"/>
              </w:rPr>
              <w:t>非接触式中红外温度传感器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39488">
            <w:pPr>
              <w:spacing w:line="420" w:lineRule="exact"/>
              <w:jc w:val="center"/>
              <w:outlineLvl w:val="3"/>
              <w:rPr>
                <w:rFonts w:hint="eastAsia" w:ascii="楷体" w:hAnsi="楷体" w:eastAsia="楷体" w:cs="楷体"/>
                <w:sz w:val="24"/>
                <w:szCs w:val="24"/>
                <w:lang w:val="zh-CN"/>
              </w:rPr>
            </w:pPr>
            <w:r>
              <w:rPr>
                <w:rFonts w:hint="eastAsia" w:ascii="楷体" w:hAnsi="楷体" w:eastAsia="楷体" w:cs="楷体"/>
                <w:sz w:val="24"/>
                <w:szCs w:val="24"/>
                <w:lang w:val="zh-CN"/>
              </w:rPr>
              <w:t>2套</w:t>
            </w:r>
          </w:p>
        </w:tc>
      </w:tr>
      <w:tr w14:paraId="48C1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EBAD6D">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4.3</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D3743">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lang w:val="zh-CN"/>
              </w:rPr>
              <w:t>实时异常监控系统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EF8DCA">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lang w:val="zh-CN"/>
              </w:rPr>
              <w:t>1套</w:t>
            </w:r>
          </w:p>
        </w:tc>
      </w:tr>
      <w:tr w14:paraId="3737A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B7A89">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C6BE2">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高精度压力监控系统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576C0">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rPr>
              <w:t>1套</w:t>
            </w:r>
          </w:p>
        </w:tc>
      </w:tr>
      <w:tr w14:paraId="0E74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251C4">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28995">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lang w:val="zh-CN"/>
              </w:rPr>
              <w:t>全罐压力监控系统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088EA">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lang w:val="zh-CN"/>
              </w:rPr>
              <w:t>1套</w:t>
            </w:r>
          </w:p>
        </w:tc>
      </w:tr>
      <w:tr w14:paraId="2385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37F84">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C58137">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lang w:val="zh-CN"/>
              </w:rPr>
              <w:t>视频影像监控系统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DC016">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lang w:val="zh-CN"/>
              </w:rPr>
              <w:t>1套</w:t>
            </w:r>
          </w:p>
        </w:tc>
      </w:tr>
      <w:tr w14:paraId="49249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69437">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4.7</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F55B0">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rPr>
                <w:rFonts w:hint="eastAsia" w:ascii="楷体" w:hAnsi="楷体" w:eastAsia="楷体" w:cs="楷体"/>
                <w:color w:val="000000"/>
                <w:sz w:val="24"/>
                <w:szCs w:val="24"/>
                <w:lang w:val="zh-CN"/>
              </w:rPr>
              <w:t>工作站软件及加密狗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06614C">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lang w:val="zh-CN"/>
              </w:rPr>
              <w:t>1套</w:t>
            </w:r>
          </w:p>
        </w:tc>
      </w:tr>
      <w:tr w14:paraId="4471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76E10">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rPr>
              <w:t xml:space="preserve">4.8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61856">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lang w:val="zh-CN"/>
              </w:rPr>
              <w:t>40位</w:t>
            </w:r>
            <w:r>
              <w:rPr>
                <w:rFonts w:hint="eastAsia" w:ascii="楷体" w:hAnsi="楷体" w:eastAsia="楷体" w:cs="楷体"/>
                <w:sz w:val="24"/>
                <w:szCs w:val="24"/>
              </w:rPr>
              <w:t>高通良</w:t>
            </w:r>
            <w:r>
              <w:rPr>
                <w:rFonts w:hint="eastAsia" w:ascii="楷体" w:hAnsi="楷体" w:eastAsia="楷体" w:cs="楷体"/>
                <w:sz w:val="24"/>
                <w:szCs w:val="24"/>
                <w:lang w:val="zh-CN"/>
              </w:rPr>
              <w:t>消解转子系统1套：包含外罐、内罐、罐盖及内塞</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A8070">
            <w:pPr>
              <w:spacing w:line="420" w:lineRule="exact"/>
              <w:jc w:val="center"/>
              <w:outlineLvl w:val="3"/>
              <w:rPr>
                <w:rFonts w:hint="eastAsia" w:ascii="楷体" w:hAnsi="楷体" w:eastAsia="楷体" w:cs="楷体"/>
                <w:sz w:val="24"/>
                <w:szCs w:val="24"/>
                <w:lang w:val="zh-CN"/>
              </w:rPr>
            </w:pPr>
            <w:r>
              <w:rPr>
                <w:rFonts w:hint="eastAsia" w:ascii="楷体" w:hAnsi="楷体" w:eastAsia="楷体" w:cs="楷体"/>
                <w:sz w:val="24"/>
                <w:szCs w:val="24"/>
                <w:lang w:val="zh-CN"/>
              </w:rPr>
              <w:t>各40个</w:t>
            </w:r>
          </w:p>
        </w:tc>
      </w:tr>
      <w:tr w14:paraId="7083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8A6CA">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rPr>
              <w:t>4.9</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0FDA0">
            <w:pPr>
              <w:spacing w:line="420" w:lineRule="exact"/>
              <w:jc w:val="center"/>
              <w:outlineLvl w:val="3"/>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sz w:val="24"/>
                <w:szCs w:val="24"/>
                <w:lang w:val="zh-CN"/>
              </w:rPr>
              <w:t>24位</w:t>
            </w:r>
            <w:r>
              <w:rPr>
                <w:rFonts w:hint="eastAsia" w:ascii="楷体" w:hAnsi="楷体" w:eastAsia="楷体" w:cs="楷体"/>
                <w:sz w:val="24"/>
                <w:szCs w:val="24"/>
              </w:rPr>
              <w:t>超高压</w:t>
            </w:r>
            <w:r>
              <w:rPr>
                <w:rFonts w:hint="eastAsia" w:ascii="楷体" w:hAnsi="楷体" w:eastAsia="楷体" w:cs="楷体"/>
                <w:sz w:val="24"/>
                <w:szCs w:val="24"/>
                <w:lang w:val="zh-CN"/>
              </w:rPr>
              <w:t>消解转子系统1套：包含外罐、内罐、罐盖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F3D103">
            <w:pPr>
              <w:spacing w:line="420" w:lineRule="exact"/>
              <w:jc w:val="center"/>
              <w:outlineLvl w:val="3"/>
              <w:rPr>
                <w:rFonts w:hint="eastAsia" w:ascii="楷体" w:hAnsi="楷体" w:eastAsia="楷体" w:cs="楷体"/>
                <w:sz w:val="24"/>
                <w:szCs w:val="24"/>
                <w:lang w:val="zh-CN"/>
              </w:rPr>
            </w:pPr>
            <w:r>
              <w:rPr>
                <w:rFonts w:hint="eastAsia" w:ascii="楷体" w:hAnsi="楷体" w:eastAsia="楷体" w:cs="楷体"/>
                <w:sz w:val="24"/>
                <w:szCs w:val="24"/>
                <w:lang w:val="zh-CN"/>
              </w:rPr>
              <w:t>各</w:t>
            </w:r>
            <w:r>
              <w:rPr>
                <w:rFonts w:hint="eastAsia" w:ascii="楷体" w:hAnsi="楷体" w:eastAsia="楷体" w:cs="楷体"/>
                <w:sz w:val="24"/>
                <w:szCs w:val="24"/>
              </w:rPr>
              <w:t>8</w:t>
            </w:r>
            <w:r>
              <w:rPr>
                <w:rFonts w:hint="eastAsia" w:ascii="楷体" w:hAnsi="楷体" w:eastAsia="楷体" w:cs="楷体"/>
                <w:sz w:val="24"/>
                <w:szCs w:val="24"/>
                <w:lang w:val="zh-CN"/>
              </w:rPr>
              <w:t>个</w:t>
            </w:r>
          </w:p>
        </w:tc>
      </w:tr>
      <w:tr w14:paraId="30D7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5AFD2">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4.10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B6DED">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电加热赶酸仪（≥</w:t>
            </w:r>
            <w:r>
              <w:rPr>
                <w:rFonts w:hint="eastAsia" w:ascii="楷体" w:hAnsi="楷体" w:eastAsia="楷体" w:cs="楷体"/>
                <w:color w:val="000000"/>
                <w:sz w:val="24"/>
                <w:szCs w:val="24"/>
                <w:lang w:val="zh-CN"/>
              </w:rPr>
              <w:t>40位</w:t>
            </w:r>
            <w:r>
              <w:rPr>
                <w:rFonts w:hint="eastAsia" w:ascii="楷体" w:hAnsi="楷体" w:eastAsia="楷体" w:cs="楷体"/>
                <w:color w:val="000000"/>
                <w:sz w:val="24"/>
                <w:szCs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F5C0BF">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rPr>
              <w:t>1套</w:t>
            </w:r>
          </w:p>
        </w:tc>
      </w:tr>
      <w:tr w14:paraId="6A3F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51C27">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4.11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2C8EA">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color w:val="000000"/>
                <w:sz w:val="24"/>
                <w:szCs w:val="24"/>
              </w:rPr>
              <w:t>电加热赶酸仪（≥</w:t>
            </w:r>
            <w:r>
              <w:rPr>
                <w:rFonts w:hint="eastAsia" w:ascii="楷体" w:hAnsi="楷体" w:eastAsia="楷体" w:cs="楷体"/>
                <w:sz w:val="24"/>
                <w:szCs w:val="24"/>
              </w:rPr>
              <w:t>24</w:t>
            </w:r>
            <w:r>
              <w:rPr>
                <w:rFonts w:hint="eastAsia" w:ascii="楷体" w:hAnsi="楷体" w:eastAsia="楷体" w:cs="楷体"/>
                <w:color w:val="000000"/>
                <w:sz w:val="24"/>
                <w:szCs w:val="24"/>
              </w:rPr>
              <w:t>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79B00">
            <w:pPr>
              <w:spacing w:line="420" w:lineRule="exact"/>
              <w:jc w:val="center"/>
              <w:outlineLvl w:val="3"/>
              <w:rPr>
                <w:rFonts w:hint="eastAsia" w:ascii="楷体" w:hAnsi="楷体" w:eastAsia="楷体" w:cs="楷体"/>
                <w:bCs/>
                <w:color w:val="000000"/>
                <w:sz w:val="24"/>
                <w:szCs w:val="24"/>
                <w:lang w:val="zh-CN"/>
              </w:rPr>
            </w:pPr>
            <w:r>
              <w:rPr>
                <w:rFonts w:hint="eastAsia" w:ascii="楷体" w:hAnsi="楷体" w:eastAsia="楷体" w:cs="楷体"/>
                <w:color w:val="000000"/>
                <w:sz w:val="24"/>
                <w:szCs w:val="24"/>
              </w:rPr>
              <w:t>1套</w:t>
            </w:r>
          </w:p>
        </w:tc>
      </w:tr>
      <w:tr w14:paraId="121E9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0" w:type="auto"/>
            <w:vMerge w:val="restart"/>
            <w:tcBorders>
              <w:top w:val="single" w:color="000000" w:sz="4" w:space="0"/>
              <w:left w:val="single" w:color="000000" w:sz="4" w:space="0"/>
              <w:right w:val="single" w:color="000000" w:sz="4" w:space="0"/>
            </w:tcBorders>
            <w:shd w:val="clear" w:color="auto" w:fill="FFFFFF"/>
            <w:noWrap w:val="0"/>
            <w:vAlign w:val="center"/>
          </w:tcPr>
          <w:p w14:paraId="6A746BCB">
            <w:pPr>
              <w:spacing w:line="420" w:lineRule="exact"/>
              <w:jc w:val="center"/>
              <w:outlineLvl w:val="3"/>
              <w:rPr>
                <w:rFonts w:hint="eastAsia" w:ascii="楷体" w:hAnsi="楷体" w:eastAsia="楷体" w:cs="楷体"/>
                <w:b/>
                <w:bCs/>
                <w:color w:val="000000"/>
                <w:sz w:val="24"/>
                <w:szCs w:val="24"/>
              </w:rPr>
            </w:pPr>
            <w:r>
              <w:rPr>
                <w:rFonts w:hint="eastAsia" w:ascii="楷体" w:hAnsi="楷体" w:eastAsia="楷体" w:cs="楷体"/>
                <w:b/>
                <w:bCs/>
                <w:color w:val="000000"/>
                <w:sz w:val="24"/>
                <w:szCs w:val="24"/>
              </w:rPr>
              <w:t xml:space="preserve">4.12 </w:t>
            </w:r>
          </w:p>
        </w:tc>
        <w:tc>
          <w:tcPr>
            <w:tcW w:w="0" w:type="auto"/>
            <w:vMerge w:val="restart"/>
            <w:tcBorders>
              <w:top w:val="single" w:color="000000" w:sz="4" w:space="0"/>
              <w:left w:val="single" w:color="000000" w:sz="4" w:space="0"/>
              <w:right w:val="single" w:color="000000" w:sz="4" w:space="0"/>
            </w:tcBorders>
            <w:shd w:val="clear" w:color="auto" w:fill="FFFFFF"/>
            <w:noWrap w:val="0"/>
            <w:vAlign w:val="center"/>
          </w:tcPr>
          <w:p w14:paraId="4889689A">
            <w:pPr>
              <w:spacing w:line="420" w:lineRule="exact"/>
              <w:jc w:val="center"/>
              <w:outlineLvl w:val="3"/>
              <w:rPr>
                <w:rFonts w:hint="eastAsia" w:ascii="楷体" w:hAnsi="楷体" w:eastAsia="楷体" w:cs="楷体"/>
                <w:color w:val="000000"/>
                <w:sz w:val="24"/>
                <w:szCs w:val="24"/>
                <w:lang w:val="zh-CN"/>
              </w:rPr>
            </w:pPr>
            <w:r>
              <w:rPr>
                <w:rFonts w:hint="eastAsia" w:ascii="楷体" w:hAnsi="楷体" w:eastAsia="楷体" w:cs="楷体"/>
                <w:b/>
                <w:bCs/>
                <w:color w:val="000000"/>
                <w:sz w:val="24"/>
                <w:szCs w:val="24"/>
                <w:lang w:val="zh-CN"/>
              </w:rPr>
              <w:t>辅助工具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9F3C4">
            <w:pPr>
              <w:spacing w:line="420" w:lineRule="exact"/>
              <w:jc w:val="center"/>
              <w:outlineLvl w:val="3"/>
              <w:rPr>
                <w:rFonts w:hint="eastAsia" w:ascii="楷体" w:hAnsi="楷体" w:eastAsia="楷体" w:cs="楷体"/>
                <w:b/>
                <w:bCs/>
                <w:color w:val="000000"/>
                <w:sz w:val="24"/>
                <w:szCs w:val="24"/>
              </w:rPr>
            </w:pPr>
            <w:r>
              <w:rPr>
                <w:rFonts w:hint="eastAsia" w:ascii="楷体" w:hAnsi="楷体" w:eastAsia="楷体" w:cs="楷体"/>
                <w:b/>
                <w:bCs/>
                <w:color w:val="000000"/>
                <w:sz w:val="24"/>
                <w:szCs w:val="24"/>
                <w:lang w:val="zh-CN"/>
              </w:rPr>
              <w:t>消解转子平移升降工具车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7219C8">
            <w:pPr>
              <w:spacing w:line="420" w:lineRule="exact"/>
              <w:jc w:val="center"/>
              <w:outlineLvl w:val="3"/>
              <w:rPr>
                <w:rFonts w:hint="eastAsia" w:ascii="楷体" w:hAnsi="楷体" w:eastAsia="楷体" w:cs="楷体"/>
                <w:color w:val="000000"/>
                <w:sz w:val="24"/>
                <w:szCs w:val="24"/>
              </w:rPr>
            </w:pPr>
            <w:r>
              <w:rPr>
                <w:rFonts w:hint="eastAsia" w:ascii="楷体" w:hAnsi="楷体" w:eastAsia="楷体" w:cs="楷体"/>
                <w:b/>
                <w:color w:val="000000"/>
                <w:sz w:val="24"/>
                <w:szCs w:val="24"/>
                <w:lang w:val="zh-CN"/>
              </w:rPr>
              <w:t>1台</w:t>
            </w:r>
          </w:p>
        </w:tc>
      </w:tr>
      <w:tr w14:paraId="5FD6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0" w:type="auto"/>
            <w:vMerge w:val="continue"/>
            <w:tcBorders>
              <w:left w:val="single" w:color="000000" w:sz="4" w:space="0"/>
              <w:right w:val="single" w:color="000000" w:sz="4" w:space="0"/>
            </w:tcBorders>
            <w:shd w:val="clear" w:color="auto" w:fill="FFFFFF"/>
            <w:noWrap w:val="0"/>
            <w:vAlign w:val="center"/>
          </w:tcPr>
          <w:p w14:paraId="2CF0A3DE">
            <w:pPr>
              <w:spacing w:line="420" w:lineRule="exact"/>
              <w:jc w:val="center"/>
              <w:outlineLvl w:val="3"/>
              <w:rPr>
                <w:rFonts w:hint="eastAsia" w:ascii="楷体" w:hAnsi="楷体" w:eastAsia="楷体" w:cs="楷体"/>
                <w:b/>
                <w:bCs/>
                <w:color w:val="000000"/>
                <w:sz w:val="24"/>
                <w:szCs w:val="24"/>
              </w:rPr>
            </w:pPr>
          </w:p>
        </w:tc>
        <w:tc>
          <w:tcPr>
            <w:tcW w:w="0" w:type="auto"/>
            <w:vMerge w:val="continue"/>
            <w:tcBorders>
              <w:left w:val="single" w:color="000000" w:sz="4" w:space="0"/>
              <w:right w:val="single" w:color="000000" w:sz="4" w:space="0"/>
            </w:tcBorders>
            <w:shd w:val="clear" w:color="auto" w:fill="FFFFFF"/>
            <w:noWrap w:val="0"/>
            <w:vAlign w:val="center"/>
          </w:tcPr>
          <w:p w14:paraId="3838194E">
            <w:pPr>
              <w:spacing w:line="420" w:lineRule="exact"/>
              <w:jc w:val="center"/>
              <w:outlineLvl w:val="3"/>
              <w:rPr>
                <w:rFonts w:hint="eastAsia" w:ascii="楷体" w:hAnsi="楷体" w:eastAsia="楷体" w:cs="楷体"/>
                <w:b/>
                <w:bCs/>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844C74">
            <w:pPr>
              <w:spacing w:line="420" w:lineRule="exact"/>
              <w:jc w:val="center"/>
              <w:outlineLvl w:val="3"/>
              <w:rPr>
                <w:rFonts w:hint="eastAsia" w:ascii="楷体" w:hAnsi="楷体" w:eastAsia="楷体" w:cs="楷体"/>
                <w:b/>
                <w:bCs/>
                <w:color w:val="000000"/>
                <w:sz w:val="24"/>
                <w:szCs w:val="24"/>
              </w:rPr>
            </w:pPr>
            <w:r>
              <w:rPr>
                <w:rFonts w:hint="eastAsia" w:ascii="楷体" w:hAnsi="楷体" w:eastAsia="楷体" w:cs="楷体"/>
                <w:b/>
                <w:bCs/>
                <w:color w:val="000000"/>
                <w:sz w:val="24"/>
                <w:szCs w:val="24"/>
                <w:lang w:val="zh-CN"/>
              </w:rPr>
              <w:t>专用工具包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5E2C2">
            <w:pPr>
              <w:spacing w:line="420" w:lineRule="exact"/>
              <w:jc w:val="center"/>
              <w:outlineLvl w:val="3"/>
              <w:rPr>
                <w:rFonts w:hint="eastAsia" w:ascii="楷体" w:hAnsi="楷体" w:eastAsia="楷体" w:cs="楷体"/>
                <w:b/>
                <w:color w:val="000000"/>
                <w:sz w:val="24"/>
                <w:szCs w:val="24"/>
                <w:lang w:val="zh-CN"/>
              </w:rPr>
            </w:pPr>
            <w:r>
              <w:rPr>
                <w:rFonts w:hint="eastAsia" w:ascii="楷体" w:hAnsi="楷体" w:eastAsia="楷体" w:cs="楷体"/>
                <w:b/>
                <w:color w:val="000000"/>
                <w:sz w:val="24"/>
                <w:szCs w:val="24"/>
                <w:lang w:val="zh-CN"/>
              </w:rPr>
              <w:t>1套</w:t>
            </w:r>
          </w:p>
        </w:tc>
      </w:tr>
      <w:tr w14:paraId="3837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0" w:type="auto"/>
            <w:vMerge w:val="continue"/>
            <w:tcBorders>
              <w:left w:val="single" w:color="000000" w:sz="4" w:space="0"/>
              <w:bottom w:val="single" w:color="000000" w:sz="4" w:space="0"/>
              <w:right w:val="single" w:color="000000" w:sz="4" w:space="0"/>
            </w:tcBorders>
            <w:shd w:val="clear" w:color="auto" w:fill="FFFFFF"/>
            <w:noWrap w:val="0"/>
            <w:vAlign w:val="center"/>
          </w:tcPr>
          <w:p w14:paraId="1E560BAC">
            <w:pPr>
              <w:spacing w:line="420" w:lineRule="exact"/>
              <w:jc w:val="center"/>
              <w:outlineLvl w:val="3"/>
              <w:rPr>
                <w:rFonts w:hint="eastAsia" w:ascii="楷体" w:hAnsi="楷体" w:eastAsia="楷体" w:cs="楷体"/>
                <w:b/>
                <w:bCs/>
                <w:color w:val="000000"/>
                <w:sz w:val="24"/>
                <w:szCs w:val="24"/>
              </w:rPr>
            </w:pPr>
          </w:p>
        </w:tc>
        <w:tc>
          <w:tcPr>
            <w:tcW w:w="0" w:type="auto"/>
            <w:vMerge w:val="continue"/>
            <w:tcBorders>
              <w:left w:val="single" w:color="000000" w:sz="4" w:space="0"/>
              <w:bottom w:val="single" w:color="000000" w:sz="4" w:space="0"/>
              <w:right w:val="single" w:color="000000" w:sz="4" w:space="0"/>
            </w:tcBorders>
            <w:shd w:val="clear" w:color="auto" w:fill="FFFFFF"/>
            <w:noWrap w:val="0"/>
            <w:vAlign w:val="center"/>
          </w:tcPr>
          <w:p w14:paraId="64E851FA">
            <w:pPr>
              <w:spacing w:line="420" w:lineRule="exact"/>
              <w:jc w:val="center"/>
              <w:outlineLvl w:val="3"/>
              <w:rPr>
                <w:rFonts w:hint="eastAsia" w:ascii="楷体" w:hAnsi="楷体" w:eastAsia="楷体" w:cs="楷体"/>
                <w:b/>
                <w:bCs/>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A962A8">
            <w:pPr>
              <w:spacing w:line="420" w:lineRule="exact"/>
              <w:jc w:val="center"/>
              <w:outlineLvl w:val="3"/>
              <w:rPr>
                <w:rFonts w:hint="eastAsia" w:ascii="楷体" w:hAnsi="楷体" w:eastAsia="楷体" w:cs="楷体"/>
                <w:b/>
                <w:bCs/>
                <w:color w:val="000000"/>
                <w:sz w:val="24"/>
                <w:szCs w:val="24"/>
              </w:rPr>
            </w:pPr>
            <w:r>
              <w:rPr>
                <w:rFonts w:hint="eastAsia" w:ascii="楷体" w:hAnsi="楷体" w:eastAsia="楷体" w:cs="楷体"/>
                <w:b/>
                <w:bCs/>
                <w:color w:val="000000"/>
                <w:sz w:val="24"/>
                <w:szCs w:val="24"/>
                <w:lang w:val="zh-CN"/>
              </w:rPr>
              <w:t>内罐杯架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4D9B3">
            <w:pPr>
              <w:spacing w:line="420" w:lineRule="exact"/>
              <w:jc w:val="center"/>
              <w:outlineLvl w:val="3"/>
              <w:rPr>
                <w:rFonts w:hint="eastAsia" w:ascii="楷体" w:hAnsi="楷体" w:eastAsia="楷体" w:cs="楷体"/>
                <w:b/>
                <w:color w:val="000000"/>
                <w:sz w:val="24"/>
                <w:szCs w:val="24"/>
                <w:lang w:val="zh-CN"/>
              </w:rPr>
            </w:pPr>
            <w:r>
              <w:rPr>
                <w:rFonts w:hint="eastAsia" w:ascii="楷体" w:hAnsi="楷体" w:eastAsia="楷体" w:cs="楷体"/>
                <w:b/>
                <w:color w:val="000000"/>
                <w:sz w:val="24"/>
                <w:szCs w:val="24"/>
                <w:lang w:val="zh-CN"/>
              </w:rPr>
              <w:t>2套</w:t>
            </w:r>
          </w:p>
        </w:tc>
      </w:tr>
    </w:tbl>
    <w:p w14:paraId="4D3E854C">
      <w:pPr>
        <w:spacing w:line="420" w:lineRule="exact"/>
        <w:rPr>
          <w:rFonts w:hint="eastAsia" w:ascii="楷体" w:hAnsi="楷体" w:eastAsia="楷体" w:cs="楷体"/>
          <w:b/>
          <w:bCs/>
          <w:sz w:val="24"/>
          <w:szCs w:val="24"/>
        </w:rPr>
      </w:pPr>
      <w:r>
        <w:rPr>
          <w:rFonts w:hint="eastAsia" w:ascii="楷体" w:hAnsi="楷体" w:eastAsia="楷体" w:cs="楷体"/>
          <w:b/>
          <w:bCs/>
          <w:sz w:val="24"/>
          <w:szCs w:val="24"/>
          <w:lang w:val="en-US" w:eastAsia="zh-CN"/>
        </w:rPr>
        <w:t>五</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bCs/>
          <w:sz w:val="24"/>
          <w:szCs w:val="24"/>
          <w:lang w:val="en-US" w:eastAsia="zh-CN"/>
        </w:rPr>
        <w:t>及</w:t>
      </w:r>
      <w:r>
        <w:rPr>
          <w:rFonts w:hint="eastAsia" w:ascii="楷体" w:hAnsi="楷体" w:eastAsia="楷体" w:cs="楷体"/>
          <w:b/>
          <w:bCs/>
          <w:sz w:val="24"/>
          <w:szCs w:val="24"/>
        </w:rPr>
        <w:t>服务要求</w:t>
      </w:r>
    </w:p>
    <w:p w14:paraId="16D27DA9">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5.1 交货时间及地点：合同签订后2周内，将全新原厂设备发至买方指定地点。</w:t>
      </w:r>
    </w:p>
    <w:p w14:paraId="140DE491">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5.2 相关文件：供货方提供详细的操作指南、产品说明书、产品合格证书、供货证明。</w:t>
      </w:r>
    </w:p>
    <w:p w14:paraId="38548089">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5.3 安装调试：供货方应在接到买方安装调试要求的7个工作日内上门免费安装、调试。安装调试检验结果应符合制造厂产品标准和买方认可的技术性能。</w:t>
      </w:r>
    </w:p>
    <w:p w14:paraId="67459AB7">
      <w:pPr>
        <w:pStyle w:val="237"/>
        <w:spacing w:line="420" w:lineRule="exact"/>
        <w:ind w:firstLine="0" w:firstLineChars="0"/>
        <w:jc w:val="left"/>
        <w:rPr>
          <w:rFonts w:hint="eastAsia" w:ascii="楷体" w:hAnsi="楷体" w:eastAsia="楷体" w:cs="楷体"/>
          <w:kern w:val="0"/>
          <w:sz w:val="24"/>
          <w:szCs w:val="24"/>
        </w:rPr>
      </w:pPr>
      <w:r>
        <w:rPr>
          <w:rFonts w:hint="eastAsia" w:ascii="楷体" w:hAnsi="楷体" w:eastAsia="楷体" w:cs="楷体"/>
          <w:kern w:val="0"/>
          <w:sz w:val="24"/>
          <w:szCs w:val="24"/>
        </w:rPr>
        <w:t>5.4 质保期:</w:t>
      </w:r>
      <w:r>
        <w:rPr>
          <w:rFonts w:hint="eastAsia" w:ascii="楷体" w:hAnsi="楷体" w:eastAsia="楷体" w:cs="楷体"/>
          <w:b/>
          <w:bCs/>
          <w:sz w:val="24"/>
          <w:szCs w:val="24"/>
        </w:rPr>
        <w:t>微波消解仪整机质保三年，</w:t>
      </w:r>
      <w:r>
        <w:rPr>
          <w:rFonts w:hint="eastAsia" w:ascii="楷体" w:hAnsi="楷体" w:eastAsia="楷体" w:cs="楷体"/>
          <w:sz w:val="24"/>
          <w:szCs w:val="24"/>
        </w:rPr>
        <w:t>微波腔体质保五年。</w:t>
      </w:r>
      <w:r>
        <w:rPr>
          <w:rFonts w:hint="eastAsia" w:ascii="楷体" w:hAnsi="楷体" w:eastAsia="楷体" w:cs="楷体"/>
          <w:kern w:val="0"/>
          <w:sz w:val="24"/>
          <w:szCs w:val="24"/>
        </w:rPr>
        <w:t>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r>
        <w:rPr>
          <w:rFonts w:hint="eastAsia" w:ascii="楷体" w:hAnsi="楷体" w:eastAsia="楷体" w:cs="楷体"/>
          <w:kern w:val="2"/>
          <w:sz w:val="24"/>
          <w:szCs w:val="24"/>
          <w:lang w:val="en-US" w:eastAsia="zh-CN"/>
        </w:rPr>
        <w:t>在投标文件中</w:t>
      </w:r>
      <w:r>
        <w:rPr>
          <w:rFonts w:hint="eastAsia" w:ascii="楷体" w:hAnsi="楷体" w:eastAsia="楷体" w:cs="楷体"/>
          <w:kern w:val="0"/>
          <w:sz w:val="24"/>
          <w:szCs w:val="24"/>
        </w:rPr>
        <w:t>提供不同维保方式的收费标准及折扣率），并且保证使用方能更换或购买到原厂正宗的零部件及易损件，确保设备的正常使用。</w:t>
      </w:r>
    </w:p>
    <w:p w14:paraId="34038C90">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5.5 维修服务：供货方在接到买方要求提供服务的电话后，会在15分钟内响应，24小时内到达现场检修仪器。如因非能事先预见的原因（包括没有完成服务所需的零部件）而使派遣的技术人员不能一次通过上门服务完成所需的协议服务，则供货方应承诺将采取有效及快捷之措施，在最短的时间内完成协议规定的维修服务。供货方应终身负责维护维修。</w:t>
      </w:r>
    </w:p>
    <w:p w14:paraId="3E54A0F9">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5.6 硬件维护及软件升级：供货方定期</w:t>
      </w:r>
      <w:r>
        <w:rPr>
          <w:rFonts w:hint="eastAsia" w:ascii="楷体" w:hAnsi="楷体" w:eastAsia="楷体" w:cs="楷体"/>
          <w:b/>
          <w:bCs/>
          <w:kern w:val="0"/>
          <w:sz w:val="24"/>
          <w:szCs w:val="24"/>
        </w:rPr>
        <w:t>（</w:t>
      </w:r>
      <w:r>
        <w:rPr>
          <w:rFonts w:hint="eastAsia" w:ascii="楷体" w:hAnsi="楷体" w:eastAsia="楷体" w:cs="楷体"/>
          <w:kern w:val="0"/>
          <w:sz w:val="24"/>
          <w:szCs w:val="24"/>
        </w:rPr>
        <w:t>1年不低于2次</w:t>
      </w:r>
      <w:r>
        <w:rPr>
          <w:rFonts w:hint="eastAsia" w:ascii="楷体" w:hAnsi="楷体" w:eastAsia="楷体" w:cs="楷体"/>
          <w:b/>
          <w:bCs/>
          <w:kern w:val="0"/>
          <w:sz w:val="24"/>
          <w:szCs w:val="24"/>
        </w:rPr>
        <w:t>）</w:t>
      </w:r>
      <w:r>
        <w:rPr>
          <w:rFonts w:hint="eastAsia" w:ascii="楷体" w:hAnsi="楷体" w:eastAsia="楷体" w:cs="楷体"/>
          <w:kern w:val="0"/>
          <w:sz w:val="24"/>
          <w:szCs w:val="24"/>
        </w:rPr>
        <w:t>提供免费上门维护服务，买方享有免费升级软件的权力，确保仪器软硬件正常使用。</w:t>
      </w:r>
    </w:p>
    <w:p w14:paraId="549B557B">
      <w:pPr>
        <w:autoSpaceDE w:val="0"/>
        <w:autoSpaceDN w:val="0"/>
        <w:adjustRightInd w:val="0"/>
        <w:spacing w:line="420" w:lineRule="exact"/>
        <w:jc w:val="left"/>
        <w:rPr>
          <w:rFonts w:hint="eastAsia" w:ascii="楷体" w:hAnsi="楷体" w:eastAsia="楷体" w:cs="楷体"/>
          <w:kern w:val="0"/>
          <w:sz w:val="24"/>
          <w:szCs w:val="24"/>
        </w:rPr>
      </w:pPr>
      <w:r>
        <w:rPr>
          <w:rFonts w:hint="eastAsia" w:ascii="楷体" w:hAnsi="楷体" w:eastAsia="楷体" w:cs="楷体"/>
          <w:kern w:val="0"/>
          <w:sz w:val="24"/>
          <w:szCs w:val="24"/>
        </w:rPr>
        <w:t>5.7 现场培训：供货方应免费对技术人员（总人数不少于3人）进行操作、维修、保养等方面进行培训，并提供现场操作培训，内容包括仪器的基本原理，操作保养，维修等方面，直到技术人员能独立操作和使用。</w:t>
      </w:r>
    </w:p>
    <w:p w14:paraId="556C56F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kern w:val="0"/>
          <w:sz w:val="24"/>
          <w:szCs w:val="24"/>
        </w:rPr>
        <w:t>5.8 培训班培训：供货方应提供相应的培训班计划，在开启培训班之前详细说明培训的方式、地点、人数、时间等实质性内容，买方可按照约定的培训名额个数（总人数不少于3人，单次培训不少于2人），报名参加供货方定期组织的集中培训班。培训名额自安装验收之日起3年内有效，超过3年供货方需提供扩展协议。培训课程由专职的售后应用及培训工程师完成培训。培训课程由基础理论、使用操作、日常维护、简单的维修、应用方法等内容组成。</w:t>
      </w:r>
    </w:p>
    <w:p w14:paraId="3B44324B">
      <w:pPr>
        <w:pStyle w:val="2"/>
        <w:spacing w:line="420" w:lineRule="exact"/>
        <w:rPr>
          <w:rFonts w:hint="eastAsia" w:ascii="楷体" w:hAnsi="楷体" w:eastAsia="楷体" w:cs="楷体"/>
          <w:sz w:val="24"/>
          <w:szCs w:val="24"/>
        </w:rPr>
      </w:pPr>
    </w:p>
    <w:p w14:paraId="68163B8D">
      <w:pPr>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五</w:t>
      </w:r>
      <w:r>
        <w:rPr>
          <w:rFonts w:hint="eastAsia" w:ascii="楷体" w:hAnsi="楷体" w:eastAsia="楷体" w:cs="楷体"/>
          <w:b/>
          <w:sz w:val="24"/>
          <w:szCs w:val="24"/>
          <w:lang w:eastAsia="zh-CN"/>
        </w:rPr>
        <w:t>）</w:t>
      </w:r>
      <w:r>
        <w:rPr>
          <w:rFonts w:hint="eastAsia" w:ascii="楷体" w:hAnsi="楷体" w:eastAsia="楷体" w:cs="楷体"/>
          <w:b/>
          <w:sz w:val="24"/>
          <w:szCs w:val="24"/>
        </w:rPr>
        <w:t>恒温恒湿称重系统技术及配置要求</w:t>
      </w:r>
    </w:p>
    <w:p w14:paraId="3E4E6810">
      <w:pPr>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1F3EC08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1、称量天平参数：</w:t>
      </w:r>
    </w:p>
    <w:p w14:paraId="4613EAF3">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（1）分辨力：≤0.01mg</w:t>
      </w:r>
    </w:p>
    <w:p w14:paraId="1B566D24">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（2）最大称量重量：＞80g</w:t>
      </w:r>
    </w:p>
    <w:p w14:paraId="047B3D4D">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（3）重复性：≤±0.03mg</w:t>
      </w:r>
    </w:p>
    <w:p w14:paraId="3F450D25">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（4）性能指标符合JJG1036要求</w:t>
      </w:r>
    </w:p>
    <w:p w14:paraId="3B65E177">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（5）天平防风罩可以自动开启闭合，在样品称量时，天平罩自动关闭</w:t>
      </w:r>
      <w:r>
        <w:rPr>
          <w:rFonts w:hint="eastAsia" w:ascii="楷体" w:hAnsi="楷体" w:eastAsia="楷体" w:cs="楷体"/>
          <w:sz w:val="24"/>
          <w:szCs w:val="24"/>
        </w:rPr>
        <w:tab/>
      </w:r>
    </w:p>
    <w:p w14:paraId="77602E89">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（6）天平防风罩自上而下整体采用透明材质设计，方便客户观察及摄像头记录样品称量情况。</w:t>
      </w:r>
    </w:p>
    <w:p w14:paraId="5411ED1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2、温度控制范围：+15℃～+30℃；</w:t>
      </w:r>
    </w:p>
    <w:p w14:paraId="4A30161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3、温度控制精度：±0.5℃；</w:t>
      </w:r>
    </w:p>
    <w:p w14:paraId="02008FA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4、湿度控制范围: +40％RH～+60％RH；</w:t>
      </w:r>
    </w:p>
    <w:p w14:paraId="1331C9A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5、仓内风速控制：≤0.2米/秒；</w:t>
      </w:r>
    </w:p>
    <w:p w14:paraId="2244754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6、静电消除时间：＜20秒；</w:t>
      </w:r>
    </w:p>
    <w:p w14:paraId="1FD896D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7、湿度控制精度：≤±5%；</w:t>
      </w:r>
    </w:p>
    <w:p w14:paraId="12DB786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8、样品处理能力：</w:t>
      </w:r>
    </w:p>
    <w:p w14:paraId="5C89E0E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（1）47mm工位单批次处理60张及以上</w:t>
      </w:r>
    </w:p>
    <w:p w14:paraId="50D9084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（2）90mm工位单批次处理20张及以上</w:t>
      </w:r>
    </w:p>
    <w:p w14:paraId="268B4C7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（3）滤筒单批次处理60个及以上</w:t>
      </w:r>
    </w:p>
    <w:p w14:paraId="15CFC7C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（4）低浓度采样头单批次处理60个及以上</w:t>
      </w:r>
    </w:p>
    <w:p w14:paraId="13B1384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（5）不更换载盘的前提下，可实现47mm滤膜、滤筒、低浓度采样头的混合称量。</w:t>
      </w:r>
    </w:p>
    <w:p w14:paraId="43D5F453">
      <w:pPr>
        <w:pStyle w:val="237"/>
        <w:spacing w:line="420" w:lineRule="exact"/>
        <w:ind w:firstLine="0" w:firstLineChars="0"/>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2419945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1、同一软件界面实时显示温度、湿度、称量数据等情况，同时还能够生成工作仓内的温度均匀性、湿度均匀性的曲线报表，以方便工作人员查看。</w:t>
      </w:r>
    </w:p>
    <w:p w14:paraId="103A02E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2、恒温恒湿环境下自动称量47mm、90mm、3#滤筒和低浓度采样头；</w:t>
      </w:r>
    </w:p>
    <w:p w14:paraId="0C24813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3、设备配备机械臂，机械臂采用托举方式运送样品，保证样品传送的稳定性，机械臂可以旋转、升降，能快速直接到达任意滤膜放置位置调取滤膜；</w:t>
      </w:r>
    </w:p>
    <w:p w14:paraId="0276045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4、系统具有样品编码识别功能，可识别二维码、条形码功能；</w:t>
      </w:r>
    </w:p>
    <w:p w14:paraId="6C00B0E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5、系统具有多重去静电功能：</w:t>
      </w:r>
    </w:p>
    <w:p w14:paraId="12C32D8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6、系统配备防震工作台，三级防震；</w:t>
      </w:r>
    </w:p>
    <w:p w14:paraId="50D32AC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7、系统称量环境控制仓具备静压内循环功能，进风方式应为自上而下整体下压方式，设备整个顶部应有密集的出风口，可充分保证设备的温湿度均匀性； </w:t>
      </w:r>
    </w:p>
    <w:p w14:paraId="3CB950F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8、恒温恒湿箱体采用正面整体全贴合单开门大玻璃视窗，便于用户随时查看及使用软件对箱体内部运行情况进行调整。</w:t>
      </w:r>
    </w:p>
    <w:p w14:paraId="28012C8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9、具备高效过滤器，控制仓内空气洁净度；</w:t>
      </w:r>
    </w:p>
    <w:p w14:paraId="64B9B3C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10、温湿度控制机组和主机采用分体设计。温湿度控制系统外置，且与主机之间软管连接，最大限度减少压缩机震动对天平影响。</w:t>
      </w:r>
    </w:p>
    <w:p w14:paraId="3B1AD88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11、具有温度、湿度等称量环境的实时监控功能；</w:t>
      </w:r>
    </w:p>
    <w:p w14:paraId="01D12926">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12、能够生成工作仓内的温度均匀性、湿度均匀性的曲线报表；</w:t>
      </w:r>
    </w:p>
    <w:p w14:paraId="6ED8212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13、天平内部具备自动校验功能；</w:t>
      </w:r>
    </w:p>
    <w:p w14:paraId="0185FEC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14、数据导出格式为预留xls，系统能自动记录称重开始时间、称重结束时间、环境参数、异常存储并报警等。</w:t>
      </w:r>
    </w:p>
    <w:p w14:paraId="34B019D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15、设备具有自动加排水功能，当水箱中的水不够时，系统会进行自动报警提示；</w:t>
      </w:r>
    </w:p>
    <w:p w14:paraId="566C368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16、设备应配有滚轮，且设备安装完成后的尺寸应可满足整机从实验室门进出；</w:t>
      </w:r>
    </w:p>
    <w:p w14:paraId="4245097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17、具备样品卡位和掉落检测及报警功能，机械手可自动脱落保护，且可以即插即用。</w:t>
      </w:r>
    </w:p>
    <w:p w14:paraId="5692F0C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18、配套质控溯源平台：平台能够真实记录样品登记、流转、称重等关键环节信息，实现作业流程的全程质控；称量设备与称量样品与云平台实行数据互联互通，并查询样品监测过程的细节溯源； </w:t>
      </w:r>
    </w:p>
    <w:p w14:paraId="671FDEF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19、滤膜采用整体称重滤膜，并带条形码和数字码，保证采样、运输、称量一体化。</w:t>
      </w:r>
    </w:p>
    <w:p w14:paraId="1E2B7BF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20、设备具有可扩展性，升级后47mm滤膜单次称量数量不少于400张。</w:t>
      </w:r>
    </w:p>
    <w:p w14:paraId="6608DAC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21、设备可扩展升级为采样称量一体机，扩展后可实现样品采样、称量全、上报数据的全自动流转</w:t>
      </w:r>
    </w:p>
    <w:p w14:paraId="086898FA">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仪器配置及要求</w:t>
      </w:r>
    </w:p>
    <w:p w14:paraId="60A104C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1、十万分之一天平1套</w:t>
      </w:r>
    </w:p>
    <w:p w14:paraId="5CD0511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2、封闭式恒温恒湿机柜1台</w:t>
      </w:r>
    </w:p>
    <w:p w14:paraId="75A3B49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3、静电消除器1套</w:t>
      </w:r>
    </w:p>
    <w:p w14:paraId="6765582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4、样品存储架1套</w:t>
      </w:r>
    </w:p>
    <w:p w14:paraId="6FB7D8F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5、样品读码装置2套</w:t>
      </w:r>
    </w:p>
    <w:p w14:paraId="5B93121E">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6、天平防风罩1套</w:t>
      </w:r>
    </w:p>
    <w:p w14:paraId="79630DD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7、机械臂1套</w:t>
      </w:r>
    </w:p>
    <w:p w14:paraId="7A7EC127">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8、软硬件控制系统1套</w:t>
      </w:r>
    </w:p>
    <w:p w14:paraId="56E6E2F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9、温湿度传感器1套</w:t>
      </w:r>
    </w:p>
    <w:p w14:paraId="7286C01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10、滤膜自动切割模块1套</w:t>
      </w:r>
    </w:p>
    <w:p w14:paraId="45011D2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11、样品掉落自动检测模块1套</w:t>
      </w:r>
    </w:p>
    <w:p w14:paraId="6A2CA9D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12、数据处理工作站1套</w:t>
      </w:r>
    </w:p>
    <w:p w14:paraId="0AA7FF47">
      <w:pPr>
        <w:spacing w:line="420" w:lineRule="exact"/>
        <w:rPr>
          <w:rFonts w:hint="eastAsia" w:ascii="楷体" w:hAnsi="楷体" w:eastAsia="楷体" w:cs="楷体"/>
          <w:b/>
          <w:bCs/>
          <w:sz w:val="24"/>
          <w:szCs w:val="24"/>
        </w:rPr>
      </w:pPr>
      <w:r>
        <w:rPr>
          <w:rFonts w:hint="eastAsia" w:ascii="楷体" w:hAnsi="楷体" w:eastAsia="楷体" w:cs="楷体"/>
          <w:b/>
          <w:bCs/>
          <w:sz w:val="24"/>
          <w:szCs w:val="24"/>
          <w:lang w:val="en-US" w:eastAsia="zh-CN"/>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bCs/>
          <w:sz w:val="24"/>
          <w:szCs w:val="24"/>
          <w:lang w:val="en-US" w:eastAsia="zh-CN"/>
        </w:rPr>
        <w:t>及</w:t>
      </w:r>
      <w:r>
        <w:rPr>
          <w:rFonts w:hint="eastAsia" w:ascii="楷体" w:hAnsi="楷体" w:eastAsia="楷体" w:cs="楷体"/>
          <w:b/>
          <w:bCs/>
          <w:sz w:val="24"/>
          <w:szCs w:val="24"/>
        </w:rPr>
        <w:t>服务</w:t>
      </w:r>
      <w:r>
        <w:rPr>
          <w:rFonts w:hint="eastAsia" w:ascii="楷体" w:hAnsi="楷体" w:eastAsia="楷体" w:cs="楷体"/>
          <w:b/>
          <w:bCs/>
          <w:sz w:val="24"/>
          <w:szCs w:val="24"/>
          <w:lang w:val="en-US" w:eastAsia="zh-CN"/>
        </w:rPr>
        <w:t>要求</w:t>
      </w:r>
    </w:p>
    <w:p w14:paraId="7BB8EC7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32CFB9E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（1）保证产品为全新原厂设备。</w:t>
      </w:r>
    </w:p>
    <w:p w14:paraId="7D30EA3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（2）供货方保证产品不存在因材质、设计、制造等问题所引起的缺陷，否则应无偿予以纠正。</w:t>
      </w:r>
    </w:p>
    <w:p w14:paraId="3AAD6AA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（3）合同签订后 30 工作日内完成供货及安装，在到货日期的2天内，安排工程师到用户现场进行安装、校验和运行测试并验收。</w:t>
      </w:r>
    </w:p>
    <w:p w14:paraId="7A927884">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（4）合同签订后，在一周内安排专业的工程师到现场提供专业的实验室仪器安装条件及所有设备相关资料，提供详尽仪器使用说明书或操作手册，安装场地详细要求； </w:t>
      </w:r>
    </w:p>
    <w:p w14:paraId="3B1D9A5E">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2、售后服务</w:t>
      </w:r>
    </w:p>
    <w:p w14:paraId="540817B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（1）自验收合格之日起，质保期三年。质保期内，对产品质量实行三包，因设备配置或制造质量问题而引起的故障，应在48小时内立即予以免费维修或更换并承担由此产生的一切费用。</w:t>
      </w:r>
    </w:p>
    <w:p w14:paraId="6ED1B552">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指派专人负责与采购人联系售后服务事宜。质保期内应免费提供技术服务，技术服务包括硬件更换、维修（包括更换仪器及零配件等）系统的维护和技术支持。在质保期内，供货方应对由于设计、工艺或材料的缺陷所发生的任何不足或故障负责，所需费用由供货方承担。</w:t>
      </w:r>
    </w:p>
    <w:p w14:paraId="04D8CBB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（3）技术支持响应时间：在接到采购单位维修函电后，必须在2小时内对及时对提出的维修要求作出响应，48小时内到达维修现场，并在最短时间内修复完毕。</w:t>
      </w:r>
    </w:p>
    <w:p w14:paraId="412094B1">
      <w:pPr>
        <w:autoSpaceDE w:val="0"/>
        <w:autoSpaceDN w:val="0"/>
        <w:adjustRightInd w:val="0"/>
        <w:spacing w:line="420" w:lineRule="exact"/>
        <w:rPr>
          <w:rFonts w:hint="eastAsia" w:ascii="楷体" w:hAnsi="楷体" w:eastAsia="楷体" w:cs="楷体"/>
          <w:sz w:val="24"/>
          <w:szCs w:val="24"/>
          <w:lang w:eastAsia="zh-CN"/>
        </w:rPr>
      </w:pPr>
      <w:r>
        <w:rPr>
          <w:rFonts w:hint="eastAsia" w:ascii="楷体" w:hAnsi="楷体" w:eastAsia="楷体" w:cs="楷体"/>
          <w:sz w:val="24"/>
          <w:szCs w:val="24"/>
        </w:rPr>
        <w:t>（4）提供定期巡检服务，巡检内容包括常规检查、调整和设备润滑、保养</w:t>
      </w:r>
      <w:r>
        <w:rPr>
          <w:rFonts w:hint="eastAsia" w:ascii="楷体" w:hAnsi="楷体" w:eastAsia="楷体" w:cs="楷体"/>
          <w:sz w:val="24"/>
          <w:szCs w:val="24"/>
          <w:lang w:eastAsia="zh-CN"/>
        </w:rPr>
        <w:t>。</w:t>
      </w:r>
    </w:p>
    <w:p w14:paraId="4CDB82D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（5）保质期外保证长期供应零备件等材料，并提供终身的售后维修服务。</w:t>
      </w:r>
    </w:p>
    <w:p w14:paraId="0A69D76F">
      <w:pPr>
        <w:pStyle w:val="2"/>
        <w:spacing w:line="420" w:lineRule="exact"/>
        <w:rPr>
          <w:rFonts w:hint="eastAsia" w:ascii="楷体" w:hAnsi="楷体" w:eastAsia="楷体" w:cs="楷体"/>
          <w:sz w:val="24"/>
          <w:szCs w:val="24"/>
        </w:rPr>
      </w:pPr>
    </w:p>
    <w:p w14:paraId="678D888D">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六</w:t>
      </w:r>
      <w:r>
        <w:rPr>
          <w:rFonts w:hint="eastAsia" w:ascii="楷体" w:hAnsi="楷体" w:eastAsia="楷体" w:cs="楷体"/>
          <w:b/>
          <w:sz w:val="24"/>
          <w:szCs w:val="24"/>
          <w:lang w:eastAsia="zh-CN"/>
        </w:rPr>
        <w:t>）</w:t>
      </w:r>
      <w:r>
        <w:rPr>
          <w:rFonts w:hint="eastAsia" w:ascii="楷体" w:hAnsi="楷体" w:eastAsia="楷体" w:cs="楷体"/>
          <w:b/>
          <w:sz w:val="24"/>
          <w:szCs w:val="24"/>
        </w:rPr>
        <w:t>十万分之一电子天平技术及配置要求</w:t>
      </w:r>
    </w:p>
    <w:p w14:paraId="229FECEE">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应用范围</w:t>
      </w:r>
    </w:p>
    <w:p w14:paraId="4D8E696B">
      <w:pPr>
        <w:spacing w:line="420" w:lineRule="exact"/>
        <w:rPr>
          <w:rFonts w:hint="eastAsia" w:ascii="楷体" w:hAnsi="楷体" w:eastAsia="楷体" w:cs="楷体"/>
          <w:b/>
          <w:sz w:val="24"/>
          <w:szCs w:val="24"/>
        </w:rPr>
      </w:pPr>
      <w:r>
        <w:rPr>
          <w:rFonts w:hint="eastAsia" w:ascii="楷体" w:hAnsi="楷体" w:eastAsia="楷体" w:cs="楷体"/>
          <w:sz w:val="24"/>
          <w:szCs w:val="24"/>
        </w:rPr>
        <w:t>1、适用于基准试剂称量。</w:t>
      </w:r>
    </w:p>
    <w:p w14:paraId="4CF5A906">
      <w:pPr>
        <w:spacing w:line="420" w:lineRule="exact"/>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1FABD7FA">
      <w:pPr>
        <w:spacing w:line="420" w:lineRule="exact"/>
        <w:rPr>
          <w:rFonts w:hint="eastAsia" w:ascii="楷体" w:hAnsi="楷体" w:eastAsia="楷体" w:cs="楷体"/>
          <w:bCs/>
          <w:sz w:val="24"/>
          <w:szCs w:val="24"/>
        </w:rPr>
      </w:pPr>
      <w:r>
        <w:rPr>
          <w:rFonts w:hint="eastAsia" w:ascii="楷体" w:hAnsi="楷体" w:eastAsia="楷体" w:cs="楷体"/>
          <w:bCs/>
          <w:sz w:val="24"/>
          <w:szCs w:val="24"/>
        </w:rPr>
        <w:t>1、称重能力：不高于60|120g；</w:t>
      </w:r>
    </w:p>
    <w:p w14:paraId="4237F167">
      <w:pPr>
        <w:spacing w:line="420" w:lineRule="exact"/>
        <w:rPr>
          <w:rFonts w:hint="eastAsia" w:ascii="楷体" w:hAnsi="楷体" w:eastAsia="楷体" w:cs="楷体"/>
          <w:bCs/>
          <w:sz w:val="24"/>
          <w:szCs w:val="24"/>
        </w:rPr>
      </w:pPr>
      <w:r>
        <w:rPr>
          <w:rFonts w:hint="eastAsia" w:ascii="楷体" w:hAnsi="楷体" w:eastAsia="楷体" w:cs="楷体"/>
          <w:bCs/>
          <w:sz w:val="24"/>
          <w:szCs w:val="24"/>
        </w:rPr>
        <w:t>2、可读性：不高于0.01|0.1mg；</w:t>
      </w:r>
    </w:p>
    <w:p w14:paraId="6B7D4368">
      <w:pPr>
        <w:spacing w:line="420" w:lineRule="exact"/>
        <w:rPr>
          <w:rFonts w:hint="eastAsia" w:ascii="楷体" w:hAnsi="楷体" w:eastAsia="楷体" w:cs="楷体"/>
          <w:bCs/>
          <w:sz w:val="24"/>
          <w:szCs w:val="24"/>
        </w:rPr>
      </w:pPr>
      <w:r>
        <w:rPr>
          <w:rFonts w:hint="eastAsia" w:ascii="楷体" w:hAnsi="楷体" w:eastAsia="楷体" w:cs="楷体"/>
          <w:bCs/>
          <w:sz w:val="24"/>
          <w:szCs w:val="24"/>
        </w:rPr>
        <w:t>3、称重盘尺寸：不大于85*85mm；</w:t>
      </w:r>
    </w:p>
    <w:p w14:paraId="710320A5">
      <w:pPr>
        <w:spacing w:line="420" w:lineRule="exact"/>
        <w:rPr>
          <w:rFonts w:hint="eastAsia" w:ascii="楷体" w:hAnsi="楷体" w:eastAsia="楷体" w:cs="楷体"/>
          <w:bCs/>
          <w:sz w:val="24"/>
          <w:szCs w:val="24"/>
        </w:rPr>
      </w:pPr>
      <w:r>
        <w:rPr>
          <w:rFonts w:hint="eastAsia" w:ascii="楷体" w:hAnsi="楷体" w:eastAsia="楷体" w:cs="楷体"/>
          <w:bCs/>
          <w:sz w:val="24"/>
          <w:szCs w:val="24"/>
        </w:rPr>
        <w:t>4、典型的稳定时间：不高于2s；</w:t>
      </w:r>
    </w:p>
    <w:p w14:paraId="262E4EA1">
      <w:pPr>
        <w:spacing w:line="420" w:lineRule="exact"/>
        <w:rPr>
          <w:rFonts w:hint="eastAsia" w:ascii="楷体" w:hAnsi="楷体" w:eastAsia="楷体" w:cs="楷体"/>
          <w:bCs/>
          <w:sz w:val="24"/>
          <w:szCs w:val="24"/>
        </w:rPr>
      </w:pPr>
      <w:r>
        <w:rPr>
          <w:rFonts w:hint="eastAsia" w:ascii="楷体" w:hAnsi="楷体" w:eastAsia="楷体" w:cs="楷体"/>
          <w:bCs/>
          <w:sz w:val="24"/>
          <w:szCs w:val="24"/>
        </w:rPr>
        <w:t>5、典型的测量时间：不高于6s；</w:t>
      </w:r>
    </w:p>
    <w:p w14:paraId="27D81D48">
      <w:pPr>
        <w:spacing w:line="420" w:lineRule="exact"/>
        <w:rPr>
          <w:rFonts w:hint="eastAsia" w:ascii="楷体" w:hAnsi="楷体" w:eastAsia="楷体" w:cs="楷体"/>
          <w:bCs/>
          <w:sz w:val="24"/>
          <w:szCs w:val="24"/>
        </w:rPr>
      </w:pPr>
      <w:r>
        <w:rPr>
          <w:rFonts w:hint="eastAsia" w:ascii="楷体" w:hAnsi="楷体" w:eastAsia="楷体" w:cs="楷体"/>
          <w:bCs/>
          <w:sz w:val="24"/>
          <w:szCs w:val="24"/>
        </w:rPr>
        <w:t>6、接近最大量程处重复性：不高于0.06mg；</w:t>
      </w:r>
    </w:p>
    <w:p w14:paraId="43513A20">
      <w:pPr>
        <w:spacing w:line="420" w:lineRule="exact"/>
        <w:rPr>
          <w:rFonts w:hint="eastAsia" w:ascii="楷体" w:hAnsi="楷体" w:eastAsia="楷体" w:cs="楷体"/>
          <w:bCs/>
          <w:sz w:val="24"/>
          <w:szCs w:val="24"/>
        </w:rPr>
      </w:pPr>
      <w:r>
        <w:rPr>
          <w:rFonts w:hint="eastAsia" w:ascii="楷体" w:hAnsi="楷体" w:eastAsia="楷体" w:cs="楷体"/>
          <w:bCs/>
          <w:sz w:val="24"/>
          <w:szCs w:val="24"/>
        </w:rPr>
        <w:t>7、线性误差：不高于0.15mg；</w:t>
      </w:r>
    </w:p>
    <w:p w14:paraId="78266832">
      <w:pPr>
        <w:spacing w:line="420" w:lineRule="exact"/>
        <w:rPr>
          <w:rFonts w:hint="eastAsia" w:ascii="楷体" w:hAnsi="楷体" w:eastAsia="楷体" w:cs="楷体"/>
          <w:bCs/>
          <w:sz w:val="24"/>
          <w:szCs w:val="24"/>
        </w:rPr>
      </w:pPr>
      <w:r>
        <w:rPr>
          <w:rFonts w:hint="eastAsia" w:ascii="楷体" w:hAnsi="楷体" w:eastAsia="楷体" w:cs="楷体"/>
          <w:bCs/>
          <w:sz w:val="24"/>
          <w:szCs w:val="24"/>
        </w:rPr>
        <w:t>8、偏心载重(检验载重)：不高于0.2mg（50g）；</w:t>
      </w:r>
    </w:p>
    <w:p w14:paraId="422C511E">
      <w:pPr>
        <w:spacing w:line="420" w:lineRule="exact"/>
        <w:rPr>
          <w:rFonts w:hint="eastAsia" w:ascii="楷体" w:hAnsi="楷体" w:eastAsia="楷体" w:cs="楷体"/>
          <w:bCs/>
          <w:sz w:val="24"/>
          <w:szCs w:val="24"/>
        </w:rPr>
      </w:pPr>
      <w:r>
        <w:rPr>
          <w:rFonts w:hint="eastAsia" w:ascii="楷体" w:hAnsi="楷体" w:eastAsia="楷体" w:cs="楷体"/>
          <w:bCs/>
          <w:sz w:val="24"/>
          <w:szCs w:val="24"/>
        </w:rPr>
        <w:t>9、操作范围的最佳起点（典型值）：不低于8.2mg。</w:t>
      </w:r>
    </w:p>
    <w:p w14:paraId="286442DE">
      <w:pPr>
        <w:spacing w:line="420" w:lineRule="exact"/>
        <w:rPr>
          <w:rFonts w:hint="eastAsia" w:ascii="楷体" w:hAnsi="楷体" w:eastAsia="楷体" w:cs="楷体"/>
          <w:sz w:val="24"/>
          <w:szCs w:val="24"/>
        </w:rPr>
      </w:pPr>
      <w:r>
        <w:rPr>
          <w:rFonts w:hint="eastAsia" w:ascii="楷体" w:hAnsi="楷体" w:eastAsia="楷体" w:cs="楷体"/>
          <w:b/>
          <w:bCs/>
          <w:sz w:val="24"/>
          <w:szCs w:val="24"/>
        </w:rPr>
        <w:t>三</w:t>
      </w:r>
      <w:r>
        <w:rPr>
          <w:rFonts w:hint="eastAsia" w:ascii="楷体" w:hAnsi="楷体" w:eastAsia="楷体" w:cs="楷体"/>
          <w:b/>
          <w:bCs/>
          <w:sz w:val="24"/>
          <w:szCs w:val="24"/>
          <w:lang w:eastAsia="zh-CN"/>
        </w:rPr>
        <w:t>）</w:t>
      </w:r>
      <w:r>
        <w:rPr>
          <w:rFonts w:hint="eastAsia" w:ascii="楷体" w:hAnsi="楷体" w:eastAsia="楷体" w:cs="楷体"/>
          <w:b/>
          <w:bCs/>
          <w:sz w:val="24"/>
          <w:szCs w:val="24"/>
        </w:rPr>
        <w:t>功能指标</w:t>
      </w:r>
    </w:p>
    <w:p w14:paraId="658AA3D2">
      <w:pPr>
        <w:spacing w:line="420" w:lineRule="exact"/>
        <w:rPr>
          <w:rFonts w:hint="eastAsia" w:ascii="楷体" w:hAnsi="楷体" w:eastAsia="楷体" w:cs="楷体"/>
          <w:sz w:val="24"/>
          <w:szCs w:val="24"/>
        </w:rPr>
      </w:pPr>
      <w:r>
        <w:rPr>
          <w:rFonts w:hint="eastAsia" w:ascii="楷体" w:hAnsi="楷体" w:eastAsia="楷体" w:cs="楷体"/>
          <w:sz w:val="24"/>
          <w:szCs w:val="24"/>
        </w:rPr>
        <w:t>1、智能操作界面，不少于7英寸彩色触摸屏，清晰显示文本和图形，操作简单。显示器可分离，适应不同称量操作需求，方便结果读取；</w:t>
      </w:r>
    </w:p>
    <w:p w14:paraId="758B00D7">
      <w:pPr>
        <w:spacing w:line="420" w:lineRule="exact"/>
        <w:rPr>
          <w:rFonts w:hint="eastAsia" w:ascii="楷体" w:hAnsi="楷体" w:eastAsia="楷体" w:cs="楷体"/>
          <w:sz w:val="24"/>
          <w:szCs w:val="24"/>
        </w:rPr>
      </w:pPr>
      <w:r>
        <w:rPr>
          <w:rFonts w:hint="eastAsia" w:ascii="楷体" w:hAnsi="楷体" w:eastAsia="楷体" w:cs="楷体"/>
          <w:sz w:val="24"/>
          <w:szCs w:val="24"/>
        </w:rPr>
        <w:t>2、内置不少于60种标准应用程序，在天平上就可实现各种操作，满足用户多种称量及应用需求，免费软件升级；</w:t>
      </w:r>
    </w:p>
    <w:p w14:paraId="58E16AFC">
      <w:pPr>
        <w:spacing w:line="420" w:lineRule="exact"/>
        <w:rPr>
          <w:rFonts w:hint="eastAsia" w:ascii="楷体" w:hAnsi="楷体" w:eastAsia="楷体" w:cs="楷体"/>
          <w:sz w:val="24"/>
          <w:szCs w:val="24"/>
        </w:rPr>
      </w:pPr>
      <w:r>
        <w:rPr>
          <w:rFonts w:hint="eastAsia" w:ascii="楷体" w:hAnsi="楷体" w:eastAsia="楷体" w:cs="楷体"/>
          <w:sz w:val="24"/>
          <w:szCs w:val="24"/>
        </w:rPr>
        <w:t>3、标配全自动调水平功能，马达驱动，无需手动调整水平；</w:t>
      </w:r>
    </w:p>
    <w:p w14:paraId="10CE11F4">
      <w:pPr>
        <w:spacing w:line="420" w:lineRule="exact"/>
        <w:rPr>
          <w:rFonts w:hint="eastAsia" w:ascii="楷体" w:hAnsi="楷体" w:eastAsia="楷体" w:cs="楷体"/>
          <w:sz w:val="24"/>
          <w:szCs w:val="24"/>
        </w:rPr>
      </w:pPr>
      <w:r>
        <w:rPr>
          <w:rFonts w:hint="eastAsia" w:ascii="楷体" w:hAnsi="楷体" w:eastAsia="楷体" w:cs="楷体"/>
          <w:sz w:val="24"/>
          <w:szCs w:val="24"/>
        </w:rPr>
        <w:t>4、单体传感器，响应速度更快，性能更好，并能适应较差的环境，具有全自动四角误差补偿功能，全面提升计量指标；</w:t>
      </w:r>
    </w:p>
    <w:p w14:paraId="29DFD74C">
      <w:pPr>
        <w:spacing w:line="420" w:lineRule="exact"/>
        <w:rPr>
          <w:rFonts w:hint="eastAsia" w:ascii="楷体" w:hAnsi="楷体" w:eastAsia="楷体" w:cs="楷体"/>
          <w:sz w:val="24"/>
          <w:szCs w:val="24"/>
        </w:rPr>
      </w:pPr>
      <w:r>
        <w:rPr>
          <w:rFonts w:hint="eastAsia" w:ascii="楷体" w:hAnsi="楷体" w:eastAsia="楷体" w:cs="楷体"/>
          <w:sz w:val="24"/>
          <w:szCs w:val="24"/>
        </w:rPr>
        <w:t>5、称盘下沉式设计：可拆卸，便于清洁；</w:t>
      </w:r>
    </w:p>
    <w:p w14:paraId="11414613">
      <w:pPr>
        <w:spacing w:line="420" w:lineRule="exact"/>
        <w:rPr>
          <w:rFonts w:hint="eastAsia" w:ascii="楷体" w:hAnsi="楷体" w:eastAsia="楷体" w:cs="楷体"/>
          <w:sz w:val="24"/>
          <w:szCs w:val="24"/>
        </w:rPr>
      </w:pPr>
      <w:r>
        <w:rPr>
          <w:rFonts w:hint="eastAsia" w:ascii="楷体" w:hAnsi="楷体" w:eastAsia="楷体" w:cs="楷体"/>
          <w:sz w:val="24"/>
          <w:szCs w:val="24"/>
        </w:rPr>
        <w:t>6、玻璃表面镀有导电涂层，有效减小静电干扰；</w:t>
      </w:r>
    </w:p>
    <w:p w14:paraId="1D4DDA31">
      <w:pPr>
        <w:spacing w:line="420" w:lineRule="exact"/>
        <w:rPr>
          <w:rFonts w:hint="eastAsia" w:ascii="楷体" w:hAnsi="楷体" w:eastAsia="楷体" w:cs="楷体"/>
          <w:sz w:val="24"/>
          <w:szCs w:val="24"/>
        </w:rPr>
      </w:pPr>
      <w:r>
        <w:rPr>
          <w:rFonts w:hint="eastAsia" w:ascii="楷体" w:hAnsi="楷体" w:eastAsia="楷体" w:cs="楷体"/>
          <w:sz w:val="24"/>
          <w:szCs w:val="24"/>
        </w:rPr>
        <w:t>7、不少于4级用户管理功能，可实现组群管理，可创建不低于100个独立用户，可给每个用户分配不同的权限，设置密码保护。</w:t>
      </w:r>
    </w:p>
    <w:p w14:paraId="3483E3D5">
      <w:pPr>
        <w:spacing w:line="420" w:lineRule="exact"/>
        <w:rPr>
          <w:rFonts w:hint="eastAsia" w:ascii="楷体" w:hAnsi="楷体" w:eastAsia="楷体" w:cs="楷体"/>
          <w:sz w:val="24"/>
          <w:szCs w:val="24"/>
        </w:rPr>
      </w:pPr>
      <w:r>
        <w:rPr>
          <w:rFonts w:hint="eastAsia" w:ascii="楷体" w:hAnsi="楷体" w:eastAsia="楷体" w:cs="楷体"/>
          <w:sz w:val="24"/>
          <w:szCs w:val="24"/>
        </w:rPr>
        <w:t>8、审计追踪功能，记录天平的各项设置更改，校准记录，所有信息均可筛选通过U盘导出；</w:t>
      </w:r>
    </w:p>
    <w:p w14:paraId="768D2519">
      <w:pPr>
        <w:spacing w:line="420" w:lineRule="exact"/>
        <w:rPr>
          <w:rFonts w:hint="eastAsia" w:ascii="楷体" w:hAnsi="楷体" w:eastAsia="楷体" w:cs="楷体"/>
          <w:sz w:val="24"/>
          <w:szCs w:val="24"/>
        </w:rPr>
      </w:pPr>
      <w:r>
        <w:rPr>
          <w:rFonts w:hint="eastAsia" w:ascii="楷体" w:hAnsi="楷体" w:eastAsia="楷体" w:cs="楷体"/>
          <w:sz w:val="24"/>
          <w:szCs w:val="24"/>
        </w:rPr>
        <w:t>9、内置存储器，可存储不少于15万条称重数据，并且具有循环覆盖机制；所有记录可通过U盘进行安全备份；</w:t>
      </w:r>
    </w:p>
    <w:p w14:paraId="6D8E9D2F">
      <w:pPr>
        <w:spacing w:line="420" w:lineRule="exact"/>
        <w:rPr>
          <w:rFonts w:hint="eastAsia" w:ascii="楷体" w:hAnsi="楷体" w:eastAsia="楷体" w:cs="楷体"/>
          <w:sz w:val="24"/>
          <w:szCs w:val="24"/>
        </w:rPr>
      </w:pPr>
      <w:r>
        <w:rPr>
          <w:rFonts w:hint="eastAsia" w:ascii="楷体" w:hAnsi="楷体" w:eastAsia="楷体" w:cs="楷体"/>
          <w:sz w:val="24"/>
          <w:szCs w:val="24"/>
        </w:rPr>
        <w:t>10、对于每个已生成和保存的文件，在数据生命周期期间，可自动计算以检测篡改；</w:t>
      </w:r>
    </w:p>
    <w:p w14:paraId="3BBFD8B8">
      <w:pPr>
        <w:spacing w:line="420" w:lineRule="exact"/>
        <w:rPr>
          <w:rFonts w:hint="eastAsia" w:ascii="楷体" w:hAnsi="楷体" w:eastAsia="楷体" w:cs="楷体"/>
          <w:sz w:val="24"/>
          <w:szCs w:val="24"/>
        </w:rPr>
      </w:pPr>
      <w:r>
        <w:rPr>
          <w:rFonts w:hint="eastAsia" w:ascii="楷体" w:hAnsi="楷体" w:eastAsia="楷体" w:cs="楷体"/>
          <w:sz w:val="24"/>
          <w:szCs w:val="24"/>
        </w:rPr>
        <w:t>11、用户可自定义数据输出方式和内容，打印预览，错误数据可进行无效处理及原因说明。</w:t>
      </w:r>
    </w:p>
    <w:p w14:paraId="33FAD05D">
      <w:pPr>
        <w:spacing w:line="420" w:lineRule="exact"/>
        <w:rPr>
          <w:rFonts w:hint="eastAsia" w:ascii="楷体" w:hAnsi="楷体" w:eastAsia="楷体" w:cs="楷体"/>
          <w:sz w:val="24"/>
          <w:szCs w:val="24"/>
        </w:rPr>
      </w:pPr>
      <w:r>
        <w:rPr>
          <w:rFonts w:hint="eastAsia" w:ascii="楷体" w:hAnsi="楷体" w:eastAsia="楷体" w:cs="楷体"/>
          <w:sz w:val="24"/>
          <w:szCs w:val="24"/>
        </w:rPr>
        <w:t>12、当天平接入局域网，时间每发生2s偏差便会自动同步；</w:t>
      </w:r>
    </w:p>
    <w:p w14:paraId="3193AEA6">
      <w:pPr>
        <w:spacing w:line="420" w:lineRule="exact"/>
        <w:rPr>
          <w:rFonts w:hint="eastAsia" w:ascii="楷体" w:hAnsi="楷体" w:eastAsia="楷体" w:cs="楷体"/>
          <w:sz w:val="24"/>
          <w:szCs w:val="24"/>
        </w:rPr>
      </w:pPr>
      <w:r>
        <w:rPr>
          <w:rFonts w:hint="eastAsia" w:ascii="楷体" w:hAnsi="楷体" w:eastAsia="楷体" w:cs="楷体"/>
          <w:sz w:val="24"/>
          <w:szCs w:val="24"/>
        </w:rPr>
        <w:t>13、温度和时间触发的自动内部校准功能，内置两组校准砝码，可灵活定义天平进行内部校准、外部校准、多点线性校准。</w:t>
      </w:r>
    </w:p>
    <w:p w14:paraId="1DF80D0B">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仪器配置及要求</w:t>
      </w:r>
    </w:p>
    <w:p w14:paraId="39884FE1">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1、十万分之一电子天平1台</w:t>
      </w:r>
    </w:p>
    <w:p w14:paraId="41C48C66">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2、玻璃罩1个</w:t>
      </w:r>
    </w:p>
    <w:p w14:paraId="06E7733E">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3、秤盘1个</w:t>
      </w:r>
    </w:p>
    <w:p w14:paraId="7CC1A4A7">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4、控制器1个</w:t>
      </w:r>
    </w:p>
    <w:p w14:paraId="6972C7CA">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5、电源1个</w:t>
      </w:r>
    </w:p>
    <w:p w14:paraId="54335C4A">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6、防尘罩1个</w:t>
      </w:r>
    </w:p>
    <w:p w14:paraId="7A6A0089">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五</w:t>
      </w:r>
      <w:r>
        <w:rPr>
          <w:rFonts w:hint="eastAsia" w:ascii="楷体" w:hAnsi="楷体" w:eastAsia="楷体" w:cs="楷体"/>
          <w:b/>
          <w:bCs/>
          <w:sz w:val="24"/>
          <w:szCs w:val="24"/>
          <w:lang w:eastAsia="zh-CN"/>
        </w:rPr>
        <w:t>）</w:t>
      </w:r>
      <w:r>
        <w:rPr>
          <w:rFonts w:hint="eastAsia" w:ascii="楷体" w:hAnsi="楷体" w:eastAsia="楷体" w:cs="楷体"/>
          <w:b/>
          <w:bCs/>
          <w:sz w:val="24"/>
          <w:szCs w:val="24"/>
        </w:rPr>
        <w:t>质量保证及售后服务</w:t>
      </w:r>
    </w:p>
    <w:p w14:paraId="206C1031">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1、质量保证</w:t>
      </w:r>
    </w:p>
    <w:p w14:paraId="3ED61F5B">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收到电子天平以后，厂家工程师提供上门安装调试培训，自验收合格后3年内为设备质保期。</w:t>
      </w:r>
    </w:p>
    <w:p w14:paraId="5727464F">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2、售后服务</w:t>
      </w:r>
    </w:p>
    <w:p w14:paraId="3E8AD8DD">
      <w:pPr>
        <w:spacing w:line="420" w:lineRule="exact"/>
        <w:rPr>
          <w:rFonts w:hint="eastAsia" w:ascii="楷体" w:hAnsi="楷体" w:eastAsia="楷体" w:cs="楷体"/>
          <w:sz w:val="24"/>
          <w:szCs w:val="24"/>
          <w:lang w:bidi="ar"/>
        </w:rPr>
      </w:pPr>
      <w:r>
        <w:rPr>
          <w:rFonts w:hint="eastAsia" w:ascii="楷体" w:hAnsi="楷体" w:eastAsia="楷体" w:cs="楷体"/>
          <w:sz w:val="24"/>
          <w:szCs w:val="24"/>
          <w:lang w:bidi="ar"/>
        </w:rPr>
        <w:t>质保期内，因设备配置或制造质量问题而引起的故障，应在一个工作日内做出响应，并按照接到正式报修时间尽快安排解决。质保范围内，仪器损坏全部由厂家进行免费处理。质保期外，提供技术支持和终身维修服务，厂家以优惠价格收取相关费用。</w:t>
      </w:r>
    </w:p>
    <w:p w14:paraId="23A25B43">
      <w:pPr>
        <w:pStyle w:val="2"/>
        <w:spacing w:line="420" w:lineRule="exact"/>
        <w:rPr>
          <w:rFonts w:hint="eastAsia" w:ascii="楷体" w:hAnsi="楷体" w:eastAsia="楷体" w:cs="楷体"/>
          <w:sz w:val="24"/>
          <w:szCs w:val="24"/>
        </w:rPr>
      </w:pPr>
    </w:p>
    <w:p w14:paraId="3D455938">
      <w:pPr>
        <w:pStyle w:val="2"/>
        <w:spacing w:line="420" w:lineRule="exact"/>
        <w:rPr>
          <w:rFonts w:hint="eastAsia" w:ascii="楷体" w:hAnsi="楷体" w:eastAsia="楷体" w:cs="楷体"/>
          <w:sz w:val="24"/>
          <w:szCs w:val="24"/>
        </w:rPr>
      </w:pP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七</w:t>
      </w:r>
      <w:r>
        <w:rPr>
          <w:rFonts w:hint="eastAsia" w:ascii="楷体" w:hAnsi="楷体" w:eastAsia="楷体" w:cs="楷体"/>
          <w:b/>
          <w:bCs/>
          <w:sz w:val="24"/>
          <w:szCs w:val="24"/>
          <w:lang w:eastAsia="zh-CN"/>
        </w:rPr>
        <w:t>）</w:t>
      </w:r>
      <w:r>
        <w:rPr>
          <w:rFonts w:hint="eastAsia" w:ascii="楷体" w:hAnsi="楷体" w:eastAsia="楷体" w:cs="楷体"/>
          <w:b/>
          <w:bCs/>
          <w:sz w:val="24"/>
          <w:szCs w:val="24"/>
        </w:rPr>
        <w:t xml:space="preserve"> COD消解回流仪技术及配置要求</w:t>
      </w:r>
    </w:p>
    <w:p w14:paraId="29B88426">
      <w:pPr>
        <w:pStyle w:val="1084"/>
        <w:spacing w:line="420" w:lineRule="exact"/>
        <w:ind w:firstLine="0" w:firstLineChars="0"/>
        <w:rPr>
          <w:rFonts w:hint="eastAsia" w:ascii="楷体" w:hAnsi="楷体" w:eastAsia="楷体" w:cs="楷体"/>
          <w:b/>
          <w:bCs/>
          <w:color w:val="000000"/>
          <w:sz w:val="24"/>
          <w:szCs w:val="24"/>
        </w:rPr>
      </w:pPr>
      <w:r>
        <w:rPr>
          <w:rFonts w:hint="eastAsia" w:ascii="楷体" w:hAnsi="楷体" w:eastAsia="楷体" w:cs="楷体"/>
          <w:b/>
          <w:bCs/>
          <w:color w:val="000000"/>
          <w:sz w:val="24"/>
          <w:szCs w:val="24"/>
        </w:rPr>
        <w:t>一</w:t>
      </w:r>
      <w:r>
        <w:rPr>
          <w:rFonts w:hint="eastAsia" w:ascii="楷体" w:hAnsi="楷体" w:eastAsia="楷体" w:cs="楷体"/>
          <w:b/>
          <w:bCs/>
          <w:color w:val="000000"/>
          <w:sz w:val="24"/>
          <w:szCs w:val="24"/>
          <w:lang w:eastAsia="zh-CN"/>
        </w:rPr>
        <w:t>）</w:t>
      </w:r>
      <w:r>
        <w:rPr>
          <w:rFonts w:hint="eastAsia" w:ascii="楷体" w:hAnsi="楷体" w:eastAsia="楷体" w:cs="楷体"/>
          <w:b/>
          <w:bCs/>
          <w:color w:val="000000"/>
          <w:sz w:val="24"/>
          <w:szCs w:val="24"/>
        </w:rPr>
        <w:t>设备要求</w:t>
      </w:r>
    </w:p>
    <w:p w14:paraId="0E4EB347">
      <w:pPr>
        <w:pStyle w:val="1084"/>
        <w:spacing w:line="420" w:lineRule="exact"/>
        <w:ind w:firstLine="0" w:firstLineChars="0"/>
        <w:rPr>
          <w:rFonts w:hint="eastAsia" w:ascii="楷体" w:hAnsi="楷体" w:eastAsia="楷体" w:cs="楷体"/>
          <w:color w:val="000000"/>
          <w:sz w:val="24"/>
          <w:szCs w:val="24"/>
        </w:rPr>
      </w:pPr>
      <w:r>
        <w:rPr>
          <w:rFonts w:hint="eastAsia" w:ascii="楷体" w:hAnsi="楷体" w:eastAsia="楷体" w:cs="楷体"/>
          <w:color w:val="000000"/>
          <w:sz w:val="24"/>
          <w:szCs w:val="24"/>
        </w:rPr>
        <w:t>1、用于各类样品水质化学需氧量CODcr的自动消解预处理。</w:t>
      </w:r>
    </w:p>
    <w:p w14:paraId="3805BC68">
      <w:pPr>
        <w:pStyle w:val="1084"/>
        <w:spacing w:line="420" w:lineRule="exact"/>
        <w:ind w:firstLine="0" w:firstLineChars="0"/>
        <w:rPr>
          <w:rFonts w:hint="eastAsia" w:ascii="楷体" w:hAnsi="楷体" w:eastAsia="楷体" w:cs="楷体"/>
          <w:b/>
          <w:bCs/>
          <w:color w:val="000000"/>
          <w:sz w:val="24"/>
          <w:szCs w:val="24"/>
        </w:rPr>
      </w:pPr>
      <w:r>
        <w:rPr>
          <w:rFonts w:hint="eastAsia" w:ascii="楷体" w:hAnsi="楷体" w:eastAsia="楷体" w:cs="楷体"/>
          <w:b/>
          <w:bCs/>
          <w:color w:val="000000"/>
          <w:sz w:val="24"/>
          <w:szCs w:val="24"/>
        </w:rPr>
        <w:t>二</w:t>
      </w:r>
      <w:r>
        <w:rPr>
          <w:rFonts w:hint="eastAsia" w:ascii="楷体" w:hAnsi="楷体" w:eastAsia="楷体" w:cs="楷体"/>
          <w:b/>
          <w:bCs/>
          <w:color w:val="000000"/>
          <w:sz w:val="24"/>
          <w:szCs w:val="24"/>
          <w:lang w:eastAsia="zh-CN"/>
        </w:rPr>
        <w:t>）</w:t>
      </w:r>
      <w:r>
        <w:rPr>
          <w:rFonts w:hint="eastAsia" w:ascii="楷体" w:hAnsi="楷体" w:eastAsia="楷体" w:cs="楷体"/>
          <w:b/>
          <w:bCs/>
          <w:color w:val="000000"/>
          <w:sz w:val="24"/>
          <w:szCs w:val="24"/>
        </w:rPr>
        <w:t>技术要求</w:t>
      </w:r>
    </w:p>
    <w:p w14:paraId="474BA54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1、能够一键启动，自动计时消解、消解结束自动断电冷却、无需人员值守。</w:t>
      </w:r>
    </w:p>
    <w:p w14:paraId="11FAC9F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2、热源要求耐强酸碱腐蚀的微晶热源，抗氧化寿命长的特点。</w:t>
      </w:r>
    </w:p>
    <w:p w14:paraId="7676EDE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3、不少于12个加热单元，分区独立控温，保证样品均匀受热。</w:t>
      </w:r>
    </w:p>
    <w:p w14:paraId="73E819F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4、样品消解250mL锥形消解瓶，利于滴定混匀，消解结束无需移液直接滴定，省时高效。</w:t>
      </w:r>
    </w:p>
    <w:p w14:paraId="7B5A44EF">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5、冷凝方式要求高效风冷、水冷双模式，减少环境温度影响冷凝一致性。</w:t>
      </w:r>
    </w:p>
    <w:p w14:paraId="15CFC4D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6、回流冷凝管喇叭开口，试剂添加不外流，消解结束便于清洗。</w:t>
      </w:r>
    </w:p>
    <w:p w14:paraId="1F893DD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7、要求不小于七寸触摸彩色屏幕，各区域温度和开关可独立开启控制。</w:t>
      </w:r>
    </w:p>
    <w:p w14:paraId="70F8A56D">
      <w:pPr>
        <w:pStyle w:val="1084"/>
        <w:spacing w:line="420" w:lineRule="exact"/>
        <w:ind w:firstLine="0" w:firstLineChars="0"/>
        <w:rPr>
          <w:rFonts w:hint="eastAsia" w:ascii="楷体" w:hAnsi="楷体" w:eastAsia="楷体" w:cs="楷体"/>
          <w:b/>
          <w:bCs/>
          <w:color w:val="000000"/>
          <w:sz w:val="24"/>
          <w:szCs w:val="24"/>
        </w:rPr>
      </w:pPr>
      <w:r>
        <w:rPr>
          <w:rFonts w:hint="eastAsia" w:ascii="楷体" w:hAnsi="楷体" w:eastAsia="楷体" w:cs="楷体"/>
          <w:b/>
          <w:bCs/>
          <w:color w:val="000000"/>
          <w:sz w:val="24"/>
          <w:szCs w:val="24"/>
        </w:rPr>
        <w:t>三</w:t>
      </w:r>
      <w:r>
        <w:rPr>
          <w:rFonts w:hint="eastAsia" w:ascii="楷体" w:hAnsi="楷体" w:eastAsia="楷体" w:cs="楷体"/>
          <w:b/>
          <w:bCs/>
          <w:color w:val="000000"/>
          <w:sz w:val="24"/>
          <w:szCs w:val="24"/>
          <w:lang w:eastAsia="zh-CN"/>
        </w:rPr>
        <w:t>）</w:t>
      </w:r>
      <w:r>
        <w:rPr>
          <w:rFonts w:hint="eastAsia" w:ascii="楷体" w:hAnsi="楷体" w:eastAsia="楷体" w:cs="楷体"/>
          <w:b/>
          <w:bCs/>
          <w:color w:val="000000"/>
          <w:sz w:val="24"/>
          <w:szCs w:val="24"/>
        </w:rPr>
        <w:t>参数要求</w:t>
      </w:r>
    </w:p>
    <w:p w14:paraId="075745B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1、样品数量：不少于12位 要求分区控温加热，独立控制</w:t>
      </w:r>
    </w:p>
    <w:p w14:paraId="5DE6EDA9">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2、温度范围：150℃-300℃任设，各区加热温度独立控制</w:t>
      </w:r>
    </w:p>
    <w:p w14:paraId="6C9669B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3、消解瓶：250mL标准锥形瓶</w:t>
      </w:r>
    </w:p>
    <w:p w14:paraId="044CBBE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4、时间控制：0-150min可调</w:t>
      </w:r>
    </w:p>
    <w:p w14:paraId="5C0E4D7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5、升温时间：10min内</w:t>
      </w:r>
    </w:p>
    <w:p w14:paraId="14B27FAD">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6、冷凝方式：风冷、水冷双模式，减少空气冷凝方式影响冷凝效率</w:t>
      </w:r>
    </w:p>
    <w:p w14:paraId="671DF6B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7、加热功率：</w:t>
      </w:r>
      <w:r>
        <w:rPr>
          <w:rFonts w:hint="eastAsia" w:ascii="楷体" w:hAnsi="楷体" w:eastAsia="楷体" w:cs="楷体"/>
          <w:color w:val="000000"/>
          <w:sz w:val="24"/>
          <w:szCs w:val="24"/>
        </w:rPr>
        <w:t>≤</w:t>
      </w:r>
      <w:r>
        <w:rPr>
          <w:rFonts w:hint="eastAsia" w:ascii="楷体" w:hAnsi="楷体" w:eastAsia="楷体" w:cs="楷体"/>
          <w:sz w:val="24"/>
          <w:szCs w:val="24"/>
        </w:rPr>
        <w:t>2400W</w:t>
      </w:r>
    </w:p>
    <w:p w14:paraId="6B26395F">
      <w:pPr>
        <w:pStyle w:val="1084"/>
        <w:spacing w:line="420" w:lineRule="exact"/>
        <w:ind w:firstLine="0" w:firstLineChars="0"/>
        <w:rPr>
          <w:rFonts w:hint="eastAsia" w:ascii="楷体" w:hAnsi="楷体" w:eastAsia="楷体" w:cs="楷体"/>
          <w:b/>
          <w:bCs/>
          <w:color w:val="000000"/>
          <w:sz w:val="24"/>
          <w:szCs w:val="24"/>
        </w:rPr>
      </w:pPr>
      <w:r>
        <w:rPr>
          <w:rFonts w:hint="eastAsia" w:ascii="楷体" w:hAnsi="楷体" w:eastAsia="楷体" w:cs="楷体"/>
          <w:b/>
          <w:bCs/>
          <w:color w:val="000000"/>
          <w:sz w:val="24"/>
          <w:szCs w:val="24"/>
        </w:rPr>
        <w:t>四</w:t>
      </w:r>
      <w:r>
        <w:rPr>
          <w:rFonts w:hint="eastAsia" w:ascii="楷体" w:hAnsi="楷体" w:eastAsia="楷体" w:cs="楷体"/>
          <w:b/>
          <w:bCs/>
          <w:color w:val="000000"/>
          <w:sz w:val="24"/>
          <w:szCs w:val="24"/>
          <w:lang w:eastAsia="zh-CN"/>
        </w:rPr>
        <w:t>）</w:t>
      </w:r>
      <w:r>
        <w:rPr>
          <w:rFonts w:hint="eastAsia" w:ascii="楷体" w:hAnsi="楷体" w:eastAsia="楷体" w:cs="楷体"/>
          <w:b/>
          <w:bCs/>
          <w:color w:val="000000"/>
          <w:sz w:val="24"/>
          <w:szCs w:val="24"/>
        </w:rPr>
        <w:t>配置要求</w:t>
      </w:r>
    </w:p>
    <w:p w14:paraId="52D5B6E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1、消解仪主机3套</w:t>
      </w:r>
    </w:p>
    <w:p w14:paraId="4611430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2、触摸控制屏幕3套</w:t>
      </w:r>
    </w:p>
    <w:p w14:paraId="5A8AE4D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3、微晶防护加热源3套</w:t>
      </w:r>
    </w:p>
    <w:p w14:paraId="55E774E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4、冷凝瓶36支</w:t>
      </w:r>
    </w:p>
    <w:p w14:paraId="603B42C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5、消解瓶36支</w:t>
      </w:r>
    </w:p>
    <w:p w14:paraId="192E468A">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6、随机附件3套</w:t>
      </w:r>
    </w:p>
    <w:p w14:paraId="4AA0A659">
      <w:pPr>
        <w:autoSpaceDE w:val="0"/>
        <w:autoSpaceDN w:val="0"/>
        <w:adjustRightInd w:val="0"/>
        <w:spacing w:line="420" w:lineRule="exact"/>
        <w:rPr>
          <w:rFonts w:hint="eastAsia" w:ascii="楷体" w:hAnsi="楷体" w:eastAsia="楷体" w:cs="楷体"/>
          <w:sz w:val="24"/>
          <w:szCs w:val="24"/>
          <w:highlight w:val="yellow"/>
        </w:rPr>
      </w:pPr>
      <w:r>
        <w:rPr>
          <w:rFonts w:hint="eastAsia" w:ascii="楷体" w:hAnsi="楷体" w:eastAsia="楷体" w:cs="楷体"/>
          <w:sz w:val="24"/>
          <w:szCs w:val="24"/>
        </w:rPr>
        <w:t>7、氮吹容器1套</w:t>
      </w:r>
    </w:p>
    <w:p w14:paraId="65C7EC97">
      <w:pPr>
        <w:pStyle w:val="1084"/>
        <w:numPr>
          <w:ilvl w:val="0"/>
          <w:numId w:val="0"/>
        </w:numPr>
        <w:spacing w:line="420" w:lineRule="exact"/>
        <w:rPr>
          <w:rFonts w:hint="eastAsia" w:ascii="楷体" w:hAnsi="楷体" w:eastAsia="楷体" w:cs="楷体"/>
          <w:b/>
          <w:bCs/>
          <w:color w:val="000000"/>
          <w:sz w:val="24"/>
          <w:szCs w:val="24"/>
        </w:rPr>
      </w:pPr>
      <w:r>
        <w:rPr>
          <w:rFonts w:hint="eastAsia" w:ascii="楷体" w:hAnsi="楷体" w:eastAsia="楷体" w:cs="楷体"/>
          <w:b/>
          <w:bCs/>
          <w:color w:val="000000"/>
          <w:sz w:val="24"/>
          <w:szCs w:val="24"/>
          <w:lang w:val="en-US" w:eastAsia="zh-CN"/>
        </w:rPr>
        <w:t>五）</w:t>
      </w:r>
      <w:r>
        <w:rPr>
          <w:rFonts w:hint="eastAsia" w:ascii="楷体" w:hAnsi="楷体" w:eastAsia="楷体" w:cs="楷体"/>
          <w:b/>
          <w:bCs/>
          <w:color w:val="000000"/>
          <w:sz w:val="24"/>
          <w:szCs w:val="24"/>
        </w:rPr>
        <w:t>售后</w:t>
      </w:r>
      <w:r>
        <w:rPr>
          <w:rFonts w:hint="eastAsia" w:ascii="楷体" w:hAnsi="楷体" w:eastAsia="楷体" w:cs="楷体"/>
          <w:b/>
          <w:bCs/>
          <w:color w:val="000000"/>
          <w:sz w:val="24"/>
          <w:szCs w:val="24"/>
          <w:lang w:val="en-US" w:eastAsia="zh-CN"/>
        </w:rPr>
        <w:t>及服务</w:t>
      </w:r>
      <w:r>
        <w:rPr>
          <w:rFonts w:hint="eastAsia" w:ascii="楷体" w:hAnsi="楷体" w:eastAsia="楷体" w:cs="楷体"/>
          <w:b/>
          <w:bCs/>
          <w:color w:val="000000"/>
          <w:sz w:val="24"/>
          <w:szCs w:val="24"/>
        </w:rPr>
        <w:t>要求</w:t>
      </w:r>
    </w:p>
    <w:p w14:paraId="587718C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1、交货时间及地点：合同签订后2周内，将全新原厂设备发至买方指定地点。</w:t>
      </w:r>
    </w:p>
    <w:p w14:paraId="096DAC9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2、随机文件：供货方提供详细的操作指南、产品说明书、产品合格证书及供货证明。</w:t>
      </w:r>
    </w:p>
    <w:p w14:paraId="0C622E0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3、安装调试：仪器到达买方所在地后，供货方应根据买方安装调试要求7个工作日内上门免费安装、调试。安装调试检验结果应符合制造厂产品标准和买方认可的技术性能。</w:t>
      </w:r>
    </w:p>
    <w:p w14:paraId="0F870445">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4、质保期：货物安装验收后的三年。质保期内，供货方应免费提供技术服务，技术服务包括硬件更换、维修（包括更换仪器及零配件等）系统的维护和技术支持。在质保期内，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r>
        <w:rPr>
          <w:rFonts w:hint="eastAsia" w:ascii="楷体" w:hAnsi="楷体" w:eastAsia="楷体" w:cs="楷体"/>
          <w:kern w:val="2"/>
          <w:sz w:val="24"/>
          <w:szCs w:val="24"/>
          <w:lang w:val="en-US" w:eastAsia="zh-CN"/>
        </w:rPr>
        <w:t>在投标文件中</w:t>
      </w:r>
      <w:r>
        <w:rPr>
          <w:rFonts w:hint="eastAsia" w:ascii="楷体" w:hAnsi="楷体" w:eastAsia="楷体" w:cs="楷体"/>
          <w:sz w:val="24"/>
          <w:szCs w:val="24"/>
        </w:rPr>
        <w:t>提供不同维保方式的收费标准及折扣率），并且保证使用方能更换或购买到原厂正宗的零部件及易损件，确保设备的正常使用。</w:t>
      </w:r>
    </w:p>
    <w:p w14:paraId="7BE2EE3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5、培训：供货方应免费对使用的技术人员（总人数不少于3人）进行操作、维修、保养等方面进行培训，内容包括仪器的基本原理，操作保养，维修等方面，直到技术人员能独立操作和使用。</w:t>
      </w:r>
    </w:p>
    <w:p w14:paraId="6FA94DAC">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6、硬件维护及软件升级：供货方定期（至少1年1次）提供免费上门维护服务，买方享有免费升级软件的权力，确保仪器软硬件正常使用。</w:t>
      </w:r>
    </w:p>
    <w:p w14:paraId="3D884E63">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7、仪器制造商信用良好，没有受过行政处罚，否则取消中标资格。</w:t>
      </w:r>
    </w:p>
    <w:p w14:paraId="0D3CCE4A">
      <w:pPr>
        <w:pStyle w:val="2"/>
        <w:spacing w:line="420" w:lineRule="exact"/>
        <w:rPr>
          <w:rFonts w:hint="eastAsia" w:ascii="楷体" w:hAnsi="楷体" w:eastAsia="楷体" w:cs="楷体"/>
          <w:sz w:val="24"/>
          <w:szCs w:val="24"/>
        </w:rPr>
      </w:pPr>
    </w:p>
    <w:p w14:paraId="37970F5D">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八</w:t>
      </w:r>
      <w:r>
        <w:rPr>
          <w:rFonts w:hint="eastAsia" w:ascii="楷体" w:hAnsi="楷体" w:eastAsia="楷体" w:cs="楷体"/>
          <w:b/>
          <w:sz w:val="24"/>
          <w:szCs w:val="24"/>
          <w:lang w:eastAsia="zh-CN"/>
        </w:rPr>
        <w:t>）</w:t>
      </w:r>
      <w:r>
        <w:rPr>
          <w:rFonts w:hint="eastAsia" w:ascii="楷体" w:hAnsi="楷体" w:eastAsia="楷体" w:cs="楷体"/>
          <w:b/>
          <w:sz w:val="24"/>
          <w:szCs w:val="24"/>
        </w:rPr>
        <w:t xml:space="preserve">超纯水仪技术及配置要求 </w:t>
      </w:r>
    </w:p>
    <w:p w14:paraId="4215AF0B">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应用范围</w:t>
      </w:r>
    </w:p>
    <w:p w14:paraId="5E18B45C">
      <w:pPr>
        <w:spacing w:line="420" w:lineRule="exact"/>
        <w:rPr>
          <w:rFonts w:hint="eastAsia" w:ascii="楷体" w:hAnsi="楷体" w:eastAsia="楷体" w:cs="楷体"/>
          <w:sz w:val="24"/>
          <w:szCs w:val="24"/>
        </w:rPr>
      </w:pPr>
      <w:r>
        <w:rPr>
          <w:rFonts w:hint="eastAsia" w:ascii="楷体" w:hAnsi="楷体" w:eastAsia="楷体" w:cs="楷体"/>
          <w:sz w:val="24"/>
          <w:szCs w:val="24"/>
        </w:rPr>
        <w:t>1、出水适用于高效液相色谱（HPLC）、电感耦合等离子体质谱（ICP/MS）、原子吸收（AAS）、离子色谱（IC）等要求严格的分析实验。</w:t>
      </w:r>
    </w:p>
    <w:p w14:paraId="6EC41CD8">
      <w:pPr>
        <w:spacing w:line="420" w:lineRule="exact"/>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3B1F7B5F">
      <w:pPr>
        <w:spacing w:line="420" w:lineRule="exact"/>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rPr>
        <w:t>、进水条件：市政自来水，5-40℃，压力1-6bar</w:t>
      </w:r>
    </w:p>
    <w:p w14:paraId="3D475EBF">
      <w:pPr>
        <w:spacing w:line="420" w:lineRule="exact"/>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2</w:t>
      </w:r>
      <w:r>
        <w:rPr>
          <w:rFonts w:hint="eastAsia" w:ascii="楷体" w:hAnsi="楷体" w:eastAsia="楷体" w:cs="楷体"/>
          <w:sz w:val="24"/>
          <w:szCs w:val="24"/>
          <w:highlight w:val="none"/>
        </w:rPr>
        <w:t>、产水水质：</w:t>
      </w:r>
    </w:p>
    <w:p w14:paraId="7EC82BFB">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（1）电阻率18.2MΩ*cm@25℃</w:t>
      </w:r>
    </w:p>
    <w:p w14:paraId="08E1B440">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（2）电导率：0.055μs/cm</w:t>
      </w:r>
    </w:p>
    <w:p w14:paraId="48F18888">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（3）微粒（＞0.2μm）＜1个/ml</w:t>
      </w:r>
    </w:p>
    <w:p w14:paraId="09FF3B9F">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（4）细菌＜0.01cfu/ml</w:t>
      </w:r>
    </w:p>
    <w:p w14:paraId="30723C31">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（5）TOC＜5ppb</w:t>
      </w:r>
    </w:p>
    <w:p w14:paraId="716BF854">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（6）重金属离子＜0.01ppb</w:t>
      </w:r>
    </w:p>
    <w:p w14:paraId="42A9A8A1">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（7）符合GB6682-2008一级水标准</w:t>
      </w:r>
    </w:p>
    <w:p w14:paraId="52AC8851">
      <w:pPr>
        <w:spacing w:line="420" w:lineRule="exact"/>
        <w:rPr>
          <w:rFonts w:hint="eastAsia" w:ascii="楷体" w:hAnsi="楷体" w:eastAsia="楷体" w:cs="楷体"/>
          <w:sz w:val="24"/>
          <w:szCs w:val="24"/>
          <w:highlight w:val="yellow"/>
        </w:rPr>
      </w:pPr>
      <w:r>
        <w:rPr>
          <w:rFonts w:hint="eastAsia" w:ascii="楷体" w:hAnsi="楷体" w:eastAsia="楷体" w:cs="楷体"/>
          <w:sz w:val="24"/>
          <w:szCs w:val="24"/>
          <w:lang w:val="en-US" w:eastAsia="zh-CN"/>
        </w:rPr>
        <w:t>3</w:t>
      </w:r>
      <w:r>
        <w:rPr>
          <w:rFonts w:hint="eastAsia" w:ascii="楷体" w:hAnsi="楷体" w:eastAsia="楷体" w:cs="楷体"/>
          <w:sz w:val="24"/>
          <w:szCs w:val="24"/>
        </w:rPr>
        <w:t>、设备功率：设备功率：≤100W</w:t>
      </w:r>
    </w:p>
    <w:p w14:paraId="2603243D">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4</w:t>
      </w:r>
      <w:r>
        <w:rPr>
          <w:rFonts w:hint="eastAsia" w:ascii="楷体" w:hAnsi="楷体" w:eastAsia="楷体" w:cs="楷体"/>
          <w:sz w:val="24"/>
          <w:szCs w:val="24"/>
        </w:rPr>
        <w:t>、输入电源：100-240V AC</w:t>
      </w:r>
    </w:p>
    <w:p w14:paraId="0CACEC4E">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5</w:t>
      </w:r>
      <w:r>
        <w:rPr>
          <w:rFonts w:hint="eastAsia" w:ascii="楷体" w:hAnsi="楷体" w:eastAsia="楷体" w:cs="楷体"/>
          <w:sz w:val="24"/>
          <w:szCs w:val="24"/>
        </w:rPr>
        <w:t>、产水量：双级RO系统稳定产量≥20L/H@15℃，双级反渗透+离子交换，无中间水箱，避免带入二次污染；</w:t>
      </w:r>
    </w:p>
    <w:p w14:paraId="7C20C8CF">
      <w:pPr>
        <w:spacing w:line="420" w:lineRule="exact"/>
        <w:rPr>
          <w:rFonts w:hint="eastAsia" w:ascii="楷体" w:hAnsi="楷体" w:eastAsia="楷体" w:cs="楷体"/>
          <w:sz w:val="24"/>
          <w:szCs w:val="24"/>
        </w:rPr>
      </w:pPr>
      <w:r>
        <w:rPr>
          <w:rFonts w:hint="eastAsia" w:ascii="楷体" w:hAnsi="楷体" w:eastAsia="楷体" w:cs="楷体"/>
          <w:sz w:val="24"/>
          <w:szCs w:val="24"/>
          <w:lang w:val="en-US" w:eastAsia="zh-CN"/>
        </w:rPr>
        <w:t>6</w:t>
      </w:r>
      <w:r>
        <w:rPr>
          <w:rFonts w:hint="eastAsia" w:ascii="楷体" w:hAnsi="楷体" w:eastAsia="楷体" w:cs="楷体"/>
          <w:sz w:val="24"/>
          <w:szCs w:val="24"/>
        </w:rPr>
        <w:t>、袋式存储：系统使用食品级PE材质软质水袋存储，有效容积≥40L，可快速更换、免清洁，排水过程无空气引入，无须呼吸滤器。</w:t>
      </w:r>
    </w:p>
    <w:p w14:paraId="71DE227C">
      <w:pPr>
        <w:spacing w:line="420" w:lineRule="exact"/>
        <w:rPr>
          <w:rFonts w:hint="eastAsia" w:ascii="楷体" w:hAnsi="楷体" w:eastAsia="楷体" w:cs="楷体"/>
          <w:b/>
          <w:sz w:val="24"/>
          <w:szCs w:val="24"/>
        </w:rPr>
      </w:pPr>
      <w:r>
        <w:rPr>
          <w:rFonts w:hint="eastAsia" w:ascii="楷体" w:hAnsi="楷体" w:eastAsia="楷体" w:cs="楷体"/>
          <w:b/>
          <w:sz w:val="24"/>
          <w:szCs w:val="24"/>
        </w:rPr>
        <w:t>三</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2B623B3A">
      <w:pPr>
        <w:spacing w:line="420" w:lineRule="exact"/>
        <w:rPr>
          <w:rFonts w:hint="eastAsia" w:ascii="楷体" w:hAnsi="楷体" w:eastAsia="楷体" w:cs="楷体"/>
          <w:sz w:val="24"/>
          <w:szCs w:val="24"/>
        </w:rPr>
      </w:pPr>
      <w:r>
        <w:rPr>
          <w:rFonts w:hint="eastAsia" w:ascii="楷体" w:hAnsi="楷体" w:eastAsia="楷体" w:cs="楷体"/>
          <w:sz w:val="24"/>
          <w:szCs w:val="24"/>
        </w:rPr>
        <w:t>1、电导率和超纯水TOC在线监测，动态掌握系统各纯化阶段水质变化；</w:t>
      </w:r>
    </w:p>
    <w:p w14:paraId="6099665E">
      <w:pPr>
        <w:spacing w:line="420" w:lineRule="exact"/>
        <w:rPr>
          <w:rFonts w:hint="eastAsia" w:ascii="楷体" w:hAnsi="楷体" w:eastAsia="楷体" w:cs="楷体"/>
          <w:sz w:val="24"/>
          <w:szCs w:val="24"/>
        </w:rPr>
      </w:pPr>
      <w:r>
        <w:rPr>
          <w:rFonts w:hint="eastAsia" w:ascii="楷体" w:hAnsi="楷体" w:eastAsia="楷体" w:cs="楷体"/>
          <w:sz w:val="24"/>
          <w:szCs w:val="24"/>
        </w:rPr>
        <w:t>2、可实现全波耗材DIY快速更换，常规维护不依赖专业售后；</w:t>
      </w:r>
    </w:p>
    <w:p w14:paraId="03B4A34C">
      <w:pPr>
        <w:spacing w:line="420" w:lineRule="exact"/>
        <w:rPr>
          <w:rFonts w:hint="eastAsia" w:ascii="楷体" w:hAnsi="楷体" w:eastAsia="楷体" w:cs="楷体"/>
          <w:sz w:val="24"/>
          <w:szCs w:val="24"/>
        </w:rPr>
      </w:pPr>
      <w:r>
        <w:rPr>
          <w:rFonts w:hint="eastAsia" w:ascii="楷体" w:hAnsi="楷体" w:eastAsia="楷体" w:cs="楷体"/>
          <w:sz w:val="24"/>
          <w:szCs w:val="24"/>
        </w:rPr>
        <w:t>3、采用弱电元件，双重漏水保护，过温、过高压力保护，滤柱失位保护。</w:t>
      </w:r>
    </w:p>
    <w:p w14:paraId="434ED0A9">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仪器配置及要求</w:t>
      </w:r>
    </w:p>
    <w:p w14:paraId="169591F1">
      <w:pPr>
        <w:spacing w:line="420" w:lineRule="exact"/>
        <w:rPr>
          <w:rFonts w:hint="eastAsia" w:ascii="楷体" w:hAnsi="楷体" w:eastAsia="楷体" w:cs="楷体"/>
          <w:sz w:val="24"/>
          <w:szCs w:val="24"/>
        </w:rPr>
      </w:pPr>
      <w:r>
        <w:rPr>
          <w:rFonts w:hint="eastAsia" w:ascii="楷体" w:hAnsi="楷体" w:eastAsia="楷体" w:cs="楷体"/>
          <w:sz w:val="24"/>
          <w:szCs w:val="24"/>
        </w:rPr>
        <w:t>1、主机（含主机取水器）1套</w:t>
      </w:r>
    </w:p>
    <w:p w14:paraId="725CEB5B">
      <w:pPr>
        <w:spacing w:line="420" w:lineRule="exact"/>
        <w:rPr>
          <w:rFonts w:hint="eastAsia" w:ascii="楷体" w:hAnsi="楷体" w:eastAsia="楷体" w:cs="楷体"/>
          <w:sz w:val="24"/>
          <w:szCs w:val="24"/>
        </w:rPr>
      </w:pPr>
      <w:r>
        <w:rPr>
          <w:rFonts w:hint="eastAsia" w:ascii="楷体" w:hAnsi="楷体" w:eastAsia="楷体" w:cs="楷体"/>
          <w:sz w:val="24"/>
          <w:szCs w:val="24"/>
        </w:rPr>
        <w:t>2、40L预处理+水箱一体单元1套</w:t>
      </w:r>
    </w:p>
    <w:p w14:paraId="091C1172">
      <w:pPr>
        <w:spacing w:line="420" w:lineRule="exact"/>
        <w:rPr>
          <w:rFonts w:hint="eastAsia" w:ascii="楷体" w:hAnsi="楷体" w:eastAsia="楷体" w:cs="楷体"/>
          <w:sz w:val="24"/>
          <w:szCs w:val="24"/>
        </w:rPr>
      </w:pPr>
      <w:r>
        <w:rPr>
          <w:rFonts w:hint="eastAsia" w:ascii="楷体" w:hAnsi="楷体" w:eastAsia="楷体" w:cs="楷体"/>
          <w:sz w:val="24"/>
          <w:szCs w:val="24"/>
        </w:rPr>
        <w:t>3、40L水袋2套</w:t>
      </w:r>
    </w:p>
    <w:p w14:paraId="15FC3451">
      <w:pPr>
        <w:spacing w:line="420" w:lineRule="exact"/>
        <w:rPr>
          <w:rFonts w:hint="eastAsia" w:ascii="楷体" w:hAnsi="楷体" w:eastAsia="楷体" w:cs="楷体"/>
          <w:sz w:val="24"/>
          <w:szCs w:val="24"/>
        </w:rPr>
      </w:pPr>
      <w:r>
        <w:rPr>
          <w:rFonts w:hint="eastAsia" w:ascii="楷体" w:hAnsi="楷体" w:eastAsia="楷体" w:cs="楷体"/>
          <w:sz w:val="24"/>
          <w:szCs w:val="24"/>
        </w:rPr>
        <w:t>4、预处理柱-1 4套</w:t>
      </w:r>
    </w:p>
    <w:p w14:paraId="078D1BE2">
      <w:pPr>
        <w:spacing w:line="420" w:lineRule="exact"/>
        <w:rPr>
          <w:rFonts w:hint="eastAsia" w:ascii="楷体" w:hAnsi="楷体" w:eastAsia="楷体" w:cs="楷体"/>
          <w:sz w:val="24"/>
          <w:szCs w:val="24"/>
        </w:rPr>
      </w:pPr>
      <w:r>
        <w:rPr>
          <w:rFonts w:hint="eastAsia" w:ascii="楷体" w:hAnsi="楷体" w:eastAsia="楷体" w:cs="楷体"/>
          <w:sz w:val="24"/>
          <w:szCs w:val="24"/>
        </w:rPr>
        <w:t>5、预处理柱-2 4套</w:t>
      </w:r>
    </w:p>
    <w:p w14:paraId="3F2521A8">
      <w:pPr>
        <w:spacing w:line="420" w:lineRule="exact"/>
        <w:rPr>
          <w:rFonts w:hint="eastAsia" w:ascii="楷体" w:hAnsi="楷体" w:eastAsia="楷体" w:cs="楷体"/>
          <w:sz w:val="24"/>
          <w:szCs w:val="24"/>
        </w:rPr>
      </w:pPr>
      <w:r>
        <w:rPr>
          <w:rFonts w:hint="eastAsia" w:ascii="楷体" w:hAnsi="楷体" w:eastAsia="楷体" w:cs="楷体"/>
          <w:sz w:val="24"/>
          <w:szCs w:val="24"/>
        </w:rPr>
        <w:t>6、超纯化柱2套</w:t>
      </w:r>
    </w:p>
    <w:p w14:paraId="69BDDD04">
      <w:pPr>
        <w:spacing w:line="420" w:lineRule="exact"/>
        <w:rPr>
          <w:rFonts w:hint="eastAsia" w:ascii="楷体" w:hAnsi="楷体" w:eastAsia="楷体" w:cs="楷体"/>
          <w:sz w:val="24"/>
          <w:szCs w:val="24"/>
        </w:rPr>
      </w:pPr>
      <w:r>
        <w:rPr>
          <w:rFonts w:hint="eastAsia" w:ascii="楷体" w:hAnsi="楷体" w:eastAsia="楷体" w:cs="楷体"/>
          <w:sz w:val="24"/>
          <w:szCs w:val="24"/>
        </w:rPr>
        <w:t>7、20L/H双级反渗透模块1套</w:t>
      </w:r>
    </w:p>
    <w:p w14:paraId="025AD1D6">
      <w:pPr>
        <w:spacing w:line="420" w:lineRule="exact"/>
        <w:rPr>
          <w:rFonts w:hint="eastAsia" w:ascii="楷体" w:hAnsi="楷体" w:eastAsia="楷体" w:cs="楷体"/>
          <w:sz w:val="24"/>
          <w:szCs w:val="24"/>
        </w:rPr>
      </w:pPr>
      <w:r>
        <w:rPr>
          <w:rFonts w:hint="eastAsia" w:ascii="楷体" w:hAnsi="楷体" w:eastAsia="楷体" w:cs="楷体"/>
          <w:sz w:val="24"/>
          <w:szCs w:val="24"/>
        </w:rPr>
        <w:t>8、TOC在线监测1套</w:t>
      </w:r>
    </w:p>
    <w:p w14:paraId="0D695F88">
      <w:pPr>
        <w:spacing w:line="420" w:lineRule="exact"/>
        <w:rPr>
          <w:rFonts w:hint="eastAsia" w:ascii="楷体" w:hAnsi="楷体" w:eastAsia="楷体" w:cs="楷体"/>
          <w:sz w:val="24"/>
          <w:szCs w:val="24"/>
        </w:rPr>
      </w:pPr>
      <w:r>
        <w:rPr>
          <w:rFonts w:hint="eastAsia" w:ascii="楷体" w:hAnsi="楷体" w:eastAsia="楷体" w:cs="楷体"/>
          <w:sz w:val="24"/>
          <w:szCs w:val="24"/>
        </w:rPr>
        <w:t>9、双波长紫外灯管1套</w:t>
      </w:r>
    </w:p>
    <w:p w14:paraId="338DAC45">
      <w:pPr>
        <w:spacing w:line="420" w:lineRule="exact"/>
        <w:rPr>
          <w:rFonts w:hint="eastAsia" w:ascii="楷体" w:hAnsi="楷体" w:eastAsia="楷体" w:cs="楷体"/>
          <w:sz w:val="24"/>
          <w:szCs w:val="24"/>
        </w:rPr>
      </w:pPr>
      <w:r>
        <w:rPr>
          <w:rFonts w:hint="eastAsia" w:ascii="楷体" w:hAnsi="楷体" w:eastAsia="楷体" w:cs="楷体"/>
          <w:sz w:val="24"/>
          <w:szCs w:val="24"/>
        </w:rPr>
        <w:t>10、物联网管理模块1套</w:t>
      </w:r>
    </w:p>
    <w:p w14:paraId="53B16509">
      <w:pPr>
        <w:spacing w:line="420" w:lineRule="exact"/>
        <w:rPr>
          <w:rFonts w:hint="eastAsia" w:ascii="楷体" w:hAnsi="楷体" w:eastAsia="楷体" w:cs="楷体"/>
          <w:sz w:val="24"/>
          <w:szCs w:val="24"/>
        </w:rPr>
      </w:pPr>
      <w:r>
        <w:rPr>
          <w:rFonts w:hint="eastAsia" w:ascii="楷体" w:hAnsi="楷体" w:eastAsia="楷体" w:cs="楷体"/>
          <w:sz w:val="24"/>
          <w:szCs w:val="24"/>
        </w:rPr>
        <w:t>11、0.22μm除菌终端微滤器1套</w:t>
      </w:r>
    </w:p>
    <w:p w14:paraId="6F17B549">
      <w:pPr>
        <w:spacing w:line="420" w:lineRule="exact"/>
        <w:rPr>
          <w:rFonts w:hint="eastAsia" w:ascii="楷体" w:hAnsi="楷体" w:eastAsia="楷体" w:cs="楷体"/>
          <w:sz w:val="24"/>
          <w:szCs w:val="24"/>
        </w:rPr>
      </w:pPr>
      <w:r>
        <w:rPr>
          <w:rFonts w:hint="eastAsia" w:ascii="楷体" w:hAnsi="楷体" w:eastAsia="楷体" w:cs="楷体"/>
          <w:sz w:val="24"/>
          <w:szCs w:val="24"/>
        </w:rPr>
        <w:t>12、消毒盒2套</w:t>
      </w:r>
    </w:p>
    <w:p w14:paraId="57A9BC42">
      <w:pPr>
        <w:spacing w:line="420" w:lineRule="exact"/>
        <w:rPr>
          <w:rFonts w:hint="eastAsia" w:ascii="楷体" w:hAnsi="楷体" w:eastAsia="楷体" w:cs="楷体"/>
          <w:sz w:val="24"/>
          <w:szCs w:val="24"/>
        </w:rPr>
      </w:pPr>
      <w:r>
        <w:rPr>
          <w:rFonts w:hint="eastAsia" w:ascii="楷体" w:hAnsi="楷体" w:eastAsia="楷体" w:cs="楷体"/>
          <w:sz w:val="24"/>
          <w:szCs w:val="24"/>
        </w:rPr>
        <w:t>13、安装配件包1套</w:t>
      </w:r>
    </w:p>
    <w:p w14:paraId="33D5B92D">
      <w:pPr>
        <w:spacing w:line="420" w:lineRule="exact"/>
        <w:rPr>
          <w:rFonts w:hint="eastAsia" w:ascii="楷体" w:hAnsi="楷体" w:eastAsia="楷体" w:cs="楷体"/>
          <w:b/>
          <w:bCs/>
          <w:sz w:val="24"/>
          <w:szCs w:val="24"/>
          <w:lang w:val="en-US" w:eastAsia="zh-CN"/>
        </w:rPr>
      </w:pPr>
      <w:r>
        <w:rPr>
          <w:rFonts w:hint="eastAsia" w:ascii="楷体" w:hAnsi="楷体" w:eastAsia="楷体" w:cs="楷体"/>
          <w:b/>
          <w:bCs/>
          <w:sz w:val="24"/>
          <w:szCs w:val="24"/>
        </w:rPr>
        <w:t>五</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w:t>
      </w:r>
      <w:r>
        <w:rPr>
          <w:rFonts w:hint="eastAsia" w:ascii="楷体" w:hAnsi="楷体" w:eastAsia="楷体" w:cs="楷体"/>
          <w:b/>
          <w:bCs/>
          <w:sz w:val="24"/>
          <w:szCs w:val="24"/>
          <w:lang w:val="en-US" w:eastAsia="zh-CN"/>
        </w:rPr>
        <w:t>及</w:t>
      </w:r>
      <w:r>
        <w:rPr>
          <w:rFonts w:hint="eastAsia" w:ascii="楷体" w:hAnsi="楷体" w:eastAsia="楷体" w:cs="楷体"/>
          <w:b/>
          <w:bCs/>
          <w:sz w:val="24"/>
          <w:szCs w:val="24"/>
        </w:rPr>
        <w:t>服务</w:t>
      </w:r>
      <w:r>
        <w:rPr>
          <w:rFonts w:hint="eastAsia" w:ascii="楷体" w:hAnsi="楷体" w:eastAsia="楷体" w:cs="楷体"/>
          <w:b/>
          <w:bCs/>
          <w:sz w:val="24"/>
          <w:szCs w:val="24"/>
          <w:lang w:val="en-US" w:eastAsia="zh-CN"/>
        </w:rPr>
        <w:t>要求</w:t>
      </w:r>
    </w:p>
    <w:p w14:paraId="61D6D331">
      <w:pPr>
        <w:spacing w:line="420" w:lineRule="exact"/>
        <w:rPr>
          <w:rFonts w:hint="eastAsia" w:ascii="楷体" w:hAnsi="楷体" w:eastAsia="楷体" w:cs="楷体"/>
          <w:sz w:val="24"/>
          <w:szCs w:val="24"/>
        </w:rPr>
      </w:pPr>
      <w:r>
        <w:rPr>
          <w:rFonts w:hint="eastAsia" w:ascii="楷体" w:hAnsi="楷体" w:eastAsia="楷体" w:cs="楷体"/>
          <w:sz w:val="24"/>
          <w:szCs w:val="24"/>
        </w:rPr>
        <w:t>1、产品送至买方指定地点后，由卖方负责派专业技术人员到现场进行安装、调试，并负责调试至验收合格；</w:t>
      </w:r>
    </w:p>
    <w:p w14:paraId="5A463C8D">
      <w:pPr>
        <w:spacing w:line="420" w:lineRule="exact"/>
        <w:rPr>
          <w:rFonts w:hint="eastAsia" w:ascii="楷体" w:hAnsi="楷体" w:eastAsia="楷体" w:cs="楷体"/>
          <w:sz w:val="24"/>
          <w:szCs w:val="24"/>
        </w:rPr>
      </w:pPr>
      <w:r>
        <w:rPr>
          <w:rFonts w:hint="eastAsia" w:ascii="楷体" w:hAnsi="楷体" w:eastAsia="楷体" w:cs="楷体"/>
          <w:sz w:val="24"/>
          <w:szCs w:val="24"/>
        </w:rPr>
        <w:t>2、卖方需在货物运抵现场一周前，向买方提供安装、调试及试运行的进度计划表；</w:t>
      </w:r>
    </w:p>
    <w:p w14:paraId="66B2B4ED">
      <w:pPr>
        <w:spacing w:line="420" w:lineRule="exact"/>
        <w:rPr>
          <w:rFonts w:hint="eastAsia" w:ascii="楷体" w:hAnsi="楷体" w:eastAsia="楷体" w:cs="楷体"/>
          <w:sz w:val="24"/>
          <w:szCs w:val="24"/>
        </w:rPr>
      </w:pPr>
      <w:r>
        <w:rPr>
          <w:rFonts w:hint="eastAsia" w:ascii="楷体" w:hAnsi="楷体" w:eastAsia="楷体" w:cs="楷体"/>
          <w:sz w:val="24"/>
          <w:szCs w:val="24"/>
        </w:rPr>
        <w:t>3、卖方需委派专业技术人员到买方指定的地点对买方操作人员进行使用操作、设备维修、保养等技术的现场培训，直至相关人员能熟练独立操作。技术培训所需一切费用（包括卖方委派的专业技术人员费用）均由卖方承担；</w:t>
      </w:r>
    </w:p>
    <w:p w14:paraId="6A430A35">
      <w:pPr>
        <w:spacing w:line="420" w:lineRule="exact"/>
        <w:rPr>
          <w:rFonts w:hint="eastAsia" w:ascii="楷体" w:hAnsi="楷体" w:eastAsia="楷体" w:cs="楷体"/>
          <w:sz w:val="24"/>
          <w:szCs w:val="24"/>
        </w:rPr>
      </w:pPr>
      <w:r>
        <w:rPr>
          <w:rFonts w:hint="eastAsia" w:ascii="楷体" w:hAnsi="楷体" w:eastAsia="楷体" w:cs="楷体"/>
          <w:sz w:val="24"/>
          <w:szCs w:val="24"/>
        </w:rPr>
        <w:t>4、货物质保期为货物经最终验收合格后三年，在质量保证期内设备运行发生故障时，维修服务在2小时内响应，24小时内到达现场免费提供技术支持或维修服务，并及时填写维修报告（包括故障原因、处理情况及用户意</w:t>
      </w:r>
    </w:p>
    <w:p w14:paraId="4E4BDBFB">
      <w:pPr>
        <w:spacing w:line="420" w:lineRule="exact"/>
        <w:rPr>
          <w:rFonts w:hint="eastAsia" w:ascii="楷体" w:hAnsi="楷体" w:eastAsia="楷体" w:cs="楷体"/>
          <w:sz w:val="24"/>
          <w:szCs w:val="24"/>
        </w:rPr>
      </w:pPr>
      <w:r>
        <w:rPr>
          <w:rFonts w:hint="eastAsia" w:ascii="楷体" w:hAnsi="楷体" w:eastAsia="楷体" w:cs="楷体"/>
          <w:sz w:val="24"/>
          <w:szCs w:val="24"/>
        </w:rPr>
        <w:t>见等）备案；质量保证期内卖方需对设备进行至少3个月一次的主动巡检。</w:t>
      </w:r>
    </w:p>
    <w:p w14:paraId="46A48185">
      <w:pPr>
        <w:spacing w:line="420" w:lineRule="exact"/>
        <w:rPr>
          <w:rFonts w:hint="eastAsia" w:ascii="楷体" w:hAnsi="楷体" w:eastAsia="楷体" w:cs="楷体"/>
          <w:sz w:val="24"/>
          <w:szCs w:val="24"/>
        </w:rPr>
      </w:pPr>
      <w:r>
        <w:rPr>
          <w:rFonts w:hint="eastAsia" w:ascii="楷体" w:hAnsi="楷体" w:eastAsia="楷体" w:cs="楷体"/>
          <w:sz w:val="24"/>
          <w:szCs w:val="24"/>
        </w:rPr>
        <w:t>5、质量保证期结束后，卖方仍需通过在用户所在地设立的售后维修点进行定期维护和修理，并承诺负责设备的终身免费维修服务。</w:t>
      </w:r>
    </w:p>
    <w:p w14:paraId="26055A5C">
      <w:pPr>
        <w:pStyle w:val="2"/>
        <w:spacing w:line="420" w:lineRule="exact"/>
        <w:rPr>
          <w:rFonts w:hint="eastAsia" w:ascii="楷体" w:hAnsi="楷体" w:eastAsia="楷体" w:cs="楷体"/>
          <w:sz w:val="24"/>
          <w:szCs w:val="24"/>
        </w:rPr>
      </w:pPr>
    </w:p>
    <w:p w14:paraId="41CACA23">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九</w:t>
      </w:r>
      <w:r>
        <w:rPr>
          <w:rFonts w:hint="eastAsia" w:ascii="楷体" w:hAnsi="楷体" w:eastAsia="楷体" w:cs="楷体"/>
          <w:b/>
          <w:sz w:val="24"/>
          <w:szCs w:val="24"/>
          <w:lang w:eastAsia="zh-CN"/>
        </w:rPr>
        <w:t>）</w:t>
      </w:r>
      <w:r>
        <w:rPr>
          <w:rFonts w:hint="eastAsia" w:ascii="楷体" w:hAnsi="楷体" w:eastAsia="楷体" w:cs="楷体"/>
          <w:b/>
          <w:sz w:val="24"/>
          <w:szCs w:val="24"/>
        </w:rPr>
        <w:t>生化培养箱技术及配置要求</w:t>
      </w:r>
    </w:p>
    <w:p w14:paraId="44E3A456">
      <w:pPr>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2D612DFD">
      <w:pPr>
        <w:spacing w:line="420" w:lineRule="exact"/>
        <w:rPr>
          <w:rFonts w:hint="eastAsia" w:ascii="楷体" w:hAnsi="楷体" w:eastAsia="楷体" w:cs="楷体"/>
          <w:sz w:val="24"/>
          <w:szCs w:val="24"/>
        </w:rPr>
      </w:pPr>
      <w:r>
        <w:rPr>
          <w:rFonts w:hint="eastAsia" w:ascii="楷体" w:hAnsi="楷体" w:eastAsia="楷体" w:cs="楷体"/>
          <w:sz w:val="24"/>
          <w:szCs w:val="24"/>
        </w:rPr>
        <w:t>1、控温范围：0-70℃</w:t>
      </w:r>
    </w:p>
    <w:p w14:paraId="7B474D7C">
      <w:pPr>
        <w:spacing w:line="420" w:lineRule="exact"/>
        <w:rPr>
          <w:rFonts w:hint="eastAsia" w:ascii="楷体" w:hAnsi="楷体" w:eastAsia="楷体" w:cs="楷体"/>
          <w:sz w:val="24"/>
          <w:szCs w:val="24"/>
        </w:rPr>
      </w:pPr>
      <w:r>
        <w:rPr>
          <w:rFonts w:hint="eastAsia" w:ascii="楷体" w:hAnsi="楷体" w:eastAsia="楷体" w:cs="楷体"/>
          <w:sz w:val="24"/>
          <w:szCs w:val="24"/>
        </w:rPr>
        <w:t>2、分辨率：≤0.1℃</w:t>
      </w:r>
    </w:p>
    <w:p w14:paraId="75C215EF">
      <w:pPr>
        <w:spacing w:line="420" w:lineRule="exact"/>
        <w:rPr>
          <w:rFonts w:hint="eastAsia" w:ascii="楷体" w:hAnsi="楷体" w:eastAsia="楷体" w:cs="楷体"/>
          <w:sz w:val="24"/>
          <w:szCs w:val="24"/>
        </w:rPr>
      </w:pPr>
      <w:r>
        <w:rPr>
          <w:rFonts w:hint="eastAsia" w:ascii="楷体" w:hAnsi="楷体" w:eastAsia="楷体" w:cs="楷体"/>
          <w:sz w:val="24"/>
          <w:szCs w:val="24"/>
        </w:rPr>
        <w:t>3、波动度:±0.5℃</w:t>
      </w:r>
    </w:p>
    <w:p w14:paraId="0483C2FB">
      <w:pPr>
        <w:spacing w:line="420" w:lineRule="exact"/>
        <w:rPr>
          <w:rFonts w:hint="eastAsia" w:ascii="楷体" w:hAnsi="楷体" w:eastAsia="楷体" w:cs="楷体"/>
          <w:sz w:val="24"/>
          <w:szCs w:val="24"/>
        </w:rPr>
      </w:pPr>
      <w:r>
        <w:rPr>
          <w:rFonts w:hint="eastAsia" w:ascii="楷体" w:hAnsi="楷体" w:eastAsia="楷体" w:cs="楷体"/>
          <w:sz w:val="24"/>
          <w:szCs w:val="24"/>
        </w:rPr>
        <w:t>4、均匀度：≤±1℃</w:t>
      </w:r>
    </w:p>
    <w:p w14:paraId="601C3FE1">
      <w:pPr>
        <w:spacing w:line="420" w:lineRule="exact"/>
        <w:rPr>
          <w:rFonts w:hint="eastAsia" w:ascii="楷体" w:hAnsi="楷体" w:eastAsia="楷体" w:cs="楷体"/>
          <w:sz w:val="24"/>
          <w:szCs w:val="24"/>
        </w:rPr>
      </w:pPr>
      <w:r>
        <w:rPr>
          <w:rFonts w:hint="eastAsia" w:ascii="楷体" w:hAnsi="楷体" w:eastAsia="楷体" w:cs="楷体"/>
          <w:sz w:val="24"/>
          <w:szCs w:val="24"/>
        </w:rPr>
        <w:t>5、定时范围：0-9999/min/h</w:t>
      </w:r>
    </w:p>
    <w:p w14:paraId="4583A8DD">
      <w:pPr>
        <w:spacing w:line="420" w:lineRule="exact"/>
        <w:rPr>
          <w:rFonts w:hint="eastAsia" w:ascii="楷体" w:hAnsi="楷体" w:eastAsia="楷体" w:cs="楷体"/>
          <w:sz w:val="24"/>
          <w:szCs w:val="24"/>
          <w:highlight w:val="yellow"/>
        </w:rPr>
      </w:pPr>
      <w:r>
        <w:rPr>
          <w:rFonts w:hint="eastAsia" w:ascii="楷体" w:hAnsi="楷体" w:eastAsia="楷体" w:cs="楷体"/>
          <w:sz w:val="24"/>
          <w:szCs w:val="24"/>
        </w:rPr>
        <w:t>6、外形尺寸：不小于650*680*1400mm（长或宽不得大于700mm）</w:t>
      </w:r>
    </w:p>
    <w:p w14:paraId="24B0AB4A">
      <w:pPr>
        <w:spacing w:line="420" w:lineRule="exact"/>
        <w:rPr>
          <w:rFonts w:hint="eastAsia" w:ascii="楷体" w:hAnsi="楷体" w:eastAsia="楷体" w:cs="楷体"/>
          <w:b/>
          <w:sz w:val="24"/>
          <w:szCs w:val="24"/>
        </w:rPr>
      </w:pPr>
      <w:r>
        <w:rPr>
          <w:rFonts w:hint="eastAsia" w:ascii="楷体" w:hAnsi="楷体" w:eastAsia="楷体" w:cs="楷体"/>
          <w:b/>
          <w:sz w:val="24"/>
          <w:szCs w:val="24"/>
          <w:lang w:val="en-US" w:eastAsia="zh-CN"/>
        </w:rPr>
        <w:t>二）</w:t>
      </w:r>
      <w:r>
        <w:rPr>
          <w:rFonts w:hint="eastAsia" w:ascii="楷体" w:hAnsi="楷体" w:eastAsia="楷体" w:cs="楷体"/>
          <w:b/>
          <w:sz w:val="24"/>
          <w:szCs w:val="24"/>
        </w:rPr>
        <w:t>仪器要求</w:t>
      </w:r>
    </w:p>
    <w:p w14:paraId="157E2575">
      <w:pPr>
        <w:spacing w:line="420" w:lineRule="exact"/>
        <w:rPr>
          <w:rFonts w:hint="eastAsia" w:ascii="楷体" w:hAnsi="楷体" w:eastAsia="楷体" w:cs="楷体"/>
          <w:sz w:val="24"/>
          <w:szCs w:val="24"/>
        </w:rPr>
      </w:pPr>
      <w:r>
        <w:rPr>
          <w:rFonts w:hint="eastAsia" w:ascii="楷体" w:hAnsi="楷体" w:eastAsia="楷体" w:cs="楷体"/>
          <w:sz w:val="24"/>
          <w:szCs w:val="24"/>
        </w:rPr>
        <w:t>1、仪器预留供气接口，外部不透光符合实验避光要求，外壳采用冷轧钢板制造，表面静电喷塑，内胆镜面不锈钢，搁板可以任意调节；</w:t>
      </w:r>
    </w:p>
    <w:p w14:paraId="6EB9ABD3">
      <w:pPr>
        <w:spacing w:line="420" w:lineRule="exact"/>
        <w:rPr>
          <w:rFonts w:hint="eastAsia" w:ascii="楷体" w:hAnsi="楷体" w:eastAsia="楷体" w:cs="楷体"/>
          <w:sz w:val="24"/>
          <w:szCs w:val="24"/>
        </w:rPr>
      </w:pPr>
      <w:r>
        <w:rPr>
          <w:rFonts w:hint="eastAsia" w:ascii="楷体" w:hAnsi="楷体" w:eastAsia="楷体" w:cs="楷体"/>
          <w:sz w:val="24"/>
          <w:szCs w:val="24"/>
        </w:rPr>
        <w:t>2、背光触控式按键设定，具有温度、时间调节控制；具有彩色液晶背光显示；具备屏锁时间、屏保密码设定功能；</w:t>
      </w:r>
    </w:p>
    <w:p w14:paraId="053FE5C8">
      <w:pPr>
        <w:spacing w:line="420" w:lineRule="exact"/>
        <w:rPr>
          <w:rFonts w:hint="eastAsia" w:ascii="楷体" w:hAnsi="楷体" w:eastAsia="楷体" w:cs="楷体"/>
          <w:sz w:val="24"/>
          <w:szCs w:val="24"/>
        </w:rPr>
      </w:pPr>
      <w:r>
        <w:rPr>
          <w:rFonts w:hint="eastAsia" w:ascii="楷体" w:hAnsi="楷体" w:eastAsia="楷体" w:cs="楷体"/>
          <w:sz w:val="24"/>
          <w:szCs w:val="24"/>
        </w:rPr>
        <w:t>3、具备不小于6级风速调控功能和预约定时功能；具备易拆卸式压缩机冷凝器保养窗口，方便客户定期进行冷凝器清洁；</w:t>
      </w:r>
    </w:p>
    <w:p w14:paraId="00BDE69E">
      <w:pPr>
        <w:spacing w:line="420" w:lineRule="exact"/>
        <w:rPr>
          <w:rFonts w:hint="eastAsia" w:ascii="楷体" w:hAnsi="楷体" w:eastAsia="楷体" w:cs="楷体"/>
          <w:b/>
          <w:bCs/>
          <w:sz w:val="24"/>
          <w:szCs w:val="24"/>
          <w:highlight w:val="yellow"/>
        </w:rPr>
      </w:pPr>
      <w:r>
        <w:rPr>
          <w:rFonts w:hint="eastAsia" w:ascii="楷体" w:hAnsi="楷体" w:eastAsia="楷体" w:cs="楷体"/>
          <w:sz w:val="24"/>
          <w:szCs w:val="24"/>
        </w:rPr>
        <w:t>4、采用变频式制冷系统，使用环保制冷剂，全温段持续无霜运行，避免对温度的影响，使设备连续长时间使用。</w:t>
      </w:r>
    </w:p>
    <w:p w14:paraId="0AC41BBF">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lang w:val="en-US" w:eastAsia="zh-CN"/>
        </w:rPr>
        <w:t>三）</w:t>
      </w:r>
      <w:r>
        <w:rPr>
          <w:rFonts w:hint="eastAsia" w:ascii="楷体" w:hAnsi="楷体" w:eastAsia="楷体" w:cs="楷体"/>
          <w:b/>
          <w:bCs/>
          <w:sz w:val="24"/>
          <w:szCs w:val="24"/>
        </w:rPr>
        <w:t>仪器配置及要求</w:t>
      </w:r>
    </w:p>
    <w:p w14:paraId="436C2764">
      <w:pPr>
        <w:spacing w:line="420" w:lineRule="exact"/>
        <w:rPr>
          <w:rFonts w:hint="eastAsia" w:ascii="楷体" w:hAnsi="楷体" w:eastAsia="楷体" w:cs="楷体"/>
          <w:sz w:val="24"/>
          <w:szCs w:val="24"/>
        </w:rPr>
      </w:pPr>
      <w:r>
        <w:rPr>
          <w:rFonts w:hint="eastAsia" w:ascii="楷体" w:hAnsi="楷体" w:eastAsia="楷体" w:cs="楷体"/>
          <w:sz w:val="24"/>
          <w:szCs w:val="24"/>
        </w:rPr>
        <w:t>1、生化培养箱1台</w:t>
      </w:r>
    </w:p>
    <w:p w14:paraId="166FC1CD">
      <w:pPr>
        <w:spacing w:line="420" w:lineRule="exact"/>
        <w:rPr>
          <w:rFonts w:hint="eastAsia" w:ascii="楷体" w:hAnsi="楷体" w:eastAsia="楷体" w:cs="楷体"/>
          <w:bCs/>
          <w:sz w:val="24"/>
          <w:szCs w:val="24"/>
        </w:rPr>
      </w:pPr>
      <w:r>
        <w:rPr>
          <w:rFonts w:hint="eastAsia" w:ascii="楷体" w:hAnsi="楷体" w:eastAsia="楷体" w:cs="楷体"/>
          <w:sz w:val="24"/>
          <w:szCs w:val="24"/>
        </w:rPr>
        <w:t>2、载物托架3块</w:t>
      </w:r>
    </w:p>
    <w:p w14:paraId="5775A085">
      <w:pPr>
        <w:spacing w:line="420" w:lineRule="exact"/>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四）</w:t>
      </w:r>
      <w:r>
        <w:rPr>
          <w:rFonts w:hint="eastAsia" w:ascii="楷体" w:hAnsi="楷体" w:eastAsia="楷体" w:cs="楷体"/>
          <w:b/>
          <w:bCs/>
          <w:sz w:val="24"/>
          <w:szCs w:val="24"/>
        </w:rPr>
        <w:t>售后及服务</w:t>
      </w:r>
      <w:r>
        <w:rPr>
          <w:rFonts w:hint="eastAsia" w:ascii="楷体" w:hAnsi="楷体" w:eastAsia="楷体" w:cs="楷体"/>
          <w:b/>
          <w:bCs/>
          <w:sz w:val="24"/>
          <w:szCs w:val="24"/>
          <w:lang w:val="en-US" w:eastAsia="zh-CN"/>
        </w:rPr>
        <w:t>要求</w:t>
      </w:r>
    </w:p>
    <w:p w14:paraId="4EECC876">
      <w:pPr>
        <w:spacing w:line="420" w:lineRule="exact"/>
        <w:rPr>
          <w:rFonts w:hint="eastAsia" w:ascii="楷体" w:hAnsi="楷体" w:eastAsia="楷体" w:cs="楷体"/>
          <w:sz w:val="24"/>
          <w:szCs w:val="24"/>
        </w:rPr>
      </w:pPr>
      <w:r>
        <w:rPr>
          <w:rFonts w:hint="eastAsia" w:ascii="楷体" w:hAnsi="楷体" w:eastAsia="楷体" w:cs="楷体"/>
          <w:sz w:val="24"/>
          <w:szCs w:val="24"/>
        </w:rPr>
        <w:t>1、自验收合格之日起，质保期三年。质保期内，因设备配置或制造质量问题而引起的故障，应在一个工作日内做出响应，并按照接到正式报修时间尽快安排解决；</w:t>
      </w:r>
    </w:p>
    <w:p w14:paraId="390F2194">
      <w:pPr>
        <w:spacing w:line="420" w:lineRule="exact"/>
        <w:rPr>
          <w:rFonts w:hint="eastAsia" w:ascii="楷体" w:hAnsi="楷体" w:eastAsia="楷体" w:cs="楷体"/>
          <w:sz w:val="24"/>
          <w:szCs w:val="24"/>
        </w:rPr>
      </w:pPr>
      <w:r>
        <w:rPr>
          <w:rFonts w:hint="eastAsia" w:ascii="楷体" w:hAnsi="楷体" w:eastAsia="楷体" w:cs="楷体"/>
          <w:sz w:val="24"/>
          <w:szCs w:val="24"/>
        </w:rPr>
        <w:t>2、保修期内，仪器出现损坏，免收一切人工费和配件费。在保修期内，对任何质量投诉，保证在24小时内相应，如有需要，工程师在48小时内到达现场，维修过程中更换的配件，保质期为一年；</w:t>
      </w:r>
    </w:p>
    <w:p w14:paraId="15ED01C7">
      <w:pPr>
        <w:spacing w:line="420" w:lineRule="exact"/>
        <w:rPr>
          <w:rFonts w:hint="eastAsia" w:ascii="楷体" w:hAnsi="楷体" w:eastAsia="楷体" w:cs="楷体"/>
          <w:sz w:val="24"/>
          <w:szCs w:val="24"/>
        </w:rPr>
      </w:pPr>
      <w:r>
        <w:rPr>
          <w:rFonts w:hint="eastAsia" w:ascii="楷体" w:hAnsi="楷体" w:eastAsia="楷体" w:cs="楷体"/>
          <w:sz w:val="24"/>
          <w:szCs w:val="24"/>
        </w:rPr>
        <w:t>3、保修期结束后，提供技术支持和终身维修服务，如需工程师到达现场或更换配件，给予优惠价格。</w:t>
      </w:r>
    </w:p>
    <w:p w14:paraId="7FD03EF4">
      <w:pPr>
        <w:pStyle w:val="2"/>
        <w:spacing w:line="420" w:lineRule="exact"/>
        <w:rPr>
          <w:rFonts w:hint="eastAsia" w:ascii="楷体" w:hAnsi="楷体" w:eastAsia="楷体" w:cs="楷体"/>
          <w:sz w:val="24"/>
          <w:szCs w:val="24"/>
        </w:rPr>
      </w:pPr>
    </w:p>
    <w:p w14:paraId="5E2A6DEE">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十</w:t>
      </w:r>
      <w:r>
        <w:rPr>
          <w:rFonts w:hint="eastAsia" w:ascii="楷体" w:hAnsi="楷体" w:eastAsia="楷体" w:cs="楷体"/>
          <w:b/>
          <w:sz w:val="24"/>
          <w:szCs w:val="24"/>
          <w:lang w:eastAsia="zh-CN"/>
        </w:rPr>
        <w:t>）</w:t>
      </w:r>
      <w:r>
        <w:rPr>
          <w:rFonts w:hint="eastAsia" w:ascii="楷体" w:hAnsi="楷体" w:eastAsia="楷体" w:cs="楷体"/>
          <w:b/>
          <w:sz w:val="24"/>
          <w:szCs w:val="24"/>
        </w:rPr>
        <w:t>离子计技术及配置要求</w:t>
      </w:r>
    </w:p>
    <w:p w14:paraId="5675D74A">
      <w:pPr>
        <w:spacing w:line="420" w:lineRule="exact"/>
        <w:rPr>
          <w:rFonts w:hint="eastAsia" w:ascii="楷体" w:hAnsi="楷体" w:eastAsia="楷体" w:cs="楷体"/>
          <w:b/>
          <w:sz w:val="24"/>
          <w:szCs w:val="24"/>
        </w:rPr>
      </w:pPr>
      <w:r>
        <w:rPr>
          <w:rFonts w:hint="eastAsia" w:ascii="楷体" w:hAnsi="楷体" w:eastAsia="楷体" w:cs="楷体"/>
          <w:b/>
          <w:sz w:val="24"/>
          <w:szCs w:val="24"/>
          <w:lang w:val="en-US" w:eastAsia="zh-CN"/>
        </w:rPr>
        <w:t>一）</w:t>
      </w:r>
      <w:r>
        <w:rPr>
          <w:rFonts w:hint="eastAsia" w:ascii="楷体" w:hAnsi="楷体" w:eastAsia="楷体" w:cs="楷体"/>
          <w:b/>
          <w:sz w:val="24"/>
          <w:szCs w:val="24"/>
        </w:rPr>
        <w:t>技术参数</w:t>
      </w:r>
    </w:p>
    <w:p w14:paraId="4A88FB1C">
      <w:pPr>
        <w:spacing w:line="420" w:lineRule="exact"/>
        <w:rPr>
          <w:rFonts w:hint="eastAsia" w:ascii="楷体" w:hAnsi="楷体" w:eastAsia="楷体" w:cs="楷体"/>
          <w:sz w:val="24"/>
          <w:szCs w:val="24"/>
        </w:rPr>
      </w:pPr>
      <w:r>
        <w:rPr>
          <w:rFonts w:hint="eastAsia" w:ascii="楷体" w:hAnsi="楷体" w:eastAsia="楷体" w:cs="楷体"/>
          <w:sz w:val="24"/>
          <w:szCs w:val="24"/>
        </w:rPr>
        <w:t>1、pH</w:t>
      </w:r>
    </w:p>
    <w:p w14:paraId="0CA4F5E7">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（1）测量范围：(-2.000-19.999)pH</w:t>
      </w:r>
    </w:p>
    <w:p w14:paraId="4B99DE9F">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（2）分辨率：0.1/0.01/0.001 pH</w:t>
      </w:r>
    </w:p>
    <w:p w14:paraId="66E3E83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（3）准确度：电计：不高于0.002 pH</w:t>
      </w:r>
    </w:p>
    <w:p w14:paraId="46ACFEF4">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（4）稳定性：不高于0.002 pH/3h</w:t>
      </w:r>
    </w:p>
    <w:p w14:paraId="4325B953">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（5）温度补偿范围：(0-100)℃(自动或手动)</w:t>
      </w:r>
    </w:p>
    <w:p w14:paraId="2028249A">
      <w:pPr>
        <w:spacing w:line="420" w:lineRule="exact"/>
        <w:rPr>
          <w:rFonts w:hint="eastAsia" w:ascii="楷体" w:hAnsi="楷体" w:eastAsia="楷体" w:cs="楷体"/>
          <w:sz w:val="24"/>
          <w:szCs w:val="24"/>
        </w:rPr>
      </w:pPr>
      <w:r>
        <w:rPr>
          <w:rFonts w:hint="eastAsia" w:ascii="楷体" w:hAnsi="楷体" w:eastAsia="楷体" w:cs="楷体"/>
          <w:sz w:val="24"/>
          <w:szCs w:val="24"/>
        </w:rPr>
        <w:t>2、mV</w:t>
      </w:r>
    </w:p>
    <w:p w14:paraId="6D9CE79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（1）测量范围：-1999.9 mV-0-1999.9 mV</w:t>
      </w:r>
    </w:p>
    <w:p w14:paraId="41EBF1B5">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（2）分辨率：不高于0.1 mV</w:t>
      </w:r>
    </w:p>
    <w:p w14:paraId="03965763">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（3）准确度：不高于0.03% FS</w:t>
      </w:r>
    </w:p>
    <w:p w14:paraId="15E4B9F6">
      <w:pPr>
        <w:spacing w:line="420" w:lineRule="exact"/>
        <w:rPr>
          <w:rFonts w:hint="eastAsia" w:ascii="楷体" w:hAnsi="楷体" w:eastAsia="楷体" w:cs="楷体"/>
          <w:sz w:val="24"/>
          <w:szCs w:val="24"/>
        </w:rPr>
      </w:pPr>
      <w:r>
        <w:rPr>
          <w:rFonts w:hint="eastAsia" w:ascii="楷体" w:hAnsi="楷体" w:eastAsia="楷体" w:cs="楷体"/>
          <w:sz w:val="24"/>
          <w:szCs w:val="24"/>
        </w:rPr>
        <w:t>3、离子浓度</w:t>
      </w:r>
    </w:p>
    <w:p w14:paraId="589DDF48">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（1）测量范围：电计：(0.00-14.00)pX</w:t>
      </w:r>
    </w:p>
    <w:p w14:paraId="4C42E8B7">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（2）显示单位：pX、mol/L、mg/L、ppm</w:t>
      </w:r>
    </w:p>
    <w:p w14:paraId="72D70E3F">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（3）准确度：电计:±0.01 pX(一价)，±0.02 pX(二价)</w:t>
      </w:r>
    </w:p>
    <w:p w14:paraId="4C9980C9">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（4）温度补偿范围：0-60℃(自动或手动)</w:t>
      </w:r>
    </w:p>
    <w:p w14:paraId="02A25989">
      <w:pPr>
        <w:spacing w:line="420" w:lineRule="exact"/>
        <w:rPr>
          <w:rFonts w:hint="eastAsia" w:ascii="楷体" w:hAnsi="楷体" w:eastAsia="楷体" w:cs="楷体"/>
          <w:sz w:val="24"/>
          <w:szCs w:val="24"/>
        </w:rPr>
      </w:pPr>
      <w:r>
        <w:rPr>
          <w:rFonts w:hint="eastAsia" w:ascii="楷体" w:hAnsi="楷体" w:eastAsia="楷体" w:cs="楷体"/>
          <w:sz w:val="24"/>
          <w:szCs w:val="24"/>
        </w:rPr>
        <w:t>4、温度</w:t>
      </w:r>
    </w:p>
    <w:p w14:paraId="79AEBD04">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（1）测量范围：-10-110℃</w:t>
      </w:r>
    </w:p>
    <w:p w14:paraId="763E2597">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（2）分辨率：不高于0.1℃</w:t>
      </w:r>
    </w:p>
    <w:p w14:paraId="767B462F">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（3）准确度：5-60℃</w:t>
      </w:r>
    </w:p>
    <w:p w14:paraId="22109E59">
      <w:pPr>
        <w:spacing w:line="420" w:lineRule="exact"/>
        <w:rPr>
          <w:rFonts w:hint="eastAsia" w:ascii="楷体" w:hAnsi="楷体" w:eastAsia="楷体" w:cs="楷体"/>
          <w:sz w:val="24"/>
          <w:szCs w:val="24"/>
        </w:rPr>
      </w:pPr>
      <w:r>
        <w:rPr>
          <w:rFonts w:hint="eastAsia" w:ascii="楷体" w:hAnsi="楷体" w:eastAsia="楷体" w:cs="楷体"/>
          <w:sz w:val="24"/>
          <w:szCs w:val="24"/>
        </w:rPr>
        <w:t>5、其他技术参数</w:t>
      </w:r>
    </w:p>
    <w:p w14:paraId="4048F239">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（1）数据储存：不少于900组；</w:t>
      </w:r>
    </w:p>
    <w:p w14:paraId="43B0E289">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（2）储存内容：测量值编号、测量值、温度值、测量日期、测量时间</w:t>
      </w:r>
    </w:p>
    <w:p w14:paraId="4BAFCF21">
      <w:pPr>
        <w:spacing w:line="420" w:lineRule="exact"/>
        <w:rPr>
          <w:rFonts w:hint="eastAsia" w:ascii="楷体" w:hAnsi="楷体" w:eastAsia="楷体" w:cs="楷体"/>
          <w:sz w:val="24"/>
          <w:szCs w:val="24"/>
        </w:rPr>
      </w:pPr>
      <w:r>
        <w:rPr>
          <w:rFonts w:hint="eastAsia" w:ascii="楷体" w:hAnsi="楷体" w:eastAsia="楷体" w:cs="楷体"/>
          <w:sz w:val="24"/>
          <w:szCs w:val="24"/>
        </w:rPr>
        <w:t>6、工作条件</w:t>
      </w:r>
    </w:p>
    <w:p w14:paraId="0418ED6C">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（1）环境温度：5-35℃(0.01级)；15-30℃(0.001级)</w:t>
      </w:r>
    </w:p>
    <w:p w14:paraId="17427E4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（2）环境湿度：不高于75%</w:t>
      </w:r>
    </w:p>
    <w:p w14:paraId="119082B6">
      <w:pPr>
        <w:spacing w:line="420" w:lineRule="exact"/>
        <w:rPr>
          <w:rFonts w:hint="eastAsia" w:ascii="楷体" w:hAnsi="楷体" w:eastAsia="楷体" w:cs="楷体"/>
          <w:b/>
          <w:sz w:val="24"/>
          <w:szCs w:val="24"/>
        </w:rPr>
      </w:pPr>
      <w:r>
        <w:rPr>
          <w:rFonts w:hint="eastAsia" w:ascii="楷体" w:hAnsi="楷体" w:eastAsia="楷体" w:cs="楷体"/>
          <w:b/>
          <w:sz w:val="24"/>
          <w:szCs w:val="24"/>
          <w:lang w:val="en-US" w:eastAsia="zh-CN"/>
        </w:rPr>
        <w:t>二）</w:t>
      </w:r>
      <w:r>
        <w:rPr>
          <w:rFonts w:hint="eastAsia" w:ascii="楷体" w:hAnsi="楷体" w:eastAsia="楷体" w:cs="楷体"/>
          <w:b/>
          <w:sz w:val="24"/>
          <w:szCs w:val="24"/>
        </w:rPr>
        <w:t>仪器要求</w:t>
      </w:r>
    </w:p>
    <w:p w14:paraId="2D1C060E">
      <w:pPr>
        <w:spacing w:line="420" w:lineRule="exact"/>
        <w:rPr>
          <w:rFonts w:hint="eastAsia" w:ascii="楷体" w:hAnsi="楷体" w:eastAsia="楷体" w:cs="楷体"/>
          <w:sz w:val="24"/>
          <w:szCs w:val="24"/>
        </w:rPr>
      </w:pPr>
      <w:r>
        <w:rPr>
          <w:rFonts w:hint="eastAsia" w:ascii="楷体" w:hAnsi="楷体" w:eastAsia="楷体" w:cs="楷体"/>
          <w:sz w:val="24"/>
          <w:szCs w:val="24"/>
        </w:rPr>
        <w:t>1、具有自动校准、自动温度补偿、数据储存、RS232输出、时钟显示、功能设置和自诊断信息等智能化功能。</w:t>
      </w:r>
    </w:p>
    <w:p w14:paraId="798E2B85">
      <w:pPr>
        <w:spacing w:line="420" w:lineRule="exact"/>
        <w:rPr>
          <w:rFonts w:hint="eastAsia" w:ascii="楷体" w:hAnsi="楷体" w:eastAsia="楷体" w:cs="楷体"/>
          <w:sz w:val="24"/>
          <w:szCs w:val="24"/>
        </w:rPr>
      </w:pPr>
      <w:r>
        <w:rPr>
          <w:rFonts w:hint="eastAsia" w:ascii="楷体" w:hAnsi="楷体" w:eastAsia="楷体" w:cs="楷体"/>
          <w:sz w:val="24"/>
          <w:szCs w:val="24"/>
        </w:rPr>
        <w:t>2、自动识别13种pH标准缓冲溶液。</w:t>
      </w:r>
    </w:p>
    <w:p w14:paraId="1B1B6291">
      <w:pPr>
        <w:spacing w:line="420" w:lineRule="exact"/>
        <w:rPr>
          <w:rFonts w:hint="eastAsia" w:ascii="楷体" w:hAnsi="楷体" w:eastAsia="楷体" w:cs="楷体"/>
          <w:sz w:val="24"/>
          <w:szCs w:val="24"/>
        </w:rPr>
      </w:pPr>
      <w:r>
        <w:rPr>
          <w:rFonts w:hint="eastAsia" w:ascii="楷体" w:hAnsi="楷体" w:eastAsia="楷体" w:cs="楷体"/>
          <w:sz w:val="24"/>
          <w:szCs w:val="24"/>
        </w:rPr>
        <w:t>3、高端可充式玻璃pH电极，适合0.001级高精度测量。</w:t>
      </w:r>
    </w:p>
    <w:p w14:paraId="1DA77EE1">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lang w:val="en-US" w:eastAsia="zh-CN"/>
        </w:rPr>
        <w:t>三）</w:t>
      </w:r>
      <w:r>
        <w:rPr>
          <w:rFonts w:hint="eastAsia" w:ascii="楷体" w:hAnsi="楷体" w:eastAsia="楷体" w:cs="楷体"/>
          <w:b/>
          <w:bCs/>
          <w:sz w:val="24"/>
          <w:szCs w:val="24"/>
        </w:rPr>
        <w:t>仪器配置及要求</w:t>
      </w:r>
    </w:p>
    <w:p w14:paraId="12DA967B">
      <w:pPr>
        <w:spacing w:line="420" w:lineRule="exact"/>
        <w:rPr>
          <w:rFonts w:hint="eastAsia" w:ascii="楷体" w:hAnsi="楷体" w:eastAsia="楷体" w:cs="楷体"/>
          <w:sz w:val="24"/>
          <w:szCs w:val="24"/>
        </w:rPr>
      </w:pPr>
      <w:r>
        <w:rPr>
          <w:rFonts w:hint="eastAsia" w:ascii="楷体" w:hAnsi="楷体" w:eastAsia="楷体" w:cs="楷体"/>
          <w:sz w:val="24"/>
          <w:szCs w:val="24"/>
        </w:rPr>
        <w:t>1、主机1台</w:t>
      </w:r>
    </w:p>
    <w:p w14:paraId="0487D5BC">
      <w:pPr>
        <w:spacing w:line="420" w:lineRule="exact"/>
        <w:rPr>
          <w:rFonts w:hint="eastAsia" w:ascii="楷体" w:hAnsi="楷体" w:eastAsia="楷体" w:cs="楷体"/>
          <w:sz w:val="24"/>
          <w:szCs w:val="24"/>
        </w:rPr>
      </w:pPr>
      <w:r>
        <w:rPr>
          <w:rFonts w:hint="eastAsia" w:ascii="楷体" w:hAnsi="楷体" w:eastAsia="楷体" w:cs="楷体"/>
          <w:sz w:val="24"/>
          <w:szCs w:val="24"/>
        </w:rPr>
        <w:t>2、电极架1个</w:t>
      </w:r>
    </w:p>
    <w:p w14:paraId="28713DC2">
      <w:pPr>
        <w:spacing w:line="420" w:lineRule="exact"/>
        <w:rPr>
          <w:rFonts w:hint="eastAsia" w:ascii="楷体" w:hAnsi="楷体" w:eastAsia="楷体" w:cs="楷体"/>
          <w:sz w:val="24"/>
          <w:szCs w:val="24"/>
        </w:rPr>
      </w:pPr>
      <w:r>
        <w:rPr>
          <w:rFonts w:hint="eastAsia" w:ascii="楷体" w:hAnsi="楷体" w:eastAsia="楷体" w:cs="楷体"/>
          <w:sz w:val="24"/>
          <w:szCs w:val="24"/>
        </w:rPr>
        <w:t>3、搅拌器1个</w:t>
      </w:r>
    </w:p>
    <w:p w14:paraId="2C8C9742">
      <w:pPr>
        <w:spacing w:line="420" w:lineRule="exact"/>
        <w:rPr>
          <w:rFonts w:hint="eastAsia" w:ascii="楷体" w:hAnsi="楷体" w:eastAsia="楷体" w:cs="楷体"/>
          <w:sz w:val="24"/>
          <w:szCs w:val="24"/>
        </w:rPr>
      </w:pPr>
      <w:r>
        <w:rPr>
          <w:rFonts w:hint="eastAsia" w:ascii="楷体" w:hAnsi="楷体" w:eastAsia="楷体" w:cs="楷体"/>
          <w:sz w:val="24"/>
          <w:szCs w:val="24"/>
        </w:rPr>
        <w:t>4、pH/ATC三复合电极1支</w:t>
      </w:r>
    </w:p>
    <w:p w14:paraId="707A3374">
      <w:pPr>
        <w:spacing w:line="420" w:lineRule="exact"/>
        <w:rPr>
          <w:rFonts w:hint="eastAsia" w:ascii="楷体" w:hAnsi="楷体" w:eastAsia="楷体" w:cs="楷体"/>
          <w:sz w:val="24"/>
          <w:szCs w:val="24"/>
        </w:rPr>
      </w:pPr>
      <w:r>
        <w:rPr>
          <w:rFonts w:hint="eastAsia" w:ascii="楷体" w:hAnsi="楷体" w:eastAsia="楷体" w:cs="楷体"/>
          <w:sz w:val="24"/>
          <w:szCs w:val="24"/>
        </w:rPr>
        <w:t>5、氟离子电极1支</w:t>
      </w:r>
    </w:p>
    <w:p w14:paraId="3E02E5AE">
      <w:pPr>
        <w:spacing w:line="420" w:lineRule="exact"/>
        <w:rPr>
          <w:rFonts w:hint="eastAsia" w:ascii="楷体" w:hAnsi="楷体" w:eastAsia="楷体" w:cs="楷体"/>
          <w:sz w:val="24"/>
          <w:szCs w:val="24"/>
        </w:rPr>
      </w:pPr>
      <w:r>
        <w:rPr>
          <w:rFonts w:hint="eastAsia" w:ascii="楷体" w:hAnsi="楷体" w:eastAsia="楷体" w:cs="楷体"/>
          <w:sz w:val="24"/>
          <w:szCs w:val="24"/>
        </w:rPr>
        <w:t>6、温度电极1支</w:t>
      </w:r>
    </w:p>
    <w:p w14:paraId="76DB8DEF">
      <w:pPr>
        <w:spacing w:line="420" w:lineRule="exact"/>
        <w:rPr>
          <w:rFonts w:hint="eastAsia" w:ascii="楷体" w:hAnsi="楷体" w:eastAsia="楷体" w:cs="楷体"/>
          <w:sz w:val="24"/>
          <w:szCs w:val="24"/>
        </w:rPr>
      </w:pPr>
      <w:r>
        <w:rPr>
          <w:rFonts w:hint="eastAsia" w:ascii="楷体" w:hAnsi="楷体" w:eastAsia="楷体" w:cs="楷体"/>
          <w:sz w:val="24"/>
          <w:szCs w:val="24"/>
        </w:rPr>
        <w:t>7、参比电极1支</w:t>
      </w:r>
    </w:p>
    <w:p w14:paraId="2662EB9A">
      <w:pPr>
        <w:spacing w:line="420" w:lineRule="exact"/>
        <w:rPr>
          <w:rFonts w:hint="eastAsia" w:ascii="楷体" w:hAnsi="楷体" w:eastAsia="楷体" w:cs="楷体"/>
          <w:sz w:val="24"/>
          <w:szCs w:val="24"/>
        </w:rPr>
      </w:pPr>
      <w:r>
        <w:rPr>
          <w:rFonts w:hint="eastAsia" w:ascii="楷体" w:hAnsi="楷体" w:eastAsia="楷体" w:cs="楷体"/>
          <w:sz w:val="24"/>
          <w:szCs w:val="24"/>
        </w:rPr>
        <w:t>8、氟离子标准溶液(100ml)2瓶</w:t>
      </w:r>
    </w:p>
    <w:p w14:paraId="62236105">
      <w:pPr>
        <w:spacing w:line="420" w:lineRule="exact"/>
        <w:rPr>
          <w:rFonts w:hint="eastAsia" w:ascii="楷体" w:hAnsi="楷体" w:eastAsia="楷体" w:cs="楷体"/>
          <w:sz w:val="24"/>
          <w:szCs w:val="24"/>
        </w:rPr>
      </w:pPr>
      <w:r>
        <w:rPr>
          <w:rFonts w:hint="eastAsia" w:ascii="楷体" w:hAnsi="楷体" w:eastAsia="楷体" w:cs="楷体"/>
          <w:sz w:val="24"/>
          <w:szCs w:val="24"/>
        </w:rPr>
        <w:t>9、离子强度调节剂(100ml)2瓶</w:t>
      </w:r>
    </w:p>
    <w:p w14:paraId="3ACF82A1">
      <w:pPr>
        <w:spacing w:line="420" w:lineRule="exact"/>
        <w:rPr>
          <w:rFonts w:hint="eastAsia" w:ascii="楷体" w:hAnsi="楷体" w:eastAsia="楷体" w:cs="楷体"/>
          <w:sz w:val="24"/>
          <w:szCs w:val="24"/>
        </w:rPr>
      </w:pPr>
      <w:r>
        <w:rPr>
          <w:rFonts w:hint="eastAsia" w:ascii="楷体" w:hAnsi="楷体" w:eastAsia="楷体" w:cs="楷体"/>
          <w:sz w:val="24"/>
          <w:szCs w:val="24"/>
        </w:rPr>
        <w:t>10、参比电极溶波(30ml)1瓶</w:t>
      </w:r>
    </w:p>
    <w:p w14:paraId="4519CDEC">
      <w:pPr>
        <w:spacing w:line="420" w:lineRule="exact"/>
        <w:rPr>
          <w:rFonts w:hint="eastAsia" w:ascii="楷体" w:hAnsi="楷体" w:eastAsia="楷体" w:cs="楷体"/>
          <w:sz w:val="24"/>
          <w:szCs w:val="24"/>
          <w:highlight w:val="yellow"/>
        </w:rPr>
      </w:pPr>
      <w:r>
        <w:rPr>
          <w:rFonts w:hint="eastAsia" w:ascii="楷体" w:hAnsi="楷体" w:eastAsia="楷体" w:cs="楷体"/>
          <w:sz w:val="24"/>
          <w:szCs w:val="24"/>
        </w:rPr>
        <w:t>11、pH校正缓冲溶液(pH4.00、pH6.86、pH9.18/50ml)各1瓶</w:t>
      </w:r>
    </w:p>
    <w:p w14:paraId="39479F4D">
      <w:pPr>
        <w:spacing w:line="420" w:lineRule="exact"/>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四）</w:t>
      </w:r>
      <w:r>
        <w:rPr>
          <w:rFonts w:hint="eastAsia" w:ascii="楷体" w:hAnsi="楷体" w:eastAsia="楷体" w:cs="楷体"/>
          <w:b/>
          <w:bCs/>
          <w:sz w:val="24"/>
          <w:szCs w:val="24"/>
        </w:rPr>
        <w:t>售后及服务</w:t>
      </w:r>
      <w:r>
        <w:rPr>
          <w:rFonts w:hint="eastAsia" w:ascii="楷体" w:hAnsi="楷体" w:eastAsia="楷体" w:cs="楷体"/>
          <w:b/>
          <w:bCs/>
          <w:sz w:val="24"/>
          <w:szCs w:val="24"/>
          <w:lang w:val="en-US" w:eastAsia="zh-CN"/>
        </w:rPr>
        <w:t>要求</w:t>
      </w:r>
    </w:p>
    <w:p w14:paraId="092C532A">
      <w:pPr>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32D814A6">
      <w:pPr>
        <w:spacing w:line="420" w:lineRule="exact"/>
        <w:ind w:left="458" w:leftChars="218"/>
        <w:rPr>
          <w:rFonts w:hint="eastAsia" w:ascii="楷体" w:hAnsi="楷体" w:eastAsia="楷体" w:cs="楷体"/>
          <w:bCs/>
          <w:sz w:val="24"/>
          <w:szCs w:val="24"/>
        </w:rPr>
      </w:pPr>
      <w:r>
        <w:rPr>
          <w:rFonts w:hint="eastAsia" w:ascii="楷体" w:hAnsi="楷体" w:eastAsia="楷体" w:cs="楷体"/>
          <w:bCs/>
          <w:sz w:val="24"/>
          <w:szCs w:val="24"/>
        </w:rPr>
        <w:t>（1）保证产品为全新原厂设备。</w:t>
      </w:r>
    </w:p>
    <w:p w14:paraId="1D213D96">
      <w:pPr>
        <w:spacing w:line="420" w:lineRule="exact"/>
        <w:ind w:firstLine="480" w:firstLineChars="200"/>
        <w:rPr>
          <w:rFonts w:hint="eastAsia" w:ascii="楷体" w:hAnsi="楷体" w:eastAsia="楷体" w:cs="楷体"/>
          <w:color w:val="FF0000"/>
          <w:sz w:val="24"/>
          <w:szCs w:val="24"/>
        </w:rPr>
      </w:pPr>
      <w:r>
        <w:rPr>
          <w:rFonts w:hint="eastAsia" w:ascii="楷体" w:hAnsi="楷体" w:eastAsia="楷体" w:cs="楷体"/>
          <w:bCs/>
          <w:sz w:val="24"/>
          <w:szCs w:val="24"/>
        </w:rPr>
        <w:t>（2）供货方保证产品不存在因材质、设计、制造等问题所引起的缺陷，否则应无偿予以纠正。</w:t>
      </w:r>
    </w:p>
    <w:p w14:paraId="5CD2504F">
      <w:pPr>
        <w:spacing w:line="420" w:lineRule="exact"/>
        <w:rPr>
          <w:rFonts w:hint="eastAsia" w:ascii="楷体" w:hAnsi="楷体" w:eastAsia="楷体" w:cs="楷体"/>
          <w:sz w:val="24"/>
          <w:szCs w:val="24"/>
        </w:rPr>
      </w:pPr>
      <w:r>
        <w:rPr>
          <w:rFonts w:hint="eastAsia" w:ascii="楷体" w:hAnsi="楷体" w:eastAsia="楷体" w:cs="楷体"/>
          <w:sz w:val="24"/>
          <w:szCs w:val="24"/>
        </w:rPr>
        <w:t>2、售后服务</w:t>
      </w:r>
    </w:p>
    <w:p w14:paraId="7C7122D3">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（1）自验收合格之日起，质保期三年。质保期内，因设备配置或制造质量问题而引起的故障，应在一个工作日内做出响应，并按照接到正式报修时间尽快安排解决；</w:t>
      </w:r>
    </w:p>
    <w:p w14:paraId="02182D9B">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（2）维修过程中，因特殊原因严重延误维修时间，应该说明并且相应延长保修时间；</w:t>
      </w:r>
    </w:p>
    <w:p w14:paraId="04A0702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（3）保修期满后应继续提供维修服务，如仪器出现故障需要更换配件，需提供优惠的配件价格。</w:t>
      </w:r>
    </w:p>
    <w:p w14:paraId="45179F4A">
      <w:pPr>
        <w:spacing w:line="420" w:lineRule="exact"/>
        <w:ind w:firstLine="480" w:firstLineChars="200"/>
        <w:rPr>
          <w:rFonts w:hint="eastAsia" w:ascii="楷体" w:hAnsi="楷体" w:eastAsia="楷体" w:cs="楷体"/>
          <w:bCs/>
          <w:sz w:val="24"/>
          <w:szCs w:val="24"/>
        </w:rPr>
      </w:pPr>
      <w:r>
        <w:rPr>
          <w:rFonts w:hint="eastAsia" w:ascii="楷体" w:hAnsi="楷体" w:eastAsia="楷体" w:cs="楷体"/>
          <w:sz w:val="24"/>
          <w:szCs w:val="24"/>
        </w:rPr>
        <w:t>（4）培训需求：提供现场培训及操作说明书。</w:t>
      </w:r>
    </w:p>
    <w:p w14:paraId="7DAC7DE5">
      <w:pPr>
        <w:pStyle w:val="2"/>
        <w:spacing w:line="420" w:lineRule="exact"/>
        <w:rPr>
          <w:rFonts w:hint="eastAsia" w:ascii="楷体" w:hAnsi="楷体" w:eastAsia="楷体" w:cs="楷体"/>
          <w:sz w:val="24"/>
          <w:szCs w:val="24"/>
        </w:rPr>
      </w:pPr>
    </w:p>
    <w:p w14:paraId="49E3EC1C">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十一</w:t>
      </w:r>
      <w:r>
        <w:rPr>
          <w:rFonts w:hint="eastAsia" w:ascii="楷体" w:hAnsi="楷体" w:eastAsia="楷体" w:cs="楷体"/>
          <w:b/>
          <w:sz w:val="24"/>
          <w:szCs w:val="24"/>
          <w:lang w:eastAsia="zh-CN"/>
        </w:rPr>
        <w:t>）</w:t>
      </w:r>
      <w:r>
        <w:rPr>
          <w:rFonts w:hint="eastAsia" w:ascii="楷体" w:hAnsi="楷体" w:eastAsia="楷体" w:cs="楷体"/>
          <w:b/>
          <w:sz w:val="24"/>
          <w:szCs w:val="24"/>
        </w:rPr>
        <w:t>可见分光光度计技术及配置要求</w:t>
      </w:r>
    </w:p>
    <w:p w14:paraId="2CF11F53">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应用范围</w:t>
      </w:r>
    </w:p>
    <w:p w14:paraId="25353446">
      <w:pPr>
        <w:spacing w:line="420" w:lineRule="exact"/>
        <w:rPr>
          <w:rFonts w:hint="eastAsia" w:ascii="楷体" w:hAnsi="楷体" w:eastAsia="楷体" w:cs="楷体"/>
          <w:b/>
          <w:sz w:val="24"/>
          <w:szCs w:val="24"/>
        </w:rPr>
      </w:pPr>
      <w:r>
        <w:rPr>
          <w:rFonts w:hint="eastAsia" w:ascii="楷体" w:hAnsi="楷体" w:eastAsia="楷体" w:cs="楷体"/>
          <w:sz w:val="24"/>
          <w:szCs w:val="24"/>
        </w:rPr>
        <w:t>1、适用于各种化验分析可见光吸光度测定。</w:t>
      </w:r>
    </w:p>
    <w:p w14:paraId="0E43F873">
      <w:pPr>
        <w:spacing w:line="420" w:lineRule="exact"/>
        <w:rPr>
          <w:rFonts w:hint="eastAsia" w:ascii="楷体" w:hAnsi="楷体" w:eastAsia="楷体" w:cs="楷体"/>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0EA183AE">
      <w:pPr>
        <w:spacing w:line="420" w:lineRule="exact"/>
        <w:rPr>
          <w:rFonts w:hint="eastAsia" w:ascii="楷体" w:hAnsi="楷体" w:eastAsia="楷体" w:cs="楷体"/>
          <w:sz w:val="24"/>
          <w:szCs w:val="24"/>
        </w:rPr>
      </w:pPr>
      <w:r>
        <w:rPr>
          <w:rFonts w:hint="eastAsia" w:ascii="楷体" w:hAnsi="楷体" w:eastAsia="楷体" w:cs="楷体"/>
          <w:sz w:val="24"/>
          <w:szCs w:val="24"/>
        </w:rPr>
        <w:t>1、光源：钨灯</w:t>
      </w:r>
    </w:p>
    <w:p w14:paraId="7762CCCB">
      <w:pPr>
        <w:spacing w:line="420" w:lineRule="exact"/>
        <w:rPr>
          <w:rFonts w:hint="eastAsia" w:ascii="楷体" w:hAnsi="楷体" w:eastAsia="楷体" w:cs="楷体"/>
          <w:sz w:val="24"/>
          <w:szCs w:val="24"/>
        </w:rPr>
      </w:pPr>
      <w:r>
        <w:rPr>
          <w:rFonts w:hint="eastAsia" w:ascii="楷体" w:hAnsi="楷体" w:eastAsia="楷体" w:cs="楷体"/>
          <w:sz w:val="24"/>
          <w:szCs w:val="24"/>
        </w:rPr>
        <w:t>2、波长范围：320-1100nm</w:t>
      </w:r>
    </w:p>
    <w:p w14:paraId="3F0BA847">
      <w:pPr>
        <w:spacing w:line="420" w:lineRule="exact"/>
        <w:rPr>
          <w:rFonts w:hint="eastAsia" w:ascii="楷体" w:hAnsi="楷体" w:eastAsia="楷体" w:cs="楷体"/>
          <w:sz w:val="24"/>
          <w:szCs w:val="24"/>
        </w:rPr>
      </w:pPr>
      <w:r>
        <w:rPr>
          <w:rFonts w:hint="eastAsia" w:ascii="楷体" w:hAnsi="楷体" w:eastAsia="楷体" w:cs="楷体"/>
          <w:sz w:val="24"/>
          <w:szCs w:val="24"/>
        </w:rPr>
        <w:t>3、样品室：可容纳5-100mm比色皿</w:t>
      </w:r>
    </w:p>
    <w:p w14:paraId="47CCD866">
      <w:pPr>
        <w:spacing w:line="420" w:lineRule="exact"/>
        <w:rPr>
          <w:rFonts w:hint="eastAsia" w:ascii="楷体" w:hAnsi="楷体" w:eastAsia="楷体" w:cs="楷体"/>
          <w:sz w:val="24"/>
          <w:szCs w:val="24"/>
        </w:rPr>
      </w:pPr>
      <w:r>
        <w:rPr>
          <w:rFonts w:hint="eastAsia" w:ascii="楷体" w:hAnsi="楷体" w:eastAsia="楷体" w:cs="楷体"/>
          <w:sz w:val="24"/>
          <w:szCs w:val="24"/>
        </w:rPr>
        <w:t>4、光束：双光束比例检测</w:t>
      </w:r>
    </w:p>
    <w:p w14:paraId="55EB43EA">
      <w:pPr>
        <w:spacing w:line="420" w:lineRule="exact"/>
        <w:rPr>
          <w:rFonts w:hint="eastAsia" w:ascii="楷体" w:hAnsi="楷体" w:eastAsia="楷体" w:cs="楷体"/>
          <w:sz w:val="24"/>
          <w:szCs w:val="24"/>
        </w:rPr>
      </w:pPr>
      <w:r>
        <w:rPr>
          <w:rFonts w:hint="eastAsia" w:ascii="楷体" w:hAnsi="楷体" w:eastAsia="楷体" w:cs="楷体"/>
          <w:sz w:val="24"/>
          <w:szCs w:val="24"/>
        </w:rPr>
        <w:t>5、波长准确度：±0.5nm</w:t>
      </w:r>
    </w:p>
    <w:p w14:paraId="614007B9">
      <w:pPr>
        <w:spacing w:line="420" w:lineRule="exact"/>
        <w:rPr>
          <w:rFonts w:hint="eastAsia" w:ascii="楷体" w:hAnsi="楷体" w:eastAsia="楷体" w:cs="楷体"/>
          <w:sz w:val="24"/>
          <w:szCs w:val="24"/>
        </w:rPr>
      </w:pPr>
      <w:r>
        <w:rPr>
          <w:rFonts w:hint="eastAsia" w:ascii="楷体" w:hAnsi="楷体" w:eastAsia="楷体" w:cs="楷体"/>
          <w:sz w:val="24"/>
          <w:szCs w:val="24"/>
        </w:rPr>
        <w:t>6、波长重复性：0.2nm</w:t>
      </w:r>
    </w:p>
    <w:p w14:paraId="435A68E6">
      <w:pPr>
        <w:spacing w:line="420" w:lineRule="exact"/>
        <w:rPr>
          <w:rFonts w:hint="eastAsia" w:ascii="楷体" w:hAnsi="楷体" w:eastAsia="楷体" w:cs="楷体"/>
          <w:sz w:val="24"/>
          <w:szCs w:val="24"/>
        </w:rPr>
      </w:pPr>
      <w:r>
        <w:rPr>
          <w:rFonts w:hint="eastAsia" w:ascii="楷体" w:hAnsi="楷体" w:eastAsia="楷体" w:cs="楷体"/>
          <w:sz w:val="24"/>
          <w:szCs w:val="24"/>
        </w:rPr>
        <w:t>7、稳定性：±0.001A/h@500nm</w:t>
      </w:r>
    </w:p>
    <w:p w14:paraId="074D1CD4">
      <w:pPr>
        <w:spacing w:line="420" w:lineRule="exact"/>
        <w:rPr>
          <w:rFonts w:hint="eastAsia" w:ascii="楷体" w:hAnsi="楷体" w:eastAsia="楷体" w:cs="楷体"/>
          <w:sz w:val="24"/>
          <w:szCs w:val="24"/>
        </w:rPr>
      </w:pPr>
      <w:r>
        <w:rPr>
          <w:rFonts w:hint="eastAsia" w:ascii="楷体" w:hAnsi="楷体" w:eastAsia="楷体" w:cs="楷体"/>
          <w:sz w:val="24"/>
          <w:szCs w:val="24"/>
        </w:rPr>
        <w:t>8、杂散光：≤0.05%T@360nm</w:t>
      </w:r>
    </w:p>
    <w:p w14:paraId="705FC184">
      <w:pPr>
        <w:spacing w:line="420" w:lineRule="exact"/>
        <w:rPr>
          <w:rFonts w:hint="eastAsia" w:ascii="楷体" w:hAnsi="楷体" w:eastAsia="楷体" w:cs="楷体"/>
          <w:sz w:val="24"/>
          <w:szCs w:val="24"/>
        </w:rPr>
      </w:pPr>
      <w:r>
        <w:rPr>
          <w:rFonts w:hint="eastAsia" w:ascii="楷体" w:hAnsi="楷体" w:eastAsia="楷体" w:cs="楷体"/>
          <w:sz w:val="24"/>
          <w:szCs w:val="24"/>
        </w:rPr>
        <w:t>9、光度准确性：0.3%T</w:t>
      </w:r>
    </w:p>
    <w:p w14:paraId="479E01AD">
      <w:pPr>
        <w:spacing w:line="420" w:lineRule="exact"/>
        <w:rPr>
          <w:rFonts w:hint="eastAsia" w:ascii="楷体" w:hAnsi="楷体" w:eastAsia="楷体" w:cs="楷体"/>
          <w:sz w:val="24"/>
          <w:szCs w:val="24"/>
        </w:rPr>
      </w:pPr>
      <w:r>
        <w:rPr>
          <w:rFonts w:hint="eastAsia" w:ascii="楷体" w:hAnsi="楷体" w:eastAsia="楷体" w:cs="楷体"/>
          <w:sz w:val="24"/>
          <w:szCs w:val="24"/>
        </w:rPr>
        <w:t>10、光度重复性：0.15%T</w:t>
      </w:r>
    </w:p>
    <w:p w14:paraId="33D877ED">
      <w:pPr>
        <w:spacing w:line="420" w:lineRule="exact"/>
        <w:rPr>
          <w:rFonts w:hint="eastAsia" w:ascii="楷体" w:hAnsi="楷体" w:eastAsia="楷体" w:cs="楷体"/>
          <w:sz w:val="24"/>
          <w:szCs w:val="24"/>
        </w:rPr>
      </w:pPr>
      <w:r>
        <w:rPr>
          <w:rFonts w:hint="eastAsia" w:ascii="楷体" w:hAnsi="楷体" w:eastAsia="楷体" w:cs="楷体"/>
          <w:sz w:val="24"/>
          <w:szCs w:val="24"/>
        </w:rPr>
        <w:t>11、光度范围：0-200%T，-3-3A，0-9999C</w:t>
      </w:r>
    </w:p>
    <w:p w14:paraId="7B6F6F29">
      <w:pPr>
        <w:spacing w:line="420" w:lineRule="exact"/>
        <w:rPr>
          <w:rFonts w:hint="eastAsia" w:ascii="楷体" w:hAnsi="楷体" w:eastAsia="楷体" w:cs="楷体"/>
          <w:sz w:val="24"/>
          <w:szCs w:val="24"/>
        </w:rPr>
      </w:pPr>
      <w:r>
        <w:rPr>
          <w:rFonts w:hint="eastAsia" w:ascii="楷体" w:hAnsi="楷体" w:eastAsia="楷体" w:cs="楷体"/>
          <w:sz w:val="24"/>
          <w:szCs w:val="24"/>
        </w:rPr>
        <w:t>12、基线直线性：±0.002A</w:t>
      </w:r>
    </w:p>
    <w:p w14:paraId="63B380B8">
      <w:pPr>
        <w:spacing w:line="420" w:lineRule="exact"/>
        <w:rPr>
          <w:rFonts w:hint="eastAsia" w:ascii="楷体" w:hAnsi="楷体" w:eastAsia="楷体" w:cs="楷体"/>
          <w:sz w:val="24"/>
          <w:szCs w:val="24"/>
        </w:rPr>
      </w:pPr>
      <w:r>
        <w:rPr>
          <w:rFonts w:hint="eastAsia" w:ascii="楷体" w:hAnsi="楷体" w:eastAsia="楷体" w:cs="楷体"/>
          <w:sz w:val="24"/>
          <w:szCs w:val="24"/>
        </w:rPr>
        <w:t>13、波长驱动方式：自动波长</w:t>
      </w:r>
    </w:p>
    <w:p w14:paraId="5714A10F">
      <w:pPr>
        <w:spacing w:line="420" w:lineRule="exact"/>
        <w:rPr>
          <w:rFonts w:hint="eastAsia" w:ascii="楷体" w:hAnsi="楷体" w:eastAsia="楷体" w:cs="楷体"/>
          <w:b/>
          <w:sz w:val="24"/>
          <w:szCs w:val="24"/>
        </w:rPr>
      </w:pPr>
      <w:r>
        <w:rPr>
          <w:rFonts w:hint="eastAsia" w:ascii="楷体" w:hAnsi="楷体" w:eastAsia="楷体" w:cs="楷体"/>
          <w:b/>
          <w:sz w:val="24"/>
          <w:szCs w:val="24"/>
        </w:rPr>
        <w:t>三</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3E5C4520">
      <w:pPr>
        <w:spacing w:line="420" w:lineRule="exact"/>
        <w:rPr>
          <w:rFonts w:hint="eastAsia" w:ascii="楷体" w:hAnsi="楷体" w:eastAsia="楷体" w:cs="楷体"/>
          <w:sz w:val="24"/>
          <w:szCs w:val="24"/>
        </w:rPr>
      </w:pPr>
      <w:r>
        <w:rPr>
          <w:rFonts w:hint="eastAsia" w:ascii="楷体" w:hAnsi="楷体" w:eastAsia="楷体" w:cs="楷体"/>
          <w:sz w:val="24"/>
          <w:szCs w:val="24"/>
        </w:rPr>
        <w:t>1、采用高性能钨灯，保证仪器的使用寿命；</w:t>
      </w:r>
    </w:p>
    <w:p w14:paraId="49D0C7E9">
      <w:pPr>
        <w:spacing w:line="420" w:lineRule="exact"/>
        <w:rPr>
          <w:rFonts w:hint="eastAsia" w:ascii="楷体" w:hAnsi="楷体" w:eastAsia="楷体" w:cs="楷体"/>
          <w:sz w:val="24"/>
          <w:szCs w:val="24"/>
        </w:rPr>
      </w:pPr>
      <w:r>
        <w:rPr>
          <w:rFonts w:hint="eastAsia" w:ascii="楷体" w:hAnsi="楷体" w:eastAsia="楷体" w:cs="楷体"/>
          <w:sz w:val="24"/>
          <w:szCs w:val="24"/>
        </w:rPr>
        <w:t>2、自动调零自动调百；</w:t>
      </w:r>
    </w:p>
    <w:p w14:paraId="49BDA3F5">
      <w:pPr>
        <w:spacing w:line="420" w:lineRule="exact"/>
        <w:rPr>
          <w:rFonts w:hint="eastAsia" w:ascii="楷体" w:hAnsi="楷体" w:eastAsia="楷体" w:cs="楷体"/>
          <w:sz w:val="24"/>
          <w:szCs w:val="24"/>
        </w:rPr>
      </w:pPr>
      <w:r>
        <w:rPr>
          <w:rFonts w:hint="eastAsia" w:ascii="楷体" w:hAnsi="楷体" w:eastAsia="楷体" w:cs="楷体"/>
          <w:sz w:val="24"/>
          <w:szCs w:val="24"/>
        </w:rPr>
        <w:t>3、自动光门，保证光电传感器的使用寿命；</w:t>
      </w:r>
    </w:p>
    <w:p w14:paraId="4B326A57">
      <w:pPr>
        <w:spacing w:line="420" w:lineRule="exact"/>
        <w:rPr>
          <w:rFonts w:hint="eastAsia" w:ascii="楷体" w:hAnsi="楷体" w:eastAsia="楷体" w:cs="楷体"/>
          <w:sz w:val="24"/>
          <w:szCs w:val="24"/>
        </w:rPr>
      </w:pPr>
      <w:r>
        <w:rPr>
          <w:rFonts w:hint="eastAsia" w:ascii="楷体" w:hAnsi="楷体" w:eastAsia="楷体" w:cs="楷体"/>
          <w:sz w:val="24"/>
          <w:szCs w:val="24"/>
        </w:rPr>
        <w:t>4、仪器使用过程中读数稳定；</w:t>
      </w:r>
    </w:p>
    <w:p w14:paraId="6C385AE4">
      <w:pPr>
        <w:spacing w:line="420" w:lineRule="exact"/>
        <w:rPr>
          <w:rFonts w:hint="eastAsia" w:ascii="楷体" w:hAnsi="楷体" w:eastAsia="楷体" w:cs="楷体"/>
          <w:sz w:val="24"/>
          <w:szCs w:val="24"/>
        </w:rPr>
      </w:pPr>
      <w:r>
        <w:rPr>
          <w:rFonts w:hint="eastAsia" w:ascii="楷体" w:hAnsi="楷体" w:eastAsia="楷体" w:cs="楷体"/>
          <w:sz w:val="24"/>
          <w:szCs w:val="24"/>
        </w:rPr>
        <w:t>5、样品室推拉顺滑、比色皿放取方便；</w:t>
      </w:r>
    </w:p>
    <w:p w14:paraId="3D21655F">
      <w:pPr>
        <w:spacing w:line="420" w:lineRule="exact"/>
        <w:ind w:left="482" w:hanging="482" w:hangingChars="200"/>
        <w:rPr>
          <w:rFonts w:hint="eastAsia" w:ascii="楷体" w:hAnsi="楷体" w:eastAsia="楷体" w:cs="楷体"/>
          <w:b/>
          <w:bCs/>
          <w:sz w:val="24"/>
          <w:szCs w:val="24"/>
        </w:rPr>
      </w:pPr>
      <w:r>
        <w:rPr>
          <w:rFonts w:hint="eastAsia" w:ascii="楷体" w:hAnsi="楷体" w:eastAsia="楷体" w:cs="楷体"/>
          <w:b/>
          <w:bCs/>
          <w:sz w:val="24"/>
          <w:szCs w:val="24"/>
        </w:rPr>
        <w:t>四</w:t>
      </w:r>
      <w:r>
        <w:rPr>
          <w:rFonts w:hint="eastAsia" w:ascii="楷体" w:hAnsi="楷体" w:eastAsia="楷体" w:cs="楷体"/>
          <w:b/>
          <w:bCs/>
          <w:sz w:val="24"/>
          <w:szCs w:val="24"/>
          <w:lang w:eastAsia="zh-CN"/>
        </w:rPr>
        <w:t>）</w:t>
      </w:r>
      <w:r>
        <w:rPr>
          <w:rFonts w:hint="eastAsia" w:ascii="楷体" w:hAnsi="楷体" w:eastAsia="楷体" w:cs="楷体"/>
          <w:b/>
          <w:bCs/>
          <w:sz w:val="24"/>
          <w:szCs w:val="24"/>
        </w:rPr>
        <w:t>仪器配置及要求</w:t>
      </w:r>
    </w:p>
    <w:p w14:paraId="3D53B936">
      <w:pPr>
        <w:spacing w:line="420" w:lineRule="exact"/>
        <w:rPr>
          <w:rFonts w:hint="eastAsia" w:ascii="楷体" w:hAnsi="楷体" w:eastAsia="楷体" w:cs="楷体"/>
          <w:sz w:val="24"/>
          <w:szCs w:val="24"/>
        </w:rPr>
      </w:pPr>
      <w:r>
        <w:rPr>
          <w:rFonts w:hint="eastAsia" w:ascii="楷体" w:hAnsi="楷体" w:eastAsia="楷体" w:cs="楷体"/>
          <w:sz w:val="24"/>
          <w:szCs w:val="24"/>
        </w:rPr>
        <w:t>1、主机2台</w:t>
      </w:r>
    </w:p>
    <w:p w14:paraId="1B151625">
      <w:pPr>
        <w:spacing w:line="420" w:lineRule="exact"/>
        <w:rPr>
          <w:rFonts w:hint="eastAsia" w:ascii="楷体" w:hAnsi="楷体" w:eastAsia="楷体" w:cs="楷体"/>
          <w:sz w:val="24"/>
          <w:szCs w:val="24"/>
        </w:rPr>
      </w:pPr>
      <w:r>
        <w:rPr>
          <w:rFonts w:hint="eastAsia" w:ascii="楷体" w:hAnsi="楷体" w:eastAsia="楷体" w:cs="楷体"/>
          <w:sz w:val="24"/>
          <w:szCs w:val="24"/>
        </w:rPr>
        <w:t>2、电源线2根</w:t>
      </w:r>
    </w:p>
    <w:p w14:paraId="3C13234E">
      <w:pPr>
        <w:spacing w:line="420" w:lineRule="exact"/>
        <w:rPr>
          <w:rFonts w:hint="eastAsia" w:ascii="楷体" w:hAnsi="楷体" w:eastAsia="楷体" w:cs="楷体"/>
          <w:sz w:val="24"/>
          <w:szCs w:val="24"/>
        </w:rPr>
      </w:pPr>
      <w:r>
        <w:rPr>
          <w:rFonts w:hint="eastAsia" w:ascii="楷体" w:hAnsi="楷体" w:eastAsia="楷体" w:cs="楷体"/>
          <w:sz w:val="24"/>
          <w:szCs w:val="24"/>
        </w:rPr>
        <w:t>3、防尘罩2个</w:t>
      </w:r>
    </w:p>
    <w:p w14:paraId="71FB2469">
      <w:pPr>
        <w:spacing w:line="420" w:lineRule="exact"/>
        <w:rPr>
          <w:rFonts w:hint="eastAsia" w:ascii="楷体" w:hAnsi="楷体" w:eastAsia="楷体" w:cs="楷体"/>
          <w:sz w:val="24"/>
          <w:szCs w:val="24"/>
        </w:rPr>
      </w:pPr>
      <w:r>
        <w:rPr>
          <w:rFonts w:hint="eastAsia" w:ascii="楷体" w:hAnsi="楷体" w:eastAsia="楷体" w:cs="楷体"/>
          <w:sz w:val="24"/>
          <w:szCs w:val="24"/>
        </w:rPr>
        <w:t>4、1公分玻璃比色皿2盒（8只）</w:t>
      </w:r>
    </w:p>
    <w:p w14:paraId="51B74545">
      <w:pPr>
        <w:spacing w:line="420" w:lineRule="exact"/>
        <w:rPr>
          <w:rFonts w:hint="eastAsia" w:ascii="楷体" w:hAnsi="楷体" w:eastAsia="楷体" w:cs="楷体"/>
          <w:sz w:val="24"/>
          <w:szCs w:val="24"/>
        </w:rPr>
      </w:pPr>
      <w:r>
        <w:rPr>
          <w:rFonts w:hint="eastAsia" w:ascii="楷体" w:hAnsi="楷体" w:eastAsia="楷体" w:cs="楷体"/>
          <w:sz w:val="24"/>
          <w:szCs w:val="24"/>
        </w:rPr>
        <w:t>5、1公分石英比色皿2盒（4只）</w:t>
      </w:r>
    </w:p>
    <w:p w14:paraId="307F07AC">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五</w:t>
      </w:r>
      <w:r>
        <w:rPr>
          <w:rFonts w:hint="eastAsia" w:ascii="楷体" w:hAnsi="楷体" w:eastAsia="楷体" w:cs="楷体"/>
          <w:b/>
          <w:bCs/>
          <w:sz w:val="24"/>
          <w:szCs w:val="24"/>
          <w:lang w:eastAsia="zh-CN"/>
        </w:rPr>
        <w:t>）</w:t>
      </w:r>
      <w:r>
        <w:rPr>
          <w:rFonts w:hint="eastAsia" w:ascii="楷体" w:hAnsi="楷体" w:eastAsia="楷体" w:cs="楷体"/>
          <w:b/>
          <w:bCs/>
          <w:sz w:val="24"/>
          <w:szCs w:val="24"/>
        </w:rPr>
        <w:t>售后及服务</w:t>
      </w:r>
      <w:r>
        <w:rPr>
          <w:rFonts w:hint="eastAsia" w:ascii="楷体" w:hAnsi="楷体" w:eastAsia="楷体" w:cs="楷体"/>
          <w:b/>
          <w:bCs/>
          <w:sz w:val="24"/>
          <w:szCs w:val="24"/>
          <w:lang w:val="en-US" w:eastAsia="zh-CN"/>
        </w:rPr>
        <w:t>要求</w:t>
      </w:r>
    </w:p>
    <w:p w14:paraId="7F9A6235">
      <w:pPr>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3EA13B20">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（1）保证产品为全新原厂设备。</w:t>
      </w:r>
    </w:p>
    <w:p w14:paraId="352F72D5">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（2）供货方保证产品不存在因材质、设计、制造等问题所引起的缺陷，否则应无偿予以纠正。</w:t>
      </w:r>
    </w:p>
    <w:p w14:paraId="4C9185CE">
      <w:pPr>
        <w:spacing w:line="420" w:lineRule="exact"/>
        <w:rPr>
          <w:rFonts w:hint="eastAsia" w:ascii="楷体" w:hAnsi="楷体" w:eastAsia="楷体" w:cs="楷体"/>
          <w:sz w:val="24"/>
          <w:szCs w:val="24"/>
        </w:rPr>
      </w:pPr>
      <w:r>
        <w:rPr>
          <w:rFonts w:hint="eastAsia" w:ascii="楷体" w:hAnsi="楷体" w:eastAsia="楷体" w:cs="楷体"/>
          <w:sz w:val="24"/>
          <w:szCs w:val="24"/>
        </w:rPr>
        <w:t>2、售后服务</w:t>
      </w:r>
    </w:p>
    <w:p w14:paraId="0A28F95B">
      <w:pPr>
        <w:spacing w:line="420" w:lineRule="exact"/>
        <w:ind w:firstLine="460" w:firstLineChars="192"/>
        <w:rPr>
          <w:rFonts w:hint="eastAsia" w:ascii="楷体" w:hAnsi="楷体" w:eastAsia="楷体" w:cs="楷体"/>
          <w:bCs/>
          <w:sz w:val="24"/>
          <w:szCs w:val="24"/>
        </w:rPr>
      </w:pPr>
      <w:r>
        <w:rPr>
          <w:rFonts w:hint="eastAsia" w:ascii="楷体" w:hAnsi="楷体" w:eastAsia="楷体" w:cs="楷体"/>
          <w:bCs/>
          <w:sz w:val="24"/>
          <w:szCs w:val="24"/>
        </w:rPr>
        <w:t>（1）产品送至买方指定地点后，由卖方负责派专业技术人员到现场进行安装、调试，并负责调试至验收合格；</w:t>
      </w:r>
    </w:p>
    <w:p w14:paraId="098C741D">
      <w:pPr>
        <w:spacing w:line="420" w:lineRule="exact"/>
        <w:ind w:firstLine="460" w:firstLineChars="192"/>
        <w:rPr>
          <w:rFonts w:hint="eastAsia" w:ascii="楷体" w:hAnsi="楷体" w:eastAsia="楷体" w:cs="楷体"/>
          <w:bCs/>
          <w:sz w:val="24"/>
          <w:szCs w:val="24"/>
        </w:rPr>
      </w:pPr>
      <w:r>
        <w:rPr>
          <w:rFonts w:hint="eastAsia" w:ascii="楷体" w:hAnsi="楷体" w:eastAsia="楷体" w:cs="楷体"/>
          <w:bCs/>
          <w:sz w:val="24"/>
          <w:szCs w:val="24"/>
        </w:rPr>
        <w:t>（2）自验收合格之日起，质保期三年。质保期内，因设备配置或制造质量问题而引起的故障，应在一个工作日内做出响应，并按照接到正式报修时间尽快安排解决；卖方需定期对仪器进行回访、提供免费仪器保养；</w:t>
      </w:r>
    </w:p>
    <w:p w14:paraId="163AA4CE">
      <w:pPr>
        <w:spacing w:line="420" w:lineRule="exact"/>
        <w:ind w:firstLine="460" w:firstLineChars="192"/>
        <w:rPr>
          <w:rFonts w:hint="eastAsia" w:ascii="楷体" w:hAnsi="楷体" w:eastAsia="楷体" w:cs="楷体"/>
          <w:bCs/>
          <w:sz w:val="24"/>
          <w:szCs w:val="24"/>
        </w:rPr>
      </w:pPr>
      <w:r>
        <w:rPr>
          <w:rFonts w:hint="eastAsia" w:ascii="楷体" w:hAnsi="楷体" w:eastAsia="楷体" w:cs="楷体"/>
          <w:bCs/>
          <w:sz w:val="24"/>
          <w:szCs w:val="24"/>
        </w:rPr>
        <w:t>（3）维修过程中，因特殊原因严重延误维修时间，应该说明并且相应延长保修时间；</w:t>
      </w:r>
    </w:p>
    <w:p w14:paraId="620A5C6F">
      <w:pPr>
        <w:spacing w:line="420" w:lineRule="exact"/>
        <w:ind w:firstLine="460" w:firstLineChars="192"/>
        <w:rPr>
          <w:rFonts w:hint="eastAsia" w:ascii="楷体" w:hAnsi="楷体" w:eastAsia="楷体" w:cs="楷体"/>
          <w:bCs/>
          <w:sz w:val="24"/>
          <w:szCs w:val="24"/>
        </w:rPr>
      </w:pPr>
      <w:r>
        <w:rPr>
          <w:rFonts w:hint="eastAsia" w:ascii="楷体" w:hAnsi="楷体" w:eastAsia="楷体" w:cs="楷体"/>
          <w:bCs/>
          <w:sz w:val="24"/>
          <w:szCs w:val="24"/>
        </w:rPr>
        <w:t>（4）保修期满后应继续提供维修服务，如仪器出现故障需要更换配件，需提供优惠的配件价格，新配件实行保修1年。</w:t>
      </w:r>
    </w:p>
    <w:p w14:paraId="008813C9">
      <w:pPr>
        <w:pStyle w:val="2"/>
        <w:spacing w:line="420" w:lineRule="exact"/>
        <w:rPr>
          <w:rFonts w:hint="eastAsia" w:ascii="楷体" w:hAnsi="楷体" w:eastAsia="楷体" w:cs="楷体"/>
          <w:sz w:val="24"/>
          <w:szCs w:val="24"/>
        </w:rPr>
      </w:pPr>
    </w:p>
    <w:p w14:paraId="19960FB8">
      <w:pPr>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十二</w:t>
      </w:r>
      <w:r>
        <w:rPr>
          <w:rFonts w:hint="eastAsia" w:ascii="楷体" w:hAnsi="楷体" w:eastAsia="楷体" w:cs="楷体"/>
          <w:b/>
          <w:sz w:val="24"/>
          <w:szCs w:val="24"/>
          <w:lang w:eastAsia="zh-CN"/>
        </w:rPr>
        <w:t>）</w:t>
      </w:r>
      <w:r>
        <w:rPr>
          <w:rFonts w:hint="eastAsia" w:ascii="楷体" w:hAnsi="楷体" w:eastAsia="楷体" w:cs="楷体"/>
          <w:b/>
          <w:sz w:val="24"/>
          <w:szCs w:val="24"/>
        </w:rPr>
        <w:t>手动连续分液枪技术及配置要求</w:t>
      </w:r>
    </w:p>
    <w:p w14:paraId="584E23CF">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应用范围</w:t>
      </w:r>
    </w:p>
    <w:p w14:paraId="7C0B5610">
      <w:pPr>
        <w:spacing w:line="420" w:lineRule="exact"/>
        <w:rPr>
          <w:rFonts w:hint="eastAsia" w:ascii="楷体" w:hAnsi="楷体" w:eastAsia="楷体" w:cs="楷体"/>
          <w:sz w:val="24"/>
          <w:szCs w:val="24"/>
        </w:rPr>
      </w:pPr>
      <w:r>
        <w:rPr>
          <w:rFonts w:hint="eastAsia" w:ascii="楷体" w:hAnsi="楷体" w:eastAsia="楷体" w:cs="楷体"/>
          <w:sz w:val="24"/>
          <w:szCs w:val="24"/>
        </w:rPr>
        <w:t>1． 适用于各种化验分析液体溶液的准确连续移取。</w:t>
      </w:r>
    </w:p>
    <w:p w14:paraId="0AA3E6ED">
      <w:pPr>
        <w:spacing w:line="420" w:lineRule="exact"/>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4A7A8862">
      <w:pPr>
        <w:spacing w:line="420" w:lineRule="exact"/>
        <w:rPr>
          <w:rFonts w:hint="eastAsia" w:ascii="楷体" w:hAnsi="楷体" w:eastAsia="楷体" w:cs="楷体"/>
          <w:sz w:val="24"/>
          <w:szCs w:val="24"/>
        </w:rPr>
      </w:pPr>
      <w:r>
        <w:rPr>
          <w:rFonts w:hint="eastAsia" w:ascii="楷体" w:hAnsi="楷体" w:eastAsia="楷体" w:cs="楷体"/>
          <w:sz w:val="24"/>
          <w:szCs w:val="24"/>
        </w:rPr>
        <w:t>最大液体吸取量：50ml;</w:t>
      </w:r>
    </w:p>
    <w:p w14:paraId="3561EDF7">
      <w:pPr>
        <w:spacing w:line="420" w:lineRule="exact"/>
        <w:rPr>
          <w:rFonts w:hint="eastAsia" w:ascii="楷体" w:hAnsi="楷体" w:eastAsia="楷体" w:cs="楷体"/>
          <w:sz w:val="24"/>
          <w:szCs w:val="24"/>
        </w:rPr>
      </w:pPr>
      <w:r>
        <w:rPr>
          <w:rFonts w:hint="eastAsia" w:ascii="楷体" w:hAnsi="楷体" w:eastAsia="楷体" w:cs="楷体"/>
          <w:sz w:val="24"/>
          <w:szCs w:val="24"/>
        </w:rPr>
        <w:t>最大液体分排量：10ml;</w:t>
      </w:r>
    </w:p>
    <w:p w14:paraId="5C72F692">
      <w:pPr>
        <w:spacing w:line="420" w:lineRule="exact"/>
        <w:rPr>
          <w:rFonts w:hint="eastAsia" w:ascii="楷体" w:hAnsi="楷体" w:eastAsia="楷体" w:cs="楷体"/>
          <w:sz w:val="24"/>
          <w:szCs w:val="24"/>
        </w:rPr>
      </w:pPr>
      <w:r>
        <w:rPr>
          <w:rFonts w:hint="eastAsia" w:ascii="楷体" w:hAnsi="楷体" w:eastAsia="楷体" w:cs="楷体"/>
          <w:sz w:val="24"/>
          <w:szCs w:val="24"/>
        </w:rPr>
        <w:t>最小液体分排量：10uL</w:t>
      </w:r>
    </w:p>
    <w:p w14:paraId="09A0A4FD">
      <w:pPr>
        <w:spacing w:line="420" w:lineRule="exact"/>
        <w:rPr>
          <w:rFonts w:hint="eastAsia" w:ascii="楷体" w:hAnsi="楷体" w:eastAsia="楷体" w:cs="楷体"/>
          <w:sz w:val="24"/>
          <w:szCs w:val="24"/>
        </w:rPr>
      </w:pPr>
      <w:r>
        <w:rPr>
          <w:rFonts w:hint="eastAsia" w:ascii="楷体" w:hAnsi="楷体" w:eastAsia="楷体" w:cs="楷体"/>
          <w:sz w:val="24"/>
          <w:szCs w:val="24"/>
        </w:rPr>
        <w:t>不准确度≤0.7%</w:t>
      </w:r>
    </w:p>
    <w:p w14:paraId="0C7EAF71">
      <w:pPr>
        <w:spacing w:line="420" w:lineRule="exact"/>
        <w:rPr>
          <w:rFonts w:hint="eastAsia" w:ascii="楷体" w:hAnsi="楷体" w:eastAsia="楷体" w:cs="楷体"/>
          <w:b/>
          <w:sz w:val="24"/>
          <w:szCs w:val="24"/>
        </w:rPr>
      </w:pPr>
      <w:r>
        <w:rPr>
          <w:rFonts w:hint="eastAsia" w:ascii="楷体" w:hAnsi="楷体" w:eastAsia="楷体" w:cs="楷体"/>
          <w:b/>
          <w:sz w:val="24"/>
          <w:szCs w:val="24"/>
        </w:rPr>
        <w:t>三</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57C31639">
      <w:pPr>
        <w:spacing w:line="420" w:lineRule="exact"/>
        <w:rPr>
          <w:rFonts w:hint="eastAsia" w:ascii="楷体" w:hAnsi="楷体" w:eastAsia="楷体" w:cs="楷体"/>
          <w:sz w:val="24"/>
          <w:szCs w:val="24"/>
        </w:rPr>
      </w:pPr>
      <w:r>
        <w:rPr>
          <w:rFonts w:hint="eastAsia" w:ascii="楷体" w:hAnsi="楷体" w:eastAsia="楷体" w:cs="楷体"/>
          <w:b/>
          <w:sz w:val="24"/>
          <w:szCs w:val="24"/>
        </w:rPr>
        <w:t>#</w:t>
      </w:r>
      <w:r>
        <w:rPr>
          <w:rFonts w:hint="eastAsia" w:ascii="楷体" w:hAnsi="楷体" w:eastAsia="楷体" w:cs="楷体"/>
          <w:sz w:val="24"/>
          <w:szCs w:val="24"/>
        </w:rPr>
        <w:t>1、具备不同规格的体积选现盘，能够准确的吸取和分液不同体积的液体；</w:t>
      </w:r>
    </w:p>
    <w:p w14:paraId="1299A287">
      <w:pPr>
        <w:spacing w:line="420" w:lineRule="exact"/>
        <w:rPr>
          <w:rFonts w:hint="eastAsia" w:ascii="楷体" w:hAnsi="楷体" w:eastAsia="楷体" w:cs="楷体"/>
          <w:b/>
          <w:bCs/>
          <w:sz w:val="24"/>
          <w:szCs w:val="24"/>
        </w:rPr>
      </w:pPr>
      <w:r>
        <w:rPr>
          <w:rFonts w:hint="eastAsia" w:ascii="楷体" w:hAnsi="楷体" w:eastAsia="楷体" w:cs="楷体"/>
          <w:sz w:val="24"/>
          <w:szCs w:val="24"/>
        </w:rPr>
        <w:t>2、配备不同体积需要的分液管，满足不同体积分液的需求；</w:t>
      </w:r>
    </w:p>
    <w:p w14:paraId="2DF2DD5C">
      <w:pPr>
        <w:spacing w:line="420" w:lineRule="exact"/>
        <w:rPr>
          <w:rFonts w:hint="eastAsia" w:ascii="楷体" w:hAnsi="楷体" w:eastAsia="楷体" w:cs="楷体"/>
          <w:b/>
          <w:sz w:val="24"/>
          <w:szCs w:val="24"/>
        </w:rPr>
      </w:pPr>
      <w:r>
        <w:rPr>
          <w:rFonts w:hint="eastAsia" w:ascii="楷体" w:hAnsi="楷体" w:eastAsia="楷体" w:cs="楷体"/>
          <w:b/>
          <w:sz w:val="24"/>
          <w:szCs w:val="24"/>
        </w:rPr>
        <w:t>四</w:t>
      </w:r>
      <w:r>
        <w:rPr>
          <w:rFonts w:hint="eastAsia" w:ascii="楷体" w:hAnsi="楷体" w:eastAsia="楷体" w:cs="楷体"/>
          <w:b/>
          <w:sz w:val="24"/>
          <w:szCs w:val="24"/>
          <w:lang w:eastAsia="zh-CN"/>
        </w:rPr>
        <w:t>）</w:t>
      </w:r>
      <w:r>
        <w:rPr>
          <w:rFonts w:hint="eastAsia" w:ascii="楷体" w:hAnsi="楷体" w:eastAsia="楷体" w:cs="楷体"/>
          <w:b/>
          <w:sz w:val="24"/>
          <w:szCs w:val="24"/>
        </w:rPr>
        <w:t>仪器配置及要求</w:t>
      </w:r>
    </w:p>
    <w:p w14:paraId="1418190B">
      <w:pPr>
        <w:spacing w:line="420" w:lineRule="exact"/>
        <w:rPr>
          <w:rFonts w:hint="eastAsia" w:ascii="楷体" w:hAnsi="楷体" w:eastAsia="楷体" w:cs="楷体"/>
          <w:b/>
          <w:color w:val="FF0000"/>
          <w:sz w:val="24"/>
          <w:szCs w:val="24"/>
        </w:rPr>
      </w:pPr>
      <w:r>
        <w:rPr>
          <w:rFonts w:hint="eastAsia" w:ascii="楷体" w:hAnsi="楷体" w:eastAsia="楷体" w:cs="楷体"/>
          <w:sz w:val="24"/>
          <w:szCs w:val="24"/>
        </w:rPr>
        <w:t>1、50mL分液管2袋</w:t>
      </w:r>
    </w:p>
    <w:p w14:paraId="70D08CDE">
      <w:pPr>
        <w:spacing w:line="420" w:lineRule="exact"/>
        <w:rPr>
          <w:rFonts w:hint="eastAsia" w:ascii="楷体" w:hAnsi="楷体" w:eastAsia="楷体" w:cs="楷体"/>
          <w:b/>
          <w:sz w:val="24"/>
          <w:szCs w:val="24"/>
        </w:rPr>
      </w:pPr>
      <w:r>
        <w:rPr>
          <w:rFonts w:hint="eastAsia" w:ascii="楷体" w:hAnsi="楷体" w:eastAsia="楷体" w:cs="楷体"/>
          <w:b/>
          <w:sz w:val="24"/>
          <w:szCs w:val="24"/>
        </w:rPr>
        <w:t>五</w:t>
      </w:r>
      <w:r>
        <w:rPr>
          <w:rFonts w:hint="eastAsia" w:ascii="楷体" w:hAnsi="楷体" w:eastAsia="楷体" w:cs="楷体"/>
          <w:b/>
          <w:sz w:val="24"/>
          <w:szCs w:val="24"/>
          <w:lang w:eastAsia="zh-CN"/>
        </w:rPr>
        <w:t>）</w:t>
      </w:r>
      <w:r>
        <w:rPr>
          <w:rFonts w:hint="eastAsia" w:ascii="楷体" w:hAnsi="楷体" w:eastAsia="楷体" w:cs="楷体"/>
          <w:b/>
          <w:bCs/>
          <w:sz w:val="24"/>
          <w:szCs w:val="24"/>
        </w:rPr>
        <w:t>售后及服务</w:t>
      </w:r>
      <w:r>
        <w:rPr>
          <w:rFonts w:hint="eastAsia" w:ascii="楷体" w:hAnsi="楷体" w:eastAsia="楷体" w:cs="楷体"/>
          <w:b/>
          <w:bCs/>
          <w:sz w:val="24"/>
          <w:szCs w:val="24"/>
          <w:lang w:val="en-US" w:eastAsia="zh-CN"/>
        </w:rPr>
        <w:t>要求</w:t>
      </w:r>
    </w:p>
    <w:p w14:paraId="1BD67475">
      <w:pPr>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0F039FDE">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（1）保证产品为全新原厂设备。</w:t>
      </w:r>
    </w:p>
    <w:p w14:paraId="7A72037E">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（2）供货方保证产品不存在因材质、设计、制造等问题所引起的缺陷，否则应无偿予以纠正。</w:t>
      </w:r>
    </w:p>
    <w:p w14:paraId="77A05908">
      <w:pPr>
        <w:spacing w:line="420" w:lineRule="exact"/>
        <w:rPr>
          <w:rFonts w:hint="eastAsia" w:ascii="楷体" w:hAnsi="楷体" w:eastAsia="楷体" w:cs="楷体"/>
          <w:sz w:val="24"/>
          <w:szCs w:val="24"/>
        </w:rPr>
      </w:pPr>
      <w:r>
        <w:rPr>
          <w:rFonts w:hint="eastAsia" w:ascii="楷体" w:hAnsi="楷体" w:eastAsia="楷体" w:cs="楷体"/>
          <w:sz w:val="24"/>
          <w:szCs w:val="24"/>
        </w:rPr>
        <w:t>2、售后服务</w:t>
      </w:r>
    </w:p>
    <w:p w14:paraId="14AC1EED">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（1）自验收合格之日起，质保期三年。质保期内，因设备配置或制造质量问题而引起的故障，应在一个工作日内做出响应，并按照接到正式报修时间尽快安排解决；</w:t>
      </w:r>
    </w:p>
    <w:p w14:paraId="4AED693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（2）维修过程中，因特殊原因严重延误维修时间，应该说明并且相应延长保修时间；</w:t>
      </w:r>
    </w:p>
    <w:p w14:paraId="43D0FD36">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（3）保修期满后应继续提供维修服务，如仪器出现故障需要更换配件，需提供优惠的配件价格，维修后对同一故障部位及配件实行保修3个月。</w:t>
      </w:r>
    </w:p>
    <w:p w14:paraId="5DDF9FA9">
      <w:pPr>
        <w:pStyle w:val="2"/>
        <w:spacing w:line="420" w:lineRule="exact"/>
        <w:rPr>
          <w:rFonts w:hint="eastAsia" w:ascii="楷体" w:hAnsi="楷体" w:eastAsia="楷体" w:cs="楷体"/>
          <w:sz w:val="24"/>
          <w:szCs w:val="24"/>
        </w:rPr>
      </w:pPr>
    </w:p>
    <w:p w14:paraId="32137402">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lang w:eastAsia="zh-CN"/>
        </w:rPr>
        <w:t>（</w:t>
      </w:r>
      <w:r>
        <w:rPr>
          <w:rFonts w:hint="eastAsia" w:ascii="楷体" w:hAnsi="楷体" w:eastAsia="楷体" w:cs="楷体"/>
          <w:b/>
          <w:sz w:val="24"/>
          <w:szCs w:val="24"/>
          <w:lang w:val="en-US" w:eastAsia="zh-CN"/>
        </w:rPr>
        <w:t>十三</w:t>
      </w:r>
      <w:r>
        <w:rPr>
          <w:rFonts w:hint="eastAsia" w:ascii="楷体" w:hAnsi="楷体" w:eastAsia="楷体" w:cs="楷体"/>
          <w:b/>
          <w:sz w:val="24"/>
          <w:szCs w:val="24"/>
          <w:lang w:eastAsia="zh-CN"/>
        </w:rPr>
        <w:t>）</w:t>
      </w:r>
      <w:r>
        <w:rPr>
          <w:rFonts w:hint="eastAsia" w:ascii="楷体" w:hAnsi="楷体" w:eastAsia="楷体" w:cs="楷体"/>
          <w:b/>
          <w:sz w:val="24"/>
          <w:szCs w:val="24"/>
        </w:rPr>
        <w:t>手动移液枪技术及配置要求</w:t>
      </w:r>
    </w:p>
    <w:p w14:paraId="3A7F1D37">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一</w:t>
      </w:r>
      <w:r>
        <w:rPr>
          <w:rFonts w:hint="eastAsia" w:ascii="楷体" w:hAnsi="楷体" w:eastAsia="楷体" w:cs="楷体"/>
          <w:b/>
          <w:sz w:val="24"/>
          <w:szCs w:val="24"/>
          <w:lang w:eastAsia="zh-CN"/>
        </w:rPr>
        <w:t>）</w:t>
      </w:r>
      <w:r>
        <w:rPr>
          <w:rFonts w:hint="eastAsia" w:ascii="楷体" w:hAnsi="楷体" w:eastAsia="楷体" w:cs="楷体"/>
          <w:b/>
          <w:sz w:val="24"/>
          <w:szCs w:val="24"/>
        </w:rPr>
        <w:t>应用范围</w:t>
      </w:r>
    </w:p>
    <w:p w14:paraId="26D806C4">
      <w:pPr>
        <w:spacing w:line="420" w:lineRule="exact"/>
        <w:rPr>
          <w:rFonts w:hint="eastAsia" w:ascii="楷体" w:hAnsi="楷体" w:eastAsia="楷体" w:cs="楷体"/>
          <w:b/>
          <w:sz w:val="24"/>
          <w:szCs w:val="24"/>
        </w:rPr>
      </w:pPr>
      <w:r>
        <w:rPr>
          <w:rFonts w:hint="eastAsia" w:ascii="楷体" w:hAnsi="楷体" w:eastAsia="楷体" w:cs="楷体"/>
          <w:sz w:val="24"/>
          <w:szCs w:val="24"/>
        </w:rPr>
        <w:t>1、适用于各种化验分析液体溶液的准确移取。</w:t>
      </w:r>
    </w:p>
    <w:p w14:paraId="7D6BE876">
      <w:pPr>
        <w:spacing w:line="420" w:lineRule="exact"/>
        <w:rPr>
          <w:rFonts w:hint="eastAsia" w:ascii="楷体" w:hAnsi="楷体" w:eastAsia="楷体" w:cs="楷体"/>
          <w:b/>
          <w:sz w:val="24"/>
          <w:szCs w:val="24"/>
        </w:rPr>
      </w:pPr>
      <w:r>
        <w:rPr>
          <w:rFonts w:hint="eastAsia" w:ascii="楷体" w:hAnsi="楷体" w:eastAsia="楷体" w:cs="楷体"/>
          <w:b/>
          <w:sz w:val="24"/>
          <w:szCs w:val="24"/>
        </w:rPr>
        <w:t>二</w:t>
      </w:r>
      <w:r>
        <w:rPr>
          <w:rFonts w:hint="eastAsia" w:ascii="楷体" w:hAnsi="楷体" w:eastAsia="楷体" w:cs="楷体"/>
          <w:b/>
          <w:sz w:val="24"/>
          <w:szCs w:val="24"/>
          <w:lang w:eastAsia="zh-CN"/>
        </w:rPr>
        <w:t>）</w:t>
      </w:r>
      <w:r>
        <w:rPr>
          <w:rFonts w:hint="eastAsia" w:ascii="楷体" w:hAnsi="楷体" w:eastAsia="楷体" w:cs="楷体"/>
          <w:b/>
          <w:sz w:val="24"/>
          <w:szCs w:val="24"/>
        </w:rPr>
        <w:t>技术参数</w:t>
      </w:r>
    </w:p>
    <w:p w14:paraId="7EE43A08">
      <w:pPr>
        <w:spacing w:line="420" w:lineRule="exact"/>
        <w:rPr>
          <w:rFonts w:hint="eastAsia" w:ascii="楷体" w:hAnsi="楷体" w:eastAsia="楷体" w:cs="楷体"/>
          <w:sz w:val="24"/>
          <w:szCs w:val="24"/>
        </w:rPr>
      </w:pPr>
      <w:r>
        <w:rPr>
          <w:rFonts w:hint="eastAsia" w:ascii="楷体" w:hAnsi="楷体" w:eastAsia="楷体" w:cs="楷体"/>
          <w:sz w:val="24"/>
          <w:szCs w:val="24"/>
        </w:rPr>
        <w:t>1、规格：0.5-5ml;10-100ul</w:t>
      </w:r>
    </w:p>
    <w:p w14:paraId="1E4FB341">
      <w:pPr>
        <w:spacing w:line="420" w:lineRule="exact"/>
        <w:rPr>
          <w:rFonts w:hint="eastAsia" w:ascii="楷体" w:hAnsi="楷体" w:eastAsia="楷体" w:cs="楷体"/>
          <w:sz w:val="24"/>
          <w:szCs w:val="24"/>
        </w:rPr>
      </w:pPr>
      <w:r>
        <w:rPr>
          <w:rFonts w:hint="eastAsia" w:ascii="楷体" w:hAnsi="楷体" w:eastAsia="楷体" w:cs="楷体"/>
          <w:sz w:val="24"/>
          <w:szCs w:val="24"/>
        </w:rPr>
        <w:t>2、不准确度：</w:t>
      </w:r>
    </w:p>
    <w:p w14:paraId="0D11BE3F">
      <w:pPr>
        <w:spacing w:line="420" w:lineRule="exact"/>
        <w:ind w:firstLine="480" w:firstLineChars="200"/>
        <w:rPr>
          <w:rFonts w:hint="eastAsia" w:ascii="楷体" w:hAnsi="楷体" w:eastAsia="楷体" w:cs="楷体"/>
          <w:bCs/>
          <w:sz w:val="24"/>
          <w:szCs w:val="24"/>
        </w:rPr>
      </w:pPr>
      <w:r>
        <w:rPr>
          <w:rFonts w:hint="eastAsia" w:ascii="楷体" w:hAnsi="楷体" w:eastAsia="楷体" w:cs="楷体"/>
          <w:sz w:val="24"/>
          <w:szCs w:val="24"/>
        </w:rPr>
        <w:t>（1）0.5-5m l：0.5ml</w:t>
      </w:r>
      <w:r>
        <w:rPr>
          <w:rFonts w:hint="eastAsia" w:ascii="楷体" w:hAnsi="楷体" w:eastAsia="楷体" w:cs="楷体"/>
          <w:bCs/>
          <w:sz w:val="24"/>
          <w:szCs w:val="24"/>
        </w:rPr>
        <w:t>±2.4%；5ml±0.6%</w:t>
      </w:r>
    </w:p>
    <w:p w14:paraId="73E0114A">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w:t>
      </w:r>
      <w:r>
        <w:rPr>
          <w:rFonts w:hint="eastAsia" w:ascii="楷体" w:hAnsi="楷体" w:eastAsia="楷体" w:cs="楷体"/>
          <w:bCs/>
          <w:sz w:val="24"/>
          <w:szCs w:val="24"/>
        </w:rPr>
        <w:t>10-100ul：10ul±3.0%；100ul±0.8%</w:t>
      </w:r>
    </w:p>
    <w:p w14:paraId="22328218">
      <w:pPr>
        <w:spacing w:line="420" w:lineRule="exact"/>
        <w:rPr>
          <w:rFonts w:hint="eastAsia" w:ascii="楷体" w:hAnsi="楷体" w:eastAsia="楷体" w:cs="楷体"/>
          <w:b/>
          <w:sz w:val="24"/>
          <w:szCs w:val="24"/>
        </w:rPr>
      </w:pPr>
      <w:r>
        <w:rPr>
          <w:rFonts w:hint="eastAsia" w:ascii="楷体" w:hAnsi="楷体" w:eastAsia="楷体" w:cs="楷体"/>
          <w:b/>
          <w:sz w:val="24"/>
          <w:szCs w:val="24"/>
        </w:rPr>
        <w:t>三</w:t>
      </w:r>
      <w:r>
        <w:rPr>
          <w:rFonts w:hint="eastAsia" w:ascii="楷体" w:hAnsi="楷体" w:eastAsia="楷体" w:cs="楷体"/>
          <w:b/>
          <w:sz w:val="24"/>
          <w:szCs w:val="24"/>
          <w:lang w:eastAsia="zh-CN"/>
        </w:rPr>
        <w:t>）</w:t>
      </w:r>
      <w:r>
        <w:rPr>
          <w:rFonts w:hint="eastAsia" w:ascii="楷体" w:hAnsi="楷体" w:eastAsia="楷体" w:cs="楷体"/>
          <w:b/>
          <w:sz w:val="24"/>
          <w:szCs w:val="24"/>
        </w:rPr>
        <w:t>仪器要求</w:t>
      </w:r>
    </w:p>
    <w:p w14:paraId="7F50BBFB">
      <w:pPr>
        <w:spacing w:line="420" w:lineRule="exact"/>
        <w:rPr>
          <w:rFonts w:hint="eastAsia" w:ascii="楷体" w:hAnsi="楷体" w:eastAsia="楷体" w:cs="楷体"/>
          <w:sz w:val="24"/>
          <w:szCs w:val="24"/>
        </w:rPr>
      </w:pPr>
      <w:r>
        <w:rPr>
          <w:rFonts w:hint="eastAsia" w:ascii="楷体" w:hAnsi="楷体" w:eastAsia="楷体" w:cs="楷体"/>
          <w:sz w:val="24"/>
          <w:szCs w:val="24"/>
        </w:rPr>
        <w:t>1、单按键操作移液，放液和脱卸吸头一步到位，防止液体反弹；</w:t>
      </w:r>
    </w:p>
    <w:p w14:paraId="3C618FE1">
      <w:pPr>
        <w:spacing w:line="420" w:lineRule="exact"/>
        <w:rPr>
          <w:rFonts w:hint="eastAsia" w:ascii="楷体" w:hAnsi="楷体" w:eastAsia="楷体" w:cs="楷体"/>
          <w:sz w:val="24"/>
          <w:szCs w:val="24"/>
        </w:rPr>
      </w:pPr>
      <w:r>
        <w:rPr>
          <w:rFonts w:hint="eastAsia" w:ascii="楷体" w:hAnsi="楷体" w:eastAsia="楷体" w:cs="楷体"/>
          <w:sz w:val="24"/>
          <w:szCs w:val="24"/>
        </w:rPr>
        <w:t>2、整支可高温高压灭菌和紫外灭菌；</w:t>
      </w:r>
    </w:p>
    <w:p w14:paraId="1BBB8975">
      <w:pPr>
        <w:spacing w:line="420" w:lineRule="exact"/>
        <w:rPr>
          <w:rFonts w:hint="eastAsia" w:ascii="楷体" w:hAnsi="楷体" w:eastAsia="楷体" w:cs="楷体"/>
          <w:sz w:val="24"/>
          <w:szCs w:val="24"/>
        </w:rPr>
      </w:pPr>
      <w:r>
        <w:rPr>
          <w:rFonts w:hint="eastAsia" w:ascii="楷体" w:hAnsi="楷体" w:eastAsia="楷体" w:cs="楷体"/>
          <w:sz w:val="24"/>
          <w:szCs w:val="24"/>
        </w:rPr>
        <w:t>3、量程调节轻盈顺滑有质感；</w:t>
      </w:r>
    </w:p>
    <w:p w14:paraId="31B2F480">
      <w:pPr>
        <w:spacing w:line="420" w:lineRule="exact"/>
        <w:rPr>
          <w:rFonts w:hint="eastAsia" w:ascii="楷体" w:hAnsi="楷体" w:eastAsia="楷体" w:cs="楷体"/>
          <w:sz w:val="24"/>
          <w:szCs w:val="24"/>
        </w:rPr>
      </w:pPr>
      <w:r>
        <w:rPr>
          <w:rFonts w:hint="eastAsia" w:ascii="楷体" w:hAnsi="楷体" w:eastAsia="楷体" w:cs="楷体"/>
          <w:sz w:val="24"/>
          <w:szCs w:val="24"/>
        </w:rPr>
        <w:t>4、单独配置滤芯，减少挥发性试剂进入枪体，避免操作不当引起的移液上冲，防止活塞腐蚀；</w:t>
      </w:r>
    </w:p>
    <w:p w14:paraId="600DD0A4">
      <w:pPr>
        <w:spacing w:line="420" w:lineRule="exact"/>
        <w:rPr>
          <w:rFonts w:hint="eastAsia" w:ascii="楷体" w:hAnsi="楷体" w:eastAsia="楷体" w:cs="楷体"/>
          <w:sz w:val="24"/>
          <w:szCs w:val="24"/>
        </w:rPr>
      </w:pPr>
      <w:r>
        <w:rPr>
          <w:rFonts w:hint="eastAsia" w:ascii="楷体" w:hAnsi="楷体" w:eastAsia="楷体" w:cs="楷体"/>
          <w:sz w:val="24"/>
          <w:szCs w:val="24"/>
        </w:rPr>
        <w:t>5、拆卸简单，方便维护；使用附件工具，能方便快捷地进行校准和维修。</w:t>
      </w:r>
    </w:p>
    <w:p w14:paraId="7F741F05">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四</w:t>
      </w:r>
      <w:r>
        <w:rPr>
          <w:rFonts w:hint="eastAsia" w:ascii="楷体" w:hAnsi="楷体" w:eastAsia="楷体" w:cs="楷体"/>
          <w:b/>
          <w:sz w:val="24"/>
          <w:szCs w:val="24"/>
          <w:lang w:eastAsia="zh-CN"/>
        </w:rPr>
        <w:t>）</w:t>
      </w:r>
      <w:r>
        <w:rPr>
          <w:rFonts w:hint="eastAsia" w:ascii="楷体" w:hAnsi="楷体" w:eastAsia="楷体" w:cs="楷体"/>
          <w:b/>
          <w:sz w:val="24"/>
          <w:szCs w:val="24"/>
        </w:rPr>
        <w:t>仪器配置及要求</w:t>
      </w:r>
    </w:p>
    <w:p w14:paraId="4CB72B7F">
      <w:pPr>
        <w:spacing w:line="420" w:lineRule="exact"/>
        <w:rPr>
          <w:rFonts w:hint="eastAsia" w:ascii="楷体" w:hAnsi="楷体" w:eastAsia="楷体" w:cs="楷体"/>
          <w:sz w:val="24"/>
          <w:szCs w:val="24"/>
        </w:rPr>
      </w:pPr>
      <w:r>
        <w:rPr>
          <w:rFonts w:hint="eastAsia" w:ascii="楷体" w:hAnsi="楷体" w:eastAsia="楷体" w:cs="楷体"/>
          <w:sz w:val="24"/>
          <w:szCs w:val="24"/>
        </w:rPr>
        <w:t>1、移液吸头2个（5mL 2袋、200uL 2袋）</w:t>
      </w:r>
    </w:p>
    <w:p w14:paraId="23315EA4">
      <w:pPr>
        <w:spacing w:line="420" w:lineRule="exact"/>
        <w:rPr>
          <w:rFonts w:hint="eastAsia" w:ascii="楷体" w:hAnsi="楷体" w:eastAsia="楷体" w:cs="楷体"/>
          <w:sz w:val="24"/>
          <w:szCs w:val="24"/>
        </w:rPr>
      </w:pPr>
      <w:r>
        <w:rPr>
          <w:rFonts w:hint="eastAsia" w:ascii="楷体" w:hAnsi="楷体" w:eastAsia="楷体" w:cs="楷体"/>
          <w:sz w:val="24"/>
          <w:szCs w:val="24"/>
        </w:rPr>
        <w:t>2、校准工具1套</w:t>
      </w:r>
    </w:p>
    <w:p w14:paraId="405784AD">
      <w:pPr>
        <w:tabs>
          <w:tab w:val="left" w:pos="0"/>
        </w:tabs>
        <w:spacing w:line="420" w:lineRule="exact"/>
        <w:rPr>
          <w:rFonts w:hint="eastAsia" w:ascii="楷体" w:hAnsi="楷体" w:eastAsia="楷体" w:cs="楷体"/>
          <w:b/>
          <w:sz w:val="24"/>
          <w:szCs w:val="24"/>
        </w:rPr>
      </w:pPr>
      <w:r>
        <w:rPr>
          <w:rFonts w:hint="eastAsia" w:ascii="楷体" w:hAnsi="楷体" w:eastAsia="楷体" w:cs="楷体"/>
          <w:b/>
          <w:sz w:val="24"/>
          <w:szCs w:val="24"/>
        </w:rPr>
        <w:t>五</w:t>
      </w:r>
      <w:r>
        <w:rPr>
          <w:rFonts w:hint="eastAsia" w:ascii="楷体" w:hAnsi="楷体" w:eastAsia="楷体" w:cs="楷体"/>
          <w:b/>
          <w:sz w:val="24"/>
          <w:szCs w:val="24"/>
          <w:lang w:eastAsia="zh-CN"/>
        </w:rPr>
        <w:t>）</w:t>
      </w:r>
      <w:r>
        <w:rPr>
          <w:rFonts w:hint="eastAsia" w:ascii="楷体" w:hAnsi="楷体" w:eastAsia="楷体" w:cs="楷体"/>
          <w:b/>
          <w:bCs/>
          <w:sz w:val="24"/>
          <w:szCs w:val="24"/>
        </w:rPr>
        <w:t>售后及服务</w:t>
      </w:r>
      <w:r>
        <w:rPr>
          <w:rFonts w:hint="eastAsia" w:ascii="楷体" w:hAnsi="楷体" w:eastAsia="楷体" w:cs="楷体"/>
          <w:b/>
          <w:bCs/>
          <w:sz w:val="24"/>
          <w:szCs w:val="24"/>
          <w:lang w:val="en-US" w:eastAsia="zh-CN"/>
        </w:rPr>
        <w:t>要求</w:t>
      </w:r>
    </w:p>
    <w:p w14:paraId="057F1B7C">
      <w:pPr>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02A10B4C">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保证产品为全新原厂设备。产品质量必须符合《中华人民共和国国家标准》及我国最新颁布的与之相关的技术规范与正宗合格产品标准，同时必须满足招标文件中所列全部规格、型号、具体配置、技术条件及功能要求和供方承诺的其它指标；产品质量出现问题，供方负责包退、包换、包修，其费用由供应商负责。</w:t>
      </w:r>
    </w:p>
    <w:p w14:paraId="7611AAB4">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（2）供货方保证产品不存在因材质、设计、制造等问题所引起的缺陷，否则应无偿予以纠正。</w:t>
      </w:r>
    </w:p>
    <w:p w14:paraId="08133052">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（3）供货方提供详细的操作指南、产品说明书、产品合格证书、供货证明等。</w:t>
      </w:r>
    </w:p>
    <w:p w14:paraId="2A538D1A">
      <w:pPr>
        <w:spacing w:line="420" w:lineRule="exact"/>
        <w:rPr>
          <w:rFonts w:hint="eastAsia" w:ascii="楷体" w:hAnsi="楷体" w:eastAsia="楷体" w:cs="楷体"/>
          <w:sz w:val="24"/>
          <w:szCs w:val="24"/>
        </w:rPr>
      </w:pPr>
      <w:r>
        <w:rPr>
          <w:rFonts w:hint="eastAsia" w:ascii="楷体" w:hAnsi="楷体" w:eastAsia="楷体" w:cs="楷体"/>
          <w:sz w:val="24"/>
          <w:szCs w:val="24"/>
        </w:rPr>
        <w:t>2、售后服务</w:t>
      </w:r>
    </w:p>
    <w:p w14:paraId="0099DAEB">
      <w:pPr>
        <w:spacing w:line="420" w:lineRule="exact"/>
        <w:ind w:firstLine="480" w:firstLineChars="200"/>
        <w:rPr>
          <w:rFonts w:hint="eastAsia" w:ascii="楷体" w:hAnsi="楷体" w:eastAsia="楷体" w:cs="楷体"/>
          <w:sz w:val="24"/>
          <w:szCs w:val="24"/>
          <w:lang w:eastAsia="zh-CN"/>
        </w:rPr>
      </w:pPr>
      <w:r>
        <w:rPr>
          <w:rFonts w:hint="eastAsia" w:ascii="楷体" w:hAnsi="楷体" w:eastAsia="楷体" w:cs="楷体"/>
          <w:sz w:val="24"/>
          <w:szCs w:val="24"/>
        </w:rPr>
        <w:t>（1）自验收合格之日起，质保期三年。质保期内，供货方应免费提供技术服务，技术服务包括硬件更换、维修（包括更换仪器及零配件等）系统的维护和技术支持。供货方对非买方人为原因所发生的任何不足或故障负责，所需费用由供货方承担。保修期满后应继续提供维修服务，如仪器出现故障需要更换配件，需提供优惠的配件价格，维修后对同一故障部位及配件实行保修3个月</w:t>
      </w:r>
      <w:r>
        <w:rPr>
          <w:rFonts w:hint="eastAsia" w:ascii="楷体" w:hAnsi="楷体" w:eastAsia="楷体" w:cs="楷体"/>
          <w:sz w:val="24"/>
          <w:szCs w:val="24"/>
          <w:lang w:eastAsia="zh-CN"/>
        </w:rPr>
        <w:t>。</w:t>
      </w:r>
    </w:p>
    <w:p w14:paraId="3A16874A">
      <w:pPr>
        <w:spacing w:line="420" w:lineRule="exact"/>
        <w:ind w:left="479" w:leftChars="228" w:firstLine="0" w:firstLineChars="0"/>
        <w:rPr>
          <w:rFonts w:hint="eastAsia" w:ascii="楷体" w:hAnsi="楷体" w:eastAsia="楷体" w:cs="楷体"/>
          <w:sz w:val="24"/>
          <w:szCs w:val="24"/>
          <w:lang w:val="en-US" w:eastAsia="zh-CN"/>
        </w:rPr>
      </w:pPr>
      <w:r>
        <w:rPr>
          <w:rFonts w:hint="eastAsia" w:ascii="楷体" w:hAnsi="楷体" w:eastAsia="楷体" w:cs="楷体"/>
          <w:sz w:val="24"/>
          <w:szCs w:val="24"/>
        </w:rPr>
        <w:t>（2）维修过程中，因特殊原因严重延误维修时间，应该说明并且相应延长保修时</w:t>
      </w:r>
      <w:r>
        <w:rPr>
          <w:rFonts w:hint="eastAsia" w:ascii="楷体" w:hAnsi="楷体" w:eastAsia="楷体" w:cs="楷体"/>
          <w:sz w:val="24"/>
          <w:szCs w:val="24"/>
          <w:lang w:val="en-US" w:eastAsia="zh-CN"/>
        </w:rPr>
        <w:t>间。</w:t>
      </w:r>
    </w:p>
    <w:p w14:paraId="0F0FCE8A">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供货方在接到买方要求提供服务的电话后，会在2小时内响应。电话服务无法解决的，将会在24小时内派服务工程师到达买方现场检修仪器。如因外界交通或其它非可控之原因而无法及时到达买方现场的，应通知买方说明这些原因并将计划达到的日期通知买方。对于一般性故障问题，承诺24-48小时内修复；对于复杂和疑难性或境内没有零配件(需要向国外订购的)故障，承诺在6周内保证修复。如因非能事先预见的原因（包括没有完成服务所需的零部件）而使派遣的技术人员不能通过一次上门服务完成所需的协议服务，则供货方应承诺将采取有效及快捷之措施，在最短的时间内完成协议规定的维修服务。供货方应终身负责维护维修，如因非人为原因导致仪器出现故障，需要寄送厂家返修，则期间产生费用由供货方承担。</w:t>
      </w:r>
    </w:p>
    <w:p w14:paraId="20176703">
      <w:pPr>
        <w:numPr>
          <w:ilvl w:val="0"/>
          <w:numId w:val="0"/>
        </w:numPr>
        <w:spacing w:line="420" w:lineRule="exact"/>
        <w:rPr>
          <w:rFonts w:hint="eastAsia" w:ascii="楷体" w:hAnsi="楷体" w:eastAsia="楷体" w:cs="楷体"/>
          <w:bCs/>
          <w:sz w:val="24"/>
          <w:szCs w:val="24"/>
          <w:lang w:val="en-US" w:eastAsia="zh-CN"/>
        </w:rPr>
      </w:pPr>
      <w:r>
        <w:rPr>
          <w:rFonts w:hint="eastAsia" w:ascii="宋体" w:hAnsi="宋体" w:eastAsia="宋体" w:cs="宋体"/>
          <w:bCs/>
          <w:sz w:val="24"/>
          <w:szCs w:val="24"/>
          <w:lang w:eastAsia="zh-CN"/>
        </w:rPr>
        <w:t>★</w:t>
      </w:r>
      <w:r>
        <w:rPr>
          <w:rFonts w:hint="eastAsia" w:ascii="楷体" w:hAnsi="楷体" w:eastAsia="楷体" w:cs="楷体"/>
          <w:b/>
          <w:bCs w:val="0"/>
          <w:sz w:val="24"/>
          <w:szCs w:val="24"/>
          <w:lang w:eastAsia="zh-CN"/>
        </w:rPr>
        <w:t>（</w:t>
      </w:r>
      <w:r>
        <w:rPr>
          <w:rFonts w:hint="eastAsia" w:ascii="楷体" w:hAnsi="楷体" w:eastAsia="楷体" w:cs="楷体"/>
          <w:b/>
          <w:bCs w:val="0"/>
          <w:sz w:val="24"/>
          <w:szCs w:val="24"/>
          <w:lang w:val="en-US" w:eastAsia="zh-CN"/>
        </w:rPr>
        <w:t>十四</w:t>
      </w:r>
      <w:r>
        <w:rPr>
          <w:rFonts w:hint="eastAsia" w:ascii="楷体" w:hAnsi="楷体" w:eastAsia="楷体" w:cs="楷体"/>
          <w:b/>
          <w:bCs w:val="0"/>
          <w:sz w:val="24"/>
          <w:szCs w:val="24"/>
          <w:lang w:eastAsia="zh-CN"/>
        </w:rPr>
        <w:t>）</w:t>
      </w:r>
      <w:r>
        <w:rPr>
          <w:rFonts w:hint="eastAsia" w:ascii="楷体" w:hAnsi="楷体" w:eastAsia="楷体" w:cs="楷体"/>
          <w:b/>
          <w:bCs w:val="0"/>
          <w:sz w:val="24"/>
          <w:szCs w:val="24"/>
          <w:lang w:val="en-US" w:eastAsia="zh-CN"/>
        </w:rPr>
        <w:t>其他服务要求</w:t>
      </w:r>
    </w:p>
    <w:p w14:paraId="354E6C9A">
      <w:pPr>
        <w:numPr>
          <w:ilvl w:val="0"/>
          <w:numId w:val="0"/>
        </w:numPr>
        <w:spacing w:line="420" w:lineRule="exact"/>
        <w:ind w:firstLine="480" w:firstLineChars="200"/>
        <w:rPr>
          <w:rFonts w:hint="eastAsia" w:ascii="楷体" w:hAnsi="楷体" w:eastAsia="楷体" w:cs="楷体"/>
          <w:bCs/>
          <w:sz w:val="24"/>
          <w:szCs w:val="24"/>
        </w:rPr>
      </w:pPr>
      <w:r>
        <w:rPr>
          <w:rFonts w:hint="eastAsia" w:ascii="楷体" w:hAnsi="楷体" w:eastAsia="楷体" w:cs="楷体"/>
          <w:bCs/>
          <w:sz w:val="24"/>
          <w:szCs w:val="24"/>
          <w:lang w:val="en-US" w:eastAsia="zh-CN"/>
        </w:rPr>
        <w:t>1、</w:t>
      </w:r>
      <w:r>
        <w:rPr>
          <w:rFonts w:hint="eastAsia" w:ascii="楷体" w:hAnsi="楷体" w:eastAsia="楷体" w:cs="楷体"/>
          <w:bCs/>
          <w:sz w:val="24"/>
          <w:szCs w:val="24"/>
        </w:rPr>
        <w:t>安装调试结束后,投标人需要提供冷原子吸收测汞仪、红外测油仪、紫外分光测油仪、恒温恒湿称重系统、十万分之一电子天平、生化培养箱、离子计、可见分光光度计、手动连续分液枪、手动移液枪由国家法定计量认证机构出具的检定或校准证书。</w:t>
      </w:r>
    </w:p>
    <w:p w14:paraId="426B895A">
      <w:pPr>
        <w:numPr>
          <w:ilvl w:val="0"/>
          <w:numId w:val="0"/>
        </w:numPr>
        <w:spacing w:line="420" w:lineRule="exact"/>
        <w:ind w:firstLine="480" w:firstLineChars="200"/>
        <w:rPr>
          <w:rFonts w:hint="eastAsia" w:ascii="楷体" w:hAnsi="楷体" w:eastAsia="楷体" w:cs="楷体"/>
          <w:bCs/>
          <w:sz w:val="24"/>
          <w:szCs w:val="24"/>
        </w:rPr>
      </w:pPr>
      <w:r>
        <w:rPr>
          <w:rFonts w:hint="eastAsia" w:ascii="楷体" w:hAnsi="楷体" w:eastAsia="楷体" w:cs="楷体"/>
          <w:bCs/>
          <w:sz w:val="24"/>
          <w:szCs w:val="24"/>
          <w:lang w:val="en-US" w:eastAsia="zh-CN"/>
        </w:rPr>
        <w:t>2、</w:t>
      </w:r>
      <w:r>
        <w:rPr>
          <w:rFonts w:hint="eastAsia" w:ascii="楷体" w:hAnsi="楷体" w:eastAsia="楷体" w:cs="楷体"/>
          <w:bCs/>
          <w:sz w:val="24"/>
          <w:szCs w:val="24"/>
        </w:rPr>
        <w:t>培训：所采购仪器设备均需原厂家工程师进行调试安装及培训，供应商方应免费对采购人技术人员进行操作、维修、保养等方面进行培训，并提供现场操作培训，内容包括仪器的基本原理，操作保养，维修等方面，直到技术人员能独立操作和使用。</w:t>
      </w:r>
    </w:p>
    <w:p w14:paraId="342309BA">
      <w:pPr>
        <w:rPr>
          <w:rFonts w:ascii="楷体" w:hAnsi="楷体" w:eastAsia="楷体"/>
          <w:kern w:val="2"/>
          <w:sz w:val="24"/>
        </w:rPr>
      </w:pPr>
    </w:p>
    <w:p w14:paraId="2E6A87A4">
      <w:pPr>
        <w:spacing w:line="440" w:lineRule="exact"/>
        <w:ind w:firstLine="480"/>
        <w:rPr>
          <w:rFonts w:ascii="楷体" w:hAnsi="楷体" w:eastAsia="楷体" w:cs="Arial"/>
          <w:bCs/>
          <w:sz w:val="24"/>
        </w:rPr>
      </w:pPr>
      <w:r>
        <w:rPr>
          <w:rFonts w:hint="eastAsia" w:ascii="楷体" w:hAnsi="楷体" w:eastAsia="楷体" w:cs="Arial"/>
          <w:bCs/>
          <w:sz w:val="24"/>
        </w:rPr>
        <w:t>注：</w:t>
      </w:r>
    </w:p>
    <w:p w14:paraId="701D2DFC">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highlight w:val="none"/>
        </w:rPr>
        <w:t>1）本</w:t>
      </w:r>
      <w:r>
        <w:rPr>
          <w:rFonts w:hint="eastAsia" w:ascii="楷体" w:hAnsi="楷体" w:eastAsia="楷体" w:cs="Arial"/>
          <w:sz w:val="24"/>
          <w:szCs w:val="24"/>
          <w:highlight w:val="none"/>
          <w:lang w:val="en-US" w:eastAsia="zh-CN"/>
        </w:rPr>
        <w:t>采购包</w:t>
      </w:r>
      <w:r>
        <w:rPr>
          <w:rFonts w:ascii="楷体" w:hAnsi="楷体" w:eastAsia="楷体" w:cs="Arial"/>
          <w:sz w:val="24"/>
          <w:szCs w:val="24"/>
          <w:highlight w:val="none"/>
        </w:rPr>
        <w:t>核心产品是“</w:t>
      </w:r>
      <w:r>
        <w:rPr>
          <w:rFonts w:hint="eastAsia" w:ascii="楷体" w:hAnsi="楷体" w:eastAsia="楷体" w:cs="Arial"/>
          <w:sz w:val="24"/>
          <w:szCs w:val="24"/>
          <w:highlight w:val="none"/>
        </w:rPr>
        <w:t>冷原子吸收测汞仪</w:t>
      </w:r>
      <w:r>
        <w:rPr>
          <w:rFonts w:hint="eastAsia" w:ascii="楷体" w:hAnsi="楷体" w:eastAsia="楷体" w:cs="Arial"/>
          <w:sz w:val="24"/>
          <w:szCs w:val="24"/>
          <w:highlight w:val="none"/>
          <w:lang w:eastAsia="zh-CN"/>
        </w:rPr>
        <w:t>、红外测油仪、紫外分光测油仪</w:t>
      </w:r>
      <w:r>
        <w:rPr>
          <w:rFonts w:hint="eastAsia" w:ascii="楷体" w:hAnsi="楷体" w:eastAsia="楷体" w:cs="Arial"/>
          <w:sz w:val="24"/>
          <w:szCs w:val="24"/>
          <w:highlight w:val="none"/>
        </w:rPr>
        <w:t>”。</w:t>
      </w:r>
    </w:p>
    <w:p w14:paraId="72B283F5">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2）投标人一旦在本项目中中标，即被认为其同意承担在采购期间内货物价格变动所带来的一切风险，投标人不得以任何理由变更其投标时的投标单价。</w:t>
      </w:r>
    </w:p>
    <w:p w14:paraId="73A36E37">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3）技术要求中提及的品牌或型号仅为参照品牌型号，非限制性条件，投标人可以不</w:t>
      </w:r>
      <w:r>
        <w:rPr>
          <w:rFonts w:hint="eastAsia" w:ascii="楷体" w:hAnsi="楷体" w:eastAsia="楷体" w:cs="Arial"/>
          <w:sz w:val="24"/>
          <w:szCs w:val="24"/>
        </w:rPr>
        <w:t>低于参照品牌质量、性能、设备参数的同等档次的其它品牌产品参与投标。投标人须提供具有公信力的证明材料，并获得三分之二及以上评委的认定。如未提供相关证明材料的，由此对最终评定结果所造成的影响和后果由投标人负全责。</w:t>
      </w:r>
    </w:p>
    <w:p w14:paraId="087C1FC1">
      <w:pPr>
        <w:pStyle w:val="62"/>
        <w:spacing w:line="360" w:lineRule="auto"/>
        <w:ind w:left="0" w:leftChars="0" w:firstLine="219" w:firstLineChars="91"/>
        <w:rPr>
          <w:rFonts w:ascii="楷体" w:hAnsi="楷体" w:eastAsia="楷体"/>
          <w:b/>
          <w:sz w:val="24"/>
          <w:szCs w:val="24"/>
        </w:rPr>
      </w:pP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4</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w:t>
      </w:r>
      <w:r>
        <w:rPr>
          <w:rFonts w:hint="eastAsia" w:ascii="楷体" w:hAnsi="楷体" w:eastAsia="楷体" w:cs="Arial"/>
          <w:b/>
          <w:sz w:val="24"/>
          <w:szCs w:val="24"/>
        </w:rPr>
        <w:t>【注：</w:t>
      </w:r>
      <w:r>
        <w:rPr>
          <w:rFonts w:hint="eastAsia" w:ascii="楷体" w:hAnsi="楷体" w:eastAsia="楷体" w:cs="Arial"/>
          <w:b/>
          <w:sz w:val="24"/>
          <w:szCs w:val="24"/>
          <w:lang w:val="en-US" w:eastAsia="zh-CN"/>
        </w:rPr>
        <w:t>签订合同前，</w:t>
      </w:r>
      <w:r>
        <w:rPr>
          <w:rFonts w:hint="eastAsia" w:ascii="楷体" w:hAnsi="楷体" w:eastAsia="楷体" w:cs="Arial"/>
          <w:b/>
          <w:sz w:val="24"/>
          <w:szCs w:val="24"/>
          <w:lang w:eastAsia="zh-CN"/>
        </w:rPr>
        <w:t>采购人有权要求中标供应商</w:t>
      </w:r>
      <w:r>
        <w:rPr>
          <w:rFonts w:hint="eastAsia" w:ascii="楷体" w:hAnsi="楷体" w:eastAsia="楷体" w:cs="Arial"/>
          <w:b/>
          <w:sz w:val="24"/>
          <w:szCs w:val="24"/>
          <w:lang w:val="en-US" w:eastAsia="zh-CN"/>
        </w:rPr>
        <w:t>提供佐证材料原件核查，中标供应商不能按时提供的视为虚假响应，将取消中标资格</w:t>
      </w:r>
      <w:r>
        <w:rPr>
          <w:rFonts w:hint="eastAsia" w:ascii="楷体" w:hAnsi="楷体" w:eastAsia="楷体" w:cs="Arial"/>
          <w:b/>
          <w:sz w:val="24"/>
          <w:szCs w:val="24"/>
        </w:rPr>
        <w:t>】</w:t>
      </w:r>
      <w:r>
        <w:rPr>
          <w:rFonts w:hint="eastAsia" w:ascii="楷体" w:hAnsi="楷体" w:eastAsia="楷体"/>
          <w:b/>
          <w:sz w:val="24"/>
          <w:szCs w:val="24"/>
        </w:rPr>
        <w:t>。</w:t>
      </w:r>
    </w:p>
    <w:p w14:paraId="5573AB12">
      <w:pPr>
        <w:spacing w:line="360" w:lineRule="auto"/>
        <w:ind w:firstLine="420"/>
        <w:rPr>
          <w:rFonts w:ascii="楷体" w:hAnsi="楷体" w:eastAsia="楷体" w:cs="Arial"/>
          <w:b/>
          <w:sz w:val="24"/>
        </w:rPr>
      </w:pPr>
      <w:r>
        <w:rPr>
          <w:rFonts w:hint="eastAsia" w:ascii="楷体" w:hAnsi="楷体" w:eastAsia="楷体" w:cs="Arial"/>
          <w:b/>
          <w:sz w:val="24"/>
        </w:rPr>
        <w:t>★</w:t>
      </w:r>
      <w:r>
        <w:rPr>
          <w:rFonts w:hint="eastAsia" w:ascii="楷体" w:hAnsi="楷体" w:eastAsia="楷体" w:cs="Arial"/>
          <w:b/>
          <w:sz w:val="24"/>
          <w:lang w:val="en-US" w:eastAsia="zh-CN"/>
        </w:rPr>
        <w:t>五</w:t>
      </w:r>
      <w:r>
        <w:rPr>
          <w:rFonts w:hint="eastAsia" w:ascii="楷体" w:hAnsi="楷体" w:eastAsia="楷体" w:cs="Arial"/>
          <w:b/>
          <w:sz w:val="24"/>
        </w:rPr>
        <w:t>、商务要求</w:t>
      </w:r>
    </w:p>
    <w:p w14:paraId="4330719A">
      <w:pPr>
        <w:spacing w:line="360" w:lineRule="auto"/>
        <w:ind w:firstLine="420"/>
        <w:rPr>
          <w:rFonts w:ascii="楷体" w:hAnsi="楷体" w:eastAsia="楷体" w:cs="Arial"/>
          <w:color w:val="auto"/>
          <w:sz w:val="24"/>
          <w:highlight w:val="none"/>
        </w:rPr>
      </w:pPr>
      <w:r>
        <w:rPr>
          <w:rFonts w:ascii="楷体" w:hAnsi="楷体" w:eastAsia="楷体" w:cs="Arial"/>
          <w:b/>
          <w:sz w:val="24"/>
          <w:highlight w:val="none"/>
        </w:rPr>
        <w:t>1.</w:t>
      </w:r>
      <w:r>
        <w:rPr>
          <w:rFonts w:hint="eastAsia" w:ascii="楷体" w:hAnsi="楷体" w:eastAsia="楷体" w:cs="Arial"/>
          <w:b/>
          <w:color w:val="auto"/>
          <w:sz w:val="24"/>
          <w:highlight w:val="none"/>
        </w:rPr>
        <w:t>供货期：</w:t>
      </w:r>
      <w:r>
        <w:rPr>
          <w:rFonts w:hint="eastAsia" w:ascii="楷体" w:hAnsi="楷体" w:eastAsia="楷体" w:cs="楷体"/>
          <w:sz w:val="24"/>
          <w:szCs w:val="24"/>
          <w:highlight w:val="none"/>
        </w:rPr>
        <w:t>合同签订后2周内</w:t>
      </w:r>
      <w:r>
        <w:rPr>
          <w:rFonts w:hint="eastAsia" w:ascii="楷体" w:hAnsi="楷体" w:eastAsia="楷体" w:cs="Arial"/>
          <w:color w:val="auto"/>
          <w:sz w:val="24"/>
          <w:highlight w:val="none"/>
        </w:rPr>
        <w:t>。</w:t>
      </w:r>
    </w:p>
    <w:p w14:paraId="2746489F">
      <w:pPr>
        <w:spacing w:line="360" w:lineRule="auto"/>
        <w:ind w:firstLine="420"/>
        <w:rPr>
          <w:rFonts w:ascii="楷体" w:hAnsi="楷体" w:eastAsia="楷体" w:cs="Arial"/>
          <w:color w:val="auto"/>
          <w:sz w:val="24"/>
        </w:rPr>
      </w:pPr>
      <w:r>
        <w:rPr>
          <w:rFonts w:ascii="楷体" w:hAnsi="楷体" w:eastAsia="楷体" w:cs="Arial"/>
          <w:b/>
          <w:color w:val="auto"/>
          <w:sz w:val="24"/>
        </w:rPr>
        <w:t>2.</w:t>
      </w:r>
      <w:r>
        <w:rPr>
          <w:rFonts w:hint="eastAsia" w:ascii="楷体" w:hAnsi="楷体" w:eastAsia="楷体" w:cs="Arial"/>
          <w:b/>
          <w:color w:val="auto"/>
          <w:sz w:val="24"/>
        </w:rPr>
        <w:t>交付（实施）的地点（范围）：</w:t>
      </w:r>
      <w:r>
        <w:rPr>
          <w:rFonts w:hint="eastAsia" w:ascii="楷体" w:hAnsi="楷体" w:eastAsia="楷体" w:cs="Arial"/>
          <w:color w:val="auto"/>
          <w:sz w:val="24"/>
        </w:rPr>
        <w:t>采购人指定地点</w:t>
      </w:r>
    </w:p>
    <w:p w14:paraId="5B1FD5A4">
      <w:pPr>
        <w:spacing w:line="360" w:lineRule="auto"/>
        <w:ind w:firstLine="420"/>
        <w:rPr>
          <w:rFonts w:hint="eastAsia" w:ascii="楷体" w:hAnsi="楷体" w:eastAsia="楷体" w:cs="Arial"/>
          <w:b w:val="0"/>
          <w:bCs/>
          <w:color w:val="auto"/>
          <w:sz w:val="24"/>
        </w:rPr>
      </w:pPr>
      <w:r>
        <w:rPr>
          <w:rFonts w:hint="eastAsia" w:ascii="楷体" w:hAnsi="楷体" w:eastAsia="楷体" w:cs="Arial"/>
          <w:b/>
          <w:color w:val="auto"/>
          <w:sz w:val="24"/>
          <w:lang w:val="en-US" w:eastAsia="zh-CN"/>
        </w:rPr>
        <w:t>3</w:t>
      </w:r>
      <w:r>
        <w:rPr>
          <w:rFonts w:ascii="楷体" w:hAnsi="楷体" w:eastAsia="楷体" w:cs="Arial"/>
          <w:b/>
          <w:color w:val="auto"/>
          <w:sz w:val="24"/>
        </w:rPr>
        <w:t>.付款条件（进度和方式）</w:t>
      </w:r>
      <w:r>
        <w:rPr>
          <w:rFonts w:hint="eastAsia" w:ascii="楷体" w:hAnsi="楷体" w:eastAsia="楷体" w:cs="Arial"/>
          <w:b/>
          <w:color w:val="auto"/>
          <w:sz w:val="24"/>
        </w:rPr>
        <w:t>：</w:t>
      </w:r>
      <w:r>
        <w:rPr>
          <w:rFonts w:hint="eastAsia" w:ascii="楷体" w:hAnsi="楷体" w:eastAsia="楷体" w:cs="Arial"/>
          <w:b w:val="0"/>
          <w:bCs/>
          <w:color w:val="auto"/>
          <w:sz w:val="24"/>
        </w:rPr>
        <w:t>合同签订后，采购人在收到中标人提供的相应金额的正规发票后10个工作日内支付合同金额的30%作为预付款。</w:t>
      </w:r>
    </w:p>
    <w:p w14:paraId="3655EF9D">
      <w:pPr>
        <w:spacing w:line="360" w:lineRule="auto"/>
        <w:ind w:firstLine="420"/>
        <w:rPr>
          <w:rFonts w:ascii="楷体" w:hAnsi="楷体" w:eastAsia="楷体" w:cs="Arial"/>
          <w:b w:val="0"/>
          <w:bCs/>
          <w:color w:val="auto"/>
          <w:sz w:val="24"/>
        </w:rPr>
      </w:pPr>
      <w:r>
        <w:rPr>
          <w:rFonts w:hint="eastAsia" w:ascii="楷体" w:hAnsi="楷体" w:eastAsia="楷体" w:cs="Arial"/>
          <w:b w:val="0"/>
          <w:bCs/>
          <w:color w:val="auto"/>
          <w:sz w:val="24"/>
        </w:rPr>
        <w:t>项目安装调试完毕并验收合格后10个工作日内，支付合同额的60%；第一年运维结束通过运维的阶段性验收通过后支付合同额的5%；第二年运维结束通过运维的阶段性验收通过后支付合同额的5%。</w:t>
      </w:r>
    </w:p>
    <w:p w14:paraId="34240260">
      <w:pPr>
        <w:spacing w:line="360" w:lineRule="auto"/>
        <w:ind w:firstLine="420"/>
        <w:rPr>
          <w:rFonts w:ascii="楷体" w:hAnsi="楷体" w:eastAsia="楷体" w:cs="Arial"/>
          <w:b/>
          <w:color w:val="auto"/>
          <w:sz w:val="24"/>
        </w:rPr>
      </w:pPr>
      <w:r>
        <w:rPr>
          <w:rFonts w:hint="eastAsia" w:ascii="楷体" w:hAnsi="楷体" w:eastAsia="楷体" w:cs="Arial"/>
          <w:b/>
          <w:color w:val="auto"/>
          <w:sz w:val="24"/>
          <w:lang w:val="en-US" w:eastAsia="zh-CN"/>
        </w:rPr>
        <w:t>4</w:t>
      </w:r>
      <w:r>
        <w:rPr>
          <w:rFonts w:ascii="楷体" w:hAnsi="楷体" w:eastAsia="楷体" w:cs="Arial"/>
          <w:b/>
          <w:color w:val="auto"/>
          <w:sz w:val="24"/>
        </w:rPr>
        <w:t>.</w:t>
      </w:r>
      <w:r>
        <w:rPr>
          <w:rFonts w:hint="eastAsia" w:ascii="楷体" w:hAnsi="楷体" w:eastAsia="楷体" w:cs="Arial"/>
          <w:b/>
          <w:color w:val="auto"/>
          <w:sz w:val="24"/>
        </w:rPr>
        <w:t>验收要求：</w:t>
      </w:r>
    </w:p>
    <w:p w14:paraId="62B273B3">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1</w:t>
      </w:r>
      <w:r>
        <w:rPr>
          <w:rFonts w:hint="eastAsia" w:ascii="楷体" w:hAnsi="楷体" w:eastAsia="楷体" w:cs="Arial"/>
          <w:color w:val="auto"/>
          <w:sz w:val="24"/>
          <w:lang w:eastAsia="zh-CN"/>
        </w:rPr>
        <w:t>）</w:t>
      </w:r>
      <w:r>
        <w:rPr>
          <w:rFonts w:hint="eastAsia" w:ascii="楷体" w:hAnsi="楷体" w:eastAsia="楷体" w:cs="Arial"/>
          <w:color w:val="auto"/>
          <w:sz w:val="24"/>
        </w:rPr>
        <w:t>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p>
    <w:p w14:paraId="67182ECF">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2</w:t>
      </w:r>
      <w:r>
        <w:rPr>
          <w:rFonts w:hint="eastAsia" w:ascii="楷体" w:hAnsi="楷体" w:eastAsia="楷体" w:cs="Arial"/>
          <w:color w:val="auto"/>
          <w:sz w:val="24"/>
          <w:lang w:eastAsia="zh-CN"/>
        </w:rPr>
        <w:t>）</w:t>
      </w:r>
      <w:r>
        <w:rPr>
          <w:rFonts w:hint="eastAsia" w:ascii="楷体" w:hAnsi="楷体" w:eastAsia="楷体" w:cs="Arial"/>
          <w:color w:val="auto"/>
          <w:sz w:val="24"/>
        </w:rPr>
        <w:t>供应商应负责在采购人验收前将本项目全部相关的系统软硬件，以及有关使用说明书（手册）等交付至采购人，由采购人组织验收。</w:t>
      </w:r>
    </w:p>
    <w:p w14:paraId="351F1326">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3</w:t>
      </w:r>
      <w:r>
        <w:rPr>
          <w:rFonts w:hint="eastAsia" w:ascii="楷体" w:hAnsi="楷体" w:eastAsia="楷体" w:cs="Arial"/>
          <w:color w:val="auto"/>
          <w:sz w:val="24"/>
          <w:lang w:eastAsia="zh-CN"/>
        </w:rPr>
        <w:t>）</w:t>
      </w:r>
      <w:r>
        <w:rPr>
          <w:rFonts w:hint="eastAsia" w:ascii="楷体" w:hAnsi="楷体" w:eastAsia="楷体" w:cs="Arial"/>
          <w:color w:val="auto"/>
          <w:sz w:val="24"/>
        </w:rPr>
        <w:t>供应商负责货物的安装</w:t>
      </w:r>
      <w:r>
        <w:rPr>
          <w:rFonts w:hint="eastAsia" w:ascii="楷体" w:hAnsi="楷体" w:eastAsia="楷体" w:cs="Arial"/>
          <w:color w:val="auto"/>
          <w:sz w:val="24"/>
          <w:lang w:eastAsia="zh-CN"/>
        </w:rPr>
        <w:t>、</w:t>
      </w:r>
      <w:r>
        <w:rPr>
          <w:rFonts w:hint="eastAsia" w:ascii="楷体" w:hAnsi="楷体" w:eastAsia="楷体" w:cs="Arial"/>
          <w:color w:val="auto"/>
          <w:sz w:val="24"/>
        </w:rPr>
        <w:t>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r>
        <w:rPr>
          <w:rFonts w:hint="eastAsia" w:ascii="楷体" w:hAnsi="楷体" w:eastAsia="楷体" w:cs="Arial"/>
          <w:color w:val="auto"/>
          <w:sz w:val="24"/>
          <w:lang w:eastAsia="zh-CN"/>
        </w:rPr>
        <w:t>。</w:t>
      </w:r>
      <w:r>
        <w:rPr>
          <w:rFonts w:hint="eastAsia" w:ascii="楷体" w:hAnsi="楷体" w:eastAsia="楷体" w:cs="Arial"/>
          <w:color w:val="auto"/>
          <w:sz w:val="24"/>
        </w:rPr>
        <w:t xml:space="preserve"> </w:t>
      </w:r>
    </w:p>
    <w:p w14:paraId="21ABD3F2">
      <w:pPr>
        <w:spacing w:line="360" w:lineRule="auto"/>
        <w:ind w:firstLine="420"/>
        <w:rPr>
          <w:rFonts w:ascii="楷体" w:hAnsi="楷体" w:eastAsia="楷体" w:cs="Arial"/>
          <w:color w:val="auto"/>
          <w:sz w:val="24"/>
        </w:rPr>
      </w:pPr>
      <w:r>
        <w:rPr>
          <w:rFonts w:hint="eastAsia" w:ascii="楷体" w:hAnsi="楷体" w:eastAsia="楷体" w:cs="Arial"/>
          <w:b/>
          <w:color w:val="auto"/>
          <w:sz w:val="24"/>
          <w:lang w:val="en-US" w:eastAsia="zh-CN"/>
        </w:rPr>
        <w:t>5</w:t>
      </w:r>
      <w:r>
        <w:rPr>
          <w:rFonts w:ascii="楷体" w:hAnsi="楷体" w:eastAsia="楷体" w:cs="Arial"/>
          <w:b/>
          <w:color w:val="auto"/>
          <w:sz w:val="24"/>
        </w:rPr>
        <w:t>.</w:t>
      </w:r>
      <w:r>
        <w:rPr>
          <w:rFonts w:hint="eastAsia" w:ascii="楷体" w:hAnsi="楷体" w:eastAsia="楷体" w:cs="Arial"/>
          <w:b/>
          <w:color w:val="auto"/>
          <w:sz w:val="24"/>
        </w:rPr>
        <w:t>投标货币：</w:t>
      </w:r>
      <w:r>
        <w:rPr>
          <w:rFonts w:hint="eastAsia" w:ascii="楷体" w:hAnsi="楷体" w:eastAsia="楷体" w:cs="Arial"/>
          <w:color w:val="auto"/>
          <w:sz w:val="24"/>
        </w:rPr>
        <w:t>投标文件中的所有货物、服务单价和总价采用人民币报价，以元为单位标注。</w:t>
      </w:r>
    </w:p>
    <w:p w14:paraId="66269362">
      <w:pPr>
        <w:spacing w:line="360" w:lineRule="auto"/>
        <w:ind w:firstLine="420"/>
        <w:rPr>
          <w:rFonts w:ascii="楷体" w:hAnsi="楷体" w:eastAsia="楷体"/>
          <w:sz w:val="24"/>
        </w:rPr>
      </w:pPr>
      <w:r>
        <w:rPr>
          <w:rFonts w:hint="eastAsia" w:ascii="楷体" w:hAnsi="楷体" w:eastAsia="楷体" w:cs="Arial"/>
          <w:b/>
          <w:sz w:val="24"/>
          <w:lang w:val="en-US" w:eastAsia="zh-CN"/>
        </w:rPr>
        <w:t>六</w:t>
      </w:r>
      <w:r>
        <w:rPr>
          <w:rFonts w:hint="eastAsia" w:ascii="楷体" w:hAnsi="楷体" w:eastAsia="楷体" w:cs="Arial"/>
          <w:b/>
          <w:sz w:val="24"/>
        </w:rPr>
        <w:t>、其他要求</w:t>
      </w:r>
    </w:p>
    <w:p w14:paraId="07BBF60D">
      <w:pPr>
        <w:pStyle w:val="1539"/>
        <w:spacing w:line="360" w:lineRule="auto"/>
        <w:ind w:firstLine="480"/>
        <w:jc w:val="both"/>
        <w:rPr>
          <w:rFonts w:ascii="楷体" w:hAnsi="楷体" w:eastAsia="楷体" w:cs="Arial"/>
          <w:color w:val="FF0000"/>
        </w:rPr>
      </w:pPr>
      <w:r>
        <w:rPr>
          <w:rFonts w:ascii="楷体" w:hAnsi="楷体" w:eastAsia="楷体" w:cs="Arial"/>
          <w:color w:val="FF0000"/>
        </w:rPr>
        <w:t>注：对采购需求部分的询问、质疑请向采购人提出，询问、质疑由采购人负责解释。</w:t>
      </w:r>
    </w:p>
    <w:p w14:paraId="4CED4FD3">
      <w:pPr>
        <w:pStyle w:val="1539"/>
        <w:spacing w:after="750" w:line="360" w:lineRule="auto"/>
        <w:ind w:firstLine="480" w:firstLineChars="200"/>
        <w:jc w:val="both"/>
        <w:rPr>
          <w:rFonts w:ascii="楷体" w:hAnsi="楷体" w:eastAsia="楷体" w:cs="Arial"/>
          <w:color w:val="FF0000"/>
        </w:rPr>
      </w:pPr>
      <w:r>
        <w:rPr>
          <w:rFonts w:ascii="楷体" w:hAnsi="楷体" w:eastAsia="楷体" w:cs="Arial"/>
          <w:color w:val="FF0000"/>
        </w:rPr>
        <w:t>本部分标注“★”实质性要求，必须响应，不允许负偏离，否则作为无效投标处理。</w:t>
      </w:r>
    </w:p>
    <w:p w14:paraId="02DEB846">
      <w:pPr>
        <w:pStyle w:val="1539"/>
        <w:spacing w:after="750" w:line="360" w:lineRule="auto"/>
        <w:ind w:firstLine="480" w:firstLineChars="200"/>
        <w:jc w:val="both"/>
        <w:rPr>
          <w:rFonts w:ascii="楷体" w:hAnsi="楷体" w:eastAsia="楷体" w:cs="Arial"/>
          <w:color w:val="FF0000"/>
        </w:rPr>
      </w:pPr>
    </w:p>
    <w:p w14:paraId="6FE6CCBF">
      <w:pPr>
        <w:spacing w:line="360" w:lineRule="auto"/>
        <w:ind w:firstLine="420"/>
        <w:rPr>
          <w:rFonts w:hint="eastAsia" w:ascii="楷体" w:hAnsi="楷体" w:eastAsia="楷体" w:cs="Arial"/>
          <w:b/>
          <w:bCs/>
          <w:color w:val="auto"/>
          <w:sz w:val="24"/>
          <w:lang w:val="en-US" w:eastAsia="zh-CN"/>
        </w:rPr>
      </w:pPr>
    </w:p>
    <w:p w14:paraId="18E1870D">
      <w:pPr>
        <w:spacing w:line="360" w:lineRule="auto"/>
        <w:ind w:firstLine="420"/>
        <w:rPr>
          <w:rFonts w:hint="eastAsia" w:ascii="楷体" w:hAnsi="楷体" w:eastAsia="楷体" w:cs="Arial"/>
          <w:b/>
          <w:bCs/>
          <w:color w:val="auto"/>
          <w:sz w:val="24"/>
          <w:lang w:val="en-US" w:eastAsia="zh-CN"/>
        </w:rPr>
      </w:pPr>
    </w:p>
    <w:p w14:paraId="072D5434">
      <w:pPr>
        <w:spacing w:line="360" w:lineRule="auto"/>
        <w:ind w:firstLine="420"/>
        <w:rPr>
          <w:rFonts w:hint="eastAsia" w:ascii="楷体" w:hAnsi="楷体" w:eastAsia="楷体" w:cs="Arial"/>
          <w:b/>
          <w:bCs/>
          <w:color w:val="auto"/>
          <w:sz w:val="24"/>
          <w:lang w:val="en-US" w:eastAsia="zh-CN"/>
        </w:rPr>
      </w:pPr>
    </w:p>
    <w:p w14:paraId="6A22AE76">
      <w:pPr>
        <w:spacing w:line="360" w:lineRule="auto"/>
        <w:ind w:firstLine="420"/>
        <w:rPr>
          <w:rFonts w:hint="eastAsia" w:ascii="楷体" w:hAnsi="楷体" w:eastAsia="楷体" w:cs="Arial"/>
          <w:b/>
          <w:bCs/>
          <w:color w:val="auto"/>
          <w:sz w:val="24"/>
          <w:lang w:val="en-US" w:eastAsia="zh-CN"/>
        </w:rPr>
      </w:pPr>
    </w:p>
    <w:p w14:paraId="5A53BB00">
      <w:pPr>
        <w:spacing w:line="360" w:lineRule="auto"/>
        <w:ind w:firstLine="420"/>
        <w:rPr>
          <w:rFonts w:hint="eastAsia" w:ascii="楷体" w:hAnsi="楷体" w:eastAsia="楷体" w:cs="Arial"/>
          <w:b/>
          <w:bCs/>
          <w:color w:val="auto"/>
          <w:sz w:val="24"/>
          <w:lang w:val="en-US" w:eastAsia="zh-CN"/>
        </w:rPr>
      </w:pPr>
    </w:p>
    <w:p w14:paraId="7BE67B21">
      <w:pPr>
        <w:spacing w:line="360" w:lineRule="auto"/>
        <w:ind w:firstLine="420"/>
        <w:rPr>
          <w:rFonts w:hint="eastAsia" w:ascii="楷体" w:hAnsi="楷体" w:eastAsia="楷体" w:cs="Arial"/>
          <w:b/>
          <w:bCs/>
          <w:color w:val="auto"/>
          <w:sz w:val="24"/>
          <w:lang w:val="en-US" w:eastAsia="zh-CN"/>
        </w:rPr>
      </w:pPr>
    </w:p>
    <w:p w14:paraId="284B39B7">
      <w:pPr>
        <w:spacing w:line="360" w:lineRule="auto"/>
        <w:ind w:firstLine="420"/>
        <w:rPr>
          <w:rFonts w:hint="eastAsia" w:ascii="楷体" w:hAnsi="楷体" w:eastAsia="楷体" w:cs="Arial"/>
          <w:b/>
          <w:bCs/>
          <w:color w:val="auto"/>
          <w:sz w:val="24"/>
          <w:lang w:val="en-US" w:eastAsia="zh-CN"/>
        </w:rPr>
      </w:pPr>
    </w:p>
    <w:p w14:paraId="1C6773BB">
      <w:pPr>
        <w:spacing w:line="360" w:lineRule="auto"/>
        <w:ind w:firstLine="420"/>
        <w:rPr>
          <w:rFonts w:hint="eastAsia" w:ascii="楷体" w:hAnsi="楷体" w:eastAsia="楷体" w:cs="Arial"/>
          <w:b/>
          <w:bCs/>
          <w:color w:val="auto"/>
          <w:sz w:val="24"/>
          <w:lang w:val="en-US" w:eastAsia="zh-CN"/>
        </w:rPr>
      </w:pPr>
    </w:p>
    <w:p w14:paraId="6CF8E3E1">
      <w:pPr>
        <w:spacing w:line="360" w:lineRule="auto"/>
        <w:ind w:firstLine="420"/>
        <w:rPr>
          <w:rFonts w:hint="eastAsia" w:ascii="楷体" w:hAnsi="楷体" w:eastAsia="楷体" w:cs="Arial"/>
          <w:b/>
          <w:bCs/>
          <w:color w:val="auto"/>
          <w:sz w:val="24"/>
          <w:lang w:val="en-US" w:eastAsia="zh-CN"/>
        </w:rPr>
      </w:pPr>
    </w:p>
    <w:p w14:paraId="6802692D">
      <w:pPr>
        <w:spacing w:line="360" w:lineRule="auto"/>
        <w:ind w:firstLine="420"/>
        <w:rPr>
          <w:rFonts w:hint="eastAsia" w:ascii="楷体" w:hAnsi="楷体" w:eastAsia="楷体" w:cs="Arial"/>
          <w:b/>
          <w:bCs/>
          <w:color w:val="auto"/>
          <w:sz w:val="24"/>
          <w:lang w:val="en-US" w:eastAsia="zh-CN"/>
        </w:rPr>
      </w:pPr>
    </w:p>
    <w:p w14:paraId="1FC0D7B9">
      <w:pPr>
        <w:spacing w:line="360" w:lineRule="auto"/>
        <w:ind w:firstLine="420"/>
        <w:rPr>
          <w:rFonts w:hint="eastAsia" w:ascii="楷体" w:hAnsi="楷体" w:eastAsia="楷体" w:cs="Arial"/>
          <w:b/>
          <w:bCs/>
          <w:color w:val="auto"/>
          <w:sz w:val="24"/>
          <w:lang w:val="en-US" w:eastAsia="zh-CN"/>
        </w:rPr>
      </w:pPr>
    </w:p>
    <w:p w14:paraId="4DEA914C">
      <w:pPr>
        <w:spacing w:line="360" w:lineRule="auto"/>
        <w:ind w:firstLine="420"/>
        <w:rPr>
          <w:rFonts w:hint="eastAsia" w:ascii="楷体" w:hAnsi="楷体" w:eastAsia="楷体" w:cs="Arial"/>
          <w:b/>
          <w:bCs/>
          <w:color w:val="auto"/>
          <w:sz w:val="24"/>
          <w:lang w:val="en-US" w:eastAsia="zh-CN"/>
        </w:rPr>
      </w:pPr>
    </w:p>
    <w:p w14:paraId="33D9B046">
      <w:pPr>
        <w:spacing w:line="360" w:lineRule="auto"/>
        <w:ind w:firstLine="420"/>
        <w:rPr>
          <w:rFonts w:hint="eastAsia" w:ascii="楷体" w:hAnsi="楷体" w:eastAsia="楷体" w:cs="Arial"/>
          <w:b/>
          <w:bCs/>
          <w:color w:val="auto"/>
          <w:sz w:val="24"/>
          <w:lang w:val="en-US" w:eastAsia="zh-CN"/>
        </w:rPr>
      </w:pPr>
    </w:p>
    <w:p w14:paraId="55F77D98">
      <w:pPr>
        <w:spacing w:line="360" w:lineRule="auto"/>
        <w:ind w:firstLine="420"/>
        <w:rPr>
          <w:rFonts w:hint="eastAsia" w:ascii="楷体" w:hAnsi="楷体" w:eastAsia="楷体" w:cs="Arial"/>
          <w:b/>
          <w:bCs/>
          <w:color w:val="auto"/>
          <w:sz w:val="24"/>
          <w:lang w:val="en-US" w:eastAsia="zh-CN"/>
        </w:rPr>
      </w:pPr>
      <w:r>
        <w:rPr>
          <w:rFonts w:hint="eastAsia" w:ascii="楷体" w:hAnsi="楷体" w:eastAsia="楷体" w:cs="Arial"/>
          <w:b/>
          <w:bCs/>
          <w:color w:val="auto"/>
          <w:sz w:val="24"/>
          <w:lang w:val="en-US" w:eastAsia="zh-CN"/>
        </w:rPr>
        <w:t>采购包4</w:t>
      </w:r>
    </w:p>
    <w:p w14:paraId="5D9F5C21">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（一）户外供电电源技术参数</w:t>
      </w:r>
    </w:p>
    <w:tbl>
      <w:tblPr>
        <w:tblStyle w:val="68"/>
        <w:tblpPr w:leftFromText="180" w:rightFromText="180" w:vertAnchor="text" w:horzAnchor="page" w:tblpX="1246" w:tblpY="220"/>
        <w:tblOverlap w:val="never"/>
        <w:tblW w:w="7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5342"/>
      </w:tblGrid>
      <w:tr w14:paraId="502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358" w:type="dxa"/>
            <w:noWrap/>
            <w:vAlign w:val="center"/>
          </w:tcPr>
          <w:p w14:paraId="4210CB6E">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交流输出电流</w:t>
            </w:r>
          </w:p>
        </w:tc>
        <w:tc>
          <w:tcPr>
            <w:tcW w:w="5342" w:type="dxa"/>
            <w:noWrap/>
            <w:vAlign w:val="center"/>
          </w:tcPr>
          <w:p w14:paraId="573714FA">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≤7A</w:t>
            </w:r>
          </w:p>
        </w:tc>
      </w:tr>
      <w:tr w14:paraId="3750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358" w:type="dxa"/>
            <w:noWrap/>
            <w:vAlign w:val="center"/>
          </w:tcPr>
          <w:p w14:paraId="58439D3D">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交流输出电压</w:t>
            </w:r>
          </w:p>
        </w:tc>
        <w:tc>
          <w:tcPr>
            <w:tcW w:w="5342" w:type="dxa"/>
            <w:noWrap/>
            <w:vAlign w:val="center"/>
          </w:tcPr>
          <w:p w14:paraId="32E61AAF">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220V±5%</w:t>
            </w:r>
          </w:p>
        </w:tc>
      </w:tr>
      <w:tr w14:paraId="1F86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2358" w:type="dxa"/>
            <w:noWrap/>
            <w:vAlign w:val="center"/>
          </w:tcPr>
          <w:p w14:paraId="718F9289">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频率</w:t>
            </w:r>
          </w:p>
        </w:tc>
        <w:tc>
          <w:tcPr>
            <w:tcW w:w="5342" w:type="dxa"/>
            <w:noWrap/>
            <w:vAlign w:val="center"/>
          </w:tcPr>
          <w:p w14:paraId="10B9F80E">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50Hz</w:t>
            </w:r>
          </w:p>
        </w:tc>
      </w:tr>
      <w:tr w14:paraId="7EF7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358" w:type="dxa"/>
            <w:noWrap/>
            <w:vAlign w:val="center"/>
          </w:tcPr>
          <w:p w14:paraId="1DE2240D">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输出功率</w:t>
            </w:r>
          </w:p>
        </w:tc>
        <w:tc>
          <w:tcPr>
            <w:tcW w:w="5342" w:type="dxa"/>
            <w:noWrap/>
            <w:vAlign w:val="center"/>
          </w:tcPr>
          <w:p w14:paraId="781720ED">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1000W</w:t>
            </w:r>
          </w:p>
        </w:tc>
      </w:tr>
      <w:tr w14:paraId="5E59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358" w:type="dxa"/>
            <w:noWrap/>
            <w:vAlign w:val="center"/>
          </w:tcPr>
          <w:p w14:paraId="01549D5C">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峰值功率</w:t>
            </w:r>
          </w:p>
        </w:tc>
        <w:tc>
          <w:tcPr>
            <w:tcW w:w="5342" w:type="dxa"/>
            <w:noWrap/>
            <w:vAlign w:val="center"/>
          </w:tcPr>
          <w:p w14:paraId="65B0BAE4">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1000W—2000W</w:t>
            </w:r>
          </w:p>
        </w:tc>
      </w:tr>
      <w:tr w14:paraId="5270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358" w:type="dxa"/>
            <w:noWrap/>
            <w:vAlign w:val="center"/>
          </w:tcPr>
          <w:p w14:paraId="30EA038A">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直流输出电压/电流</w:t>
            </w:r>
          </w:p>
        </w:tc>
        <w:tc>
          <w:tcPr>
            <w:tcW w:w="5342" w:type="dxa"/>
            <w:noWrap/>
            <w:vAlign w:val="center"/>
          </w:tcPr>
          <w:p w14:paraId="5E073127">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5V/2A  12V/10A  24V/10A</w:t>
            </w:r>
          </w:p>
        </w:tc>
      </w:tr>
      <w:tr w14:paraId="380D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358" w:type="dxa"/>
            <w:noWrap/>
            <w:vAlign w:val="center"/>
          </w:tcPr>
          <w:p w14:paraId="193B5795">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充电电流</w:t>
            </w:r>
          </w:p>
        </w:tc>
        <w:tc>
          <w:tcPr>
            <w:tcW w:w="5342" w:type="dxa"/>
            <w:noWrap/>
            <w:vAlign w:val="center"/>
          </w:tcPr>
          <w:p w14:paraId="09995FD5">
            <w:pPr>
              <w:spacing w:line="420" w:lineRule="exact"/>
              <w:jc w:val="center"/>
              <w:rPr>
                <w:rFonts w:hint="eastAsia" w:ascii="楷体" w:hAnsi="楷体" w:eastAsia="楷体" w:cs="楷体"/>
                <w:color w:val="FF0000"/>
                <w:sz w:val="24"/>
                <w:szCs w:val="24"/>
              </w:rPr>
            </w:pPr>
            <w:r>
              <w:rPr>
                <w:rFonts w:hint="eastAsia" w:ascii="楷体" w:hAnsi="楷体" w:eastAsia="楷体" w:cs="楷体"/>
                <w:sz w:val="24"/>
                <w:szCs w:val="24"/>
              </w:rPr>
              <w:t>10A</w:t>
            </w:r>
          </w:p>
        </w:tc>
      </w:tr>
      <w:tr w14:paraId="3046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358" w:type="dxa"/>
            <w:noWrap/>
            <w:vAlign w:val="center"/>
          </w:tcPr>
          <w:p w14:paraId="6F3157AD">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电池容量</w:t>
            </w:r>
          </w:p>
        </w:tc>
        <w:tc>
          <w:tcPr>
            <w:tcW w:w="5342" w:type="dxa"/>
            <w:noWrap/>
            <w:vAlign w:val="center"/>
          </w:tcPr>
          <w:p w14:paraId="38C71EAB">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10W mAH—30W mAH</w:t>
            </w:r>
          </w:p>
        </w:tc>
      </w:tr>
      <w:tr w14:paraId="3C40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58" w:type="dxa"/>
            <w:noWrap/>
            <w:vAlign w:val="center"/>
          </w:tcPr>
          <w:p w14:paraId="22BD852A">
            <w:pPr>
              <w:spacing w:line="420" w:lineRule="exact"/>
              <w:jc w:val="center"/>
              <w:rPr>
                <w:rFonts w:hint="eastAsia" w:ascii="楷体" w:hAnsi="楷体" w:eastAsia="楷体" w:cs="楷体"/>
                <w:bCs/>
                <w:color w:val="303030"/>
                <w:sz w:val="24"/>
                <w:szCs w:val="24"/>
              </w:rPr>
            </w:pPr>
            <w:r>
              <w:rPr>
                <w:rFonts w:hint="eastAsia" w:ascii="楷体" w:hAnsi="楷体" w:eastAsia="楷体" w:cs="楷体"/>
                <w:bCs/>
                <w:color w:val="303030"/>
                <w:sz w:val="24"/>
                <w:szCs w:val="24"/>
              </w:rPr>
              <w:t>循环寿命</w:t>
            </w:r>
          </w:p>
        </w:tc>
        <w:tc>
          <w:tcPr>
            <w:tcW w:w="5342" w:type="dxa"/>
            <w:noWrap/>
            <w:vAlign w:val="center"/>
          </w:tcPr>
          <w:p w14:paraId="068AE141">
            <w:pPr>
              <w:spacing w:line="420" w:lineRule="exact"/>
              <w:jc w:val="center"/>
              <w:rPr>
                <w:rFonts w:hint="eastAsia" w:ascii="楷体" w:hAnsi="楷体" w:eastAsia="楷体" w:cs="楷体"/>
                <w:color w:val="303030"/>
                <w:sz w:val="24"/>
                <w:szCs w:val="24"/>
              </w:rPr>
            </w:pPr>
            <w:r>
              <w:rPr>
                <w:rFonts w:hint="eastAsia" w:ascii="楷体" w:hAnsi="楷体" w:eastAsia="楷体" w:cs="楷体"/>
                <w:color w:val="303030"/>
                <w:sz w:val="24"/>
                <w:szCs w:val="24"/>
              </w:rPr>
              <w:t>≥1000次</w:t>
            </w:r>
          </w:p>
        </w:tc>
      </w:tr>
      <w:tr w14:paraId="70C4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358" w:type="dxa"/>
            <w:noWrap/>
            <w:vAlign w:val="center"/>
          </w:tcPr>
          <w:p w14:paraId="02B87E60">
            <w:pPr>
              <w:spacing w:line="420" w:lineRule="exact"/>
              <w:jc w:val="center"/>
              <w:rPr>
                <w:rFonts w:hint="eastAsia" w:ascii="楷体" w:hAnsi="楷体" w:eastAsia="楷体" w:cs="楷体"/>
                <w:bCs/>
                <w:color w:val="303030"/>
                <w:sz w:val="24"/>
                <w:szCs w:val="24"/>
              </w:rPr>
            </w:pPr>
            <w:r>
              <w:rPr>
                <w:rFonts w:hint="eastAsia" w:ascii="楷体" w:hAnsi="楷体" w:eastAsia="楷体" w:cs="楷体"/>
                <w:bCs/>
                <w:sz w:val="24"/>
                <w:szCs w:val="24"/>
              </w:rPr>
              <w:t>工作温度</w:t>
            </w:r>
          </w:p>
        </w:tc>
        <w:tc>
          <w:tcPr>
            <w:tcW w:w="5342" w:type="dxa"/>
            <w:noWrap/>
            <w:vAlign w:val="center"/>
          </w:tcPr>
          <w:p w14:paraId="7AD4E12A">
            <w:pPr>
              <w:spacing w:line="420" w:lineRule="exact"/>
              <w:jc w:val="center"/>
              <w:rPr>
                <w:rFonts w:hint="eastAsia" w:ascii="楷体" w:hAnsi="楷体" w:eastAsia="楷体" w:cs="楷体"/>
                <w:color w:val="303030"/>
                <w:sz w:val="24"/>
                <w:szCs w:val="24"/>
              </w:rPr>
            </w:pPr>
            <w:r>
              <w:rPr>
                <w:rFonts w:hint="eastAsia" w:ascii="楷体" w:hAnsi="楷体" w:eastAsia="楷体" w:cs="楷体"/>
                <w:sz w:val="24"/>
                <w:szCs w:val="24"/>
              </w:rPr>
              <w:t>-20℃—65℃</w:t>
            </w:r>
          </w:p>
        </w:tc>
      </w:tr>
      <w:tr w14:paraId="5F51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2358" w:type="dxa"/>
            <w:noWrap/>
            <w:vAlign w:val="center"/>
          </w:tcPr>
          <w:p w14:paraId="0977A0EB">
            <w:pPr>
              <w:spacing w:line="420" w:lineRule="exact"/>
              <w:jc w:val="center"/>
              <w:rPr>
                <w:rFonts w:hint="eastAsia" w:ascii="楷体" w:hAnsi="楷体" w:eastAsia="楷体" w:cs="楷体"/>
                <w:bCs/>
                <w:color w:val="303030"/>
                <w:sz w:val="24"/>
                <w:szCs w:val="24"/>
              </w:rPr>
            </w:pPr>
            <w:r>
              <w:rPr>
                <w:rFonts w:hint="eastAsia" w:ascii="楷体" w:hAnsi="楷体" w:eastAsia="楷体" w:cs="楷体"/>
                <w:bCs/>
                <w:sz w:val="24"/>
                <w:szCs w:val="24"/>
              </w:rPr>
              <w:t>工作湿度</w:t>
            </w:r>
          </w:p>
        </w:tc>
        <w:tc>
          <w:tcPr>
            <w:tcW w:w="5342" w:type="dxa"/>
            <w:noWrap/>
            <w:vAlign w:val="center"/>
          </w:tcPr>
          <w:p w14:paraId="75FD235A">
            <w:pPr>
              <w:tabs>
                <w:tab w:val="left" w:pos="3502"/>
              </w:tabs>
              <w:spacing w:line="420" w:lineRule="exact"/>
              <w:jc w:val="center"/>
              <w:rPr>
                <w:rFonts w:hint="eastAsia" w:ascii="楷体" w:hAnsi="楷体" w:eastAsia="楷体" w:cs="楷体"/>
                <w:color w:val="303030"/>
                <w:sz w:val="24"/>
                <w:szCs w:val="24"/>
              </w:rPr>
            </w:pPr>
            <w:r>
              <w:rPr>
                <w:rFonts w:hint="eastAsia" w:ascii="楷体" w:hAnsi="楷体" w:eastAsia="楷体" w:cs="楷体"/>
                <w:sz w:val="24"/>
                <w:szCs w:val="24"/>
              </w:rPr>
              <w:t>0%RH~90%RH</w:t>
            </w:r>
          </w:p>
        </w:tc>
      </w:tr>
      <w:tr w14:paraId="4A23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358" w:type="dxa"/>
            <w:noWrap/>
            <w:vAlign w:val="center"/>
          </w:tcPr>
          <w:p w14:paraId="5779FDD8">
            <w:pPr>
              <w:spacing w:line="420" w:lineRule="exact"/>
              <w:jc w:val="center"/>
              <w:rPr>
                <w:rFonts w:hint="eastAsia" w:ascii="楷体" w:hAnsi="楷体" w:eastAsia="楷体" w:cs="楷体"/>
                <w:bCs/>
                <w:sz w:val="24"/>
                <w:szCs w:val="24"/>
              </w:rPr>
            </w:pPr>
            <w:r>
              <w:rPr>
                <w:rFonts w:hint="eastAsia" w:ascii="楷体" w:hAnsi="楷体" w:eastAsia="楷体" w:cs="楷体"/>
                <w:bCs/>
                <w:sz w:val="24"/>
                <w:szCs w:val="24"/>
              </w:rPr>
              <w:t>重量</w:t>
            </w:r>
          </w:p>
        </w:tc>
        <w:tc>
          <w:tcPr>
            <w:tcW w:w="5342" w:type="dxa"/>
            <w:noWrap/>
            <w:vAlign w:val="center"/>
          </w:tcPr>
          <w:p w14:paraId="78B2A02E">
            <w:pPr>
              <w:tabs>
                <w:tab w:val="left" w:pos="3502"/>
              </w:tabs>
              <w:spacing w:line="420" w:lineRule="exact"/>
              <w:jc w:val="center"/>
              <w:rPr>
                <w:rFonts w:hint="eastAsia" w:ascii="楷体" w:hAnsi="楷体" w:eastAsia="楷体" w:cs="楷体"/>
                <w:sz w:val="24"/>
                <w:szCs w:val="24"/>
              </w:rPr>
            </w:pPr>
            <w:r>
              <w:rPr>
                <w:rFonts w:hint="eastAsia" w:ascii="楷体" w:hAnsi="楷体" w:eastAsia="楷体" w:cs="楷体"/>
                <w:sz w:val="24"/>
                <w:szCs w:val="24"/>
              </w:rPr>
              <w:t>≤15kg</w:t>
            </w:r>
          </w:p>
        </w:tc>
      </w:tr>
    </w:tbl>
    <w:p w14:paraId="4B8358B8">
      <w:pPr>
        <w:spacing w:line="420" w:lineRule="exact"/>
        <w:rPr>
          <w:rFonts w:hint="eastAsia" w:ascii="楷体" w:hAnsi="楷体" w:eastAsia="楷体" w:cs="楷体"/>
          <w:b/>
          <w:bCs/>
          <w:sz w:val="24"/>
          <w:szCs w:val="24"/>
        </w:rPr>
      </w:pPr>
    </w:p>
    <w:p w14:paraId="441C4B46">
      <w:pPr>
        <w:spacing w:line="420" w:lineRule="exact"/>
        <w:rPr>
          <w:rFonts w:hint="eastAsia" w:ascii="楷体" w:hAnsi="楷体" w:eastAsia="楷体" w:cs="楷体"/>
          <w:b/>
          <w:bCs/>
          <w:sz w:val="24"/>
          <w:szCs w:val="24"/>
        </w:rPr>
      </w:pPr>
    </w:p>
    <w:p w14:paraId="1C3D6DE5">
      <w:pPr>
        <w:spacing w:line="420" w:lineRule="exact"/>
        <w:rPr>
          <w:rFonts w:hint="eastAsia" w:ascii="楷体" w:hAnsi="楷体" w:eastAsia="楷体" w:cs="楷体"/>
          <w:b/>
          <w:bCs/>
          <w:sz w:val="24"/>
          <w:szCs w:val="24"/>
        </w:rPr>
      </w:pPr>
    </w:p>
    <w:p w14:paraId="641E0499">
      <w:pPr>
        <w:spacing w:line="420" w:lineRule="exact"/>
        <w:rPr>
          <w:rFonts w:hint="eastAsia" w:ascii="楷体" w:hAnsi="楷体" w:eastAsia="楷体" w:cs="楷体"/>
          <w:b/>
          <w:bCs/>
          <w:sz w:val="24"/>
          <w:szCs w:val="24"/>
        </w:rPr>
      </w:pPr>
    </w:p>
    <w:p w14:paraId="00592973">
      <w:pPr>
        <w:spacing w:line="420" w:lineRule="exact"/>
        <w:rPr>
          <w:rFonts w:hint="eastAsia" w:ascii="楷体" w:hAnsi="楷体" w:eastAsia="楷体" w:cs="楷体"/>
          <w:b/>
          <w:bCs/>
          <w:sz w:val="24"/>
          <w:szCs w:val="24"/>
        </w:rPr>
      </w:pPr>
    </w:p>
    <w:p w14:paraId="0B66477A">
      <w:pPr>
        <w:spacing w:line="420" w:lineRule="exact"/>
        <w:rPr>
          <w:rFonts w:hint="eastAsia" w:ascii="楷体" w:hAnsi="楷体" w:eastAsia="楷体" w:cs="楷体"/>
          <w:b/>
          <w:bCs/>
          <w:sz w:val="24"/>
          <w:szCs w:val="24"/>
        </w:rPr>
      </w:pPr>
    </w:p>
    <w:p w14:paraId="3B85BBB7">
      <w:pPr>
        <w:spacing w:line="420" w:lineRule="exact"/>
        <w:rPr>
          <w:rFonts w:hint="eastAsia" w:ascii="楷体" w:hAnsi="楷体" w:eastAsia="楷体" w:cs="楷体"/>
          <w:b/>
          <w:bCs/>
          <w:sz w:val="24"/>
          <w:szCs w:val="24"/>
        </w:rPr>
      </w:pPr>
    </w:p>
    <w:p w14:paraId="60915113">
      <w:pPr>
        <w:spacing w:line="420" w:lineRule="exact"/>
        <w:rPr>
          <w:rFonts w:hint="eastAsia" w:ascii="楷体" w:hAnsi="楷体" w:eastAsia="楷体" w:cs="楷体"/>
          <w:b/>
          <w:bCs/>
          <w:sz w:val="24"/>
          <w:szCs w:val="24"/>
        </w:rPr>
      </w:pPr>
    </w:p>
    <w:p w14:paraId="601B3EEE">
      <w:pPr>
        <w:spacing w:line="420" w:lineRule="exact"/>
        <w:rPr>
          <w:rFonts w:hint="eastAsia" w:ascii="楷体" w:hAnsi="楷体" w:eastAsia="楷体" w:cs="楷体"/>
          <w:b/>
          <w:bCs/>
          <w:sz w:val="24"/>
          <w:szCs w:val="24"/>
        </w:rPr>
      </w:pPr>
    </w:p>
    <w:p w14:paraId="48E69A79">
      <w:pPr>
        <w:spacing w:line="420" w:lineRule="exact"/>
        <w:rPr>
          <w:rFonts w:hint="eastAsia" w:ascii="楷体" w:hAnsi="楷体" w:eastAsia="楷体" w:cs="楷体"/>
          <w:b/>
          <w:bCs/>
          <w:sz w:val="24"/>
          <w:szCs w:val="24"/>
        </w:rPr>
      </w:pPr>
    </w:p>
    <w:p w14:paraId="2AF3D0B7">
      <w:pPr>
        <w:spacing w:line="420" w:lineRule="exact"/>
        <w:rPr>
          <w:rFonts w:hint="eastAsia" w:ascii="楷体" w:hAnsi="楷体" w:eastAsia="楷体" w:cs="楷体"/>
          <w:b/>
          <w:bCs/>
          <w:sz w:val="24"/>
          <w:szCs w:val="24"/>
        </w:rPr>
      </w:pPr>
    </w:p>
    <w:p w14:paraId="1ADC9C83">
      <w:pPr>
        <w:spacing w:line="420" w:lineRule="exact"/>
        <w:rPr>
          <w:rFonts w:hint="eastAsia" w:ascii="楷体" w:hAnsi="楷体" w:eastAsia="楷体" w:cs="楷体"/>
          <w:b/>
          <w:bCs/>
          <w:sz w:val="24"/>
          <w:szCs w:val="24"/>
        </w:rPr>
      </w:pPr>
    </w:p>
    <w:p w14:paraId="33959529">
      <w:pPr>
        <w:spacing w:line="420" w:lineRule="exact"/>
        <w:rPr>
          <w:rFonts w:hint="eastAsia" w:ascii="楷体" w:hAnsi="楷体" w:eastAsia="楷体" w:cs="楷体"/>
          <w:b/>
          <w:bCs/>
          <w:sz w:val="24"/>
          <w:szCs w:val="24"/>
        </w:rPr>
      </w:pPr>
    </w:p>
    <w:p w14:paraId="59D3CFF2">
      <w:pPr>
        <w:spacing w:line="420" w:lineRule="exact"/>
        <w:rPr>
          <w:rFonts w:hint="eastAsia" w:ascii="楷体" w:hAnsi="楷体" w:eastAsia="楷体" w:cs="楷体"/>
          <w:b/>
          <w:bCs/>
          <w:sz w:val="24"/>
          <w:szCs w:val="24"/>
        </w:rPr>
      </w:pPr>
    </w:p>
    <w:p w14:paraId="4EDA15D8">
      <w:pPr>
        <w:spacing w:line="420" w:lineRule="exact"/>
        <w:rPr>
          <w:rFonts w:hint="eastAsia" w:ascii="楷体" w:hAnsi="楷体" w:eastAsia="楷体" w:cs="楷体"/>
          <w:b/>
          <w:bCs/>
          <w:sz w:val="24"/>
          <w:szCs w:val="24"/>
        </w:rPr>
      </w:pPr>
    </w:p>
    <w:p w14:paraId="29F97497">
      <w:pPr>
        <w:spacing w:line="420" w:lineRule="exact"/>
        <w:rPr>
          <w:rFonts w:hint="eastAsia" w:ascii="楷体" w:hAnsi="楷体" w:eastAsia="楷体" w:cs="楷体"/>
          <w:b/>
          <w:bCs/>
          <w:sz w:val="24"/>
          <w:szCs w:val="24"/>
        </w:rPr>
      </w:pPr>
    </w:p>
    <w:p w14:paraId="6D7D2A1D">
      <w:pPr>
        <w:spacing w:line="420" w:lineRule="exact"/>
        <w:rPr>
          <w:rFonts w:hint="eastAsia" w:ascii="楷体" w:hAnsi="楷体" w:eastAsia="楷体" w:cs="楷体"/>
          <w:b/>
          <w:bCs/>
          <w:sz w:val="24"/>
          <w:szCs w:val="24"/>
        </w:rPr>
      </w:pPr>
    </w:p>
    <w:p w14:paraId="0966B39C">
      <w:pPr>
        <w:spacing w:line="420" w:lineRule="exact"/>
        <w:rPr>
          <w:rFonts w:hint="eastAsia" w:ascii="楷体" w:hAnsi="楷体" w:eastAsia="楷体" w:cs="楷体"/>
          <w:b/>
          <w:bCs/>
          <w:sz w:val="24"/>
          <w:szCs w:val="24"/>
        </w:rPr>
      </w:pPr>
    </w:p>
    <w:p w14:paraId="687FB129">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（二）风速仪技术参数</w:t>
      </w:r>
    </w:p>
    <w:p w14:paraId="2465EC64">
      <w:pPr>
        <w:spacing w:line="420" w:lineRule="exact"/>
        <w:rPr>
          <w:rFonts w:hint="eastAsia" w:ascii="楷体" w:hAnsi="楷体" w:eastAsia="楷体" w:cs="楷体"/>
          <w:sz w:val="24"/>
          <w:szCs w:val="24"/>
        </w:rPr>
      </w:pPr>
      <w:r>
        <w:rPr>
          <w:rFonts w:hint="eastAsia" w:ascii="楷体" w:hAnsi="楷体" w:eastAsia="楷体" w:cs="楷体"/>
          <w:sz w:val="24"/>
          <w:szCs w:val="24"/>
        </w:rPr>
        <w:t>1、可测量风速风向的三杯式风速仪；</w:t>
      </w:r>
    </w:p>
    <w:p w14:paraId="2F827850">
      <w:pPr>
        <w:spacing w:line="420" w:lineRule="exact"/>
        <w:rPr>
          <w:rFonts w:hint="eastAsia" w:ascii="楷体" w:hAnsi="楷体" w:eastAsia="楷体" w:cs="楷体"/>
          <w:sz w:val="24"/>
          <w:szCs w:val="24"/>
        </w:rPr>
      </w:pPr>
      <w:r>
        <w:rPr>
          <w:rFonts w:hint="eastAsia" w:ascii="楷体" w:hAnsi="楷体" w:eastAsia="楷体" w:cs="楷体"/>
          <w:sz w:val="24"/>
          <w:szCs w:val="24"/>
        </w:rPr>
        <w:t>2、具有数据保持功能；</w:t>
      </w:r>
    </w:p>
    <w:p w14:paraId="604DC258">
      <w:pPr>
        <w:spacing w:line="420" w:lineRule="exact"/>
        <w:rPr>
          <w:rFonts w:hint="eastAsia" w:ascii="楷体" w:hAnsi="楷体" w:eastAsia="楷体" w:cs="楷体"/>
          <w:sz w:val="24"/>
          <w:szCs w:val="24"/>
        </w:rPr>
      </w:pPr>
      <w:r>
        <w:rPr>
          <w:rFonts w:hint="eastAsia" w:ascii="楷体" w:hAnsi="楷体" w:eastAsia="楷体" w:cs="楷体"/>
          <w:sz w:val="24"/>
          <w:szCs w:val="24"/>
        </w:rPr>
        <w:t>3、具有双重液晶背光显示功能；</w:t>
      </w:r>
    </w:p>
    <w:p w14:paraId="418FFE98">
      <w:pPr>
        <w:spacing w:line="420" w:lineRule="exact"/>
        <w:rPr>
          <w:rFonts w:hint="eastAsia" w:ascii="楷体" w:hAnsi="楷体" w:eastAsia="楷体" w:cs="楷体"/>
          <w:sz w:val="24"/>
          <w:szCs w:val="24"/>
        </w:rPr>
      </w:pPr>
      <w:r>
        <w:rPr>
          <w:rFonts w:hint="eastAsia" w:ascii="楷体" w:hAnsi="楷体" w:eastAsia="楷体" w:cs="楷体"/>
          <w:sz w:val="24"/>
          <w:szCs w:val="24"/>
        </w:rPr>
        <w:t>4、具有数据存储功能，USB接口可连接电脑进行参数设置、数据导出及分析功能。</w:t>
      </w:r>
    </w:p>
    <w:p w14:paraId="3EAD1A65">
      <w:pPr>
        <w:spacing w:line="420" w:lineRule="exact"/>
        <w:rPr>
          <w:rFonts w:hint="eastAsia" w:ascii="楷体" w:hAnsi="楷体" w:eastAsia="楷体" w:cs="楷体"/>
          <w:sz w:val="24"/>
          <w:szCs w:val="24"/>
        </w:rPr>
      </w:pPr>
      <w:r>
        <w:rPr>
          <w:rFonts w:hint="eastAsia" w:ascii="楷体" w:hAnsi="楷体" w:eastAsia="楷体" w:cs="楷体"/>
          <w:sz w:val="24"/>
          <w:szCs w:val="24"/>
        </w:rPr>
        <w:t>5、风速测量精度：±（0.3+0.03×V）m/s（V实际风速）</w:t>
      </w:r>
    </w:p>
    <w:p w14:paraId="69C5CA6E">
      <w:pPr>
        <w:spacing w:line="420" w:lineRule="exact"/>
        <w:rPr>
          <w:rFonts w:hint="eastAsia" w:ascii="楷体" w:hAnsi="楷体" w:eastAsia="楷体" w:cs="楷体"/>
          <w:sz w:val="24"/>
          <w:szCs w:val="24"/>
        </w:rPr>
      </w:pPr>
      <w:r>
        <w:rPr>
          <w:rFonts w:hint="eastAsia" w:ascii="楷体" w:hAnsi="楷体" w:eastAsia="楷体" w:cs="楷体"/>
          <w:sz w:val="24"/>
          <w:szCs w:val="24"/>
        </w:rPr>
        <w:t>6、工作温度：-10℃~45℃;</w:t>
      </w:r>
    </w:p>
    <w:p w14:paraId="0A3D463D">
      <w:pPr>
        <w:spacing w:line="420" w:lineRule="exact"/>
        <w:rPr>
          <w:rFonts w:hint="eastAsia" w:ascii="楷体" w:hAnsi="楷体" w:eastAsia="楷体" w:cs="楷体"/>
          <w:sz w:val="24"/>
          <w:szCs w:val="24"/>
        </w:rPr>
      </w:pPr>
      <w:r>
        <w:rPr>
          <w:rFonts w:hint="eastAsia" w:ascii="楷体" w:hAnsi="楷体" w:eastAsia="楷体" w:cs="楷体"/>
          <w:sz w:val="24"/>
          <w:szCs w:val="24"/>
        </w:rPr>
        <w:t>7、相对湿度：≤95%</w:t>
      </w:r>
    </w:p>
    <w:p w14:paraId="34E910D0">
      <w:pPr>
        <w:spacing w:line="420" w:lineRule="exact"/>
        <w:rPr>
          <w:rFonts w:hint="eastAsia" w:ascii="楷体" w:hAnsi="楷体" w:eastAsia="楷体" w:cs="楷体"/>
          <w:sz w:val="24"/>
          <w:szCs w:val="24"/>
        </w:rPr>
      </w:pPr>
      <w:r>
        <w:rPr>
          <w:rFonts w:hint="eastAsia" w:ascii="楷体" w:hAnsi="楷体" w:eastAsia="楷体" w:cs="楷体"/>
          <w:sz w:val="24"/>
          <w:szCs w:val="24"/>
        </w:rPr>
        <w:t>8、大气压力：80KPa~110KPa;</w:t>
      </w:r>
    </w:p>
    <w:p w14:paraId="0CFBB792">
      <w:pPr>
        <w:spacing w:line="420" w:lineRule="exact"/>
        <w:rPr>
          <w:rFonts w:hint="eastAsia" w:ascii="楷体" w:hAnsi="楷体" w:eastAsia="楷体" w:cs="楷体"/>
          <w:sz w:val="24"/>
          <w:szCs w:val="24"/>
        </w:rPr>
      </w:pPr>
    </w:p>
    <w:p w14:paraId="0BB0F97D">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（三）便携式水质多参数测定仪</w:t>
      </w:r>
      <w:r>
        <w:rPr>
          <w:rFonts w:hint="eastAsia" w:ascii="楷体" w:hAnsi="楷体" w:eastAsia="楷体" w:cs="楷体"/>
          <w:b/>
          <w:bCs/>
          <w:sz w:val="24"/>
          <w:szCs w:val="24"/>
          <w:lang w:eastAsia="zh-CN"/>
        </w:rPr>
        <w:t>（</w:t>
      </w:r>
      <w:r>
        <w:rPr>
          <w:rFonts w:hint="eastAsia" w:ascii="楷体" w:hAnsi="楷体" w:eastAsia="楷体" w:cs="楷体"/>
          <w:b/>
          <w:bCs/>
          <w:sz w:val="24"/>
          <w:szCs w:val="24"/>
          <w:lang w:val="en-US" w:eastAsia="zh-CN"/>
        </w:rPr>
        <w:t>含溶解氧、PH、电导率</w:t>
      </w:r>
      <w:r>
        <w:rPr>
          <w:rFonts w:hint="eastAsia" w:ascii="楷体" w:hAnsi="楷体" w:eastAsia="楷体" w:cs="楷体"/>
          <w:b/>
          <w:bCs/>
          <w:sz w:val="24"/>
          <w:szCs w:val="24"/>
          <w:lang w:eastAsia="zh-CN"/>
        </w:rPr>
        <w:t>）</w:t>
      </w:r>
      <w:r>
        <w:rPr>
          <w:rFonts w:hint="eastAsia" w:ascii="楷体" w:hAnsi="楷体" w:eastAsia="楷体" w:cs="楷体"/>
          <w:b/>
          <w:bCs/>
          <w:sz w:val="24"/>
          <w:szCs w:val="24"/>
        </w:rPr>
        <w:t>技术参数</w:t>
      </w:r>
    </w:p>
    <w:p w14:paraId="7E880ED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1、工作条件</w:t>
      </w:r>
    </w:p>
    <w:p w14:paraId="68706B97">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1.1电源要求 ：两种供电模式</w:t>
      </w:r>
    </w:p>
    <w:p w14:paraId="584060C6">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 AA 碱性电池或镍氢电池 (4个)</w:t>
      </w:r>
    </w:p>
    <w:p w14:paraId="1D815F5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（2）通用型电源适配器：100–240 V, 50/60 Hz输入;</w:t>
      </w:r>
    </w:p>
    <w:p w14:paraId="4F096898">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1.2 存储温度： –20 ～ +60 °C</w:t>
      </w:r>
    </w:p>
    <w:p w14:paraId="4676054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1.3操作温度： 0 ～ +60 °C操作湿度： 90% (无冷凝)</w:t>
      </w:r>
    </w:p>
    <w:p w14:paraId="0DB686B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2、技术性能指标</w:t>
      </w:r>
    </w:p>
    <w:p w14:paraId="62CCFFAE">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2.1显示：可显示1个电极的读数</w:t>
      </w:r>
    </w:p>
    <w:p w14:paraId="67FF61A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（1）pH电极：pH、mV、温度</w:t>
      </w:r>
    </w:p>
    <w:p w14:paraId="6123813E">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（2）电导率电极：电导率、盐度、总溶解固体、温度</w:t>
      </w:r>
    </w:p>
    <w:p w14:paraId="1502F6AF">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（3）溶解氧电极：溶解氧、压力、温度</w:t>
      </w:r>
    </w:p>
    <w:p w14:paraId="0108825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2.2数据内存：</w:t>
      </w:r>
      <w:r>
        <w:rPr>
          <w:rFonts w:hint="eastAsia" w:ascii="楷体" w:hAnsi="楷体" w:eastAsia="楷体" w:cs="楷体"/>
          <w:sz w:val="24"/>
          <w:szCs w:val="24"/>
        </w:rPr>
        <w:t>≥500 组数据</w:t>
      </w:r>
    </w:p>
    <w:p w14:paraId="75C7C180">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2.3数据存储：校准数据都存贮在日志中。在直读模式和间隔测量模式时可自动存储。在“连续读数”模式时需手动存储。</w:t>
      </w:r>
    </w:p>
    <w:p w14:paraId="67E48EBB">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2.5 数据传输：可通过USB转接下载至电脑或U盘，读数时同步传输</w:t>
      </w:r>
    </w:p>
    <w:p w14:paraId="4CB47DF7">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2.6 温度自动修正/ 补偿</w:t>
      </w:r>
    </w:p>
    <w:p w14:paraId="3731223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2.7锁定显示数据功能</w:t>
      </w:r>
    </w:p>
    <w:p w14:paraId="1CB21639">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2.8自动识别校准标准 </w:t>
      </w:r>
    </w:p>
    <w:p w14:paraId="765A7D0A">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2.9键盘：通过USB外接键盘</w:t>
      </w:r>
    </w:p>
    <w:p w14:paraId="3B751D4A">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2.10防水性： 测定仪外壳可防飞溅的水（IP54）</w:t>
      </w:r>
    </w:p>
    <w:p w14:paraId="2BB1D7C4">
      <w:pPr>
        <w:widowControl/>
        <w:spacing w:line="420" w:lineRule="exact"/>
        <w:jc w:val="left"/>
        <w:rPr>
          <w:rFonts w:hint="eastAsia" w:ascii="楷体" w:hAnsi="楷体" w:eastAsia="楷体" w:cs="楷体"/>
          <w:color w:val="FF0000"/>
          <w:sz w:val="24"/>
          <w:szCs w:val="24"/>
        </w:rPr>
      </w:pPr>
      <w:r>
        <w:rPr>
          <w:rFonts w:hint="eastAsia" w:ascii="楷体" w:hAnsi="楷体" w:eastAsia="楷体" w:cs="楷体"/>
          <w:color w:val="000000"/>
          <w:sz w:val="24"/>
          <w:szCs w:val="24"/>
        </w:rPr>
        <w:t>2.11重量：</w:t>
      </w:r>
      <w:r>
        <w:rPr>
          <w:rFonts w:hint="eastAsia" w:ascii="楷体" w:hAnsi="楷体" w:eastAsia="楷体" w:cs="楷体"/>
          <w:sz w:val="24"/>
          <w:szCs w:val="24"/>
        </w:rPr>
        <w:t>≤800g</w:t>
      </w:r>
    </w:p>
    <w:p w14:paraId="745959B2">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 技术性能指标</w:t>
      </w:r>
    </w:p>
    <w:p w14:paraId="06DACD9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3.1温度测量要求</w:t>
      </w:r>
    </w:p>
    <w:p w14:paraId="41C956AD">
      <w:pPr>
        <w:widowControl/>
        <w:spacing w:line="420" w:lineRule="exact"/>
        <w:jc w:val="left"/>
        <w:rPr>
          <w:rFonts w:hint="eastAsia" w:ascii="楷体" w:hAnsi="楷体" w:eastAsia="楷体" w:cs="楷体"/>
          <w:color w:val="FF0000"/>
          <w:sz w:val="24"/>
          <w:szCs w:val="24"/>
        </w:rPr>
      </w:pPr>
      <w:r>
        <w:rPr>
          <w:rFonts w:hint="eastAsia" w:ascii="楷体" w:hAnsi="楷体" w:eastAsia="楷体" w:cs="楷体"/>
          <w:color w:val="000000"/>
          <w:sz w:val="24"/>
          <w:szCs w:val="24"/>
        </w:rPr>
        <w:t>量程：-10.0～110.0℃</w:t>
      </w:r>
    </w:p>
    <w:p w14:paraId="72E9462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分辨率：0.1℃</w:t>
      </w:r>
    </w:p>
    <w:p w14:paraId="64FD40C8">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准确度：±0.3℃</w:t>
      </w:r>
    </w:p>
    <w:p w14:paraId="22AB1AA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3.2 pH电极</w:t>
      </w:r>
    </w:p>
    <w:p w14:paraId="2725A989">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量程：0～14</w:t>
      </w:r>
    </w:p>
    <w:p w14:paraId="23A424E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分辨率：0.01</w:t>
      </w:r>
    </w:p>
    <w:p w14:paraId="5EE726A3">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精度：pH电极0.02 </w:t>
      </w:r>
    </w:p>
    <w:p w14:paraId="3B32FA6F">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3.4电导率电极</w:t>
      </w:r>
    </w:p>
    <w:p w14:paraId="354BAA8B">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3.4.1电导率：</w:t>
      </w:r>
    </w:p>
    <w:p w14:paraId="1B4C6B3B">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量程：0.01 μS/cm ~ 200.0 mS/cm</w:t>
      </w:r>
    </w:p>
    <w:p w14:paraId="22D4C5C0">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分辨率：0.01 μS/cm（最大0.05μS/cm）</w:t>
      </w:r>
    </w:p>
    <w:p w14:paraId="2B849A3D">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3.4.2电阻率：</w:t>
      </w:r>
    </w:p>
    <w:p w14:paraId="6C304363">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量程：2.5～49Ω·cm</w:t>
      </w:r>
    </w:p>
    <w:p w14:paraId="10890D10">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分辨率：0.1Ω·cm（最大0.05Ω·cm）</w:t>
      </w:r>
    </w:p>
    <w:p w14:paraId="21616E6E">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3.5 溶解氧</w:t>
      </w:r>
    </w:p>
    <w:p w14:paraId="52691EE8">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量程:  0.05~20.0 mg/L</w:t>
      </w:r>
    </w:p>
    <w:p w14:paraId="304F2ADF">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1~200% 饱和度</w:t>
      </w:r>
    </w:p>
    <w:p w14:paraId="35E96160">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分辨率：0.01 mg/L，CDC401电极新增自动盐度校准功能（仅适用于HQ40d）</w:t>
      </w:r>
    </w:p>
    <w:p w14:paraId="4A41EB0E">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溶解氧的准确度： 在 0.1~8 mg/L时，为 ±0.1 mg/L</w:t>
      </w:r>
    </w:p>
    <w:p w14:paraId="0474803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大于8.0 mg/L时，为 ±0.2 mg/L</w:t>
      </w:r>
    </w:p>
    <w:p w14:paraId="1701CF15">
      <w:pPr>
        <w:spacing w:line="420" w:lineRule="exact"/>
        <w:rPr>
          <w:rFonts w:hint="eastAsia" w:ascii="楷体" w:hAnsi="楷体" w:eastAsia="楷体" w:cs="楷体"/>
          <w:sz w:val="24"/>
          <w:szCs w:val="24"/>
        </w:rPr>
      </w:pPr>
    </w:p>
    <w:p w14:paraId="00282949">
      <w:pPr>
        <w:spacing w:line="420" w:lineRule="exact"/>
        <w:rPr>
          <w:rFonts w:hint="eastAsia" w:ascii="楷体" w:hAnsi="楷体" w:eastAsia="楷体" w:cs="楷体"/>
          <w:sz w:val="24"/>
          <w:szCs w:val="24"/>
        </w:rPr>
      </w:pPr>
      <w:r>
        <w:rPr>
          <w:rFonts w:hint="eastAsia" w:ascii="楷体" w:hAnsi="楷体" w:eastAsia="楷体" w:cs="楷体"/>
          <w:b/>
          <w:bCs/>
          <w:color w:val="000000"/>
          <w:sz w:val="24"/>
          <w:szCs w:val="24"/>
        </w:rPr>
        <w:t>（四）苏玛罐（6L）技术参数</w:t>
      </w:r>
      <w:r>
        <w:rPr>
          <w:rFonts w:hint="eastAsia" w:ascii="楷体" w:hAnsi="楷体" w:eastAsia="楷体" w:cs="楷体"/>
          <w:sz w:val="24"/>
          <w:szCs w:val="24"/>
        </w:rPr>
        <w:t xml:space="preserve">  </w:t>
      </w:r>
    </w:p>
    <w:p w14:paraId="535B7C9C">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1、采样罐能采集并存储不稳定的硫、氮化合物和极性（醛、醇、酯、酮、醚）、非极性化合物，满足环境大气中VOCs浓度范围从0.1~100ppb的采样要求；</w:t>
      </w:r>
    </w:p>
    <w:p w14:paraId="391BE583">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2、采用无内部焊接点的双重密封阀技术，双重True Seal密封阀门保证气密性，低死体积，内衬软镍隔离膜片，防止因为用力过大而损坏滑丝影响气密性，阀可维修更换；</w:t>
      </w:r>
    </w:p>
    <w:p w14:paraId="4BF9819B">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3、采样罐最高可承受温度：≥200℃，最高可承受压力：≥60psi；</w:t>
      </w:r>
    </w:p>
    <w:p w14:paraId="1361B7DE">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4、真空泵抽真空可达到50mtorr的真空度；</w:t>
      </w:r>
    </w:p>
    <w:p w14:paraId="5A69A377">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5、所有采样罐均通过出厂惰性测试，提供测试证书；</w:t>
      </w:r>
    </w:p>
    <w:p w14:paraId="09B7BAD2">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6、惰性化处理：内壁经过熔融硅Silonite惰性化处理；</w:t>
      </w:r>
    </w:p>
    <w:p w14:paraId="0794F62A">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7、带有压力表头。</w:t>
      </w:r>
    </w:p>
    <w:p w14:paraId="0F5D3956">
      <w:pPr>
        <w:spacing w:line="420" w:lineRule="exact"/>
        <w:rPr>
          <w:rFonts w:hint="eastAsia" w:ascii="楷体" w:hAnsi="楷体" w:eastAsia="楷体" w:cs="楷体"/>
          <w:b/>
          <w:bCs/>
          <w:sz w:val="24"/>
          <w:szCs w:val="24"/>
        </w:rPr>
      </w:pPr>
    </w:p>
    <w:p w14:paraId="11FBCBA8">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 xml:space="preserve">（五）土壤采样器技术参数 </w:t>
      </w:r>
    </w:p>
    <w:p w14:paraId="7F44554B">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1、拆卸方便、体积小便于户外携带</w:t>
      </w:r>
    </w:p>
    <w:p w14:paraId="05DA8B1B">
      <w:pPr>
        <w:spacing w:line="420" w:lineRule="exact"/>
        <w:rPr>
          <w:rStyle w:val="73"/>
          <w:rFonts w:hint="eastAsia" w:ascii="楷体" w:hAnsi="楷体" w:eastAsia="楷体" w:cs="楷体"/>
          <w:sz w:val="24"/>
          <w:szCs w:val="24"/>
        </w:rPr>
      </w:pPr>
      <w:r>
        <w:rPr>
          <w:rFonts w:hint="eastAsia" w:ascii="楷体" w:hAnsi="楷体" w:eastAsia="楷体" w:cs="楷体"/>
          <w:sz w:val="24"/>
          <w:szCs w:val="24"/>
        </w:rPr>
        <w:t xml:space="preserve">    2、提供多种钻头，可在不同土壤质地进行采样，比如：粘土、壤土、沙土和泥炭土等。可以采集不同质地土壤表层0-5m的样品，也可用于深层采样。</w:t>
      </w:r>
    </w:p>
    <w:p w14:paraId="68231B31">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     3、配备35cm—65cm的T 型手柄</w:t>
      </w:r>
    </w:p>
    <w:p w14:paraId="1552A2EA">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     4、配备30cm—120cm的带刻度的延长杆</w:t>
      </w:r>
    </w:p>
    <w:p w14:paraId="4E9C4681">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     5、配备适应不同土质的钻头，钻头材质为不锈钢，特殊硬化处理，不易生锈，便于打理维护。其中，在多石土中采样的钻头材质需锰钢材质。</w:t>
      </w:r>
    </w:p>
    <w:p w14:paraId="544BB512">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     6、附带各类常用五金工具，比如：扳手、手套、钢尺、布袋等。</w:t>
      </w:r>
    </w:p>
    <w:p w14:paraId="256E1CDD">
      <w:pPr>
        <w:spacing w:line="420" w:lineRule="exact"/>
        <w:rPr>
          <w:rFonts w:hint="eastAsia" w:ascii="楷体" w:hAnsi="楷体" w:eastAsia="楷体" w:cs="楷体"/>
          <w:sz w:val="24"/>
          <w:szCs w:val="24"/>
        </w:rPr>
      </w:pPr>
    </w:p>
    <w:p w14:paraId="292D880D">
      <w:pPr>
        <w:spacing w:line="420" w:lineRule="exact"/>
        <w:rPr>
          <w:rFonts w:hint="eastAsia" w:ascii="楷体" w:hAnsi="楷体" w:eastAsia="楷体" w:cs="楷体"/>
          <w:b/>
          <w:bCs/>
          <w:sz w:val="24"/>
          <w:szCs w:val="24"/>
        </w:rPr>
      </w:pPr>
    </w:p>
    <w:p w14:paraId="105D2E20">
      <w:pPr>
        <w:spacing w:line="420" w:lineRule="exact"/>
        <w:rPr>
          <w:rFonts w:hint="eastAsia" w:ascii="楷体" w:hAnsi="楷体" w:eastAsia="楷体" w:cs="楷体"/>
          <w:b/>
          <w:bCs/>
          <w:sz w:val="24"/>
          <w:szCs w:val="24"/>
        </w:rPr>
      </w:pPr>
    </w:p>
    <w:p w14:paraId="32365243">
      <w:pPr>
        <w:spacing w:line="420" w:lineRule="exact"/>
        <w:rPr>
          <w:rFonts w:hint="eastAsia" w:ascii="楷体" w:hAnsi="楷体" w:eastAsia="楷体" w:cs="楷体"/>
          <w:b/>
          <w:bCs/>
          <w:sz w:val="24"/>
          <w:szCs w:val="24"/>
        </w:rPr>
      </w:pPr>
    </w:p>
    <w:p w14:paraId="7A98E652">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 xml:space="preserve">（六）PM10/PM2.5检测仪技术参数 </w:t>
      </w:r>
    </w:p>
    <w:tbl>
      <w:tblPr>
        <w:tblStyle w:val="68"/>
        <w:tblpPr w:leftFromText="180" w:rightFromText="180" w:vertAnchor="text" w:horzAnchor="page" w:tblpX="1532" w:tblpY="616"/>
        <w:tblOverlap w:val="never"/>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2620"/>
        <w:gridCol w:w="1701"/>
        <w:gridCol w:w="3342"/>
      </w:tblGrid>
      <w:tr w14:paraId="665F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207" w:type="dxa"/>
            <w:tcBorders>
              <w:right w:val="single" w:color="auto" w:sz="4" w:space="0"/>
            </w:tcBorders>
            <w:noWrap w:val="0"/>
            <w:vAlign w:val="center"/>
          </w:tcPr>
          <w:p w14:paraId="0DE70F36">
            <w:pPr>
              <w:autoSpaceDE w:val="0"/>
              <w:autoSpaceDN w:val="0"/>
              <w:spacing w:line="420" w:lineRule="exact"/>
              <w:jc w:val="center"/>
              <w:rPr>
                <w:rFonts w:hint="eastAsia" w:ascii="楷体" w:hAnsi="楷体" w:eastAsia="楷体" w:cs="楷体"/>
                <w:b/>
                <w:sz w:val="24"/>
                <w:szCs w:val="24"/>
                <w:highlight w:val="darkGray"/>
              </w:rPr>
            </w:pPr>
            <w:r>
              <w:rPr>
                <w:rFonts w:hint="eastAsia" w:ascii="楷体" w:hAnsi="楷体" w:eastAsia="楷体" w:cs="楷体"/>
                <w:b/>
                <w:sz w:val="24"/>
                <w:szCs w:val="24"/>
              </w:rPr>
              <w:t>主要参数</w:t>
            </w:r>
          </w:p>
        </w:tc>
        <w:tc>
          <w:tcPr>
            <w:tcW w:w="2620" w:type="dxa"/>
            <w:tcBorders>
              <w:left w:val="single" w:color="auto" w:sz="4" w:space="0"/>
              <w:right w:val="single" w:color="auto" w:sz="4" w:space="0"/>
            </w:tcBorders>
            <w:noWrap w:val="0"/>
            <w:vAlign w:val="center"/>
          </w:tcPr>
          <w:p w14:paraId="31CE503B">
            <w:pPr>
              <w:autoSpaceDE w:val="0"/>
              <w:autoSpaceDN w:val="0"/>
              <w:spacing w:line="420" w:lineRule="exact"/>
              <w:jc w:val="center"/>
              <w:rPr>
                <w:rFonts w:hint="eastAsia" w:ascii="楷体" w:hAnsi="楷体" w:eastAsia="楷体" w:cs="楷体"/>
                <w:b/>
                <w:sz w:val="24"/>
                <w:szCs w:val="24"/>
              </w:rPr>
            </w:pPr>
            <w:r>
              <w:rPr>
                <w:rFonts w:hint="eastAsia" w:ascii="楷体" w:hAnsi="楷体" w:eastAsia="楷体" w:cs="楷体"/>
                <w:b/>
                <w:sz w:val="24"/>
                <w:szCs w:val="24"/>
              </w:rPr>
              <w:t>参数范围</w:t>
            </w:r>
          </w:p>
        </w:tc>
        <w:tc>
          <w:tcPr>
            <w:tcW w:w="1701" w:type="dxa"/>
            <w:tcBorders>
              <w:left w:val="single" w:color="auto" w:sz="4" w:space="0"/>
              <w:right w:val="single" w:color="auto" w:sz="4" w:space="0"/>
            </w:tcBorders>
            <w:noWrap w:val="0"/>
            <w:vAlign w:val="center"/>
          </w:tcPr>
          <w:p w14:paraId="13394C91">
            <w:pPr>
              <w:autoSpaceDE w:val="0"/>
              <w:autoSpaceDN w:val="0"/>
              <w:spacing w:line="420" w:lineRule="exact"/>
              <w:jc w:val="center"/>
              <w:rPr>
                <w:rFonts w:hint="eastAsia" w:ascii="楷体" w:hAnsi="楷体" w:eastAsia="楷体" w:cs="楷体"/>
                <w:b/>
                <w:sz w:val="24"/>
                <w:szCs w:val="24"/>
              </w:rPr>
            </w:pPr>
            <w:r>
              <w:rPr>
                <w:rFonts w:hint="eastAsia" w:ascii="楷体" w:hAnsi="楷体" w:eastAsia="楷体" w:cs="楷体"/>
                <w:b/>
                <w:sz w:val="24"/>
                <w:szCs w:val="24"/>
              </w:rPr>
              <w:t>分辨率</w:t>
            </w:r>
          </w:p>
        </w:tc>
        <w:tc>
          <w:tcPr>
            <w:tcW w:w="3342" w:type="dxa"/>
            <w:tcBorders>
              <w:left w:val="single" w:color="auto" w:sz="4" w:space="0"/>
              <w:right w:val="single" w:color="auto" w:sz="4" w:space="0"/>
            </w:tcBorders>
            <w:noWrap w:val="0"/>
            <w:vAlign w:val="center"/>
          </w:tcPr>
          <w:p w14:paraId="1D9BA782">
            <w:pPr>
              <w:autoSpaceDE w:val="0"/>
              <w:autoSpaceDN w:val="0"/>
              <w:spacing w:line="420" w:lineRule="exact"/>
              <w:jc w:val="center"/>
              <w:rPr>
                <w:rFonts w:hint="eastAsia" w:ascii="楷体" w:hAnsi="楷体" w:eastAsia="楷体" w:cs="楷体"/>
                <w:b/>
                <w:sz w:val="24"/>
                <w:szCs w:val="24"/>
              </w:rPr>
            </w:pPr>
            <w:r>
              <w:rPr>
                <w:rFonts w:hint="eastAsia" w:ascii="楷体" w:hAnsi="楷体" w:eastAsia="楷体" w:cs="楷体"/>
                <w:b/>
                <w:sz w:val="24"/>
                <w:szCs w:val="24"/>
              </w:rPr>
              <w:t>准确度</w:t>
            </w:r>
          </w:p>
        </w:tc>
      </w:tr>
      <w:tr w14:paraId="5127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7" w:type="dxa"/>
            <w:tcBorders>
              <w:right w:val="single" w:color="auto" w:sz="4" w:space="0"/>
            </w:tcBorders>
            <w:noWrap w:val="0"/>
            <w:vAlign w:val="center"/>
          </w:tcPr>
          <w:p w14:paraId="637C7CB8">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PM2.5</w:t>
            </w:r>
          </w:p>
        </w:tc>
        <w:tc>
          <w:tcPr>
            <w:tcW w:w="2620" w:type="dxa"/>
            <w:tcBorders>
              <w:left w:val="single" w:color="auto" w:sz="4" w:space="0"/>
              <w:right w:val="single" w:color="auto" w:sz="4" w:space="0"/>
            </w:tcBorders>
            <w:noWrap w:val="0"/>
            <w:vAlign w:val="center"/>
          </w:tcPr>
          <w:p w14:paraId="3385E406">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（0～2000）μg /m</w:t>
            </w:r>
            <w:r>
              <w:rPr>
                <w:rFonts w:hint="eastAsia" w:ascii="楷体" w:hAnsi="楷体" w:eastAsia="楷体" w:cs="楷体"/>
                <w:color w:val="000000"/>
                <w:sz w:val="24"/>
                <w:szCs w:val="24"/>
                <w:vertAlign w:val="superscript"/>
              </w:rPr>
              <w:t>3</w:t>
            </w:r>
          </w:p>
        </w:tc>
        <w:tc>
          <w:tcPr>
            <w:tcW w:w="1701" w:type="dxa"/>
            <w:tcBorders>
              <w:left w:val="single" w:color="auto" w:sz="4" w:space="0"/>
              <w:right w:val="single" w:color="auto" w:sz="4" w:space="0"/>
            </w:tcBorders>
            <w:noWrap w:val="0"/>
            <w:vAlign w:val="center"/>
          </w:tcPr>
          <w:p w14:paraId="6687A5A5">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 μg /m</w:t>
            </w:r>
            <w:r>
              <w:rPr>
                <w:rFonts w:hint="eastAsia" w:ascii="楷体" w:hAnsi="楷体" w:eastAsia="楷体" w:cs="楷体"/>
                <w:color w:val="000000"/>
                <w:sz w:val="24"/>
                <w:szCs w:val="24"/>
                <w:vertAlign w:val="superscript"/>
              </w:rPr>
              <w:t>3</w:t>
            </w:r>
          </w:p>
        </w:tc>
        <w:tc>
          <w:tcPr>
            <w:tcW w:w="3342" w:type="dxa"/>
            <w:vMerge w:val="restart"/>
            <w:tcBorders>
              <w:left w:val="single" w:color="auto" w:sz="4" w:space="0"/>
              <w:right w:val="single" w:color="auto" w:sz="4" w:space="0"/>
            </w:tcBorders>
            <w:noWrap w:val="0"/>
            <w:vAlign w:val="center"/>
          </w:tcPr>
          <w:p w14:paraId="20EED563">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≤100μg/m</w:t>
            </w:r>
            <w:r>
              <w:rPr>
                <w:rFonts w:hint="eastAsia" w:ascii="楷体" w:hAnsi="楷体" w:eastAsia="楷体" w:cs="楷体"/>
                <w:color w:val="000000"/>
                <w:sz w:val="24"/>
                <w:szCs w:val="24"/>
                <w:vertAlign w:val="superscript"/>
              </w:rPr>
              <w:t>3</w:t>
            </w:r>
            <w:r>
              <w:rPr>
                <w:rFonts w:hint="eastAsia" w:ascii="楷体" w:hAnsi="楷体" w:eastAsia="楷体" w:cs="楷体"/>
                <w:color w:val="000000"/>
                <w:sz w:val="24"/>
                <w:szCs w:val="24"/>
              </w:rPr>
              <w:t>时，准确度不超过±15μg/m</w:t>
            </w:r>
            <w:r>
              <w:rPr>
                <w:rFonts w:hint="eastAsia" w:ascii="楷体" w:hAnsi="楷体" w:eastAsia="楷体" w:cs="楷体"/>
                <w:color w:val="000000"/>
                <w:sz w:val="24"/>
                <w:szCs w:val="24"/>
                <w:vertAlign w:val="superscript"/>
              </w:rPr>
              <w:t>3</w:t>
            </w:r>
          </w:p>
          <w:p w14:paraId="20638A4A">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&gt;100μg/m</w:t>
            </w:r>
            <w:r>
              <w:rPr>
                <w:rFonts w:hint="eastAsia" w:ascii="楷体" w:hAnsi="楷体" w:eastAsia="楷体" w:cs="楷体"/>
                <w:color w:val="000000"/>
                <w:sz w:val="24"/>
                <w:szCs w:val="24"/>
                <w:vertAlign w:val="superscript"/>
              </w:rPr>
              <w:t>3</w:t>
            </w:r>
            <w:r>
              <w:rPr>
                <w:rFonts w:hint="eastAsia" w:ascii="楷体" w:hAnsi="楷体" w:eastAsia="楷体" w:cs="楷体"/>
                <w:color w:val="000000"/>
                <w:sz w:val="24"/>
                <w:szCs w:val="24"/>
              </w:rPr>
              <w:t>时，准确度不超过±15%</w:t>
            </w:r>
          </w:p>
        </w:tc>
      </w:tr>
      <w:tr w14:paraId="4E9B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07" w:type="dxa"/>
            <w:tcBorders>
              <w:right w:val="single" w:color="auto" w:sz="4" w:space="0"/>
            </w:tcBorders>
            <w:noWrap w:val="0"/>
            <w:vAlign w:val="center"/>
          </w:tcPr>
          <w:p w14:paraId="2D377243">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PM10</w:t>
            </w:r>
          </w:p>
        </w:tc>
        <w:tc>
          <w:tcPr>
            <w:tcW w:w="2620" w:type="dxa"/>
            <w:tcBorders>
              <w:left w:val="single" w:color="auto" w:sz="4" w:space="0"/>
              <w:right w:val="single" w:color="auto" w:sz="4" w:space="0"/>
            </w:tcBorders>
            <w:noWrap w:val="0"/>
            <w:vAlign w:val="center"/>
          </w:tcPr>
          <w:p w14:paraId="7E943BE0">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（0～5000）μg /m</w:t>
            </w:r>
            <w:r>
              <w:rPr>
                <w:rFonts w:hint="eastAsia" w:ascii="楷体" w:hAnsi="楷体" w:eastAsia="楷体" w:cs="楷体"/>
                <w:color w:val="000000"/>
                <w:sz w:val="24"/>
                <w:szCs w:val="24"/>
                <w:vertAlign w:val="superscript"/>
              </w:rPr>
              <w:t>3</w:t>
            </w:r>
          </w:p>
        </w:tc>
        <w:tc>
          <w:tcPr>
            <w:tcW w:w="1701" w:type="dxa"/>
            <w:tcBorders>
              <w:left w:val="single" w:color="auto" w:sz="4" w:space="0"/>
              <w:right w:val="single" w:color="auto" w:sz="4" w:space="0"/>
            </w:tcBorders>
            <w:noWrap w:val="0"/>
            <w:vAlign w:val="center"/>
          </w:tcPr>
          <w:p w14:paraId="5DFF54D8">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 μg /m</w:t>
            </w:r>
            <w:r>
              <w:rPr>
                <w:rFonts w:hint="eastAsia" w:ascii="楷体" w:hAnsi="楷体" w:eastAsia="楷体" w:cs="楷体"/>
                <w:color w:val="000000"/>
                <w:sz w:val="24"/>
                <w:szCs w:val="24"/>
                <w:vertAlign w:val="superscript"/>
              </w:rPr>
              <w:t>3</w:t>
            </w:r>
          </w:p>
        </w:tc>
        <w:tc>
          <w:tcPr>
            <w:tcW w:w="3342" w:type="dxa"/>
            <w:vMerge w:val="continue"/>
            <w:tcBorders>
              <w:left w:val="single" w:color="auto" w:sz="4" w:space="0"/>
              <w:right w:val="single" w:color="auto" w:sz="4" w:space="0"/>
            </w:tcBorders>
            <w:noWrap w:val="0"/>
            <w:vAlign w:val="center"/>
          </w:tcPr>
          <w:p w14:paraId="35A57EF4">
            <w:pPr>
              <w:spacing w:line="420" w:lineRule="exact"/>
              <w:jc w:val="center"/>
              <w:rPr>
                <w:rFonts w:hint="eastAsia" w:ascii="楷体" w:hAnsi="楷体" w:eastAsia="楷体" w:cs="楷体"/>
                <w:color w:val="000000"/>
                <w:sz w:val="24"/>
                <w:szCs w:val="24"/>
              </w:rPr>
            </w:pPr>
          </w:p>
        </w:tc>
      </w:tr>
      <w:tr w14:paraId="0E39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207" w:type="dxa"/>
            <w:tcBorders>
              <w:right w:val="single" w:color="auto" w:sz="4" w:space="0"/>
            </w:tcBorders>
            <w:noWrap w:val="0"/>
            <w:vAlign w:val="center"/>
          </w:tcPr>
          <w:p w14:paraId="6FF9D98F">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温    度</w:t>
            </w:r>
          </w:p>
        </w:tc>
        <w:tc>
          <w:tcPr>
            <w:tcW w:w="2620" w:type="dxa"/>
            <w:tcBorders>
              <w:left w:val="single" w:color="auto" w:sz="4" w:space="0"/>
              <w:right w:val="single" w:color="auto" w:sz="4" w:space="0"/>
            </w:tcBorders>
            <w:noWrap w:val="0"/>
            <w:vAlign w:val="center"/>
          </w:tcPr>
          <w:p w14:paraId="73F04B53">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（-20～60）℃</w:t>
            </w:r>
          </w:p>
        </w:tc>
        <w:tc>
          <w:tcPr>
            <w:tcW w:w="1701" w:type="dxa"/>
            <w:tcBorders>
              <w:left w:val="single" w:color="auto" w:sz="4" w:space="0"/>
              <w:right w:val="single" w:color="auto" w:sz="4" w:space="0"/>
            </w:tcBorders>
            <w:noWrap w:val="0"/>
            <w:vAlign w:val="center"/>
          </w:tcPr>
          <w:p w14:paraId="26CE917E">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3342" w:type="dxa"/>
            <w:tcBorders>
              <w:left w:val="single" w:color="auto" w:sz="4" w:space="0"/>
              <w:right w:val="single" w:color="auto" w:sz="4" w:space="0"/>
            </w:tcBorders>
            <w:noWrap w:val="0"/>
            <w:vAlign w:val="center"/>
          </w:tcPr>
          <w:p w14:paraId="789168AC">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不超过±3℃</w:t>
            </w:r>
          </w:p>
        </w:tc>
      </w:tr>
      <w:tr w14:paraId="6E6E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07" w:type="dxa"/>
            <w:tcBorders>
              <w:right w:val="single" w:color="auto" w:sz="4" w:space="0"/>
            </w:tcBorders>
            <w:noWrap w:val="0"/>
            <w:vAlign w:val="center"/>
          </w:tcPr>
          <w:p w14:paraId="606E6C7E">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湿    度</w:t>
            </w:r>
          </w:p>
        </w:tc>
        <w:tc>
          <w:tcPr>
            <w:tcW w:w="2620" w:type="dxa"/>
            <w:tcBorders>
              <w:left w:val="single" w:color="auto" w:sz="4" w:space="0"/>
              <w:right w:val="single" w:color="auto" w:sz="4" w:space="0"/>
            </w:tcBorders>
            <w:noWrap w:val="0"/>
            <w:vAlign w:val="center"/>
          </w:tcPr>
          <w:p w14:paraId="37289381">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（0～100）%RH</w:t>
            </w:r>
          </w:p>
        </w:tc>
        <w:tc>
          <w:tcPr>
            <w:tcW w:w="1701" w:type="dxa"/>
            <w:tcBorders>
              <w:left w:val="single" w:color="auto" w:sz="4" w:space="0"/>
              <w:right w:val="single" w:color="auto" w:sz="4" w:space="0"/>
            </w:tcBorders>
            <w:noWrap w:val="0"/>
            <w:vAlign w:val="center"/>
          </w:tcPr>
          <w:p w14:paraId="14B631E4">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0.1%RH</w:t>
            </w:r>
          </w:p>
        </w:tc>
        <w:tc>
          <w:tcPr>
            <w:tcW w:w="3342" w:type="dxa"/>
            <w:tcBorders>
              <w:left w:val="single" w:color="auto" w:sz="4" w:space="0"/>
              <w:right w:val="single" w:color="auto" w:sz="4" w:space="0"/>
            </w:tcBorders>
            <w:noWrap w:val="0"/>
            <w:vAlign w:val="center"/>
          </w:tcPr>
          <w:p w14:paraId="27489B7C">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不超过±5%RH</w:t>
            </w:r>
          </w:p>
        </w:tc>
      </w:tr>
      <w:tr w14:paraId="7D5C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207" w:type="dxa"/>
            <w:tcBorders>
              <w:right w:val="single" w:color="auto" w:sz="4" w:space="0"/>
            </w:tcBorders>
            <w:noWrap w:val="0"/>
            <w:vAlign w:val="center"/>
          </w:tcPr>
          <w:p w14:paraId="51582B36">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大 气 压</w:t>
            </w:r>
          </w:p>
        </w:tc>
        <w:tc>
          <w:tcPr>
            <w:tcW w:w="2620" w:type="dxa"/>
            <w:tcBorders>
              <w:left w:val="single" w:color="auto" w:sz="4" w:space="0"/>
              <w:right w:val="single" w:color="auto" w:sz="4" w:space="0"/>
            </w:tcBorders>
            <w:noWrap w:val="0"/>
            <w:vAlign w:val="center"/>
          </w:tcPr>
          <w:p w14:paraId="627EC1D5">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（60～130）kPa</w:t>
            </w:r>
          </w:p>
        </w:tc>
        <w:tc>
          <w:tcPr>
            <w:tcW w:w="1701" w:type="dxa"/>
            <w:tcBorders>
              <w:left w:val="single" w:color="auto" w:sz="4" w:space="0"/>
              <w:right w:val="single" w:color="auto" w:sz="4" w:space="0"/>
            </w:tcBorders>
            <w:noWrap w:val="0"/>
            <w:vAlign w:val="center"/>
          </w:tcPr>
          <w:p w14:paraId="72BF6D92">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0.1kPa</w:t>
            </w:r>
          </w:p>
        </w:tc>
        <w:tc>
          <w:tcPr>
            <w:tcW w:w="3342" w:type="dxa"/>
            <w:tcBorders>
              <w:left w:val="single" w:color="auto" w:sz="4" w:space="0"/>
              <w:right w:val="single" w:color="auto" w:sz="4" w:space="0"/>
            </w:tcBorders>
            <w:noWrap w:val="0"/>
            <w:vAlign w:val="center"/>
          </w:tcPr>
          <w:p w14:paraId="0F204D00">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不超过±500Pa</w:t>
            </w:r>
          </w:p>
        </w:tc>
      </w:tr>
      <w:tr w14:paraId="1353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07" w:type="dxa"/>
            <w:tcBorders>
              <w:right w:val="single" w:color="auto" w:sz="4" w:space="0"/>
            </w:tcBorders>
            <w:noWrap w:val="0"/>
            <w:vAlign w:val="center"/>
          </w:tcPr>
          <w:p w14:paraId="257A6843">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报警输出</w:t>
            </w:r>
          </w:p>
        </w:tc>
        <w:tc>
          <w:tcPr>
            <w:tcW w:w="7663" w:type="dxa"/>
            <w:gridSpan w:val="3"/>
            <w:tcBorders>
              <w:left w:val="single" w:color="auto" w:sz="4" w:space="0"/>
              <w:right w:val="single" w:color="auto" w:sz="4" w:space="0"/>
            </w:tcBorders>
            <w:noWrap w:val="0"/>
            <w:vAlign w:val="center"/>
          </w:tcPr>
          <w:p w14:paraId="215FA80D">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蜂鸣器</w:t>
            </w:r>
          </w:p>
        </w:tc>
      </w:tr>
      <w:tr w14:paraId="14D5A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07" w:type="dxa"/>
            <w:tcBorders>
              <w:right w:val="single" w:color="auto" w:sz="4" w:space="0"/>
            </w:tcBorders>
            <w:noWrap w:val="0"/>
            <w:vAlign w:val="center"/>
          </w:tcPr>
          <w:p w14:paraId="1C4436BC">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数据存储</w:t>
            </w:r>
          </w:p>
        </w:tc>
        <w:tc>
          <w:tcPr>
            <w:tcW w:w="7663" w:type="dxa"/>
            <w:gridSpan w:val="3"/>
            <w:tcBorders>
              <w:left w:val="single" w:color="auto" w:sz="4" w:space="0"/>
              <w:right w:val="single" w:color="auto" w:sz="4" w:space="0"/>
            </w:tcBorders>
            <w:noWrap w:val="0"/>
            <w:vAlign w:val="center"/>
          </w:tcPr>
          <w:p w14:paraId="5E17DA75">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≥5000组数据</w:t>
            </w:r>
          </w:p>
        </w:tc>
      </w:tr>
      <w:tr w14:paraId="0871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207" w:type="dxa"/>
            <w:tcBorders>
              <w:right w:val="single" w:color="auto" w:sz="4" w:space="0"/>
            </w:tcBorders>
            <w:noWrap w:val="0"/>
            <w:vAlign w:val="center"/>
          </w:tcPr>
          <w:p w14:paraId="622550BB">
            <w:pPr>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主机重量</w:t>
            </w:r>
          </w:p>
        </w:tc>
        <w:tc>
          <w:tcPr>
            <w:tcW w:w="7663" w:type="dxa"/>
            <w:gridSpan w:val="3"/>
            <w:tcBorders>
              <w:left w:val="single" w:color="auto" w:sz="4" w:space="0"/>
              <w:right w:val="single" w:color="auto" w:sz="4" w:space="0"/>
            </w:tcBorders>
            <w:noWrap w:val="0"/>
            <w:vAlign w:val="center"/>
          </w:tcPr>
          <w:p w14:paraId="7C0300A2">
            <w:pPr>
              <w:spacing w:line="420" w:lineRule="exact"/>
              <w:jc w:val="center"/>
              <w:rPr>
                <w:rFonts w:hint="eastAsia" w:ascii="楷体" w:hAnsi="楷体" w:eastAsia="楷体" w:cs="楷体"/>
                <w:color w:val="FF0000"/>
                <w:sz w:val="24"/>
                <w:szCs w:val="24"/>
              </w:rPr>
            </w:pPr>
            <w:r>
              <w:rPr>
                <w:rFonts w:hint="eastAsia" w:ascii="楷体" w:hAnsi="楷体" w:eastAsia="楷体" w:cs="楷体"/>
                <w:sz w:val="24"/>
                <w:szCs w:val="24"/>
              </w:rPr>
              <w:t>≤0.6kg</w:t>
            </w:r>
          </w:p>
        </w:tc>
      </w:tr>
    </w:tbl>
    <w:p w14:paraId="6D87CD49">
      <w:pPr>
        <w:spacing w:line="420" w:lineRule="exact"/>
        <w:rPr>
          <w:rFonts w:hint="eastAsia" w:ascii="楷体" w:hAnsi="楷体" w:eastAsia="楷体" w:cs="楷体"/>
          <w:sz w:val="24"/>
          <w:szCs w:val="24"/>
        </w:rPr>
      </w:pPr>
    </w:p>
    <w:p w14:paraId="457C4D15">
      <w:pPr>
        <w:pStyle w:val="67"/>
        <w:spacing w:line="420" w:lineRule="exact"/>
        <w:ind w:firstLine="480"/>
        <w:rPr>
          <w:rFonts w:hint="eastAsia" w:ascii="楷体" w:hAnsi="楷体" w:eastAsia="楷体" w:cs="楷体"/>
          <w:sz w:val="24"/>
          <w:szCs w:val="24"/>
        </w:rPr>
      </w:pPr>
    </w:p>
    <w:p w14:paraId="177019B1">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（七）便携式生物毒性检测仪技术参数</w:t>
      </w:r>
    </w:p>
    <w:p w14:paraId="1C682F09">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工作条件：环境温度:5~45℃；相对湿度：(30~95)%RH</w:t>
      </w:r>
    </w:p>
    <w:p w14:paraId="7E49E2C1">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光谱范围：300-1100nm</w:t>
      </w:r>
    </w:p>
    <w:p w14:paraId="271D85BC">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相对发光强度（RLU）：0至10,000,000 RLU</w:t>
      </w:r>
    </w:p>
    <w:p w14:paraId="0ADFDC1A">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发光检测器系统：硅光电倍增管，生物毒性暗室自动升降检测系统</w:t>
      </w:r>
    </w:p>
    <w:p w14:paraId="64326CC1">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菌种要求：符合ISO11348&amp;GB/T15441-1995标准规定的菌种费氏弧菌&amp;明亮发光杆菌T3小种（具有国家级微生物中心出具的发光杆菌鉴定报告）。提供5盒菌种，并根据采购人需要逐年提供有效期内的菌种。</w:t>
      </w:r>
    </w:p>
    <w:p w14:paraId="52FB0981">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重复性：样品3次重复测量，相对偏差小于1%（仪器具有国家级计量测试证书）</w:t>
      </w:r>
    </w:p>
    <w:p w14:paraId="58DD434F">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内置5000mAH以上锂电池组，在外部断电或无供电情况下，可支撑连续工作8个小时以上，6英寸以上显示屏幕，中文操作界面</w:t>
      </w:r>
    </w:p>
    <w:p w14:paraId="4102EC8D">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一条曲线可做20个曲线浓度点，可随意选择曲线点是否参与整条曲线计算，无需手动记录，保证曲线值更精准；（曲线浓度点可定制增加）</w:t>
      </w:r>
    </w:p>
    <w:p w14:paraId="12C100A4">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仪器内置ROM≥4GB，数据结果可储存8万条以上</w:t>
      </w:r>
    </w:p>
    <w:p w14:paraId="62E96DE5">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具备USB通讯接口，方便数据读取和导出，导出结果为Excel表格</w:t>
      </w:r>
    </w:p>
    <w:p w14:paraId="76A81099">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内置中文输入法，可编辑中英文信息</w:t>
      </w:r>
    </w:p>
    <w:p w14:paraId="67C72ABE">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具备打印机模块，检测完成可自动打印检测报告，检测报告附带二维码，方便扫描追溯</w:t>
      </w:r>
    </w:p>
    <w:p w14:paraId="21D2C57C">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仪器应内置操作演示视频，点击主界面操作视频，即可自动播放</w:t>
      </w:r>
    </w:p>
    <w:p w14:paraId="3A0EEBA8">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电源要求: 220-240VAC±10%</w:t>
      </w:r>
    </w:p>
    <w:p w14:paraId="195EEB6F">
      <w:pPr>
        <w:widowControl/>
        <w:numPr>
          <w:ilvl w:val="0"/>
          <w:numId w:val="3"/>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通讯方式: RJ45、WIFI、4G和蓝牙连接传输功能</w:t>
      </w:r>
    </w:p>
    <w:p w14:paraId="76A892B9">
      <w:pPr>
        <w:pStyle w:val="67"/>
        <w:spacing w:line="420" w:lineRule="exact"/>
        <w:ind w:firstLine="480"/>
        <w:rPr>
          <w:rFonts w:hint="eastAsia" w:ascii="楷体" w:hAnsi="楷体" w:eastAsia="楷体" w:cs="楷体"/>
          <w:sz w:val="24"/>
          <w:szCs w:val="24"/>
        </w:rPr>
      </w:pPr>
    </w:p>
    <w:p w14:paraId="2F20AB4E">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（八）便携式测油仪技术参数</w:t>
      </w:r>
    </w:p>
    <w:p w14:paraId="56248509">
      <w:pPr>
        <w:widowControl/>
        <w:spacing w:line="420" w:lineRule="exact"/>
        <w:ind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1.功能指标</w:t>
      </w:r>
    </w:p>
    <w:p w14:paraId="22BDD5B7">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设备采用一体化、便携式设计方式，萃取器和测量主机全部集成在一个机箱内（需实物照片证明），光学系统设计稳定性好、抗震性能高，可以在监测车行驶状态下工作。测定原理参照《水质 石油类的测定 紫外分光光度法（试行）》（HJ 970-2018）。</w:t>
      </w:r>
    </w:p>
    <w:p w14:paraId="303C6230">
      <w:pPr>
        <w:widowControl/>
        <w:numPr>
          <w:ilvl w:val="0"/>
          <w:numId w:val="4"/>
        </w:numPr>
        <w:spacing w:line="420" w:lineRule="exact"/>
        <w:ind w:left="0" w:firstLine="420"/>
        <w:jc w:val="left"/>
        <w:rPr>
          <w:rFonts w:hint="eastAsia" w:ascii="楷体" w:hAnsi="楷体" w:eastAsia="楷体" w:cs="楷体"/>
          <w:color w:val="auto"/>
          <w:sz w:val="24"/>
          <w:szCs w:val="24"/>
          <w:highlight w:val="none"/>
        </w:rPr>
      </w:pPr>
      <w:r>
        <w:rPr>
          <w:rFonts w:hint="eastAsia" w:ascii="楷体" w:hAnsi="楷体" w:eastAsia="楷体" w:cs="楷体"/>
          <w:color w:val="000000"/>
          <w:sz w:val="24"/>
          <w:szCs w:val="24"/>
        </w:rPr>
        <w:t>▲为确保仪器的抗振性和防水性，需提供安全防护箱的防水等级和抗振等级检测报</w:t>
      </w:r>
      <w:r>
        <w:rPr>
          <w:rFonts w:hint="eastAsia" w:ascii="楷体" w:hAnsi="楷体" w:eastAsia="楷体" w:cs="楷体"/>
          <w:color w:val="auto"/>
          <w:sz w:val="24"/>
          <w:szCs w:val="24"/>
          <w:highlight w:val="none"/>
        </w:rPr>
        <w:t>告（提供</w:t>
      </w:r>
      <w:r>
        <w:rPr>
          <w:rFonts w:hint="eastAsia" w:ascii="楷体" w:hAnsi="楷体" w:eastAsia="楷体" w:cs="楷体"/>
          <w:color w:val="auto"/>
          <w:sz w:val="24"/>
          <w:szCs w:val="24"/>
          <w:highlight w:val="none"/>
          <w:lang w:val="en-US" w:eastAsia="zh-CN"/>
        </w:rPr>
        <w:t>带有</w:t>
      </w:r>
      <w:r>
        <w:rPr>
          <w:rFonts w:hint="eastAsia" w:ascii="楷体" w:hAnsi="楷体" w:eastAsia="楷体" w:cs="楷体"/>
          <w:color w:val="auto"/>
          <w:sz w:val="24"/>
          <w:szCs w:val="24"/>
          <w:highlight w:val="none"/>
        </w:rPr>
        <w:t>CMA标识的抗振和防水检验报告）。</w:t>
      </w:r>
    </w:p>
    <w:p w14:paraId="47528F5D">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auto"/>
          <w:sz w:val="24"/>
          <w:szCs w:val="24"/>
          <w:highlight w:val="none"/>
        </w:rPr>
        <w:t>▲具备水样体积自动测量功能：设备采用非接触式方式自</w:t>
      </w:r>
      <w:r>
        <w:rPr>
          <w:rFonts w:hint="eastAsia" w:ascii="楷体" w:hAnsi="楷体" w:eastAsia="楷体" w:cs="楷体"/>
          <w:color w:val="000000"/>
          <w:sz w:val="24"/>
          <w:szCs w:val="24"/>
        </w:rPr>
        <w:t>动测量、读取水样体积，体积测量误差&lt;2%（提供计量检定/校准证书），广口瓶直接上机萃取。</w:t>
      </w:r>
    </w:p>
    <w:p w14:paraId="22458B4E">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▲仪器一键式全自动操作：水样体积测量并输入、加试剂、萃取、分离、转移、测量全部自动完成，各步骤之间不需人工干预</w:t>
      </w:r>
      <w:r>
        <w:rPr>
          <w:rFonts w:hint="eastAsia" w:ascii="楷体" w:hAnsi="楷体" w:eastAsia="楷体" w:cs="楷体"/>
          <w:color w:val="000000"/>
          <w:sz w:val="24"/>
          <w:szCs w:val="24"/>
          <w:lang w:eastAsia="zh-CN"/>
        </w:rPr>
        <w:t>，</w:t>
      </w:r>
      <w:r>
        <w:rPr>
          <w:rFonts w:hint="eastAsia" w:ascii="楷体" w:hAnsi="楷体" w:eastAsia="楷体" w:cs="楷体"/>
          <w:color w:val="000000"/>
          <w:sz w:val="24"/>
          <w:szCs w:val="24"/>
        </w:rPr>
        <w:t>仪器自动测量并导入水样体积后，通过精密注射器（提供计量鉴定/校准证书）注入萃取剂，自动进行萃取，自动转移萃取液，自动通过硅酸镁柱吸附动植物油，自动转移入比色皿。（需提供实物照片证明）</w:t>
      </w:r>
    </w:p>
    <w:p w14:paraId="61F7DB43">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具备硅酸镁装置切换功能：设备可自动切换另一硅酸镁装置使用。多通阀与注射泵相结合。</w:t>
      </w:r>
    </w:p>
    <w:p w14:paraId="7A521064">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具备自动清洗功能：样品分析结束后自动清洗全流程管路，防止不同样浓度样品之间的干扰。</w:t>
      </w:r>
    </w:p>
    <w:p w14:paraId="077745E1">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▲具备废液自动分离功能：设备集成有废液回收装置，废正己烷试剂自动进入指定废液缸，废水自动进入另一指定废液缸，两者完全分离。（提供实物安装照片证明）</w:t>
      </w:r>
    </w:p>
    <w:p w14:paraId="27C3EF1C">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▲具备自动分析、计算功能：配置工作站及专用分析软件，集扫描、分析、计算于一体。</w:t>
      </w:r>
    </w:p>
    <w:p w14:paraId="2867813A">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具备数据传输功能：配置数据上传接口，可将数据传输至省级应急监测指挥调度系统。</w:t>
      </w:r>
    </w:p>
    <w:p w14:paraId="288BF4B0">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分析效率高：设备在8分钟内即可完成单个样品的全流程分析测定（含仪器自动清洗时间）。</w:t>
      </w:r>
    </w:p>
    <w:p w14:paraId="5874E3AB">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color w:val="000000"/>
          <w:sz w:val="24"/>
          <w:szCs w:val="24"/>
        </w:rPr>
        <w:t>交直流两用：内置锂电池，可野外监测应急使用，亦可使用220伏交流电。</w:t>
      </w:r>
    </w:p>
    <w:p w14:paraId="6B3B3F71">
      <w:pPr>
        <w:widowControl/>
        <w:numPr>
          <w:ilvl w:val="0"/>
          <w:numId w:val="4"/>
        </w:numPr>
        <w:spacing w:line="420" w:lineRule="exact"/>
        <w:ind w:left="0" w:firstLine="420"/>
        <w:jc w:val="lef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整套仪器重量≤30kg。</w:t>
      </w:r>
    </w:p>
    <w:p w14:paraId="54C312BC">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2、仪器主要技术参数：</w:t>
      </w:r>
    </w:p>
    <w:p w14:paraId="2597C19D">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可自动测量样品，试剂注射、萃取、分离、测量、清洗自动完成。</w:t>
      </w:r>
    </w:p>
    <w:p w14:paraId="419B0658">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分离方式：萃取、分离管、隔水膜三次分离。</w:t>
      </w:r>
    </w:p>
    <w:p w14:paraId="275C136A">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用棕色广口瓶现场采样，直接上机萃取，自动测量、读取水样体积 。</w:t>
      </w:r>
    </w:p>
    <w:p w14:paraId="76822FC7">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远程监控：可用手机远程操作仪器，监控、调取数据。</w:t>
      </w:r>
    </w:p>
    <w:p w14:paraId="64DFC592">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采样瓶：棕色广口瓶，样品不转移。</w:t>
      </w:r>
    </w:p>
    <w:p w14:paraId="28BFF4A1">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萃取器：棕色广口瓶直接萃取。</w:t>
      </w:r>
    </w:p>
    <w:p w14:paraId="2827EF51">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水样体积：0-1000毫升（任意）。</w:t>
      </w:r>
    </w:p>
    <w:p w14:paraId="642A3118">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▲体积量取：为避免交叉污染，须采用非接触式体积量取方式，不可使用探针式液位测量等其他接触式测量方式，误差&lt;2%,（提供计量检定/校准证书）。</w:t>
      </w:r>
    </w:p>
    <w:p w14:paraId="0340F486">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体积输入：仪器自动读取（可适用于任何采样瓶）。</w:t>
      </w:r>
    </w:p>
    <w:p w14:paraId="6DD2AF45">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萃取试剂：正己烷。</w:t>
      </w:r>
    </w:p>
    <w:p w14:paraId="1A783DF3">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试剂计量：精密注射器，具有计量证书。</w:t>
      </w:r>
    </w:p>
    <w:p w14:paraId="68474C56">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剩余电量：可显示剩余电量</w:t>
      </w:r>
    </w:p>
    <w:p w14:paraId="7EFD0E35">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校正方法：标准曲线。</w:t>
      </w:r>
    </w:p>
    <w:p w14:paraId="12F0D8B7">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线性：&gt;0.9999。</w:t>
      </w:r>
    </w:p>
    <w:p w14:paraId="05CFCB4F">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测量范围：0-60mg/L（超量程可自动稀释）。</w:t>
      </w:r>
    </w:p>
    <w:p w14:paraId="38AAE793">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分辨率：0.001mg/L。</w:t>
      </w:r>
    </w:p>
    <w:p w14:paraId="159CA89B">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检出限：0.005mg/L。</w:t>
      </w:r>
    </w:p>
    <w:p w14:paraId="007D474D">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重现性：RSD&lt;2%。</w:t>
      </w:r>
    </w:p>
    <w:p w14:paraId="65294AFE">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准确度：±2%。</w:t>
      </w:r>
    </w:p>
    <w:p w14:paraId="413C812D">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测量波长：225nm。</w:t>
      </w:r>
    </w:p>
    <w:p w14:paraId="50FB0A8E">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测量时间：小于8分钟一个水样。</w:t>
      </w:r>
    </w:p>
    <w:p w14:paraId="7FB967A0">
      <w:pPr>
        <w:widowControl/>
        <w:numPr>
          <w:ilvl w:val="0"/>
          <w:numId w:val="5"/>
        </w:num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▲分析软件：具有校正、分析、计算等功能，需提供软件著作权证书</w:t>
      </w:r>
      <w:bookmarkStart w:id="240" w:name="OLE_LINK1"/>
      <w:bookmarkEnd w:id="240"/>
      <w:bookmarkStart w:id="241" w:name="OLE_LINK2"/>
      <w:bookmarkEnd w:id="241"/>
      <w:r>
        <w:rPr>
          <w:rFonts w:hint="eastAsia" w:ascii="楷体" w:hAnsi="楷体" w:eastAsia="楷体" w:cs="楷体"/>
          <w:color w:val="000000"/>
          <w:sz w:val="24"/>
          <w:szCs w:val="24"/>
        </w:rPr>
        <w:t>。</w:t>
      </w:r>
    </w:p>
    <w:p w14:paraId="2CA5F57E">
      <w:pPr>
        <w:pStyle w:val="67"/>
        <w:spacing w:line="420" w:lineRule="exact"/>
        <w:ind w:firstLine="480"/>
        <w:rPr>
          <w:rFonts w:hint="eastAsia" w:ascii="楷体" w:hAnsi="楷体" w:eastAsia="楷体" w:cs="楷体"/>
          <w:sz w:val="24"/>
          <w:szCs w:val="24"/>
        </w:rPr>
      </w:pPr>
    </w:p>
    <w:p w14:paraId="6F0A5FEA">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（九）气袋采样系统（含采样箱、采样泵等）技术参数及配置</w:t>
      </w:r>
    </w:p>
    <w:p w14:paraId="2689AFAF">
      <w:pPr>
        <w:adjustRightInd w:val="0"/>
        <w:snapToGrid w:val="0"/>
        <w:spacing w:line="420" w:lineRule="exact"/>
        <w:rPr>
          <w:rFonts w:hint="eastAsia" w:ascii="楷体" w:hAnsi="楷体" w:eastAsia="楷体" w:cs="楷体"/>
          <w:b/>
          <w:sz w:val="24"/>
          <w:szCs w:val="24"/>
        </w:rPr>
      </w:pPr>
      <w:r>
        <w:rPr>
          <w:rFonts w:hint="eastAsia" w:ascii="楷体" w:hAnsi="楷体" w:eastAsia="楷体" w:cs="楷体"/>
          <w:b/>
          <w:sz w:val="24"/>
          <w:szCs w:val="24"/>
        </w:rPr>
        <w:t xml:space="preserve">1、技术参数    </w:t>
      </w:r>
    </w:p>
    <w:p w14:paraId="22D69E41">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（1）取样管与主机一体，全程伴热，加热温度可调，满足高温高湿工况(＞150℃)固定污染源废气VOCs的气袋法采样</w:t>
      </w:r>
    </w:p>
    <w:p w14:paraId="54A61C49">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（2）主机前端采用内嵌式可拆卸钛合金过滤器</w:t>
      </w:r>
    </w:p>
    <w:p w14:paraId="49ED73E0">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（3）高温条件下(40℃)可达到预设制冷效果</w:t>
      </w:r>
    </w:p>
    <w:p w14:paraId="651784BC">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（4）具备样气露点测量显示功能</w:t>
      </w:r>
    </w:p>
    <w:p w14:paraId="5637136C">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（5）主机拥有温湿度传感器</w:t>
      </w:r>
    </w:p>
    <w:p w14:paraId="1656DB7B">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（6）主机内管可更换、可自动清洗，并且具有气袋自动清洗功能</w:t>
      </w:r>
    </w:p>
    <w:p w14:paraId="181FD013">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（7）具备洗脱液加注口，可对内部管路的冷凝水洗脱收集</w:t>
      </w:r>
    </w:p>
    <w:p w14:paraId="7610E29D">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（8）采样流量为(0.1~1)L/min，需要快速采样时流量最大可设置为3L/min</w:t>
      </w:r>
    </w:p>
    <w:p w14:paraId="1B33CAEC">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（9）具备实时压力监测功能，气袋采满自动停止采样</w:t>
      </w:r>
    </w:p>
    <w:p w14:paraId="70ADA016">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（10）可适用于1L~10L多型号采样气袋</w:t>
      </w:r>
    </w:p>
    <w:p w14:paraId="2E950DB8">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（11）采样结束后，采样箱内可负压自动泄放，方便上盖开启及气袋更换</w:t>
      </w:r>
    </w:p>
    <w:p w14:paraId="7C4EE68F">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（12）采样流量：持续采样：(0.1～1)L/min快速采样：最大3.0L/min；</w:t>
      </w:r>
    </w:p>
    <w:p w14:paraId="2CFF00CB">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（13）加热温度：(80~160）℃，默认120℃</w:t>
      </w:r>
    </w:p>
    <w:p w14:paraId="196BFD5E">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（14）制冷温度：(0~4）℃</w:t>
      </w:r>
    </w:p>
    <w:p w14:paraId="7F1D635D">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（15）负载能力：15kPa</w:t>
      </w:r>
    </w:p>
    <w:p w14:paraId="4369D5BE">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（16）数据储存：≥10000组</w:t>
      </w:r>
    </w:p>
    <w:p w14:paraId="7DF61D3F">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（17）长度：1-1.5m</w:t>
      </w:r>
    </w:p>
    <w:p w14:paraId="04B2E797">
      <w:pPr>
        <w:adjustRightInd w:val="0"/>
        <w:snapToGrid w:val="0"/>
        <w:spacing w:line="420" w:lineRule="exact"/>
        <w:rPr>
          <w:rFonts w:hint="eastAsia" w:ascii="楷体" w:hAnsi="楷体" w:eastAsia="楷体" w:cs="楷体"/>
          <w:b/>
          <w:sz w:val="24"/>
          <w:szCs w:val="24"/>
        </w:rPr>
      </w:pPr>
      <w:r>
        <w:rPr>
          <w:rFonts w:hint="eastAsia" w:ascii="楷体" w:hAnsi="楷体" w:eastAsia="楷体" w:cs="楷体"/>
          <w:b/>
          <w:sz w:val="24"/>
          <w:szCs w:val="24"/>
        </w:rPr>
        <w:t>2、仪器配置</w:t>
      </w:r>
    </w:p>
    <w:p w14:paraId="2D63E748">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 xml:space="preserve">（1）主机      </w:t>
      </w:r>
    </w:p>
    <w:p w14:paraId="5A75C95C">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（2）采样箱组件</w:t>
      </w:r>
    </w:p>
    <w:p w14:paraId="10C3F72C">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（3）采样泵</w:t>
      </w:r>
    </w:p>
    <w:p w14:paraId="7CC7FCB0">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（4）连接管</w:t>
      </w:r>
    </w:p>
    <w:p w14:paraId="5CE80CF3">
      <w:pPr>
        <w:adjustRightInd w:val="0"/>
        <w:snapToGrid w:val="0"/>
        <w:spacing w:line="420" w:lineRule="exact"/>
        <w:rPr>
          <w:rFonts w:hint="eastAsia" w:ascii="楷体" w:hAnsi="楷体" w:eastAsia="楷体" w:cs="楷体"/>
          <w:sz w:val="24"/>
          <w:szCs w:val="24"/>
        </w:rPr>
      </w:pPr>
      <w:r>
        <w:rPr>
          <w:rFonts w:hint="eastAsia" w:ascii="楷体" w:hAnsi="楷体" w:eastAsia="楷体" w:cs="楷体"/>
          <w:sz w:val="24"/>
          <w:szCs w:val="24"/>
        </w:rPr>
        <w:t>（5）电源适配器</w:t>
      </w:r>
    </w:p>
    <w:p w14:paraId="7215EDD9">
      <w:pPr>
        <w:spacing w:line="420" w:lineRule="exact"/>
        <w:rPr>
          <w:rFonts w:hint="eastAsia" w:ascii="楷体" w:hAnsi="楷体" w:eastAsia="楷体" w:cs="楷体"/>
          <w:b/>
          <w:bCs/>
          <w:sz w:val="24"/>
          <w:szCs w:val="24"/>
        </w:rPr>
      </w:pPr>
    </w:p>
    <w:p w14:paraId="61B78CDD">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（十）废气多功能取样管</w:t>
      </w:r>
      <w:r>
        <w:rPr>
          <w:rFonts w:hint="eastAsia" w:ascii="楷体" w:hAnsi="楷体" w:eastAsia="楷体" w:cs="楷体"/>
          <w:b/>
          <w:kern w:val="0"/>
          <w:sz w:val="24"/>
          <w:szCs w:val="24"/>
        </w:rPr>
        <w:t>技术参数</w:t>
      </w:r>
      <w:r>
        <w:rPr>
          <w:rFonts w:hint="eastAsia" w:ascii="楷体" w:hAnsi="楷体" w:eastAsia="楷体" w:cs="楷体"/>
          <w:b/>
          <w:bCs/>
          <w:sz w:val="24"/>
          <w:szCs w:val="24"/>
        </w:rPr>
        <w:t>及配置</w:t>
      </w:r>
    </w:p>
    <w:p w14:paraId="6DE1B1B8">
      <w:pPr>
        <w:widowControl/>
        <w:spacing w:line="420" w:lineRule="exact"/>
        <w:jc w:val="left"/>
        <w:rPr>
          <w:rFonts w:hint="eastAsia" w:ascii="楷体" w:hAnsi="楷体" w:eastAsia="楷体" w:cs="楷体"/>
          <w:b/>
          <w:kern w:val="0"/>
          <w:sz w:val="24"/>
          <w:szCs w:val="24"/>
        </w:rPr>
      </w:pPr>
      <w:r>
        <w:rPr>
          <w:rFonts w:hint="eastAsia" w:ascii="楷体" w:hAnsi="楷体" w:eastAsia="楷体" w:cs="楷体"/>
          <w:b/>
          <w:kern w:val="0"/>
          <w:sz w:val="24"/>
          <w:szCs w:val="24"/>
        </w:rPr>
        <w:t>1、技术参数</w:t>
      </w:r>
    </w:p>
    <w:p w14:paraId="1AA361B8">
      <w:pPr>
        <w:widowControl/>
        <w:spacing w:line="420" w:lineRule="exact"/>
        <w:jc w:val="left"/>
        <w:rPr>
          <w:rFonts w:hint="eastAsia" w:ascii="楷体" w:hAnsi="楷体" w:eastAsia="楷体" w:cs="楷体"/>
          <w:sz w:val="24"/>
          <w:szCs w:val="24"/>
        </w:rPr>
      </w:pPr>
      <w:r>
        <w:rPr>
          <w:rFonts w:hint="eastAsia" w:ascii="楷体" w:hAnsi="楷体" w:eastAsia="楷体" w:cs="楷体"/>
          <w:bCs/>
          <w:kern w:val="0"/>
          <w:sz w:val="24"/>
          <w:szCs w:val="24"/>
        </w:rPr>
        <w:t>（1）</w:t>
      </w:r>
      <w:r>
        <w:rPr>
          <w:rFonts w:hint="eastAsia" w:ascii="楷体" w:hAnsi="楷体" w:eastAsia="楷体" w:cs="楷体"/>
          <w:sz w:val="24"/>
          <w:szCs w:val="24"/>
        </w:rPr>
        <w:t>气路采用聚四氟乙烯材料，有效降低吸附</w:t>
      </w:r>
    </w:p>
    <w:p w14:paraId="3449B46D">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（2）</w:t>
      </w:r>
      <w:r>
        <w:rPr>
          <w:rFonts w:hint="eastAsia" w:ascii="楷体" w:hAnsi="楷体" w:eastAsia="楷体" w:cs="楷体"/>
          <w:sz w:val="24"/>
          <w:szCs w:val="24"/>
        </w:rPr>
        <w:t>滤膜或滤筒及取样管全程加热，系统自动控制温度</w:t>
      </w:r>
    </w:p>
    <w:p w14:paraId="433FF984">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（3）</w:t>
      </w:r>
      <w:r>
        <w:rPr>
          <w:rFonts w:hint="eastAsia" w:ascii="楷体" w:hAnsi="楷体" w:eastAsia="楷体" w:cs="楷体"/>
          <w:sz w:val="24"/>
          <w:szCs w:val="24"/>
        </w:rPr>
        <w:t>保温箱可实现水平方向（0~360）°及垂直方向（0~90）°旋转，可满足水平或垂直等多种工况测量要求</w:t>
      </w:r>
    </w:p>
    <w:p w14:paraId="28CDB115">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（4）</w:t>
      </w:r>
      <w:r>
        <w:rPr>
          <w:rFonts w:hint="eastAsia" w:ascii="楷体" w:hAnsi="楷体" w:eastAsia="楷体" w:cs="楷体"/>
          <w:sz w:val="24"/>
          <w:szCs w:val="24"/>
        </w:rPr>
        <w:t>可在采样的同时测量烟气流速和烟气温度</w:t>
      </w:r>
    </w:p>
    <w:p w14:paraId="62F390FE">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（5）</w:t>
      </w:r>
      <w:r>
        <w:rPr>
          <w:rFonts w:hint="eastAsia" w:ascii="楷体" w:hAnsi="楷体" w:eastAsia="楷体" w:cs="楷体"/>
          <w:sz w:val="24"/>
          <w:szCs w:val="24"/>
        </w:rPr>
        <w:t>加热温度：(100~160）℃，可以设定（默认120℃）</w:t>
      </w:r>
    </w:p>
    <w:p w14:paraId="1E953424">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（6）</w:t>
      </w:r>
      <w:r>
        <w:rPr>
          <w:rFonts w:hint="eastAsia" w:ascii="楷体" w:hAnsi="楷体" w:eastAsia="楷体" w:cs="楷体"/>
          <w:sz w:val="24"/>
          <w:szCs w:val="24"/>
        </w:rPr>
        <w:t>加热功率：400W</w:t>
      </w:r>
    </w:p>
    <w:p w14:paraId="2CD0F73C">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（7）</w:t>
      </w:r>
      <w:r>
        <w:rPr>
          <w:rFonts w:hint="eastAsia" w:ascii="楷体" w:hAnsi="楷体" w:eastAsia="楷体" w:cs="楷体"/>
          <w:sz w:val="24"/>
          <w:szCs w:val="24"/>
        </w:rPr>
        <w:t>工作电源：AC(220±22)V，50Hz</w:t>
      </w:r>
    </w:p>
    <w:p w14:paraId="13125927">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（8）</w:t>
      </w:r>
      <w:r>
        <w:rPr>
          <w:rFonts w:hint="eastAsia" w:ascii="楷体" w:hAnsi="楷体" w:eastAsia="楷体" w:cs="楷体"/>
          <w:sz w:val="24"/>
          <w:szCs w:val="24"/>
        </w:rPr>
        <w:t>加热电源：DC24V</w:t>
      </w:r>
    </w:p>
    <w:p w14:paraId="0A221B99">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（9）</w:t>
      </w:r>
      <w:r>
        <w:rPr>
          <w:rFonts w:hint="eastAsia" w:ascii="楷体" w:hAnsi="楷体" w:eastAsia="楷体" w:cs="楷体"/>
          <w:sz w:val="24"/>
          <w:szCs w:val="24"/>
        </w:rPr>
        <w:t>气流管线材质：聚四氟乙烯</w:t>
      </w:r>
    </w:p>
    <w:p w14:paraId="14E9CC87">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（10）</w:t>
      </w:r>
      <w:r>
        <w:rPr>
          <w:rFonts w:hint="eastAsia" w:ascii="楷体" w:hAnsi="楷体" w:eastAsia="楷体" w:cs="楷体"/>
          <w:sz w:val="24"/>
          <w:szCs w:val="24"/>
        </w:rPr>
        <w:t>采样嘴型号：Φ4.5、Φ6、Φ7、Φ8、Φ10、Φ12</w:t>
      </w:r>
    </w:p>
    <w:p w14:paraId="71E5FAB7">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（11）</w:t>
      </w:r>
      <w:r>
        <w:rPr>
          <w:rFonts w:hint="eastAsia" w:ascii="楷体" w:hAnsi="楷体" w:eastAsia="楷体" w:cs="楷体"/>
          <w:sz w:val="24"/>
          <w:szCs w:val="24"/>
        </w:rPr>
        <w:t>皮托管系数：0.84±0.01</w:t>
      </w:r>
    </w:p>
    <w:p w14:paraId="1930EFEA">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（12）</w:t>
      </w:r>
      <w:r>
        <w:rPr>
          <w:rFonts w:hint="eastAsia" w:ascii="楷体" w:hAnsi="楷体" w:eastAsia="楷体" w:cs="楷体"/>
          <w:sz w:val="24"/>
          <w:szCs w:val="24"/>
        </w:rPr>
        <w:t>滤膜规格：Φ47mm</w:t>
      </w:r>
    </w:p>
    <w:p w14:paraId="47BE3EAF">
      <w:pPr>
        <w:adjustRightInd w:val="0"/>
        <w:snapToGrid w:val="0"/>
        <w:spacing w:line="420" w:lineRule="exact"/>
        <w:rPr>
          <w:rFonts w:hint="eastAsia" w:ascii="楷体" w:hAnsi="楷体" w:eastAsia="楷体" w:cs="楷体"/>
          <w:sz w:val="24"/>
          <w:szCs w:val="24"/>
        </w:rPr>
      </w:pPr>
      <w:r>
        <w:rPr>
          <w:rFonts w:hint="eastAsia" w:ascii="楷体" w:hAnsi="楷体" w:eastAsia="楷体" w:cs="楷体"/>
          <w:bCs/>
          <w:kern w:val="0"/>
          <w:sz w:val="24"/>
          <w:szCs w:val="24"/>
        </w:rPr>
        <w:t>（13）</w:t>
      </w:r>
      <w:r>
        <w:rPr>
          <w:rFonts w:hint="eastAsia" w:ascii="楷体" w:hAnsi="楷体" w:eastAsia="楷体" w:cs="楷体"/>
          <w:sz w:val="24"/>
          <w:szCs w:val="24"/>
        </w:rPr>
        <w:t>取样管长度：有效长度1.3米以上</w:t>
      </w:r>
    </w:p>
    <w:p w14:paraId="7FBBCE10">
      <w:pPr>
        <w:widowControl/>
        <w:spacing w:line="420" w:lineRule="exact"/>
        <w:jc w:val="left"/>
        <w:rPr>
          <w:rFonts w:hint="eastAsia" w:ascii="楷体" w:hAnsi="楷体" w:eastAsia="楷体" w:cs="楷体"/>
          <w:b/>
          <w:kern w:val="0"/>
          <w:sz w:val="24"/>
          <w:szCs w:val="24"/>
        </w:rPr>
      </w:pPr>
      <w:r>
        <w:rPr>
          <w:rFonts w:hint="eastAsia" w:ascii="楷体" w:hAnsi="楷体" w:eastAsia="楷体" w:cs="楷体"/>
          <w:b/>
          <w:kern w:val="0"/>
          <w:sz w:val="24"/>
          <w:szCs w:val="24"/>
        </w:rPr>
        <w:t xml:space="preserve">  2、仪器配置</w:t>
      </w:r>
    </w:p>
    <w:p w14:paraId="7399B760">
      <w:pPr>
        <w:widowControl/>
        <w:spacing w:line="420" w:lineRule="exact"/>
        <w:jc w:val="left"/>
        <w:rPr>
          <w:rFonts w:hint="eastAsia" w:ascii="楷体" w:hAnsi="楷体" w:eastAsia="楷体" w:cs="楷体"/>
          <w:sz w:val="24"/>
          <w:szCs w:val="24"/>
        </w:rPr>
      </w:pPr>
      <w:r>
        <w:rPr>
          <w:rFonts w:hint="eastAsia" w:ascii="楷体" w:hAnsi="楷体" w:eastAsia="楷体" w:cs="楷体"/>
          <w:bCs/>
          <w:kern w:val="0"/>
          <w:sz w:val="24"/>
          <w:szCs w:val="24"/>
        </w:rPr>
        <w:t>  主机、防倒吸干燥器、蓝冰、温控连接线、采样嘴（钛）、</w:t>
      </w:r>
      <w:r>
        <w:rPr>
          <w:rFonts w:hint="eastAsia" w:ascii="楷体" w:hAnsi="楷体" w:eastAsia="楷体" w:cs="楷体"/>
          <w:bCs/>
          <w:color w:val="000000"/>
          <w:sz w:val="24"/>
          <w:szCs w:val="24"/>
        </w:rPr>
        <w:t>智能双路温度控制器。</w:t>
      </w:r>
    </w:p>
    <w:p w14:paraId="50755EBC">
      <w:pPr>
        <w:spacing w:line="420" w:lineRule="exact"/>
        <w:rPr>
          <w:rFonts w:hint="eastAsia" w:ascii="楷体" w:hAnsi="楷体" w:eastAsia="楷体" w:cs="楷体"/>
          <w:sz w:val="24"/>
          <w:szCs w:val="24"/>
        </w:rPr>
      </w:pPr>
    </w:p>
    <w:p w14:paraId="157D41C5">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（十一）加长烟尘采样枪</w:t>
      </w:r>
      <w:r>
        <w:rPr>
          <w:rFonts w:hint="eastAsia" w:ascii="楷体" w:hAnsi="楷体" w:eastAsia="楷体" w:cs="楷体"/>
          <w:b/>
          <w:kern w:val="0"/>
          <w:sz w:val="24"/>
          <w:szCs w:val="24"/>
        </w:rPr>
        <w:t>技术</w:t>
      </w:r>
      <w:r>
        <w:rPr>
          <w:rFonts w:hint="eastAsia" w:ascii="楷体" w:hAnsi="楷体" w:eastAsia="楷体" w:cs="楷体"/>
          <w:b/>
          <w:kern w:val="0"/>
          <w:sz w:val="24"/>
          <w:szCs w:val="24"/>
          <w:lang w:val="en-US" w:eastAsia="zh-CN"/>
        </w:rPr>
        <w:t>要求</w:t>
      </w:r>
      <w:r>
        <w:rPr>
          <w:rFonts w:hint="eastAsia" w:ascii="楷体" w:hAnsi="楷体" w:eastAsia="楷体" w:cs="楷体"/>
          <w:b/>
          <w:bCs/>
          <w:sz w:val="24"/>
          <w:szCs w:val="24"/>
        </w:rPr>
        <w:t>及配置</w:t>
      </w:r>
    </w:p>
    <w:p w14:paraId="186C0B2C">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1、技术参数：</w:t>
      </w:r>
    </w:p>
    <w:p w14:paraId="2A7B15D6">
      <w:pPr>
        <w:spacing w:line="420" w:lineRule="exact"/>
        <w:rPr>
          <w:rFonts w:hint="eastAsia" w:ascii="楷体" w:hAnsi="楷体" w:eastAsia="楷体" w:cs="楷体"/>
          <w:sz w:val="24"/>
          <w:szCs w:val="24"/>
        </w:rPr>
      </w:pPr>
      <w:r>
        <w:rPr>
          <w:rFonts w:hint="eastAsia" w:ascii="楷体" w:hAnsi="楷体" w:eastAsia="楷体" w:cs="楷体"/>
          <w:sz w:val="24"/>
          <w:szCs w:val="24"/>
        </w:rPr>
        <w:t>（1）取样管的前端兼容滤筒及低浓度采样头，且均可加热；</w:t>
      </w:r>
    </w:p>
    <w:p w14:paraId="317AB283">
      <w:pPr>
        <w:spacing w:line="420" w:lineRule="exact"/>
        <w:rPr>
          <w:rFonts w:hint="eastAsia" w:ascii="楷体" w:hAnsi="楷体" w:eastAsia="楷体" w:cs="楷体"/>
          <w:sz w:val="24"/>
          <w:szCs w:val="24"/>
        </w:rPr>
      </w:pPr>
      <w:r>
        <w:rPr>
          <w:rFonts w:hint="eastAsia" w:ascii="楷体" w:hAnsi="楷体" w:eastAsia="楷体" w:cs="楷体"/>
          <w:sz w:val="24"/>
          <w:szCs w:val="24"/>
        </w:rPr>
        <w:t>（2）具有加热装置，加热效率高，加热温度可以设定并自动调节；</w:t>
      </w:r>
    </w:p>
    <w:p w14:paraId="5812E919">
      <w:pPr>
        <w:spacing w:line="420" w:lineRule="exact"/>
        <w:rPr>
          <w:rFonts w:hint="eastAsia" w:ascii="楷体" w:hAnsi="楷体" w:eastAsia="楷体" w:cs="楷体"/>
          <w:sz w:val="24"/>
          <w:szCs w:val="24"/>
        </w:rPr>
      </w:pPr>
      <w:r>
        <w:rPr>
          <w:rFonts w:hint="eastAsia" w:ascii="楷体" w:hAnsi="楷体" w:eastAsia="楷体" w:cs="楷体"/>
          <w:sz w:val="24"/>
          <w:szCs w:val="24"/>
        </w:rPr>
        <w:t>（3）取样管材质：316不锈钢；</w:t>
      </w:r>
    </w:p>
    <w:p w14:paraId="4ED1C1F0">
      <w:pPr>
        <w:spacing w:line="420" w:lineRule="exact"/>
        <w:rPr>
          <w:rFonts w:hint="eastAsia" w:ascii="楷体" w:hAnsi="楷体" w:eastAsia="楷体" w:cs="楷体"/>
          <w:sz w:val="24"/>
          <w:szCs w:val="24"/>
        </w:rPr>
      </w:pPr>
      <w:r>
        <w:rPr>
          <w:rFonts w:hint="eastAsia" w:ascii="楷体" w:hAnsi="楷体" w:eastAsia="楷体" w:cs="楷体"/>
          <w:sz w:val="24"/>
          <w:szCs w:val="24"/>
        </w:rPr>
        <w:t>（4）具有阻止冷凝水回流的功能；</w:t>
      </w:r>
    </w:p>
    <w:p w14:paraId="00A5D60A">
      <w:pPr>
        <w:spacing w:line="420" w:lineRule="exact"/>
        <w:rPr>
          <w:rFonts w:hint="eastAsia" w:ascii="楷体" w:hAnsi="楷体" w:eastAsia="楷体" w:cs="楷体"/>
          <w:sz w:val="24"/>
          <w:szCs w:val="24"/>
        </w:rPr>
      </w:pPr>
      <w:r>
        <w:rPr>
          <w:rFonts w:hint="eastAsia" w:ascii="楷体" w:hAnsi="楷体" w:eastAsia="楷体" w:cs="楷体"/>
          <w:sz w:val="24"/>
          <w:szCs w:val="24"/>
        </w:rPr>
        <w:t>（5）直径Ø47mm一体式钛采样头整体称重；</w:t>
      </w:r>
    </w:p>
    <w:p w14:paraId="4D6637E4">
      <w:pPr>
        <w:spacing w:line="420" w:lineRule="exact"/>
        <w:rPr>
          <w:rFonts w:hint="eastAsia" w:ascii="楷体" w:hAnsi="楷体" w:eastAsia="楷体" w:cs="楷体"/>
          <w:sz w:val="24"/>
          <w:szCs w:val="24"/>
        </w:rPr>
      </w:pPr>
      <w:r>
        <w:rPr>
          <w:rFonts w:hint="eastAsia" w:ascii="楷体" w:hAnsi="楷体" w:eastAsia="楷体" w:cs="楷体"/>
          <w:sz w:val="24"/>
          <w:szCs w:val="24"/>
        </w:rPr>
        <w:t>（6）适用标准3#滤筒（其他规格滤筒可订制），取样管长度及材质可订制；</w:t>
      </w:r>
    </w:p>
    <w:p w14:paraId="4341D1E6">
      <w:pPr>
        <w:spacing w:line="420" w:lineRule="exact"/>
        <w:rPr>
          <w:rFonts w:hint="eastAsia" w:ascii="楷体" w:hAnsi="楷体" w:eastAsia="楷体" w:cs="楷体"/>
          <w:sz w:val="24"/>
          <w:szCs w:val="24"/>
        </w:rPr>
      </w:pPr>
      <w:r>
        <w:rPr>
          <w:rFonts w:hint="eastAsia" w:ascii="楷体" w:hAnsi="楷体" w:eastAsia="楷体" w:cs="楷体"/>
          <w:sz w:val="24"/>
          <w:szCs w:val="24"/>
        </w:rPr>
        <w:t>（7）具有角度超限报警提醒，保证采样精度；</w:t>
      </w:r>
    </w:p>
    <w:p w14:paraId="604C8A5F">
      <w:pPr>
        <w:spacing w:line="420" w:lineRule="exact"/>
        <w:rPr>
          <w:rFonts w:hint="eastAsia" w:ascii="楷体" w:hAnsi="楷体" w:eastAsia="楷体" w:cs="楷体"/>
          <w:sz w:val="24"/>
          <w:szCs w:val="24"/>
        </w:rPr>
      </w:pPr>
      <w:r>
        <w:rPr>
          <w:rFonts w:hint="eastAsia" w:ascii="楷体" w:hAnsi="楷体" w:eastAsia="楷体" w:cs="楷体"/>
          <w:sz w:val="24"/>
          <w:szCs w:val="24"/>
        </w:rPr>
        <w:t>（8）皮托管模块化，易拆卸，可更换；</w:t>
      </w:r>
    </w:p>
    <w:p w14:paraId="67AD2D7D">
      <w:pPr>
        <w:spacing w:line="420" w:lineRule="exact"/>
        <w:rPr>
          <w:rFonts w:hint="eastAsia" w:ascii="楷体" w:hAnsi="楷体" w:eastAsia="楷体" w:cs="楷体"/>
          <w:sz w:val="24"/>
          <w:szCs w:val="24"/>
        </w:rPr>
      </w:pPr>
      <w:r>
        <w:rPr>
          <w:rFonts w:hint="eastAsia" w:ascii="楷体" w:hAnsi="楷体" w:eastAsia="楷体" w:cs="楷体"/>
          <w:sz w:val="24"/>
          <w:szCs w:val="24"/>
        </w:rPr>
        <w:t>（9）预留无线传输模块接口，可加装无线模块，用于无线传输烟道工况（烟温、流速）。</w:t>
      </w:r>
    </w:p>
    <w:p w14:paraId="680EA319">
      <w:pPr>
        <w:spacing w:line="420" w:lineRule="exact"/>
        <w:rPr>
          <w:rFonts w:hint="eastAsia" w:ascii="楷体" w:hAnsi="楷体" w:eastAsia="楷体" w:cs="楷体"/>
          <w:sz w:val="24"/>
          <w:szCs w:val="24"/>
        </w:rPr>
      </w:pPr>
      <w:r>
        <w:rPr>
          <w:rFonts w:hint="eastAsia" w:ascii="楷体" w:hAnsi="楷体" w:eastAsia="楷体" w:cs="楷体"/>
          <w:b/>
          <w:bCs/>
          <w:sz w:val="24"/>
          <w:szCs w:val="24"/>
        </w:rPr>
        <w:t>2、具体指标：</w:t>
      </w:r>
    </w:p>
    <w:tbl>
      <w:tblPr>
        <w:tblStyle w:val="68"/>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6"/>
        <w:gridCol w:w="4125"/>
        <w:gridCol w:w="1125"/>
        <w:gridCol w:w="1062"/>
      </w:tblGrid>
      <w:tr w14:paraId="07B9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056" w:type="dxa"/>
            <w:tcBorders>
              <w:right w:val="single" w:color="auto" w:sz="4" w:space="0"/>
            </w:tcBorders>
            <w:noWrap w:val="0"/>
            <w:vAlign w:val="top"/>
          </w:tcPr>
          <w:p w14:paraId="38C6B6B2">
            <w:pPr>
              <w:spacing w:line="420" w:lineRule="exact"/>
              <w:jc w:val="center"/>
              <w:rPr>
                <w:rFonts w:hint="eastAsia" w:ascii="楷体" w:hAnsi="楷体" w:eastAsia="楷体" w:cs="楷体"/>
                <w:b/>
                <w:bCs/>
                <w:sz w:val="24"/>
                <w:szCs w:val="24"/>
              </w:rPr>
            </w:pPr>
            <w:r>
              <w:rPr>
                <w:rFonts w:hint="eastAsia" w:ascii="楷体" w:hAnsi="楷体" w:eastAsia="楷体" w:cs="楷体"/>
                <w:b/>
                <w:bCs/>
                <w:sz w:val="24"/>
                <w:szCs w:val="24"/>
              </w:rPr>
              <w:t>主要参数</w:t>
            </w:r>
          </w:p>
        </w:tc>
        <w:tc>
          <w:tcPr>
            <w:tcW w:w="4125" w:type="dxa"/>
            <w:tcBorders>
              <w:left w:val="single" w:color="auto" w:sz="4" w:space="0"/>
              <w:right w:val="single" w:color="auto" w:sz="4" w:space="0"/>
            </w:tcBorders>
            <w:noWrap w:val="0"/>
            <w:vAlign w:val="top"/>
          </w:tcPr>
          <w:p w14:paraId="15A4963F">
            <w:pPr>
              <w:spacing w:line="420" w:lineRule="exact"/>
              <w:jc w:val="center"/>
              <w:rPr>
                <w:rFonts w:hint="eastAsia" w:ascii="楷体" w:hAnsi="楷体" w:eastAsia="楷体" w:cs="楷体"/>
                <w:b/>
                <w:bCs/>
                <w:sz w:val="24"/>
                <w:szCs w:val="24"/>
              </w:rPr>
            </w:pPr>
            <w:r>
              <w:rPr>
                <w:rFonts w:hint="eastAsia" w:ascii="楷体" w:hAnsi="楷体" w:eastAsia="楷体" w:cs="楷体"/>
                <w:b/>
                <w:bCs/>
                <w:sz w:val="24"/>
                <w:szCs w:val="24"/>
              </w:rPr>
              <w:t>参数范围</w:t>
            </w:r>
          </w:p>
        </w:tc>
        <w:tc>
          <w:tcPr>
            <w:tcW w:w="1125" w:type="dxa"/>
            <w:tcBorders>
              <w:left w:val="single" w:color="auto" w:sz="4" w:space="0"/>
              <w:right w:val="single" w:color="auto" w:sz="4" w:space="0"/>
            </w:tcBorders>
            <w:noWrap w:val="0"/>
            <w:vAlign w:val="top"/>
          </w:tcPr>
          <w:p w14:paraId="4A124699">
            <w:pPr>
              <w:spacing w:line="420" w:lineRule="exact"/>
              <w:jc w:val="center"/>
              <w:rPr>
                <w:rFonts w:hint="eastAsia" w:ascii="楷体" w:hAnsi="楷体" w:eastAsia="楷体" w:cs="楷体"/>
                <w:b/>
                <w:bCs/>
                <w:sz w:val="24"/>
                <w:szCs w:val="24"/>
              </w:rPr>
            </w:pPr>
            <w:r>
              <w:rPr>
                <w:rFonts w:hint="eastAsia" w:ascii="楷体" w:hAnsi="楷体" w:eastAsia="楷体" w:cs="楷体"/>
                <w:b/>
                <w:bCs/>
                <w:sz w:val="24"/>
                <w:szCs w:val="24"/>
              </w:rPr>
              <w:t>分辨率</w:t>
            </w:r>
          </w:p>
        </w:tc>
        <w:tc>
          <w:tcPr>
            <w:tcW w:w="1062" w:type="dxa"/>
            <w:tcBorders>
              <w:left w:val="single" w:color="auto" w:sz="4" w:space="0"/>
              <w:right w:val="single" w:color="auto" w:sz="4" w:space="0"/>
            </w:tcBorders>
            <w:noWrap w:val="0"/>
            <w:vAlign w:val="top"/>
          </w:tcPr>
          <w:p w14:paraId="5611127E">
            <w:pPr>
              <w:spacing w:line="420" w:lineRule="exact"/>
              <w:jc w:val="center"/>
              <w:rPr>
                <w:rFonts w:hint="eastAsia" w:ascii="楷体" w:hAnsi="楷体" w:eastAsia="楷体" w:cs="楷体"/>
                <w:b/>
                <w:bCs/>
                <w:sz w:val="24"/>
                <w:szCs w:val="24"/>
              </w:rPr>
            </w:pPr>
            <w:r>
              <w:rPr>
                <w:rFonts w:hint="eastAsia" w:ascii="楷体" w:hAnsi="楷体" w:eastAsia="楷体" w:cs="楷体"/>
                <w:b/>
                <w:bCs/>
                <w:sz w:val="24"/>
                <w:szCs w:val="24"/>
              </w:rPr>
              <w:t>准确度</w:t>
            </w:r>
          </w:p>
        </w:tc>
      </w:tr>
      <w:tr w14:paraId="1B8E3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056" w:type="dxa"/>
            <w:tcBorders>
              <w:right w:val="single" w:color="auto" w:sz="4" w:space="0"/>
            </w:tcBorders>
            <w:noWrap w:val="0"/>
            <w:vAlign w:val="top"/>
          </w:tcPr>
          <w:p w14:paraId="1161205C">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加热温度</w:t>
            </w:r>
          </w:p>
        </w:tc>
        <w:tc>
          <w:tcPr>
            <w:tcW w:w="4125" w:type="dxa"/>
            <w:tcBorders>
              <w:left w:val="single" w:color="auto" w:sz="4" w:space="0"/>
              <w:right w:val="single" w:color="auto" w:sz="4" w:space="0"/>
            </w:tcBorders>
            <w:noWrap w:val="0"/>
            <w:vAlign w:val="top"/>
          </w:tcPr>
          <w:p w14:paraId="367CBCB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( 100~160）℃，可以设定（默认110℃）</w:t>
            </w:r>
          </w:p>
        </w:tc>
        <w:tc>
          <w:tcPr>
            <w:tcW w:w="1125" w:type="dxa"/>
            <w:tcBorders>
              <w:left w:val="single" w:color="auto" w:sz="4" w:space="0"/>
              <w:right w:val="single" w:color="auto" w:sz="4" w:space="0"/>
            </w:tcBorders>
            <w:noWrap w:val="0"/>
            <w:vAlign w:val="top"/>
          </w:tcPr>
          <w:p w14:paraId="7060FAC6">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c>
          <w:tcPr>
            <w:tcW w:w="1062" w:type="dxa"/>
            <w:tcBorders>
              <w:left w:val="single" w:color="auto" w:sz="4" w:space="0"/>
              <w:right w:val="single" w:color="auto" w:sz="4" w:space="0"/>
            </w:tcBorders>
            <w:noWrap w:val="0"/>
            <w:vAlign w:val="top"/>
          </w:tcPr>
          <w:p w14:paraId="5ADE7163">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±10℃</w:t>
            </w:r>
          </w:p>
        </w:tc>
      </w:tr>
      <w:tr w14:paraId="2088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56" w:type="dxa"/>
            <w:tcBorders>
              <w:right w:val="single" w:color="auto" w:sz="4" w:space="0"/>
            </w:tcBorders>
            <w:noWrap w:val="0"/>
            <w:vAlign w:val="top"/>
          </w:tcPr>
          <w:p w14:paraId="07775802">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加热功率</w:t>
            </w:r>
          </w:p>
        </w:tc>
        <w:tc>
          <w:tcPr>
            <w:tcW w:w="6312" w:type="dxa"/>
            <w:gridSpan w:val="3"/>
            <w:tcBorders>
              <w:left w:val="single" w:color="auto" w:sz="4" w:space="0"/>
              <w:right w:val="single" w:color="auto" w:sz="4" w:space="0"/>
            </w:tcBorders>
            <w:noWrap w:val="0"/>
            <w:vAlign w:val="top"/>
          </w:tcPr>
          <w:p w14:paraId="7BDA33CB">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100W</w:t>
            </w:r>
          </w:p>
        </w:tc>
      </w:tr>
      <w:tr w14:paraId="3021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56" w:type="dxa"/>
            <w:tcBorders>
              <w:right w:val="single" w:color="auto" w:sz="4" w:space="0"/>
            </w:tcBorders>
            <w:noWrap w:val="0"/>
            <w:vAlign w:val="top"/>
          </w:tcPr>
          <w:p w14:paraId="41C12323">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工作电源</w:t>
            </w:r>
          </w:p>
        </w:tc>
        <w:tc>
          <w:tcPr>
            <w:tcW w:w="6312" w:type="dxa"/>
            <w:gridSpan w:val="3"/>
            <w:tcBorders>
              <w:left w:val="single" w:color="auto" w:sz="4" w:space="0"/>
              <w:right w:val="single" w:color="auto" w:sz="4" w:space="0"/>
            </w:tcBorders>
            <w:noWrap w:val="0"/>
            <w:vAlign w:val="top"/>
          </w:tcPr>
          <w:p w14:paraId="6A1D9063">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DV24V 10A</w:t>
            </w:r>
          </w:p>
        </w:tc>
      </w:tr>
      <w:tr w14:paraId="28D0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56" w:type="dxa"/>
            <w:tcBorders>
              <w:right w:val="single" w:color="auto" w:sz="4" w:space="0"/>
            </w:tcBorders>
            <w:noWrap w:val="0"/>
            <w:vAlign w:val="top"/>
          </w:tcPr>
          <w:p w14:paraId="2591D8ED">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皮托管系数</w:t>
            </w:r>
          </w:p>
        </w:tc>
        <w:tc>
          <w:tcPr>
            <w:tcW w:w="6312" w:type="dxa"/>
            <w:gridSpan w:val="3"/>
            <w:tcBorders>
              <w:left w:val="single" w:color="auto" w:sz="4" w:space="0"/>
              <w:right w:val="single" w:color="auto" w:sz="4" w:space="0"/>
            </w:tcBorders>
            <w:noWrap w:val="0"/>
            <w:vAlign w:val="top"/>
          </w:tcPr>
          <w:p w14:paraId="4056BDAB">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0.84±0.01</w:t>
            </w:r>
          </w:p>
        </w:tc>
      </w:tr>
      <w:tr w14:paraId="26ECF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56" w:type="dxa"/>
            <w:tcBorders>
              <w:right w:val="single" w:color="auto" w:sz="4" w:space="0"/>
            </w:tcBorders>
            <w:noWrap w:val="0"/>
            <w:vAlign w:val="top"/>
          </w:tcPr>
          <w:p w14:paraId="49A5AF1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采样头滤膜直径</w:t>
            </w:r>
          </w:p>
        </w:tc>
        <w:tc>
          <w:tcPr>
            <w:tcW w:w="6312" w:type="dxa"/>
            <w:gridSpan w:val="3"/>
            <w:tcBorders>
              <w:left w:val="single" w:color="auto" w:sz="4" w:space="0"/>
              <w:right w:val="single" w:color="auto" w:sz="4" w:space="0"/>
            </w:tcBorders>
            <w:noWrap w:val="0"/>
            <w:vAlign w:val="top"/>
          </w:tcPr>
          <w:p w14:paraId="1B11750B">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Ø47（有效直径Ø40mm）</w:t>
            </w:r>
          </w:p>
        </w:tc>
      </w:tr>
      <w:tr w14:paraId="66B9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056" w:type="dxa"/>
            <w:tcBorders>
              <w:right w:val="single" w:color="auto" w:sz="4" w:space="0"/>
            </w:tcBorders>
            <w:noWrap w:val="0"/>
            <w:vAlign w:val="top"/>
          </w:tcPr>
          <w:p w14:paraId="0E327B7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滤筒规格</w:t>
            </w:r>
          </w:p>
        </w:tc>
        <w:tc>
          <w:tcPr>
            <w:tcW w:w="6312" w:type="dxa"/>
            <w:gridSpan w:val="3"/>
            <w:tcBorders>
              <w:left w:val="single" w:color="auto" w:sz="4" w:space="0"/>
              <w:right w:val="single" w:color="auto" w:sz="4" w:space="0"/>
            </w:tcBorders>
            <w:noWrap w:val="0"/>
            <w:vAlign w:val="top"/>
          </w:tcPr>
          <w:p w14:paraId="06ADECA0">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标准3#（φ28×70），可订制</w:t>
            </w:r>
          </w:p>
        </w:tc>
      </w:tr>
      <w:tr w14:paraId="3C7A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056" w:type="dxa"/>
            <w:tcBorders>
              <w:right w:val="single" w:color="auto" w:sz="4" w:space="0"/>
            </w:tcBorders>
            <w:noWrap w:val="0"/>
            <w:vAlign w:val="top"/>
          </w:tcPr>
          <w:p w14:paraId="20D64B70">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取样管长度</w:t>
            </w:r>
          </w:p>
        </w:tc>
        <w:tc>
          <w:tcPr>
            <w:tcW w:w="6312" w:type="dxa"/>
            <w:gridSpan w:val="3"/>
            <w:tcBorders>
              <w:left w:val="single" w:color="auto" w:sz="4" w:space="0"/>
              <w:right w:val="single" w:color="auto" w:sz="4" w:space="0"/>
            </w:tcBorders>
            <w:noWrap w:val="0"/>
            <w:vAlign w:val="top"/>
          </w:tcPr>
          <w:p w14:paraId="3A14481A">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标准1.5+1.5米（有效2.5米），可订制</w:t>
            </w:r>
          </w:p>
        </w:tc>
      </w:tr>
      <w:tr w14:paraId="4B2C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056" w:type="dxa"/>
            <w:tcBorders>
              <w:right w:val="single" w:color="auto" w:sz="4" w:space="0"/>
            </w:tcBorders>
            <w:noWrap w:val="0"/>
            <w:vAlign w:val="top"/>
          </w:tcPr>
          <w:p w14:paraId="7C699A58">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重    量</w:t>
            </w:r>
          </w:p>
        </w:tc>
        <w:tc>
          <w:tcPr>
            <w:tcW w:w="6312" w:type="dxa"/>
            <w:gridSpan w:val="3"/>
            <w:tcBorders>
              <w:left w:val="single" w:color="auto" w:sz="4" w:space="0"/>
              <w:right w:val="single" w:color="auto" w:sz="4" w:space="0"/>
            </w:tcBorders>
            <w:noWrap w:val="0"/>
            <w:vAlign w:val="top"/>
          </w:tcPr>
          <w:p w14:paraId="14D37574">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≤5kg(1.5+1.5米，不锈钢)</w:t>
            </w:r>
          </w:p>
        </w:tc>
      </w:tr>
      <w:tr w14:paraId="25C0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056" w:type="dxa"/>
            <w:tcBorders>
              <w:right w:val="single" w:color="auto" w:sz="4" w:space="0"/>
            </w:tcBorders>
            <w:noWrap w:val="0"/>
            <w:vAlign w:val="top"/>
          </w:tcPr>
          <w:p w14:paraId="063E8A3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测孔直径要求</w:t>
            </w:r>
          </w:p>
        </w:tc>
        <w:tc>
          <w:tcPr>
            <w:tcW w:w="6312" w:type="dxa"/>
            <w:gridSpan w:val="3"/>
            <w:tcBorders>
              <w:left w:val="single" w:color="auto" w:sz="4" w:space="0"/>
              <w:right w:val="single" w:color="auto" w:sz="4" w:space="0"/>
            </w:tcBorders>
            <w:noWrap w:val="0"/>
            <w:vAlign w:val="top"/>
          </w:tcPr>
          <w:p w14:paraId="44CFA885">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≥80mm</w:t>
            </w:r>
          </w:p>
        </w:tc>
      </w:tr>
      <w:tr w14:paraId="4F84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056" w:type="dxa"/>
            <w:tcBorders>
              <w:right w:val="single" w:color="auto" w:sz="4" w:space="0"/>
            </w:tcBorders>
            <w:noWrap w:val="0"/>
            <w:vAlign w:val="top"/>
          </w:tcPr>
          <w:p w14:paraId="3BA4F7AA">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取样管耐温</w:t>
            </w:r>
          </w:p>
        </w:tc>
        <w:tc>
          <w:tcPr>
            <w:tcW w:w="6312" w:type="dxa"/>
            <w:gridSpan w:val="3"/>
            <w:tcBorders>
              <w:left w:val="single" w:color="auto" w:sz="4" w:space="0"/>
              <w:right w:val="single" w:color="auto" w:sz="4" w:space="0"/>
            </w:tcBorders>
            <w:noWrap w:val="0"/>
            <w:vAlign w:val="top"/>
          </w:tcPr>
          <w:p w14:paraId="245EB71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≤260℃</w:t>
            </w:r>
          </w:p>
        </w:tc>
      </w:tr>
    </w:tbl>
    <w:p w14:paraId="2E59FD8F">
      <w:pPr>
        <w:tabs>
          <w:tab w:val="left" w:pos="2020"/>
          <w:tab w:val="center" w:pos="4535"/>
        </w:tabs>
        <w:spacing w:after="120" w:line="420" w:lineRule="exact"/>
        <w:rPr>
          <w:rFonts w:hint="eastAsia" w:ascii="楷体" w:hAnsi="楷体" w:eastAsia="楷体" w:cs="楷体"/>
          <w:sz w:val="24"/>
          <w:szCs w:val="24"/>
        </w:rPr>
      </w:pPr>
      <w:r>
        <w:rPr>
          <w:rFonts w:hint="eastAsia" w:ascii="楷体" w:hAnsi="楷体" w:eastAsia="楷体" w:cs="楷体"/>
          <w:b/>
          <w:bCs/>
          <w:sz w:val="24"/>
          <w:szCs w:val="24"/>
        </w:rPr>
        <w:t>3、配置要求：</w:t>
      </w:r>
      <w:r>
        <w:rPr>
          <w:rFonts w:hint="eastAsia" w:ascii="楷体" w:hAnsi="楷体" w:eastAsia="楷体" w:cs="楷体"/>
          <w:sz w:val="24"/>
          <w:szCs w:val="24"/>
        </w:rPr>
        <w:t></w:t>
      </w:r>
    </w:p>
    <w:p w14:paraId="2CF2186E">
      <w:pPr>
        <w:tabs>
          <w:tab w:val="left" w:pos="2020"/>
          <w:tab w:val="center" w:pos="4535"/>
        </w:tabs>
        <w:spacing w:after="120"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加长烟尘采样管1套、电源适配器1个、采样嘴（不锈钢）   1套、采样头专用拆装工具。</w:t>
      </w:r>
    </w:p>
    <w:p w14:paraId="120A6906">
      <w:pPr>
        <w:spacing w:line="420" w:lineRule="exact"/>
        <w:rPr>
          <w:rFonts w:hint="eastAsia" w:ascii="楷体" w:hAnsi="楷体" w:eastAsia="楷体" w:cs="楷体"/>
          <w:b/>
          <w:bCs/>
          <w:sz w:val="24"/>
          <w:szCs w:val="24"/>
        </w:rPr>
      </w:pPr>
    </w:p>
    <w:p w14:paraId="59E84D96">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（十二）便携式浊度仪技术参数</w:t>
      </w:r>
    </w:p>
    <w:p w14:paraId="011C20C2">
      <w:pPr>
        <w:spacing w:line="420" w:lineRule="exact"/>
        <w:jc w:val="left"/>
        <w:rPr>
          <w:rFonts w:hint="eastAsia" w:ascii="楷体" w:hAnsi="楷体" w:eastAsia="楷体" w:cs="楷体"/>
          <w:sz w:val="24"/>
          <w:szCs w:val="24"/>
        </w:rPr>
      </w:pPr>
      <w:r>
        <w:rPr>
          <w:rFonts w:hint="eastAsia" w:ascii="楷体" w:hAnsi="楷体" w:eastAsia="楷体" w:cs="楷体"/>
          <w:sz w:val="24"/>
          <w:szCs w:val="24"/>
        </w:rPr>
        <w:t>1、测定范围：5～200NTU</w:t>
      </w:r>
    </w:p>
    <w:p w14:paraId="163376B7">
      <w:pPr>
        <w:spacing w:line="420" w:lineRule="exact"/>
        <w:jc w:val="left"/>
        <w:rPr>
          <w:rFonts w:hint="eastAsia" w:ascii="楷体" w:hAnsi="楷体" w:eastAsia="楷体" w:cs="楷体"/>
          <w:sz w:val="24"/>
          <w:szCs w:val="24"/>
        </w:rPr>
      </w:pPr>
      <w:r>
        <w:rPr>
          <w:rFonts w:hint="eastAsia" w:ascii="楷体" w:hAnsi="楷体" w:eastAsia="楷体" w:cs="楷体"/>
          <w:sz w:val="24"/>
          <w:szCs w:val="24"/>
        </w:rPr>
        <w:t>2、示值下限：5NTU</w:t>
      </w:r>
    </w:p>
    <w:p w14:paraId="485C4F17">
      <w:pPr>
        <w:spacing w:line="420" w:lineRule="exact"/>
        <w:jc w:val="left"/>
        <w:rPr>
          <w:rFonts w:hint="eastAsia" w:ascii="楷体" w:hAnsi="楷体" w:eastAsia="楷体" w:cs="楷体"/>
          <w:sz w:val="24"/>
          <w:szCs w:val="24"/>
        </w:rPr>
      </w:pPr>
      <w:r>
        <w:rPr>
          <w:rFonts w:hint="eastAsia" w:ascii="楷体" w:hAnsi="楷体" w:eastAsia="楷体" w:cs="楷体"/>
          <w:sz w:val="24"/>
          <w:szCs w:val="24"/>
        </w:rPr>
        <w:t>3、示值误差：±5%</w:t>
      </w:r>
    </w:p>
    <w:p w14:paraId="1B15370C">
      <w:pPr>
        <w:spacing w:line="420" w:lineRule="exact"/>
        <w:jc w:val="left"/>
        <w:rPr>
          <w:rFonts w:hint="eastAsia" w:ascii="楷体" w:hAnsi="楷体" w:eastAsia="楷体" w:cs="楷体"/>
          <w:sz w:val="24"/>
          <w:szCs w:val="24"/>
        </w:rPr>
      </w:pPr>
      <w:r>
        <w:rPr>
          <w:rFonts w:hint="eastAsia" w:ascii="楷体" w:hAnsi="楷体" w:eastAsia="楷体" w:cs="楷体"/>
          <w:sz w:val="24"/>
          <w:szCs w:val="24"/>
        </w:rPr>
        <w:t>4、重复性：±3%</w:t>
      </w:r>
    </w:p>
    <w:p w14:paraId="4395FA76">
      <w:pPr>
        <w:spacing w:line="420" w:lineRule="exact"/>
        <w:jc w:val="left"/>
        <w:rPr>
          <w:rFonts w:hint="eastAsia" w:ascii="楷体" w:hAnsi="楷体" w:eastAsia="楷体" w:cs="楷体"/>
          <w:sz w:val="24"/>
          <w:szCs w:val="24"/>
        </w:rPr>
      </w:pPr>
      <w:r>
        <w:rPr>
          <w:rFonts w:hint="eastAsia" w:ascii="楷体" w:hAnsi="楷体" w:eastAsia="楷体" w:cs="楷体"/>
          <w:sz w:val="24"/>
          <w:szCs w:val="24"/>
        </w:rPr>
        <w:t>5、零点漂移：A＜0.001</w:t>
      </w:r>
    </w:p>
    <w:p w14:paraId="1316A2F2">
      <w:pPr>
        <w:spacing w:line="420" w:lineRule="exact"/>
        <w:jc w:val="left"/>
        <w:rPr>
          <w:rFonts w:hint="eastAsia" w:ascii="楷体" w:hAnsi="楷体" w:eastAsia="楷体" w:cs="楷体"/>
          <w:sz w:val="24"/>
          <w:szCs w:val="24"/>
        </w:rPr>
      </w:pPr>
      <w:r>
        <w:rPr>
          <w:rFonts w:hint="eastAsia" w:ascii="楷体" w:hAnsi="楷体" w:eastAsia="楷体" w:cs="楷体"/>
          <w:sz w:val="24"/>
          <w:szCs w:val="24"/>
        </w:rPr>
        <w:t>6、数据存储：内置高容量存储芯片，可存储≥500万个数据</w:t>
      </w:r>
    </w:p>
    <w:p w14:paraId="67AB282B">
      <w:pPr>
        <w:spacing w:line="420" w:lineRule="exact"/>
        <w:jc w:val="left"/>
        <w:rPr>
          <w:rFonts w:hint="eastAsia" w:ascii="楷体" w:hAnsi="楷体" w:eastAsia="楷体" w:cs="楷体"/>
          <w:sz w:val="24"/>
          <w:szCs w:val="24"/>
        </w:rPr>
      </w:pPr>
      <w:r>
        <w:rPr>
          <w:rFonts w:hint="eastAsia" w:ascii="楷体" w:hAnsi="楷体" w:eastAsia="楷体" w:cs="楷体"/>
          <w:sz w:val="24"/>
          <w:szCs w:val="24"/>
        </w:rPr>
        <w:t>7、工作电源：交直流两用供电</w:t>
      </w:r>
    </w:p>
    <w:p w14:paraId="49513135">
      <w:pPr>
        <w:spacing w:line="420" w:lineRule="exact"/>
        <w:rPr>
          <w:rFonts w:hint="eastAsia" w:ascii="楷体" w:hAnsi="楷体" w:eastAsia="楷体" w:cs="楷体"/>
          <w:sz w:val="24"/>
          <w:szCs w:val="24"/>
        </w:rPr>
      </w:pPr>
    </w:p>
    <w:p w14:paraId="337BC6D8">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（十三）便携式烟尘采样仪</w:t>
      </w:r>
      <w:r>
        <w:rPr>
          <w:rFonts w:hint="eastAsia" w:ascii="楷体" w:hAnsi="楷体" w:eastAsia="楷体" w:cs="楷体"/>
          <w:b/>
          <w:kern w:val="0"/>
          <w:sz w:val="24"/>
          <w:szCs w:val="24"/>
        </w:rPr>
        <w:t>技术</w:t>
      </w:r>
      <w:r>
        <w:rPr>
          <w:rFonts w:hint="eastAsia" w:ascii="楷体" w:hAnsi="楷体" w:eastAsia="楷体" w:cs="楷体"/>
          <w:b/>
          <w:kern w:val="0"/>
          <w:sz w:val="24"/>
          <w:szCs w:val="24"/>
          <w:lang w:val="en-US" w:eastAsia="zh-CN"/>
        </w:rPr>
        <w:t>要求</w:t>
      </w:r>
      <w:r>
        <w:rPr>
          <w:rFonts w:hint="eastAsia" w:ascii="楷体" w:hAnsi="楷体" w:eastAsia="楷体" w:cs="楷体"/>
          <w:b/>
          <w:bCs/>
          <w:sz w:val="24"/>
          <w:szCs w:val="24"/>
        </w:rPr>
        <w:t>及配置</w:t>
      </w:r>
    </w:p>
    <w:p w14:paraId="72395805">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1、技术参数</w:t>
      </w:r>
    </w:p>
    <w:p w14:paraId="2020FEA7">
      <w:pPr>
        <w:spacing w:line="420" w:lineRule="exact"/>
        <w:rPr>
          <w:rFonts w:hint="eastAsia" w:ascii="楷体" w:hAnsi="楷体" w:eastAsia="楷体" w:cs="楷体"/>
          <w:sz w:val="24"/>
          <w:szCs w:val="24"/>
        </w:rPr>
      </w:pPr>
      <w:r>
        <w:rPr>
          <w:rFonts w:hint="eastAsia" w:ascii="楷体" w:hAnsi="楷体" w:eastAsia="楷体" w:cs="楷体"/>
          <w:sz w:val="24"/>
          <w:szCs w:val="24"/>
        </w:rPr>
        <w:t>（1）性能要求：</w:t>
      </w:r>
    </w:p>
    <w:p w14:paraId="4035B5FD">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实时记录设备工作状态数据，具有采样过程停电记忆功能。</w:t>
      </w:r>
    </w:p>
    <w:p w14:paraId="5E790DB0">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具备含湿量检测多模式：兼容干湿球法和阻容法两种测量模式。</w:t>
      </w:r>
    </w:p>
    <w:p w14:paraId="11C56DFF">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具有烟尘采样和烟气测量同步运行功能。</w:t>
      </w:r>
    </w:p>
    <w:p w14:paraId="22B53204">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采用电子流量计控制流量，实时监测计温、计压，具有对流量做温度补偿功能。</w:t>
      </w:r>
    </w:p>
    <w:p w14:paraId="2110B20B">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具备故障自检功能。</w:t>
      </w:r>
    </w:p>
    <w:p w14:paraId="4AD54D0A">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具备气密性自动检测功能，可自动诊断气路的气密性。</w:t>
      </w:r>
    </w:p>
    <w:p w14:paraId="1A12237A">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 xml:space="preserve">触摸屏不小于5.0寸，抗干扰性好。 </w:t>
      </w:r>
    </w:p>
    <w:p w14:paraId="62D92208">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配备锂电池组电源，可同时给主机和低浓度烟尘多功能取样管，在流量具有电池和交流电双工作模式。</w:t>
      </w:r>
    </w:p>
    <w:p w14:paraId="14E42D5D">
      <w:pPr>
        <w:numPr>
          <w:ilvl w:val="0"/>
          <w:numId w:val="6"/>
        </w:numPr>
        <w:spacing w:line="420" w:lineRule="exac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 xml:space="preserve">配备无线有线双通信模式，无线流速检测模块可现场直读，也可无线传输，即插即用。     </w:t>
      </w:r>
    </w:p>
    <w:p w14:paraId="5244A00D">
      <w:pPr>
        <w:spacing w:line="420" w:lineRule="exact"/>
        <w:rPr>
          <w:rFonts w:hint="eastAsia" w:ascii="楷体" w:hAnsi="楷体" w:eastAsia="楷体" w:cs="楷体"/>
          <w:sz w:val="24"/>
          <w:szCs w:val="24"/>
        </w:rPr>
      </w:pPr>
      <w:r>
        <w:rPr>
          <w:rFonts w:hint="eastAsia" w:ascii="楷体" w:hAnsi="楷体" w:eastAsia="楷体" w:cs="楷体"/>
          <w:sz w:val="24"/>
          <w:szCs w:val="24"/>
        </w:rPr>
        <w:t xml:space="preserve">（2）技术指标 </w:t>
      </w:r>
    </w:p>
    <w:tbl>
      <w:tblPr>
        <w:tblStyle w:val="68"/>
        <w:tblpPr w:leftFromText="180" w:rightFromText="180" w:vertAnchor="text" w:horzAnchor="margin" w:tblpY="69"/>
        <w:tblW w:w="77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2050"/>
        <w:gridCol w:w="1388"/>
        <w:gridCol w:w="2475"/>
      </w:tblGrid>
      <w:tr w14:paraId="6324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751" w:type="dxa"/>
            <w:gridSpan w:val="4"/>
            <w:tcBorders>
              <w:bottom w:val="single" w:color="auto" w:sz="4" w:space="0"/>
              <w:right w:val="single" w:color="auto" w:sz="4" w:space="0"/>
            </w:tcBorders>
            <w:shd w:val="clear" w:color="auto" w:fill="FFFFFF"/>
            <w:noWrap/>
            <w:vAlign w:val="top"/>
          </w:tcPr>
          <w:p w14:paraId="7D14E97D">
            <w:pPr>
              <w:autoSpaceDE w:val="0"/>
              <w:autoSpaceDN w:val="0"/>
              <w:spacing w:line="420" w:lineRule="exact"/>
              <w:jc w:val="left"/>
              <w:rPr>
                <w:rFonts w:hint="eastAsia" w:ascii="楷体" w:hAnsi="楷体" w:eastAsia="楷体" w:cs="楷体"/>
                <w:sz w:val="24"/>
                <w:szCs w:val="24"/>
              </w:rPr>
            </w:pPr>
            <w:r>
              <w:rPr>
                <w:rFonts w:hint="eastAsia" w:ascii="楷体" w:hAnsi="楷体" w:eastAsia="楷体" w:cs="楷体"/>
                <w:kern w:val="0"/>
                <w:sz w:val="24"/>
                <w:szCs w:val="24"/>
              </w:rPr>
              <w:t>烟尘采样技术指标</w:t>
            </w:r>
          </w:p>
        </w:tc>
      </w:tr>
      <w:tr w14:paraId="4AFCA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shd w:val="clear" w:color="auto" w:fill="FFFFFF"/>
            <w:noWrap/>
            <w:vAlign w:val="top"/>
          </w:tcPr>
          <w:p w14:paraId="682CC53E">
            <w:pPr>
              <w:autoSpaceDE w:val="0"/>
              <w:autoSpaceDN w:val="0"/>
              <w:spacing w:line="420" w:lineRule="exact"/>
              <w:rPr>
                <w:rFonts w:hint="eastAsia" w:ascii="楷体" w:hAnsi="楷体" w:eastAsia="楷体" w:cs="楷体"/>
                <w:sz w:val="24"/>
                <w:szCs w:val="24"/>
              </w:rPr>
            </w:pPr>
            <w:r>
              <w:rPr>
                <w:rFonts w:hint="eastAsia" w:ascii="楷体" w:hAnsi="楷体" w:eastAsia="楷体" w:cs="楷体"/>
                <w:sz w:val="24"/>
                <w:szCs w:val="24"/>
              </w:rPr>
              <w:t>主要参数</w:t>
            </w:r>
          </w:p>
        </w:tc>
        <w:tc>
          <w:tcPr>
            <w:tcW w:w="2050" w:type="dxa"/>
            <w:tcBorders>
              <w:left w:val="single" w:color="auto" w:sz="4" w:space="0"/>
              <w:right w:val="single" w:color="auto" w:sz="4" w:space="0"/>
            </w:tcBorders>
            <w:shd w:val="clear" w:color="auto" w:fill="FFFFFF"/>
            <w:noWrap/>
            <w:vAlign w:val="top"/>
          </w:tcPr>
          <w:p w14:paraId="1B9E5C33">
            <w:pPr>
              <w:autoSpaceDE w:val="0"/>
              <w:autoSpaceDN w:val="0"/>
              <w:spacing w:line="420" w:lineRule="exact"/>
              <w:jc w:val="left"/>
              <w:rPr>
                <w:rFonts w:hint="eastAsia" w:ascii="楷体" w:hAnsi="楷体" w:eastAsia="楷体" w:cs="楷体"/>
                <w:sz w:val="24"/>
                <w:szCs w:val="24"/>
              </w:rPr>
            </w:pPr>
            <w:r>
              <w:rPr>
                <w:rFonts w:hint="eastAsia" w:ascii="楷体" w:hAnsi="楷体" w:eastAsia="楷体" w:cs="楷体"/>
                <w:sz w:val="24"/>
                <w:szCs w:val="24"/>
              </w:rPr>
              <w:t>参数范围</w:t>
            </w:r>
          </w:p>
        </w:tc>
        <w:tc>
          <w:tcPr>
            <w:tcW w:w="1388" w:type="dxa"/>
            <w:tcBorders>
              <w:left w:val="single" w:color="auto" w:sz="4" w:space="0"/>
              <w:right w:val="single" w:color="auto" w:sz="4" w:space="0"/>
            </w:tcBorders>
            <w:shd w:val="clear" w:color="auto" w:fill="FFFFFF"/>
            <w:noWrap/>
            <w:vAlign w:val="top"/>
          </w:tcPr>
          <w:p w14:paraId="6A8CFD6B">
            <w:pPr>
              <w:autoSpaceDE w:val="0"/>
              <w:autoSpaceDN w:val="0"/>
              <w:spacing w:line="420" w:lineRule="exact"/>
              <w:jc w:val="left"/>
              <w:rPr>
                <w:rFonts w:hint="eastAsia" w:ascii="楷体" w:hAnsi="楷体" w:eastAsia="楷体" w:cs="楷体"/>
                <w:sz w:val="24"/>
                <w:szCs w:val="24"/>
              </w:rPr>
            </w:pPr>
            <w:r>
              <w:rPr>
                <w:rFonts w:hint="eastAsia" w:ascii="楷体" w:hAnsi="楷体" w:eastAsia="楷体" w:cs="楷体"/>
                <w:sz w:val="24"/>
                <w:szCs w:val="24"/>
              </w:rPr>
              <w:t>分辨率</w:t>
            </w:r>
          </w:p>
        </w:tc>
        <w:tc>
          <w:tcPr>
            <w:tcW w:w="2475" w:type="dxa"/>
            <w:tcBorders>
              <w:left w:val="single" w:color="auto" w:sz="4" w:space="0"/>
              <w:right w:val="single" w:color="auto" w:sz="4" w:space="0"/>
            </w:tcBorders>
            <w:shd w:val="clear" w:color="auto" w:fill="FFFFFF"/>
            <w:noWrap/>
            <w:vAlign w:val="top"/>
          </w:tcPr>
          <w:p w14:paraId="57AAFF5A">
            <w:pPr>
              <w:autoSpaceDE w:val="0"/>
              <w:autoSpaceDN w:val="0"/>
              <w:spacing w:line="420" w:lineRule="exact"/>
              <w:jc w:val="left"/>
              <w:rPr>
                <w:rFonts w:hint="eastAsia" w:ascii="楷体" w:hAnsi="楷体" w:eastAsia="楷体" w:cs="楷体"/>
                <w:sz w:val="24"/>
                <w:szCs w:val="24"/>
              </w:rPr>
            </w:pPr>
            <w:r>
              <w:rPr>
                <w:rFonts w:hint="eastAsia" w:ascii="楷体" w:hAnsi="楷体" w:eastAsia="楷体" w:cs="楷体"/>
                <w:sz w:val="24"/>
                <w:szCs w:val="24"/>
              </w:rPr>
              <w:t>准确度</w:t>
            </w:r>
          </w:p>
        </w:tc>
      </w:tr>
      <w:tr w14:paraId="334A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49C94B8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▲采样流量</w:t>
            </w:r>
          </w:p>
        </w:tc>
        <w:tc>
          <w:tcPr>
            <w:tcW w:w="2050" w:type="dxa"/>
            <w:tcBorders>
              <w:left w:val="single" w:color="auto" w:sz="4" w:space="0"/>
              <w:right w:val="single" w:color="auto" w:sz="4" w:space="0"/>
            </w:tcBorders>
            <w:noWrap/>
            <w:vAlign w:val="top"/>
          </w:tcPr>
          <w:p w14:paraId="6E291ABA">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(0～80) L/min</w:t>
            </w:r>
          </w:p>
        </w:tc>
        <w:tc>
          <w:tcPr>
            <w:tcW w:w="1388" w:type="dxa"/>
            <w:tcBorders>
              <w:left w:val="single" w:color="auto" w:sz="4" w:space="0"/>
              <w:right w:val="single" w:color="auto" w:sz="4" w:space="0"/>
            </w:tcBorders>
            <w:noWrap/>
            <w:vAlign w:val="top"/>
          </w:tcPr>
          <w:p w14:paraId="78361EC3">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 L/min</w:t>
            </w:r>
          </w:p>
        </w:tc>
        <w:tc>
          <w:tcPr>
            <w:tcW w:w="2475" w:type="dxa"/>
            <w:tcBorders>
              <w:left w:val="single" w:color="auto" w:sz="4" w:space="0"/>
              <w:right w:val="single" w:color="auto" w:sz="4" w:space="0"/>
            </w:tcBorders>
            <w:noWrap/>
            <w:vAlign w:val="top"/>
          </w:tcPr>
          <w:p w14:paraId="7F0E1F21">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不超过±2.5%</w:t>
            </w:r>
          </w:p>
        </w:tc>
      </w:tr>
      <w:tr w14:paraId="6CB2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2EDD1BF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烟气动压</w:t>
            </w:r>
          </w:p>
        </w:tc>
        <w:tc>
          <w:tcPr>
            <w:tcW w:w="2050" w:type="dxa"/>
            <w:tcBorders>
              <w:left w:val="single" w:color="auto" w:sz="4" w:space="0"/>
              <w:right w:val="single" w:color="auto" w:sz="4" w:space="0"/>
            </w:tcBorders>
            <w:noWrap/>
            <w:vAlign w:val="top"/>
          </w:tcPr>
          <w:p w14:paraId="6B3A7994">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(0～2000) Pa</w:t>
            </w:r>
          </w:p>
        </w:tc>
        <w:tc>
          <w:tcPr>
            <w:tcW w:w="1388" w:type="dxa"/>
            <w:tcBorders>
              <w:left w:val="single" w:color="auto" w:sz="4" w:space="0"/>
              <w:right w:val="single" w:color="auto" w:sz="4" w:space="0"/>
            </w:tcBorders>
            <w:noWrap/>
            <w:vAlign w:val="top"/>
          </w:tcPr>
          <w:p w14:paraId="73763D12">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 Pa</w:t>
            </w:r>
          </w:p>
        </w:tc>
        <w:tc>
          <w:tcPr>
            <w:tcW w:w="2475" w:type="dxa"/>
            <w:tcBorders>
              <w:left w:val="single" w:color="auto" w:sz="4" w:space="0"/>
              <w:right w:val="single" w:color="auto" w:sz="4" w:space="0"/>
            </w:tcBorders>
            <w:noWrap/>
            <w:vAlign w:val="top"/>
          </w:tcPr>
          <w:p w14:paraId="133AF5CB">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不超过±1%FS</w:t>
            </w:r>
          </w:p>
        </w:tc>
      </w:tr>
      <w:tr w14:paraId="133E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741A0301">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烟气静压</w:t>
            </w:r>
          </w:p>
        </w:tc>
        <w:tc>
          <w:tcPr>
            <w:tcW w:w="2050" w:type="dxa"/>
            <w:tcBorders>
              <w:left w:val="single" w:color="auto" w:sz="4" w:space="0"/>
              <w:right w:val="single" w:color="auto" w:sz="4" w:space="0"/>
            </w:tcBorders>
            <w:noWrap/>
            <w:vAlign w:val="top"/>
          </w:tcPr>
          <w:p w14:paraId="60D36DC1">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(-30～＋30) kPa</w:t>
            </w:r>
          </w:p>
        </w:tc>
        <w:tc>
          <w:tcPr>
            <w:tcW w:w="1388" w:type="dxa"/>
            <w:tcBorders>
              <w:left w:val="single" w:color="auto" w:sz="4" w:space="0"/>
              <w:right w:val="single" w:color="auto" w:sz="4" w:space="0"/>
            </w:tcBorders>
            <w:noWrap/>
            <w:vAlign w:val="top"/>
          </w:tcPr>
          <w:p w14:paraId="4FA3E97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0.01 kPa</w:t>
            </w:r>
          </w:p>
        </w:tc>
        <w:tc>
          <w:tcPr>
            <w:tcW w:w="2475" w:type="dxa"/>
            <w:tcBorders>
              <w:left w:val="single" w:color="auto" w:sz="4" w:space="0"/>
              <w:right w:val="single" w:color="auto" w:sz="4" w:space="0"/>
            </w:tcBorders>
            <w:noWrap/>
            <w:vAlign w:val="top"/>
          </w:tcPr>
          <w:p w14:paraId="37E0E57A">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不超过±1%FS</w:t>
            </w:r>
          </w:p>
        </w:tc>
      </w:tr>
      <w:tr w14:paraId="0B9BC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777ED9E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流量计前压力</w:t>
            </w:r>
          </w:p>
        </w:tc>
        <w:tc>
          <w:tcPr>
            <w:tcW w:w="2050" w:type="dxa"/>
            <w:tcBorders>
              <w:left w:val="single" w:color="auto" w:sz="4" w:space="0"/>
              <w:right w:val="single" w:color="auto" w:sz="4" w:space="0"/>
            </w:tcBorders>
            <w:noWrap/>
            <w:vAlign w:val="top"/>
          </w:tcPr>
          <w:p w14:paraId="042D1E8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(-30～0) kPa</w:t>
            </w:r>
          </w:p>
        </w:tc>
        <w:tc>
          <w:tcPr>
            <w:tcW w:w="1388" w:type="dxa"/>
            <w:tcBorders>
              <w:left w:val="single" w:color="auto" w:sz="4" w:space="0"/>
              <w:right w:val="single" w:color="auto" w:sz="4" w:space="0"/>
            </w:tcBorders>
            <w:noWrap/>
            <w:vAlign w:val="top"/>
          </w:tcPr>
          <w:p w14:paraId="13FED925">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0.01 kPa</w:t>
            </w:r>
          </w:p>
        </w:tc>
        <w:tc>
          <w:tcPr>
            <w:tcW w:w="2475" w:type="dxa"/>
            <w:tcBorders>
              <w:left w:val="single" w:color="auto" w:sz="4" w:space="0"/>
              <w:right w:val="single" w:color="auto" w:sz="4" w:space="0"/>
            </w:tcBorders>
            <w:noWrap/>
            <w:vAlign w:val="top"/>
          </w:tcPr>
          <w:p w14:paraId="0789E592">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不超过±1%FS</w:t>
            </w:r>
          </w:p>
        </w:tc>
      </w:tr>
      <w:tr w14:paraId="1167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1446DA7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流量计前温度</w:t>
            </w:r>
          </w:p>
        </w:tc>
        <w:tc>
          <w:tcPr>
            <w:tcW w:w="2050" w:type="dxa"/>
            <w:tcBorders>
              <w:left w:val="single" w:color="auto" w:sz="4" w:space="0"/>
              <w:right w:val="single" w:color="auto" w:sz="4" w:space="0"/>
            </w:tcBorders>
            <w:noWrap/>
            <w:vAlign w:val="top"/>
          </w:tcPr>
          <w:p w14:paraId="19035311">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(-55～125)℃</w:t>
            </w:r>
          </w:p>
        </w:tc>
        <w:tc>
          <w:tcPr>
            <w:tcW w:w="1388" w:type="dxa"/>
            <w:tcBorders>
              <w:left w:val="single" w:color="auto" w:sz="4" w:space="0"/>
              <w:right w:val="single" w:color="auto" w:sz="4" w:space="0"/>
            </w:tcBorders>
            <w:noWrap/>
            <w:vAlign w:val="top"/>
          </w:tcPr>
          <w:p w14:paraId="5FD3310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2475" w:type="dxa"/>
            <w:tcBorders>
              <w:left w:val="single" w:color="auto" w:sz="4" w:space="0"/>
              <w:right w:val="single" w:color="auto" w:sz="4" w:space="0"/>
            </w:tcBorders>
            <w:noWrap/>
            <w:vAlign w:val="top"/>
          </w:tcPr>
          <w:p w14:paraId="04772E8C">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不超过±2.5℃</w:t>
            </w:r>
          </w:p>
        </w:tc>
      </w:tr>
      <w:tr w14:paraId="5682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64EBE154">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大气压</w:t>
            </w:r>
          </w:p>
        </w:tc>
        <w:tc>
          <w:tcPr>
            <w:tcW w:w="2050" w:type="dxa"/>
            <w:tcBorders>
              <w:left w:val="single" w:color="auto" w:sz="4" w:space="0"/>
              <w:right w:val="single" w:color="auto" w:sz="4" w:space="0"/>
            </w:tcBorders>
            <w:noWrap/>
            <w:vAlign w:val="top"/>
          </w:tcPr>
          <w:p w14:paraId="3C66CF5C">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(50-130）kPa</w:t>
            </w:r>
          </w:p>
        </w:tc>
        <w:tc>
          <w:tcPr>
            <w:tcW w:w="1388" w:type="dxa"/>
            <w:tcBorders>
              <w:left w:val="single" w:color="auto" w:sz="4" w:space="0"/>
              <w:right w:val="single" w:color="auto" w:sz="4" w:space="0"/>
            </w:tcBorders>
            <w:noWrap/>
            <w:vAlign w:val="top"/>
          </w:tcPr>
          <w:p w14:paraId="67CAAAF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0.01kPa</w:t>
            </w:r>
          </w:p>
        </w:tc>
        <w:tc>
          <w:tcPr>
            <w:tcW w:w="2475" w:type="dxa"/>
            <w:tcBorders>
              <w:left w:val="single" w:color="auto" w:sz="4" w:space="0"/>
              <w:right w:val="single" w:color="auto" w:sz="4" w:space="0"/>
            </w:tcBorders>
            <w:noWrap/>
            <w:vAlign w:val="top"/>
          </w:tcPr>
          <w:p w14:paraId="05AD6AAF">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不超过±500Pa</w:t>
            </w:r>
          </w:p>
        </w:tc>
      </w:tr>
      <w:tr w14:paraId="4803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838" w:type="dxa"/>
            <w:tcBorders>
              <w:right w:val="single" w:color="auto" w:sz="4" w:space="0"/>
            </w:tcBorders>
            <w:noWrap/>
            <w:vAlign w:val="top"/>
          </w:tcPr>
          <w:p w14:paraId="5F47FF26">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烟气温度</w:t>
            </w:r>
          </w:p>
        </w:tc>
        <w:tc>
          <w:tcPr>
            <w:tcW w:w="2050" w:type="dxa"/>
            <w:tcBorders>
              <w:left w:val="single" w:color="auto" w:sz="4" w:space="0"/>
              <w:right w:val="single" w:color="auto" w:sz="4" w:space="0"/>
            </w:tcBorders>
            <w:noWrap/>
            <w:vAlign w:val="top"/>
          </w:tcPr>
          <w:p w14:paraId="363E6C0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(0～500)℃</w:t>
            </w:r>
          </w:p>
        </w:tc>
        <w:tc>
          <w:tcPr>
            <w:tcW w:w="1388" w:type="dxa"/>
            <w:tcBorders>
              <w:left w:val="single" w:color="auto" w:sz="4" w:space="0"/>
              <w:right w:val="single" w:color="auto" w:sz="4" w:space="0"/>
            </w:tcBorders>
            <w:noWrap/>
            <w:vAlign w:val="top"/>
          </w:tcPr>
          <w:p w14:paraId="688D464E">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2475" w:type="dxa"/>
            <w:tcBorders>
              <w:left w:val="single" w:color="auto" w:sz="4" w:space="0"/>
              <w:right w:val="single" w:color="auto" w:sz="4" w:space="0"/>
            </w:tcBorders>
            <w:noWrap/>
            <w:vAlign w:val="top"/>
          </w:tcPr>
          <w:p w14:paraId="1D475D93">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不超过±3℃</w:t>
            </w:r>
          </w:p>
        </w:tc>
      </w:tr>
      <w:tr w14:paraId="6534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444FB5B8">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干、湿球温度</w:t>
            </w:r>
          </w:p>
        </w:tc>
        <w:tc>
          <w:tcPr>
            <w:tcW w:w="2050" w:type="dxa"/>
            <w:tcBorders>
              <w:left w:val="single" w:color="auto" w:sz="4" w:space="0"/>
              <w:right w:val="single" w:color="auto" w:sz="4" w:space="0"/>
            </w:tcBorders>
            <w:noWrap/>
            <w:vAlign w:val="top"/>
          </w:tcPr>
          <w:p w14:paraId="16BA8B05">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(0～100)℃</w:t>
            </w:r>
          </w:p>
        </w:tc>
        <w:tc>
          <w:tcPr>
            <w:tcW w:w="1388" w:type="dxa"/>
            <w:tcBorders>
              <w:left w:val="single" w:color="auto" w:sz="4" w:space="0"/>
              <w:right w:val="single" w:color="auto" w:sz="4" w:space="0"/>
            </w:tcBorders>
            <w:noWrap/>
            <w:vAlign w:val="top"/>
          </w:tcPr>
          <w:p w14:paraId="597359E2">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2475" w:type="dxa"/>
            <w:tcBorders>
              <w:left w:val="single" w:color="auto" w:sz="4" w:space="0"/>
              <w:right w:val="single" w:color="auto" w:sz="4" w:space="0"/>
            </w:tcBorders>
            <w:noWrap/>
            <w:vAlign w:val="top"/>
          </w:tcPr>
          <w:p w14:paraId="7BE84B6F">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不超过±1.5%</w:t>
            </w:r>
          </w:p>
        </w:tc>
      </w:tr>
      <w:tr w14:paraId="6C37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1045FA9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最大采样体积</w:t>
            </w:r>
          </w:p>
        </w:tc>
        <w:tc>
          <w:tcPr>
            <w:tcW w:w="2050" w:type="dxa"/>
            <w:tcBorders>
              <w:left w:val="single" w:color="auto" w:sz="4" w:space="0"/>
              <w:right w:val="single" w:color="auto" w:sz="4" w:space="0"/>
            </w:tcBorders>
            <w:noWrap/>
            <w:vAlign w:val="top"/>
          </w:tcPr>
          <w:p w14:paraId="2CDFECAA">
            <w:pPr>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9999.9 L</w:t>
            </w:r>
          </w:p>
        </w:tc>
        <w:tc>
          <w:tcPr>
            <w:tcW w:w="1388" w:type="dxa"/>
            <w:tcBorders>
              <w:left w:val="single" w:color="auto" w:sz="4" w:space="0"/>
              <w:right w:val="single" w:color="auto" w:sz="4" w:space="0"/>
            </w:tcBorders>
            <w:noWrap/>
            <w:vAlign w:val="top"/>
          </w:tcPr>
          <w:p w14:paraId="13D4CC0C">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 L</w:t>
            </w:r>
          </w:p>
        </w:tc>
        <w:tc>
          <w:tcPr>
            <w:tcW w:w="2475" w:type="dxa"/>
            <w:tcBorders>
              <w:left w:val="single" w:color="auto" w:sz="4" w:space="0"/>
              <w:right w:val="single" w:color="auto" w:sz="4" w:space="0"/>
            </w:tcBorders>
            <w:noWrap/>
            <w:vAlign w:val="top"/>
          </w:tcPr>
          <w:p w14:paraId="36CFA91F">
            <w:pPr>
              <w:autoSpaceDE w:val="0"/>
              <w:autoSpaceDN w:val="0"/>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不超过±2.5%</w:t>
            </w:r>
          </w:p>
        </w:tc>
      </w:tr>
      <w:tr w14:paraId="4C2C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838" w:type="dxa"/>
            <w:tcBorders>
              <w:right w:val="single" w:color="auto" w:sz="4" w:space="0"/>
            </w:tcBorders>
            <w:noWrap/>
            <w:vAlign w:val="top"/>
          </w:tcPr>
          <w:p w14:paraId="7A3A318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等速采样流速</w:t>
            </w:r>
          </w:p>
        </w:tc>
        <w:tc>
          <w:tcPr>
            <w:tcW w:w="2050" w:type="dxa"/>
            <w:tcBorders>
              <w:left w:val="single" w:color="auto" w:sz="4" w:space="0"/>
              <w:right w:val="single" w:color="auto" w:sz="4" w:space="0"/>
            </w:tcBorders>
            <w:noWrap/>
            <w:vAlign w:val="top"/>
          </w:tcPr>
          <w:p w14:paraId="24C6F543">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(5～45)m/s</w:t>
            </w:r>
          </w:p>
        </w:tc>
        <w:tc>
          <w:tcPr>
            <w:tcW w:w="1388" w:type="dxa"/>
            <w:tcBorders>
              <w:left w:val="single" w:color="auto" w:sz="4" w:space="0"/>
              <w:right w:val="single" w:color="auto" w:sz="4" w:space="0"/>
            </w:tcBorders>
            <w:noWrap/>
            <w:vAlign w:val="top"/>
          </w:tcPr>
          <w:p w14:paraId="07EA704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 m/s</w:t>
            </w:r>
          </w:p>
        </w:tc>
        <w:tc>
          <w:tcPr>
            <w:tcW w:w="2475" w:type="dxa"/>
            <w:tcBorders>
              <w:left w:val="single" w:color="auto" w:sz="4" w:space="0"/>
              <w:right w:val="single" w:color="auto" w:sz="4" w:space="0"/>
            </w:tcBorders>
            <w:noWrap/>
            <w:vAlign w:val="top"/>
          </w:tcPr>
          <w:p w14:paraId="377E4735">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不超过±5%</w:t>
            </w:r>
          </w:p>
        </w:tc>
      </w:tr>
      <w:tr w14:paraId="6E86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6546451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等速跟踪响应时间</w:t>
            </w:r>
          </w:p>
        </w:tc>
        <w:tc>
          <w:tcPr>
            <w:tcW w:w="5913" w:type="dxa"/>
            <w:gridSpan w:val="3"/>
            <w:tcBorders>
              <w:left w:val="single" w:color="auto" w:sz="4" w:space="0"/>
              <w:right w:val="single" w:color="auto" w:sz="4" w:space="0"/>
            </w:tcBorders>
            <w:noWrap/>
            <w:vAlign w:val="top"/>
          </w:tcPr>
          <w:p w14:paraId="491CBD1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不超过20s</w:t>
            </w:r>
          </w:p>
        </w:tc>
      </w:tr>
      <w:tr w14:paraId="518A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right w:val="single" w:color="auto" w:sz="4" w:space="0"/>
            </w:tcBorders>
            <w:noWrap/>
            <w:vAlign w:val="top"/>
          </w:tcPr>
          <w:p w14:paraId="6F3C3A46">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▲采样泵负载能力</w:t>
            </w:r>
          </w:p>
        </w:tc>
        <w:tc>
          <w:tcPr>
            <w:tcW w:w="5913" w:type="dxa"/>
            <w:gridSpan w:val="3"/>
            <w:tcBorders>
              <w:left w:val="single" w:color="auto" w:sz="4" w:space="0"/>
              <w:right w:val="single" w:color="auto" w:sz="4" w:space="0"/>
            </w:tcBorders>
            <w:noWrap/>
            <w:vAlign w:val="top"/>
          </w:tcPr>
          <w:p w14:paraId="5490A7B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≥30 L/min (阻力为20kPa时)</w:t>
            </w:r>
          </w:p>
        </w:tc>
      </w:tr>
      <w:tr w14:paraId="4EFFE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tcBorders>
              <w:bottom w:val="single" w:color="auto" w:sz="4" w:space="0"/>
              <w:right w:val="single" w:color="auto" w:sz="4" w:space="0"/>
            </w:tcBorders>
            <w:noWrap/>
            <w:vAlign w:val="top"/>
          </w:tcPr>
          <w:p w14:paraId="78B9EADD">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主机重量</w:t>
            </w:r>
          </w:p>
        </w:tc>
        <w:tc>
          <w:tcPr>
            <w:tcW w:w="5913" w:type="dxa"/>
            <w:gridSpan w:val="3"/>
            <w:tcBorders>
              <w:left w:val="single" w:color="auto" w:sz="4" w:space="0"/>
              <w:bottom w:val="single" w:color="auto" w:sz="4" w:space="0"/>
              <w:right w:val="single" w:color="auto" w:sz="4" w:space="0"/>
            </w:tcBorders>
            <w:noWrap/>
            <w:vAlign w:val="top"/>
          </w:tcPr>
          <w:p w14:paraId="09AE152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＜4.5 kg</w:t>
            </w:r>
          </w:p>
        </w:tc>
      </w:tr>
    </w:tbl>
    <w:p w14:paraId="2A6EF1ED">
      <w:pPr>
        <w:spacing w:line="420" w:lineRule="exact"/>
        <w:rPr>
          <w:rFonts w:hint="eastAsia" w:ascii="楷体" w:hAnsi="楷体" w:eastAsia="楷体" w:cs="楷体"/>
          <w:sz w:val="24"/>
          <w:szCs w:val="24"/>
        </w:rPr>
      </w:pPr>
    </w:p>
    <w:p w14:paraId="2C722B1C">
      <w:pPr>
        <w:spacing w:line="420" w:lineRule="exact"/>
        <w:rPr>
          <w:rFonts w:hint="eastAsia" w:ascii="楷体" w:hAnsi="楷体" w:eastAsia="楷体" w:cs="楷体"/>
          <w:sz w:val="24"/>
          <w:szCs w:val="24"/>
        </w:rPr>
      </w:pPr>
    </w:p>
    <w:p w14:paraId="1DED772A">
      <w:pPr>
        <w:spacing w:line="420" w:lineRule="exact"/>
        <w:rPr>
          <w:rFonts w:hint="eastAsia" w:ascii="楷体" w:hAnsi="楷体" w:eastAsia="楷体" w:cs="楷体"/>
          <w:sz w:val="24"/>
          <w:szCs w:val="24"/>
        </w:rPr>
      </w:pPr>
    </w:p>
    <w:p w14:paraId="1FA1DB26">
      <w:pPr>
        <w:spacing w:line="420" w:lineRule="exact"/>
        <w:rPr>
          <w:rFonts w:hint="eastAsia" w:ascii="楷体" w:hAnsi="楷体" w:eastAsia="楷体" w:cs="楷体"/>
          <w:b/>
          <w:sz w:val="24"/>
          <w:szCs w:val="24"/>
        </w:rPr>
      </w:pPr>
    </w:p>
    <w:p w14:paraId="22762640">
      <w:pPr>
        <w:spacing w:line="420" w:lineRule="exact"/>
        <w:rPr>
          <w:rFonts w:hint="eastAsia" w:ascii="楷体" w:hAnsi="楷体" w:eastAsia="楷体" w:cs="楷体"/>
          <w:b/>
          <w:sz w:val="24"/>
          <w:szCs w:val="24"/>
        </w:rPr>
      </w:pPr>
    </w:p>
    <w:p w14:paraId="02FD7C76">
      <w:pPr>
        <w:spacing w:line="420" w:lineRule="exact"/>
        <w:rPr>
          <w:rFonts w:hint="eastAsia" w:ascii="楷体" w:hAnsi="楷体" w:eastAsia="楷体" w:cs="楷体"/>
          <w:b/>
          <w:sz w:val="24"/>
          <w:szCs w:val="24"/>
        </w:rPr>
      </w:pPr>
    </w:p>
    <w:p w14:paraId="57C00E50">
      <w:pPr>
        <w:spacing w:line="420" w:lineRule="exact"/>
        <w:rPr>
          <w:rFonts w:hint="eastAsia" w:ascii="楷体" w:hAnsi="楷体" w:eastAsia="楷体" w:cs="楷体"/>
          <w:b/>
          <w:sz w:val="24"/>
          <w:szCs w:val="24"/>
        </w:rPr>
      </w:pPr>
    </w:p>
    <w:p w14:paraId="0E907988">
      <w:pPr>
        <w:spacing w:line="420" w:lineRule="exact"/>
        <w:rPr>
          <w:rFonts w:hint="eastAsia" w:ascii="楷体" w:hAnsi="楷体" w:eastAsia="楷体" w:cs="楷体"/>
          <w:b/>
          <w:sz w:val="24"/>
          <w:szCs w:val="24"/>
        </w:rPr>
      </w:pPr>
    </w:p>
    <w:p w14:paraId="60FBB90A">
      <w:pPr>
        <w:spacing w:line="420" w:lineRule="exact"/>
        <w:rPr>
          <w:rFonts w:hint="eastAsia" w:ascii="楷体" w:hAnsi="楷体" w:eastAsia="楷体" w:cs="楷体"/>
          <w:b/>
          <w:sz w:val="24"/>
          <w:szCs w:val="24"/>
        </w:rPr>
      </w:pPr>
    </w:p>
    <w:p w14:paraId="2675B4DE">
      <w:pPr>
        <w:spacing w:line="420" w:lineRule="exact"/>
        <w:rPr>
          <w:rFonts w:hint="eastAsia" w:ascii="楷体" w:hAnsi="楷体" w:eastAsia="楷体" w:cs="楷体"/>
          <w:b/>
          <w:sz w:val="24"/>
          <w:szCs w:val="24"/>
        </w:rPr>
      </w:pPr>
    </w:p>
    <w:p w14:paraId="712B0DE9">
      <w:pPr>
        <w:spacing w:line="420" w:lineRule="exact"/>
        <w:rPr>
          <w:rFonts w:hint="eastAsia" w:ascii="楷体" w:hAnsi="楷体" w:eastAsia="楷体" w:cs="楷体"/>
          <w:b/>
          <w:sz w:val="24"/>
          <w:szCs w:val="24"/>
        </w:rPr>
      </w:pPr>
    </w:p>
    <w:p w14:paraId="1369F751">
      <w:pPr>
        <w:spacing w:line="420" w:lineRule="exact"/>
        <w:rPr>
          <w:rFonts w:hint="eastAsia" w:ascii="楷体" w:hAnsi="楷体" w:eastAsia="楷体" w:cs="楷体"/>
          <w:sz w:val="24"/>
          <w:szCs w:val="24"/>
        </w:rPr>
      </w:pPr>
      <w:r>
        <w:rPr>
          <w:rFonts w:hint="eastAsia" w:ascii="楷体" w:hAnsi="楷体" w:eastAsia="楷体" w:cs="楷体"/>
          <w:b/>
          <w:sz w:val="24"/>
          <w:szCs w:val="24"/>
        </w:rPr>
        <w:t>2、仪器配置</w:t>
      </w:r>
      <w:r>
        <w:rPr>
          <w:rFonts w:hint="eastAsia" w:ascii="楷体" w:hAnsi="楷体" w:eastAsia="楷体" w:cs="楷体"/>
          <w:sz w:val="24"/>
          <w:szCs w:val="24"/>
        </w:rPr>
        <w:t>：主机一台、无线流速监测模块一个、移动电源一个、气水分离器一个、便携式蓝牙打印机一台、含湿量检测器一支、空白连接管一套、烟尘多功能取样管一套</w:t>
      </w:r>
    </w:p>
    <w:p w14:paraId="2BB2074D">
      <w:pPr>
        <w:numPr>
          <w:ilvl w:val="0"/>
          <w:numId w:val="0"/>
        </w:numPr>
        <w:spacing w:line="420" w:lineRule="exact"/>
        <w:rPr>
          <w:rFonts w:hint="eastAsia" w:ascii="楷体" w:hAnsi="楷体" w:eastAsia="楷体" w:cs="楷体"/>
          <w:b/>
          <w:bCs/>
          <w:sz w:val="24"/>
          <w:szCs w:val="24"/>
          <w:lang w:val="en-US" w:eastAsia="zh-CN" w:bidi="ar-SA"/>
        </w:rPr>
      </w:pPr>
    </w:p>
    <w:p w14:paraId="04D2846E">
      <w:pPr>
        <w:numPr>
          <w:ilvl w:val="0"/>
          <w:numId w:val="0"/>
        </w:numPr>
        <w:spacing w:line="420" w:lineRule="exact"/>
        <w:rPr>
          <w:rFonts w:hint="eastAsia" w:ascii="楷体" w:hAnsi="楷体" w:eastAsia="楷体" w:cs="楷体"/>
          <w:b/>
          <w:bCs/>
          <w:sz w:val="24"/>
          <w:szCs w:val="24"/>
        </w:rPr>
      </w:pPr>
      <w:r>
        <w:rPr>
          <w:rFonts w:hint="eastAsia" w:ascii="楷体" w:hAnsi="楷体" w:eastAsia="楷体" w:cs="楷体"/>
          <w:b/>
          <w:bCs/>
          <w:sz w:val="24"/>
          <w:szCs w:val="24"/>
          <w:lang w:val="en-US" w:eastAsia="zh-CN" w:bidi="ar-SA"/>
        </w:rPr>
        <w:t>（十四）</w:t>
      </w:r>
      <w:r>
        <w:rPr>
          <w:rFonts w:hint="eastAsia" w:ascii="楷体" w:hAnsi="楷体" w:eastAsia="楷体" w:cs="楷体"/>
          <w:b/>
          <w:bCs/>
          <w:sz w:val="24"/>
          <w:szCs w:val="24"/>
        </w:rPr>
        <w:t>便携式高温采样单元技术参数</w:t>
      </w:r>
    </w:p>
    <w:p w14:paraId="637679E4">
      <w:pPr>
        <w:spacing w:line="420" w:lineRule="exact"/>
        <w:rPr>
          <w:rFonts w:hint="eastAsia" w:ascii="楷体" w:hAnsi="楷体" w:eastAsia="楷体" w:cs="楷体"/>
          <w:sz w:val="24"/>
          <w:szCs w:val="24"/>
        </w:rPr>
      </w:pPr>
      <w:r>
        <w:rPr>
          <w:rFonts w:hint="eastAsia" w:ascii="楷体" w:hAnsi="楷体" w:eastAsia="楷体" w:cs="楷体"/>
          <w:sz w:val="24"/>
          <w:szCs w:val="24"/>
        </w:rPr>
        <w:t>1、采样枪及伴热管线全程恒温加热，加热温度60-180℃之间可设、可调。精度±0.1℃。</w:t>
      </w:r>
    </w:p>
    <w:p w14:paraId="3C376F8A">
      <w:pPr>
        <w:spacing w:line="420" w:lineRule="exact"/>
        <w:rPr>
          <w:rFonts w:hint="eastAsia" w:ascii="楷体" w:hAnsi="楷体" w:eastAsia="楷体" w:cs="楷体"/>
          <w:sz w:val="24"/>
          <w:szCs w:val="24"/>
        </w:rPr>
      </w:pPr>
      <w:r>
        <w:rPr>
          <w:rFonts w:hint="eastAsia" w:ascii="楷体" w:hAnsi="楷体" w:eastAsia="楷体" w:cs="楷体"/>
          <w:sz w:val="24"/>
          <w:szCs w:val="24"/>
        </w:rPr>
        <w:t>2、采样枪内管采用内抛光不锈钢材质，不与待测组分发生反应。</w:t>
      </w:r>
    </w:p>
    <w:p w14:paraId="26F8ED82">
      <w:pPr>
        <w:spacing w:line="420" w:lineRule="exact"/>
        <w:rPr>
          <w:rFonts w:hint="eastAsia" w:ascii="楷体" w:hAnsi="楷体" w:eastAsia="楷体" w:cs="楷体"/>
          <w:sz w:val="24"/>
          <w:szCs w:val="24"/>
        </w:rPr>
      </w:pPr>
      <w:r>
        <w:rPr>
          <w:rFonts w:hint="eastAsia" w:ascii="楷体" w:hAnsi="楷体" w:eastAsia="楷体" w:cs="楷体"/>
          <w:sz w:val="24"/>
          <w:szCs w:val="24"/>
        </w:rPr>
        <w:t>3、伴热管线内管采用PVDF或不锈钢材质，避免V0Cs采样过程中组分的吸附丢失和加热过程中VOC的释放，外壁采用尼龙材质，长度2米。</w:t>
      </w:r>
    </w:p>
    <w:p w14:paraId="4F91538F">
      <w:pPr>
        <w:spacing w:line="420" w:lineRule="exact"/>
        <w:rPr>
          <w:rFonts w:hint="eastAsia" w:ascii="楷体" w:hAnsi="楷体" w:eastAsia="楷体" w:cs="楷体"/>
          <w:sz w:val="24"/>
          <w:szCs w:val="24"/>
        </w:rPr>
      </w:pPr>
      <w:r>
        <w:rPr>
          <w:rFonts w:hint="eastAsia" w:ascii="楷体" w:hAnsi="楷体" w:eastAsia="楷体" w:cs="楷体"/>
          <w:sz w:val="24"/>
          <w:szCs w:val="24"/>
        </w:rPr>
        <w:t>4、伴热管与采样枪采用快插式连接，前置20μm过滤器。</w:t>
      </w:r>
    </w:p>
    <w:p w14:paraId="0B49CDBC">
      <w:pPr>
        <w:spacing w:line="420" w:lineRule="exact"/>
        <w:rPr>
          <w:rFonts w:hint="eastAsia" w:ascii="楷体" w:hAnsi="楷体" w:eastAsia="楷体" w:cs="楷体"/>
          <w:b/>
          <w:bCs/>
          <w:color w:val="auto"/>
          <w:sz w:val="24"/>
          <w:szCs w:val="24"/>
          <w:highlight w:val="none"/>
        </w:rPr>
      </w:pPr>
    </w:p>
    <w:p w14:paraId="3F9223FF">
      <w:pPr>
        <w:spacing w:line="42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（十五）便携式烟尘烟气测试仪（定电位法）</w:t>
      </w:r>
      <w:r>
        <w:rPr>
          <w:rFonts w:hint="eastAsia" w:ascii="楷体" w:hAnsi="楷体" w:eastAsia="楷体" w:cs="楷体"/>
          <w:b/>
          <w:color w:val="auto"/>
          <w:kern w:val="0"/>
          <w:sz w:val="24"/>
          <w:szCs w:val="24"/>
          <w:highlight w:val="none"/>
        </w:rPr>
        <w:t>技术</w:t>
      </w:r>
      <w:r>
        <w:rPr>
          <w:rFonts w:hint="eastAsia" w:ascii="楷体" w:hAnsi="楷体" w:eastAsia="楷体" w:cs="楷体"/>
          <w:b/>
          <w:color w:val="auto"/>
          <w:kern w:val="0"/>
          <w:sz w:val="24"/>
          <w:szCs w:val="24"/>
          <w:highlight w:val="none"/>
          <w:lang w:val="en-US" w:eastAsia="zh-CN"/>
        </w:rPr>
        <w:t>要求</w:t>
      </w:r>
      <w:r>
        <w:rPr>
          <w:rFonts w:hint="eastAsia" w:ascii="楷体" w:hAnsi="楷体" w:eastAsia="楷体" w:cs="楷体"/>
          <w:b/>
          <w:bCs/>
          <w:color w:val="auto"/>
          <w:sz w:val="24"/>
          <w:szCs w:val="24"/>
          <w:highlight w:val="none"/>
        </w:rPr>
        <w:t>及配置</w:t>
      </w:r>
    </w:p>
    <w:p w14:paraId="759E7375">
      <w:pPr>
        <w:spacing w:line="420" w:lineRule="exact"/>
        <w:jc w:val="left"/>
        <w:rPr>
          <w:rFonts w:hint="eastAsia" w:ascii="楷体" w:hAnsi="楷体" w:eastAsia="楷体" w:cs="楷体"/>
          <w:b/>
          <w:color w:val="000000"/>
          <w:sz w:val="24"/>
          <w:szCs w:val="24"/>
        </w:rPr>
      </w:pPr>
      <w:r>
        <w:rPr>
          <w:rFonts w:hint="eastAsia" w:ascii="楷体" w:hAnsi="楷体" w:eastAsia="楷体" w:cs="楷体"/>
          <w:b/>
          <w:color w:val="000000"/>
          <w:sz w:val="24"/>
          <w:szCs w:val="24"/>
        </w:rPr>
        <w:t>1、技术参数</w:t>
      </w:r>
    </w:p>
    <w:tbl>
      <w:tblPr>
        <w:tblStyle w:val="68"/>
        <w:tblpPr w:leftFromText="180" w:rightFromText="180" w:vertAnchor="text" w:horzAnchor="page" w:tblpX="1504" w:tblpY="521"/>
        <w:tblOverlap w:val="never"/>
        <w:tblW w:w="7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719"/>
        <w:gridCol w:w="1525"/>
        <w:gridCol w:w="1263"/>
        <w:gridCol w:w="3075"/>
      </w:tblGrid>
      <w:tr w14:paraId="75B5D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58" w:type="dxa"/>
            <w:gridSpan w:val="5"/>
            <w:tcBorders>
              <w:right w:val="single" w:color="auto" w:sz="4" w:space="0"/>
            </w:tcBorders>
            <w:noWrap w:val="0"/>
            <w:vAlign w:val="top"/>
          </w:tcPr>
          <w:p w14:paraId="2C93A1DA">
            <w:pPr>
              <w:spacing w:before="156" w:line="420" w:lineRule="exact"/>
              <w:jc w:val="left"/>
              <w:rPr>
                <w:rFonts w:hint="eastAsia" w:ascii="楷体" w:hAnsi="楷体" w:eastAsia="楷体" w:cs="楷体"/>
                <w:b/>
                <w:sz w:val="24"/>
                <w:szCs w:val="24"/>
              </w:rPr>
            </w:pPr>
            <w:r>
              <w:rPr>
                <w:rFonts w:hint="eastAsia" w:ascii="楷体" w:hAnsi="楷体" w:eastAsia="楷体" w:cs="楷体"/>
                <w:bCs/>
                <w:sz w:val="24"/>
                <w:szCs w:val="24"/>
              </w:rPr>
              <w:t>烟气分析技术指标</w:t>
            </w:r>
          </w:p>
        </w:tc>
      </w:tr>
      <w:tr w14:paraId="4E0F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95" w:type="dxa"/>
            <w:gridSpan w:val="2"/>
            <w:tcBorders>
              <w:right w:val="single" w:color="auto" w:sz="4" w:space="0"/>
            </w:tcBorders>
            <w:noWrap w:val="0"/>
            <w:vAlign w:val="top"/>
          </w:tcPr>
          <w:p w14:paraId="6BF02D0F">
            <w:pPr>
              <w:autoSpaceDE w:val="0"/>
              <w:autoSpaceDN w:val="0"/>
              <w:spacing w:line="420" w:lineRule="exact"/>
              <w:ind w:right="-288"/>
              <w:jc w:val="left"/>
              <w:rPr>
                <w:rFonts w:hint="eastAsia" w:ascii="楷体" w:hAnsi="楷体" w:eastAsia="楷体" w:cs="楷体"/>
                <w:b/>
                <w:sz w:val="24"/>
                <w:szCs w:val="24"/>
              </w:rPr>
            </w:pPr>
            <w:r>
              <w:rPr>
                <w:rFonts w:hint="eastAsia" w:ascii="楷体" w:hAnsi="楷体" w:eastAsia="楷体" w:cs="楷体"/>
                <w:b/>
                <w:sz w:val="24"/>
                <w:szCs w:val="24"/>
              </w:rPr>
              <w:t>主要参数</w:t>
            </w:r>
          </w:p>
        </w:tc>
        <w:tc>
          <w:tcPr>
            <w:tcW w:w="1525" w:type="dxa"/>
            <w:tcBorders>
              <w:left w:val="single" w:color="auto" w:sz="4" w:space="0"/>
              <w:right w:val="single" w:color="auto" w:sz="4" w:space="0"/>
            </w:tcBorders>
            <w:noWrap w:val="0"/>
            <w:vAlign w:val="top"/>
          </w:tcPr>
          <w:p w14:paraId="6D3CEBD1">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参数范围</w:t>
            </w:r>
          </w:p>
        </w:tc>
        <w:tc>
          <w:tcPr>
            <w:tcW w:w="1263" w:type="dxa"/>
            <w:tcBorders>
              <w:left w:val="single" w:color="auto" w:sz="4" w:space="0"/>
              <w:right w:val="single" w:color="auto" w:sz="4" w:space="0"/>
            </w:tcBorders>
            <w:noWrap w:val="0"/>
            <w:vAlign w:val="top"/>
          </w:tcPr>
          <w:p w14:paraId="0C60D5B5">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分辨率</w:t>
            </w:r>
          </w:p>
        </w:tc>
        <w:tc>
          <w:tcPr>
            <w:tcW w:w="3075" w:type="dxa"/>
            <w:tcBorders>
              <w:left w:val="single" w:color="auto" w:sz="4" w:space="0"/>
              <w:right w:val="single" w:color="auto" w:sz="4" w:space="0"/>
            </w:tcBorders>
            <w:noWrap w:val="0"/>
            <w:vAlign w:val="top"/>
          </w:tcPr>
          <w:p w14:paraId="282ED921">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准确度</w:t>
            </w:r>
          </w:p>
        </w:tc>
      </w:tr>
      <w:tr w14:paraId="0B63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76" w:type="dxa"/>
            <w:tcBorders>
              <w:right w:val="single" w:color="auto" w:sz="4" w:space="0"/>
            </w:tcBorders>
            <w:noWrap w:val="0"/>
            <w:vAlign w:val="top"/>
          </w:tcPr>
          <w:p w14:paraId="28BE70DC">
            <w:pPr>
              <w:autoSpaceDE w:val="0"/>
              <w:autoSpaceDN w:val="0"/>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电化学法</w:t>
            </w:r>
          </w:p>
        </w:tc>
        <w:tc>
          <w:tcPr>
            <w:tcW w:w="719" w:type="dxa"/>
            <w:tcBorders>
              <w:right w:val="single" w:color="auto" w:sz="4" w:space="0"/>
            </w:tcBorders>
            <w:noWrap w:val="0"/>
            <w:vAlign w:val="top"/>
          </w:tcPr>
          <w:p w14:paraId="74B591BE">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O</w:t>
            </w:r>
            <w:r>
              <w:rPr>
                <w:rFonts w:hint="eastAsia" w:ascii="楷体" w:hAnsi="楷体" w:eastAsia="楷体" w:cs="楷体"/>
                <w:color w:val="000000"/>
                <w:sz w:val="24"/>
                <w:szCs w:val="24"/>
                <w:vertAlign w:val="subscript"/>
              </w:rPr>
              <w:t>2</w:t>
            </w:r>
          </w:p>
        </w:tc>
        <w:tc>
          <w:tcPr>
            <w:tcW w:w="1525" w:type="dxa"/>
            <w:tcBorders>
              <w:left w:val="single" w:color="auto" w:sz="4" w:space="0"/>
              <w:right w:val="single" w:color="auto" w:sz="4" w:space="0"/>
            </w:tcBorders>
            <w:noWrap w:val="0"/>
            <w:vAlign w:val="top"/>
          </w:tcPr>
          <w:p w14:paraId="7F71BEA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(0～30)%</w:t>
            </w:r>
          </w:p>
        </w:tc>
        <w:tc>
          <w:tcPr>
            <w:tcW w:w="1263" w:type="dxa"/>
            <w:tcBorders>
              <w:left w:val="single" w:color="auto" w:sz="4" w:space="0"/>
              <w:right w:val="single" w:color="auto" w:sz="4" w:space="0"/>
            </w:tcBorders>
            <w:noWrap w:val="0"/>
            <w:vAlign w:val="top"/>
          </w:tcPr>
          <w:p w14:paraId="132C5924">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3075" w:type="dxa"/>
            <w:tcBorders>
              <w:left w:val="single" w:color="auto" w:sz="4" w:space="0"/>
            </w:tcBorders>
            <w:noWrap w:val="0"/>
            <w:vAlign w:val="top"/>
          </w:tcPr>
          <w:p w14:paraId="1EDDDB2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示数误差：不超过±5.0%</w:t>
            </w:r>
          </w:p>
        </w:tc>
      </w:tr>
    </w:tbl>
    <w:p w14:paraId="7F6A81D3">
      <w:pPr>
        <w:pStyle w:val="2"/>
        <w:rPr>
          <w:rFonts w:hint="eastAsia"/>
        </w:rPr>
      </w:pPr>
    </w:p>
    <w:p w14:paraId="60DFB42A">
      <w:pPr>
        <w:pStyle w:val="3"/>
        <w:rPr>
          <w:rFonts w:hint="eastAsia"/>
        </w:rPr>
      </w:pPr>
    </w:p>
    <w:p w14:paraId="39AB7A55">
      <w:pPr>
        <w:spacing w:line="420" w:lineRule="exact"/>
        <w:rPr>
          <w:rFonts w:hint="eastAsia" w:ascii="楷体" w:hAnsi="楷体" w:eastAsia="楷体" w:cs="楷体"/>
          <w:color w:val="000000"/>
          <w:sz w:val="24"/>
          <w:szCs w:val="24"/>
        </w:rPr>
      </w:pPr>
    </w:p>
    <w:p w14:paraId="589D9220">
      <w:pPr>
        <w:spacing w:line="420" w:lineRule="exact"/>
        <w:rPr>
          <w:rFonts w:hint="eastAsia" w:ascii="楷体" w:hAnsi="楷体" w:eastAsia="楷体" w:cs="楷体"/>
          <w:color w:val="000000"/>
          <w:sz w:val="24"/>
          <w:szCs w:val="24"/>
        </w:rPr>
      </w:pPr>
    </w:p>
    <w:p w14:paraId="03F3A438">
      <w:pPr>
        <w:spacing w:line="420" w:lineRule="exact"/>
        <w:rPr>
          <w:rFonts w:hint="eastAsia" w:ascii="楷体" w:hAnsi="楷体" w:eastAsia="楷体" w:cs="楷体"/>
          <w:color w:val="000000"/>
          <w:sz w:val="24"/>
          <w:szCs w:val="24"/>
        </w:rPr>
      </w:pPr>
    </w:p>
    <w:p w14:paraId="5AA09E45">
      <w:pPr>
        <w:spacing w:line="420" w:lineRule="exact"/>
        <w:rPr>
          <w:rFonts w:hint="eastAsia" w:ascii="楷体" w:hAnsi="楷体" w:eastAsia="楷体" w:cs="楷体"/>
          <w:color w:val="000000"/>
          <w:sz w:val="24"/>
          <w:szCs w:val="24"/>
        </w:rPr>
      </w:pPr>
    </w:p>
    <w:p w14:paraId="23179DC1">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（1）具有烟尘测量、烟气分析同步运行功能</w:t>
      </w:r>
    </w:p>
    <w:p w14:paraId="711B671E">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（2）内置弹性气容，可实现流量超低流速的稳定控制与跟踪</w:t>
      </w:r>
    </w:p>
    <w:p w14:paraId="5E0FB2DD">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（3）具有防倒吸功能，采样过程停电记忆功能</w:t>
      </w:r>
    </w:p>
    <w:p w14:paraId="4E5216AC">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（4）含湿量兼容干湿球法和阻容法两种测量模式，并支持有线和无线双通信模式。</w:t>
      </w:r>
    </w:p>
    <w:p w14:paraId="63FB68FE">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（5）</w:t>
      </w:r>
      <w:r>
        <w:rPr>
          <w:rFonts w:hint="eastAsia" w:ascii="楷体" w:hAnsi="楷体" w:eastAsia="楷体" w:cs="楷体"/>
          <w:b/>
          <w:sz w:val="24"/>
          <w:szCs w:val="24"/>
        </w:rPr>
        <w:t>＃</w:t>
      </w:r>
      <w:r>
        <w:rPr>
          <w:rFonts w:hint="eastAsia" w:ascii="楷体" w:hAnsi="楷体" w:eastAsia="楷体" w:cs="楷体"/>
          <w:sz w:val="24"/>
          <w:szCs w:val="24"/>
        </w:rPr>
        <w:t>工况测量模块前置到烟枪末端，并支持有线和无线双通信模式。</w:t>
      </w:r>
    </w:p>
    <w:p w14:paraId="09882AD5">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（6）</w:t>
      </w:r>
      <w:r>
        <w:rPr>
          <w:rFonts w:hint="eastAsia" w:ascii="楷体" w:hAnsi="楷体" w:eastAsia="楷体" w:cs="楷体"/>
          <w:b/>
          <w:sz w:val="24"/>
          <w:szCs w:val="24"/>
        </w:rPr>
        <w:t>＃</w:t>
      </w:r>
      <w:r>
        <w:rPr>
          <w:rFonts w:hint="eastAsia" w:ascii="楷体" w:hAnsi="楷体" w:eastAsia="楷体" w:cs="楷体"/>
          <w:sz w:val="24"/>
          <w:szCs w:val="24"/>
        </w:rPr>
        <w:t>流量可达120L/min</w:t>
      </w:r>
    </w:p>
    <w:p w14:paraId="28886F14">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（7）</w:t>
      </w:r>
      <w:r>
        <w:rPr>
          <w:rFonts w:hint="eastAsia" w:ascii="楷体" w:hAnsi="楷体" w:eastAsia="楷体" w:cs="楷体"/>
          <w:b/>
          <w:sz w:val="24"/>
          <w:szCs w:val="24"/>
        </w:rPr>
        <w:t>＃</w:t>
      </w:r>
      <w:r>
        <w:rPr>
          <w:rFonts w:hint="eastAsia" w:ascii="楷体" w:hAnsi="楷体" w:eastAsia="楷体" w:cs="楷体"/>
          <w:sz w:val="24"/>
          <w:szCs w:val="24"/>
        </w:rPr>
        <w:t>具备彩色触摸屏和物理按键，触摸和按键双操作</w:t>
      </w:r>
    </w:p>
    <w:p w14:paraId="4437297C">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（8）</w:t>
      </w:r>
      <w:r>
        <w:rPr>
          <w:rFonts w:hint="eastAsia" w:ascii="楷体" w:hAnsi="楷体" w:eastAsia="楷体" w:cs="楷体"/>
          <w:b/>
          <w:sz w:val="24"/>
          <w:szCs w:val="24"/>
        </w:rPr>
        <w:t>＃</w:t>
      </w:r>
      <w:r>
        <w:rPr>
          <w:rFonts w:hint="eastAsia" w:ascii="楷体" w:hAnsi="楷体" w:eastAsia="楷体" w:cs="楷体"/>
          <w:sz w:val="24"/>
          <w:szCs w:val="24"/>
        </w:rPr>
        <w:t>拥有物理按键快捷切换烟尘测量、烟气分析、烟气采样，具有功能状态指示</w:t>
      </w:r>
      <w:r>
        <w:rPr>
          <w:rFonts w:hint="eastAsia" w:ascii="楷体" w:hAnsi="楷体" w:eastAsia="楷体" w:cs="楷体"/>
          <w:color w:val="000000"/>
          <w:sz w:val="24"/>
          <w:szCs w:val="24"/>
        </w:rPr>
        <w:t>灯</w:t>
      </w:r>
    </w:p>
    <w:p w14:paraId="11313BF6">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（9）拥有故障自检功能，气密性自动检测功能</w:t>
      </w:r>
    </w:p>
    <w:p w14:paraId="43DB3C52">
      <w:pPr>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（10）▲预留物联网模块接口，可拓展联网功能</w:t>
      </w:r>
    </w:p>
    <w:p w14:paraId="2D31E695">
      <w:pPr>
        <w:spacing w:line="420" w:lineRule="exact"/>
        <w:jc w:val="lef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2、技术指标 </w:t>
      </w:r>
    </w:p>
    <w:tbl>
      <w:tblPr>
        <w:tblStyle w:val="68"/>
        <w:tblpPr w:leftFromText="180" w:rightFromText="180" w:vertAnchor="text" w:horzAnchor="page" w:tblpX="1519" w:tblpY="41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533"/>
        <w:gridCol w:w="1985"/>
        <w:gridCol w:w="1984"/>
        <w:gridCol w:w="2552"/>
      </w:tblGrid>
      <w:tr w14:paraId="3DF8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47" w:type="dxa"/>
            <w:gridSpan w:val="5"/>
            <w:tcBorders>
              <w:right w:val="single" w:color="auto" w:sz="4" w:space="0"/>
            </w:tcBorders>
            <w:noWrap w:val="0"/>
            <w:vAlign w:val="top"/>
          </w:tcPr>
          <w:p w14:paraId="3CC6C4B1">
            <w:pPr>
              <w:spacing w:before="156" w:line="420" w:lineRule="exact"/>
              <w:jc w:val="left"/>
              <w:rPr>
                <w:rFonts w:hint="eastAsia" w:ascii="楷体" w:hAnsi="楷体" w:eastAsia="楷体" w:cs="楷体"/>
                <w:b/>
                <w:sz w:val="24"/>
                <w:szCs w:val="24"/>
              </w:rPr>
            </w:pPr>
            <w:r>
              <w:rPr>
                <w:rFonts w:hint="eastAsia" w:ascii="楷体" w:hAnsi="楷体" w:eastAsia="楷体" w:cs="楷体"/>
                <w:b/>
                <w:sz w:val="24"/>
                <w:szCs w:val="24"/>
              </w:rPr>
              <w:t>烟气分析技术指标</w:t>
            </w:r>
          </w:p>
        </w:tc>
      </w:tr>
      <w:tr w14:paraId="703D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6" w:type="dxa"/>
            <w:gridSpan w:val="2"/>
            <w:tcBorders>
              <w:right w:val="single" w:color="auto" w:sz="4" w:space="0"/>
            </w:tcBorders>
            <w:noWrap w:val="0"/>
            <w:vAlign w:val="top"/>
          </w:tcPr>
          <w:p w14:paraId="652BB519">
            <w:pPr>
              <w:autoSpaceDE w:val="0"/>
              <w:autoSpaceDN w:val="0"/>
              <w:spacing w:line="420" w:lineRule="exact"/>
              <w:ind w:right="-288"/>
              <w:jc w:val="left"/>
              <w:rPr>
                <w:rFonts w:hint="eastAsia" w:ascii="楷体" w:hAnsi="楷体" w:eastAsia="楷体" w:cs="楷体"/>
                <w:b/>
                <w:sz w:val="24"/>
                <w:szCs w:val="24"/>
              </w:rPr>
            </w:pPr>
            <w:r>
              <w:rPr>
                <w:rFonts w:hint="eastAsia" w:ascii="楷体" w:hAnsi="楷体" w:eastAsia="楷体" w:cs="楷体"/>
                <w:b/>
                <w:sz w:val="24"/>
                <w:szCs w:val="24"/>
              </w:rPr>
              <w:t>主要参数</w:t>
            </w:r>
          </w:p>
        </w:tc>
        <w:tc>
          <w:tcPr>
            <w:tcW w:w="1985" w:type="dxa"/>
            <w:tcBorders>
              <w:left w:val="single" w:color="auto" w:sz="4" w:space="0"/>
              <w:right w:val="single" w:color="auto" w:sz="4" w:space="0"/>
            </w:tcBorders>
            <w:noWrap w:val="0"/>
            <w:vAlign w:val="top"/>
          </w:tcPr>
          <w:p w14:paraId="605BCA2D">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参数范围</w:t>
            </w:r>
          </w:p>
        </w:tc>
        <w:tc>
          <w:tcPr>
            <w:tcW w:w="1984" w:type="dxa"/>
            <w:tcBorders>
              <w:left w:val="single" w:color="auto" w:sz="4" w:space="0"/>
              <w:right w:val="single" w:color="auto" w:sz="4" w:space="0"/>
            </w:tcBorders>
            <w:noWrap w:val="0"/>
            <w:vAlign w:val="top"/>
          </w:tcPr>
          <w:p w14:paraId="77DA7413">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分辨率</w:t>
            </w:r>
          </w:p>
        </w:tc>
        <w:tc>
          <w:tcPr>
            <w:tcW w:w="2552" w:type="dxa"/>
            <w:tcBorders>
              <w:left w:val="single" w:color="auto" w:sz="4" w:space="0"/>
              <w:right w:val="single" w:color="auto" w:sz="4" w:space="0"/>
            </w:tcBorders>
            <w:noWrap w:val="0"/>
            <w:vAlign w:val="top"/>
          </w:tcPr>
          <w:p w14:paraId="76BE29CA">
            <w:pPr>
              <w:autoSpaceDE w:val="0"/>
              <w:autoSpaceDN w:val="0"/>
              <w:spacing w:line="420" w:lineRule="exact"/>
              <w:jc w:val="left"/>
              <w:rPr>
                <w:rFonts w:hint="eastAsia" w:ascii="楷体" w:hAnsi="楷体" w:eastAsia="楷体" w:cs="楷体"/>
                <w:b/>
                <w:sz w:val="24"/>
                <w:szCs w:val="24"/>
              </w:rPr>
            </w:pPr>
            <w:r>
              <w:rPr>
                <w:rFonts w:hint="eastAsia" w:ascii="楷体" w:hAnsi="楷体" w:eastAsia="楷体" w:cs="楷体"/>
                <w:b/>
                <w:sz w:val="24"/>
                <w:szCs w:val="24"/>
              </w:rPr>
              <w:t>准确度</w:t>
            </w:r>
          </w:p>
        </w:tc>
      </w:tr>
      <w:tr w14:paraId="51CD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593" w:type="dxa"/>
            <w:vMerge w:val="restart"/>
            <w:tcBorders>
              <w:right w:val="single" w:color="auto" w:sz="4" w:space="0"/>
            </w:tcBorders>
            <w:noWrap w:val="0"/>
            <w:vAlign w:val="top"/>
          </w:tcPr>
          <w:p w14:paraId="09866032">
            <w:pPr>
              <w:autoSpaceDE w:val="0"/>
              <w:autoSpaceDN w:val="0"/>
              <w:spacing w:line="42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电化学法</w:t>
            </w:r>
          </w:p>
        </w:tc>
        <w:tc>
          <w:tcPr>
            <w:tcW w:w="1533" w:type="dxa"/>
            <w:tcBorders>
              <w:right w:val="single" w:color="auto" w:sz="4" w:space="0"/>
            </w:tcBorders>
            <w:noWrap w:val="0"/>
            <w:vAlign w:val="top"/>
          </w:tcPr>
          <w:p w14:paraId="76348AB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O</w:t>
            </w:r>
            <w:r>
              <w:rPr>
                <w:rFonts w:hint="eastAsia" w:ascii="楷体" w:hAnsi="楷体" w:eastAsia="楷体" w:cs="楷体"/>
                <w:color w:val="000000"/>
                <w:sz w:val="24"/>
                <w:szCs w:val="24"/>
                <w:vertAlign w:val="subscript"/>
              </w:rPr>
              <w:t>2</w:t>
            </w:r>
          </w:p>
        </w:tc>
        <w:tc>
          <w:tcPr>
            <w:tcW w:w="1985" w:type="dxa"/>
            <w:tcBorders>
              <w:left w:val="single" w:color="auto" w:sz="4" w:space="0"/>
              <w:right w:val="single" w:color="auto" w:sz="4" w:space="0"/>
            </w:tcBorders>
            <w:noWrap w:val="0"/>
            <w:vAlign w:val="top"/>
          </w:tcPr>
          <w:p w14:paraId="214CA4A1">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(0～30)%</w:t>
            </w:r>
          </w:p>
        </w:tc>
        <w:tc>
          <w:tcPr>
            <w:tcW w:w="1984" w:type="dxa"/>
            <w:tcBorders>
              <w:left w:val="single" w:color="auto" w:sz="4" w:space="0"/>
              <w:right w:val="single" w:color="auto" w:sz="4" w:space="0"/>
            </w:tcBorders>
            <w:noWrap w:val="0"/>
            <w:vAlign w:val="top"/>
          </w:tcPr>
          <w:p w14:paraId="7FFD8383">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2552" w:type="dxa"/>
            <w:vMerge w:val="restart"/>
            <w:tcBorders>
              <w:left w:val="single" w:color="auto" w:sz="4" w:space="0"/>
            </w:tcBorders>
            <w:noWrap w:val="0"/>
            <w:vAlign w:val="top"/>
          </w:tcPr>
          <w:p w14:paraId="3546930B">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示数误差：不超过±5.0%</w:t>
            </w:r>
          </w:p>
          <w:p w14:paraId="4F65A597">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（其中SO</w:t>
            </w:r>
            <w:r>
              <w:rPr>
                <w:rFonts w:hint="eastAsia" w:ascii="楷体" w:hAnsi="楷体" w:eastAsia="楷体" w:cs="楷体"/>
                <w:color w:val="000000"/>
                <w:sz w:val="24"/>
                <w:szCs w:val="24"/>
                <w:vertAlign w:val="subscript"/>
              </w:rPr>
              <w:t>2</w:t>
            </w:r>
            <w:r>
              <w:rPr>
                <w:rFonts w:hint="eastAsia" w:ascii="楷体" w:hAnsi="楷体" w:eastAsia="楷体" w:cs="楷体"/>
                <w:color w:val="000000"/>
                <w:sz w:val="24"/>
                <w:szCs w:val="24"/>
              </w:rPr>
              <w:t>的量程≤100μmol/mol，</w:t>
            </w:r>
          </w:p>
          <w:p w14:paraId="7A80BAE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示值误差不超过±5μmol/mol）</w:t>
            </w:r>
          </w:p>
        </w:tc>
      </w:tr>
      <w:tr w14:paraId="28CA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593" w:type="dxa"/>
            <w:vMerge w:val="continue"/>
            <w:tcBorders>
              <w:right w:val="single" w:color="auto" w:sz="4" w:space="0"/>
            </w:tcBorders>
            <w:noWrap w:val="0"/>
            <w:vAlign w:val="top"/>
          </w:tcPr>
          <w:p w14:paraId="76BCAABB">
            <w:pPr>
              <w:autoSpaceDE w:val="0"/>
              <w:autoSpaceDN w:val="0"/>
              <w:spacing w:line="420" w:lineRule="exact"/>
              <w:jc w:val="left"/>
              <w:rPr>
                <w:rFonts w:hint="eastAsia" w:ascii="楷体" w:hAnsi="楷体" w:eastAsia="楷体" w:cs="楷体"/>
                <w:color w:val="000000"/>
                <w:sz w:val="24"/>
                <w:szCs w:val="24"/>
              </w:rPr>
            </w:pPr>
          </w:p>
        </w:tc>
        <w:tc>
          <w:tcPr>
            <w:tcW w:w="1533" w:type="dxa"/>
            <w:tcBorders>
              <w:right w:val="single" w:color="auto" w:sz="4" w:space="0"/>
            </w:tcBorders>
            <w:noWrap w:val="0"/>
            <w:vAlign w:val="top"/>
          </w:tcPr>
          <w:p w14:paraId="0C79A0B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SO</w:t>
            </w:r>
            <w:r>
              <w:rPr>
                <w:rFonts w:hint="eastAsia" w:ascii="楷体" w:hAnsi="楷体" w:eastAsia="楷体" w:cs="楷体"/>
                <w:color w:val="000000"/>
                <w:sz w:val="24"/>
                <w:szCs w:val="24"/>
                <w:vertAlign w:val="subscript"/>
              </w:rPr>
              <w:t>2</w:t>
            </w:r>
          </w:p>
        </w:tc>
        <w:tc>
          <w:tcPr>
            <w:tcW w:w="1985" w:type="dxa"/>
            <w:tcBorders>
              <w:left w:val="single" w:color="auto" w:sz="4" w:space="0"/>
              <w:right w:val="single" w:color="auto" w:sz="4" w:space="0"/>
            </w:tcBorders>
            <w:noWrap w:val="0"/>
            <w:vAlign w:val="top"/>
          </w:tcPr>
          <w:p w14:paraId="448AAD50">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(0～5700)mg/m</w:t>
            </w:r>
            <w:r>
              <w:rPr>
                <w:rFonts w:hint="eastAsia" w:ascii="楷体" w:hAnsi="楷体" w:eastAsia="楷体" w:cs="楷体"/>
                <w:color w:val="000000"/>
                <w:sz w:val="24"/>
                <w:szCs w:val="24"/>
                <w:vertAlign w:val="superscript"/>
              </w:rPr>
              <w:t>3</w:t>
            </w:r>
          </w:p>
        </w:tc>
        <w:tc>
          <w:tcPr>
            <w:tcW w:w="1984" w:type="dxa"/>
            <w:tcBorders>
              <w:left w:val="single" w:color="auto" w:sz="4" w:space="0"/>
              <w:right w:val="single" w:color="auto" w:sz="4" w:space="0"/>
            </w:tcBorders>
            <w:noWrap w:val="0"/>
            <w:vAlign w:val="top"/>
          </w:tcPr>
          <w:p w14:paraId="3910231F">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1mg/m</w:t>
            </w:r>
            <w:r>
              <w:rPr>
                <w:rFonts w:hint="eastAsia" w:ascii="楷体" w:hAnsi="楷体" w:eastAsia="楷体" w:cs="楷体"/>
                <w:color w:val="000000"/>
                <w:sz w:val="24"/>
                <w:szCs w:val="24"/>
                <w:vertAlign w:val="superscript"/>
              </w:rPr>
              <w:t>3</w:t>
            </w:r>
          </w:p>
        </w:tc>
        <w:tc>
          <w:tcPr>
            <w:tcW w:w="2552" w:type="dxa"/>
            <w:vMerge w:val="continue"/>
            <w:tcBorders>
              <w:left w:val="single" w:color="auto" w:sz="4" w:space="0"/>
            </w:tcBorders>
            <w:noWrap w:val="0"/>
            <w:vAlign w:val="top"/>
          </w:tcPr>
          <w:p w14:paraId="681B2FE0">
            <w:pPr>
              <w:autoSpaceDE w:val="0"/>
              <w:autoSpaceDN w:val="0"/>
              <w:spacing w:line="420" w:lineRule="exact"/>
              <w:jc w:val="left"/>
              <w:rPr>
                <w:rFonts w:hint="eastAsia" w:ascii="楷体" w:hAnsi="楷体" w:eastAsia="楷体" w:cs="楷体"/>
                <w:color w:val="000000"/>
                <w:sz w:val="24"/>
                <w:szCs w:val="24"/>
              </w:rPr>
            </w:pPr>
          </w:p>
        </w:tc>
      </w:tr>
      <w:tr w14:paraId="081C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93" w:type="dxa"/>
            <w:vMerge w:val="continue"/>
            <w:tcBorders>
              <w:right w:val="single" w:color="auto" w:sz="4" w:space="0"/>
            </w:tcBorders>
            <w:noWrap w:val="0"/>
            <w:vAlign w:val="top"/>
          </w:tcPr>
          <w:p w14:paraId="20B1FB51">
            <w:pPr>
              <w:autoSpaceDE w:val="0"/>
              <w:autoSpaceDN w:val="0"/>
              <w:spacing w:line="420" w:lineRule="exact"/>
              <w:jc w:val="left"/>
              <w:rPr>
                <w:rFonts w:hint="eastAsia" w:ascii="楷体" w:hAnsi="楷体" w:eastAsia="楷体" w:cs="楷体"/>
                <w:color w:val="000000"/>
                <w:sz w:val="24"/>
                <w:szCs w:val="24"/>
              </w:rPr>
            </w:pPr>
          </w:p>
        </w:tc>
        <w:tc>
          <w:tcPr>
            <w:tcW w:w="1533" w:type="dxa"/>
            <w:tcBorders>
              <w:right w:val="single" w:color="auto" w:sz="4" w:space="0"/>
            </w:tcBorders>
            <w:noWrap w:val="0"/>
            <w:vAlign w:val="top"/>
          </w:tcPr>
          <w:p w14:paraId="2491F5EE">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NO        </w:t>
            </w:r>
          </w:p>
        </w:tc>
        <w:tc>
          <w:tcPr>
            <w:tcW w:w="1985" w:type="dxa"/>
            <w:tcBorders>
              <w:left w:val="single" w:color="auto" w:sz="4" w:space="0"/>
              <w:right w:val="single" w:color="auto" w:sz="4" w:space="0"/>
            </w:tcBorders>
            <w:noWrap w:val="0"/>
            <w:vAlign w:val="top"/>
          </w:tcPr>
          <w:p w14:paraId="365BB9F7">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(0～1300)mg/m</w:t>
            </w:r>
            <w:r>
              <w:rPr>
                <w:rFonts w:hint="eastAsia" w:ascii="楷体" w:hAnsi="楷体" w:eastAsia="楷体" w:cs="楷体"/>
                <w:color w:val="000000"/>
                <w:sz w:val="24"/>
                <w:szCs w:val="24"/>
                <w:vertAlign w:val="superscript"/>
              </w:rPr>
              <w:t>3</w:t>
            </w:r>
          </w:p>
        </w:tc>
        <w:tc>
          <w:tcPr>
            <w:tcW w:w="1984" w:type="dxa"/>
            <w:tcBorders>
              <w:left w:val="single" w:color="auto" w:sz="4" w:space="0"/>
              <w:right w:val="single" w:color="auto" w:sz="4" w:space="0"/>
            </w:tcBorders>
            <w:noWrap w:val="0"/>
            <w:vAlign w:val="top"/>
          </w:tcPr>
          <w:p w14:paraId="00690B99">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1mg/m</w:t>
            </w:r>
            <w:r>
              <w:rPr>
                <w:rFonts w:hint="eastAsia" w:ascii="楷体" w:hAnsi="楷体" w:eastAsia="楷体" w:cs="楷体"/>
                <w:color w:val="000000"/>
                <w:sz w:val="24"/>
                <w:szCs w:val="24"/>
                <w:vertAlign w:val="superscript"/>
              </w:rPr>
              <w:t>3</w:t>
            </w:r>
          </w:p>
        </w:tc>
        <w:tc>
          <w:tcPr>
            <w:tcW w:w="2552" w:type="dxa"/>
            <w:vMerge w:val="continue"/>
            <w:tcBorders>
              <w:left w:val="single" w:color="auto" w:sz="4" w:space="0"/>
            </w:tcBorders>
            <w:noWrap w:val="0"/>
            <w:vAlign w:val="top"/>
          </w:tcPr>
          <w:p w14:paraId="12690300">
            <w:pPr>
              <w:autoSpaceDE w:val="0"/>
              <w:autoSpaceDN w:val="0"/>
              <w:spacing w:line="420" w:lineRule="exact"/>
              <w:jc w:val="left"/>
              <w:rPr>
                <w:rFonts w:hint="eastAsia" w:ascii="楷体" w:hAnsi="楷体" w:eastAsia="楷体" w:cs="楷体"/>
                <w:color w:val="000000"/>
                <w:sz w:val="24"/>
                <w:szCs w:val="24"/>
              </w:rPr>
            </w:pPr>
          </w:p>
        </w:tc>
      </w:tr>
      <w:tr w14:paraId="49C8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93" w:type="dxa"/>
            <w:vMerge w:val="continue"/>
            <w:tcBorders>
              <w:right w:val="single" w:color="auto" w:sz="4" w:space="0"/>
            </w:tcBorders>
            <w:noWrap w:val="0"/>
            <w:vAlign w:val="top"/>
          </w:tcPr>
          <w:p w14:paraId="496A6CD2">
            <w:pPr>
              <w:autoSpaceDE w:val="0"/>
              <w:autoSpaceDN w:val="0"/>
              <w:spacing w:line="420" w:lineRule="exact"/>
              <w:jc w:val="left"/>
              <w:rPr>
                <w:rFonts w:hint="eastAsia" w:ascii="楷体" w:hAnsi="楷体" w:eastAsia="楷体" w:cs="楷体"/>
                <w:color w:val="000000"/>
                <w:sz w:val="24"/>
                <w:szCs w:val="24"/>
              </w:rPr>
            </w:pPr>
          </w:p>
        </w:tc>
        <w:tc>
          <w:tcPr>
            <w:tcW w:w="1533" w:type="dxa"/>
            <w:tcBorders>
              <w:right w:val="single" w:color="auto" w:sz="4" w:space="0"/>
            </w:tcBorders>
            <w:noWrap w:val="0"/>
            <w:vAlign w:val="top"/>
          </w:tcPr>
          <w:p w14:paraId="45761394">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NO</w:t>
            </w:r>
            <w:r>
              <w:rPr>
                <w:rFonts w:hint="eastAsia" w:ascii="楷体" w:hAnsi="楷体" w:eastAsia="楷体" w:cs="楷体"/>
                <w:color w:val="000000"/>
                <w:sz w:val="24"/>
                <w:szCs w:val="24"/>
                <w:vertAlign w:val="subscript"/>
              </w:rPr>
              <w:t>2</w:t>
            </w:r>
          </w:p>
        </w:tc>
        <w:tc>
          <w:tcPr>
            <w:tcW w:w="1985" w:type="dxa"/>
            <w:tcBorders>
              <w:left w:val="single" w:color="auto" w:sz="4" w:space="0"/>
              <w:right w:val="single" w:color="auto" w:sz="4" w:space="0"/>
            </w:tcBorders>
            <w:noWrap w:val="0"/>
            <w:vAlign w:val="top"/>
          </w:tcPr>
          <w:p w14:paraId="5A4715EC">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(0～200)mg/m</w:t>
            </w:r>
            <w:r>
              <w:rPr>
                <w:rFonts w:hint="eastAsia" w:ascii="楷体" w:hAnsi="楷体" w:eastAsia="楷体" w:cs="楷体"/>
                <w:color w:val="000000"/>
                <w:sz w:val="24"/>
                <w:szCs w:val="24"/>
                <w:vertAlign w:val="superscript"/>
              </w:rPr>
              <w:t>3</w:t>
            </w:r>
          </w:p>
        </w:tc>
        <w:tc>
          <w:tcPr>
            <w:tcW w:w="1984" w:type="dxa"/>
            <w:tcBorders>
              <w:left w:val="single" w:color="auto" w:sz="4" w:space="0"/>
              <w:right w:val="single" w:color="auto" w:sz="4" w:space="0"/>
            </w:tcBorders>
            <w:noWrap w:val="0"/>
            <w:vAlign w:val="top"/>
          </w:tcPr>
          <w:p w14:paraId="0CE54ECB">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1mg/m</w:t>
            </w:r>
            <w:r>
              <w:rPr>
                <w:rFonts w:hint="eastAsia" w:ascii="楷体" w:hAnsi="楷体" w:eastAsia="楷体" w:cs="楷体"/>
                <w:color w:val="000000"/>
                <w:sz w:val="24"/>
                <w:szCs w:val="24"/>
                <w:vertAlign w:val="superscript"/>
              </w:rPr>
              <w:t>3</w:t>
            </w:r>
          </w:p>
        </w:tc>
        <w:tc>
          <w:tcPr>
            <w:tcW w:w="2552" w:type="dxa"/>
            <w:vMerge w:val="continue"/>
            <w:tcBorders>
              <w:left w:val="single" w:color="auto" w:sz="4" w:space="0"/>
            </w:tcBorders>
            <w:noWrap w:val="0"/>
            <w:vAlign w:val="top"/>
          </w:tcPr>
          <w:p w14:paraId="08800A2E">
            <w:pPr>
              <w:autoSpaceDE w:val="0"/>
              <w:autoSpaceDN w:val="0"/>
              <w:spacing w:line="420" w:lineRule="exact"/>
              <w:jc w:val="left"/>
              <w:rPr>
                <w:rFonts w:hint="eastAsia" w:ascii="楷体" w:hAnsi="楷体" w:eastAsia="楷体" w:cs="楷体"/>
                <w:color w:val="000000"/>
                <w:sz w:val="24"/>
                <w:szCs w:val="24"/>
              </w:rPr>
            </w:pPr>
          </w:p>
        </w:tc>
      </w:tr>
      <w:tr w14:paraId="3DE1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593" w:type="dxa"/>
            <w:vMerge w:val="continue"/>
            <w:tcBorders>
              <w:right w:val="single" w:color="auto" w:sz="4" w:space="0"/>
            </w:tcBorders>
            <w:noWrap w:val="0"/>
            <w:vAlign w:val="top"/>
          </w:tcPr>
          <w:p w14:paraId="32D964AC">
            <w:pPr>
              <w:autoSpaceDE w:val="0"/>
              <w:autoSpaceDN w:val="0"/>
              <w:spacing w:line="420" w:lineRule="exact"/>
              <w:jc w:val="left"/>
              <w:rPr>
                <w:rFonts w:hint="eastAsia" w:ascii="楷体" w:hAnsi="楷体" w:eastAsia="楷体" w:cs="楷体"/>
                <w:color w:val="000000"/>
                <w:sz w:val="24"/>
                <w:szCs w:val="24"/>
              </w:rPr>
            </w:pPr>
          </w:p>
        </w:tc>
        <w:tc>
          <w:tcPr>
            <w:tcW w:w="1533" w:type="dxa"/>
            <w:tcBorders>
              <w:right w:val="single" w:color="auto" w:sz="4" w:space="0"/>
            </w:tcBorders>
            <w:noWrap w:val="0"/>
            <w:vAlign w:val="top"/>
          </w:tcPr>
          <w:p w14:paraId="536ABCAB">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CO      </w:t>
            </w:r>
          </w:p>
        </w:tc>
        <w:tc>
          <w:tcPr>
            <w:tcW w:w="1985" w:type="dxa"/>
            <w:tcBorders>
              <w:left w:val="single" w:color="auto" w:sz="4" w:space="0"/>
              <w:right w:val="single" w:color="auto" w:sz="4" w:space="0"/>
            </w:tcBorders>
            <w:noWrap w:val="0"/>
            <w:vAlign w:val="top"/>
          </w:tcPr>
          <w:p w14:paraId="331DC00E">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(0～5000)mg/m</w:t>
            </w:r>
            <w:r>
              <w:rPr>
                <w:rFonts w:hint="eastAsia" w:ascii="楷体" w:hAnsi="楷体" w:eastAsia="楷体" w:cs="楷体"/>
                <w:color w:val="000000"/>
                <w:sz w:val="24"/>
                <w:szCs w:val="24"/>
                <w:vertAlign w:val="superscript"/>
              </w:rPr>
              <w:t>3</w:t>
            </w:r>
          </w:p>
        </w:tc>
        <w:tc>
          <w:tcPr>
            <w:tcW w:w="1984" w:type="dxa"/>
            <w:tcBorders>
              <w:left w:val="single" w:color="auto" w:sz="4" w:space="0"/>
              <w:right w:val="single" w:color="auto" w:sz="4" w:space="0"/>
            </w:tcBorders>
            <w:noWrap w:val="0"/>
            <w:vAlign w:val="top"/>
          </w:tcPr>
          <w:p w14:paraId="54DD44A6">
            <w:pPr>
              <w:autoSpaceDE w:val="0"/>
              <w:autoSpaceDN w:val="0"/>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1mg/m</w:t>
            </w:r>
            <w:r>
              <w:rPr>
                <w:rFonts w:hint="eastAsia" w:ascii="楷体" w:hAnsi="楷体" w:eastAsia="楷体" w:cs="楷体"/>
                <w:color w:val="000000"/>
                <w:sz w:val="24"/>
                <w:szCs w:val="24"/>
                <w:vertAlign w:val="superscript"/>
              </w:rPr>
              <w:t>3</w:t>
            </w:r>
          </w:p>
        </w:tc>
        <w:tc>
          <w:tcPr>
            <w:tcW w:w="2552" w:type="dxa"/>
            <w:vMerge w:val="continue"/>
            <w:tcBorders>
              <w:left w:val="single" w:color="auto" w:sz="4" w:space="0"/>
            </w:tcBorders>
            <w:noWrap w:val="0"/>
            <w:vAlign w:val="top"/>
          </w:tcPr>
          <w:p w14:paraId="3D7E8CAF">
            <w:pPr>
              <w:autoSpaceDE w:val="0"/>
              <w:autoSpaceDN w:val="0"/>
              <w:spacing w:line="420" w:lineRule="exact"/>
              <w:jc w:val="left"/>
              <w:rPr>
                <w:rFonts w:hint="eastAsia" w:ascii="楷体" w:hAnsi="楷体" w:eastAsia="楷体" w:cs="楷体"/>
                <w:color w:val="000000"/>
                <w:sz w:val="24"/>
                <w:szCs w:val="24"/>
              </w:rPr>
            </w:pPr>
          </w:p>
        </w:tc>
      </w:tr>
    </w:tbl>
    <w:p w14:paraId="22A33440">
      <w:pPr>
        <w:spacing w:line="420" w:lineRule="exact"/>
        <w:rPr>
          <w:rFonts w:hint="eastAsia" w:ascii="楷体" w:hAnsi="楷体" w:eastAsia="楷体" w:cs="楷体"/>
          <w:b/>
          <w:sz w:val="24"/>
          <w:szCs w:val="24"/>
        </w:rPr>
      </w:pPr>
    </w:p>
    <w:p w14:paraId="741ADCA4">
      <w:pPr>
        <w:spacing w:line="420" w:lineRule="exact"/>
        <w:rPr>
          <w:rFonts w:hint="eastAsia" w:ascii="楷体" w:hAnsi="楷体" w:eastAsia="楷体" w:cs="楷体"/>
          <w:b/>
          <w:sz w:val="24"/>
          <w:szCs w:val="24"/>
        </w:rPr>
      </w:pPr>
    </w:p>
    <w:p w14:paraId="2BCD8EFE">
      <w:pPr>
        <w:spacing w:line="420" w:lineRule="exact"/>
        <w:rPr>
          <w:rFonts w:hint="eastAsia" w:ascii="楷体" w:hAnsi="楷体" w:eastAsia="楷体" w:cs="楷体"/>
          <w:b/>
          <w:sz w:val="24"/>
          <w:szCs w:val="24"/>
        </w:rPr>
      </w:pPr>
    </w:p>
    <w:p w14:paraId="69623895">
      <w:pPr>
        <w:spacing w:line="420" w:lineRule="exact"/>
        <w:rPr>
          <w:rFonts w:hint="eastAsia" w:ascii="楷体" w:hAnsi="楷体" w:eastAsia="楷体" w:cs="楷体"/>
          <w:b/>
          <w:sz w:val="24"/>
          <w:szCs w:val="24"/>
        </w:rPr>
      </w:pPr>
    </w:p>
    <w:p w14:paraId="3EC848D7">
      <w:pPr>
        <w:spacing w:line="420" w:lineRule="exact"/>
        <w:rPr>
          <w:rFonts w:hint="eastAsia" w:ascii="楷体" w:hAnsi="楷体" w:eastAsia="楷体" w:cs="楷体"/>
          <w:b/>
          <w:sz w:val="24"/>
          <w:szCs w:val="24"/>
        </w:rPr>
      </w:pPr>
    </w:p>
    <w:p w14:paraId="57B1D2E5">
      <w:pPr>
        <w:spacing w:line="420" w:lineRule="exact"/>
        <w:rPr>
          <w:rFonts w:hint="eastAsia" w:ascii="楷体" w:hAnsi="楷体" w:eastAsia="楷体" w:cs="楷体"/>
          <w:b/>
          <w:sz w:val="24"/>
          <w:szCs w:val="24"/>
        </w:rPr>
      </w:pPr>
    </w:p>
    <w:p w14:paraId="302D924C">
      <w:pPr>
        <w:spacing w:line="420" w:lineRule="exact"/>
        <w:rPr>
          <w:rFonts w:hint="eastAsia" w:ascii="楷体" w:hAnsi="楷体" w:eastAsia="楷体" w:cs="楷体"/>
          <w:b/>
          <w:sz w:val="24"/>
          <w:szCs w:val="24"/>
        </w:rPr>
      </w:pPr>
    </w:p>
    <w:p w14:paraId="77134576">
      <w:pPr>
        <w:spacing w:line="420" w:lineRule="exact"/>
        <w:rPr>
          <w:rFonts w:hint="eastAsia" w:ascii="楷体" w:hAnsi="楷体" w:eastAsia="楷体" w:cs="楷体"/>
          <w:b/>
          <w:sz w:val="24"/>
          <w:szCs w:val="24"/>
        </w:rPr>
      </w:pPr>
    </w:p>
    <w:p w14:paraId="49E17683">
      <w:pPr>
        <w:spacing w:line="420" w:lineRule="exact"/>
        <w:rPr>
          <w:rFonts w:hint="eastAsia" w:ascii="楷体" w:hAnsi="楷体" w:eastAsia="楷体" w:cs="楷体"/>
          <w:b/>
          <w:sz w:val="24"/>
          <w:szCs w:val="24"/>
        </w:rPr>
      </w:pPr>
    </w:p>
    <w:p w14:paraId="52B6ABED">
      <w:pPr>
        <w:spacing w:line="420" w:lineRule="exact"/>
        <w:rPr>
          <w:rFonts w:hint="eastAsia" w:ascii="楷体" w:hAnsi="楷体" w:eastAsia="楷体" w:cs="楷体"/>
          <w:b/>
          <w:sz w:val="24"/>
          <w:szCs w:val="24"/>
        </w:rPr>
      </w:pPr>
    </w:p>
    <w:p w14:paraId="15C708EF">
      <w:pPr>
        <w:spacing w:line="420" w:lineRule="exact"/>
        <w:rPr>
          <w:rFonts w:hint="eastAsia" w:ascii="楷体" w:hAnsi="楷体" w:eastAsia="楷体" w:cs="楷体"/>
          <w:b/>
          <w:sz w:val="24"/>
          <w:szCs w:val="24"/>
        </w:rPr>
      </w:pPr>
    </w:p>
    <w:p w14:paraId="16681C14">
      <w:pPr>
        <w:spacing w:line="420" w:lineRule="exact"/>
        <w:rPr>
          <w:rFonts w:hint="eastAsia" w:ascii="楷体" w:hAnsi="楷体" w:eastAsia="楷体" w:cs="楷体"/>
          <w:b/>
          <w:color w:val="FFFFFF"/>
          <w:sz w:val="24"/>
          <w:szCs w:val="24"/>
          <w:shd w:val="clear" w:color="auto" w:fill="C3001E"/>
        </w:rPr>
      </w:pPr>
      <w:r>
        <w:rPr>
          <w:rFonts w:hint="eastAsia" w:ascii="楷体" w:hAnsi="楷体" w:eastAsia="楷体" w:cs="楷体"/>
          <w:b/>
          <w:sz w:val="24"/>
          <w:szCs w:val="24"/>
        </w:rPr>
        <w:t>3、仪器配置</w:t>
      </w:r>
    </w:p>
    <w:p w14:paraId="45295F87">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（1）</w:t>
      </w:r>
      <w:r>
        <w:rPr>
          <w:rFonts w:hint="eastAsia" w:ascii="楷体" w:hAnsi="楷体" w:eastAsia="楷体" w:cs="楷体"/>
          <w:sz w:val="24"/>
          <w:szCs w:val="24"/>
        </w:rPr>
        <w:t>主机</w:t>
      </w:r>
    </w:p>
    <w:p w14:paraId="2C11A6E8">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（2）</w:t>
      </w:r>
      <w:r>
        <w:rPr>
          <w:rFonts w:hint="eastAsia" w:ascii="楷体" w:hAnsi="楷体" w:eastAsia="楷体" w:cs="楷体"/>
          <w:sz w:val="24"/>
          <w:szCs w:val="24"/>
        </w:rPr>
        <w:t>烟尘多功能取样管</w:t>
      </w:r>
    </w:p>
    <w:p w14:paraId="11B16C44">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（3）</w:t>
      </w:r>
      <w:r>
        <w:rPr>
          <w:rFonts w:hint="eastAsia" w:ascii="楷体" w:hAnsi="楷体" w:eastAsia="楷体" w:cs="楷体"/>
          <w:sz w:val="24"/>
          <w:szCs w:val="24"/>
        </w:rPr>
        <w:t>含湿量检测器</w:t>
      </w:r>
    </w:p>
    <w:p w14:paraId="35098BC1">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（4）</w:t>
      </w:r>
      <w:r>
        <w:rPr>
          <w:rFonts w:hint="eastAsia" w:ascii="楷体" w:hAnsi="楷体" w:eastAsia="楷体" w:cs="楷体"/>
          <w:sz w:val="24"/>
          <w:szCs w:val="24"/>
        </w:rPr>
        <w:t>无线工况模块</w:t>
      </w:r>
    </w:p>
    <w:p w14:paraId="5F5AFF38">
      <w:pPr>
        <w:spacing w:line="420" w:lineRule="exact"/>
        <w:rPr>
          <w:rFonts w:hint="eastAsia" w:ascii="楷体" w:hAnsi="楷体" w:eastAsia="楷体" w:cs="楷体"/>
          <w:sz w:val="24"/>
          <w:szCs w:val="24"/>
        </w:rPr>
      </w:pPr>
      <w:r>
        <w:rPr>
          <w:rFonts w:hint="eastAsia" w:ascii="楷体" w:hAnsi="楷体" w:eastAsia="楷体" w:cs="楷体"/>
          <w:color w:val="000000"/>
          <w:sz w:val="24"/>
          <w:szCs w:val="24"/>
        </w:rPr>
        <w:t>（5）</w:t>
      </w:r>
      <w:r>
        <w:rPr>
          <w:rFonts w:hint="eastAsia" w:ascii="楷体" w:hAnsi="楷体" w:eastAsia="楷体" w:cs="楷体"/>
          <w:sz w:val="24"/>
          <w:szCs w:val="24"/>
        </w:rPr>
        <w:t>蓝牙打印机</w:t>
      </w:r>
    </w:p>
    <w:p w14:paraId="437451CE">
      <w:pPr>
        <w:pStyle w:val="67"/>
        <w:spacing w:line="420" w:lineRule="exact"/>
        <w:ind w:firstLine="480"/>
        <w:rPr>
          <w:rFonts w:hint="eastAsia" w:ascii="楷体" w:hAnsi="楷体" w:eastAsia="楷体" w:cs="楷体"/>
          <w:sz w:val="24"/>
          <w:szCs w:val="24"/>
        </w:rPr>
      </w:pPr>
    </w:p>
    <w:p w14:paraId="006F8811">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（十六）烟气黑度仪技术参数</w:t>
      </w:r>
    </w:p>
    <w:p w14:paraId="550642A5">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1、望远镜视角放大率10倍</w:t>
      </w:r>
    </w:p>
    <w:p w14:paraId="2D5B0AA9">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2、望远镜观测距离 10～1000米</w:t>
      </w:r>
    </w:p>
    <w:p w14:paraId="736436A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3、物镜通光孔径 70毫米</w:t>
      </w:r>
    </w:p>
    <w:p w14:paraId="024182C0">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4、林格曼黑度等级0～5级</w:t>
      </w:r>
    </w:p>
    <w:p w14:paraId="576555AD">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5、观测误差不大于 0.5级</w:t>
      </w:r>
    </w:p>
    <w:p w14:paraId="4929ACD4">
      <w:pPr>
        <w:spacing w:line="420" w:lineRule="exact"/>
        <w:rPr>
          <w:rFonts w:hint="eastAsia" w:ascii="楷体" w:hAnsi="楷体" w:eastAsia="楷体" w:cs="楷体"/>
          <w:sz w:val="24"/>
          <w:szCs w:val="24"/>
        </w:rPr>
      </w:pPr>
      <w:r>
        <w:rPr>
          <w:rFonts w:hint="eastAsia" w:ascii="楷体" w:hAnsi="楷体" w:eastAsia="楷体" w:cs="楷体"/>
          <w:bCs/>
          <w:color w:val="000000"/>
          <w:sz w:val="24"/>
          <w:szCs w:val="24"/>
        </w:rPr>
        <w:t>6、分划面摄像倍率 2倍</w:t>
      </w:r>
    </w:p>
    <w:p w14:paraId="33B3E5B1">
      <w:pPr>
        <w:spacing w:line="420" w:lineRule="exact"/>
        <w:rPr>
          <w:rFonts w:hint="eastAsia" w:ascii="楷体" w:hAnsi="楷体" w:eastAsia="楷体" w:cs="楷体"/>
          <w:sz w:val="24"/>
          <w:szCs w:val="24"/>
        </w:rPr>
      </w:pPr>
    </w:p>
    <w:p w14:paraId="103871C7">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（十七）溶解氧测定仪技术参数及配置</w:t>
      </w:r>
    </w:p>
    <w:p w14:paraId="6CE5E2F1">
      <w:pPr>
        <w:widowControl/>
        <w:spacing w:line="420" w:lineRule="exact"/>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t>1、技术参数</w:t>
      </w:r>
    </w:p>
    <w:p w14:paraId="367B8F3A">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1.1准确度等级：±0.30mg/L</w:t>
      </w:r>
    </w:p>
    <w:p w14:paraId="32CAAB4F">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1.2测量参数：溶解氧浓度、溶解氧饱和度和温度值</w:t>
      </w:r>
    </w:p>
    <w:p w14:paraId="591FB2D7">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1.3溶解氧技术要求</w:t>
      </w:r>
    </w:p>
    <w:p w14:paraId="5B8E916C">
      <w:pPr>
        <w:widowControl/>
        <w:spacing w:line="420" w:lineRule="exact"/>
        <w:rPr>
          <w:rFonts w:hint="eastAsia" w:ascii="楷体" w:hAnsi="楷体" w:eastAsia="楷体" w:cs="楷体"/>
          <w:color w:val="000000"/>
          <w:sz w:val="24"/>
          <w:szCs w:val="24"/>
        </w:rPr>
      </w:pPr>
      <w:r>
        <w:rPr>
          <w:rFonts w:hint="eastAsia" w:ascii="楷体" w:hAnsi="楷体" w:eastAsia="楷体" w:cs="楷体"/>
          <w:color w:val="000000"/>
          <w:sz w:val="24"/>
          <w:szCs w:val="24"/>
        </w:rPr>
        <w:t>1.3.1测量范围：电子单元（0.00～90.00）mg/L</w:t>
      </w:r>
    </w:p>
    <w:p w14:paraId="6206BA8F">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1.3.2最小分辨率：0.01mg/L</w:t>
      </w:r>
    </w:p>
    <w:p w14:paraId="050F5CC3">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1.3.3示值误差:±0.10mg/L</w:t>
      </w:r>
    </w:p>
    <w:p w14:paraId="14E4A07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1.4溶解氧饱和度技术要求</w:t>
      </w:r>
    </w:p>
    <w:p w14:paraId="56E066D3">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1.4.1范围：（0.0～600.0）%</w:t>
      </w:r>
    </w:p>
    <w:p w14:paraId="21710432">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1.4.2最小分辨率：0.1%</w:t>
      </w:r>
    </w:p>
    <w:p w14:paraId="0C73A634">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1.4.3示值误差：±2.0%</w:t>
      </w:r>
    </w:p>
    <w:p w14:paraId="1D4AEE66">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1.5温度技术要求</w:t>
      </w:r>
    </w:p>
    <w:p w14:paraId="09CC0D15">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1.5.1范围：（-5.0～130.0）℃</w:t>
      </w:r>
    </w:p>
    <w:p w14:paraId="157A60D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1.5.2最小分辨率：0.1℃</w:t>
      </w:r>
    </w:p>
    <w:p w14:paraId="507B08E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1.5.3示值误差：±0.1℃</w:t>
      </w:r>
    </w:p>
    <w:p w14:paraId="06ADB1E1">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1.6大气压补偿：（60.0～110.0）kPa</w:t>
      </w:r>
    </w:p>
    <w:p w14:paraId="4C4D35C7">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1.7盐度补偿：（0.0～50.0）g/L</w:t>
      </w:r>
    </w:p>
    <w:p w14:paraId="32BC5E55">
      <w:pPr>
        <w:widowControl/>
        <w:spacing w:line="420" w:lineRule="exact"/>
        <w:jc w:val="left"/>
        <w:rPr>
          <w:rFonts w:hint="eastAsia" w:ascii="楷体" w:hAnsi="楷体" w:eastAsia="楷体" w:cs="楷体"/>
          <w:b/>
          <w:color w:val="000000"/>
          <w:sz w:val="24"/>
          <w:szCs w:val="24"/>
        </w:rPr>
      </w:pPr>
      <w:r>
        <w:rPr>
          <w:rFonts w:hint="eastAsia" w:ascii="楷体" w:hAnsi="楷体" w:eastAsia="楷体" w:cs="楷体"/>
          <w:b/>
          <w:color w:val="000000"/>
          <w:sz w:val="24"/>
          <w:szCs w:val="24"/>
        </w:rPr>
        <w:t>2、配置</w:t>
      </w:r>
    </w:p>
    <w:p w14:paraId="45C9FC36">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2.1主机1套</w:t>
      </w:r>
    </w:p>
    <w:p w14:paraId="15D54F72">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2.2配套电极膜30个</w:t>
      </w:r>
    </w:p>
    <w:p w14:paraId="2D244AA8">
      <w:pPr>
        <w:spacing w:line="420" w:lineRule="exact"/>
        <w:rPr>
          <w:rFonts w:hint="eastAsia" w:ascii="楷体" w:hAnsi="楷体" w:eastAsia="楷体" w:cs="楷体"/>
          <w:sz w:val="24"/>
          <w:szCs w:val="24"/>
        </w:rPr>
      </w:pPr>
    </w:p>
    <w:p w14:paraId="3BE5940C">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（十八）环境空气综合采样器技术</w:t>
      </w:r>
      <w:r>
        <w:rPr>
          <w:rFonts w:hint="eastAsia" w:ascii="楷体" w:hAnsi="楷体" w:eastAsia="楷体" w:cs="楷体"/>
          <w:b/>
          <w:bCs/>
          <w:sz w:val="24"/>
          <w:szCs w:val="24"/>
          <w:lang w:val="en-US" w:eastAsia="zh-CN"/>
        </w:rPr>
        <w:t>要求</w:t>
      </w:r>
      <w:r>
        <w:rPr>
          <w:rFonts w:hint="eastAsia" w:ascii="楷体" w:hAnsi="楷体" w:eastAsia="楷体" w:cs="楷体"/>
          <w:b/>
          <w:bCs/>
          <w:sz w:val="24"/>
          <w:szCs w:val="24"/>
        </w:rPr>
        <w:t xml:space="preserve">及配置 </w:t>
      </w:r>
    </w:p>
    <w:p w14:paraId="3B5C3FD6">
      <w:pPr>
        <w:widowControl/>
        <w:spacing w:line="420" w:lineRule="exact"/>
        <w:ind w:firstLine="240"/>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t>1、技术参数</w:t>
      </w:r>
    </w:p>
    <w:p w14:paraId="1B010D7C">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▲（1）一体式恒温箱设计，可内置4个吸收瓶</w:t>
      </w:r>
    </w:p>
    <w:p w14:paraId="6C616A51">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（2）采样过程停电自动保存工作数据，来电后可恢复采样 </w:t>
      </w:r>
    </w:p>
    <w:p w14:paraId="0882E618">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（3）精密芯泵，连续运转免维护，且具有过载保护功能</w:t>
      </w:r>
    </w:p>
    <w:p w14:paraId="6166B53C">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（4）可以实现即时采样、定时采样、间隔采样等多种采样模式</w:t>
      </w:r>
    </w:p>
    <w:p w14:paraId="0443725A">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（5）大气压可输入和测量，适于低压环境使用</w:t>
      </w:r>
    </w:p>
    <w:p w14:paraId="207C9D42">
      <w:pPr>
        <w:widowControl/>
        <w:spacing w:line="420" w:lineRule="exact"/>
        <w:ind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（6）内置锂电池和充电管理模块，具备交流、直流双供电功能</w:t>
      </w:r>
    </w:p>
    <w:p w14:paraId="5AD0A100">
      <w:pPr>
        <w:widowControl/>
        <w:spacing w:line="420" w:lineRule="exact"/>
        <w:ind w:firstLine="240"/>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t>2、技术指标</w:t>
      </w:r>
    </w:p>
    <w:tbl>
      <w:tblPr>
        <w:tblStyle w:val="68"/>
        <w:tblW w:w="81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3087"/>
        <w:gridCol w:w="1463"/>
        <w:gridCol w:w="1912"/>
      </w:tblGrid>
      <w:tr w14:paraId="02F6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155" w:type="dxa"/>
            <w:gridSpan w:val="4"/>
            <w:tcBorders>
              <w:right w:val="single" w:color="auto" w:sz="4" w:space="0"/>
            </w:tcBorders>
            <w:noWrap/>
            <w:vAlign w:val="center"/>
          </w:tcPr>
          <w:p w14:paraId="0524270E">
            <w:pPr>
              <w:widowControl/>
              <w:spacing w:line="420" w:lineRule="exact"/>
              <w:ind w:right="-105"/>
              <w:rPr>
                <w:rFonts w:hint="eastAsia" w:ascii="楷体" w:hAnsi="楷体" w:eastAsia="楷体" w:cs="楷体"/>
                <w:color w:val="000000"/>
                <w:sz w:val="24"/>
                <w:szCs w:val="24"/>
              </w:rPr>
            </w:pPr>
            <w:r>
              <w:rPr>
                <w:rFonts w:hint="eastAsia" w:ascii="楷体" w:hAnsi="楷体" w:eastAsia="楷体" w:cs="楷体"/>
                <w:color w:val="000000"/>
                <w:sz w:val="24"/>
                <w:szCs w:val="24"/>
              </w:rPr>
              <w:t>主机技术指标</w:t>
            </w:r>
          </w:p>
        </w:tc>
      </w:tr>
      <w:tr w14:paraId="02A8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693" w:type="dxa"/>
            <w:tcBorders>
              <w:right w:val="single" w:color="auto" w:sz="4" w:space="0"/>
            </w:tcBorders>
            <w:noWrap/>
            <w:vAlign w:val="center"/>
          </w:tcPr>
          <w:p w14:paraId="3878E346">
            <w:pPr>
              <w:widowControl/>
              <w:spacing w:line="420" w:lineRule="exact"/>
              <w:ind w:right="-105"/>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主要参数</w:t>
            </w:r>
          </w:p>
        </w:tc>
        <w:tc>
          <w:tcPr>
            <w:tcW w:w="3087" w:type="dxa"/>
            <w:tcBorders>
              <w:left w:val="single" w:color="auto" w:sz="4" w:space="0"/>
              <w:right w:val="single" w:color="auto" w:sz="4" w:space="0"/>
            </w:tcBorders>
            <w:noWrap/>
            <w:vAlign w:val="center"/>
          </w:tcPr>
          <w:p w14:paraId="06495C63">
            <w:pPr>
              <w:widowControl/>
              <w:spacing w:line="420" w:lineRule="exact"/>
              <w:ind w:right="-105"/>
              <w:jc w:val="center"/>
              <w:rPr>
                <w:rFonts w:hint="eastAsia" w:ascii="楷体" w:hAnsi="楷体" w:eastAsia="楷体" w:cs="楷体"/>
                <w:color w:val="000000"/>
                <w:sz w:val="24"/>
                <w:szCs w:val="24"/>
              </w:rPr>
            </w:pPr>
            <w:r>
              <w:rPr>
                <w:rFonts w:hint="eastAsia" w:ascii="楷体" w:hAnsi="楷体" w:eastAsia="楷体" w:cs="楷体"/>
                <w:color w:val="000000"/>
                <w:sz w:val="24"/>
                <w:szCs w:val="24"/>
              </w:rPr>
              <w:t>参数范围</w:t>
            </w:r>
          </w:p>
        </w:tc>
        <w:tc>
          <w:tcPr>
            <w:tcW w:w="1463" w:type="dxa"/>
            <w:tcBorders>
              <w:left w:val="single" w:color="auto" w:sz="4" w:space="0"/>
              <w:right w:val="single" w:color="auto" w:sz="4" w:space="0"/>
            </w:tcBorders>
            <w:noWrap/>
            <w:vAlign w:val="center"/>
          </w:tcPr>
          <w:p w14:paraId="14DF8817">
            <w:pPr>
              <w:widowControl/>
              <w:spacing w:line="420" w:lineRule="exact"/>
              <w:ind w:right="-105"/>
              <w:jc w:val="center"/>
              <w:rPr>
                <w:rFonts w:hint="eastAsia" w:ascii="楷体" w:hAnsi="楷体" w:eastAsia="楷体" w:cs="楷体"/>
                <w:color w:val="000000"/>
                <w:sz w:val="24"/>
                <w:szCs w:val="24"/>
              </w:rPr>
            </w:pPr>
            <w:r>
              <w:rPr>
                <w:rFonts w:hint="eastAsia" w:ascii="楷体" w:hAnsi="楷体" w:eastAsia="楷体" w:cs="楷体"/>
                <w:color w:val="000000"/>
                <w:sz w:val="24"/>
                <w:szCs w:val="24"/>
              </w:rPr>
              <w:t>分辨率</w:t>
            </w:r>
          </w:p>
        </w:tc>
        <w:tc>
          <w:tcPr>
            <w:tcW w:w="1912" w:type="dxa"/>
            <w:tcBorders>
              <w:left w:val="single" w:color="auto" w:sz="4" w:space="0"/>
              <w:right w:val="single" w:color="auto" w:sz="4" w:space="0"/>
            </w:tcBorders>
            <w:noWrap/>
            <w:vAlign w:val="center"/>
          </w:tcPr>
          <w:p w14:paraId="4875D518">
            <w:pPr>
              <w:widowControl/>
              <w:spacing w:line="420" w:lineRule="exact"/>
              <w:ind w:right="-105"/>
              <w:jc w:val="center"/>
              <w:rPr>
                <w:rFonts w:hint="eastAsia" w:ascii="楷体" w:hAnsi="楷体" w:eastAsia="楷体" w:cs="楷体"/>
                <w:color w:val="000000"/>
                <w:sz w:val="24"/>
                <w:szCs w:val="24"/>
              </w:rPr>
            </w:pPr>
            <w:r>
              <w:rPr>
                <w:rFonts w:hint="eastAsia" w:ascii="楷体" w:hAnsi="楷体" w:eastAsia="楷体" w:cs="楷体"/>
                <w:color w:val="000000"/>
                <w:sz w:val="24"/>
                <w:szCs w:val="24"/>
              </w:rPr>
              <w:t>准确度</w:t>
            </w:r>
          </w:p>
        </w:tc>
      </w:tr>
      <w:tr w14:paraId="2C8A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693" w:type="dxa"/>
            <w:tcBorders>
              <w:right w:val="single" w:color="auto" w:sz="4" w:space="0"/>
            </w:tcBorders>
            <w:noWrap/>
            <w:vAlign w:val="center"/>
          </w:tcPr>
          <w:p w14:paraId="4520B53A">
            <w:pPr>
              <w:widowControl/>
              <w:spacing w:line="420" w:lineRule="exact"/>
              <w:ind w:left="-105" w:right="-105"/>
              <w:jc w:val="center"/>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颗粒物采样流量</w:t>
            </w:r>
          </w:p>
        </w:tc>
        <w:tc>
          <w:tcPr>
            <w:tcW w:w="3087" w:type="dxa"/>
            <w:tcBorders>
              <w:left w:val="single" w:color="auto" w:sz="4" w:space="0"/>
              <w:right w:val="single" w:color="auto" w:sz="4" w:space="0"/>
            </w:tcBorders>
            <w:noWrap/>
            <w:vAlign w:val="center"/>
          </w:tcPr>
          <w:p w14:paraId="70F7E8D1">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最大空载流量150L/min，工作点流量可定制</w:t>
            </w:r>
          </w:p>
        </w:tc>
        <w:tc>
          <w:tcPr>
            <w:tcW w:w="1463" w:type="dxa"/>
            <w:tcBorders>
              <w:left w:val="single" w:color="auto" w:sz="4" w:space="0"/>
              <w:right w:val="single" w:color="auto" w:sz="4" w:space="0"/>
            </w:tcBorders>
            <w:noWrap/>
            <w:vAlign w:val="center"/>
          </w:tcPr>
          <w:p w14:paraId="6047D93D">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0.1L/min</w:t>
            </w:r>
          </w:p>
        </w:tc>
        <w:tc>
          <w:tcPr>
            <w:tcW w:w="1912" w:type="dxa"/>
            <w:tcBorders>
              <w:left w:val="single" w:color="auto" w:sz="4" w:space="0"/>
              <w:right w:val="single" w:color="auto" w:sz="4" w:space="0"/>
            </w:tcBorders>
            <w:noWrap/>
            <w:vAlign w:val="center"/>
          </w:tcPr>
          <w:p w14:paraId="52A441A3">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不超过±5% </w:t>
            </w:r>
          </w:p>
        </w:tc>
      </w:tr>
      <w:tr w14:paraId="501C4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693" w:type="dxa"/>
            <w:tcBorders>
              <w:right w:val="single" w:color="auto" w:sz="4" w:space="0"/>
            </w:tcBorders>
            <w:noWrap/>
            <w:vAlign w:val="center"/>
          </w:tcPr>
          <w:p w14:paraId="5C7C717B">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b/>
                <w:color w:val="000000"/>
                <w:sz w:val="24"/>
                <w:szCs w:val="24"/>
              </w:rPr>
              <w:t>＃</w:t>
            </w:r>
            <w:r>
              <w:rPr>
                <w:rFonts w:hint="eastAsia" w:ascii="楷体" w:hAnsi="楷体" w:eastAsia="楷体" w:cs="楷体"/>
                <w:color w:val="000000"/>
                <w:sz w:val="24"/>
                <w:szCs w:val="24"/>
              </w:rPr>
              <w:t>大气采样流量</w:t>
            </w:r>
          </w:p>
        </w:tc>
        <w:tc>
          <w:tcPr>
            <w:tcW w:w="3087" w:type="dxa"/>
            <w:tcBorders>
              <w:left w:val="single" w:color="auto" w:sz="4" w:space="0"/>
              <w:right w:val="single" w:color="auto" w:sz="4" w:space="0"/>
            </w:tcBorders>
            <w:noWrap/>
            <w:vAlign w:val="center"/>
          </w:tcPr>
          <w:p w14:paraId="157BFAF1">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标配(0～1.0）L/min</w:t>
            </w:r>
          </w:p>
          <w:p w14:paraId="2E31719D">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C/D路定制（10～200）mL/min</w:t>
            </w:r>
          </w:p>
        </w:tc>
        <w:tc>
          <w:tcPr>
            <w:tcW w:w="1463" w:type="dxa"/>
            <w:tcBorders>
              <w:left w:val="single" w:color="auto" w:sz="4" w:space="0"/>
              <w:right w:val="single" w:color="auto" w:sz="4" w:space="0"/>
            </w:tcBorders>
            <w:noWrap/>
            <w:vAlign w:val="center"/>
          </w:tcPr>
          <w:p w14:paraId="63DD9555">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0.01L/min</w:t>
            </w:r>
          </w:p>
        </w:tc>
        <w:tc>
          <w:tcPr>
            <w:tcW w:w="1912" w:type="dxa"/>
            <w:tcBorders>
              <w:left w:val="single" w:color="auto" w:sz="4" w:space="0"/>
              <w:right w:val="single" w:color="auto" w:sz="4" w:space="0"/>
            </w:tcBorders>
            <w:noWrap/>
            <w:vAlign w:val="center"/>
          </w:tcPr>
          <w:p w14:paraId="4123DF35">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不超过±5% </w:t>
            </w:r>
          </w:p>
        </w:tc>
      </w:tr>
      <w:tr w14:paraId="46F9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693" w:type="dxa"/>
            <w:tcBorders>
              <w:right w:val="single" w:color="auto" w:sz="4" w:space="0"/>
            </w:tcBorders>
            <w:noWrap/>
            <w:vAlign w:val="center"/>
          </w:tcPr>
          <w:p w14:paraId="24E6D802">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采样时间</w:t>
            </w:r>
          </w:p>
        </w:tc>
        <w:tc>
          <w:tcPr>
            <w:tcW w:w="3087" w:type="dxa"/>
            <w:tcBorders>
              <w:left w:val="single" w:color="auto" w:sz="4" w:space="0"/>
              <w:right w:val="single" w:color="auto" w:sz="4" w:space="0"/>
            </w:tcBorders>
            <w:noWrap/>
            <w:vAlign w:val="center"/>
          </w:tcPr>
          <w:p w14:paraId="33F70281">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99h59min内任意设置</w:t>
            </w:r>
          </w:p>
        </w:tc>
        <w:tc>
          <w:tcPr>
            <w:tcW w:w="1463" w:type="dxa"/>
            <w:tcBorders>
              <w:left w:val="single" w:color="auto" w:sz="4" w:space="0"/>
              <w:right w:val="single" w:color="auto" w:sz="4" w:space="0"/>
            </w:tcBorders>
            <w:noWrap/>
            <w:vAlign w:val="center"/>
          </w:tcPr>
          <w:p w14:paraId="64C213E3">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1min</w:t>
            </w:r>
          </w:p>
        </w:tc>
        <w:tc>
          <w:tcPr>
            <w:tcW w:w="1912" w:type="dxa"/>
            <w:tcBorders>
              <w:left w:val="single" w:color="auto" w:sz="4" w:space="0"/>
              <w:right w:val="single" w:color="auto" w:sz="4" w:space="0"/>
            </w:tcBorders>
            <w:noWrap/>
            <w:vAlign w:val="center"/>
          </w:tcPr>
          <w:p w14:paraId="20B63193">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20min计时误差不超过±1s</w:t>
            </w:r>
          </w:p>
        </w:tc>
      </w:tr>
      <w:tr w14:paraId="3250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693" w:type="dxa"/>
            <w:tcBorders>
              <w:right w:val="single" w:color="auto" w:sz="4" w:space="0"/>
            </w:tcBorders>
            <w:noWrap/>
            <w:vAlign w:val="center"/>
          </w:tcPr>
          <w:p w14:paraId="33CDBE82">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流量计前温度</w:t>
            </w:r>
          </w:p>
        </w:tc>
        <w:tc>
          <w:tcPr>
            <w:tcW w:w="3087" w:type="dxa"/>
            <w:tcBorders>
              <w:left w:val="single" w:color="auto" w:sz="4" w:space="0"/>
              <w:right w:val="single" w:color="auto" w:sz="4" w:space="0"/>
            </w:tcBorders>
            <w:noWrap/>
            <w:vAlign w:val="center"/>
          </w:tcPr>
          <w:p w14:paraId="032F73EA">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（-30~99）℃</w:t>
            </w:r>
          </w:p>
        </w:tc>
        <w:tc>
          <w:tcPr>
            <w:tcW w:w="1463" w:type="dxa"/>
            <w:tcBorders>
              <w:left w:val="single" w:color="auto" w:sz="4" w:space="0"/>
              <w:right w:val="single" w:color="auto" w:sz="4" w:space="0"/>
            </w:tcBorders>
            <w:noWrap/>
            <w:vAlign w:val="center"/>
          </w:tcPr>
          <w:p w14:paraId="317F409E">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1912" w:type="dxa"/>
            <w:tcBorders>
              <w:left w:val="single" w:color="auto" w:sz="4" w:space="0"/>
              <w:right w:val="single" w:color="auto" w:sz="4" w:space="0"/>
            </w:tcBorders>
            <w:noWrap/>
            <w:vAlign w:val="center"/>
          </w:tcPr>
          <w:p w14:paraId="62180A4B">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不超过±2.5℃</w:t>
            </w:r>
          </w:p>
        </w:tc>
      </w:tr>
      <w:tr w14:paraId="4986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693" w:type="dxa"/>
            <w:tcBorders>
              <w:right w:val="single" w:color="auto" w:sz="4" w:space="0"/>
            </w:tcBorders>
            <w:noWrap/>
            <w:vAlign w:val="center"/>
          </w:tcPr>
          <w:p w14:paraId="4F75F1B8">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流量计前压力</w:t>
            </w:r>
          </w:p>
        </w:tc>
        <w:tc>
          <w:tcPr>
            <w:tcW w:w="3087" w:type="dxa"/>
            <w:tcBorders>
              <w:left w:val="single" w:color="auto" w:sz="4" w:space="0"/>
              <w:right w:val="single" w:color="auto" w:sz="4" w:space="0"/>
            </w:tcBorders>
            <w:noWrap/>
            <w:vAlign w:val="center"/>
          </w:tcPr>
          <w:p w14:paraId="062CAFC6">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（-45~0）kPa</w:t>
            </w:r>
          </w:p>
        </w:tc>
        <w:tc>
          <w:tcPr>
            <w:tcW w:w="1463" w:type="dxa"/>
            <w:tcBorders>
              <w:left w:val="single" w:color="auto" w:sz="4" w:space="0"/>
              <w:right w:val="single" w:color="auto" w:sz="4" w:space="0"/>
            </w:tcBorders>
            <w:noWrap/>
            <w:vAlign w:val="center"/>
          </w:tcPr>
          <w:p w14:paraId="1E18C345">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0.01kPa</w:t>
            </w:r>
          </w:p>
        </w:tc>
        <w:tc>
          <w:tcPr>
            <w:tcW w:w="1912" w:type="dxa"/>
            <w:tcBorders>
              <w:left w:val="single" w:color="auto" w:sz="4" w:space="0"/>
              <w:right w:val="single" w:color="auto" w:sz="4" w:space="0"/>
            </w:tcBorders>
            <w:noWrap/>
            <w:vAlign w:val="center"/>
          </w:tcPr>
          <w:p w14:paraId="479C2267">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不超过±2.5%</w:t>
            </w:r>
          </w:p>
        </w:tc>
      </w:tr>
      <w:tr w14:paraId="6AF1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93" w:type="dxa"/>
            <w:tcBorders>
              <w:right w:val="single" w:color="auto" w:sz="4" w:space="0"/>
            </w:tcBorders>
            <w:noWrap/>
            <w:vAlign w:val="center"/>
          </w:tcPr>
          <w:p w14:paraId="0F6E1FC2">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流量重复性</w:t>
            </w:r>
          </w:p>
        </w:tc>
        <w:tc>
          <w:tcPr>
            <w:tcW w:w="3087" w:type="dxa"/>
            <w:tcBorders>
              <w:left w:val="single" w:color="auto" w:sz="4" w:space="0"/>
              <w:right w:val="single" w:color="auto" w:sz="4" w:space="0"/>
            </w:tcBorders>
            <w:noWrap/>
            <w:vAlign w:val="center"/>
          </w:tcPr>
          <w:p w14:paraId="7631384B">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w:t>
            </w:r>
          </w:p>
        </w:tc>
        <w:tc>
          <w:tcPr>
            <w:tcW w:w="1463" w:type="dxa"/>
            <w:tcBorders>
              <w:left w:val="single" w:color="auto" w:sz="4" w:space="0"/>
              <w:right w:val="single" w:color="auto" w:sz="4" w:space="0"/>
            </w:tcBorders>
            <w:noWrap/>
            <w:vAlign w:val="center"/>
          </w:tcPr>
          <w:p w14:paraId="5AF817BE">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w:t>
            </w:r>
          </w:p>
        </w:tc>
        <w:tc>
          <w:tcPr>
            <w:tcW w:w="1912" w:type="dxa"/>
            <w:tcBorders>
              <w:left w:val="single" w:color="auto" w:sz="4" w:space="0"/>
              <w:right w:val="single" w:color="auto" w:sz="4" w:space="0"/>
            </w:tcBorders>
            <w:noWrap/>
            <w:vAlign w:val="center"/>
          </w:tcPr>
          <w:p w14:paraId="16E2986C">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不超过2%</w:t>
            </w:r>
          </w:p>
        </w:tc>
      </w:tr>
      <w:tr w14:paraId="6AB3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93" w:type="dxa"/>
            <w:tcBorders>
              <w:right w:val="single" w:color="auto" w:sz="4" w:space="0"/>
            </w:tcBorders>
            <w:noWrap/>
            <w:vAlign w:val="center"/>
          </w:tcPr>
          <w:p w14:paraId="43EF93E2">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流量稳定性</w:t>
            </w:r>
          </w:p>
        </w:tc>
        <w:tc>
          <w:tcPr>
            <w:tcW w:w="3087" w:type="dxa"/>
            <w:tcBorders>
              <w:left w:val="single" w:color="auto" w:sz="4" w:space="0"/>
              <w:right w:val="single" w:color="auto" w:sz="4" w:space="0"/>
            </w:tcBorders>
            <w:noWrap/>
            <w:vAlign w:val="center"/>
          </w:tcPr>
          <w:p w14:paraId="32E07932">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w:t>
            </w:r>
          </w:p>
        </w:tc>
        <w:tc>
          <w:tcPr>
            <w:tcW w:w="1463" w:type="dxa"/>
            <w:tcBorders>
              <w:left w:val="single" w:color="auto" w:sz="4" w:space="0"/>
              <w:right w:val="single" w:color="auto" w:sz="4" w:space="0"/>
            </w:tcBorders>
            <w:noWrap/>
            <w:vAlign w:val="center"/>
          </w:tcPr>
          <w:p w14:paraId="03113C79">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w:t>
            </w:r>
          </w:p>
        </w:tc>
        <w:tc>
          <w:tcPr>
            <w:tcW w:w="1912" w:type="dxa"/>
            <w:tcBorders>
              <w:left w:val="single" w:color="auto" w:sz="4" w:space="0"/>
              <w:right w:val="single" w:color="auto" w:sz="4" w:space="0"/>
            </w:tcBorders>
            <w:noWrap/>
            <w:vAlign w:val="center"/>
          </w:tcPr>
          <w:p w14:paraId="238C40ED">
            <w:pPr>
              <w:widowControl/>
              <w:spacing w:line="420" w:lineRule="exact"/>
              <w:ind w:left="-105" w:right="-105" w:firstLine="240"/>
              <w:rPr>
                <w:rFonts w:hint="eastAsia" w:ascii="楷体" w:hAnsi="楷体" w:eastAsia="楷体" w:cs="楷体"/>
                <w:color w:val="000000"/>
                <w:sz w:val="24"/>
                <w:szCs w:val="24"/>
              </w:rPr>
            </w:pPr>
            <w:r>
              <w:rPr>
                <w:rFonts w:hint="eastAsia" w:ascii="楷体" w:hAnsi="楷体" w:eastAsia="楷体" w:cs="楷体"/>
                <w:color w:val="000000"/>
                <w:sz w:val="24"/>
                <w:szCs w:val="24"/>
              </w:rPr>
              <w:t>不超过5%</w:t>
            </w:r>
          </w:p>
        </w:tc>
      </w:tr>
      <w:tr w14:paraId="3B51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693" w:type="dxa"/>
            <w:tcBorders>
              <w:right w:val="single" w:color="auto" w:sz="4" w:space="0"/>
            </w:tcBorders>
            <w:noWrap/>
            <w:vAlign w:val="center"/>
          </w:tcPr>
          <w:p w14:paraId="4CB0BF37">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恒温控制</w:t>
            </w:r>
          </w:p>
        </w:tc>
        <w:tc>
          <w:tcPr>
            <w:tcW w:w="3087" w:type="dxa"/>
            <w:tcBorders>
              <w:left w:val="single" w:color="auto" w:sz="4" w:space="0"/>
              <w:right w:val="single" w:color="auto" w:sz="4" w:space="0"/>
            </w:tcBorders>
            <w:noWrap/>
            <w:vAlign w:val="top"/>
          </w:tcPr>
          <w:p w14:paraId="56B41B6D">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（15~30）℃</w:t>
            </w:r>
          </w:p>
        </w:tc>
        <w:tc>
          <w:tcPr>
            <w:tcW w:w="1463" w:type="dxa"/>
            <w:tcBorders>
              <w:left w:val="single" w:color="auto" w:sz="4" w:space="0"/>
              <w:right w:val="single" w:color="auto" w:sz="4" w:space="0"/>
            </w:tcBorders>
            <w:noWrap/>
            <w:vAlign w:val="top"/>
          </w:tcPr>
          <w:p w14:paraId="13523D67">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0.1℃</w:t>
            </w:r>
          </w:p>
        </w:tc>
        <w:tc>
          <w:tcPr>
            <w:tcW w:w="1912" w:type="dxa"/>
            <w:tcBorders>
              <w:left w:val="single" w:color="auto" w:sz="4" w:space="0"/>
              <w:right w:val="single" w:color="auto" w:sz="4" w:space="0"/>
            </w:tcBorders>
            <w:noWrap/>
            <w:vAlign w:val="top"/>
          </w:tcPr>
          <w:p w14:paraId="10AFB1D8">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不超过±2℃</w:t>
            </w:r>
          </w:p>
        </w:tc>
      </w:tr>
      <w:tr w14:paraId="5A10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693" w:type="dxa"/>
            <w:tcBorders>
              <w:right w:val="single" w:color="auto" w:sz="4" w:space="0"/>
            </w:tcBorders>
            <w:noWrap/>
            <w:vAlign w:val="center"/>
          </w:tcPr>
          <w:p w14:paraId="67D13B6A">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大气压</w:t>
            </w:r>
          </w:p>
        </w:tc>
        <w:tc>
          <w:tcPr>
            <w:tcW w:w="3087" w:type="dxa"/>
            <w:tcBorders>
              <w:left w:val="single" w:color="auto" w:sz="4" w:space="0"/>
              <w:right w:val="single" w:color="auto" w:sz="4" w:space="0"/>
            </w:tcBorders>
            <w:noWrap/>
            <w:vAlign w:val="top"/>
          </w:tcPr>
          <w:p w14:paraId="2D6C2ED0">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（50~130）kPa</w:t>
            </w:r>
          </w:p>
        </w:tc>
        <w:tc>
          <w:tcPr>
            <w:tcW w:w="1463" w:type="dxa"/>
            <w:tcBorders>
              <w:left w:val="single" w:color="auto" w:sz="4" w:space="0"/>
              <w:right w:val="single" w:color="auto" w:sz="4" w:space="0"/>
            </w:tcBorders>
            <w:noWrap/>
            <w:vAlign w:val="top"/>
          </w:tcPr>
          <w:p w14:paraId="02C30C11">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0.01kPa</w:t>
            </w:r>
          </w:p>
        </w:tc>
        <w:tc>
          <w:tcPr>
            <w:tcW w:w="1912" w:type="dxa"/>
            <w:tcBorders>
              <w:left w:val="single" w:color="auto" w:sz="4" w:space="0"/>
              <w:right w:val="single" w:color="auto" w:sz="4" w:space="0"/>
            </w:tcBorders>
            <w:noWrap/>
            <w:vAlign w:val="top"/>
          </w:tcPr>
          <w:p w14:paraId="063037EC">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不超过±500Pa</w:t>
            </w:r>
          </w:p>
        </w:tc>
      </w:tr>
      <w:tr w14:paraId="0FE4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93" w:type="dxa"/>
            <w:tcBorders>
              <w:right w:val="single" w:color="auto" w:sz="4" w:space="0"/>
            </w:tcBorders>
            <w:noWrap/>
            <w:vAlign w:val="center"/>
          </w:tcPr>
          <w:p w14:paraId="2DBECD56">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▲负载能力</w:t>
            </w:r>
          </w:p>
        </w:tc>
        <w:tc>
          <w:tcPr>
            <w:tcW w:w="6462" w:type="dxa"/>
            <w:gridSpan w:val="3"/>
            <w:tcBorders>
              <w:left w:val="single" w:color="auto" w:sz="4" w:space="0"/>
              <w:right w:val="single" w:color="auto" w:sz="4" w:space="0"/>
            </w:tcBorders>
            <w:noWrap/>
            <w:vAlign w:val="top"/>
          </w:tcPr>
          <w:p w14:paraId="4D2392FC">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100L/min流量时，可克服阻力6kPa</w:t>
            </w:r>
          </w:p>
        </w:tc>
      </w:tr>
      <w:tr w14:paraId="32CC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93" w:type="dxa"/>
            <w:tcBorders>
              <w:right w:val="single" w:color="auto" w:sz="4" w:space="0"/>
            </w:tcBorders>
            <w:noWrap/>
            <w:vAlign w:val="center"/>
          </w:tcPr>
          <w:p w14:paraId="116977B8">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数据存储</w:t>
            </w:r>
          </w:p>
        </w:tc>
        <w:tc>
          <w:tcPr>
            <w:tcW w:w="6462" w:type="dxa"/>
            <w:gridSpan w:val="3"/>
            <w:tcBorders>
              <w:left w:val="single" w:color="auto" w:sz="4" w:space="0"/>
              <w:right w:val="single" w:color="auto" w:sz="4" w:space="0"/>
            </w:tcBorders>
            <w:noWrap/>
            <w:vAlign w:val="top"/>
          </w:tcPr>
          <w:p w14:paraId="20B695D0">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≥9999组</w:t>
            </w:r>
          </w:p>
        </w:tc>
      </w:tr>
      <w:tr w14:paraId="12B9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93" w:type="dxa"/>
            <w:tcBorders>
              <w:right w:val="single" w:color="auto" w:sz="4" w:space="0"/>
            </w:tcBorders>
            <w:noWrap/>
            <w:vAlign w:val="center"/>
          </w:tcPr>
          <w:p w14:paraId="594F8D18">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主机重量</w:t>
            </w:r>
          </w:p>
        </w:tc>
        <w:tc>
          <w:tcPr>
            <w:tcW w:w="6462" w:type="dxa"/>
            <w:gridSpan w:val="3"/>
            <w:tcBorders>
              <w:left w:val="single" w:color="auto" w:sz="4" w:space="0"/>
              <w:right w:val="single" w:color="auto" w:sz="4" w:space="0"/>
            </w:tcBorders>
            <w:noWrap/>
            <w:vAlign w:val="top"/>
          </w:tcPr>
          <w:p w14:paraId="3D6CBBEB">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≤5.5kg </w:t>
            </w:r>
          </w:p>
        </w:tc>
      </w:tr>
      <w:tr w14:paraId="41183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93" w:type="dxa"/>
            <w:tcBorders>
              <w:right w:val="single" w:color="auto" w:sz="4" w:space="0"/>
            </w:tcBorders>
            <w:noWrap/>
            <w:vAlign w:val="center"/>
          </w:tcPr>
          <w:p w14:paraId="608936F5">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工作电源</w:t>
            </w:r>
          </w:p>
        </w:tc>
        <w:tc>
          <w:tcPr>
            <w:tcW w:w="6462" w:type="dxa"/>
            <w:gridSpan w:val="3"/>
            <w:tcBorders>
              <w:left w:val="single" w:color="auto" w:sz="4" w:space="0"/>
              <w:right w:val="single" w:color="auto" w:sz="4" w:space="0"/>
            </w:tcBorders>
            <w:noWrap/>
            <w:vAlign w:val="top"/>
          </w:tcPr>
          <w:p w14:paraId="4BABC430">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内置锂电池（11.1V/15.6Ah）或外接AC 220V 50Hz交流电源</w:t>
            </w:r>
          </w:p>
        </w:tc>
      </w:tr>
      <w:tr w14:paraId="71EB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1693" w:type="dxa"/>
            <w:tcBorders>
              <w:right w:val="single" w:color="auto" w:sz="4" w:space="0"/>
            </w:tcBorders>
            <w:noWrap/>
            <w:vAlign w:val="center"/>
          </w:tcPr>
          <w:p w14:paraId="4339C949">
            <w:pPr>
              <w:widowControl/>
              <w:spacing w:line="420" w:lineRule="exact"/>
              <w:ind w:left="-105" w:right="-105" w:firstLine="240"/>
              <w:jc w:val="center"/>
              <w:rPr>
                <w:rFonts w:hint="eastAsia" w:ascii="楷体" w:hAnsi="楷体" w:eastAsia="楷体" w:cs="楷体"/>
                <w:color w:val="000000"/>
                <w:sz w:val="24"/>
                <w:szCs w:val="24"/>
              </w:rPr>
            </w:pPr>
            <w:r>
              <w:rPr>
                <w:rFonts w:hint="eastAsia" w:ascii="楷体" w:hAnsi="楷体" w:eastAsia="楷体" w:cs="楷体"/>
                <w:color w:val="000000"/>
                <w:sz w:val="24"/>
                <w:szCs w:val="24"/>
              </w:rPr>
              <w:t>工作时间</w:t>
            </w:r>
          </w:p>
        </w:tc>
        <w:tc>
          <w:tcPr>
            <w:tcW w:w="6462" w:type="dxa"/>
            <w:gridSpan w:val="3"/>
            <w:tcBorders>
              <w:left w:val="single" w:color="auto" w:sz="4" w:space="0"/>
              <w:right w:val="single" w:color="auto" w:sz="4" w:space="0"/>
            </w:tcBorders>
            <w:noWrap/>
            <w:vAlign w:val="top"/>
          </w:tcPr>
          <w:p w14:paraId="6CEB8FDC">
            <w:pPr>
              <w:widowControl/>
              <w:spacing w:line="420" w:lineRule="exact"/>
              <w:ind w:left="-105" w:right="-105" w:firstLine="240"/>
              <w:jc w:val="left"/>
              <w:rPr>
                <w:rFonts w:hint="eastAsia" w:ascii="楷体" w:hAnsi="楷体" w:eastAsia="楷体" w:cs="楷体"/>
                <w:color w:val="000000"/>
                <w:sz w:val="24"/>
                <w:szCs w:val="24"/>
              </w:rPr>
            </w:pPr>
            <w:r>
              <w:rPr>
                <w:rFonts w:hint="eastAsia" w:ascii="楷体" w:hAnsi="楷体" w:eastAsia="楷体" w:cs="楷体"/>
                <w:color w:val="000000"/>
                <w:sz w:val="24"/>
                <w:szCs w:val="24"/>
              </w:rPr>
              <w:t>不低于5小时（负载-2.5kPa 流量100L/min）</w:t>
            </w:r>
          </w:p>
        </w:tc>
      </w:tr>
    </w:tbl>
    <w:p w14:paraId="66AC6950">
      <w:pPr>
        <w:widowControl/>
        <w:spacing w:line="420" w:lineRule="exact"/>
        <w:jc w:val="left"/>
        <w:rPr>
          <w:rFonts w:hint="eastAsia" w:ascii="楷体" w:hAnsi="楷体" w:eastAsia="楷体" w:cs="楷体"/>
          <w:b/>
          <w:bCs/>
          <w:color w:val="000000"/>
          <w:sz w:val="24"/>
          <w:szCs w:val="24"/>
        </w:rPr>
      </w:pPr>
    </w:p>
    <w:p w14:paraId="7728B03F">
      <w:pPr>
        <w:widowControl/>
        <w:spacing w:line="420" w:lineRule="exact"/>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t>3、采样头技术指标</w:t>
      </w:r>
    </w:p>
    <w:tbl>
      <w:tblPr>
        <w:tblStyle w:val="68"/>
        <w:tblW w:w="8874"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6"/>
        <w:gridCol w:w="6508"/>
      </w:tblGrid>
      <w:tr w14:paraId="25C0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2366" w:type="dxa"/>
            <w:tcBorders>
              <w:right w:val="single" w:color="auto" w:sz="4" w:space="0"/>
            </w:tcBorders>
            <w:noWrap/>
            <w:vAlign w:val="center"/>
          </w:tcPr>
          <w:p w14:paraId="0B5F2475">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主要参数</w:t>
            </w:r>
          </w:p>
        </w:tc>
        <w:tc>
          <w:tcPr>
            <w:tcW w:w="6508" w:type="dxa"/>
            <w:tcBorders>
              <w:left w:val="single" w:color="auto" w:sz="4" w:space="0"/>
              <w:right w:val="single" w:color="auto" w:sz="4" w:space="0"/>
            </w:tcBorders>
            <w:noWrap/>
            <w:vAlign w:val="center"/>
          </w:tcPr>
          <w:p w14:paraId="5E5E2896">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参数范围</w:t>
            </w:r>
          </w:p>
        </w:tc>
      </w:tr>
      <w:tr w14:paraId="2D2B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6" w:type="dxa"/>
            <w:tcBorders>
              <w:right w:val="single" w:color="auto" w:sz="4" w:space="0"/>
            </w:tcBorders>
            <w:noWrap/>
            <w:vAlign w:val="center"/>
          </w:tcPr>
          <w:p w14:paraId="4BBDBE31">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TSP采集粒度</w:t>
            </w:r>
          </w:p>
        </w:tc>
        <w:tc>
          <w:tcPr>
            <w:tcW w:w="6508" w:type="dxa"/>
            <w:tcBorders>
              <w:left w:val="single" w:color="auto" w:sz="4" w:space="0"/>
              <w:right w:val="single" w:color="auto" w:sz="4" w:space="0"/>
            </w:tcBorders>
            <w:noWrap/>
            <w:vAlign w:val="center"/>
          </w:tcPr>
          <w:p w14:paraId="1A125EA1">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＜100μm</w:t>
            </w:r>
          </w:p>
        </w:tc>
      </w:tr>
      <w:tr w14:paraId="3236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2366" w:type="dxa"/>
            <w:tcBorders>
              <w:right w:val="single" w:color="auto" w:sz="4" w:space="0"/>
            </w:tcBorders>
            <w:noWrap/>
            <w:vAlign w:val="center"/>
          </w:tcPr>
          <w:p w14:paraId="33C62741">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PM10切割特性</w:t>
            </w:r>
          </w:p>
        </w:tc>
        <w:tc>
          <w:tcPr>
            <w:tcW w:w="6508" w:type="dxa"/>
            <w:tcBorders>
              <w:left w:val="single" w:color="auto" w:sz="4" w:space="0"/>
              <w:right w:val="single" w:color="auto" w:sz="4" w:space="0"/>
            </w:tcBorders>
            <w:noWrap/>
            <w:vAlign w:val="center"/>
          </w:tcPr>
          <w:p w14:paraId="39CC9987">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Da50=( 10±0.5)μm σg=1.5±0.1 </w:t>
            </w:r>
          </w:p>
        </w:tc>
      </w:tr>
      <w:tr w14:paraId="27D7D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366" w:type="dxa"/>
            <w:tcBorders>
              <w:right w:val="single" w:color="auto" w:sz="4" w:space="0"/>
            </w:tcBorders>
            <w:noWrap/>
            <w:vAlign w:val="center"/>
          </w:tcPr>
          <w:p w14:paraId="04CA2FA9">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入口速度</w:t>
            </w:r>
          </w:p>
        </w:tc>
        <w:tc>
          <w:tcPr>
            <w:tcW w:w="6508" w:type="dxa"/>
            <w:tcBorders>
              <w:left w:val="single" w:color="auto" w:sz="4" w:space="0"/>
              <w:right w:val="single" w:color="auto" w:sz="4" w:space="0"/>
            </w:tcBorders>
            <w:noWrap/>
            <w:vAlign w:val="center"/>
          </w:tcPr>
          <w:p w14:paraId="5912B513">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0.3m/s</w:t>
            </w:r>
          </w:p>
        </w:tc>
      </w:tr>
      <w:tr w14:paraId="56314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366" w:type="dxa"/>
            <w:tcBorders>
              <w:right w:val="single" w:color="auto" w:sz="4" w:space="0"/>
            </w:tcBorders>
            <w:noWrap/>
            <w:vAlign w:val="center"/>
          </w:tcPr>
          <w:p w14:paraId="0E0E8E3D">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进气口尺寸偏差</w:t>
            </w:r>
          </w:p>
        </w:tc>
        <w:tc>
          <w:tcPr>
            <w:tcW w:w="6508" w:type="dxa"/>
            <w:tcBorders>
              <w:left w:val="single" w:color="auto" w:sz="4" w:space="0"/>
              <w:right w:val="single" w:color="auto" w:sz="4" w:space="0"/>
            </w:tcBorders>
            <w:noWrap/>
            <w:vAlign w:val="center"/>
          </w:tcPr>
          <w:p w14:paraId="0DF27E9B">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不超过±2.0%</w:t>
            </w:r>
          </w:p>
        </w:tc>
      </w:tr>
      <w:tr w14:paraId="71F6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2366" w:type="dxa"/>
            <w:tcBorders>
              <w:right w:val="single" w:color="auto" w:sz="4" w:space="0"/>
            </w:tcBorders>
            <w:noWrap/>
            <w:vAlign w:val="center"/>
          </w:tcPr>
          <w:p w14:paraId="2A81899A">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有效滤膜直径</w:t>
            </w:r>
          </w:p>
        </w:tc>
        <w:tc>
          <w:tcPr>
            <w:tcW w:w="6508" w:type="dxa"/>
            <w:tcBorders>
              <w:left w:val="single" w:color="auto" w:sz="4" w:space="0"/>
              <w:right w:val="single" w:color="auto" w:sz="4" w:space="0"/>
            </w:tcBorders>
            <w:noWrap/>
            <w:vAlign w:val="center"/>
          </w:tcPr>
          <w:p w14:paraId="1A3907D9">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Φ80mm</w:t>
            </w:r>
          </w:p>
        </w:tc>
      </w:tr>
      <w:tr w14:paraId="5FC7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366" w:type="dxa"/>
            <w:tcBorders>
              <w:right w:val="single" w:color="auto" w:sz="4" w:space="0"/>
            </w:tcBorders>
            <w:noWrap/>
            <w:vAlign w:val="center"/>
          </w:tcPr>
          <w:p w14:paraId="2258C3E1">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连接头</w:t>
            </w:r>
          </w:p>
        </w:tc>
        <w:tc>
          <w:tcPr>
            <w:tcW w:w="6508" w:type="dxa"/>
            <w:tcBorders>
              <w:left w:val="single" w:color="auto" w:sz="4" w:space="0"/>
              <w:right w:val="single" w:color="auto" w:sz="4" w:space="0"/>
            </w:tcBorders>
            <w:noWrap/>
            <w:vAlign w:val="center"/>
          </w:tcPr>
          <w:p w14:paraId="4FBA4E8E">
            <w:pPr>
              <w:widowControl/>
              <w:spacing w:line="420" w:lineRule="exact"/>
              <w:ind w:firstLine="240"/>
              <w:rPr>
                <w:rFonts w:hint="eastAsia" w:ascii="楷体" w:hAnsi="楷体" w:eastAsia="楷体" w:cs="楷体"/>
                <w:color w:val="000000"/>
                <w:sz w:val="24"/>
                <w:szCs w:val="24"/>
              </w:rPr>
            </w:pPr>
            <w:r>
              <w:rPr>
                <w:rFonts w:hint="eastAsia" w:ascii="楷体" w:hAnsi="楷体" w:eastAsia="楷体" w:cs="楷体"/>
                <w:color w:val="000000"/>
                <w:sz w:val="24"/>
                <w:szCs w:val="24"/>
              </w:rPr>
              <w:t>M20×1.5</w:t>
            </w:r>
          </w:p>
        </w:tc>
      </w:tr>
    </w:tbl>
    <w:p w14:paraId="4B621DBB">
      <w:pPr>
        <w:widowControl/>
        <w:spacing w:line="420" w:lineRule="exact"/>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t>4、配置</w:t>
      </w:r>
    </w:p>
    <w:p w14:paraId="526F8DC9">
      <w:pPr>
        <w:widowControl/>
        <w:spacing w:line="420" w:lineRule="exact"/>
        <w:jc w:val="left"/>
        <w:rPr>
          <w:rFonts w:hint="eastAsia" w:ascii="楷体" w:hAnsi="楷体" w:eastAsia="楷体" w:cs="楷体"/>
          <w:color w:val="000000"/>
          <w:sz w:val="24"/>
          <w:szCs w:val="24"/>
        </w:rPr>
      </w:pPr>
      <w:r>
        <w:rPr>
          <w:rFonts w:hint="eastAsia" w:ascii="楷体" w:hAnsi="楷体" w:eastAsia="楷体" w:cs="楷体"/>
          <w:color w:val="000000"/>
          <w:sz w:val="24"/>
          <w:szCs w:val="24"/>
        </w:rPr>
        <w:t>主机、TSP/PM10采样头、三角支架、防倒吸干燥筒</w:t>
      </w:r>
    </w:p>
    <w:p w14:paraId="751B6A9F">
      <w:pPr>
        <w:spacing w:line="420" w:lineRule="exact"/>
        <w:rPr>
          <w:rFonts w:hint="eastAsia" w:ascii="楷体" w:hAnsi="楷体" w:eastAsia="楷体" w:cs="楷体"/>
          <w:b/>
          <w:bCs/>
          <w:sz w:val="24"/>
          <w:szCs w:val="24"/>
        </w:rPr>
      </w:pPr>
    </w:p>
    <w:p w14:paraId="6D4F3845">
      <w:pPr>
        <w:numPr>
          <w:ilvl w:val="0"/>
          <w:numId w:val="7"/>
        </w:numPr>
        <w:spacing w:line="420" w:lineRule="exact"/>
        <w:rPr>
          <w:rFonts w:hint="eastAsia" w:ascii="楷体" w:hAnsi="楷体" w:eastAsia="楷体" w:cs="楷体"/>
          <w:b/>
          <w:bCs/>
          <w:sz w:val="24"/>
          <w:szCs w:val="24"/>
        </w:rPr>
      </w:pPr>
      <w:r>
        <w:rPr>
          <w:rFonts w:hint="eastAsia" w:ascii="楷体" w:hAnsi="楷体" w:eastAsia="楷体" w:cs="楷体"/>
          <w:b/>
          <w:bCs/>
          <w:sz w:val="24"/>
          <w:szCs w:val="24"/>
        </w:rPr>
        <w:t>噪声统计分析仪</w:t>
      </w:r>
      <w:bookmarkStart w:id="242" w:name="_Toc32295"/>
      <w:bookmarkStart w:id="243" w:name="_Toc20760"/>
      <w:bookmarkStart w:id="244" w:name="_Toc23333"/>
      <w:r>
        <w:rPr>
          <w:rFonts w:hint="eastAsia" w:ascii="楷体" w:hAnsi="楷体" w:eastAsia="楷体" w:cs="楷体"/>
          <w:b/>
          <w:bCs/>
          <w:sz w:val="24"/>
          <w:szCs w:val="24"/>
        </w:rPr>
        <w:t>技术参数</w:t>
      </w:r>
      <w:bookmarkEnd w:id="242"/>
      <w:bookmarkEnd w:id="243"/>
      <w:bookmarkEnd w:id="244"/>
      <w:r>
        <w:rPr>
          <w:rFonts w:hint="eastAsia" w:ascii="楷体" w:hAnsi="楷体" w:eastAsia="楷体" w:cs="楷体"/>
          <w:b/>
          <w:bCs/>
          <w:sz w:val="24"/>
          <w:szCs w:val="24"/>
        </w:rPr>
        <w:t>及配置</w:t>
      </w:r>
    </w:p>
    <w:p w14:paraId="2E6F86DE">
      <w:pPr>
        <w:pStyle w:val="2"/>
        <w:spacing w:line="420" w:lineRule="exact"/>
        <w:rPr>
          <w:rFonts w:hint="eastAsia" w:ascii="楷体" w:hAnsi="楷体" w:eastAsia="楷体" w:cs="楷体"/>
          <w:b/>
          <w:bCs/>
          <w:sz w:val="24"/>
          <w:szCs w:val="24"/>
        </w:rPr>
      </w:pPr>
      <w:r>
        <w:rPr>
          <w:rFonts w:hint="eastAsia" w:ascii="楷体" w:hAnsi="楷体" w:eastAsia="楷体" w:cs="楷体"/>
          <w:b/>
          <w:bCs/>
          <w:sz w:val="24"/>
          <w:szCs w:val="24"/>
        </w:rPr>
        <w:t>1、技术参数</w:t>
      </w:r>
    </w:p>
    <w:p w14:paraId="743207E3">
      <w:pPr>
        <w:spacing w:line="420" w:lineRule="exact"/>
        <w:rPr>
          <w:rFonts w:hint="eastAsia" w:ascii="楷体" w:hAnsi="楷体" w:eastAsia="楷体" w:cs="楷体"/>
          <w:sz w:val="24"/>
          <w:szCs w:val="24"/>
        </w:rPr>
      </w:pPr>
      <w:r>
        <w:rPr>
          <w:rFonts w:hint="eastAsia" w:ascii="楷体" w:hAnsi="楷体" w:eastAsia="楷体" w:cs="楷体"/>
          <w:sz w:val="24"/>
          <w:szCs w:val="24"/>
        </w:rPr>
        <w:t>（1）传声器和前置级组合灵敏度级：-35 dB</w:t>
      </w:r>
    </w:p>
    <w:p w14:paraId="5784E54A">
      <w:pPr>
        <w:spacing w:line="420" w:lineRule="exact"/>
        <w:rPr>
          <w:rFonts w:hint="eastAsia" w:ascii="楷体" w:hAnsi="楷体" w:eastAsia="楷体" w:cs="楷体"/>
          <w:sz w:val="24"/>
          <w:szCs w:val="24"/>
        </w:rPr>
      </w:pPr>
      <w:r>
        <w:rPr>
          <w:rFonts w:hint="eastAsia" w:ascii="楷体" w:hAnsi="楷体" w:eastAsia="楷体" w:cs="楷体"/>
          <w:sz w:val="24"/>
          <w:szCs w:val="24"/>
        </w:rPr>
        <w:t>（2）频率范围：10 Hz～25kHz（电信号）；</w:t>
      </w:r>
    </w:p>
    <w:p w14:paraId="3AA8AB8A">
      <w:pPr>
        <w:spacing w:line="420" w:lineRule="exact"/>
        <w:rPr>
          <w:rFonts w:hint="eastAsia" w:ascii="楷体" w:hAnsi="楷体" w:eastAsia="楷体" w:cs="楷体"/>
          <w:sz w:val="24"/>
          <w:szCs w:val="24"/>
        </w:rPr>
      </w:pPr>
      <w:r>
        <w:rPr>
          <w:rFonts w:hint="eastAsia" w:ascii="楷体" w:hAnsi="楷体" w:eastAsia="楷体" w:cs="楷体"/>
          <w:sz w:val="24"/>
          <w:szCs w:val="24"/>
        </w:rPr>
        <w:t>（3）测量范围：18dB(A)～144dB(A)；</w:t>
      </w:r>
    </w:p>
    <w:p w14:paraId="3CC90019">
      <w:pPr>
        <w:spacing w:line="420" w:lineRule="exact"/>
        <w:rPr>
          <w:rFonts w:hint="eastAsia" w:ascii="楷体" w:hAnsi="楷体" w:eastAsia="楷体" w:cs="楷体"/>
          <w:sz w:val="24"/>
          <w:szCs w:val="24"/>
        </w:rPr>
      </w:pPr>
      <w:r>
        <w:rPr>
          <w:rFonts w:hint="eastAsia" w:ascii="楷体" w:hAnsi="楷体" w:eastAsia="楷体" w:cs="楷体"/>
          <w:sz w:val="24"/>
          <w:szCs w:val="24"/>
        </w:rPr>
        <w:t>（4）本机电噪声：&lt;16dB(A)；</w:t>
      </w:r>
    </w:p>
    <w:p w14:paraId="227F523E">
      <w:pPr>
        <w:spacing w:line="420" w:lineRule="exact"/>
        <w:rPr>
          <w:rFonts w:hint="eastAsia" w:ascii="楷体" w:hAnsi="楷体" w:eastAsia="楷体" w:cs="楷体"/>
          <w:sz w:val="24"/>
          <w:szCs w:val="24"/>
        </w:rPr>
      </w:pPr>
      <w:r>
        <w:rPr>
          <w:rFonts w:hint="eastAsia" w:ascii="楷体" w:hAnsi="楷体" w:eastAsia="楷体" w:cs="楷体"/>
          <w:sz w:val="24"/>
          <w:szCs w:val="24"/>
        </w:rPr>
        <w:t>（5）频率计权：并行A、C、Z计权。</w:t>
      </w:r>
    </w:p>
    <w:p w14:paraId="326B9D68">
      <w:pPr>
        <w:spacing w:line="420" w:lineRule="exact"/>
        <w:rPr>
          <w:rFonts w:hint="eastAsia" w:ascii="楷体" w:hAnsi="楷体" w:eastAsia="楷体" w:cs="楷体"/>
          <w:sz w:val="24"/>
          <w:szCs w:val="24"/>
        </w:rPr>
      </w:pPr>
      <w:r>
        <w:rPr>
          <w:rFonts w:hint="eastAsia" w:ascii="楷体" w:hAnsi="楷体" w:eastAsia="楷体" w:cs="楷体"/>
          <w:sz w:val="24"/>
          <w:szCs w:val="24"/>
        </w:rPr>
        <w:t>（6）时间计权：并行F(快)，S(慢)，I(脉冲)。</w:t>
      </w:r>
    </w:p>
    <w:p w14:paraId="077179F7">
      <w:pPr>
        <w:spacing w:line="420" w:lineRule="exact"/>
        <w:ind w:left="1478" w:hanging="1478" w:hangingChars="616"/>
        <w:jc w:val="left"/>
        <w:rPr>
          <w:rFonts w:hint="eastAsia" w:ascii="楷体" w:hAnsi="楷体" w:eastAsia="楷体" w:cs="楷体"/>
          <w:sz w:val="24"/>
          <w:szCs w:val="24"/>
        </w:rPr>
      </w:pPr>
      <w:r>
        <w:rPr>
          <w:rFonts w:hint="eastAsia" w:ascii="楷体" w:hAnsi="楷体" w:eastAsia="楷体" w:cs="楷体"/>
          <w:sz w:val="24"/>
          <w:szCs w:val="24"/>
        </w:rPr>
        <w:t>（7）准确度：</w:t>
      </w:r>
      <w:r>
        <w:rPr>
          <w:rFonts w:hint="eastAsia" w:ascii="楷体" w:hAnsi="楷体" w:eastAsia="楷体" w:cs="楷体"/>
          <w:spacing w:val="11"/>
          <w:kern w:val="0"/>
          <w:sz w:val="24"/>
          <w:szCs w:val="24"/>
          <w:fitText w:val="4466" w:id="1897887513"/>
        </w:rPr>
        <w:t>GB/T 3785.1-2010/IEC 61672-1:2013</w:t>
      </w:r>
      <w:r>
        <w:rPr>
          <w:rFonts w:hint="eastAsia" w:ascii="楷体" w:hAnsi="楷体" w:eastAsia="楷体" w:cs="楷体"/>
          <w:spacing w:val="23"/>
          <w:kern w:val="0"/>
          <w:sz w:val="24"/>
          <w:szCs w:val="24"/>
          <w:fitText w:val="4466" w:id="1897887513"/>
        </w:rPr>
        <w:t>1</w:t>
      </w:r>
      <w:r>
        <w:rPr>
          <w:rFonts w:hint="eastAsia" w:ascii="楷体" w:hAnsi="楷体" w:eastAsia="楷体" w:cs="楷体"/>
          <w:kern w:val="0"/>
          <w:sz w:val="24"/>
          <w:szCs w:val="24"/>
        </w:rPr>
        <w:t>；</w:t>
      </w:r>
      <w:r>
        <w:rPr>
          <w:rFonts w:hint="eastAsia" w:ascii="楷体" w:hAnsi="楷体" w:eastAsia="楷体" w:cs="楷体"/>
          <w:spacing w:val="0"/>
          <w:w w:val="99"/>
          <w:kern w:val="0"/>
          <w:sz w:val="24"/>
          <w:szCs w:val="24"/>
          <w:fitText w:val="4466" w:id="382277449"/>
        </w:rPr>
        <w:t>GB/T 3241-2010/IEC 61260-1:2014 1级</w:t>
      </w:r>
      <w:r>
        <w:rPr>
          <w:rFonts w:hint="eastAsia" w:ascii="楷体" w:hAnsi="楷体" w:eastAsia="楷体" w:cs="楷体"/>
          <w:spacing w:val="6"/>
          <w:w w:val="99"/>
          <w:kern w:val="0"/>
          <w:sz w:val="24"/>
          <w:szCs w:val="24"/>
          <w:fitText w:val="4466" w:id="382277449"/>
        </w:rPr>
        <w:t>。</w:t>
      </w:r>
    </w:p>
    <w:p w14:paraId="0B485C26">
      <w:pPr>
        <w:spacing w:line="420" w:lineRule="exact"/>
        <w:rPr>
          <w:rFonts w:hint="eastAsia" w:ascii="楷体" w:hAnsi="楷体" w:eastAsia="楷体" w:cs="楷体"/>
          <w:sz w:val="24"/>
          <w:szCs w:val="24"/>
        </w:rPr>
      </w:pPr>
      <w:r>
        <w:rPr>
          <w:rFonts w:hint="eastAsia" w:ascii="楷体" w:hAnsi="楷体" w:eastAsia="楷体" w:cs="楷体"/>
          <w:sz w:val="24"/>
          <w:szCs w:val="24"/>
        </w:rPr>
        <w:t>（8）数据存贮：4 MB Flash RAM。</w:t>
      </w:r>
    </w:p>
    <w:p w14:paraId="476836A6">
      <w:pPr>
        <w:spacing w:line="420" w:lineRule="exact"/>
        <w:rPr>
          <w:rFonts w:hint="eastAsia" w:ascii="楷体" w:hAnsi="楷体" w:eastAsia="楷体" w:cs="楷体"/>
          <w:sz w:val="24"/>
          <w:szCs w:val="24"/>
        </w:rPr>
      </w:pPr>
      <w:r>
        <w:rPr>
          <w:rFonts w:hint="eastAsia" w:ascii="楷体" w:hAnsi="楷体" w:eastAsia="楷体" w:cs="楷体"/>
          <w:sz w:val="24"/>
          <w:szCs w:val="24"/>
        </w:rPr>
        <w:t>（9）存贮组数（基本分析功能）：≥500组。</w:t>
      </w:r>
    </w:p>
    <w:p w14:paraId="359C8EC9">
      <w:pPr>
        <w:spacing w:line="420" w:lineRule="exact"/>
        <w:rPr>
          <w:rFonts w:hint="eastAsia" w:ascii="楷体" w:hAnsi="楷体" w:eastAsia="楷体" w:cs="楷体"/>
          <w:sz w:val="24"/>
          <w:szCs w:val="24"/>
        </w:rPr>
      </w:pPr>
      <w:r>
        <w:rPr>
          <w:rFonts w:hint="eastAsia" w:ascii="楷体" w:hAnsi="楷体" w:eastAsia="楷体" w:cs="楷体"/>
          <w:sz w:val="24"/>
          <w:szCs w:val="24"/>
        </w:rPr>
        <w:t>（10）其它存贮：≥8组参数模板，≥120个测点名，≥60次校准记录。</w:t>
      </w:r>
    </w:p>
    <w:p w14:paraId="0D64B89A">
      <w:pPr>
        <w:spacing w:line="420" w:lineRule="exact"/>
        <w:rPr>
          <w:rFonts w:hint="eastAsia" w:ascii="楷体" w:hAnsi="楷体" w:eastAsia="楷体" w:cs="楷体"/>
          <w:sz w:val="24"/>
          <w:szCs w:val="24"/>
        </w:rPr>
      </w:pPr>
      <w:r>
        <w:rPr>
          <w:rFonts w:hint="eastAsia" w:ascii="楷体" w:hAnsi="楷体" w:eastAsia="楷体" w:cs="楷体"/>
          <w:sz w:val="24"/>
          <w:szCs w:val="24"/>
        </w:rPr>
        <w:t>（11）测量时间：1 s到24 h。</w:t>
      </w:r>
    </w:p>
    <w:p w14:paraId="0E42590F">
      <w:pPr>
        <w:spacing w:line="420" w:lineRule="exact"/>
        <w:rPr>
          <w:rFonts w:hint="eastAsia" w:ascii="楷体" w:hAnsi="楷体" w:eastAsia="楷体" w:cs="楷体"/>
          <w:sz w:val="24"/>
          <w:szCs w:val="24"/>
        </w:rPr>
      </w:pPr>
      <w:r>
        <w:rPr>
          <w:rFonts w:hint="eastAsia" w:ascii="楷体" w:hAnsi="楷体" w:eastAsia="楷体" w:cs="楷体"/>
          <w:sz w:val="24"/>
          <w:szCs w:val="24"/>
        </w:rPr>
        <w:t>（12）统计分析功能：单次或24h。</w:t>
      </w:r>
    </w:p>
    <w:p w14:paraId="73D630B4">
      <w:pPr>
        <w:spacing w:line="420" w:lineRule="exact"/>
        <w:rPr>
          <w:rFonts w:hint="eastAsia" w:ascii="楷体" w:hAnsi="楷体" w:eastAsia="楷体" w:cs="楷体"/>
          <w:sz w:val="24"/>
          <w:szCs w:val="24"/>
        </w:rPr>
      </w:pPr>
      <w:r>
        <w:rPr>
          <w:rFonts w:hint="eastAsia" w:ascii="楷体" w:hAnsi="楷体" w:eastAsia="楷体" w:cs="楷体"/>
          <w:sz w:val="24"/>
          <w:szCs w:val="24"/>
        </w:rPr>
        <w:t>（13）统计分析指标：</w:t>
      </w:r>
      <w:r>
        <w:rPr>
          <w:rFonts w:hint="eastAsia" w:ascii="楷体" w:hAnsi="楷体" w:eastAsia="楷体" w:cs="楷体"/>
          <w:color w:val="000000"/>
          <w:kern w:val="0"/>
          <w:sz w:val="24"/>
          <w:szCs w:val="24"/>
        </w:rPr>
        <w:t>Lxyi、Lxyp、Lxeq,T、Lxmax、Lxmin、LxN、SD、SEL</w:t>
      </w:r>
      <w:r>
        <w:rPr>
          <w:rFonts w:hint="eastAsia" w:ascii="楷体" w:hAnsi="楷体" w:eastAsia="楷体" w:cs="楷体"/>
          <w:sz w:val="24"/>
          <w:szCs w:val="24"/>
        </w:rPr>
        <w:t>。</w:t>
      </w:r>
    </w:p>
    <w:p w14:paraId="0F1D3554">
      <w:pPr>
        <w:spacing w:line="420" w:lineRule="exact"/>
        <w:rPr>
          <w:rFonts w:hint="eastAsia" w:ascii="楷体" w:hAnsi="楷体" w:eastAsia="楷体" w:cs="楷体"/>
          <w:sz w:val="24"/>
          <w:szCs w:val="24"/>
        </w:rPr>
      </w:pPr>
      <w:r>
        <w:rPr>
          <w:rFonts w:hint="eastAsia" w:ascii="楷体" w:hAnsi="楷体" w:eastAsia="楷体" w:cs="楷体"/>
          <w:sz w:val="24"/>
          <w:szCs w:val="24"/>
        </w:rPr>
        <w:t>（14）24h模式分析指标：</w:t>
      </w:r>
      <w:r>
        <w:rPr>
          <w:rFonts w:hint="eastAsia" w:ascii="楷体" w:hAnsi="楷体" w:eastAsia="楷体" w:cs="楷体"/>
          <w:color w:val="000000"/>
          <w:kern w:val="0"/>
          <w:sz w:val="24"/>
          <w:szCs w:val="24"/>
        </w:rPr>
        <w:t>Lxyi、Lxyp、Lxeq,T、Lxmax、Lxmin、LxN、SD、SEL、Ld、Ln、Ldn等。</w:t>
      </w:r>
    </w:p>
    <w:p w14:paraId="2B14D05B">
      <w:pPr>
        <w:spacing w:line="420" w:lineRule="exact"/>
        <w:rPr>
          <w:rFonts w:hint="eastAsia" w:ascii="楷体" w:hAnsi="楷体" w:eastAsia="楷体" w:cs="楷体"/>
          <w:sz w:val="24"/>
          <w:szCs w:val="24"/>
        </w:rPr>
      </w:pPr>
      <w:r>
        <w:rPr>
          <w:rFonts w:hint="eastAsia" w:ascii="楷体" w:hAnsi="楷体" w:eastAsia="楷体" w:cs="楷体"/>
          <w:sz w:val="24"/>
          <w:szCs w:val="24"/>
        </w:rPr>
        <w:t>（15）电源：交、直流两用</w:t>
      </w:r>
    </w:p>
    <w:p w14:paraId="42BEB01F">
      <w:pPr>
        <w:spacing w:line="420" w:lineRule="exact"/>
        <w:rPr>
          <w:rFonts w:hint="eastAsia" w:ascii="楷体" w:hAnsi="楷体" w:eastAsia="楷体" w:cs="楷体"/>
          <w:b/>
          <w:kern w:val="32"/>
          <w:sz w:val="24"/>
          <w:szCs w:val="24"/>
        </w:rPr>
      </w:pPr>
      <w:r>
        <w:rPr>
          <w:rFonts w:hint="eastAsia" w:ascii="楷体" w:hAnsi="楷体" w:eastAsia="楷体" w:cs="楷体"/>
          <w:b/>
          <w:kern w:val="32"/>
          <w:sz w:val="24"/>
          <w:szCs w:val="24"/>
        </w:rPr>
        <w:t>2、仪器配置</w:t>
      </w:r>
    </w:p>
    <w:p w14:paraId="5AAEFD4F">
      <w:pPr>
        <w:spacing w:line="420" w:lineRule="exact"/>
        <w:ind w:left="454"/>
        <w:rPr>
          <w:rFonts w:hint="eastAsia" w:ascii="楷体" w:hAnsi="楷体" w:eastAsia="楷体" w:cs="楷体"/>
          <w:sz w:val="24"/>
          <w:szCs w:val="24"/>
        </w:rPr>
      </w:pPr>
      <w:r>
        <w:rPr>
          <w:rFonts w:hint="eastAsia" w:ascii="楷体" w:hAnsi="楷体" w:eastAsia="楷体" w:cs="楷体"/>
          <w:sz w:val="24"/>
          <w:szCs w:val="24"/>
        </w:rPr>
        <w:t>主机、配套打印机、延长线等相关配件可用于高点监测</w:t>
      </w:r>
    </w:p>
    <w:p w14:paraId="45EFC3EF">
      <w:pPr>
        <w:spacing w:line="420" w:lineRule="exact"/>
        <w:rPr>
          <w:rFonts w:hint="eastAsia" w:ascii="楷体" w:hAnsi="楷体" w:eastAsia="楷体" w:cs="楷体"/>
          <w:sz w:val="24"/>
          <w:szCs w:val="24"/>
        </w:rPr>
      </w:pPr>
    </w:p>
    <w:p w14:paraId="6CBC654F">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（二十）智能降水采样器技术参数</w:t>
      </w:r>
    </w:p>
    <w:tbl>
      <w:tblPr>
        <w:tblStyle w:val="6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1585"/>
        <w:gridCol w:w="4581"/>
      </w:tblGrid>
      <w:tr w14:paraId="1528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078C6EA7">
            <w:pPr>
              <w:spacing w:line="420" w:lineRule="exact"/>
              <w:jc w:val="center"/>
              <w:rPr>
                <w:rFonts w:hint="eastAsia" w:ascii="楷体" w:hAnsi="楷体" w:eastAsia="楷体" w:cs="楷体"/>
                <w:b/>
                <w:sz w:val="24"/>
                <w:szCs w:val="24"/>
              </w:rPr>
            </w:pPr>
            <w:r>
              <w:rPr>
                <w:rFonts w:hint="eastAsia" w:ascii="楷体" w:hAnsi="楷体" w:eastAsia="楷体" w:cs="楷体"/>
                <w:b/>
                <w:sz w:val="24"/>
                <w:szCs w:val="24"/>
              </w:rPr>
              <w:t>主要参数</w:t>
            </w:r>
          </w:p>
        </w:tc>
        <w:tc>
          <w:tcPr>
            <w:tcW w:w="4581" w:type="dxa"/>
            <w:noWrap w:val="0"/>
            <w:vAlign w:val="top"/>
          </w:tcPr>
          <w:p w14:paraId="23537E01">
            <w:pPr>
              <w:spacing w:line="420" w:lineRule="exact"/>
              <w:jc w:val="center"/>
              <w:rPr>
                <w:rFonts w:hint="eastAsia" w:ascii="楷体" w:hAnsi="楷体" w:eastAsia="楷体" w:cs="楷体"/>
                <w:b/>
                <w:sz w:val="24"/>
                <w:szCs w:val="24"/>
              </w:rPr>
            </w:pPr>
            <w:r>
              <w:rPr>
                <w:rFonts w:hint="eastAsia" w:ascii="楷体" w:hAnsi="楷体" w:eastAsia="楷体" w:cs="楷体"/>
                <w:b/>
                <w:sz w:val="24"/>
                <w:szCs w:val="24"/>
              </w:rPr>
              <w:t>参数范围</w:t>
            </w:r>
          </w:p>
        </w:tc>
      </w:tr>
      <w:tr w14:paraId="255F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1535" w:type="dxa"/>
            <w:vMerge w:val="restart"/>
            <w:noWrap w:val="0"/>
            <w:vAlign w:val="top"/>
          </w:tcPr>
          <w:p w14:paraId="46762521">
            <w:pPr>
              <w:spacing w:line="420" w:lineRule="exact"/>
              <w:jc w:val="center"/>
              <w:rPr>
                <w:rFonts w:hint="eastAsia" w:ascii="楷体" w:hAnsi="楷体" w:eastAsia="楷体" w:cs="楷体"/>
                <w:sz w:val="24"/>
                <w:szCs w:val="24"/>
              </w:rPr>
            </w:pPr>
          </w:p>
          <w:p w14:paraId="43964BA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冷藏温度</w:t>
            </w:r>
          </w:p>
        </w:tc>
        <w:tc>
          <w:tcPr>
            <w:tcW w:w="1585" w:type="dxa"/>
            <w:noWrap w:val="0"/>
            <w:vAlign w:val="top"/>
          </w:tcPr>
          <w:p w14:paraId="41C5B293">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温度范围</w:t>
            </w:r>
          </w:p>
        </w:tc>
        <w:tc>
          <w:tcPr>
            <w:tcW w:w="4581" w:type="dxa"/>
            <w:noWrap w:val="0"/>
            <w:vAlign w:val="top"/>
          </w:tcPr>
          <w:p w14:paraId="1051AD21">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（4±1）℃可设置</w:t>
            </w:r>
          </w:p>
        </w:tc>
      </w:tr>
      <w:tr w14:paraId="4E4B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1535" w:type="dxa"/>
            <w:vMerge w:val="continue"/>
            <w:noWrap w:val="0"/>
            <w:vAlign w:val="top"/>
          </w:tcPr>
          <w:p w14:paraId="20E4B460">
            <w:pPr>
              <w:spacing w:line="420" w:lineRule="exact"/>
              <w:jc w:val="center"/>
              <w:rPr>
                <w:rFonts w:hint="eastAsia" w:ascii="楷体" w:hAnsi="楷体" w:eastAsia="楷体" w:cs="楷体"/>
                <w:sz w:val="24"/>
                <w:szCs w:val="24"/>
              </w:rPr>
            </w:pPr>
          </w:p>
        </w:tc>
        <w:tc>
          <w:tcPr>
            <w:tcW w:w="1585" w:type="dxa"/>
            <w:noWrap w:val="0"/>
            <w:vAlign w:val="top"/>
          </w:tcPr>
          <w:p w14:paraId="4EEB5748">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分辨率</w:t>
            </w:r>
          </w:p>
        </w:tc>
        <w:tc>
          <w:tcPr>
            <w:tcW w:w="4581" w:type="dxa"/>
            <w:noWrap w:val="0"/>
            <w:vAlign w:val="top"/>
          </w:tcPr>
          <w:p w14:paraId="48F8DCAF">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30B7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1535" w:type="dxa"/>
            <w:vMerge w:val="continue"/>
            <w:noWrap w:val="0"/>
            <w:vAlign w:val="top"/>
          </w:tcPr>
          <w:p w14:paraId="4B663607">
            <w:pPr>
              <w:spacing w:line="420" w:lineRule="exact"/>
              <w:jc w:val="center"/>
              <w:rPr>
                <w:rFonts w:hint="eastAsia" w:ascii="楷体" w:hAnsi="楷体" w:eastAsia="楷体" w:cs="楷体"/>
                <w:sz w:val="24"/>
                <w:szCs w:val="24"/>
              </w:rPr>
            </w:pPr>
          </w:p>
        </w:tc>
        <w:tc>
          <w:tcPr>
            <w:tcW w:w="1585" w:type="dxa"/>
            <w:noWrap w:val="0"/>
            <w:vAlign w:val="top"/>
          </w:tcPr>
          <w:p w14:paraId="5BBBFF0D">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准确率</w:t>
            </w:r>
          </w:p>
        </w:tc>
        <w:tc>
          <w:tcPr>
            <w:tcW w:w="4581" w:type="dxa"/>
            <w:noWrap w:val="0"/>
            <w:vAlign w:val="top"/>
          </w:tcPr>
          <w:p w14:paraId="7FA335A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w:t>
            </w:r>
          </w:p>
        </w:tc>
      </w:tr>
      <w:tr w14:paraId="22EE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4324DF8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计时误差</w:t>
            </w:r>
          </w:p>
        </w:tc>
        <w:tc>
          <w:tcPr>
            <w:tcW w:w="4581" w:type="dxa"/>
            <w:noWrap w:val="0"/>
            <w:vAlign w:val="top"/>
          </w:tcPr>
          <w:p w14:paraId="29A98EE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≤0.01%</w:t>
            </w:r>
          </w:p>
        </w:tc>
      </w:tr>
      <w:tr w14:paraId="7C65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3BFB635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感雨器灵敏度</w:t>
            </w:r>
          </w:p>
        </w:tc>
        <w:tc>
          <w:tcPr>
            <w:tcW w:w="4581" w:type="dxa"/>
            <w:noWrap w:val="0"/>
            <w:vAlign w:val="top"/>
          </w:tcPr>
          <w:p w14:paraId="56C9B4F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0.01mm/h</w:t>
            </w:r>
          </w:p>
        </w:tc>
      </w:tr>
      <w:tr w14:paraId="2415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47F5A186">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关盖延迟时间</w:t>
            </w:r>
          </w:p>
        </w:tc>
        <w:tc>
          <w:tcPr>
            <w:tcW w:w="4581" w:type="dxa"/>
            <w:noWrap w:val="0"/>
            <w:vAlign w:val="top"/>
          </w:tcPr>
          <w:p w14:paraId="5731D5C1">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≤3min(可设置)</w:t>
            </w:r>
          </w:p>
        </w:tc>
      </w:tr>
      <w:tr w14:paraId="69AD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52B14A6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开盖延迟时间</w:t>
            </w:r>
          </w:p>
        </w:tc>
        <w:tc>
          <w:tcPr>
            <w:tcW w:w="4581" w:type="dxa"/>
            <w:noWrap w:val="0"/>
            <w:vAlign w:val="top"/>
          </w:tcPr>
          <w:p w14:paraId="2F67D38A">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≤15S (可设置)</w:t>
            </w:r>
          </w:p>
        </w:tc>
      </w:tr>
      <w:tr w14:paraId="0E6F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6D7A032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采雨桶内径</w:t>
            </w:r>
          </w:p>
        </w:tc>
        <w:tc>
          <w:tcPr>
            <w:tcW w:w="4581" w:type="dxa"/>
            <w:noWrap w:val="0"/>
            <w:vAlign w:val="top"/>
          </w:tcPr>
          <w:p w14:paraId="4BDBE901">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Φ300mm</w:t>
            </w:r>
          </w:p>
        </w:tc>
      </w:tr>
      <w:tr w14:paraId="5CF5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3FD10A6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集尘桶内径</w:t>
            </w:r>
          </w:p>
        </w:tc>
        <w:tc>
          <w:tcPr>
            <w:tcW w:w="4581" w:type="dxa"/>
            <w:noWrap w:val="0"/>
            <w:vAlign w:val="top"/>
          </w:tcPr>
          <w:p w14:paraId="5CAC27F7">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Φ150mm</w:t>
            </w:r>
          </w:p>
        </w:tc>
      </w:tr>
      <w:tr w14:paraId="6FA5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3120" w:type="dxa"/>
            <w:gridSpan w:val="2"/>
            <w:noWrap w:val="0"/>
            <w:vAlign w:val="top"/>
          </w:tcPr>
          <w:p w14:paraId="348C4BE5">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绝缘阻抗</w:t>
            </w:r>
          </w:p>
        </w:tc>
        <w:tc>
          <w:tcPr>
            <w:tcW w:w="4581" w:type="dxa"/>
            <w:noWrap w:val="0"/>
            <w:vAlign w:val="top"/>
          </w:tcPr>
          <w:p w14:paraId="2DCE93B2">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≥50MΩ</w:t>
            </w:r>
          </w:p>
        </w:tc>
      </w:tr>
      <w:tr w14:paraId="7F5E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0DBD2CBD">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采样信息量</w:t>
            </w:r>
          </w:p>
        </w:tc>
        <w:tc>
          <w:tcPr>
            <w:tcW w:w="4581" w:type="dxa"/>
            <w:noWrap w:val="0"/>
            <w:vAlign w:val="top"/>
          </w:tcPr>
          <w:p w14:paraId="7431BC5B">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≥6年</w:t>
            </w:r>
          </w:p>
        </w:tc>
      </w:tr>
      <w:tr w14:paraId="43AD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3120" w:type="dxa"/>
            <w:gridSpan w:val="2"/>
            <w:noWrap w:val="0"/>
            <w:vAlign w:val="top"/>
          </w:tcPr>
          <w:p w14:paraId="64084B3E">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使用环境温度</w:t>
            </w:r>
          </w:p>
        </w:tc>
        <w:tc>
          <w:tcPr>
            <w:tcW w:w="4581" w:type="dxa"/>
            <w:noWrap w:val="0"/>
            <w:vAlign w:val="top"/>
          </w:tcPr>
          <w:p w14:paraId="5A2FB0E0">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-40～70℃</w:t>
            </w:r>
          </w:p>
        </w:tc>
      </w:tr>
      <w:tr w14:paraId="03A6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79560F9A">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工作电压</w:t>
            </w:r>
          </w:p>
        </w:tc>
        <w:tc>
          <w:tcPr>
            <w:tcW w:w="4581" w:type="dxa"/>
            <w:noWrap w:val="0"/>
            <w:vAlign w:val="top"/>
          </w:tcPr>
          <w:p w14:paraId="43639674">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(220±15%)V.AC</w:t>
            </w:r>
          </w:p>
        </w:tc>
      </w:tr>
      <w:tr w14:paraId="0C813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3120" w:type="dxa"/>
            <w:gridSpan w:val="2"/>
            <w:noWrap w:val="0"/>
            <w:vAlign w:val="top"/>
          </w:tcPr>
          <w:p w14:paraId="77A9E9B3">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降雨强度</w:t>
            </w:r>
          </w:p>
        </w:tc>
        <w:tc>
          <w:tcPr>
            <w:tcW w:w="4581" w:type="dxa"/>
            <w:noWrap w:val="0"/>
            <w:vAlign w:val="top"/>
          </w:tcPr>
          <w:p w14:paraId="32D4A4F4">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0～4mm/min</w:t>
            </w:r>
          </w:p>
        </w:tc>
      </w:tr>
      <w:tr w14:paraId="5BBB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3120" w:type="dxa"/>
            <w:gridSpan w:val="2"/>
            <w:noWrap w:val="0"/>
            <w:vAlign w:val="top"/>
          </w:tcPr>
          <w:p w14:paraId="0981C469">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雨量分辨率</w:t>
            </w:r>
          </w:p>
        </w:tc>
        <w:tc>
          <w:tcPr>
            <w:tcW w:w="4581" w:type="dxa"/>
            <w:noWrap w:val="0"/>
            <w:vAlign w:val="top"/>
          </w:tcPr>
          <w:p w14:paraId="00A2C408">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0.1mm</w:t>
            </w:r>
          </w:p>
        </w:tc>
      </w:tr>
      <w:tr w14:paraId="362E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3120" w:type="dxa"/>
            <w:gridSpan w:val="2"/>
            <w:noWrap w:val="0"/>
            <w:vAlign w:val="top"/>
          </w:tcPr>
          <w:p w14:paraId="38BBC374">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雨量精度</w:t>
            </w:r>
          </w:p>
        </w:tc>
        <w:tc>
          <w:tcPr>
            <w:tcW w:w="4581" w:type="dxa"/>
            <w:noWrap w:val="0"/>
            <w:vAlign w:val="top"/>
          </w:tcPr>
          <w:p w14:paraId="2049646D">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±0.4mm(≤10mm)、±4%(＞10mm)</w:t>
            </w:r>
          </w:p>
        </w:tc>
      </w:tr>
      <w:tr w14:paraId="42BE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120" w:type="dxa"/>
            <w:gridSpan w:val="2"/>
            <w:noWrap w:val="0"/>
            <w:vAlign w:val="top"/>
          </w:tcPr>
          <w:p w14:paraId="6AFBBE8A">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重量</w:t>
            </w:r>
          </w:p>
        </w:tc>
        <w:tc>
          <w:tcPr>
            <w:tcW w:w="4581" w:type="dxa"/>
            <w:noWrap w:val="0"/>
            <w:vAlign w:val="top"/>
          </w:tcPr>
          <w:p w14:paraId="70B1DD34">
            <w:pPr>
              <w:spacing w:line="420" w:lineRule="exact"/>
              <w:jc w:val="center"/>
              <w:rPr>
                <w:rFonts w:hint="eastAsia" w:ascii="楷体" w:hAnsi="楷体" w:eastAsia="楷体" w:cs="楷体"/>
                <w:sz w:val="24"/>
                <w:szCs w:val="24"/>
              </w:rPr>
            </w:pPr>
            <w:r>
              <w:rPr>
                <w:rFonts w:hint="eastAsia" w:ascii="楷体" w:hAnsi="楷体" w:eastAsia="楷体" w:cs="楷体"/>
                <w:sz w:val="24"/>
                <w:szCs w:val="24"/>
              </w:rPr>
              <w:t>≤70kg</w:t>
            </w:r>
          </w:p>
        </w:tc>
      </w:tr>
    </w:tbl>
    <w:p w14:paraId="13F022DF">
      <w:pPr>
        <w:spacing w:line="420" w:lineRule="exact"/>
        <w:rPr>
          <w:rFonts w:hint="eastAsia" w:ascii="楷体" w:hAnsi="楷体" w:eastAsia="楷体" w:cs="楷体"/>
          <w:sz w:val="24"/>
          <w:szCs w:val="24"/>
        </w:rPr>
      </w:pPr>
    </w:p>
    <w:p w14:paraId="4EB5A7C7">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（二十一）烟气汞采样器</w:t>
      </w:r>
      <w:r>
        <w:rPr>
          <w:rFonts w:hint="eastAsia" w:ascii="楷体" w:hAnsi="楷体" w:eastAsia="楷体" w:cs="楷体"/>
          <w:b/>
          <w:bCs/>
          <w:color w:val="000000"/>
          <w:sz w:val="24"/>
          <w:szCs w:val="24"/>
        </w:rPr>
        <w:t>技术参数及配置</w:t>
      </w:r>
    </w:p>
    <w:p w14:paraId="57E5BE38">
      <w:pPr>
        <w:spacing w:line="420" w:lineRule="exact"/>
        <w:rPr>
          <w:rFonts w:hint="eastAsia" w:ascii="楷体" w:hAnsi="楷体" w:eastAsia="楷体" w:cs="楷体"/>
          <w:bCs/>
          <w:color w:val="000000"/>
          <w:sz w:val="24"/>
          <w:szCs w:val="24"/>
        </w:rPr>
      </w:pPr>
      <w:r>
        <w:rPr>
          <w:rFonts w:hint="eastAsia" w:ascii="楷体" w:hAnsi="楷体" w:eastAsia="楷体" w:cs="楷体"/>
          <w:b/>
          <w:color w:val="000000"/>
          <w:sz w:val="24"/>
          <w:szCs w:val="24"/>
        </w:rPr>
        <w:t>1、技术参数</w:t>
      </w:r>
      <w:r>
        <w:rPr>
          <w:rFonts w:hint="eastAsia" w:ascii="楷体" w:hAnsi="楷体" w:eastAsia="楷体" w:cs="楷体"/>
          <w:bCs/>
          <w:color w:val="000000"/>
          <w:sz w:val="24"/>
          <w:szCs w:val="24"/>
        </w:rPr>
        <w:t xml:space="preserve"> </w:t>
      </w:r>
    </w:p>
    <w:tbl>
      <w:tblPr>
        <w:tblStyle w:val="68"/>
        <w:tblW w:w="799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2570"/>
        <w:gridCol w:w="1250"/>
        <w:gridCol w:w="2475"/>
      </w:tblGrid>
      <w:tr w14:paraId="58AF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shd w:val="clear" w:color="auto" w:fill="FFFFFF"/>
            <w:noWrap/>
            <w:vAlign w:val="top"/>
          </w:tcPr>
          <w:p w14:paraId="76C80703">
            <w:pPr>
              <w:spacing w:line="42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主要参数</w:t>
            </w:r>
          </w:p>
        </w:tc>
        <w:tc>
          <w:tcPr>
            <w:tcW w:w="2570" w:type="dxa"/>
            <w:tcBorders>
              <w:top w:val="single" w:color="auto" w:sz="4" w:space="0"/>
              <w:left w:val="single" w:color="auto" w:sz="4" w:space="0"/>
              <w:bottom w:val="single" w:color="auto" w:sz="4" w:space="0"/>
              <w:right w:val="single" w:color="auto" w:sz="4" w:space="0"/>
            </w:tcBorders>
            <w:shd w:val="clear" w:color="auto" w:fill="FFFFFF"/>
            <w:noWrap/>
            <w:vAlign w:val="top"/>
          </w:tcPr>
          <w:p w14:paraId="24CBFDEA">
            <w:pPr>
              <w:spacing w:line="42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参数范围</w:t>
            </w:r>
          </w:p>
        </w:tc>
        <w:tc>
          <w:tcPr>
            <w:tcW w:w="1250" w:type="dxa"/>
            <w:tcBorders>
              <w:top w:val="single" w:color="auto" w:sz="4" w:space="0"/>
              <w:left w:val="single" w:color="auto" w:sz="4" w:space="0"/>
              <w:bottom w:val="single" w:color="auto" w:sz="4" w:space="0"/>
              <w:right w:val="single" w:color="auto" w:sz="4" w:space="0"/>
            </w:tcBorders>
            <w:shd w:val="clear" w:color="auto" w:fill="FFFFFF"/>
            <w:noWrap/>
            <w:vAlign w:val="top"/>
          </w:tcPr>
          <w:p w14:paraId="2DF3B226">
            <w:pPr>
              <w:spacing w:line="42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分辨率</w:t>
            </w:r>
          </w:p>
        </w:tc>
        <w:tc>
          <w:tcPr>
            <w:tcW w:w="24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6F24F9B8">
            <w:pPr>
              <w:spacing w:line="42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准确度</w:t>
            </w:r>
          </w:p>
        </w:tc>
      </w:tr>
      <w:tr w14:paraId="1185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4D6C96E7">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双路采样流量</w:t>
            </w:r>
          </w:p>
        </w:tc>
        <w:tc>
          <w:tcPr>
            <w:tcW w:w="2570" w:type="dxa"/>
            <w:tcBorders>
              <w:top w:val="single" w:color="auto" w:sz="4" w:space="0"/>
              <w:left w:val="single" w:color="auto" w:sz="4" w:space="0"/>
              <w:bottom w:val="single" w:color="auto" w:sz="4" w:space="0"/>
              <w:right w:val="single" w:color="auto" w:sz="4" w:space="0"/>
            </w:tcBorders>
            <w:noWrap/>
            <w:vAlign w:val="top"/>
          </w:tcPr>
          <w:p w14:paraId="40249D75">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(0.2 ～1.5)L/min</w:t>
            </w:r>
          </w:p>
        </w:tc>
        <w:tc>
          <w:tcPr>
            <w:tcW w:w="1250" w:type="dxa"/>
            <w:tcBorders>
              <w:top w:val="single" w:color="auto" w:sz="4" w:space="0"/>
              <w:left w:val="single" w:color="auto" w:sz="4" w:space="0"/>
              <w:bottom w:val="single" w:color="auto" w:sz="4" w:space="0"/>
              <w:right w:val="single" w:color="auto" w:sz="4" w:space="0"/>
            </w:tcBorders>
            <w:noWrap/>
            <w:vAlign w:val="top"/>
          </w:tcPr>
          <w:p w14:paraId="234EFF5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0.01L/min</w:t>
            </w:r>
          </w:p>
        </w:tc>
        <w:tc>
          <w:tcPr>
            <w:tcW w:w="2475" w:type="dxa"/>
            <w:tcBorders>
              <w:top w:val="single" w:color="auto" w:sz="4" w:space="0"/>
              <w:left w:val="single" w:color="auto" w:sz="4" w:space="0"/>
              <w:bottom w:val="single" w:color="auto" w:sz="4" w:space="0"/>
              <w:right w:val="single" w:color="auto" w:sz="4" w:space="0"/>
            </w:tcBorders>
            <w:noWrap/>
            <w:vAlign w:val="top"/>
          </w:tcPr>
          <w:p w14:paraId="239AB490">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优于±2.5%</w:t>
            </w:r>
          </w:p>
          <w:p w14:paraId="7AD61D19">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流量稳定性≤±5.0%</w:t>
            </w:r>
          </w:p>
          <w:p w14:paraId="572C190B">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流量重复性≤2.0%</w:t>
            </w:r>
          </w:p>
        </w:tc>
      </w:tr>
      <w:tr w14:paraId="47CA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2FFE6162">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采样时间</w:t>
            </w:r>
          </w:p>
        </w:tc>
        <w:tc>
          <w:tcPr>
            <w:tcW w:w="2570" w:type="dxa"/>
            <w:tcBorders>
              <w:top w:val="single" w:color="auto" w:sz="4" w:space="0"/>
              <w:left w:val="single" w:color="auto" w:sz="4" w:space="0"/>
              <w:bottom w:val="single" w:color="auto" w:sz="4" w:space="0"/>
              <w:right w:val="single" w:color="auto" w:sz="4" w:space="0"/>
            </w:tcBorders>
            <w:noWrap/>
            <w:vAlign w:val="top"/>
          </w:tcPr>
          <w:p w14:paraId="0089345C">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99小时59分内任意设置</w:t>
            </w:r>
          </w:p>
        </w:tc>
        <w:tc>
          <w:tcPr>
            <w:tcW w:w="1250" w:type="dxa"/>
            <w:tcBorders>
              <w:top w:val="single" w:color="auto" w:sz="4" w:space="0"/>
              <w:left w:val="single" w:color="auto" w:sz="4" w:space="0"/>
              <w:bottom w:val="single" w:color="auto" w:sz="4" w:space="0"/>
              <w:right w:val="single" w:color="auto" w:sz="4" w:space="0"/>
            </w:tcBorders>
            <w:noWrap/>
            <w:vAlign w:val="top"/>
          </w:tcPr>
          <w:p w14:paraId="68D98B4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1min</w:t>
            </w:r>
          </w:p>
        </w:tc>
        <w:tc>
          <w:tcPr>
            <w:tcW w:w="2475" w:type="dxa"/>
            <w:tcBorders>
              <w:top w:val="single" w:color="auto" w:sz="4" w:space="0"/>
              <w:left w:val="single" w:color="auto" w:sz="4" w:space="0"/>
              <w:bottom w:val="single" w:color="auto" w:sz="4" w:space="0"/>
              <w:right w:val="single" w:color="auto" w:sz="4" w:space="0"/>
            </w:tcBorders>
            <w:noWrap/>
            <w:vAlign w:val="top"/>
          </w:tcPr>
          <w:p w14:paraId="0399150A">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优于±0.1%</w:t>
            </w:r>
          </w:p>
        </w:tc>
      </w:tr>
      <w:tr w14:paraId="3854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39AE044C">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采样次数</w:t>
            </w:r>
          </w:p>
        </w:tc>
        <w:tc>
          <w:tcPr>
            <w:tcW w:w="6295" w:type="dxa"/>
            <w:gridSpan w:val="3"/>
            <w:tcBorders>
              <w:top w:val="single" w:color="auto" w:sz="4" w:space="0"/>
              <w:left w:val="single" w:color="auto" w:sz="4" w:space="0"/>
              <w:bottom w:val="single" w:color="auto" w:sz="4" w:space="0"/>
              <w:right w:val="single" w:color="auto" w:sz="4" w:space="0"/>
            </w:tcBorders>
            <w:noWrap/>
            <w:vAlign w:val="top"/>
          </w:tcPr>
          <w:p w14:paraId="6C07BE0D">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(1～99)次</w:t>
            </w:r>
          </w:p>
        </w:tc>
      </w:tr>
      <w:tr w14:paraId="4791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746A9C87">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计前温度</w:t>
            </w:r>
          </w:p>
        </w:tc>
        <w:tc>
          <w:tcPr>
            <w:tcW w:w="2570" w:type="dxa"/>
            <w:tcBorders>
              <w:top w:val="single" w:color="auto" w:sz="4" w:space="0"/>
              <w:left w:val="single" w:color="auto" w:sz="4" w:space="0"/>
              <w:bottom w:val="single" w:color="auto" w:sz="4" w:space="0"/>
              <w:right w:val="single" w:color="auto" w:sz="4" w:space="0"/>
            </w:tcBorders>
            <w:noWrap/>
            <w:vAlign w:val="top"/>
          </w:tcPr>
          <w:p w14:paraId="347FC22E">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(－55～125)℃</w:t>
            </w:r>
          </w:p>
        </w:tc>
        <w:tc>
          <w:tcPr>
            <w:tcW w:w="1250" w:type="dxa"/>
            <w:tcBorders>
              <w:top w:val="single" w:color="auto" w:sz="4" w:space="0"/>
              <w:left w:val="single" w:color="auto" w:sz="4" w:space="0"/>
              <w:bottom w:val="single" w:color="auto" w:sz="4" w:space="0"/>
              <w:right w:val="single" w:color="auto" w:sz="4" w:space="0"/>
            </w:tcBorders>
            <w:noWrap/>
            <w:vAlign w:val="top"/>
          </w:tcPr>
          <w:p w14:paraId="73939CC7">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0.1℃</w:t>
            </w:r>
          </w:p>
        </w:tc>
        <w:tc>
          <w:tcPr>
            <w:tcW w:w="2475" w:type="dxa"/>
            <w:tcBorders>
              <w:top w:val="single" w:color="auto" w:sz="4" w:space="0"/>
              <w:left w:val="single" w:color="auto" w:sz="4" w:space="0"/>
              <w:bottom w:val="single" w:color="auto" w:sz="4" w:space="0"/>
              <w:right w:val="single" w:color="auto" w:sz="4" w:space="0"/>
            </w:tcBorders>
            <w:noWrap/>
            <w:vAlign w:val="top"/>
          </w:tcPr>
          <w:p w14:paraId="435A0D4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优于±2.5℃</w:t>
            </w:r>
          </w:p>
        </w:tc>
      </w:tr>
      <w:tr w14:paraId="42D7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790E836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计前压力</w:t>
            </w:r>
          </w:p>
        </w:tc>
        <w:tc>
          <w:tcPr>
            <w:tcW w:w="2570" w:type="dxa"/>
            <w:tcBorders>
              <w:top w:val="single" w:color="auto" w:sz="4" w:space="0"/>
              <w:left w:val="single" w:color="auto" w:sz="4" w:space="0"/>
              <w:bottom w:val="single" w:color="auto" w:sz="4" w:space="0"/>
              <w:right w:val="single" w:color="auto" w:sz="4" w:space="0"/>
            </w:tcBorders>
            <w:noWrap/>
            <w:vAlign w:val="top"/>
          </w:tcPr>
          <w:p w14:paraId="64AE5BF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(－25～0)kPa</w:t>
            </w:r>
          </w:p>
        </w:tc>
        <w:tc>
          <w:tcPr>
            <w:tcW w:w="1250" w:type="dxa"/>
            <w:tcBorders>
              <w:top w:val="single" w:color="auto" w:sz="4" w:space="0"/>
              <w:left w:val="single" w:color="auto" w:sz="4" w:space="0"/>
              <w:bottom w:val="single" w:color="auto" w:sz="4" w:space="0"/>
              <w:right w:val="single" w:color="auto" w:sz="4" w:space="0"/>
            </w:tcBorders>
            <w:noWrap/>
            <w:vAlign w:val="top"/>
          </w:tcPr>
          <w:p w14:paraId="49CA563C">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0.01kPa</w:t>
            </w:r>
          </w:p>
        </w:tc>
        <w:tc>
          <w:tcPr>
            <w:tcW w:w="2475" w:type="dxa"/>
            <w:tcBorders>
              <w:top w:val="single" w:color="auto" w:sz="4" w:space="0"/>
              <w:left w:val="single" w:color="auto" w:sz="4" w:space="0"/>
              <w:bottom w:val="single" w:color="auto" w:sz="4" w:space="0"/>
              <w:right w:val="single" w:color="auto" w:sz="4" w:space="0"/>
            </w:tcBorders>
            <w:noWrap/>
            <w:vAlign w:val="top"/>
          </w:tcPr>
          <w:p w14:paraId="4291C5E5">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优于±2.5%</w:t>
            </w:r>
          </w:p>
        </w:tc>
      </w:tr>
      <w:tr w14:paraId="23E8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4B766C6C">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大气压</w:t>
            </w:r>
          </w:p>
        </w:tc>
        <w:tc>
          <w:tcPr>
            <w:tcW w:w="2570" w:type="dxa"/>
            <w:tcBorders>
              <w:top w:val="single" w:color="auto" w:sz="4" w:space="0"/>
              <w:left w:val="single" w:color="auto" w:sz="4" w:space="0"/>
              <w:bottom w:val="single" w:color="auto" w:sz="4" w:space="0"/>
              <w:right w:val="single" w:color="auto" w:sz="4" w:space="0"/>
            </w:tcBorders>
            <w:noWrap/>
            <w:vAlign w:val="top"/>
          </w:tcPr>
          <w:p w14:paraId="52FE6DA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(50～130)kPa</w:t>
            </w:r>
          </w:p>
        </w:tc>
        <w:tc>
          <w:tcPr>
            <w:tcW w:w="1250" w:type="dxa"/>
            <w:tcBorders>
              <w:top w:val="single" w:color="auto" w:sz="4" w:space="0"/>
              <w:left w:val="single" w:color="auto" w:sz="4" w:space="0"/>
              <w:bottom w:val="single" w:color="auto" w:sz="4" w:space="0"/>
              <w:right w:val="single" w:color="auto" w:sz="4" w:space="0"/>
            </w:tcBorders>
            <w:noWrap/>
            <w:vAlign w:val="top"/>
          </w:tcPr>
          <w:p w14:paraId="2D71403B">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0.01kPa</w:t>
            </w:r>
          </w:p>
        </w:tc>
        <w:tc>
          <w:tcPr>
            <w:tcW w:w="2475" w:type="dxa"/>
            <w:tcBorders>
              <w:top w:val="single" w:color="auto" w:sz="4" w:space="0"/>
              <w:left w:val="single" w:color="auto" w:sz="4" w:space="0"/>
              <w:bottom w:val="single" w:color="auto" w:sz="4" w:space="0"/>
              <w:right w:val="single" w:color="auto" w:sz="4" w:space="0"/>
            </w:tcBorders>
            <w:noWrap/>
            <w:vAlign w:val="top"/>
          </w:tcPr>
          <w:p w14:paraId="6FEA4E27">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优于±500Pa</w:t>
            </w:r>
          </w:p>
        </w:tc>
      </w:tr>
      <w:tr w14:paraId="6AE9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37674C31">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烟气动压</w:t>
            </w:r>
          </w:p>
        </w:tc>
        <w:tc>
          <w:tcPr>
            <w:tcW w:w="2570" w:type="dxa"/>
            <w:tcBorders>
              <w:top w:val="single" w:color="auto" w:sz="4" w:space="0"/>
              <w:left w:val="single" w:color="auto" w:sz="4" w:space="0"/>
              <w:bottom w:val="single" w:color="auto" w:sz="4" w:space="0"/>
              <w:right w:val="single" w:color="auto" w:sz="4" w:space="0"/>
            </w:tcBorders>
            <w:noWrap/>
            <w:vAlign w:val="top"/>
          </w:tcPr>
          <w:p w14:paraId="181251AE">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(0～2000)Pa</w:t>
            </w:r>
          </w:p>
        </w:tc>
        <w:tc>
          <w:tcPr>
            <w:tcW w:w="1250" w:type="dxa"/>
            <w:tcBorders>
              <w:top w:val="single" w:color="auto" w:sz="4" w:space="0"/>
              <w:left w:val="single" w:color="auto" w:sz="4" w:space="0"/>
              <w:bottom w:val="single" w:color="auto" w:sz="4" w:space="0"/>
              <w:right w:val="single" w:color="auto" w:sz="4" w:space="0"/>
            </w:tcBorders>
            <w:noWrap/>
            <w:vAlign w:val="top"/>
          </w:tcPr>
          <w:p w14:paraId="60F0F310">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1Pa</w:t>
            </w:r>
          </w:p>
        </w:tc>
        <w:tc>
          <w:tcPr>
            <w:tcW w:w="2475" w:type="dxa"/>
            <w:tcBorders>
              <w:top w:val="single" w:color="auto" w:sz="4" w:space="0"/>
              <w:left w:val="single" w:color="auto" w:sz="4" w:space="0"/>
              <w:bottom w:val="single" w:color="auto" w:sz="4" w:space="0"/>
              <w:right w:val="single" w:color="auto" w:sz="4" w:space="0"/>
            </w:tcBorders>
            <w:noWrap/>
            <w:vAlign w:val="top"/>
          </w:tcPr>
          <w:p w14:paraId="0882919D">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优于±1.0%FS</w:t>
            </w:r>
          </w:p>
        </w:tc>
      </w:tr>
      <w:tr w14:paraId="1166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0C079A44">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烟气静压</w:t>
            </w:r>
          </w:p>
        </w:tc>
        <w:tc>
          <w:tcPr>
            <w:tcW w:w="2570" w:type="dxa"/>
            <w:tcBorders>
              <w:top w:val="single" w:color="auto" w:sz="4" w:space="0"/>
              <w:left w:val="single" w:color="auto" w:sz="4" w:space="0"/>
              <w:bottom w:val="single" w:color="auto" w:sz="4" w:space="0"/>
              <w:right w:val="single" w:color="auto" w:sz="4" w:space="0"/>
            </w:tcBorders>
            <w:noWrap/>
            <w:vAlign w:val="top"/>
          </w:tcPr>
          <w:p w14:paraId="7B32DE8B">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(-30～+30)kPa</w:t>
            </w:r>
          </w:p>
        </w:tc>
        <w:tc>
          <w:tcPr>
            <w:tcW w:w="1250" w:type="dxa"/>
            <w:tcBorders>
              <w:top w:val="single" w:color="auto" w:sz="4" w:space="0"/>
              <w:left w:val="single" w:color="auto" w:sz="4" w:space="0"/>
              <w:bottom w:val="single" w:color="auto" w:sz="4" w:space="0"/>
              <w:right w:val="single" w:color="auto" w:sz="4" w:space="0"/>
            </w:tcBorders>
            <w:noWrap/>
            <w:vAlign w:val="top"/>
          </w:tcPr>
          <w:p w14:paraId="618A48C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0.01kPa</w:t>
            </w:r>
          </w:p>
        </w:tc>
        <w:tc>
          <w:tcPr>
            <w:tcW w:w="2475" w:type="dxa"/>
            <w:tcBorders>
              <w:top w:val="single" w:color="auto" w:sz="4" w:space="0"/>
              <w:left w:val="single" w:color="auto" w:sz="4" w:space="0"/>
              <w:bottom w:val="single" w:color="auto" w:sz="4" w:space="0"/>
              <w:right w:val="single" w:color="auto" w:sz="4" w:space="0"/>
            </w:tcBorders>
            <w:noWrap/>
            <w:vAlign w:val="top"/>
          </w:tcPr>
          <w:p w14:paraId="6FF7E2E9">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优于±1.0%FS</w:t>
            </w:r>
          </w:p>
        </w:tc>
      </w:tr>
      <w:tr w14:paraId="1093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08E3AD2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烟气温度</w:t>
            </w:r>
          </w:p>
        </w:tc>
        <w:tc>
          <w:tcPr>
            <w:tcW w:w="2570" w:type="dxa"/>
            <w:tcBorders>
              <w:top w:val="single" w:color="auto" w:sz="4" w:space="0"/>
              <w:left w:val="single" w:color="auto" w:sz="4" w:space="0"/>
              <w:bottom w:val="single" w:color="auto" w:sz="4" w:space="0"/>
              <w:right w:val="single" w:color="auto" w:sz="4" w:space="0"/>
            </w:tcBorders>
            <w:noWrap/>
            <w:vAlign w:val="top"/>
          </w:tcPr>
          <w:p w14:paraId="4200908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(0～500)℃</w:t>
            </w:r>
          </w:p>
        </w:tc>
        <w:tc>
          <w:tcPr>
            <w:tcW w:w="1250" w:type="dxa"/>
            <w:tcBorders>
              <w:top w:val="single" w:color="auto" w:sz="4" w:space="0"/>
              <w:left w:val="single" w:color="auto" w:sz="4" w:space="0"/>
              <w:bottom w:val="single" w:color="auto" w:sz="4" w:space="0"/>
              <w:right w:val="single" w:color="auto" w:sz="4" w:space="0"/>
            </w:tcBorders>
            <w:noWrap/>
            <w:vAlign w:val="top"/>
          </w:tcPr>
          <w:p w14:paraId="46D247B5">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0.1℃</w:t>
            </w:r>
          </w:p>
        </w:tc>
        <w:tc>
          <w:tcPr>
            <w:tcW w:w="2475" w:type="dxa"/>
            <w:tcBorders>
              <w:top w:val="single" w:color="auto" w:sz="4" w:space="0"/>
              <w:left w:val="single" w:color="auto" w:sz="4" w:space="0"/>
              <w:bottom w:val="single" w:color="auto" w:sz="4" w:space="0"/>
              <w:right w:val="single" w:color="auto" w:sz="4" w:space="0"/>
            </w:tcBorders>
            <w:noWrap/>
            <w:vAlign w:val="top"/>
          </w:tcPr>
          <w:p w14:paraId="7B05C1FC">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优于±3.0℃</w:t>
            </w:r>
          </w:p>
        </w:tc>
      </w:tr>
      <w:tr w14:paraId="3206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74378789">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流速</w:t>
            </w:r>
          </w:p>
        </w:tc>
        <w:tc>
          <w:tcPr>
            <w:tcW w:w="2570" w:type="dxa"/>
            <w:tcBorders>
              <w:top w:val="single" w:color="auto" w:sz="4" w:space="0"/>
              <w:left w:val="single" w:color="auto" w:sz="4" w:space="0"/>
              <w:bottom w:val="single" w:color="auto" w:sz="4" w:space="0"/>
              <w:right w:val="single" w:color="auto" w:sz="4" w:space="0"/>
            </w:tcBorders>
            <w:noWrap/>
            <w:vAlign w:val="top"/>
          </w:tcPr>
          <w:p w14:paraId="447280D2">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(5～45)m/s</w:t>
            </w:r>
          </w:p>
        </w:tc>
        <w:tc>
          <w:tcPr>
            <w:tcW w:w="1250" w:type="dxa"/>
            <w:tcBorders>
              <w:top w:val="single" w:color="auto" w:sz="4" w:space="0"/>
              <w:left w:val="single" w:color="auto" w:sz="4" w:space="0"/>
              <w:bottom w:val="single" w:color="auto" w:sz="4" w:space="0"/>
              <w:right w:val="single" w:color="auto" w:sz="4" w:space="0"/>
            </w:tcBorders>
            <w:noWrap/>
            <w:vAlign w:val="top"/>
          </w:tcPr>
          <w:p w14:paraId="6E11A3A9">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0.1m/s</w:t>
            </w:r>
          </w:p>
        </w:tc>
        <w:tc>
          <w:tcPr>
            <w:tcW w:w="2475" w:type="dxa"/>
            <w:tcBorders>
              <w:top w:val="single" w:color="auto" w:sz="4" w:space="0"/>
              <w:left w:val="single" w:color="auto" w:sz="4" w:space="0"/>
              <w:bottom w:val="single" w:color="auto" w:sz="4" w:space="0"/>
              <w:right w:val="single" w:color="auto" w:sz="4" w:space="0"/>
            </w:tcBorders>
            <w:noWrap/>
            <w:vAlign w:val="top"/>
          </w:tcPr>
          <w:p w14:paraId="33FF4D66">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优于±5.0%</w:t>
            </w:r>
          </w:p>
        </w:tc>
      </w:tr>
      <w:tr w14:paraId="0920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3B03D0F8">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工作电源</w:t>
            </w:r>
          </w:p>
        </w:tc>
        <w:tc>
          <w:tcPr>
            <w:tcW w:w="6295" w:type="dxa"/>
            <w:gridSpan w:val="3"/>
            <w:tcBorders>
              <w:top w:val="single" w:color="auto" w:sz="4" w:space="0"/>
              <w:left w:val="single" w:color="auto" w:sz="4" w:space="0"/>
              <w:bottom w:val="single" w:color="auto" w:sz="4" w:space="0"/>
              <w:right w:val="single" w:color="auto" w:sz="4" w:space="0"/>
            </w:tcBorders>
            <w:noWrap/>
            <w:vAlign w:val="top"/>
          </w:tcPr>
          <w:p w14:paraId="263F3F7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内置锂电池 (22.2V/16.5Ah），带烟气预处理器工作时可连续工作8小时</w:t>
            </w:r>
          </w:p>
        </w:tc>
      </w:tr>
      <w:tr w14:paraId="48C2B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02" w:type="dxa"/>
            <w:tcBorders>
              <w:top w:val="single" w:color="auto" w:sz="4" w:space="0"/>
              <w:left w:val="single" w:color="auto" w:sz="4" w:space="0"/>
              <w:bottom w:val="single" w:color="auto" w:sz="4" w:space="0"/>
              <w:right w:val="single" w:color="auto" w:sz="4" w:space="0"/>
            </w:tcBorders>
            <w:noWrap/>
            <w:vAlign w:val="top"/>
          </w:tcPr>
          <w:p w14:paraId="3FAC632F">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功    耗</w:t>
            </w:r>
          </w:p>
        </w:tc>
        <w:tc>
          <w:tcPr>
            <w:tcW w:w="6295" w:type="dxa"/>
            <w:gridSpan w:val="3"/>
            <w:tcBorders>
              <w:top w:val="single" w:color="auto" w:sz="4" w:space="0"/>
              <w:left w:val="single" w:color="auto" w:sz="4" w:space="0"/>
              <w:bottom w:val="single" w:color="auto" w:sz="4" w:space="0"/>
              <w:right w:val="single" w:color="auto" w:sz="4" w:space="0"/>
            </w:tcBorders>
            <w:noWrap/>
            <w:vAlign w:val="top"/>
          </w:tcPr>
          <w:p w14:paraId="3D13976E">
            <w:pPr>
              <w:spacing w:line="420" w:lineRule="exact"/>
              <w:rPr>
                <w:rFonts w:hint="eastAsia" w:ascii="楷体" w:hAnsi="楷体" w:eastAsia="楷体" w:cs="楷体"/>
                <w:bCs/>
                <w:color w:val="000000"/>
                <w:sz w:val="24"/>
                <w:szCs w:val="24"/>
              </w:rPr>
            </w:pPr>
            <w:r>
              <w:rPr>
                <w:rFonts w:hint="eastAsia" w:ascii="楷体" w:hAnsi="楷体" w:eastAsia="楷体" w:cs="楷体"/>
                <w:bCs/>
                <w:color w:val="000000"/>
                <w:sz w:val="24"/>
                <w:szCs w:val="24"/>
              </w:rPr>
              <w:t>＜20W</w:t>
            </w:r>
          </w:p>
        </w:tc>
      </w:tr>
    </w:tbl>
    <w:p w14:paraId="6074EE6F">
      <w:pPr>
        <w:spacing w:line="420" w:lineRule="exact"/>
        <w:rPr>
          <w:rFonts w:hint="eastAsia" w:ascii="楷体" w:hAnsi="楷体" w:eastAsia="楷体" w:cs="楷体"/>
          <w:b/>
          <w:bCs/>
          <w:sz w:val="24"/>
          <w:szCs w:val="24"/>
        </w:rPr>
      </w:pPr>
      <w:r>
        <w:rPr>
          <w:rFonts w:hint="eastAsia" w:ascii="楷体" w:hAnsi="楷体" w:eastAsia="楷体" w:cs="楷体"/>
          <w:b/>
          <w:bCs/>
          <w:sz w:val="24"/>
          <w:szCs w:val="24"/>
        </w:rPr>
        <w:t>2、仪器配置</w:t>
      </w:r>
    </w:p>
    <w:p w14:paraId="3F398FF6">
      <w:pPr>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主机1台、主机箱1个、一体式烟气多功能预处理器1支、烟气汞采样管5支</w:t>
      </w:r>
    </w:p>
    <w:p w14:paraId="4301C5EE">
      <w:pPr>
        <w:pStyle w:val="2"/>
        <w:spacing w:line="420" w:lineRule="exact"/>
        <w:rPr>
          <w:rFonts w:hint="eastAsia" w:ascii="楷体" w:hAnsi="楷体" w:eastAsia="楷体" w:cs="楷体"/>
          <w:sz w:val="24"/>
          <w:szCs w:val="24"/>
        </w:rPr>
      </w:pPr>
    </w:p>
    <w:p w14:paraId="101784A3">
      <w:pPr>
        <w:spacing w:line="420" w:lineRule="exact"/>
        <w:rPr>
          <w:rFonts w:hint="eastAsia" w:ascii="楷体" w:hAnsi="楷体" w:eastAsia="楷体" w:cs="楷体"/>
          <w:b/>
          <w:bCs/>
          <w:sz w:val="24"/>
          <w:szCs w:val="24"/>
        </w:rPr>
      </w:pPr>
      <w:r>
        <w:rPr>
          <w:rFonts w:hint="eastAsia" w:ascii="楷体" w:hAnsi="楷体" w:eastAsia="楷体" w:cs="楷体"/>
          <w:b/>
          <w:bCs/>
          <w:sz w:val="24"/>
          <w:szCs w:val="24"/>
          <w:lang w:val="en-US" w:eastAsia="zh-CN"/>
        </w:rPr>
        <w:t>（二十二）</w:t>
      </w:r>
      <w:r>
        <w:rPr>
          <w:rFonts w:hint="eastAsia" w:ascii="楷体" w:hAnsi="楷体" w:eastAsia="楷体" w:cs="楷体"/>
          <w:b/>
          <w:bCs/>
          <w:sz w:val="24"/>
          <w:szCs w:val="24"/>
        </w:rPr>
        <w:t>质量保证及售后服务</w:t>
      </w:r>
    </w:p>
    <w:p w14:paraId="2B6E96A1">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1、供货要求</w:t>
      </w:r>
    </w:p>
    <w:p w14:paraId="2365C875">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(1)保证产品为全新原厂设备。</w:t>
      </w:r>
    </w:p>
    <w:p w14:paraId="659A1ABD">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(2)供货方保证产品不存在因材质、设计、制造等问题所引起的缺陷，否则应无偿予以纠正。</w:t>
      </w:r>
    </w:p>
    <w:p w14:paraId="5C644384">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(3)供货方提供的设备发生非人为因素严重故障时，应当免费在七日内将补充或者更换的货物运抵发生故障的货物所在地，由此产生的一切相关费用由供货方承担。</w:t>
      </w:r>
    </w:p>
    <w:p w14:paraId="685AE5B5">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(4)项目所涉及的设备及软件到货时，须提供原厂商的供货证明。</w:t>
      </w:r>
    </w:p>
    <w:p w14:paraId="4DCEE46D">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(5)免费质保期满后，需提供在设备设计使用周期内的有偿包修方案，并且保证使用方能更换或购买到原厂正宗的零部件及易损件，确保设备的正常使用。</w:t>
      </w:r>
    </w:p>
    <w:p w14:paraId="1D2F8498">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(6)供货方保证厂家有同系列仪器软件升级，买方享有免费升级的权力。</w:t>
      </w:r>
    </w:p>
    <w:p w14:paraId="0D976290">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2、安装调试和培训要求</w:t>
      </w:r>
    </w:p>
    <w:p w14:paraId="7737E1D4">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(1)仪器到货后在3个工作日内安排专职工程师到达现场，在采购方技术人员在场的情况下开箱清点货物，组织安装、调试，并承担因此发生的一切费用。</w:t>
      </w:r>
    </w:p>
    <w:p w14:paraId="6CB275D2">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(2)仪器现场安装、调试期间进行仪器操作培训内容包括仪器的原理、使用、日常维护及现场操作。</w:t>
      </w:r>
    </w:p>
    <w:p w14:paraId="271FB844">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(3)供货方提供3人次为期一周的厂家集中免费培训名额，并提供相应的培训计划，详细说明培训的方式、地点、人数、时间等实质性内容。</w:t>
      </w:r>
    </w:p>
    <w:p w14:paraId="572C9E28">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sz w:val="24"/>
          <w:szCs w:val="24"/>
        </w:rPr>
        <w:t>3、售后服务</w:t>
      </w:r>
    </w:p>
    <w:p w14:paraId="70B1887C">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(1)自验收合格之日起，质保期三年。质保期内，对产品质量实行三包，因设备配置或制造质量问题而引起的故障，应在48小时内立即予以免费维修或更换并承担由此产生的一切费用。</w:t>
      </w:r>
    </w:p>
    <w:p w14:paraId="03CBBA7E">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(2)指派专人负责与采购人联系售后服务事宜。质保期内应免费提供技术服务，技术服务包括硬件更换、维修（包括更换仪器及零配件等）系统的维护和技术支持。在质保期内，供货方应对由于设计、工艺或材料的缺陷所发生的任何不足或故障负责，所需费用由供货方承担。</w:t>
      </w:r>
    </w:p>
    <w:p w14:paraId="3F9E54F7">
      <w:pPr>
        <w:autoSpaceDE w:val="0"/>
        <w:autoSpaceDN w:val="0"/>
        <w:adjustRightInd w:val="0"/>
        <w:spacing w:line="420" w:lineRule="exact"/>
        <w:ind w:firstLine="480" w:firstLineChars="200"/>
        <w:rPr>
          <w:rFonts w:hint="eastAsia" w:ascii="楷体" w:hAnsi="楷体" w:eastAsia="楷体" w:cs="楷体"/>
          <w:sz w:val="24"/>
          <w:szCs w:val="24"/>
        </w:rPr>
      </w:pPr>
      <w:r>
        <w:rPr>
          <w:rFonts w:hint="eastAsia" w:ascii="楷体" w:hAnsi="楷体" w:eastAsia="楷体" w:cs="楷体"/>
          <w:sz w:val="24"/>
          <w:szCs w:val="24"/>
        </w:rPr>
        <w:t>(3)技术支持响应时间：在接到采购单位维修函电后，必须在2小时内对及时对提出的维修要求作出响应，48小时内到达维修现场，并在最短时间内修复完毕。</w:t>
      </w:r>
    </w:p>
    <w:p w14:paraId="2C5D695B">
      <w:pPr>
        <w:autoSpaceDE w:val="0"/>
        <w:autoSpaceDN w:val="0"/>
        <w:adjustRightInd w:val="0"/>
        <w:spacing w:line="420" w:lineRule="exact"/>
        <w:rPr>
          <w:rFonts w:hint="eastAsia" w:ascii="楷体" w:hAnsi="楷体" w:eastAsia="楷体" w:cs="楷体"/>
          <w:sz w:val="24"/>
          <w:szCs w:val="24"/>
        </w:rPr>
      </w:pPr>
      <w:r>
        <w:rPr>
          <w:rFonts w:hint="eastAsia" w:ascii="楷体" w:hAnsi="楷体" w:eastAsia="楷体" w:cs="楷体"/>
          <w:bCs/>
          <w:sz w:val="24"/>
          <w:szCs w:val="24"/>
        </w:rPr>
        <w:t>4、安装调试结束后,投标人需要提供风速仪、便携式水质多参数测定仪</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含溶解氧、PH、电导率</w:t>
      </w:r>
      <w:r>
        <w:rPr>
          <w:rFonts w:hint="eastAsia" w:ascii="楷体" w:hAnsi="楷体" w:eastAsia="楷体" w:cs="楷体"/>
          <w:sz w:val="24"/>
          <w:szCs w:val="24"/>
          <w:highlight w:val="none"/>
          <w:lang w:eastAsia="zh-CN"/>
        </w:rPr>
        <w:t>）</w:t>
      </w:r>
      <w:r>
        <w:rPr>
          <w:rFonts w:hint="eastAsia" w:ascii="楷体" w:hAnsi="楷体" w:eastAsia="楷体" w:cs="楷体"/>
          <w:bCs/>
          <w:sz w:val="24"/>
          <w:szCs w:val="24"/>
        </w:rPr>
        <w:t>、PM10/PM2.5检测仪、便携式生物毒性检测仪、便携式测油仪、便携式浊度仪、便携式烟尘采样仪、便携式烟尘烟气测试仪（定电位法）、烟气黑度仪、溶解氧测定仪、噪声统计分析仪由国家法定计量认证机构出具的检定或校准证书。</w:t>
      </w:r>
    </w:p>
    <w:p w14:paraId="65368453">
      <w:pPr>
        <w:spacing w:line="440" w:lineRule="exact"/>
        <w:ind w:firstLine="480"/>
        <w:rPr>
          <w:rFonts w:ascii="楷体" w:hAnsi="楷体" w:eastAsia="楷体" w:cs="Arial"/>
          <w:bCs/>
          <w:sz w:val="24"/>
          <w:highlight w:val="none"/>
        </w:rPr>
      </w:pPr>
      <w:r>
        <w:rPr>
          <w:rFonts w:hint="eastAsia" w:ascii="楷体" w:hAnsi="楷体" w:eastAsia="楷体" w:cs="Arial"/>
          <w:bCs/>
          <w:sz w:val="24"/>
          <w:highlight w:val="none"/>
        </w:rPr>
        <w:t>注：</w:t>
      </w:r>
    </w:p>
    <w:p w14:paraId="3A815EF8">
      <w:pPr>
        <w:pStyle w:val="62"/>
        <w:spacing w:line="360" w:lineRule="auto"/>
        <w:ind w:firstLine="240"/>
        <w:rPr>
          <w:rFonts w:ascii="楷体" w:hAnsi="楷体" w:eastAsia="楷体" w:cs="Arial"/>
          <w:sz w:val="24"/>
          <w:szCs w:val="24"/>
          <w:highlight w:val="none"/>
        </w:rPr>
      </w:pPr>
      <w:r>
        <w:rPr>
          <w:rFonts w:hint="eastAsia" w:ascii="楷体" w:hAnsi="楷体" w:eastAsia="楷体" w:cs="Arial"/>
          <w:sz w:val="24"/>
          <w:szCs w:val="24"/>
          <w:highlight w:val="none"/>
        </w:rPr>
        <w:t>（</w:t>
      </w:r>
      <w:r>
        <w:rPr>
          <w:rFonts w:ascii="楷体" w:hAnsi="楷体" w:eastAsia="楷体" w:cs="Arial"/>
          <w:sz w:val="24"/>
          <w:szCs w:val="24"/>
          <w:highlight w:val="none"/>
        </w:rPr>
        <w:t>1）本</w:t>
      </w:r>
      <w:r>
        <w:rPr>
          <w:rFonts w:hint="eastAsia" w:ascii="楷体" w:hAnsi="楷体" w:eastAsia="楷体" w:cs="Arial"/>
          <w:sz w:val="24"/>
          <w:szCs w:val="24"/>
          <w:highlight w:val="none"/>
          <w:lang w:val="en-US" w:eastAsia="zh-CN"/>
        </w:rPr>
        <w:t>采购包</w:t>
      </w:r>
      <w:r>
        <w:rPr>
          <w:rFonts w:ascii="楷体" w:hAnsi="楷体" w:eastAsia="楷体" w:cs="Arial"/>
          <w:sz w:val="24"/>
          <w:szCs w:val="24"/>
          <w:highlight w:val="none"/>
        </w:rPr>
        <w:t>核心产品是“</w:t>
      </w:r>
      <w:r>
        <w:rPr>
          <w:rFonts w:hint="eastAsia" w:ascii="楷体" w:hAnsi="楷体" w:eastAsia="楷体" w:cs="Arial"/>
          <w:sz w:val="24"/>
          <w:szCs w:val="24"/>
          <w:highlight w:val="none"/>
          <w:lang w:val="en-US" w:eastAsia="zh-CN"/>
        </w:rPr>
        <w:t>便携式测油仪、便携式烟尘采样仪、便携式烟尘烟气测试仪（定电位法）、环境空气综合采样器</w:t>
      </w:r>
      <w:r>
        <w:rPr>
          <w:rFonts w:hint="eastAsia" w:ascii="楷体" w:hAnsi="楷体" w:eastAsia="楷体" w:cs="Arial"/>
          <w:sz w:val="24"/>
          <w:szCs w:val="24"/>
          <w:highlight w:val="none"/>
        </w:rPr>
        <w:t>”。</w:t>
      </w:r>
    </w:p>
    <w:p w14:paraId="7C4415F8">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2）投标人一旦在本项目中中标，即被认为其同意承担在采购期间内货物价格变动所带来的一切风险，投标人不得以任何理由变更其投标时的投标单价。</w:t>
      </w:r>
    </w:p>
    <w:p w14:paraId="1D2B24DB">
      <w:pPr>
        <w:pStyle w:val="62"/>
        <w:spacing w:line="360" w:lineRule="auto"/>
        <w:ind w:firstLine="240"/>
        <w:rPr>
          <w:rFonts w:ascii="楷体" w:hAnsi="楷体" w:eastAsia="楷体" w:cs="Arial"/>
          <w:sz w:val="24"/>
          <w:szCs w:val="24"/>
        </w:rPr>
      </w:pPr>
      <w:r>
        <w:rPr>
          <w:rFonts w:hint="eastAsia" w:ascii="楷体" w:hAnsi="楷体" w:eastAsia="楷体" w:cs="Arial"/>
          <w:sz w:val="24"/>
          <w:szCs w:val="24"/>
        </w:rPr>
        <w:t>（</w:t>
      </w:r>
      <w:r>
        <w:rPr>
          <w:rFonts w:ascii="楷体" w:hAnsi="楷体" w:eastAsia="楷体" w:cs="Arial"/>
          <w:sz w:val="24"/>
          <w:szCs w:val="24"/>
        </w:rPr>
        <w:t>3）技术要求中提及的品牌或型号仅为参照品牌型号，非限制性条件，投标人可以不</w:t>
      </w:r>
      <w:r>
        <w:rPr>
          <w:rFonts w:hint="eastAsia" w:ascii="楷体" w:hAnsi="楷体" w:eastAsia="楷体" w:cs="Arial"/>
          <w:sz w:val="24"/>
          <w:szCs w:val="24"/>
        </w:rPr>
        <w:t>低于参照品牌质量、性能、设备参数的同等档次的其它品牌产品参与投标。投标人须提供具有公信力的证明材料，并获得三分之二及以上评委的认定。如未提供相关证明材料的，由此对最终评定结果所造成的影响和后果由投标人负全责。</w:t>
      </w:r>
    </w:p>
    <w:p w14:paraId="6BB67306">
      <w:pPr>
        <w:pStyle w:val="62"/>
        <w:spacing w:line="360" w:lineRule="auto"/>
        <w:ind w:left="0" w:leftChars="0" w:firstLine="219" w:firstLineChars="91"/>
        <w:rPr>
          <w:rFonts w:ascii="楷体" w:hAnsi="楷体" w:eastAsia="楷体"/>
          <w:b/>
          <w:sz w:val="24"/>
          <w:szCs w:val="24"/>
        </w:rPr>
      </w:pP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4</w:t>
      </w:r>
      <w:r>
        <w:rPr>
          <w:rFonts w:hint="eastAsia" w:ascii="楷体" w:hAnsi="楷体" w:eastAsia="楷体" w:cs="Arial"/>
          <w:b/>
          <w:sz w:val="24"/>
          <w:szCs w:val="24"/>
          <w:lang w:eastAsia="zh-CN"/>
        </w:rPr>
        <w:t>）</w:t>
      </w:r>
      <w:r>
        <w:rPr>
          <w:rFonts w:hint="eastAsia" w:ascii="楷体" w:hAnsi="楷体" w:eastAsia="楷体" w:cs="Arial"/>
          <w:b/>
          <w:sz w:val="24"/>
          <w:szCs w:val="24"/>
          <w:lang w:val="en-US" w:eastAsia="zh-CN"/>
        </w:rPr>
        <w:t>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注：签订合同前，采购人有权要求中标供应商提供佐证材料原件核查，中标供应商不能按时提供的视为虚假响应，将取消中标资格】</w:t>
      </w:r>
      <w:r>
        <w:rPr>
          <w:rFonts w:hint="eastAsia" w:ascii="楷体" w:hAnsi="楷体" w:eastAsia="楷体"/>
          <w:b/>
          <w:sz w:val="24"/>
          <w:szCs w:val="24"/>
        </w:rPr>
        <w:t>。</w:t>
      </w:r>
    </w:p>
    <w:p w14:paraId="59C24F1B">
      <w:pPr>
        <w:spacing w:line="360" w:lineRule="auto"/>
        <w:ind w:firstLine="420"/>
        <w:rPr>
          <w:rFonts w:ascii="楷体" w:hAnsi="楷体" w:eastAsia="楷体" w:cs="Arial"/>
          <w:b/>
          <w:sz w:val="24"/>
        </w:rPr>
      </w:pPr>
      <w:r>
        <w:rPr>
          <w:rFonts w:hint="eastAsia" w:ascii="楷体" w:hAnsi="楷体" w:eastAsia="楷体" w:cs="Arial"/>
          <w:b/>
          <w:sz w:val="24"/>
        </w:rPr>
        <w:t>★</w:t>
      </w:r>
      <w:r>
        <w:rPr>
          <w:rFonts w:hint="eastAsia" w:ascii="楷体" w:hAnsi="楷体" w:eastAsia="楷体" w:cs="Arial"/>
          <w:b/>
          <w:sz w:val="24"/>
          <w:lang w:val="en-US" w:eastAsia="zh-CN"/>
        </w:rPr>
        <w:t>五</w:t>
      </w:r>
      <w:r>
        <w:rPr>
          <w:rFonts w:hint="eastAsia" w:ascii="楷体" w:hAnsi="楷体" w:eastAsia="楷体" w:cs="Arial"/>
          <w:b/>
          <w:sz w:val="24"/>
        </w:rPr>
        <w:t>、商务要求</w:t>
      </w:r>
    </w:p>
    <w:p w14:paraId="0F3FBA9E">
      <w:pPr>
        <w:spacing w:line="360" w:lineRule="auto"/>
        <w:ind w:firstLine="420"/>
        <w:rPr>
          <w:rFonts w:ascii="楷体" w:hAnsi="楷体" w:eastAsia="楷体" w:cs="Arial"/>
          <w:color w:val="auto"/>
          <w:sz w:val="24"/>
          <w:highlight w:val="none"/>
        </w:rPr>
      </w:pPr>
      <w:r>
        <w:rPr>
          <w:rFonts w:ascii="楷体" w:hAnsi="楷体" w:eastAsia="楷体" w:cs="Arial"/>
          <w:b/>
          <w:sz w:val="24"/>
          <w:highlight w:val="none"/>
        </w:rPr>
        <w:t>1.</w:t>
      </w:r>
      <w:r>
        <w:rPr>
          <w:rFonts w:hint="eastAsia" w:ascii="楷体" w:hAnsi="楷体" w:eastAsia="楷体" w:cs="Arial"/>
          <w:b/>
          <w:color w:val="auto"/>
          <w:sz w:val="24"/>
          <w:highlight w:val="none"/>
        </w:rPr>
        <w:t>供货期：</w:t>
      </w:r>
      <w:r>
        <w:rPr>
          <w:rFonts w:hint="eastAsia" w:ascii="楷体" w:hAnsi="楷体" w:eastAsia="楷体" w:cs="楷体"/>
          <w:sz w:val="24"/>
          <w:szCs w:val="24"/>
          <w:highlight w:val="none"/>
        </w:rPr>
        <w:t>合同签订后2周内</w:t>
      </w:r>
      <w:r>
        <w:rPr>
          <w:rFonts w:hint="eastAsia" w:ascii="楷体" w:hAnsi="楷体" w:eastAsia="楷体" w:cs="Arial"/>
          <w:color w:val="auto"/>
          <w:sz w:val="24"/>
          <w:highlight w:val="none"/>
        </w:rPr>
        <w:t>。</w:t>
      </w:r>
    </w:p>
    <w:p w14:paraId="5DD65FD1">
      <w:pPr>
        <w:spacing w:line="360" w:lineRule="auto"/>
        <w:ind w:firstLine="420"/>
        <w:rPr>
          <w:rFonts w:ascii="楷体" w:hAnsi="楷体" w:eastAsia="楷体" w:cs="Arial"/>
          <w:color w:val="auto"/>
          <w:sz w:val="24"/>
        </w:rPr>
      </w:pPr>
      <w:r>
        <w:rPr>
          <w:rFonts w:ascii="楷体" w:hAnsi="楷体" w:eastAsia="楷体" w:cs="Arial"/>
          <w:b/>
          <w:color w:val="auto"/>
          <w:sz w:val="24"/>
        </w:rPr>
        <w:t>2.</w:t>
      </w:r>
      <w:r>
        <w:rPr>
          <w:rFonts w:hint="eastAsia" w:ascii="楷体" w:hAnsi="楷体" w:eastAsia="楷体" w:cs="Arial"/>
          <w:b/>
          <w:color w:val="auto"/>
          <w:sz w:val="24"/>
        </w:rPr>
        <w:t>交付（实施）的地点（范围）：</w:t>
      </w:r>
      <w:r>
        <w:rPr>
          <w:rFonts w:hint="eastAsia" w:ascii="楷体" w:hAnsi="楷体" w:eastAsia="楷体" w:cs="Arial"/>
          <w:color w:val="auto"/>
          <w:sz w:val="24"/>
        </w:rPr>
        <w:t>采购人指定地点</w:t>
      </w:r>
    </w:p>
    <w:p w14:paraId="45934E72">
      <w:pPr>
        <w:spacing w:line="360" w:lineRule="auto"/>
        <w:ind w:firstLine="420"/>
        <w:rPr>
          <w:rFonts w:hint="eastAsia" w:ascii="楷体" w:hAnsi="楷体" w:eastAsia="楷体" w:cs="Arial"/>
          <w:b w:val="0"/>
          <w:bCs/>
          <w:color w:val="auto"/>
          <w:sz w:val="24"/>
        </w:rPr>
      </w:pPr>
      <w:r>
        <w:rPr>
          <w:rFonts w:hint="eastAsia" w:ascii="楷体" w:hAnsi="楷体" w:eastAsia="楷体" w:cs="Arial"/>
          <w:b/>
          <w:color w:val="auto"/>
          <w:sz w:val="24"/>
          <w:lang w:val="en-US" w:eastAsia="zh-CN"/>
        </w:rPr>
        <w:t>3</w:t>
      </w:r>
      <w:r>
        <w:rPr>
          <w:rFonts w:ascii="楷体" w:hAnsi="楷体" w:eastAsia="楷体" w:cs="Arial"/>
          <w:b/>
          <w:color w:val="auto"/>
          <w:sz w:val="24"/>
        </w:rPr>
        <w:t>.付款条件（进度和方式）</w:t>
      </w:r>
      <w:r>
        <w:rPr>
          <w:rFonts w:hint="eastAsia" w:ascii="楷体" w:hAnsi="楷体" w:eastAsia="楷体" w:cs="Arial"/>
          <w:b/>
          <w:color w:val="auto"/>
          <w:sz w:val="24"/>
        </w:rPr>
        <w:t>：</w:t>
      </w:r>
      <w:r>
        <w:rPr>
          <w:rFonts w:hint="eastAsia" w:ascii="楷体" w:hAnsi="楷体" w:eastAsia="楷体" w:cs="Arial"/>
          <w:b w:val="0"/>
          <w:bCs/>
          <w:color w:val="auto"/>
          <w:sz w:val="24"/>
        </w:rPr>
        <w:t>合同签订后，采购人在收到中标人提供的相应金额的正规发票后10个工作日内支付合同金额的30%作为预付款。</w:t>
      </w:r>
    </w:p>
    <w:p w14:paraId="31C2F300">
      <w:pPr>
        <w:spacing w:line="360" w:lineRule="auto"/>
        <w:ind w:firstLine="420"/>
        <w:rPr>
          <w:rFonts w:ascii="楷体" w:hAnsi="楷体" w:eastAsia="楷体" w:cs="Arial"/>
          <w:b w:val="0"/>
          <w:bCs/>
          <w:color w:val="auto"/>
          <w:sz w:val="24"/>
        </w:rPr>
      </w:pPr>
      <w:r>
        <w:rPr>
          <w:rFonts w:hint="eastAsia" w:ascii="楷体" w:hAnsi="楷体" w:eastAsia="楷体" w:cs="Arial"/>
          <w:b w:val="0"/>
          <w:bCs/>
          <w:color w:val="auto"/>
          <w:sz w:val="24"/>
        </w:rPr>
        <w:t>项目安装调试完毕并验收合格后10个工作日内，支付合同额的60%；第一年运维结束通过运维的阶段性验收通过后支付合同额的5%；第二年运维结束通过运维的阶段性验收通过后支付合同额的5%。</w:t>
      </w:r>
    </w:p>
    <w:p w14:paraId="3472C010">
      <w:pPr>
        <w:spacing w:line="360" w:lineRule="auto"/>
        <w:ind w:firstLine="420"/>
        <w:rPr>
          <w:rFonts w:ascii="楷体" w:hAnsi="楷体" w:eastAsia="楷体" w:cs="Arial"/>
          <w:b/>
          <w:color w:val="auto"/>
          <w:sz w:val="24"/>
        </w:rPr>
      </w:pPr>
      <w:r>
        <w:rPr>
          <w:rFonts w:hint="eastAsia" w:ascii="楷体" w:hAnsi="楷体" w:eastAsia="楷体" w:cs="Arial"/>
          <w:b/>
          <w:color w:val="auto"/>
          <w:sz w:val="24"/>
          <w:lang w:val="en-US" w:eastAsia="zh-CN"/>
        </w:rPr>
        <w:t>4</w:t>
      </w:r>
      <w:r>
        <w:rPr>
          <w:rFonts w:ascii="楷体" w:hAnsi="楷体" w:eastAsia="楷体" w:cs="Arial"/>
          <w:b/>
          <w:color w:val="auto"/>
          <w:sz w:val="24"/>
        </w:rPr>
        <w:t>.</w:t>
      </w:r>
      <w:r>
        <w:rPr>
          <w:rFonts w:hint="eastAsia" w:ascii="楷体" w:hAnsi="楷体" w:eastAsia="楷体" w:cs="Arial"/>
          <w:b/>
          <w:color w:val="auto"/>
          <w:sz w:val="24"/>
        </w:rPr>
        <w:t>验收要求：</w:t>
      </w:r>
    </w:p>
    <w:p w14:paraId="717CD8B8">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1</w:t>
      </w:r>
      <w:r>
        <w:rPr>
          <w:rFonts w:hint="eastAsia" w:ascii="楷体" w:hAnsi="楷体" w:eastAsia="楷体" w:cs="Arial"/>
          <w:color w:val="auto"/>
          <w:sz w:val="24"/>
          <w:lang w:eastAsia="zh-CN"/>
        </w:rPr>
        <w:t>）</w:t>
      </w:r>
      <w:r>
        <w:rPr>
          <w:rFonts w:hint="eastAsia" w:ascii="楷体" w:hAnsi="楷体" w:eastAsia="楷体" w:cs="Arial"/>
          <w:color w:val="auto"/>
          <w:sz w:val="24"/>
        </w:rPr>
        <w:t>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p>
    <w:p w14:paraId="05B7AE3A">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2</w:t>
      </w:r>
      <w:r>
        <w:rPr>
          <w:rFonts w:hint="eastAsia" w:ascii="楷体" w:hAnsi="楷体" w:eastAsia="楷体" w:cs="Arial"/>
          <w:color w:val="auto"/>
          <w:sz w:val="24"/>
          <w:lang w:eastAsia="zh-CN"/>
        </w:rPr>
        <w:t>）</w:t>
      </w:r>
      <w:r>
        <w:rPr>
          <w:rFonts w:hint="eastAsia" w:ascii="楷体" w:hAnsi="楷体" w:eastAsia="楷体" w:cs="Arial"/>
          <w:color w:val="auto"/>
          <w:sz w:val="24"/>
        </w:rPr>
        <w:t>供应商应负责在采购人验收前将本项目全部相关的系统软硬件，以及有关使用说明书（手册）等交付至采购人，由采购人组织验收。</w:t>
      </w:r>
    </w:p>
    <w:p w14:paraId="5709238F">
      <w:pPr>
        <w:spacing w:line="360" w:lineRule="auto"/>
        <w:ind w:firstLine="420"/>
        <w:rPr>
          <w:rFonts w:hint="eastAsia" w:ascii="楷体" w:hAnsi="楷体" w:eastAsia="楷体" w:cs="Arial"/>
          <w:color w:val="auto"/>
          <w:sz w:val="24"/>
        </w:rPr>
      </w:pPr>
      <w:r>
        <w:rPr>
          <w:rFonts w:hint="eastAsia" w:ascii="楷体" w:hAnsi="楷体" w:eastAsia="楷体" w:cs="Arial"/>
          <w:color w:val="auto"/>
          <w:sz w:val="24"/>
          <w:lang w:eastAsia="zh-CN"/>
        </w:rPr>
        <w:t>（</w:t>
      </w:r>
      <w:r>
        <w:rPr>
          <w:rFonts w:hint="eastAsia" w:ascii="楷体" w:hAnsi="楷体" w:eastAsia="楷体" w:cs="Arial"/>
          <w:color w:val="auto"/>
          <w:sz w:val="24"/>
          <w:lang w:val="en-US" w:eastAsia="zh-CN"/>
        </w:rPr>
        <w:t>3</w:t>
      </w:r>
      <w:r>
        <w:rPr>
          <w:rFonts w:hint="eastAsia" w:ascii="楷体" w:hAnsi="楷体" w:eastAsia="楷体" w:cs="Arial"/>
          <w:color w:val="auto"/>
          <w:sz w:val="24"/>
          <w:lang w:eastAsia="zh-CN"/>
        </w:rPr>
        <w:t>）</w:t>
      </w:r>
      <w:r>
        <w:rPr>
          <w:rFonts w:hint="eastAsia" w:ascii="楷体" w:hAnsi="楷体" w:eastAsia="楷体" w:cs="Arial"/>
          <w:color w:val="auto"/>
          <w:sz w:val="24"/>
        </w:rPr>
        <w:t>供应商负责货物的安装</w:t>
      </w:r>
      <w:r>
        <w:rPr>
          <w:rFonts w:hint="eastAsia" w:ascii="楷体" w:hAnsi="楷体" w:eastAsia="楷体" w:cs="Arial"/>
          <w:color w:val="auto"/>
          <w:sz w:val="24"/>
          <w:lang w:eastAsia="zh-CN"/>
        </w:rPr>
        <w:t>、</w:t>
      </w:r>
      <w:r>
        <w:rPr>
          <w:rFonts w:hint="eastAsia" w:ascii="楷体" w:hAnsi="楷体" w:eastAsia="楷体" w:cs="Arial"/>
          <w:color w:val="auto"/>
          <w:sz w:val="24"/>
        </w:rPr>
        <w:t>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r>
        <w:rPr>
          <w:rFonts w:hint="eastAsia" w:ascii="楷体" w:hAnsi="楷体" w:eastAsia="楷体" w:cs="Arial"/>
          <w:color w:val="auto"/>
          <w:sz w:val="24"/>
          <w:lang w:eastAsia="zh-CN"/>
        </w:rPr>
        <w:t>。</w:t>
      </w:r>
      <w:r>
        <w:rPr>
          <w:rFonts w:hint="eastAsia" w:ascii="楷体" w:hAnsi="楷体" w:eastAsia="楷体" w:cs="Arial"/>
          <w:color w:val="auto"/>
          <w:sz w:val="24"/>
        </w:rPr>
        <w:t xml:space="preserve"> </w:t>
      </w:r>
    </w:p>
    <w:p w14:paraId="27778186">
      <w:pPr>
        <w:spacing w:line="360" w:lineRule="auto"/>
        <w:ind w:firstLine="420"/>
        <w:rPr>
          <w:rFonts w:ascii="楷体" w:hAnsi="楷体" w:eastAsia="楷体" w:cs="Arial"/>
          <w:color w:val="auto"/>
          <w:sz w:val="24"/>
        </w:rPr>
      </w:pPr>
      <w:r>
        <w:rPr>
          <w:rFonts w:hint="eastAsia" w:ascii="楷体" w:hAnsi="楷体" w:eastAsia="楷体" w:cs="Arial"/>
          <w:b/>
          <w:color w:val="auto"/>
          <w:sz w:val="24"/>
          <w:lang w:val="en-US" w:eastAsia="zh-CN"/>
        </w:rPr>
        <w:t>5</w:t>
      </w:r>
      <w:r>
        <w:rPr>
          <w:rFonts w:ascii="楷体" w:hAnsi="楷体" w:eastAsia="楷体" w:cs="Arial"/>
          <w:b/>
          <w:color w:val="auto"/>
          <w:sz w:val="24"/>
        </w:rPr>
        <w:t>.</w:t>
      </w:r>
      <w:r>
        <w:rPr>
          <w:rFonts w:hint="eastAsia" w:ascii="楷体" w:hAnsi="楷体" w:eastAsia="楷体" w:cs="Arial"/>
          <w:b/>
          <w:color w:val="auto"/>
          <w:sz w:val="24"/>
        </w:rPr>
        <w:t>投标货币：</w:t>
      </w:r>
      <w:r>
        <w:rPr>
          <w:rFonts w:hint="eastAsia" w:ascii="楷体" w:hAnsi="楷体" w:eastAsia="楷体" w:cs="Arial"/>
          <w:color w:val="auto"/>
          <w:sz w:val="24"/>
        </w:rPr>
        <w:t>投标文件中的所有货物、服务单价和总价采用人民币报价，以元为单位标注。</w:t>
      </w:r>
    </w:p>
    <w:p w14:paraId="41A34372">
      <w:pPr>
        <w:spacing w:line="360" w:lineRule="auto"/>
        <w:ind w:firstLine="420"/>
        <w:rPr>
          <w:rFonts w:ascii="楷体" w:hAnsi="楷体" w:eastAsia="楷体"/>
          <w:sz w:val="24"/>
        </w:rPr>
      </w:pPr>
      <w:r>
        <w:rPr>
          <w:rFonts w:hint="eastAsia" w:ascii="楷体" w:hAnsi="楷体" w:eastAsia="楷体" w:cs="Arial"/>
          <w:b/>
          <w:sz w:val="24"/>
          <w:lang w:val="en-US" w:eastAsia="zh-CN"/>
        </w:rPr>
        <w:t>六</w:t>
      </w:r>
      <w:r>
        <w:rPr>
          <w:rFonts w:hint="eastAsia" w:ascii="楷体" w:hAnsi="楷体" w:eastAsia="楷体" w:cs="Arial"/>
          <w:b/>
          <w:sz w:val="24"/>
        </w:rPr>
        <w:t>、其他要求</w:t>
      </w:r>
    </w:p>
    <w:p w14:paraId="3CB5142C">
      <w:pPr>
        <w:pStyle w:val="1539"/>
        <w:ind w:firstLine="480"/>
        <w:jc w:val="both"/>
        <w:rPr>
          <w:rFonts w:ascii="楷体" w:hAnsi="楷体" w:eastAsia="楷体" w:cs="Arial"/>
          <w:color w:val="FF0000"/>
        </w:rPr>
      </w:pPr>
      <w:r>
        <w:rPr>
          <w:rFonts w:ascii="楷体" w:hAnsi="楷体" w:eastAsia="楷体" w:cs="Arial"/>
          <w:color w:val="FF0000"/>
        </w:rPr>
        <w:t>注：对采购需求部分的询问、质疑请向采购人提出，询问、质疑由采购人负责解释。</w:t>
      </w:r>
    </w:p>
    <w:p w14:paraId="7F83E740">
      <w:pPr>
        <w:pStyle w:val="1539"/>
        <w:spacing w:after="750" w:line="360" w:lineRule="auto"/>
        <w:ind w:firstLine="480" w:firstLineChars="200"/>
        <w:jc w:val="both"/>
        <w:rPr>
          <w:rFonts w:hint="eastAsia" w:ascii="楷体" w:hAnsi="楷体" w:eastAsia="楷体" w:cs="Arial"/>
          <w:color w:val="FF0000"/>
          <w:lang w:val="en-US" w:eastAsia="zh-CN"/>
        </w:rPr>
      </w:pPr>
      <w:r>
        <w:rPr>
          <w:rFonts w:ascii="楷体" w:hAnsi="楷体" w:eastAsia="楷体" w:cs="Arial"/>
          <w:color w:val="FF0000"/>
        </w:rPr>
        <w:t>本部分标注“★”实质性要求，必须响应，不允许负偏离，否则作为无效投标处理</w:t>
      </w:r>
      <w:r>
        <w:rPr>
          <w:rFonts w:hint="eastAsia" w:ascii="楷体" w:hAnsi="楷体" w:eastAsia="楷体" w:cs="Arial"/>
          <w:color w:val="FF0000"/>
          <w:lang w:eastAsia="zh-CN"/>
        </w:rPr>
        <w:t>。</w:t>
      </w:r>
    </w:p>
    <w:p w14:paraId="0D97112B">
      <w:pPr>
        <w:pStyle w:val="1539"/>
        <w:spacing w:after="750"/>
        <w:jc w:val="both"/>
        <w:rPr>
          <w:rFonts w:ascii="楷体" w:hAnsi="楷体" w:eastAsia="楷体"/>
          <w:b/>
          <w:sz w:val="30"/>
        </w:rPr>
      </w:pPr>
      <w:r>
        <w:rPr>
          <w:rFonts w:hint="eastAsia" w:ascii="楷体" w:hAnsi="楷体" w:eastAsia="楷体"/>
          <w:b/>
          <w:sz w:val="30"/>
        </w:rPr>
        <w:br w:type="page" w:clear="all"/>
      </w:r>
    </w:p>
    <w:p w14:paraId="357766AD">
      <w:pPr>
        <w:spacing w:line="360" w:lineRule="auto"/>
        <w:jc w:val="center"/>
        <w:rPr>
          <w:rFonts w:ascii="楷体" w:hAnsi="楷体" w:eastAsia="楷体"/>
          <w:b/>
          <w:sz w:val="30"/>
        </w:rPr>
      </w:pPr>
      <w:r>
        <w:rPr>
          <w:rFonts w:hint="eastAsia" w:ascii="楷体" w:hAnsi="楷体" w:eastAsia="楷体"/>
          <w:b/>
          <w:sz w:val="30"/>
        </w:rPr>
        <w:t xml:space="preserve">第五部分    </w:t>
      </w:r>
      <w:bookmarkStart w:id="245" w:name="_Toc98669372"/>
      <w:bookmarkStart w:id="246" w:name="_Toc98669730"/>
      <w:bookmarkStart w:id="247" w:name="_Toc20821546"/>
      <w:bookmarkStart w:id="248" w:name="_Toc76955302"/>
      <w:bookmarkStart w:id="249" w:name="_Toc100386076"/>
      <w:r>
        <w:rPr>
          <w:rFonts w:hint="eastAsia" w:ascii="楷体" w:hAnsi="楷体" w:eastAsia="楷体"/>
          <w:b/>
          <w:sz w:val="30"/>
        </w:rPr>
        <w:t>评标办法和标准</w:t>
      </w:r>
    </w:p>
    <w:p w14:paraId="0FDAD2CF">
      <w:pPr>
        <w:pStyle w:val="6"/>
        <w:keepNext w:val="0"/>
        <w:keepLines w:val="0"/>
        <w:spacing w:before="200" w:after="200" w:line="360" w:lineRule="auto"/>
        <w:ind w:firstLine="446"/>
        <w:rPr>
          <w:rFonts w:ascii="楷体" w:hAnsi="楷体" w:eastAsia="楷体"/>
          <w:sz w:val="30"/>
        </w:rPr>
      </w:pPr>
      <w:r>
        <w:rPr>
          <w:rFonts w:hint="eastAsia" w:ascii="楷体" w:hAnsi="楷体" w:eastAsia="楷体"/>
          <w:sz w:val="30"/>
        </w:rPr>
        <w:t>1.采购代理机构职责</w:t>
      </w:r>
    </w:p>
    <w:p w14:paraId="40BCBFC6">
      <w:pPr>
        <w:pStyle w:val="9"/>
        <w:spacing w:line="360" w:lineRule="auto"/>
        <w:ind w:firstLine="480"/>
        <w:rPr>
          <w:rFonts w:ascii="楷体" w:hAnsi="楷体" w:eastAsia="楷体"/>
          <w:color w:val="000000"/>
          <w:sz w:val="24"/>
        </w:rPr>
      </w:pPr>
      <w:r>
        <w:rPr>
          <w:rFonts w:hint="eastAsia" w:ascii="楷体" w:hAnsi="楷体" w:eastAsia="楷体"/>
          <w:color w:val="000000"/>
          <w:sz w:val="24"/>
        </w:rPr>
        <w:t>1.1 采购代理机构负责组织评标工作，并履行下列职责：</w:t>
      </w:r>
    </w:p>
    <w:p w14:paraId="4E288AB3">
      <w:pPr>
        <w:pStyle w:val="9"/>
        <w:spacing w:line="360" w:lineRule="auto"/>
        <w:ind w:firstLine="360"/>
        <w:rPr>
          <w:rFonts w:ascii="楷体" w:hAnsi="楷体" w:eastAsia="楷体"/>
          <w:color w:val="000000"/>
          <w:sz w:val="24"/>
        </w:rPr>
      </w:pPr>
      <w:r>
        <w:rPr>
          <w:rFonts w:hint="eastAsia" w:ascii="楷体" w:hAnsi="楷体" w:eastAsia="楷体"/>
          <w:color w:val="000000"/>
          <w:sz w:val="24"/>
        </w:rPr>
        <w:t>（1）核对评审专家身份和采购人代表授权函，对评审专家在政府采购活动中的职责履行情况予以记录，并及时将有关违法违规行为</w:t>
      </w:r>
      <w:r>
        <w:rPr>
          <w:rFonts w:hint="eastAsia" w:ascii="楷体" w:hAnsi="楷体" w:eastAsia="楷体"/>
          <w:sz w:val="24"/>
        </w:rPr>
        <w:t>向政府采购监管部门</w:t>
      </w:r>
      <w:r>
        <w:rPr>
          <w:rFonts w:hint="eastAsia" w:ascii="楷体" w:hAnsi="楷体" w:eastAsia="楷体"/>
          <w:color w:val="000000"/>
          <w:sz w:val="24"/>
        </w:rPr>
        <w:t>报告；</w:t>
      </w:r>
    </w:p>
    <w:p w14:paraId="71827DCC">
      <w:pPr>
        <w:pStyle w:val="9"/>
        <w:spacing w:line="360" w:lineRule="auto"/>
        <w:ind w:firstLine="360"/>
        <w:rPr>
          <w:rFonts w:ascii="楷体" w:hAnsi="楷体" w:eastAsia="楷体"/>
          <w:color w:val="000000"/>
          <w:sz w:val="24"/>
        </w:rPr>
      </w:pPr>
      <w:r>
        <w:rPr>
          <w:rFonts w:hint="eastAsia" w:ascii="楷体" w:hAnsi="楷体" w:eastAsia="楷体"/>
          <w:color w:val="000000"/>
          <w:sz w:val="24"/>
        </w:rPr>
        <w:t>（2）宣布评标纪律；</w:t>
      </w:r>
    </w:p>
    <w:p w14:paraId="19BC59BB">
      <w:pPr>
        <w:pStyle w:val="9"/>
        <w:spacing w:line="360" w:lineRule="auto"/>
        <w:ind w:firstLine="360"/>
        <w:rPr>
          <w:rFonts w:ascii="楷体" w:hAnsi="楷体" w:eastAsia="楷体"/>
          <w:color w:val="000000"/>
          <w:sz w:val="24"/>
        </w:rPr>
      </w:pPr>
      <w:r>
        <w:rPr>
          <w:rFonts w:hint="eastAsia" w:ascii="楷体" w:hAnsi="楷体" w:eastAsia="楷体"/>
          <w:color w:val="000000"/>
          <w:sz w:val="24"/>
        </w:rPr>
        <w:t>（3）公布投标人名单，告知评审专家应当回避的情形；</w:t>
      </w:r>
    </w:p>
    <w:p w14:paraId="4AF91986">
      <w:pPr>
        <w:pStyle w:val="9"/>
        <w:spacing w:line="360" w:lineRule="auto"/>
        <w:ind w:firstLine="360"/>
        <w:rPr>
          <w:rFonts w:ascii="楷体" w:hAnsi="楷体" w:eastAsia="楷体"/>
          <w:color w:val="000000"/>
          <w:sz w:val="24"/>
        </w:rPr>
      </w:pPr>
      <w:r>
        <w:rPr>
          <w:rFonts w:hint="eastAsia" w:ascii="楷体" w:hAnsi="楷体" w:eastAsia="楷体"/>
          <w:color w:val="000000"/>
          <w:sz w:val="24"/>
        </w:rPr>
        <w:t>（4）组织评标委员会推选评标组长，采购人代表不得担任组长；</w:t>
      </w:r>
    </w:p>
    <w:p w14:paraId="500B8B2C">
      <w:pPr>
        <w:pStyle w:val="9"/>
        <w:spacing w:line="360" w:lineRule="auto"/>
        <w:ind w:firstLine="360"/>
        <w:rPr>
          <w:rFonts w:ascii="楷体" w:hAnsi="楷体" w:eastAsia="楷体"/>
          <w:color w:val="000000"/>
          <w:sz w:val="24"/>
        </w:rPr>
      </w:pPr>
      <w:r>
        <w:rPr>
          <w:rFonts w:hint="eastAsia" w:ascii="楷体" w:hAnsi="楷体" w:eastAsia="楷体"/>
          <w:color w:val="000000"/>
          <w:sz w:val="24"/>
        </w:rPr>
        <w:t>（5）在评标期间采取必要的通讯管理措施，保证评标活动不受外界干扰；</w:t>
      </w:r>
    </w:p>
    <w:p w14:paraId="5F558FBC">
      <w:pPr>
        <w:pStyle w:val="9"/>
        <w:spacing w:line="360" w:lineRule="auto"/>
        <w:ind w:firstLine="360"/>
        <w:rPr>
          <w:rFonts w:ascii="楷体" w:hAnsi="楷体" w:eastAsia="楷体"/>
          <w:color w:val="000000"/>
          <w:sz w:val="24"/>
        </w:rPr>
      </w:pPr>
      <w:r>
        <w:rPr>
          <w:rFonts w:hint="eastAsia" w:ascii="楷体" w:hAnsi="楷体" w:eastAsia="楷体"/>
          <w:color w:val="000000"/>
          <w:sz w:val="24"/>
        </w:rPr>
        <w:t>（6）根据评标委员会的要求介绍政府采购相关政策法规、招标文件；</w:t>
      </w:r>
    </w:p>
    <w:p w14:paraId="633274A6">
      <w:pPr>
        <w:pStyle w:val="9"/>
        <w:spacing w:line="360" w:lineRule="auto"/>
        <w:ind w:firstLine="360"/>
        <w:rPr>
          <w:rFonts w:ascii="楷体" w:hAnsi="楷体" w:eastAsia="楷体"/>
          <w:color w:val="000000"/>
          <w:sz w:val="24"/>
        </w:rPr>
      </w:pPr>
      <w:r>
        <w:rPr>
          <w:rFonts w:hint="eastAsia" w:ascii="楷体" w:hAnsi="楷体" w:eastAsia="楷体"/>
          <w:color w:val="000000"/>
          <w:sz w:val="24"/>
        </w:rPr>
        <w:t>（7）维护评标秩序，监督评标委员会依照招标文件规定的评标程序、方法和标准进行独立评审，及时制止和纠正采购人代表、评审专家的倾向性言论或者违法违规行为；</w:t>
      </w:r>
    </w:p>
    <w:p w14:paraId="613C7A04">
      <w:pPr>
        <w:pStyle w:val="9"/>
        <w:spacing w:line="360" w:lineRule="auto"/>
        <w:ind w:firstLine="360"/>
        <w:rPr>
          <w:rFonts w:ascii="楷体" w:hAnsi="楷体" w:eastAsia="楷体"/>
          <w:sz w:val="24"/>
        </w:rPr>
      </w:pPr>
      <w:r>
        <w:rPr>
          <w:rFonts w:hint="eastAsia" w:ascii="楷体" w:hAnsi="楷体" w:eastAsia="楷体"/>
          <w:color w:val="000000"/>
          <w:sz w:val="24"/>
        </w:rPr>
        <w:t>（8）核对评标结果，有《政府采购货物和服务招标投标管理办法》</w:t>
      </w:r>
      <w:r>
        <w:rPr>
          <w:rFonts w:hint="eastAsia" w:ascii="楷体" w:hAnsi="楷体" w:eastAsia="楷体"/>
          <w:sz w:val="24"/>
        </w:rPr>
        <w:t>（财政部87号令）</w:t>
      </w:r>
      <w:r>
        <w:rPr>
          <w:rFonts w:hint="eastAsia" w:ascii="楷体" w:hAnsi="楷体" w:eastAsia="楷体"/>
          <w:color w:val="000000"/>
          <w:sz w:val="24"/>
        </w:rPr>
        <w:t>第六十四条规定情形的，要</w:t>
      </w:r>
      <w:r>
        <w:rPr>
          <w:rFonts w:hint="eastAsia" w:ascii="楷体" w:hAnsi="楷体" w:eastAsia="楷体"/>
          <w:sz w:val="24"/>
        </w:rPr>
        <w:t>求评标委员会复核或者书面说明理由，评标委员会拒绝的，应予记录并向本级政府采购监管部门报告；</w:t>
      </w:r>
    </w:p>
    <w:p w14:paraId="5AE85883">
      <w:pPr>
        <w:pStyle w:val="9"/>
        <w:spacing w:line="360" w:lineRule="auto"/>
        <w:ind w:firstLine="360"/>
        <w:rPr>
          <w:rFonts w:ascii="楷体" w:hAnsi="楷体" w:eastAsia="楷体"/>
          <w:color w:val="000000"/>
          <w:sz w:val="24"/>
        </w:rPr>
      </w:pPr>
      <w:r>
        <w:rPr>
          <w:rFonts w:hint="eastAsia" w:ascii="楷体" w:hAnsi="楷体" w:eastAsia="楷体"/>
          <w:sz w:val="24"/>
        </w:rPr>
        <w:t>（9）评审工作完成后，按照规定向评</w:t>
      </w:r>
      <w:r>
        <w:rPr>
          <w:rFonts w:hint="eastAsia" w:ascii="楷体" w:hAnsi="楷体" w:eastAsia="楷体"/>
          <w:color w:val="000000"/>
          <w:sz w:val="24"/>
        </w:rPr>
        <w:t>审专家支付劳务报酬和异地评审差旅费，不得向评审专家以外的其他人员支付评审劳务报酬；</w:t>
      </w:r>
    </w:p>
    <w:p w14:paraId="22B4D865">
      <w:pPr>
        <w:pStyle w:val="9"/>
        <w:spacing w:line="360" w:lineRule="auto"/>
        <w:ind w:firstLine="360"/>
        <w:rPr>
          <w:rFonts w:ascii="楷体" w:hAnsi="楷体" w:eastAsia="楷体"/>
          <w:color w:val="000000"/>
          <w:sz w:val="24"/>
        </w:rPr>
      </w:pPr>
      <w:r>
        <w:rPr>
          <w:rFonts w:hint="eastAsia" w:ascii="楷体" w:hAnsi="楷体" w:eastAsia="楷体"/>
          <w:color w:val="000000"/>
          <w:sz w:val="24"/>
        </w:rPr>
        <w:t>（10）处理与评标有关的其他事项。</w:t>
      </w:r>
    </w:p>
    <w:p w14:paraId="1CECB920">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2.评标委员会职责</w:t>
      </w:r>
    </w:p>
    <w:p w14:paraId="27EABFD8">
      <w:pPr>
        <w:pStyle w:val="6"/>
        <w:keepNext w:val="0"/>
        <w:keepLines w:val="0"/>
        <w:spacing w:before="0" w:after="0" w:line="360" w:lineRule="auto"/>
        <w:ind w:firstLine="480"/>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p>
    <w:p w14:paraId="36BD51B3">
      <w:pPr>
        <w:spacing w:line="360" w:lineRule="auto"/>
        <w:ind w:firstLine="420"/>
        <w:rPr>
          <w:rFonts w:ascii="楷体" w:hAnsi="楷体" w:eastAsia="楷体"/>
          <w:sz w:val="24"/>
        </w:rPr>
      </w:pPr>
      <w:r>
        <w:rPr>
          <w:rFonts w:hint="eastAsia" w:ascii="楷体" w:hAnsi="楷体" w:eastAsia="楷体"/>
          <w:sz w:val="24"/>
        </w:rPr>
        <w:t xml:space="preserve">（1）审查、评价投标文件是否符合招标文件的商务、技术等实质性要求；  </w:t>
      </w:r>
    </w:p>
    <w:p w14:paraId="7A7A9730">
      <w:pPr>
        <w:spacing w:line="360" w:lineRule="auto"/>
        <w:ind w:firstLine="420"/>
        <w:rPr>
          <w:rFonts w:ascii="楷体" w:hAnsi="楷体" w:eastAsia="楷体"/>
          <w:sz w:val="24"/>
        </w:rPr>
      </w:pPr>
      <w:r>
        <w:rPr>
          <w:rFonts w:hint="eastAsia" w:ascii="楷体" w:hAnsi="楷体" w:eastAsia="楷体"/>
          <w:sz w:val="24"/>
        </w:rPr>
        <w:t xml:space="preserve">（2）要求投标人对投标文件有关事项作出澄清或者说明；  </w:t>
      </w:r>
    </w:p>
    <w:p w14:paraId="7C6820A2">
      <w:pPr>
        <w:spacing w:line="360" w:lineRule="auto"/>
        <w:ind w:firstLine="420"/>
        <w:rPr>
          <w:rFonts w:ascii="楷体" w:hAnsi="楷体" w:eastAsia="楷体"/>
          <w:sz w:val="24"/>
        </w:rPr>
      </w:pPr>
      <w:r>
        <w:rPr>
          <w:rFonts w:hint="eastAsia" w:ascii="楷体" w:hAnsi="楷体" w:eastAsia="楷体"/>
          <w:sz w:val="24"/>
        </w:rPr>
        <w:t xml:space="preserve">（3）对投标文件进行比较和评价；  </w:t>
      </w:r>
    </w:p>
    <w:p w14:paraId="4EABAA37">
      <w:pPr>
        <w:spacing w:line="360" w:lineRule="auto"/>
        <w:ind w:firstLine="420"/>
        <w:rPr>
          <w:rFonts w:ascii="楷体" w:hAnsi="楷体" w:eastAsia="楷体"/>
          <w:sz w:val="24"/>
        </w:rPr>
      </w:pPr>
      <w:r>
        <w:rPr>
          <w:rFonts w:hint="eastAsia" w:ascii="楷体" w:hAnsi="楷体" w:eastAsia="楷体"/>
          <w:sz w:val="24"/>
        </w:rPr>
        <w:t xml:space="preserve">（4）确定中标候选人名单，以及根据采购人委托直接确定中标人；  </w:t>
      </w:r>
    </w:p>
    <w:p w14:paraId="17E2FA53">
      <w:pPr>
        <w:spacing w:line="360" w:lineRule="auto"/>
        <w:ind w:firstLine="420"/>
        <w:rPr>
          <w:rFonts w:ascii="楷体" w:hAnsi="楷体" w:eastAsia="楷体"/>
          <w:sz w:val="24"/>
        </w:rPr>
      </w:pPr>
      <w:r>
        <w:rPr>
          <w:rFonts w:hint="eastAsia" w:ascii="楷体" w:hAnsi="楷体" w:eastAsia="楷体"/>
          <w:sz w:val="24"/>
        </w:rPr>
        <w:t>（5）向采购人、采购代理机构或者有关部门报告评标中发现的违法行为。</w:t>
      </w:r>
    </w:p>
    <w:p w14:paraId="7285752E">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3.评标注意事项</w:t>
      </w:r>
    </w:p>
    <w:p w14:paraId="3409635A">
      <w:pPr>
        <w:spacing w:line="360" w:lineRule="auto"/>
        <w:ind w:firstLine="480"/>
        <w:rPr>
          <w:rFonts w:ascii="楷体" w:hAnsi="楷体" w:eastAsia="楷体"/>
          <w:sz w:val="24"/>
        </w:rPr>
      </w:pPr>
      <w:r>
        <w:rPr>
          <w:rFonts w:hint="eastAsia" w:ascii="楷体" w:hAnsi="楷体" w:eastAsia="楷体"/>
          <w:sz w:val="24"/>
        </w:rPr>
        <w:t>3.1评标时，评标委员会各成员应当独立对每个投标人的投标文件进行评价，并汇总每个投标人的得分。</w:t>
      </w:r>
    </w:p>
    <w:p w14:paraId="54D7F07C">
      <w:pPr>
        <w:spacing w:line="360" w:lineRule="auto"/>
        <w:ind w:left="1" w:firstLine="480"/>
        <w:rPr>
          <w:rFonts w:ascii="楷体" w:hAnsi="楷体" w:eastAsia="楷体"/>
          <w:b/>
          <w:sz w:val="24"/>
          <w:u w:val="single"/>
        </w:rPr>
      </w:pPr>
      <w:r>
        <w:rPr>
          <w:rFonts w:hint="eastAsia" w:ascii="楷体" w:hAnsi="楷体" w:eastAsia="楷体"/>
          <w:sz w:val="24"/>
        </w:rPr>
        <w:t>3.2</w:t>
      </w:r>
      <w:r>
        <w:rPr>
          <w:rFonts w:hint="eastAsia" w:ascii="楷体" w:hAnsi="楷体" w:eastAsia="楷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44F6867">
      <w:pPr>
        <w:spacing w:line="360" w:lineRule="auto"/>
        <w:ind w:left="1" w:firstLine="480"/>
        <w:rPr>
          <w:rFonts w:ascii="楷体" w:hAnsi="楷体" w:eastAsia="楷体"/>
          <w:sz w:val="24"/>
        </w:rPr>
      </w:pPr>
      <w:r>
        <w:rPr>
          <w:rFonts w:hint="eastAsia" w:ascii="楷体" w:hAnsi="楷体" w:eastAsia="楷体"/>
          <w:sz w:val="24"/>
        </w:rPr>
        <w:t>3.3对于投标文件中含义不明确、同类问题表述不一致或者有明显文字和计算错误的内容，评标委员会应当以书面形式要求投标人作出必要的澄清、说明或者补正。</w:t>
      </w:r>
    </w:p>
    <w:p w14:paraId="2659190C">
      <w:pPr>
        <w:spacing w:line="360" w:lineRule="auto"/>
        <w:ind w:left="1" w:firstLine="480"/>
        <w:rPr>
          <w:rFonts w:ascii="楷体" w:hAnsi="楷体" w:eastAsia="楷体"/>
          <w:sz w:val="24"/>
        </w:rPr>
      </w:pPr>
      <w:r>
        <w:rPr>
          <w:rFonts w:hint="eastAsia" w:ascii="楷体" w:hAnsi="楷体" w:eastAsia="楷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03AAAC9F">
      <w:pPr>
        <w:spacing w:line="360" w:lineRule="auto"/>
        <w:ind w:firstLine="480"/>
        <w:rPr>
          <w:rFonts w:ascii="楷体" w:hAnsi="楷体" w:eastAsia="楷体"/>
          <w:sz w:val="24"/>
        </w:rPr>
      </w:pPr>
      <w:r>
        <w:rPr>
          <w:rFonts w:hint="eastAsia" w:ascii="楷体" w:hAnsi="楷体" w:eastAsia="楷体"/>
          <w:sz w:val="24"/>
        </w:rPr>
        <w:t>3.5评标委员会及其成员不得有下列行为：</w:t>
      </w:r>
    </w:p>
    <w:p w14:paraId="1F40E3FE">
      <w:pPr>
        <w:spacing w:line="360" w:lineRule="auto"/>
        <w:ind w:left="1" w:firstLine="480"/>
        <w:rPr>
          <w:rFonts w:ascii="楷体" w:hAnsi="楷体" w:eastAsia="楷体"/>
          <w:sz w:val="24"/>
        </w:rPr>
      </w:pPr>
      <w:r>
        <w:rPr>
          <w:rFonts w:hint="eastAsia" w:ascii="楷体" w:hAnsi="楷体" w:eastAsia="楷体"/>
          <w:sz w:val="24"/>
        </w:rPr>
        <w:t>（1）确定参与评标至评标结束前私自接触投标人；</w:t>
      </w:r>
    </w:p>
    <w:p w14:paraId="3B8838F2">
      <w:pPr>
        <w:spacing w:line="360" w:lineRule="auto"/>
        <w:ind w:left="1" w:firstLine="480"/>
        <w:rPr>
          <w:rFonts w:ascii="楷体" w:hAnsi="楷体" w:eastAsia="楷体"/>
          <w:sz w:val="24"/>
        </w:rPr>
      </w:pPr>
      <w:r>
        <w:rPr>
          <w:rFonts w:hint="eastAsia" w:ascii="楷体" w:hAnsi="楷体" w:eastAsia="楷体"/>
          <w:sz w:val="24"/>
        </w:rPr>
        <w:t>（2）接受投标人提出的与投标文件不一致的澄清或者说明，《政府采购货物和服务招标投标管理办法》（财政部87号令）第五十一条规定的情形除外；</w:t>
      </w:r>
    </w:p>
    <w:p w14:paraId="107E1FCC">
      <w:pPr>
        <w:spacing w:line="360" w:lineRule="auto"/>
        <w:ind w:left="1" w:firstLine="480"/>
        <w:rPr>
          <w:rFonts w:ascii="楷体" w:hAnsi="楷体" w:eastAsia="楷体"/>
          <w:sz w:val="24"/>
        </w:rPr>
      </w:pPr>
      <w:r>
        <w:rPr>
          <w:rFonts w:hint="eastAsia" w:ascii="楷体" w:hAnsi="楷体" w:eastAsia="楷体"/>
          <w:sz w:val="24"/>
        </w:rPr>
        <w:t>（3）违反评标纪律发表倾向性意见或者征询采购人的倾向性意见；</w:t>
      </w:r>
    </w:p>
    <w:p w14:paraId="3A877C43">
      <w:pPr>
        <w:spacing w:line="360" w:lineRule="auto"/>
        <w:ind w:left="1" w:firstLine="480"/>
        <w:rPr>
          <w:rFonts w:ascii="楷体" w:hAnsi="楷体" w:eastAsia="楷体"/>
          <w:sz w:val="24"/>
        </w:rPr>
      </w:pPr>
      <w:r>
        <w:rPr>
          <w:rFonts w:hint="eastAsia" w:ascii="楷体" w:hAnsi="楷体" w:eastAsia="楷体"/>
          <w:sz w:val="24"/>
        </w:rPr>
        <w:t>（4）对需要专业判断的主观评审因素协商评分；</w:t>
      </w:r>
    </w:p>
    <w:p w14:paraId="2B89212E">
      <w:pPr>
        <w:spacing w:line="360" w:lineRule="auto"/>
        <w:ind w:left="1" w:firstLine="480"/>
        <w:rPr>
          <w:rFonts w:ascii="楷体" w:hAnsi="楷体" w:eastAsia="楷体"/>
          <w:sz w:val="24"/>
        </w:rPr>
      </w:pPr>
      <w:r>
        <w:rPr>
          <w:rFonts w:hint="eastAsia" w:ascii="楷体" w:hAnsi="楷体" w:eastAsia="楷体"/>
          <w:sz w:val="24"/>
        </w:rPr>
        <w:t>（5）在评标过程中擅离职守，影响评标程序正常进行；</w:t>
      </w:r>
    </w:p>
    <w:p w14:paraId="00F66477">
      <w:pPr>
        <w:spacing w:line="360" w:lineRule="auto"/>
        <w:ind w:left="1" w:firstLine="480"/>
        <w:rPr>
          <w:rFonts w:ascii="楷体" w:hAnsi="楷体" w:eastAsia="楷体"/>
          <w:sz w:val="24"/>
        </w:rPr>
      </w:pPr>
      <w:r>
        <w:rPr>
          <w:rFonts w:hint="eastAsia" w:ascii="楷体" w:hAnsi="楷体" w:eastAsia="楷体"/>
          <w:sz w:val="24"/>
        </w:rPr>
        <w:t>（6）记录、复制或者带走任何评标资料；</w:t>
      </w:r>
    </w:p>
    <w:p w14:paraId="032525D6">
      <w:pPr>
        <w:spacing w:line="360" w:lineRule="auto"/>
        <w:ind w:left="1" w:firstLine="480"/>
        <w:rPr>
          <w:rFonts w:ascii="楷体" w:hAnsi="楷体" w:eastAsia="楷体"/>
          <w:sz w:val="24"/>
        </w:rPr>
      </w:pPr>
      <w:r>
        <w:rPr>
          <w:rFonts w:hint="eastAsia" w:ascii="楷体" w:hAnsi="楷体" w:eastAsia="楷体"/>
          <w:sz w:val="24"/>
        </w:rPr>
        <w:t>（7）其他不遵守评标纪律的行为。</w:t>
      </w:r>
    </w:p>
    <w:p w14:paraId="20194766">
      <w:pPr>
        <w:spacing w:line="360" w:lineRule="auto"/>
        <w:ind w:left="1" w:firstLine="480"/>
        <w:rPr>
          <w:rFonts w:ascii="楷体" w:hAnsi="楷体" w:eastAsia="楷体"/>
          <w:sz w:val="24"/>
        </w:rPr>
      </w:pPr>
      <w:r>
        <w:rPr>
          <w:rFonts w:hint="eastAsia" w:ascii="楷体" w:hAnsi="楷体" w:eastAsia="楷体"/>
          <w:sz w:val="24"/>
        </w:rPr>
        <w:t>评标委员会成员有上述第（1）至（5）项行为之一的，其评审意见无效，并不得获取评审劳务报酬和报销异地评审差旅费。</w:t>
      </w:r>
    </w:p>
    <w:p w14:paraId="74E3497E">
      <w:pPr>
        <w:spacing w:line="360" w:lineRule="auto"/>
        <w:ind w:left="1" w:firstLine="480"/>
        <w:rPr>
          <w:rFonts w:ascii="楷体" w:hAnsi="楷体" w:eastAsia="楷体"/>
          <w:sz w:val="24"/>
        </w:rPr>
      </w:pPr>
      <w:r>
        <w:rPr>
          <w:rFonts w:hint="eastAsia" w:ascii="楷体" w:hAnsi="楷体" w:eastAsia="楷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5AAC426A">
      <w:pPr>
        <w:spacing w:line="360" w:lineRule="auto"/>
        <w:ind w:firstLine="480"/>
        <w:rPr>
          <w:rFonts w:ascii="楷体" w:hAnsi="楷体" w:eastAsia="楷体"/>
          <w:sz w:val="24"/>
        </w:rPr>
      </w:pPr>
      <w:r>
        <w:rPr>
          <w:rFonts w:hint="eastAsia" w:ascii="楷体" w:hAnsi="楷体" w:eastAsia="楷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17501DF0">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4.评标过程的保密</w:t>
      </w:r>
    </w:p>
    <w:p w14:paraId="02C9C40F">
      <w:pPr>
        <w:spacing w:line="360" w:lineRule="auto"/>
        <w:ind w:left="1" w:firstLine="480"/>
        <w:rPr>
          <w:rFonts w:ascii="楷体" w:hAnsi="楷体" w:eastAsia="楷体"/>
          <w:sz w:val="24"/>
        </w:rPr>
      </w:pPr>
      <w:r>
        <w:rPr>
          <w:rFonts w:hint="eastAsia" w:ascii="楷体" w:hAnsi="楷体" w:eastAsia="楷体"/>
          <w:sz w:val="24"/>
        </w:rPr>
        <w:t>4.1 评标开始后，至向中标的投标人授予合同时止，与审查、澄清、评价和比较投标的有关资料以及授标建议等，均不得向投标人以及与评标无关的其他人员透露。</w:t>
      </w:r>
    </w:p>
    <w:p w14:paraId="731805F8">
      <w:pPr>
        <w:spacing w:line="360" w:lineRule="auto"/>
        <w:ind w:left="1" w:firstLine="480"/>
        <w:rPr>
          <w:rFonts w:ascii="楷体" w:hAnsi="楷体" w:eastAsia="楷体"/>
          <w:sz w:val="24"/>
        </w:rPr>
      </w:pPr>
      <w:r>
        <w:rPr>
          <w:rFonts w:hint="eastAsia" w:ascii="楷体" w:hAnsi="楷体" w:eastAsia="楷体"/>
          <w:sz w:val="24"/>
        </w:rPr>
        <w:t>4.2 在评标过程中，如果投标人试图在投标文件审查、澄清、比较及授标建议等方面向采购人、采购代理机构或参加评标的人员施加任何影响，都将会导致其投标无效。</w:t>
      </w:r>
    </w:p>
    <w:p w14:paraId="4A41EE72">
      <w:pPr>
        <w:spacing w:line="360" w:lineRule="auto"/>
        <w:ind w:left="1" w:firstLine="480"/>
        <w:rPr>
          <w:rFonts w:ascii="楷体" w:hAnsi="楷体" w:eastAsia="楷体"/>
          <w:sz w:val="24"/>
          <w:u w:val="single"/>
        </w:rPr>
      </w:pPr>
      <w:r>
        <w:rPr>
          <w:rFonts w:hint="eastAsia" w:ascii="楷体" w:hAnsi="楷体" w:eastAsia="楷体"/>
          <w:sz w:val="24"/>
        </w:rPr>
        <w:t>4.3</w:t>
      </w:r>
      <w:r>
        <w:rPr>
          <w:rFonts w:hint="eastAsia" w:ascii="楷体" w:hAnsi="楷体" w:eastAsia="楷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197909F">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5.报价前后不一致的处理原则</w:t>
      </w:r>
    </w:p>
    <w:p w14:paraId="1AE82B55">
      <w:pPr>
        <w:spacing w:line="360" w:lineRule="auto"/>
        <w:ind w:firstLine="480"/>
        <w:rPr>
          <w:rFonts w:ascii="楷体" w:hAnsi="楷体" w:eastAsia="楷体"/>
          <w:sz w:val="24"/>
        </w:rPr>
      </w:pPr>
      <w:r>
        <w:rPr>
          <w:rFonts w:hint="eastAsia" w:ascii="楷体" w:hAnsi="楷体" w:eastAsia="楷体"/>
          <w:sz w:val="24"/>
        </w:rPr>
        <w:t>5.1投标文件报价出现前后不一致的，按照下列规定修正：</w:t>
      </w:r>
    </w:p>
    <w:p w14:paraId="655D4F98">
      <w:pPr>
        <w:spacing w:line="360" w:lineRule="auto"/>
        <w:ind w:left="1" w:firstLine="480"/>
        <w:rPr>
          <w:rFonts w:ascii="楷体" w:hAnsi="楷体" w:eastAsia="楷体"/>
          <w:sz w:val="24"/>
        </w:rPr>
      </w:pPr>
      <w:r>
        <w:rPr>
          <w:rFonts w:hint="eastAsia" w:ascii="楷体" w:hAnsi="楷体" w:eastAsia="楷体"/>
          <w:sz w:val="24"/>
        </w:rPr>
        <w:t>（1）投标文件中开标一览表内容与投标文件中相应内容不一致的，以开标一览表为准；</w:t>
      </w:r>
    </w:p>
    <w:p w14:paraId="2F63EF6B">
      <w:pPr>
        <w:spacing w:line="360" w:lineRule="auto"/>
        <w:ind w:left="1" w:firstLine="480"/>
        <w:rPr>
          <w:rFonts w:ascii="楷体" w:hAnsi="楷体" w:eastAsia="楷体"/>
          <w:sz w:val="24"/>
        </w:rPr>
      </w:pPr>
      <w:r>
        <w:rPr>
          <w:rFonts w:hint="eastAsia" w:ascii="楷体" w:hAnsi="楷体" w:eastAsia="楷体"/>
          <w:sz w:val="24"/>
        </w:rPr>
        <w:t>（2）大写金额和小写金额不一致的，以大写金额为准；</w:t>
      </w:r>
    </w:p>
    <w:p w14:paraId="318BF353">
      <w:pPr>
        <w:spacing w:line="360" w:lineRule="auto"/>
        <w:ind w:left="1" w:firstLine="480"/>
        <w:rPr>
          <w:rFonts w:ascii="楷体" w:hAnsi="楷体" w:eastAsia="楷体"/>
          <w:sz w:val="24"/>
        </w:rPr>
      </w:pPr>
      <w:r>
        <w:rPr>
          <w:rFonts w:hint="eastAsia" w:ascii="楷体" w:hAnsi="楷体" w:eastAsia="楷体"/>
          <w:sz w:val="24"/>
        </w:rPr>
        <w:t>（3）单价金额小数点或者百分比有明显错位的，以开标一览表的总价为准，并修改单价；</w:t>
      </w:r>
    </w:p>
    <w:p w14:paraId="15AEC917">
      <w:pPr>
        <w:spacing w:line="360" w:lineRule="auto"/>
        <w:ind w:left="1" w:firstLine="480"/>
        <w:rPr>
          <w:rFonts w:ascii="楷体" w:hAnsi="楷体" w:eastAsia="楷体"/>
          <w:sz w:val="24"/>
        </w:rPr>
      </w:pPr>
      <w:r>
        <w:rPr>
          <w:rFonts w:hint="eastAsia" w:ascii="楷体" w:hAnsi="楷体" w:eastAsia="楷体"/>
          <w:sz w:val="24"/>
        </w:rPr>
        <w:t>（4）总价金额与按单价汇总金额不一致的，以单价金额计算结果为准。</w:t>
      </w:r>
    </w:p>
    <w:p w14:paraId="4B98DB7D">
      <w:pPr>
        <w:spacing w:line="360" w:lineRule="auto"/>
        <w:ind w:left="1" w:firstLine="482"/>
        <w:rPr>
          <w:rFonts w:ascii="楷体" w:hAnsi="楷体" w:eastAsia="楷体"/>
          <w:sz w:val="24"/>
        </w:rPr>
      </w:pPr>
      <w:r>
        <w:rPr>
          <w:rFonts w:hint="eastAsia" w:ascii="楷体" w:hAnsi="楷体" w:eastAsia="楷体"/>
          <w:b/>
          <w:sz w:val="24"/>
        </w:rPr>
        <w:t>同时出现两种以上不一致的，按上述规定排序在先的原则进行修正</w:t>
      </w:r>
      <w:r>
        <w:rPr>
          <w:rFonts w:hint="eastAsia" w:ascii="楷体" w:hAnsi="楷体" w:eastAsia="楷体"/>
          <w:sz w:val="24"/>
        </w:rPr>
        <w:t>，修正后的报价须经投标人确认后产生约束力，投标人确认应当以书面形式，并加盖公章，或者由法定代表人或其授权代表签字。投标人不确认的，其投标无效。</w:t>
      </w:r>
    </w:p>
    <w:p w14:paraId="32422F6D">
      <w:pPr>
        <w:widowControl/>
        <w:spacing w:before="200" w:after="200" w:line="360" w:lineRule="auto"/>
        <w:ind w:firstLine="446"/>
        <w:jc w:val="left"/>
        <w:rPr>
          <w:rFonts w:ascii="楷体" w:hAnsi="楷体" w:eastAsia="楷体"/>
          <w:b/>
          <w:sz w:val="30"/>
          <w:szCs w:val="30"/>
        </w:rPr>
      </w:pPr>
      <w:r>
        <w:rPr>
          <w:rFonts w:hint="eastAsia" w:ascii="楷体" w:hAnsi="楷体" w:eastAsia="楷体"/>
          <w:b/>
          <w:sz w:val="30"/>
          <w:szCs w:val="30"/>
        </w:rPr>
        <w:t>6.投标人资格审查</w:t>
      </w:r>
    </w:p>
    <w:p w14:paraId="15497D35">
      <w:pPr>
        <w:widowControl/>
        <w:spacing w:line="360" w:lineRule="auto"/>
        <w:ind w:firstLine="480"/>
        <w:jc w:val="left"/>
        <w:rPr>
          <w:rFonts w:ascii="楷体" w:hAnsi="楷体" w:eastAsia="楷体"/>
          <w:color w:val="00B050"/>
          <w:sz w:val="24"/>
        </w:rPr>
      </w:pPr>
      <w:r>
        <w:rPr>
          <w:rFonts w:ascii="Wingdings 2" w:hAnsi="Wingdings 2" w:eastAsia="Wingdings 2" w:cs="Wingdings 2"/>
          <w:color w:val="00B050"/>
          <w:sz w:val="24"/>
          <w:szCs w:val="28"/>
        </w:rPr>
        <w:t></w:t>
      </w:r>
      <w:r>
        <w:rPr>
          <w:rFonts w:hint="eastAsia" w:ascii="楷体" w:hAnsi="楷体" w:eastAsia="楷体"/>
          <w:color w:val="00B050"/>
          <w:sz w:val="24"/>
        </w:rPr>
        <w:t>6.1 采用资格后审方式</w:t>
      </w:r>
    </w:p>
    <w:p w14:paraId="144D7C74">
      <w:pPr>
        <w:widowControl/>
        <w:spacing w:line="360" w:lineRule="auto"/>
        <w:ind w:firstLine="480"/>
        <w:jc w:val="left"/>
        <w:rPr>
          <w:rFonts w:ascii="楷体" w:hAnsi="楷体" w:eastAsia="楷体"/>
          <w:b/>
          <w:sz w:val="24"/>
        </w:rPr>
      </w:pPr>
      <w:r>
        <w:rPr>
          <w:rFonts w:hint="eastAsia" w:ascii="楷体" w:hAnsi="楷体" w:eastAsia="楷体"/>
          <w:sz w:val="24"/>
        </w:rPr>
        <w:t>开标结束后，采购人或代理机构将依法对投标人的资格进行审查。资格审查的内容如下：</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41B90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43" w:type="pct"/>
          </w:tcPr>
          <w:p w14:paraId="41299FAD">
            <w:pPr>
              <w:spacing w:line="360" w:lineRule="auto"/>
              <w:jc w:val="center"/>
              <w:rPr>
                <w:rFonts w:ascii="楷体" w:hAnsi="楷体" w:eastAsia="楷体"/>
                <w:b/>
                <w:sz w:val="24"/>
              </w:rPr>
            </w:pPr>
            <w:r>
              <w:rPr>
                <w:rFonts w:hint="eastAsia" w:ascii="楷体" w:hAnsi="楷体" w:eastAsia="楷体"/>
                <w:b/>
                <w:sz w:val="24"/>
              </w:rPr>
              <w:t>序号</w:t>
            </w:r>
          </w:p>
        </w:tc>
        <w:tc>
          <w:tcPr>
            <w:tcW w:w="2263" w:type="pct"/>
            <w:vAlign w:val="center"/>
          </w:tcPr>
          <w:p w14:paraId="6B1A374F">
            <w:pPr>
              <w:spacing w:line="360" w:lineRule="auto"/>
              <w:rPr>
                <w:rFonts w:ascii="楷体" w:hAnsi="楷体" w:eastAsia="楷体"/>
                <w:b/>
                <w:sz w:val="24"/>
              </w:rPr>
            </w:pPr>
            <w:r>
              <w:rPr>
                <w:rFonts w:hint="eastAsia" w:ascii="楷体" w:hAnsi="楷体" w:eastAsia="楷体"/>
                <w:b/>
                <w:sz w:val="24"/>
              </w:rPr>
              <w:t>审查要素</w:t>
            </w:r>
          </w:p>
        </w:tc>
        <w:tc>
          <w:tcPr>
            <w:tcW w:w="2294" w:type="pct"/>
          </w:tcPr>
          <w:p w14:paraId="2EA6AFD0">
            <w:pPr>
              <w:spacing w:line="360" w:lineRule="auto"/>
              <w:jc w:val="center"/>
              <w:rPr>
                <w:rFonts w:ascii="楷体" w:hAnsi="楷体" w:eastAsia="楷体"/>
                <w:b/>
                <w:sz w:val="24"/>
              </w:rPr>
            </w:pPr>
            <w:r>
              <w:rPr>
                <w:rFonts w:hint="eastAsia" w:ascii="楷体" w:hAnsi="楷体" w:eastAsia="楷体"/>
                <w:b/>
                <w:sz w:val="24"/>
              </w:rPr>
              <w:t>审查内容</w:t>
            </w:r>
          </w:p>
        </w:tc>
      </w:tr>
      <w:tr w14:paraId="20DB4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0CDB24A">
            <w:pPr>
              <w:spacing w:line="360" w:lineRule="auto"/>
              <w:jc w:val="center"/>
              <w:rPr>
                <w:rFonts w:ascii="楷体" w:hAnsi="楷体" w:eastAsia="楷体"/>
                <w:sz w:val="24"/>
              </w:rPr>
            </w:pPr>
            <w:r>
              <w:rPr>
                <w:rFonts w:hint="eastAsia" w:ascii="楷体" w:hAnsi="楷体" w:eastAsia="楷体"/>
                <w:sz w:val="24"/>
              </w:rPr>
              <w:t>1</w:t>
            </w:r>
          </w:p>
        </w:tc>
        <w:tc>
          <w:tcPr>
            <w:tcW w:w="2263" w:type="pct"/>
            <w:vAlign w:val="center"/>
          </w:tcPr>
          <w:p w14:paraId="1155A28F">
            <w:pPr>
              <w:spacing w:line="360" w:lineRule="auto"/>
              <w:rPr>
                <w:rFonts w:ascii="楷体" w:hAnsi="楷体" w:eastAsia="楷体"/>
                <w:sz w:val="24"/>
              </w:rPr>
            </w:pPr>
            <w:r>
              <w:rPr>
                <w:rFonts w:hint="eastAsia" w:ascii="楷体" w:hAnsi="楷体" w:eastAsia="楷体"/>
                <w:sz w:val="24"/>
              </w:rPr>
              <w:t>具有独立承担民事责任的能力</w:t>
            </w:r>
          </w:p>
        </w:tc>
        <w:tc>
          <w:tcPr>
            <w:tcW w:w="2294" w:type="pct"/>
          </w:tcPr>
          <w:p w14:paraId="4A2E30A7">
            <w:pPr>
              <w:spacing w:line="360" w:lineRule="auto"/>
              <w:rPr>
                <w:rFonts w:ascii="楷体" w:hAnsi="楷体" w:eastAsia="楷体"/>
                <w:sz w:val="24"/>
              </w:rPr>
            </w:pPr>
            <w:r>
              <w:rPr>
                <w:rFonts w:hint="eastAsia" w:ascii="楷体" w:hAnsi="楷体" w:eastAsia="楷体"/>
                <w:sz w:val="24"/>
                <w:szCs w:val="28"/>
              </w:rPr>
              <w:t>法人或者其他组织的营业执照等证明文件(原件扫描件)；供应商为自然人的，提供其身份证(原件扫描件) 。</w:t>
            </w:r>
          </w:p>
        </w:tc>
      </w:tr>
      <w:tr w14:paraId="2B82B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8856645">
            <w:pPr>
              <w:spacing w:line="360" w:lineRule="auto"/>
              <w:jc w:val="center"/>
              <w:rPr>
                <w:rFonts w:ascii="楷体" w:hAnsi="楷体" w:eastAsia="楷体"/>
                <w:sz w:val="24"/>
              </w:rPr>
            </w:pPr>
            <w:r>
              <w:rPr>
                <w:rFonts w:hint="eastAsia" w:ascii="楷体" w:hAnsi="楷体" w:eastAsia="楷体"/>
                <w:sz w:val="24"/>
              </w:rPr>
              <w:t>2</w:t>
            </w:r>
          </w:p>
        </w:tc>
        <w:tc>
          <w:tcPr>
            <w:tcW w:w="2263" w:type="pct"/>
            <w:vAlign w:val="center"/>
          </w:tcPr>
          <w:p w14:paraId="6EB423C1">
            <w:pPr>
              <w:spacing w:line="360" w:lineRule="auto"/>
              <w:rPr>
                <w:rFonts w:ascii="楷体" w:hAnsi="楷体" w:eastAsia="楷体"/>
                <w:sz w:val="24"/>
              </w:rPr>
            </w:pPr>
            <w:r>
              <w:rPr>
                <w:rFonts w:hint="eastAsia" w:ascii="楷体" w:hAnsi="楷体" w:eastAsia="楷体"/>
                <w:sz w:val="24"/>
              </w:rPr>
              <w:t>具有良好的商业信誉和健全的财务会计制度</w:t>
            </w:r>
          </w:p>
        </w:tc>
        <w:tc>
          <w:tcPr>
            <w:tcW w:w="2294" w:type="pct"/>
            <w:vAlign w:val="center"/>
          </w:tcPr>
          <w:p w14:paraId="455030A8">
            <w:pPr>
              <w:spacing w:line="360" w:lineRule="auto"/>
              <w:rPr>
                <w:rFonts w:ascii="楷体" w:hAnsi="楷体" w:eastAsia="楷体"/>
                <w:b/>
                <w:sz w:val="24"/>
              </w:rPr>
            </w:pPr>
            <w:r>
              <w:rPr>
                <w:rFonts w:hint="eastAsia" w:ascii="楷体" w:hAnsi="楷体" w:eastAsia="楷体"/>
                <w:sz w:val="24"/>
              </w:rPr>
              <w:t>上一年度财务报告(成立不满一年的提供至少一个月），或银行出具的资信证明，或财政部门认可的政府采购专业担保机构出具的投标担保函等原件扫描件或资格承诺函。</w:t>
            </w:r>
          </w:p>
        </w:tc>
      </w:tr>
      <w:tr w14:paraId="54A4D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1EE2CE7">
            <w:pPr>
              <w:spacing w:line="360" w:lineRule="auto"/>
              <w:jc w:val="center"/>
              <w:rPr>
                <w:rFonts w:ascii="楷体" w:hAnsi="楷体" w:eastAsia="楷体"/>
                <w:sz w:val="24"/>
              </w:rPr>
            </w:pPr>
            <w:r>
              <w:rPr>
                <w:rFonts w:hint="eastAsia" w:ascii="楷体" w:hAnsi="楷体" w:eastAsia="楷体"/>
                <w:sz w:val="24"/>
              </w:rPr>
              <w:t>3</w:t>
            </w:r>
          </w:p>
        </w:tc>
        <w:tc>
          <w:tcPr>
            <w:tcW w:w="2263" w:type="pct"/>
            <w:vAlign w:val="center"/>
          </w:tcPr>
          <w:p w14:paraId="3826A8D1">
            <w:pPr>
              <w:spacing w:line="360" w:lineRule="auto"/>
              <w:rPr>
                <w:rFonts w:ascii="楷体" w:hAnsi="楷体" w:eastAsia="楷体"/>
                <w:sz w:val="24"/>
              </w:rPr>
            </w:pPr>
            <w:r>
              <w:rPr>
                <w:rFonts w:hint="eastAsia" w:ascii="楷体" w:hAnsi="楷体" w:eastAsia="楷体"/>
                <w:sz w:val="24"/>
              </w:rPr>
              <w:t>具有履行合同所必需的设备和专业技术能力</w:t>
            </w:r>
          </w:p>
        </w:tc>
        <w:tc>
          <w:tcPr>
            <w:tcW w:w="2294" w:type="pct"/>
            <w:vAlign w:val="center"/>
          </w:tcPr>
          <w:p w14:paraId="55ED23F2">
            <w:pPr>
              <w:spacing w:line="360" w:lineRule="auto"/>
              <w:rPr>
                <w:rFonts w:ascii="楷体" w:hAnsi="楷体" w:eastAsia="楷体"/>
                <w:sz w:val="24"/>
              </w:rPr>
            </w:pPr>
            <w:r>
              <w:rPr>
                <w:rFonts w:hint="eastAsia" w:ascii="楷体" w:hAnsi="楷体" w:eastAsia="楷体"/>
                <w:sz w:val="24"/>
              </w:rPr>
              <w:t>投标人相关信息一览表或资格承诺函。</w:t>
            </w:r>
          </w:p>
        </w:tc>
      </w:tr>
      <w:tr w14:paraId="7923D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8D025BA">
            <w:pPr>
              <w:spacing w:line="360" w:lineRule="auto"/>
              <w:jc w:val="center"/>
              <w:rPr>
                <w:rFonts w:ascii="楷体" w:hAnsi="楷体" w:eastAsia="楷体"/>
                <w:sz w:val="24"/>
              </w:rPr>
            </w:pPr>
            <w:r>
              <w:rPr>
                <w:rFonts w:hint="eastAsia" w:ascii="楷体" w:hAnsi="楷体" w:eastAsia="楷体"/>
                <w:sz w:val="24"/>
              </w:rPr>
              <w:t>4</w:t>
            </w:r>
          </w:p>
        </w:tc>
        <w:tc>
          <w:tcPr>
            <w:tcW w:w="2263" w:type="pct"/>
            <w:vAlign w:val="center"/>
          </w:tcPr>
          <w:p w14:paraId="16698DE2">
            <w:pPr>
              <w:spacing w:line="360" w:lineRule="auto"/>
              <w:rPr>
                <w:rFonts w:ascii="楷体" w:hAnsi="楷体" w:eastAsia="楷体"/>
                <w:sz w:val="24"/>
              </w:rPr>
            </w:pPr>
            <w:r>
              <w:rPr>
                <w:rFonts w:hint="eastAsia" w:ascii="楷体" w:hAnsi="楷体" w:eastAsia="楷体"/>
                <w:sz w:val="24"/>
              </w:rPr>
              <w:t>有依法缴纳税收和社会保障资金的良好记录</w:t>
            </w:r>
          </w:p>
        </w:tc>
        <w:tc>
          <w:tcPr>
            <w:tcW w:w="2294" w:type="pct"/>
            <w:vAlign w:val="center"/>
          </w:tcPr>
          <w:p w14:paraId="725422DE">
            <w:pPr>
              <w:spacing w:line="360" w:lineRule="auto"/>
              <w:rPr>
                <w:rFonts w:ascii="楷体" w:hAnsi="楷体" w:eastAsia="楷体"/>
                <w:sz w:val="24"/>
              </w:rPr>
            </w:pPr>
            <w:r>
              <w:rPr>
                <w:rFonts w:hint="eastAsia" w:ascii="楷体" w:hAnsi="楷体" w:eastAsia="楷体"/>
                <w:sz w:val="24"/>
              </w:rPr>
              <w:t>参加本次政府采购活动</w:t>
            </w:r>
            <w:r>
              <w:rPr>
                <w:rFonts w:hint="eastAsia" w:ascii="楷体" w:hAnsi="楷体" w:eastAsia="楷体"/>
                <w:sz w:val="24"/>
                <w:lang w:eastAsia="zh-CN"/>
              </w:rPr>
              <w:t>近</w:t>
            </w:r>
            <w:r>
              <w:rPr>
                <w:rFonts w:hint="eastAsia" w:ascii="楷体" w:hAnsi="楷体" w:eastAsia="楷体"/>
                <w:sz w:val="24"/>
              </w:rPr>
              <w:t>半年内（至少一个月）依法缴纳税收和社会保险资金的相关材料原件扫描件或资格承诺函。</w:t>
            </w:r>
          </w:p>
        </w:tc>
      </w:tr>
      <w:tr w14:paraId="1CF9B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245381F">
            <w:pPr>
              <w:spacing w:line="360" w:lineRule="auto"/>
              <w:jc w:val="center"/>
              <w:rPr>
                <w:rFonts w:ascii="楷体" w:hAnsi="楷体" w:eastAsia="楷体"/>
                <w:sz w:val="24"/>
              </w:rPr>
            </w:pPr>
            <w:r>
              <w:rPr>
                <w:rFonts w:hint="eastAsia" w:ascii="楷体" w:hAnsi="楷体" w:eastAsia="楷体"/>
                <w:sz w:val="24"/>
              </w:rPr>
              <w:t>5</w:t>
            </w:r>
          </w:p>
        </w:tc>
        <w:tc>
          <w:tcPr>
            <w:tcW w:w="2263" w:type="pct"/>
            <w:vAlign w:val="center"/>
          </w:tcPr>
          <w:p w14:paraId="7978D22C">
            <w:pPr>
              <w:spacing w:line="360" w:lineRule="auto"/>
              <w:rPr>
                <w:rFonts w:ascii="楷体" w:hAnsi="楷体" w:eastAsia="楷体"/>
                <w:sz w:val="24"/>
              </w:rPr>
            </w:pPr>
            <w:r>
              <w:rPr>
                <w:rFonts w:hint="eastAsia" w:ascii="楷体" w:hAnsi="楷体" w:eastAsia="楷体"/>
                <w:sz w:val="24"/>
              </w:rPr>
              <w:t>参加政府采购活动前三年内，在经营活动中没有重大违法记录</w:t>
            </w:r>
          </w:p>
        </w:tc>
        <w:tc>
          <w:tcPr>
            <w:tcW w:w="2294" w:type="pct"/>
            <w:vAlign w:val="center"/>
          </w:tcPr>
          <w:p w14:paraId="012242BA">
            <w:pPr>
              <w:spacing w:line="360" w:lineRule="auto"/>
              <w:rPr>
                <w:rFonts w:ascii="楷体" w:hAnsi="楷体" w:eastAsia="楷体"/>
                <w:sz w:val="24"/>
                <w:szCs w:val="28"/>
              </w:rPr>
            </w:pPr>
            <w:r>
              <w:rPr>
                <w:rFonts w:hint="eastAsia" w:ascii="楷体" w:hAnsi="楷体" w:eastAsia="楷体"/>
                <w:sz w:val="24"/>
              </w:rPr>
              <w:t>（1）投标函或资格承诺函。</w:t>
            </w:r>
          </w:p>
          <w:p w14:paraId="1C8A83C0">
            <w:pPr>
              <w:spacing w:line="360" w:lineRule="auto"/>
              <w:rPr>
                <w:rFonts w:ascii="楷体" w:hAnsi="楷体" w:eastAsia="楷体"/>
                <w:sz w:val="24"/>
              </w:rPr>
            </w:pPr>
            <w:r>
              <w:rPr>
                <w:rFonts w:hint="eastAsia" w:ascii="楷体" w:hAnsi="楷体" w:eastAsia="楷体"/>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652F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D306B4F">
            <w:pPr>
              <w:spacing w:line="360" w:lineRule="auto"/>
              <w:jc w:val="center"/>
              <w:rPr>
                <w:rFonts w:ascii="楷体" w:hAnsi="楷体" w:eastAsia="楷体"/>
                <w:sz w:val="24"/>
              </w:rPr>
            </w:pPr>
            <w:r>
              <w:rPr>
                <w:rFonts w:hint="eastAsia" w:ascii="楷体" w:hAnsi="楷体" w:eastAsia="楷体"/>
                <w:sz w:val="24"/>
              </w:rPr>
              <w:t>6</w:t>
            </w:r>
          </w:p>
        </w:tc>
        <w:tc>
          <w:tcPr>
            <w:tcW w:w="2263" w:type="pct"/>
            <w:vAlign w:val="center"/>
          </w:tcPr>
          <w:p w14:paraId="0B9538C0">
            <w:pPr>
              <w:spacing w:line="360" w:lineRule="auto"/>
              <w:rPr>
                <w:rFonts w:ascii="楷体" w:hAnsi="楷体" w:eastAsia="楷体"/>
                <w:sz w:val="24"/>
              </w:rPr>
            </w:pPr>
            <w:r>
              <w:rPr>
                <w:rFonts w:hint="eastAsia" w:ascii="楷体" w:hAnsi="楷体" w:eastAsia="楷体"/>
                <w:sz w:val="24"/>
              </w:rPr>
              <w:t>法律、行政法规规定的其他条件</w:t>
            </w:r>
          </w:p>
        </w:tc>
        <w:tc>
          <w:tcPr>
            <w:tcW w:w="2294" w:type="pct"/>
            <w:vAlign w:val="center"/>
          </w:tcPr>
          <w:p w14:paraId="0984A7D6">
            <w:pPr>
              <w:spacing w:line="360" w:lineRule="auto"/>
              <w:rPr>
                <w:rFonts w:ascii="楷体" w:hAnsi="楷体" w:eastAsia="楷体"/>
                <w:sz w:val="24"/>
              </w:rPr>
            </w:pPr>
            <w:r>
              <w:rPr>
                <w:rFonts w:hint="eastAsia" w:ascii="楷体" w:hAnsi="楷体" w:eastAsia="楷体"/>
                <w:sz w:val="24"/>
                <w:szCs w:val="28"/>
              </w:rPr>
              <w:t>无</w:t>
            </w:r>
          </w:p>
        </w:tc>
      </w:tr>
      <w:tr w14:paraId="2E7E4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028C12C">
            <w:pPr>
              <w:spacing w:line="360" w:lineRule="auto"/>
              <w:jc w:val="center"/>
              <w:rPr>
                <w:rFonts w:ascii="楷体" w:hAnsi="楷体" w:eastAsia="楷体"/>
                <w:sz w:val="24"/>
              </w:rPr>
            </w:pPr>
            <w:r>
              <w:rPr>
                <w:rFonts w:hint="eastAsia" w:ascii="楷体" w:hAnsi="楷体" w:eastAsia="楷体"/>
                <w:sz w:val="24"/>
              </w:rPr>
              <w:t>7</w:t>
            </w:r>
          </w:p>
        </w:tc>
        <w:tc>
          <w:tcPr>
            <w:tcW w:w="2263" w:type="pct"/>
            <w:vAlign w:val="center"/>
          </w:tcPr>
          <w:p w14:paraId="161DF453">
            <w:pPr>
              <w:spacing w:line="360" w:lineRule="auto"/>
              <w:rPr>
                <w:rFonts w:ascii="楷体" w:hAnsi="楷体" w:eastAsia="楷体"/>
                <w:sz w:val="24"/>
              </w:rPr>
            </w:pPr>
            <w:r>
              <w:rPr>
                <w:rFonts w:hint="eastAsia" w:ascii="楷体" w:hAnsi="楷体" w:eastAsia="楷体"/>
                <w:sz w:val="24"/>
              </w:rPr>
              <w:t>落实政府采购政策需满足的资格要求</w:t>
            </w:r>
          </w:p>
        </w:tc>
        <w:tc>
          <w:tcPr>
            <w:tcW w:w="2294" w:type="pct"/>
            <w:vAlign w:val="center"/>
          </w:tcPr>
          <w:p w14:paraId="35406149">
            <w:pPr>
              <w:spacing w:line="360" w:lineRule="auto"/>
              <w:rPr>
                <w:rFonts w:ascii="楷体" w:hAnsi="楷体" w:eastAsia="楷体"/>
                <w:sz w:val="24"/>
                <w:szCs w:val="28"/>
              </w:rPr>
            </w:pPr>
            <w:r>
              <w:rPr>
                <w:rFonts w:hint="eastAsia" w:ascii="楷体" w:hAnsi="楷体" w:eastAsia="楷体"/>
                <w:sz w:val="24"/>
              </w:rPr>
              <w:t>本项目专门面向中小微企业，提供《中小企业声明函》或《残疾人福利性单位声明函》或监狱企业的证明文件</w:t>
            </w:r>
          </w:p>
        </w:tc>
      </w:tr>
      <w:tr w14:paraId="6D874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6051476">
            <w:pPr>
              <w:spacing w:line="360" w:lineRule="auto"/>
              <w:jc w:val="center"/>
              <w:rPr>
                <w:rFonts w:ascii="楷体" w:hAnsi="楷体" w:eastAsia="楷体"/>
                <w:sz w:val="24"/>
              </w:rPr>
            </w:pPr>
            <w:r>
              <w:rPr>
                <w:rFonts w:hint="eastAsia" w:ascii="楷体" w:hAnsi="楷体" w:eastAsia="楷体"/>
                <w:sz w:val="24"/>
              </w:rPr>
              <w:t>8</w:t>
            </w:r>
          </w:p>
        </w:tc>
        <w:tc>
          <w:tcPr>
            <w:tcW w:w="2263" w:type="pct"/>
            <w:vAlign w:val="center"/>
          </w:tcPr>
          <w:p w14:paraId="677A5D37">
            <w:pPr>
              <w:spacing w:line="360" w:lineRule="auto"/>
              <w:rPr>
                <w:rFonts w:ascii="楷体" w:hAnsi="楷体" w:eastAsia="楷体"/>
                <w:sz w:val="24"/>
              </w:rPr>
            </w:pPr>
            <w:r>
              <w:rPr>
                <w:rFonts w:hint="eastAsia" w:ascii="楷体" w:hAnsi="楷体" w:eastAsia="楷体"/>
                <w:sz w:val="24"/>
                <w:szCs w:val="28"/>
              </w:rPr>
              <w:t>本项目的特定资格要求</w:t>
            </w:r>
          </w:p>
        </w:tc>
        <w:tc>
          <w:tcPr>
            <w:tcW w:w="2294" w:type="pct"/>
            <w:vAlign w:val="center"/>
          </w:tcPr>
          <w:p w14:paraId="650BFCE7">
            <w:pPr>
              <w:spacing w:line="360" w:lineRule="auto"/>
              <w:rPr>
                <w:rFonts w:ascii="楷体" w:hAnsi="楷体" w:eastAsia="楷体"/>
                <w:sz w:val="24"/>
              </w:rPr>
            </w:pPr>
            <w:r>
              <w:rPr>
                <w:rFonts w:hint="eastAsia" w:ascii="楷体" w:hAnsi="楷体" w:eastAsia="楷体"/>
                <w:sz w:val="24"/>
              </w:rPr>
              <w:t>无</w:t>
            </w:r>
          </w:p>
        </w:tc>
      </w:tr>
    </w:tbl>
    <w:p w14:paraId="0A418C9A">
      <w:pPr>
        <w:widowControl/>
        <w:spacing w:before="200" w:after="200" w:line="360" w:lineRule="auto"/>
        <w:ind w:firstLine="446"/>
        <w:jc w:val="left"/>
        <w:rPr>
          <w:rFonts w:ascii="楷体" w:hAnsi="楷体" w:eastAsia="楷体"/>
          <w:b/>
          <w:sz w:val="30"/>
          <w:szCs w:val="30"/>
        </w:rPr>
      </w:pPr>
      <w:r>
        <w:rPr>
          <w:rFonts w:hint="eastAsia" w:ascii="楷体" w:hAnsi="楷体" w:eastAsia="楷体"/>
          <w:b/>
          <w:sz w:val="30"/>
          <w:szCs w:val="30"/>
        </w:rPr>
        <w:t>7.投标人符合性审查</w:t>
      </w:r>
    </w:p>
    <w:tbl>
      <w:tblPr>
        <w:tblStyle w:val="68"/>
        <w:tblpPr w:leftFromText="180" w:rightFromText="180" w:vertAnchor="text" w:horzAnchor="page" w:tblpX="1224" w:tblpY="92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6260"/>
      </w:tblGrid>
      <w:tr w14:paraId="7618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C6A13E">
            <w:pPr>
              <w:widowControl/>
              <w:jc w:val="center"/>
              <w:rPr>
                <w:rFonts w:ascii="楷体" w:hAnsi="楷体" w:eastAsia="楷体" w:cs="宋体"/>
                <w:sz w:val="24"/>
              </w:rPr>
            </w:pPr>
            <w:bookmarkStart w:id="250" w:name="OLE_LINK16" w:colFirst="0" w:colLast="2"/>
            <w:bookmarkStart w:id="251" w:name="_Hlk144485380"/>
            <w:bookmarkStart w:id="252" w:name="OLE_LINK17"/>
            <w:r>
              <w:rPr>
                <w:rFonts w:ascii="楷体" w:hAnsi="楷体" w:eastAsia="楷体" w:cs="宋体"/>
                <w:sz w:val="24"/>
              </w:rPr>
              <w:t>序号</w:t>
            </w:r>
          </w:p>
        </w:tc>
        <w:tc>
          <w:tcPr>
            <w:tcW w:w="255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0E2B6D">
            <w:pPr>
              <w:widowControl/>
              <w:jc w:val="center"/>
              <w:rPr>
                <w:rFonts w:ascii="楷体" w:hAnsi="楷体" w:eastAsia="楷体" w:cs="宋体"/>
                <w:sz w:val="24"/>
              </w:rPr>
            </w:pPr>
            <w:r>
              <w:rPr>
                <w:rFonts w:ascii="楷体" w:hAnsi="楷体" w:eastAsia="楷体" w:cs="宋体"/>
                <w:sz w:val="24"/>
              </w:rPr>
              <w:t>审查要素</w:t>
            </w:r>
          </w:p>
        </w:tc>
        <w:tc>
          <w:tcPr>
            <w:tcW w:w="626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85C2EC">
            <w:pPr>
              <w:widowControl/>
              <w:jc w:val="center"/>
              <w:rPr>
                <w:rFonts w:ascii="楷体" w:hAnsi="楷体" w:eastAsia="楷体" w:cs="宋体"/>
                <w:sz w:val="24"/>
              </w:rPr>
            </w:pPr>
            <w:r>
              <w:rPr>
                <w:rFonts w:ascii="楷体" w:hAnsi="楷体" w:eastAsia="楷体" w:cs="宋体"/>
                <w:sz w:val="24"/>
              </w:rPr>
              <w:t>审查内容</w:t>
            </w:r>
          </w:p>
        </w:tc>
      </w:tr>
      <w:tr w14:paraId="52CC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9"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50F9BE">
            <w:pPr>
              <w:widowControl/>
              <w:jc w:val="center"/>
              <w:rPr>
                <w:rFonts w:ascii="楷体" w:hAnsi="楷体" w:eastAsia="楷体" w:cs="宋体"/>
                <w:sz w:val="24"/>
              </w:rPr>
            </w:pPr>
            <w:r>
              <w:rPr>
                <w:rFonts w:hint="eastAsia" w:ascii="楷体" w:hAnsi="楷体" w:eastAsia="楷体" w:cs="宋体"/>
                <w:sz w:val="24"/>
              </w:rPr>
              <w:t>报价要求</w:t>
            </w:r>
          </w:p>
        </w:tc>
      </w:tr>
      <w:tr w14:paraId="3ABF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C39852">
            <w:pPr>
              <w:widowControl/>
              <w:jc w:val="center"/>
              <w:rPr>
                <w:rFonts w:ascii="楷体" w:hAnsi="楷体" w:eastAsia="楷体" w:cs="宋体"/>
                <w:sz w:val="24"/>
              </w:rPr>
            </w:pPr>
            <w:r>
              <w:rPr>
                <w:rFonts w:ascii="楷体" w:hAnsi="楷体" w:eastAsia="楷体" w:cs="宋体"/>
                <w:sz w:val="24"/>
              </w:rPr>
              <w:t>1</w:t>
            </w:r>
          </w:p>
        </w:tc>
        <w:tc>
          <w:tcPr>
            <w:tcW w:w="255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F9F72A">
            <w:pPr>
              <w:widowControl/>
              <w:jc w:val="center"/>
              <w:rPr>
                <w:rFonts w:ascii="楷体" w:hAnsi="楷体" w:eastAsia="楷体" w:cs="宋体"/>
                <w:sz w:val="24"/>
              </w:rPr>
            </w:pPr>
            <w:r>
              <w:rPr>
                <w:rFonts w:ascii="楷体" w:hAnsi="楷体" w:eastAsia="楷体" w:cs="宋体"/>
                <w:sz w:val="24"/>
              </w:rPr>
              <w:t>投标文件有效性</w:t>
            </w:r>
          </w:p>
        </w:tc>
        <w:tc>
          <w:tcPr>
            <w:tcW w:w="626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0C7BB7">
            <w:pPr>
              <w:widowControl/>
              <w:jc w:val="center"/>
              <w:rPr>
                <w:rFonts w:ascii="楷体" w:hAnsi="楷体" w:eastAsia="楷体" w:cs="宋体"/>
                <w:sz w:val="24"/>
              </w:rPr>
            </w:pPr>
            <w:r>
              <w:rPr>
                <w:rFonts w:ascii="楷体" w:hAnsi="楷体" w:eastAsia="楷体" w:cs="宋体"/>
                <w:sz w:val="24"/>
              </w:rPr>
              <w:t>电子投标文件的有效电子签章。投标报价。未发现属无效投标的其他情形。</w:t>
            </w:r>
          </w:p>
        </w:tc>
      </w:tr>
      <w:bookmarkEnd w:id="250"/>
      <w:tr w14:paraId="6891C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9"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72C09B">
            <w:pPr>
              <w:widowControl/>
              <w:jc w:val="center"/>
              <w:rPr>
                <w:rFonts w:ascii="楷体" w:hAnsi="楷体" w:eastAsia="楷体" w:cs="宋体"/>
                <w:sz w:val="24"/>
              </w:rPr>
            </w:pPr>
            <w:r>
              <w:rPr>
                <w:rFonts w:hint="eastAsia" w:ascii="楷体" w:hAnsi="楷体" w:eastAsia="楷体" w:cs="宋体"/>
                <w:sz w:val="24"/>
              </w:rPr>
              <w:t>商务要求</w:t>
            </w:r>
          </w:p>
        </w:tc>
      </w:tr>
      <w:tr w14:paraId="48ED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832E42">
            <w:pPr>
              <w:widowControl/>
              <w:jc w:val="center"/>
              <w:rPr>
                <w:rFonts w:ascii="楷体" w:hAnsi="楷体" w:eastAsia="楷体" w:cs="宋体"/>
                <w:sz w:val="24"/>
              </w:rPr>
            </w:pPr>
            <w:r>
              <w:rPr>
                <w:rFonts w:hint="eastAsia" w:ascii="楷体" w:hAnsi="楷体" w:eastAsia="楷体" w:cs="宋体"/>
                <w:sz w:val="24"/>
              </w:rPr>
              <w:t>1</w:t>
            </w:r>
          </w:p>
        </w:tc>
        <w:tc>
          <w:tcPr>
            <w:tcW w:w="255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91AD02">
            <w:pPr>
              <w:widowControl/>
              <w:jc w:val="center"/>
              <w:rPr>
                <w:rFonts w:ascii="楷体" w:hAnsi="楷体" w:eastAsia="楷体" w:cs="宋体"/>
                <w:sz w:val="24"/>
              </w:rPr>
            </w:pPr>
            <w:r>
              <w:rPr>
                <w:rFonts w:hint="eastAsia" w:ascii="楷体" w:hAnsi="楷体" w:eastAsia="楷体" w:cs="宋体"/>
                <w:sz w:val="24"/>
              </w:rPr>
              <w:t>响应程度审查</w:t>
            </w:r>
          </w:p>
        </w:tc>
        <w:tc>
          <w:tcPr>
            <w:tcW w:w="626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55A047">
            <w:pPr>
              <w:widowControl/>
              <w:jc w:val="center"/>
              <w:rPr>
                <w:rFonts w:ascii="楷体" w:hAnsi="楷体" w:eastAsia="楷体" w:cs="宋体"/>
                <w:sz w:val="24"/>
              </w:rPr>
            </w:pPr>
            <w:r>
              <w:rPr>
                <w:rFonts w:hint="eastAsia" w:ascii="楷体" w:hAnsi="楷体" w:eastAsia="楷体" w:cs="宋体"/>
                <w:sz w:val="24"/>
              </w:rPr>
              <w:t>满足招标文件商务部分的实质性要求和条件。</w:t>
            </w:r>
          </w:p>
        </w:tc>
      </w:tr>
      <w:tr w14:paraId="24798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8E2E8E">
            <w:pPr>
              <w:widowControl/>
              <w:jc w:val="center"/>
              <w:rPr>
                <w:rFonts w:ascii="楷体" w:hAnsi="楷体" w:eastAsia="楷体" w:cs="宋体"/>
                <w:sz w:val="24"/>
              </w:rPr>
            </w:pPr>
            <w:r>
              <w:rPr>
                <w:rFonts w:hint="eastAsia" w:ascii="楷体" w:hAnsi="楷体" w:eastAsia="楷体" w:cs="宋体"/>
                <w:sz w:val="24"/>
              </w:rPr>
              <w:t>2</w:t>
            </w:r>
          </w:p>
        </w:tc>
        <w:tc>
          <w:tcPr>
            <w:tcW w:w="255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46F911">
            <w:pPr>
              <w:widowControl/>
              <w:jc w:val="center"/>
              <w:rPr>
                <w:rFonts w:ascii="楷体" w:hAnsi="楷体" w:eastAsia="楷体" w:cs="宋体"/>
                <w:sz w:val="24"/>
              </w:rPr>
            </w:pPr>
            <w:r>
              <w:rPr>
                <w:rFonts w:hint="eastAsia" w:ascii="楷体" w:hAnsi="楷体" w:eastAsia="楷体" w:cs="宋体"/>
                <w:sz w:val="24"/>
                <w:shd w:val="clear" w:color="auto" w:fill="FAFAFA"/>
              </w:rPr>
              <w:t>有</w:t>
            </w:r>
            <w:r>
              <w:rPr>
                <w:rFonts w:hint="eastAsia" w:ascii="楷体" w:hAnsi="楷体" w:eastAsia="楷体" w:cs="宋体"/>
                <w:sz w:val="24"/>
              </w:rPr>
              <w:t>效性审查</w:t>
            </w:r>
          </w:p>
        </w:tc>
        <w:tc>
          <w:tcPr>
            <w:tcW w:w="626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B5265F">
            <w:pPr>
              <w:widowControl/>
              <w:jc w:val="center"/>
              <w:rPr>
                <w:rFonts w:ascii="楷体" w:hAnsi="楷体" w:eastAsia="楷体" w:cs="宋体"/>
                <w:sz w:val="24"/>
              </w:rPr>
            </w:pPr>
            <w:r>
              <w:rPr>
                <w:rFonts w:hint="eastAsia" w:ascii="楷体" w:hAnsi="楷体" w:eastAsia="楷体" w:cs="宋体"/>
                <w:sz w:val="24"/>
              </w:rPr>
              <w:t>如有委托代理人，须提交投标单位为其缴纳的社保证明材料。</w:t>
            </w:r>
          </w:p>
        </w:tc>
      </w:tr>
      <w:tr w14:paraId="3011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9"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B89012">
            <w:pPr>
              <w:widowControl/>
              <w:jc w:val="center"/>
              <w:rPr>
                <w:rFonts w:ascii="楷体" w:hAnsi="楷体" w:eastAsia="楷体" w:cs="宋体"/>
                <w:sz w:val="24"/>
              </w:rPr>
            </w:pPr>
            <w:r>
              <w:rPr>
                <w:rFonts w:hint="eastAsia" w:ascii="楷体" w:hAnsi="楷体" w:eastAsia="楷体" w:cs="宋体"/>
                <w:sz w:val="24"/>
              </w:rPr>
              <w:t>技术要求</w:t>
            </w:r>
          </w:p>
        </w:tc>
      </w:tr>
      <w:tr w14:paraId="2720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29CF6B">
            <w:pPr>
              <w:widowControl/>
              <w:jc w:val="center"/>
              <w:rPr>
                <w:rFonts w:ascii="楷体" w:hAnsi="楷体" w:eastAsia="楷体" w:cs="宋体"/>
                <w:sz w:val="24"/>
              </w:rPr>
            </w:pPr>
            <w:r>
              <w:rPr>
                <w:rFonts w:hint="eastAsia" w:ascii="楷体" w:hAnsi="楷体" w:eastAsia="楷体" w:cs="宋体"/>
                <w:sz w:val="24"/>
              </w:rPr>
              <w:t>1</w:t>
            </w:r>
          </w:p>
        </w:tc>
        <w:tc>
          <w:tcPr>
            <w:tcW w:w="255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CCED74">
            <w:pPr>
              <w:widowControl/>
              <w:jc w:val="center"/>
              <w:rPr>
                <w:rFonts w:ascii="楷体" w:hAnsi="楷体" w:eastAsia="楷体" w:cs="宋体"/>
                <w:sz w:val="24"/>
              </w:rPr>
            </w:pPr>
            <w:r>
              <w:rPr>
                <w:rFonts w:hint="eastAsia" w:ascii="楷体" w:hAnsi="楷体" w:eastAsia="楷体" w:cs="宋体"/>
                <w:sz w:val="24"/>
              </w:rPr>
              <w:t>响应程度审查</w:t>
            </w:r>
          </w:p>
        </w:tc>
        <w:tc>
          <w:tcPr>
            <w:tcW w:w="626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E13D55">
            <w:pPr>
              <w:widowControl/>
              <w:jc w:val="center"/>
              <w:rPr>
                <w:rFonts w:ascii="楷体" w:hAnsi="楷体" w:eastAsia="楷体" w:cs="宋体"/>
                <w:sz w:val="24"/>
              </w:rPr>
            </w:pPr>
            <w:r>
              <w:rPr>
                <w:rFonts w:hint="eastAsia" w:ascii="楷体" w:hAnsi="楷体" w:eastAsia="楷体" w:cs="宋体"/>
                <w:sz w:val="24"/>
              </w:rPr>
              <w:t>审查投标文件与招标文件要求的主要条款、条件和技术规格是否相符，是否存在重大偏离或保留。</w:t>
            </w:r>
            <w:bookmarkEnd w:id="251"/>
          </w:p>
        </w:tc>
      </w:tr>
      <w:bookmarkEnd w:id="252"/>
    </w:tbl>
    <w:p w14:paraId="40B15A9C">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p>
    <w:p w14:paraId="2D277225">
      <w:pPr>
        <w:rPr>
          <w:rFonts w:ascii="Calibri" w:hAnsi="Calibri"/>
          <w:color w:val="000080"/>
          <w:sz w:val="20"/>
          <w:szCs w:val="22"/>
          <w:highlight w:val="white"/>
        </w:rPr>
      </w:pPr>
    </w:p>
    <w:p w14:paraId="1DEFF116">
      <w:pPr>
        <w:spacing w:line="360" w:lineRule="auto"/>
        <w:ind w:firstLine="480"/>
        <w:rPr>
          <w:rFonts w:ascii="楷体" w:hAnsi="楷体" w:eastAsia="楷体"/>
          <w:sz w:val="24"/>
          <w:szCs w:val="22"/>
        </w:rPr>
      </w:pPr>
      <w:r>
        <w:rPr>
          <w:rFonts w:hint="eastAsia" w:ascii="楷体" w:hAnsi="楷体" w:eastAsia="楷体"/>
          <w:sz w:val="24"/>
          <w:szCs w:val="22"/>
          <w:highlight w:val="whit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130A2641">
      <w:pPr>
        <w:widowControl/>
        <w:spacing w:before="200" w:after="200" w:line="360" w:lineRule="auto"/>
        <w:ind w:firstLine="446"/>
        <w:jc w:val="left"/>
        <w:rPr>
          <w:rFonts w:ascii="楷体" w:hAnsi="楷体" w:eastAsia="楷体"/>
          <w:b/>
          <w:sz w:val="30"/>
          <w:szCs w:val="30"/>
        </w:rPr>
      </w:pPr>
      <w:r>
        <w:rPr>
          <w:rFonts w:hint="eastAsia" w:ascii="楷体" w:hAnsi="楷体" w:eastAsia="楷体"/>
          <w:b/>
          <w:sz w:val="30"/>
          <w:szCs w:val="30"/>
        </w:rPr>
        <w:t>8.商务和技术评估</w:t>
      </w:r>
    </w:p>
    <w:p w14:paraId="168F4002">
      <w:pPr>
        <w:widowControl/>
        <w:spacing w:line="360" w:lineRule="auto"/>
        <w:ind w:firstLine="420"/>
        <w:jc w:val="left"/>
        <w:rPr>
          <w:rFonts w:hint="eastAsia" w:ascii="楷体" w:hAnsi="楷体" w:eastAsia="楷体"/>
          <w:b/>
          <w:sz w:val="24"/>
        </w:rPr>
      </w:pPr>
      <w:bookmarkStart w:id="253" w:name="_Hlk176853925"/>
      <w:r>
        <w:rPr>
          <w:rFonts w:ascii="Wingdings 2" w:hAnsi="Wingdings 2" w:eastAsia="Wingdings 2" w:cs="Wingdings 2"/>
          <w:color w:val="00B050"/>
          <w:sz w:val="24"/>
        </w:rPr>
        <w:t></w:t>
      </w:r>
      <w:r>
        <w:rPr>
          <w:rFonts w:hint="eastAsia" w:ascii="楷体" w:hAnsi="楷体" w:eastAsia="楷体"/>
          <w:sz w:val="24"/>
        </w:rPr>
        <w:t xml:space="preserve">8.1 </w:t>
      </w:r>
      <w:r>
        <w:rPr>
          <w:rFonts w:hint="eastAsia" w:ascii="楷体" w:hAnsi="楷体" w:eastAsia="楷体"/>
          <w:b/>
          <w:sz w:val="24"/>
        </w:rPr>
        <w:t>本项目采用综合评分法。</w:t>
      </w:r>
    </w:p>
    <w:p w14:paraId="1FB9C96C">
      <w:pPr>
        <w:widowControl/>
        <w:spacing w:line="360" w:lineRule="auto"/>
        <w:ind w:firstLine="420"/>
        <w:jc w:val="left"/>
        <w:rPr>
          <w:rFonts w:hint="eastAsia" w:ascii="楷体" w:hAnsi="楷体" w:eastAsia="楷体" w:cs="楷体"/>
          <w:b/>
          <w:sz w:val="24"/>
          <w:szCs w:val="24"/>
          <w:lang w:val="en-US" w:eastAsia="zh-CN"/>
        </w:rPr>
      </w:pPr>
      <w:r>
        <w:rPr>
          <w:rFonts w:hint="eastAsia" w:ascii="楷体" w:hAnsi="楷体" w:eastAsia="楷体"/>
          <w:b/>
          <w:sz w:val="24"/>
          <w:lang w:val="en-US" w:eastAsia="zh-CN"/>
        </w:rPr>
        <w:t>采购包1</w:t>
      </w:r>
    </w:p>
    <w:bookmarkEnd w:id="245"/>
    <w:bookmarkEnd w:id="246"/>
    <w:bookmarkEnd w:id="247"/>
    <w:bookmarkEnd w:id="248"/>
    <w:bookmarkEnd w:id="249"/>
    <w:bookmarkEnd w:id="253"/>
    <w:tbl>
      <w:tblPr>
        <w:tblStyle w:val="68"/>
        <w:tblW w:w="5004" w:type="pct"/>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4"/>
        <w:gridCol w:w="1977"/>
        <w:gridCol w:w="2299"/>
        <w:gridCol w:w="2877"/>
      </w:tblGrid>
      <w:tr w14:paraId="05AC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3BFFC5">
            <w:pPr>
              <w:pStyle w:val="1543"/>
              <w:jc w:val="center"/>
              <w:rPr>
                <w:rFonts w:hint="eastAsia" w:ascii="楷体" w:hAnsi="楷体" w:eastAsia="楷体" w:cs="楷体"/>
                <w:sz w:val="24"/>
                <w:szCs w:val="24"/>
              </w:rPr>
            </w:pPr>
            <w:r>
              <w:rPr>
                <w:rFonts w:hint="eastAsia" w:ascii="楷体" w:hAnsi="楷体" w:eastAsia="楷体" w:cs="楷体"/>
                <w:sz w:val="24"/>
                <w:szCs w:val="24"/>
              </w:rPr>
              <w:t>评分项目</w:t>
            </w:r>
          </w:p>
        </w:tc>
        <w:tc>
          <w:tcPr>
            <w:tcW w:w="10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4C4AE2">
            <w:pPr>
              <w:pStyle w:val="1543"/>
              <w:jc w:val="center"/>
              <w:rPr>
                <w:rFonts w:hint="eastAsia" w:ascii="楷体" w:hAnsi="楷体" w:eastAsia="楷体" w:cs="楷体"/>
                <w:sz w:val="24"/>
                <w:szCs w:val="24"/>
              </w:rPr>
            </w:pPr>
            <w:r>
              <w:rPr>
                <w:rFonts w:hint="eastAsia" w:ascii="楷体" w:hAnsi="楷体" w:eastAsia="楷体" w:cs="楷体"/>
                <w:sz w:val="24"/>
                <w:szCs w:val="24"/>
              </w:rPr>
              <w:t>技术评估</w:t>
            </w:r>
          </w:p>
        </w:tc>
        <w:tc>
          <w:tcPr>
            <w:tcW w:w="119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41125F">
            <w:pPr>
              <w:pStyle w:val="1543"/>
              <w:jc w:val="center"/>
              <w:rPr>
                <w:rFonts w:hint="eastAsia" w:ascii="楷体" w:hAnsi="楷体" w:eastAsia="楷体" w:cs="楷体"/>
                <w:sz w:val="24"/>
                <w:szCs w:val="24"/>
              </w:rPr>
            </w:pPr>
            <w:r>
              <w:rPr>
                <w:rFonts w:hint="eastAsia" w:ascii="楷体" w:hAnsi="楷体" w:eastAsia="楷体" w:cs="楷体"/>
                <w:sz w:val="24"/>
                <w:szCs w:val="24"/>
              </w:rPr>
              <w:t>商务评估</w:t>
            </w:r>
          </w:p>
        </w:tc>
        <w:tc>
          <w:tcPr>
            <w:tcW w:w="149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1F25E1">
            <w:pPr>
              <w:pStyle w:val="1543"/>
              <w:jc w:val="center"/>
              <w:rPr>
                <w:rFonts w:hint="eastAsia" w:ascii="楷体" w:hAnsi="楷体" w:eastAsia="楷体" w:cs="楷体"/>
                <w:sz w:val="24"/>
                <w:szCs w:val="24"/>
              </w:rPr>
            </w:pPr>
            <w:r>
              <w:rPr>
                <w:rFonts w:hint="eastAsia" w:ascii="楷体" w:hAnsi="楷体" w:eastAsia="楷体" w:cs="楷体"/>
                <w:sz w:val="24"/>
                <w:szCs w:val="24"/>
              </w:rPr>
              <w:t>价格评估</w:t>
            </w:r>
          </w:p>
        </w:tc>
      </w:tr>
      <w:tr w14:paraId="04AC1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44D3F4">
            <w:pPr>
              <w:pStyle w:val="1543"/>
              <w:jc w:val="center"/>
              <w:rPr>
                <w:rFonts w:hint="eastAsia" w:ascii="楷体" w:hAnsi="楷体" w:eastAsia="楷体" w:cs="楷体"/>
                <w:sz w:val="24"/>
                <w:szCs w:val="24"/>
              </w:rPr>
            </w:pPr>
            <w:r>
              <w:rPr>
                <w:rFonts w:hint="eastAsia" w:ascii="楷体" w:hAnsi="楷体" w:eastAsia="楷体" w:cs="楷体"/>
                <w:sz w:val="24"/>
                <w:szCs w:val="24"/>
              </w:rPr>
              <w:t>分值</w:t>
            </w:r>
          </w:p>
        </w:tc>
        <w:tc>
          <w:tcPr>
            <w:tcW w:w="10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1773E1">
            <w:pPr>
              <w:pStyle w:val="1543"/>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54.00</w:t>
            </w:r>
          </w:p>
        </w:tc>
        <w:tc>
          <w:tcPr>
            <w:tcW w:w="119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F2C980">
            <w:pPr>
              <w:pStyle w:val="1543"/>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16.00</w:t>
            </w:r>
          </w:p>
        </w:tc>
        <w:tc>
          <w:tcPr>
            <w:tcW w:w="149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BD37B7">
            <w:pPr>
              <w:pStyle w:val="1543"/>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30.00</w:t>
            </w:r>
          </w:p>
        </w:tc>
      </w:tr>
    </w:tbl>
    <w:p w14:paraId="149178CB">
      <w:pPr>
        <w:widowControl/>
        <w:spacing w:line="360" w:lineRule="auto"/>
        <w:ind w:firstLine="480"/>
        <w:jc w:val="left"/>
        <w:rPr>
          <w:rFonts w:hint="eastAsia" w:ascii="楷体" w:hAnsi="楷体" w:eastAsia="楷体" w:cs="楷体"/>
          <w:sz w:val="24"/>
          <w:szCs w:val="24"/>
        </w:rPr>
      </w:pPr>
    </w:p>
    <w:p w14:paraId="7A2A11EE">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（一）技术评估</w:t>
      </w:r>
    </w:p>
    <w:tbl>
      <w:tblPr>
        <w:tblStyle w:val="69"/>
        <w:tblpPr w:leftFromText="180" w:rightFromText="180" w:vertAnchor="text" w:horzAnchor="page" w:tblpX="1247" w:tblpY="455"/>
        <w:tblOverlap w:val="never"/>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329"/>
        <w:gridCol w:w="6718"/>
        <w:gridCol w:w="778"/>
      </w:tblGrid>
      <w:tr w14:paraId="1D42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03" w:type="dxa"/>
            <w:noWrap w:val="0"/>
            <w:vAlign w:val="center"/>
          </w:tcPr>
          <w:p w14:paraId="65EBE4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1</w:t>
            </w:r>
          </w:p>
        </w:tc>
        <w:tc>
          <w:tcPr>
            <w:tcW w:w="1329" w:type="dxa"/>
            <w:noWrap w:val="0"/>
            <w:vAlign w:val="center"/>
          </w:tcPr>
          <w:p w14:paraId="24B232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kern w:val="2"/>
                <w:sz w:val="24"/>
                <w:szCs w:val="24"/>
                <w:highlight w:val="none"/>
                <w:vertAlign w:val="baseline"/>
                <w:lang w:val="en-US" w:eastAsia="zh-CN" w:bidi="ar-SA"/>
              </w:rPr>
            </w:pPr>
            <w:r>
              <w:rPr>
                <w:rFonts w:hint="eastAsia" w:ascii="楷体" w:hAnsi="楷体" w:eastAsia="楷体" w:cs="楷体"/>
                <w:b w:val="0"/>
                <w:bCs w:val="0"/>
                <w:sz w:val="24"/>
                <w:szCs w:val="24"/>
                <w:highlight w:val="none"/>
                <w:vertAlign w:val="baseline"/>
                <w:lang w:val="en-US" w:eastAsia="zh-CN"/>
              </w:rPr>
              <w:t>技术参数响应</w:t>
            </w:r>
          </w:p>
        </w:tc>
        <w:tc>
          <w:tcPr>
            <w:tcW w:w="6718" w:type="dxa"/>
            <w:noWrap w:val="0"/>
            <w:vAlign w:val="top"/>
          </w:tcPr>
          <w:p w14:paraId="678AE906">
            <w:pPr>
              <w:snapToGrid w:val="0"/>
              <w:spacing w:line="360" w:lineRule="auto"/>
              <w:rPr>
                <w:rFonts w:hint="eastAsia" w:ascii="楷体" w:hAnsi="楷体" w:eastAsia="楷体" w:cs="楷体"/>
                <w:sz w:val="24"/>
                <w:szCs w:val="24"/>
              </w:rPr>
            </w:pPr>
            <w:r>
              <w:rPr>
                <w:rFonts w:hint="eastAsia" w:ascii="楷体" w:hAnsi="楷体" w:eastAsia="楷体" w:cs="楷体"/>
                <w:sz w:val="24"/>
                <w:szCs w:val="24"/>
              </w:rPr>
              <w:t>1.根据各投标人所投产品的技术性能、对招标文件各项基本要求的逐项响应情况，由评委进行综合打分，投标人所投产品完全满足或优于招标文件中货物的技术参数及要求的，得基本分40分。</w:t>
            </w:r>
          </w:p>
          <w:p w14:paraId="7290615E">
            <w:pPr>
              <w:snapToGrid w:val="0"/>
              <w:spacing w:line="360" w:lineRule="auto"/>
              <w:rPr>
                <w:rFonts w:hint="eastAsia" w:ascii="楷体" w:hAnsi="楷体" w:eastAsia="楷体" w:cs="楷体"/>
                <w:sz w:val="24"/>
                <w:szCs w:val="24"/>
              </w:rPr>
            </w:pPr>
            <w:r>
              <w:rPr>
                <w:rFonts w:hint="eastAsia" w:ascii="楷体" w:hAnsi="楷体" w:eastAsia="楷体" w:cs="楷体"/>
                <w:sz w:val="24"/>
                <w:szCs w:val="24"/>
              </w:rPr>
              <w:t>2.标“▲”的功能及技术参数为重要性能指标（共计16项，每项2分，共计32分），如有负偏离，有一项扣2分，扣完为止。</w:t>
            </w:r>
          </w:p>
          <w:p w14:paraId="0917F280">
            <w:pPr>
              <w:pStyle w:val="2"/>
              <w:spacing w:line="360" w:lineRule="auto"/>
              <w:rPr>
                <w:rFonts w:hint="eastAsia" w:ascii="楷体" w:hAnsi="楷体" w:eastAsia="楷体" w:cs="楷体"/>
                <w:sz w:val="24"/>
                <w:szCs w:val="24"/>
              </w:rPr>
            </w:pPr>
            <w:r>
              <w:rPr>
                <w:rFonts w:hint="eastAsia" w:ascii="楷体" w:hAnsi="楷体" w:eastAsia="楷体" w:cs="楷体"/>
                <w:sz w:val="24"/>
                <w:szCs w:val="24"/>
              </w:rPr>
              <w:t>3.标“＃”的功能及技术参数为一般指标（共计8项，每项1分，共计8分），如有负偏离，有一项扣</w:t>
            </w:r>
            <w:r>
              <w:rPr>
                <w:rFonts w:hint="eastAsia" w:ascii="楷体" w:hAnsi="楷体" w:eastAsia="楷体" w:cs="楷体"/>
                <w:sz w:val="24"/>
                <w:szCs w:val="24"/>
                <w:lang w:val="en-US" w:eastAsia="zh-CN"/>
              </w:rPr>
              <w:t>1</w:t>
            </w:r>
            <w:r>
              <w:rPr>
                <w:rFonts w:hint="eastAsia" w:ascii="楷体" w:hAnsi="楷体" w:eastAsia="楷体" w:cs="楷体"/>
                <w:sz w:val="24"/>
                <w:szCs w:val="24"/>
              </w:rPr>
              <w:t>分，扣完为止。</w:t>
            </w:r>
          </w:p>
          <w:p w14:paraId="2F8D2917">
            <w:pPr>
              <w:widowControl/>
              <w:spacing w:line="360" w:lineRule="auto"/>
              <w:jc w:val="left"/>
              <w:rPr>
                <w:rFonts w:hint="eastAsia" w:ascii="楷体" w:hAnsi="楷体" w:eastAsia="楷体" w:cs="楷体"/>
                <w:snapToGrid w:val="0"/>
                <w:kern w:val="2"/>
                <w:sz w:val="24"/>
                <w:szCs w:val="24"/>
                <w:highlight w:val="none"/>
                <w:lang w:val="en-US" w:eastAsia="zh-CN" w:bidi="ar-SA"/>
              </w:rPr>
            </w:pPr>
            <w:r>
              <w:rPr>
                <w:rFonts w:hint="eastAsia" w:ascii="楷体" w:hAnsi="楷体" w:eastAsia="楷体" w:cs="楷体"/>
                <w:sz w:val="24"/>
                <w:szCs w:val="24"/>
              </w:rPr>
              <w:t>注：招标文件</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第四部分 采购需求</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sz w:val="24"/>
                <w:szCs w:val="24"/>
                <w:lang w:val="en-US" w:eastAsia="zh-CN"/>
              </w:rPr>
              <w:t>四、技术及服务要求</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中</w:t>
            </w:r>
            <w:r>
              <w:rPr>
                <w:rFonts w:hint="eastAsia" w:ascii="楷体" w:hAnsi="楷体" w:eastAsia="楷体" w:cs="楷体"/>
                <w:sz w:val="24"/>
                <w:szCs w:val="24"/>
              </w:rPr>
              <w:t>标“▲</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及“＃”的内容</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投标人须在投标文件中</w:t>
            </w:r>
            <w:r>
              <w:rPr>
                <w:rFonts w:hint="eastAsia" w:ascii="楷体" w:hAnsi="楷体" w:eastAsia="楷体" w:cs="楷体"/>
                <w:sz w:val="24"/>
                <w:szCs w:val="24"/>
              </w:rPr>
              <w:t>提供技术支持资料（如厂家技术白皮书、产品样本、手册、检测报告等复印件加盖厂家公章）</w:t>
            </w:r>
            <w:r>
              <w:rPr>
                <w:rFonts w:hint="eastAsia" w:ascii="楷体" w:hAnsi="楷体" w:eastAsia="楷体" w:cs="楷体"/>
                <w:sz w:val="24"/>
                <w:szCs w:val="24"/>
                <w:lang w:eastAsia="zh-CN"/>
              </w:rPr>
              <w:t>，</w:t>
            </w:r>
            <w:r>
              <w:rPr>
                <w:rFonts w:hint="eastAsia" w:ascii="楷体" w:hAnsi="楷体" w:eastAsia="楷体" w:cs="楷体"/>
                <w:sz w:val="24"/>
                <w:szCs w:val="24"/>
              </w:rPr>
              <w:t>未提供有效证明材料或证明材料中内容与所填报指标不一致的，该指标按不满足处理。【注：</w:t>
            </w:r>
            <w:r>
              <w:rPr>
                <w:rFonts w:hint="eastAsia" w:ascii="楷体" w:hAnsi="楷体" w:eastAsia="楷体" w:cs="楷体"/>
                <w:sz w:val="24"/>
                <w:szCs w:val="24"/>
                <w:lang w:val="en-US" w:eastAsia="zh-CN"/>
              </w:rPr>
              <w:t>签订合同前，</w:t>
            </w:r>
            <w:r>
              <w:rPr>
                <w:rFonts w:hint="eastAsia" w:ascii="楷体" w:hAnsi="楷体" w:eastAsia="楷体" w:cs="楷体"/>
                <w:sz w:val="24"/>
                <w:szCs w:val="24"/>
                <w:lang w:eastAsia="zh-CN"/>
              </w:rPr>
              <w:t>采购人有权要求中标供应商</w:t>
            </w:r>
            <w:r>
              <w:rPr>
                <w:rFonts w:hint="eastAsia" w:ascii="楷体" w:hAnsi="楷体" w:eastAsia="楷体" w:cs="楷体"/>
                <w:sz w:val="24"/>
                <w:szCs w:val="24"/>
                <w:lang w:val="en-US" w:eastAsia="zh-CN"/>
              </w:rPr>
              <w:t>提供佐证材料原件核查，中标供应商不能按时提供的视为虚假响应，将取消中标资格</w:t>
            </w:r>
            <w:r>
              <w:rPr>
                <w:rFonts w:hint="eastAsia" w:ascii="楷体" w:hAnsi="楷体" w:eastAsia="楷体" w:cs="楷体"/>
                <w:sz w:val="24"/>
                <w:szCs w:val="24"/>
              </w:rPr>
              <w:t>】</w:t>
            </w:r>
            <w:r>
              <w:rPr>
                <w:rFonts w:hint="eastAsia" w:ascii="楷体" w:hAnsi="楷体" w:eastAsia="楷体" w:cs="楷体"/>
                <w:snapToGrid w:val="0"/>
                <w:sz w:val="24"/>
                <w:szCs w:val="24"/>
              </w:rPr>
              <w:t>。</w:t>
            </w:r>
          </w:p>
        </w:tc>
        <w:tc>
          <w:tcPr>
            <w:tcW w:w="778" w:type="dxa"/>
            <w:noWrap w:val="0"/>
            <w:vAlign w:val="center"/>
          </w:tcPr>
          <w:p w14:paraId="404C0B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kern w:val="2"/>
                <w:sz w:val="24"/>
                <w:szCs w:val="24"/>
                <w:highlight w:val="none"/>
                <w:vertAlign w:val="baseline"/>
                <w:lang w:val="en-US" w:eastAsia="zh-CN" w:bidi="ar-SA"/>
              </w:rPr>
            </w:pPr>
            <w:r>
              <w:rPr>
                <w:rFonts w:hint="eastAsia" w:ascii="楷体" w:hAnsi="楷体" w:eastAsia="楷体" w:cs="楷体"/>
                <w:b w:val="0"/>
                <w:bCs w:val="0"/>
                <w:sz w:val="24"/>
                <w:szCs w:val="24"/>
                <w:highlight w:val="none"/>
                <w:vertAlign w:val="baseline"/>
                <w:lang w:val="en-US" w:eastAsia="zh-CN"/>
              </w:rPr>
              <w:t>40</w:t>
            </w:r>
          </w:p>
        </w:tc>
      </w:tr>
      <w:tr w14:paraId="2BD6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rPr>
        <w:tc>
          <w:tcPr>
            <w:tcW w:w="803" w:type="dxa"/>
            <w:noWrap w:val="0"/>
            <w:vAlign w:val="center"/>
          </w:tcPr>
          <w:p w14:paraId="7488BB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2</w:t>
            </w:r>
          </w:p>
        </w:tc>
        <w:tc>
          <w:tcPr>
            <w:tcW w:w="1329" w:type="dxa"/>
            <w:noWrap w:val="0"/>
            <w:vAlign w:val="center"/>
          </w:tcPr>
          <w:p w14:paraId="6AEF3D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项目实施方案</w:t>
            </w:r>
          </w:p>
        </w:tc>
        <w:tc>
          <w:tcPr>
            <w:tcW w:w="6718" w:type="dxa"/>
            <w:noWrap w:val="0"/>
            <w:vAlign w:val="top"/>
          </w:tcPr>
          <w:p w14:paraId="516A8CCF">
            <w:pPr>
              <w:widowControl/>
              <w:spacing w:line="360" w:lineRule="auto"/>
              <w:jc w:val="left"/>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投标人根据本项目实际情况制定整体服务方案，包括但不限于①供货计划②项目实施进度计划及进度保障措施③设备安装、调试、验收方案④应急响应时间及解决问题的方案⑤紧急故障处理预案及服务承诺落实的保障措施，每有一项内容且合理、可行的，得0.5分，最高得2.5分，不提供方案或不符合项目需求的，不得分。</w:t>
            </w:r>
          </w:p>
          <w:p w14:paraId="2E700D15">
            <w:pPr>
              <w:widowControl/>
              <w:spacing w:line="360" w:lineRule="auto"/>
              <w:jc w:val="left"/>
              <w:rPr>
                <w:rFonts w:hint="eastAsia" w:ascii="楷体" w:hAnsi="楷体" w:eastAsia="楷体" w:cs="楷体"/>
                <w:color w:val="auto"/>
                <w:sz w:val="24"/>
                <w:szCs w:val="24"/>
                <w:highlight w:val="none"/>
                <w:lang w:val="en-US"/>
              </w:rPr>
            </w:pPr>
            <w:r>
              <w:rPr>
                <w:rFonts w:hint="eastAsia" w:ascii="楷体" w:hAnsi="楷体" w:eastAsia="楷体" w:cs="楷体"/>
                <w:b w:val="0"/>
                <w:bCs w:val="0"/>
                <w:sz w:val="24"/>
                <w:szCs w:val="24"/>
                <w:highlight w:val="none"/>
                <w:vertAlign w:val="baseline"/>
                <w:lang w:val="en-US" w:eastAsia="zh-CN"/>
              </w:rPr>
              <w:t>投标人针对上述每一项方案在项目实施过程中所能预见的重点、难点进行分析，具有切实可行、操作性强的解决措施的，每一项方案加0.5分，最高得2.5分。</w:t>
            </w:r>
          </w:p>
        </w:tc>
        <w:tc>
          <w:tcPr>
            <w:tcW w:w="778" w:type="dxa"/>
            <w:noWrap w:val="0"/>
            <w:vAlign w:val="center"/>
          </w:tcPr>
          <w:p w14:paraId="680870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5</w:t>
            </w:r>
          </w:p>
        </w:tc>
      </w:tr>
      <w:tr w14:paraId="3525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03" w:type="dxa"/>
            <w:noWrap w:val="0"/>
            <w:vAlign w:val="center"/>
          </w:tcPr>
          <w:p w14:paraId="0CEC21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3</w:t>
            </w:r>
          </w:p>
        </w:tc>
        <w:tc>
          <w:tcPr>
            <w:tcW w:w="1329" w:type="dxa"/>
            <w:noWrap w:val="0"/>
            <w:vAlign w:val="center"/>
          </w:tcPr>
          <w:p w14:paraId="674C37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技术培训方案</w:t>
            </w:r>
          </w:p>
        </w:tc>
        <w:tc>
          <w:tcPr>
            <w:tcW w:w="6718" w:type="dxa"/>
            <w:noWrap w:val="0"/>
            <w:vAlign w:val="top"/>
          </w:tcPr>
          <w:p w14:paraId="2340C4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投标人根据本项目实际情况制定技术培训方案，包括但不限于针对本次项目提供每台设备的①培训时长②培训人数③培训课程安排④培训授课人员专业程度和经验⑤培训内容（至少包括方法验证、质量控制、实际样品检测等内容），每有一项内容且合理、可行的，得0.5分，最高得2.5分，不提供方案或不符合项目需求的，不得分。</w:t>
            </w:r>
          </w:p>
          <w:p w14:paraId="038C2434">
            <w:pPr>
              <w:widowControl/>
              <w:spacing w:line="360" w:lineRule="auto"/>
              <w:jc w:val="left"/>
              <w:rPr>
                <w:rFonts w:hint="eastAsia" w:ascii="楷体" w:hAnsi="楷体" w:eastAsia="楷体" w:cs="楷体"/>
                <w:color w:val="auto"/>
                <w:sz w:val="24"/>
                <w:szCs w:val="24"/>
                <w:highlight w:val="none"/>
              </w:rPr>
            </w:pPr>
            <w:r>
              <w:rPr>
                <w:rFonts w:hint="eastAsia" w:ascii="楷体" w:hAnsi="楷体" w:eastAsia="楷体" w:cs="楷体"/>
                <w:b w:val="0"/>
                <w:bCs w:val="0"/>
                <w:sz w:val="24"/>
                <w:szCs w:val="24"/>
                <w:highlight w:val="none"/>
                <w:vertAlign w:val="baseline"/>
                <w:lang w:val="en-US" w:eastAsia="zh-CN"/>
              </w:rPr>
              <w:t>投标人针对上述每一项方案在项目实施过程中所能预见的重点、难点进行分析，具有切实可行、操作性强的解决措施的，每一项方案加0.5分，最高得2.5分。</w:t>
            </w:r>
          </w:p>
        </w:tc>
        <w:tc>
          <w:tcPr>
            <w:tcW w:w="778" w:type="dxa"/>
            <w:noWrap w:val="0"/>
            <w:vAlign w:val="center"/>
          </w:tcPr>
          <w:p w14:paraId="6CE2B4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5</w:t>
            </w:r>
          </w:p>
        </w:tc>
      </w:tr>
      <w:tr w14:paraId="4B99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03" w:type="dxa"/>
            <w:noWrap w:val="0"/>
            <w:vAlign w:val="center"/>
          </w:tcPr>
          <w:p w14:paraId="7DE549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4</w:t>
            </w:r>
          </w:p>
        </w:tc>
        <w:tc>
          <w:tcPr>
            <w:tcW w:w="1329" w:type="dxa"/>
            <w:noWrap w:val="0"/>
            <w:vAlign w:val="center"/>
          </w:tcPr>
          <w:p w14:paraId="3FEE31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售后服务方案</w:t>
            </w:r>
          </w:p>
        </w:tc>
        <w:tc>
          <w:tcPr>
            <w:tcW w:w="6718" w:type="dxa"/>
            <w:noWrap w:val="0"/>
            <w:vAlign w:val="top"/>
          </w:tcPr>
          <w:p w14:paraId="0E8A9F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投标人根据本项目实际情况编制①售后服务方案②售后服务承诺③售后服务保障措施④售后专业团队及设备使用情况回访计划等售后服务方案，每有一项内容且合理、可行的，得0.5分，最高得2分，不提供方案或不符合项目需求的，不得分。</w:t>
            </w:r>
          </w:p>
          <w:p w14:paraId="126BC005">
            <w:pPr>
              <w:widowControl/>
              <w:spacing w:line="360" w:lineRule="auto"/>
              <w:jc w:val="left"/>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投标人针对上述每一项方案在项目实施过程中所能预见的重点、难点进行分析，具有切实可行、操作性强的解决措施的，每一项方案加0.5分，最高得2分。</w:t>
            </w:r>
          </w:p>
        </w:tc>
        <w:tc>
          <w:tcPr>
            <w:tcW w:w="778" w:type="dxa"/>
            <w:noWrap w:val="0"/>
            <w:vAlign w:val="center"/>
          </w:tcPr>
          <w:p w14:paraId="3986AF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4</w:t>
            </w:r>
          </w:p>
        </w:tc>
      </w:tr>
    </w:tbl>
    <w:p w14:paraId="03903BB8">
      <w:pPr>
        <w:widowControl/>
        <w:spacing w:line="360" w:lineRule="auto"/>
        <w:rPr>
          <w:rFonts w:hint="eastAsia" w:ascii="楷体" w:hAnsi="楷体" w:eastAsia="楷体" w:cs="楷体"/>
          <w:b/>
          <w:sz w:val="24"/>
          <w:szCs w:val="24"/>
          <w:highlight w:val="red"/>
        </w:rPr>
      </w:pPr>
    </w:p>
    <w:p w14:paraId="29108457">
      <w:pPr>
        <w:widowControl/>
        <w:spacing w:line="360" w:lineRule="auto"/>
        <w:rPr>
          <w:rFonts w:hint="eastAsia" w:ascii="楷体" w:hAnsi="楷体" w:eastAsia="楷体" w:cs="楷体"/>
          <w:b/>
          <w:sz w:val="24"/>
          <w:szCs w:val="24"/>
          <w:highlight w:val="white"/>
        </w:rPr>
      </w:pPr>
    </w:p>
    <w:p w14:paraId="036D8B8B">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（二）商务评估</w:t>
      </w:r>
    </w:p>
    <w:tbl>
      <w:tblPr>
        <w:tblStyle w:val="69"/>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307"/>
        <w:gridCol w:w="6722"/>
        <w:gridCol w:w="783"/>
      </w:tblGrid>
      <w:tr w14:paraId="17B0A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814" w:type="dxa"/>
            <w:noWrap w:val="0"/>
            <w:vAlign w:val="center"/>
          </w:tcPr>
          <w:p w14:paraId="57053F2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kern w:val="2"/>
                <w:sz w:val="24"/>
                <w:szCs w:val="24"/>
                <w:highlight w:val="none"/>
                <w:vertAlign w:val="baseline"/>
                <w:lang w:val="en-US" w:eastAsia="zh-CN" w:bidi="ar-SA"/>
              </w:rPr>
            </w:pPr>
            <w:r>
              <w:rPr>
                <w:rFonts w:hint="eastAsia" w:ascii="楷体" w:hAnsi="楷体" w:eastAsia="楷体" w:cs="楷体"/>
                <w:b w:val="0"/>
                <w:bCs w:val="0"/>
                <w:color w:val="auto"/>
                <w:sz w:val="24"/>
                <w:szCs w:val="24"/>
                <w:highlight w:val="none"/>
                <w:vertAlign w:val="baseline"/>
                <w:lang w:val="en-US" w:eastAsia="zh-CN"/>
              </w:rPr>
              <w:t>1</w:t>
            </w:r>
          </w:p>
        </w:tc>
        <w:tc>
          <w:tcPr>
            <w:tcW w:w="1307" w:type="dxa"/>
            <w:noWrap w:val="0"/>
            <w:vAlign w:val="center"/>
          </w:tcPr>
          <w:p w14:paraId="147B46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类似业绩</w:t>
            </w:r>
          </w:p>
        </w:tc>
        <w:tc>
          <w:tcPr>
            <w:tcW w:w="6722" w:type="dxa"/>
            <w:noWrap w:val="0"/>
            <w:vAlign w:val="center"/>
          </w:tcPr>
          <w:p w14:paraId="67C57C0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自2021年1月1日（以合同签订之日为准）以来投标人承接过类似项目业绩的，每提供1份得3分，最高得9分。</w:t>
            </w:r>
          </w:p>
          <w:p w14:paraId="427B829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注：</w:t>
            </w:r>
            <w:r>
              <w:rPr>
                <w:rFonts w:hint="eastAsia" w:ascii="楷体" w:hAnsi="楷体" w:eastAsia="楷体" w:cs="楷体"/>
                <w:sz w:val="24"/>
                <w:szCs w:val="24"/>
              </w:rPr>
              <w:t>须</w:t>
            </w:r>
            <w:r>
              <w:rPr>
                <w:rFonts w:hint="eastAsia" w:ascii="楷体" w:hAnsi="楷体" w:eastAsia="楷体" w:cs="楷体"/>
                <w:sz w:val="24"/>
                <w:szCs w:val="24"/>
                <w:highlight w:val="none"/>
              </w:rPr>
              <w:t>提供中标通知书、合同</w:t>
            </w:r>
            <w:r>
              <w:rPr>
                <w:rFonts w:hint="eastAsia" w:ascii="楷体" w:hAnsi="楷体" w:eastAsia="楷体" w:cs="楷体"/>
                <w:sz w:val="24"/>
                <w:szCs w:val="24"/>
                <w:highlight w:val="none"/>
                <w:lang w:val="en-US" w:eastAsia="zh-CN"/>
              </w:rPr>
              <w:t>原件</w:t>
            </w:r>
            <w:r>
              <w:rPr>
                <w:rFonts w:hint="eastAsia" w:ascii="楷体" w:hAnsi="楷体" w:eastAsia="楷体" w:cs="楷体"/>
                <w:sz w:val="24"/>
                <w:szCs w:val="24"/>
                <w:highlight w:val="none"/>
              </w:rPr>
              <w:t>扫描件</w:t>
            </w:r>
            <w:r>
              <w:rPr>
                <w:rFonts w:hint="eastAsia" w:ascii="楷体" w:hAnsi="楷体" w:eastAsia="楷体" w:cs="楷体"/>
                <w:sz w:val="24"/>
                <w:szCs w:val="24"/>
                <w:highlight w:val="none"/>
                <w:lang w:eastAsia="zh-CN"/>
              </w:rPr>
              <w:t>，</w:t>
            </w:r>
            <w:r>
              <w:rPr>
                <w:rFonts w:hint="eastAsia" w:ascii="楷体" w:hAnsi="楷体" w:eastAsia="楷体" w:cs="楷体"/>
                <w:color w:val="auto"/>
                <w:sz w:val="24"/>
                <w:szCs w:val="24"/>
                <w:highlight w:val="none"/>
                <w:lang w:val="en-US" w:eastAsia="zh-CN"/>
              </w:rPr>
              <w:t>未按要求提供不得分。</w:t>
            </w:r>
          </w:p>
        </w:tc>
        <w:tc>
          <w:tcPr>
            <w:tcW w:w="783" w:type="dxa"/>
            <w:noWrap w:val="0"/>
            <w:vAlign w:val="center"/>
          </w:tcPr>
          <w:p w14:paraId="3B4C36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kern w:val="2"/>
                <w:sz w:val="24"/>
                <w:szCs w:val="24"/>
                <w:highlight w:val="none"/>
                <w:vertAlign w:val="baseline"/>
                <w:lang w:val="en-US" w:eastAsia="zh-CN" w:bidi="ar-SA"/>
              </w:rPr>
            </w:pPr>
            <w:r>
              <w:rPr>
                <w:rFonts w:hint="eastAsia" w:ascii="楷体" w:hAnsi="楷体" w:eastAsia="楷体" w:cs="楷体"/>
                <w:b w:val="0"/>
                <w:bCs w:val="0"/>
                <w:color w:val="auto"/>
                <w:sz w:val="24"/>
                <w:szCs w:val="24"/>
                <w:highlight w:val="none"/>
                <w:vertAlign w:val="baseline"/>
                <w:lang w:val="en-US" w:eastAsia="zh-CN"/>
              </w:rPr>
              <w:t>9</w:t>
            </w:r>
          </w:p>
        </w:tc>
      </w:tr>
      <w:tr w14:paraId="3EB8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14" w:type="dxa"/>
            <w:noWrap w:val="0"/>
            <w:vAlign w:val="center"/>
          </w:tcPr>
          <w:p w14:paraId="369BCE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2</w:t>
            </w:r>
          </w:p>
        </w:tc>
        <w:tc>
          <w:tcPr>
            <w:tcW w:w="1307" w:type="dxa"/>
            <w:noWrap w:val="0"/>
            <w:vAlign w:val="center"/>
          </w:tcPr>
          <w:p w14:paraId="439F57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体系认证</w:t>
            </w:r>
          </w:p>
        </w:tc>
        <w:tc>
          <w:tcPr>
            <w:tcW w:w="6722" w:type="dxa"/>
            <w:noWrap w:val="0"/>
            <w:vAlign w:val="center"/>
          </w:tcPr>
          <w:p w14:paraId="200F9BF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投标人或</w:t>
            </w:r>
            <w:r>
              <w:rPr>
                <w:rFonts w:hint="eastAsia" w:ascii="楷体" w:hAnsi="楷体" w:eastAsia="楷体" w:cs="楷体"/>
                <w:sz w:val="24"/>
                <w:szCs w:val="24"/>
                <w:highlight w:val="none"/>
                <w:lang w:bidi="ar"/>
              </w:rPr>
              <w:t>所投产品制造厂商</w:t>
            </w:r>
            <w:r>
              <w:rPr>
                <w:rFonts w:hint="eastAsia" w:ascii="楷体" w:hAnsi="楷体" w:eastAsia="楷体" w:cs="楷体"/>
                <w:color w:val="auto"/>
                <w:sz w:val="24"/>
                <w:szCs w:val="24"/>
                <w:highlight w:val="none"/>
                <w:lang w:val="en-US" w:eastAsia="zh-CN"/>
              </w:rPr>
              <w:t>具有有效的</w:t>
            </w:r>
            <w:bookmarkStart w:id="254" w:name="OLE_LINK4"/>
            <w:r>
              <w:rPr>
                <w:rFonts w:hint="eastAsia" w:ascii="楷体" w:hAnsi="楷体" w:eastAsia="楷体" w:cs="楷体"/>
                <w:color w:val="auto"/>
                <w:sz w:val="24"/>
                <w:szCs w:val="24"/>
                <w:highlight w:val="none"/>
                <w:lang w:val="en-US" w:eastAsia="zh-CN"/>
              </w:rPr>
              <w:t>质量管理体系</w:t>
            </w:r>
            <w:bookmarkEnd w:id="254"/>
            <w:r>
              <w:rPr>
                <w:rFonts w:hint="eastAsia" w:ascii="楷体" w:hAnsi="楷体" w:eastAsia="楷体" w:cs="楷体"/>
                <w:color w:val="auto"/>
                <w:sz w:val="24"/>
                <w:szCs w:val="24"/>
                <w:highlight w:val="none"/>
                <w:lang w:val="en-US" w:eastAsia="zh-CN"/>
              </w:rPr>
              <w:t>认证证书、环境管理体系认证证书、职业健康安全管理体系认证证书，每提供一项得2分，本项最高得6分。</w:t>
            </w:r>
          </w:p>
          <w:p w14:paraId="32FC8B0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注：1、以上相关认证证书需在“全国认证认可信息公共服务平台”中查询状态为“有效”并提供含网址查询结果截图；</w:t>
            </w:r>
          </w:p>
          <w:p w14:paraId="35E8CBAB">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60" w:leftChars="0" w:firstLine="480" w:firstLineChars="0"/>
              <w:jc w:val="both"/>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提供有效的证书原件扫描件；</w:t>
            </w:r>
          </w:p>
          <w:p w14:paraId="32F46B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3、未按要求提供不得分。</w:t>
            </w:r>
          </w:p>
        </w:tc>
        <w:tc>
          <w:tcPr>
            <w:tcW w:w="783" w:type="dxa"/>
            <w:noWrap w:val="0"/>
            <w:vAlign w:val="center"/>
          </w:tcPr>
          <w:p w14:paraId="7471B1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6</w:t>
            </w:r>
          </w:p>
        </w:tc>
      </w:tr>
      <w:tr w14:paraId="2B4B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14" w:type="dxa"/>
            <w:vMerge w:val="restart"/>
            <w:noWrap w:val="0"/>
            <w:vAlign w:val="center"/>
          </w:tcPr>
          <w:p w14:paraId="7B0653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3</w:t>
            </w:r>
          </w:p>
        </w:tc>
        <w:tc>
          <w:tcPr>
            <w:tcW w:w="1307" w:type="dxa"/>
            <w:vMerge w:val="restart"/>
            <w:noWrap w:val="0"/>
            <w:vAlign w:val="center"/>
          </w:tcPr>
          <w:p w14:paraId="0C66BF10">
            <w:pPr>
              <w:pStyle w:val="1544"/>
              <w:spacing w:line="360" w:lineRule="auto"/>
              <w:jc w:val="center"/>
              <w:rPr>
                <w:rStyle w:val="72"/>
                <w:rFonts w:hint="eastAsia" w:ascii="楷体" w:hAnsi="楷体" w:eastAsia="楷体" w:cs="楷体"/>
                <w:b w:val="0"/>
                <w:color w:val="auto"/>
                <w:sz w:val="24"/>
                <w:szCs w:val="24"/>
                <w:highlight w:val="none"/>
                <w:lang w:val="en-US" w:eastAsia="zh-CN"/>
              </w:rPr>
            </w:pPr>
            <w:r>
              <w:rPr>
                <w:rStyle w:val="72"/>
                <w:rFonts w:hint="eastAsia" w:ascii="楷体" w:hAnsi="楷体" w:eastAsia="楷体" w:cs="楷体"/>
                <w:b w:val="0"/>
                <w:color w:val="auto"/>
                <w:sz w:val="24"/>
                <w:szCs w:val="24"/>
                <w:highlight w:val="none"/>
                <w:lang w:val="en-US" w:eastAsia="zh-CN"/>
              </w:rPr>
              <w:t>节能、环保产品认证</w:t>
            </w:r>
          </w:p>
        </w:tc>
        <w:tc>
          <w:tcPr>
            <w:tcW w:w="6722" w:type="dxa"/>
            <w:noWrap w:val="0"/>
            <w:vAlign w:val="center"/>
          </w:tcPr>
          <w:p w14:paraId="0F99A594">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供应商所投产品属于财政部、国家发改委公布的“节能产品品目清单”范围内的，投标人提供国家确定的认证机构出具的、处于有效期之内的该节能产品认证证书复印件的，得0.5分。</w:t>
            </w:r>
          </w:p>
        </w:tc>
        <w:tc>
          <w:tcPr>
            <w:tcW w:w="783" w:type="dxa"/>
            <w:noWrap w:val="0"/>
            <w:vAlign w:val="center"/>
          </w:tcPr>
          <w:p w14:paraId="233DBF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0.5</w:t>
            </w:r>
          </w:p>
        </w:tc>
      </w:tr>
      <w:tr w14:paraId="4C13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14" w:type="dxa"/>
            <w:vMerge w:val="continue"/>
            <w:noWrap w:val="0"/>
            <w:vAlign w:val="center"/>
          </w:tcPr>
          <w:p w14:paraId="44DD55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p>
        </w:tc>
        <w:tc>
          <w:tcPr>
            <w:tcW w:w="1307" w:type="dxa"/>
            <w:vMerge w:val="continue"/>
            <w:noWrap w:val="0"/>
            <w:vAlign w:val="center"/>
          </w:tcPr>
          <w:p w14:paraId="1708469F">
            <w:pPr>
              <w:pStyle w:val="1544"/>
              <w:spacing w:line="360" w:lineRule="auto"/>
              <w:jc w:val="center"/>
              <w:rPr>
                <w:rStyle w:val="72"/>
                <w:rFonts w:hint="eastAsia" w:ascii="楷体" w:hAnsi="楷体" w:eastAsia="楷体" w:cs="楷体"/>
                <w:b w:val="0"/>
                <w:color w:val="auto"/>
                <w:sz w:val="24"/>
                <w:szCs w:val="24"/>
                <w:highlight w:val="none"/>
                <w:lang w:val="en-US" w:eastAsia="zh-CN"/>
              </w:rPr>
            </w:pPr>
          </w:p>
        </w:tc>
        <w:tc>
          <w:tcPr>
            <w:tcW w:w="6722" w:type="dxa"/>
            <w:noWrap w:val="0"/>
            <w:vAlign w:val="center"/>
          </w:tcPr>
          <w:p w14:paraId="47B97A52">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供应商所投产品属于财政部、生态环境部公布的“环境标志产品品目清单”范围内的，投标人提供国家确定的认证机构出具的、处于有效期内的该环保产品认证证书复印件的，得0.5分。</w:t>
            </w:r>
          </w:p>
        </w:tc>
        <w:tc>
          <w:tcPr>
            <w:tcW w:w="783" w:type="dxa"/>
            <w:noWrap w:val="0"/>
            <w:vAlign w:val="center"/>
          </w:tcPr>
          <w:p w14:paraId="1792E8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0.5</w:t>
            </w:r>
          </w:p>
        </w:tc>
      </w:tr>
    </w:tbl>
    <w:p w14:paraId="53A59B5E">
      <w:pPr>
        <w:widowControl/>
        <w:spacing w:line="360" w:lineRule="auto"/>
        <w:rPr>
          <w:rFonts w:hint="eastAsia" w:ascii="楷体" w:hAnsi="楷体" w:eastAsia="楷体" w:cs="楷体"/>
          <w:b/>
          <w:sz w:val="24"/>
          <w:szCs w:val="24"/>
          <w:highlight w:val="white"/>
        </w:rPr>
      </w:pPr>
    </w:p>
    <w:p w14:paraId="7467DAAB">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（三）价格评估</w:t>
      </w:r>
    </w:p>
    <w:p w14:paraId="0F7BB07F">
      <w:pPr>
        <w:widowControl/>
        <w:spacing w:line="360" w:lineRule="auto"/>
        <w:rPr>
          <w:rFonts w:hint="eastAsia" w:ascii="楷体" w:hAnsi="楷体" w:eastAsia="楷体" w:cs="楷体"/>
          <w:b/>
          <w:sz w:val="24"/>
          <w:szCs w:val="24"/>
          <w:highlight w:val="red"/>
        </w:rPr>
      </w:pPr>
    </w:p>
    <w:tbl>
      <w:tblPr>
        <w:tblStyle w:val="68"/>
        <w:tblW w:w="5006" w:type="pct"/>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298"/>
        <w:gridCol w:w="6767"/>
        <w:gridCol w:w="783"/>
      </w:tblGrid>
      <w:tr w14:paraId="2791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EFB40C">
            <w:pPr>
              <w:pStyle w:val="1545"/>
              <w:jc w:val="center"/>
              <w:rPr>
                <w:rFonts w:hint="eastAsia" w:ascii="楷体" w:hAnsi="楷体" w:eastAsia="楷体" w:cs="楷体"/>
                <w:sz w:val="24"/>
                <w:szCs w:val="24"/>
              </w:rPr>
            </w:pPr>
            <w:r>
              <w:rPr>
                <w:rFonts w:hint="eastAsia" w:ascii="楷体" w:hAnsi="楷体" w:eastAsia="楷体" w:cs="楷体"/>
                <w:sz w:val="24"/>
                <w:szCs w:val="24"/>
              </w:rPr>
              <w:t>序号</w:t>
            </w:r>
          </w:p>
        </w:tc>
        <w:tc>
          <w:tcPr>
            <w:tcW w:w="6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1DB2D2">
            <w:pPr>
              <w:pStyle w:val="1545"/>
              <w:jc w:val="center"/>
              <w:rPr>
                <w:rFonts w:hint="eastAsia" w:ascii="楷体" w:hAnsi="楷体" w:eastAsia="楷体" w:cs="楷体"/>
                <w:sz w:val="24"/>
                <w:szCs w:val="24"/>
              </w:rPr>
            </w:pPr>
            <w:r>
              <w:rPr>
                <w:rFonts w:hint="eastAsia" w:ascii="楷体" w:hAnsi="楷体" w:eastAsia="楷体" w:cs="楷体"/>
                <w:sz w:val="24"/>
                <w:szCs w:val="24"/>
              </w:rPr>
              <w:t>评审因素</w:t>
            </w:r>
          </w:p>
        </w:tc>
        <w:tc>
          <w:tcPr>
            <w:tcW w:w="35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D4194F">
            <w:pPr>
              <w:pStyle w:val="1545"/>
              <w:jc w:val="center"/>
              <w:rPr>
                <w:rFonts w:hint="eastAsia" w:ascii="楷体" w:hAnsi="楷体" w:eastAsia="楷体" w:cs="楷体"/>
                <w:sz w:val="24"/>
                <w:szCs w:val="24"/>
              </w:rPr>
            </w:pPr>
            <w:r>
              <w:rPr>
                <w:rFonts w:hint="eastAsia" w:ascii="楷体" w:hAnsi="楷体" w:eastAsia="楷体" w:cs="楷体"/>
                <w:sz w:val="24"/>
                <w:szCs w:val="24"/>
              </w:rPr>
              <w:t>评审细则</w:t>
            </w:r>
          </w:p>
        </w:tc>
        <w:tc>
          <w:tcPr>
            <w:tcW w:w="40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9C8A10">
            <w:pPr>
              <w:pStyle w:val="1545"/>
              <w:jc w:val="center"/>
              <w:rPr>
                <w:rFonts w:hint="eastAsia" w:ascii="楷体" w:hAnsi="楷体" w:eastAsia="楷体" w:cs="楷体"/>
                <w:sz w:val="24"/>
                <w:szCs w:val="24"/>
              </w:rPr>
            </w:pPr>
            <w:r>
              <w:rPr>
                <w:rFonts w:hint="eastAsia" w:ascii="楷体" w:hAnsi="楷体" w:eastAsia="楷体" w:cs="楷体"/>
                <w:sz w:val="24"/>
                <w:szCs w:val="24"/>
              </w:rPr>
              <w:t>分值</w:t>
            </w:r>
          </w:p>
        </w:tc>
      </w:tr>
      <w:tr w14:paraId="0161F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3"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1F7CF5">
            <w:pPr>
              <w:pStyle w:val="1545"/>
              <w:jc w:val="center"/>
              <w:rPr>
                <w:rFonts w:hint="eastAsia" w:ascii="楷体" w:hAnsi="楷体" w:eastAsia="楷体" w:cs="楷体"/>
                <w:sz w:val="24"/>
                <w:szCs w:val="24"/>
              </w:rPr>
            </w:pPr>
            <w:r>
              <w:rPr>
                <w:rFonts w:hint="eastAsia" w:ascii="楷体" w:hAnsi="楷体" w:eastAsia="楷体" w:cs="楷体"/>
                <w:sz w:val="24"/>
                <w:szCs w:val="24"/>
              </w:rPr>
              <w:t>投标报价得分</w:t>
            </w:r>
          </w:p>
        </w:tc>
        <w:tc>
          <w:tcPr>
            <w:tcW w:w="40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120D2C">
            <w:pPr>
              <w:pStyle w:val="1545"/>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30</w:t>
            </w:r>
          </w:p>
        </w:tc>
      </w:tr>
      <w:tr w14:paraId="3FB8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7FA537">
            <w:pPr>
              <w:pStyle w:val="1545"/>
              <w:jc w:val="center"/>
              <w:rPr>
                <w:rFonts w:hint="eastAsia" w:ascii="楷体" w:hAnsi="楷体" w:eastAsia="楷体" w:cs="楷体"/>
                <w:sz w:val="24"/>
                <w:szCs w:val="24"/>
              </w:rPr>
            </w:pPr>
            <w:r>
              <w:rPr>
                <w:rFonts w:hint="eastAsia" w:ascii="楷体" w:hAnsi="楷体" w:eastAsia="楷体" w:cs="楷体"/>
                <w:sz w:val="24"/>
                <w:szCs w:val="24"/>
              </w:rPr>
              <w:t>1.1</w:t>
            </w:r>
          </w:p>
        </w:tc>
        <w:tc>
          <w:tcPr>
            <w:tcW w:w="6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044E34">
            <w:pPr>
              <w:pStyle w:val="1545"/>
              <w:jc w:val="center"/>
              <w:rPr>
                <w:rFonts w:hint="eastAsia" w:ascii="楷体" w:hAnsi="楷体" w:eastAsia="楷体" w:cs="楷体"/>
                <w:color w:val="auto"/>
                <w:sz w:val="24"/>
                <w:szCs w:val="24"/>
              </w:rPr>
            </w:pPr>
            <w:r>
              <w:rPr>
                <w:rFonts w:hint="eastAsia" w:ascii="楷体" w:hAnsi="楷体" w:eastAsia="楷体" w:cs="楷体"/>
                <w:color w:val="auto"/>
                <w:sz w:val="24"/>
                <w:szCs w:val="24"/>
              </w:rPr>
              <w:t>投标报价</w:t>
            </w:r>
          </w:p>
        </w:tc>
        <w:tc>
          <w:tcPr>
            <w:tcW w:w="35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BF5187">
            <w:pPr>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价格分采用低价优先法计算，即满足采购文件要求且报价最低的投标人报价为评标基准价，其价格分为满分30分，其它投标人的价格分统一按照以下公式计算：投标报价得分=（评标基准价/该投标人的投标报价）×30分。</w:t>
            </w:r>
          </w:p>
        </w:tc>
        <w:tc>
          <w:tcPr>
            <w:tcW w:w="40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F84602">
            <w:pPr>
              <w:pStyle w:val="1545"/>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30</w:t>
            </w:r>
          </w:p>
        </w:tc>
      </w:tr>
    </w:tbl>
    <w:p w14:paraId="141806D6">
      <w:pPr>
        <w:widowControl/>
        <w:spacing w:line="360" w:lineRule="auto"/>
        <w:ind w:firstLine="480"/>
        <w:jc w:val="left"/>
        <w:rPr>
          <w:rFonts w:hint="eastAsia" w:ascii="楷体" w:hAnsi="楷体" w:eastAsia="楷体" w:cs="楷体"/>
          <w:color w:val="00B050"/>
          <w:sz w:val="24"/>
          <w:szCs w:val="24"/>
        </w:rPr>
      </w:pPr>
    </w:p>
    <w:p w14:paraId="5E8B8A79">
      <w:pPr>
        <w:widowControl/>
        <w:spacing w:line="360" w:lineRule="auto"/>
        <w:ind w:firstLine="420"/>
        <w:jc w:val="left"/>
        <w:rPr>
          <w:rFonts w:hint="eastAsia" w:ascii="楷体" w:hAnsi="楷体" w:eastAsia="楷体" w:cs="楷体"/>
          <w:b/>
          <w:sz w:val="24"/>
          <w:szCs w:val="24"/>
          <w:lang w:val="en-US" w:eastAsia="zh-CN"/>
        </w:rPr>
      </w:pPr>
    </w:p>
    <w:p w14:paraId="0D8BAFDC">
      <w:pPr>
        <w:widowControl/>
        <w:spacing w:line="360" w:lineRule="auto"/>
        <w:ind w:firstLine="420"/>
        <w:jc w:val="left"/>
        <w:rPr>
          <w:rFonts w:hint="eastAsia" w:ascii="楷体" w:hAnsi="楷体" w:eastAsia="楷体" w:cs="楷体"/>
          <w:b/>
          <w:sz w:val="24"/>
          <w:szCs w:val="24"/>
          <w:lang w:val="en-US" w:eastAsia="zh-CN"/>
        </w:rPr>
      </w:pPr>
    </w:p>
    <w:p w14:paraId="5243AFF9">
      <w:pPr>
        <w:widowControl/>
        <w:spacing w:line="360" w:lineRule="auto"/>
        <w:ind w:firstLine="420"/>
        <w:jc w:val="left"/>
        <w:rPr>
          <w:rFonts w:hint="eastAsia" w:ascii="楷体" w:hAnsi="楷体" w:eastAsia="楷体" w:cs="楷体"/>
          <w:b/>
          <w:sz w:val="24"/>
          <w:szCs w:val="24"/>
          <w:lang w:val="en-US" w:eastAsia="zh-CN"/>
        </w:rPr>
      </w:pPr>
      <w:r>
        <w:rPr>
          <w:rFonts w:hint="eastAsia" w:ascii="楷体" w:hAnsi="楷体" w:eastAsia="楷体" w:cs="楷体"/>
          <w:b/>
          <w:sz w:val="24"/>
          <w:szCs w:val="24"/>
          <w:lang w:val="en-US" w:eastAsia="zh-CN"/>
        </w:rPr>
        <w:t>采购包2</w:t>
      </w:r>
    </w:p>
    <w:p w14:paraId="212F940B">
      <w:pPr>
        <w:widowControl/>
        <w:spacing w:line="360" w:lineRule="auto"/>
        <w:ind w:firstLine="420"/>
        <w:jc w:val="left"/>
        <w:rPr>
          <w:rFonts w:hint="eastAsia" w:ascii="楷体" w:hAnsi="楷体" w:eastAsia="楷体" w:cs="楷体"/>
          <w:sz w:val="24"/>
          <w:szCs w:val="24"/>
        </w:rPr>
      </w:pPr>
    </w:p>
    <w:tbl>
      <w:tblPr>
        <w:tblStyle w:val="68"/>
        <w:tblW w:w="5004"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1"/>
        <w:gridCol w:w="2809"/>
        <w:gridCol w:w="2406"/>
        <w:gridCol w:w="2341"/>
      </w:tblGrid>
      <w:tr w14:paraId="6563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760EBB">
            <w:pPr>
              <w:pStyle w:val="1543"/>
              <w:jc w:val="center"/>
              <w:rPr>
                <w:rFonts w:hint="eastAsia" w:ascii="楷体" w:hAnsi="楷体" w:eastAsia="楷体" w:cs="楷体"/>
                <w:sz w:val="24"/>
                <w:szCs w:val="24"/>
              </w:rPr>
            </w:pPr>
            <w:r>
              <w:rPr>
                <w:rFonts w:hint="eastAsia" w:ascii="楷体" w:hAnsi="楷体" w:eastAsia="楷体" w:cs="楷体"/>
                <w:sz w:val="24"/>
                <w:szCs w:val="24"/>
              </w:rPr>
              <w:t>评分项目</w:t>
            </w:r>
          </w:p>
        </w:tc>
        <w:tc>
          <w:tcPr>
            <w:tcW w:w="14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134F16">
            <w:pPr>
              <w:pStyle w:val="1543"/>
              <w:jc w:val="center"/>
              <w:rPr>
                <w:rFonts w:hint="eastAsia" w:ascii="楷体" w:hAnsi="楷体" w:eastAsia="楷体" w:cs="楷体"/>
                <w:sz w:val="24"/>
                <w:szCs w:val="24"/>
              </w:rPr>
            </w:pPr>
            <w:r>
              <w:rPr>
                <w:rFonts w:hint="eastAsia" w:ascii="楷体" w:hAnsi="楷体" w:eastAsia="楷体" w:cs="楷体"/>
                <w:sz w:val="24"/>
                <w:szCs w:val="24"/>
              </w:rPr>
              <w:t>技术评估</w:t>
            </w:r>
          </w:p>
        </w:tc>
        <w:tc>
          <w:tcPr>
            <w:tcW w:w="124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CB26D3">
            <w:pPr>
              <w:pStyle w:val="1543"/>
              <w:jc w:val="center"/>
              <w:rPr>
                <w:rFonts w:hint="eastAsia" w:ascii="楷体" w:hAnsi="楷体" w:eastAsia="楷体" w:cs="楷体"/>
                <w:sz w:val="24"/>
                <w:szCs w:val="24"/>
              </w:rPr>
            </w:pPr>
            <w:r>
              <w:rPr>
                <w:rFonts w:hint="eastAsia" w:ascii="楷体" w:hAnsi="楷体" w:eastAsia="楷体" w:cs="楷体"/>
                <w:sz w:val="24"/>
                <w:szCs w:val="24"/>
              </w:rPr>
              <w:t>商务评估</w:t>
            </w:r>
          </w:p>
        </w:tc>
        <w:tc>
          <w:tcPr>
            <w:tcW w:w="121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7AFBCE">
            <w:pPr>
              <w:pStyle w:val="1543"/>
              <w:jc w:val="center"/>
              <w:rPr>
                <w:rFonts w:hint="eastAsia" w:ascii="楷体" w:hAnsi="楷体" w:eastAsia="楷体" w:cs="楷体"/>
                <w:sz w:val="24"/>
                <w:szCs w:val="24"/>
              </w:rPr>
            </w:pPr>
            <w:r>
              <w:rPr>
                <w:rFonts w:hint="eastAsia" w:ascii="楷体" w:hAnsi="楷体" w:eastAsia="楷体" w:cs="楷体"/>
                <w:sz w:val="24"/>
                <w:szCs w:val="24"/>
              </w:rPr>
              <w:t>价格评估</w:t>
            </w:r>
          </w:p>
        </w:tc>
      </w:tr>
      <w:tr w14:paraId="0020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1C3BA0">
            <w:pPr>
              <w:pStyle w:val="1543"/>
              <w:jc w:val="center"/>
              <w:rPr>
                <w:rFonts w:hint="eastAsia" w:ascii="楷体" w:hAnsi="楷体" w:eastAsia="楷体" w:cs="楷体"/>
                <w:sz w:val="24"/>
                <w:szCs w:val="24"/>
              </w:rPr>
            </w:pPr>
            <w:r>
              <w:rPr>
                <w:rFonts w:hint="eastAsia" w:ascii="楷体" w:hAnsi="楷体" w:eastAsia="楷体" w:cs="楷体"/>
                <w:sz w:val="24"/>
                <w:szCs w:val="24"/>
              </w:rPr>
              <w:t>分值</w:t>
            </w:r>
          </w:p>
        </w:tc>
        <w:tc>
          <w:tcPr>
            <w:tcW w:w="14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A27E2F">
            <w:pPr>
              <w:pStyle w:val="1543"/>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62.00</w:t>
            </w:r>
          </w:p>
        </w:tc>
        <w:tc>
          <w:tcPr>
            <w:tcW w:w="124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D348A3">
            <w:pPr>
              <w:pStyle w:val="1543"/>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8.00</w:t>
            </w:r>
          </w:p>
        </w:tc>
        <w:tc>
          <w:tcPr>
            <w:tcW w:w="121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48986D">
            <w:pPr>
              <w:pStyle w:val="1543"/>
              <w:jc w:val="center"/>
              <w:rPr>
                <w:rFonts w:hint="default" w:ascii="楷体" w:hAnsi="楷体" w:eastAsia="楷体" w:cs="楷体"/>
                <w:sz w:val="24"/>
                <w:szCs w:val="24"/>
                <w:lang w:val="en-US" w:eastAsia="zh-CN"/>
              </w:rPr>
            </w:pPr>
            <w:r>
              <w:rPr>
                <w:rFonts w:hint="eastAsia" w:ascii="楷体" w:hAnsi="楷体" w:eastAsia="楷体" w:cs="楷体"/>
                <w:color w:val="auto"/>
                <w:sz w:val="24"/>
                <w:szCs w:val="24"/>
                <w:lang w:val="en-US" w:eastAsia="zh-CN"/>
              </w:rPr>
              <w:t>30.00</w:t>
            </w:r>
          </w:p>
        </w:tc>
      </w:tr>
    </w:tbl>
    <w:p w14:paraId="54F9769B">
      <w:pPr>
        <w:widowControl/>
        <w:spacing w:line="360" w:lineRule="auto"/>
        <w:ind w:firstLine="480"/>
        <w:jc w:val="left"/>
        <w:rPr>
          <w:rFonts w:hint="eastAsia" w:ascii="楷体" w:hAnsi="楷体" w:eastAsia="楷体" w:cs="楷体"/>
          <w:sz w:val="24"/>
          <w:szCs w:val="24"/>
        </w:rPr>
      </w:pPr>
    </w:p>
    <w:p w14:paraId="13CD3E0C">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（一）技术评估</w:t>
      </w:r>
    </w:p>
    <w:p w14:paraId="7D2673B0">
      <w:pPr>
        <w:widowControl/>
        <w:spacing w:line="360" w:lineRule="auto"/>
        <w:rPr>
          <w:rFonts w:hint="eastAsia" w:ascii="楷体" w:hAnsi="楷体" w:eastAsia="楷体" w:cs="楷体"/>
          <w:b/>
          <w:sz w:val="24"/>
          <w:szCs w:val="24"/>
          <w:highlight w:val="red"/>
        </w:rPr>
      </w:pPr>
    </w:p>
    <w:tbl>
      <w:tblPr>
        <w:tblStyle w:val="6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304"/>
        <w:gridCol w:w="6791"/>
        <w:gridCol w:w="784"/>
      </w:tblGrid>
      <w:tr w14:paraId="6DFE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9" w:type="dxa"/>
            <w:noWrap w:val="0"/>
            <w:vAlign w:val="center"/>
          </w:tcPr>
          <w:p w14:paraId="55AB6A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1</w:t>
            </w:r>
          </w:p>
        </w:tc>
        <w:tc>
          <w:tcPr>
            <w:tcW w:w="1304" w:type="dxa"/>
            <w:noWrap w:val="0"/>
            <w:vAlign w:val="center"/>
          </w:tcPr>
          <w:p w14:paraId="4CA92A8E">
            <w:pPr>
              <w:widowControl/>
              <w:spacing w:after="0" w:line="360" w:lineRule="auto"/>
              <w:rPr>
                <w:rFonts w:hint="eastAsia" w:ascii="楷体" w:hAnsi="楷体" w:eastAsia="楷体" w:cs="楷体"/>
                <w:b w:val="0"/>
                <w:bCs w:val="0"/>
                <w:kern w:val="2"/>
                <w:sz w:val="24"/>
                <w:szCs w:val="24"/>
                <w:highlight w:val="none"/>
                <w:vertAlign w:val="baseline"/>
                <w:lang w:val="en-US" w:eastAsia="zh-CN" w:bidi="ar-SA"/>
              </w:rPr>
            </w:pPr>
            <w:r>
              <w:rPr>
                <w:rFonts w:hint="eastAsia" w:ascii="楷体" w:hAnsi="楷体" w:eastAsia="楷体" w:cs="楷体"/>
                <w:b w:val="0"/>
                <w:bCs w:val="0"/>
                <w:color w:val="000000"/>
                <w:kern w:val="0"/>
                <w:sz w:val="24"/>
                <w:szCs w:val="24"/>
              </w:rPr>
              <w:t>详细技术要求部分</w:t>
            </w:r>
          </w:p>
        </w:tc>
        <w:tc>
          <w:tcPr>
            <w:tcW w:w="6791" w:type="dxa"/>
            <w:noWrap w:val="0"/>
            <w:vAlign w:val="center"/>
          </w:tcPr>
          <w:p w14:paraId="62D807E8">
            <w:pPr>
              <w:widowControl/>
              <w:spacing w:after="0" w:line="360" w:lineRule="auto"/>
              <w:jc w:val="both"/>
              <w:rPr>
                <w:rFonts w:hint="eastAsia" w:ascii="楷体" w:hAnsi="楷体" w:eastAsia="楷体" w:cs="楷体"/>
                <w:color w:val="000000"/>
                <w:kern w:val="0"/>
                <w:sz w:val="24"/>
                <w:szCs w:val="24"/>
                <w:lang w:eastAsia="zh-CN"/>
              </w:rPr>
            </w:pPr>
            <w:bookmarkStart w:id="255" w:name="OLE_LINK5"/>
            <w:r>
              <w:rPr>
                <w:rFonts w:hint="eastAsia" w:ascii="楷体" w:hAnsi="楷体" w:eastAsia="楷体" w:cs="楷体"/>
                <w:color w:val="000000"/>
                <w:kern w:val="0"/>
                <w:sz w:val="24"/>
                <w:szCs w:val="24"/>
              </w:rPr>
              <w:t>1.根据各投标人所投产品的技术性能、对招标文件各项基本要求的逐项响应情况，由评委进行综合打分，投标人所投产品完全满足或优于招标文件中货物的技术参数及要求的，得基本分44分。</w:t>
            </w:r>
          </w:p>
          <w:p w14:paraId="301AAA13">
            <w:pPr>
              <w:widowControl/>
              <w:spacing w:after="0" w:line="360" w:lineRule="auto"/>
              <w:jc w:val="both"/>
              <w:rPr>
                <w:rFonts w:hint="eastAsia" w:ascii="楷体" w:hAnsi="楷体" w:eastAsia="楷体" w:cs="楷体"/>
                <w:color w:val="000000"/>
                <w:kern w:val="0"/>
                <w:sz w:val="24"/>
                <w:szCs w:val="24"/>
                <w:lang w:eastAsia="zh-CN"/>
              </w:rPr>
            </w:pPr>
            <w:r>
              <w:rPr>
                <w:rFonts w:hint="eastAsia" w:ascii="楷体" w:hAnsi="楷体" w:eastAsia="楷体" w:cs="楷体"/>
                <w:color w:val="000000"/>
                <w:kern w:val="0"/>
                <w:sz w:val="24"/>
                <w:szCs w:val="24"/>
              </w:rPr>
              <w:t>2.标“▲”的功能及技术参数为重要性能指标（共计10项，每项3分，共计30分），如有负偏离，有一项扣3分，扣完为止。</w:t>
            </w:r>
          </w:p>
          <w:p w14:paraId="248769DD">
            <w:pPr>
              <w:widowControl/>
              <w:spacing w:after="0" w:line="360" w:lineRule="auto"/>
              <w:jc w:val="both"/>
              <w:rPr>
                <w:rFonts w:hint="eastAsia" w:ascii="楷体" w:hAnsi="楷体" w:eastAsia="楷体" w:cs="楷体"/>
                <w:color w:val="000000"/>
                <w:kern w:val="0"/>
                <w:sz w:val="24"/>
                <w:szCs w:val="24"/>
                <w:lang w:eastAsia="zh-CN"/>
              </w:rPr>
            </w:pPr>
            <w:r>
              <w:rPr>
                <w:rFonts w:hint="eastAsia" w:ascii="楷体" w:hAnsi="楷体" w:eastAsia="楷体" w:cs="楷体"/>
                <w:color w:val="000000"/>
                <w:kern w:val="0"/>
                <w:sz w:val="24"/>
                <w:szCs w:val="24"/>
              </w:rPr>
              <w:t>3.标“＃”的功能及技术参数为</w:t>
            </w:r>
            <w:r>
              <w:rPr>
                <w:rFonts w:hint="eastAsia" w:ascii="楷体" w:hAnsi="楷体" w:eastAsia="楷体" w:cs="楷体"/>
                <w:color w:val="000000"/>
                <w:kern w:val="0"/>
                <w:sz w:val="24"/>
                <w:szCs w:val="24"/>
                <w:lang w:val="en-US" w:eastAsia="zh-CN"/>
              </w:rPr>
              <w:t>一般</w:t>
            </w:r>
            <w:r>
              <w:rPr>
                <w:rFonts w:hint="eastAsia" w:ascii="楷体" w:hAnsi="楷体" w:eastAsia="楷体" w:cs="楷体"/>
                <w:color w:val="000000"/>
                <w:kern w:val="0"/>
                <w:sz w:val="24"/>
                <w:szCs w:val="24"/>
              </w:rPr>
              <w:t>指标（共计7项，每项2分，共计14分），如有负偏离，有一项扣2分，扣完为止。</w:t>
            </w:r>
          </w:p>
          <w:p w14:paraId="58443329">
            <w:pPr>
              <w:widowControl/>
              <w:spacing w:after="0" w:line="360" w:lineRule="auto"/>
              <w:jc w:val="both"/>
              <w:rPr>
                <w:rFonts w:hint="eastAsia" w:ascii="楷体" w:hAnsi="楷体" w:eastAsia="楷体" w:cs="楷体"/>
                <w:snapToGrid w:val="0"/>
                <w:kern w:val="2"/>
                <w:sz w:val="24"/>
                <w:szCs w:val="24"/>
                <w:highlight w:val="none"/>
                <w:lang w:val="en-US" w:eastAsia="zh-CN" w:bidi="ar-SA"/>
              </w:rPr>
            </w:pPr>
            <w:r>
              <w:rPr>
                <w:rFonts w:hint="eastAsia" w:ascii="楷体" w:hAnsi="楷体" w:eastAsia="楷体" w:cs="楷体"/>
                <w:snapToGrid w:val="0"/>
                <w:kern w:val="2"/>
                <w:sz w:val="24"/>
                <w:szCs w:val="24"/>
                <w:highlight w:val="none"/>
                <w:lang w:val="en-US" w:eastAsia="zh-CN" w:bidi="ar-SA"/>
              </w:rPr>
              <w:t>注：招标文件“第四部分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注：签订合同前，采购人有权要求中标供应商提供佐证材料原件核查，中标供应商不能按时提供的视为虚假响应，将取消中标资格】。</w:t>
            </w:r>
            <w:bookmarkEnd w:id="255"/>
          </w:p>
        </w:tc>
        <w:tc>
          <w:tcPr>
            <w:tcW w:w="784" w:type="dxa"/>
            <w:noWrap w:val="0"/>
            <w:vAlign w:val="center"/>
          </w:tcPr>
          <w:p w14:paraId="30968A82">
            <w:pPr>
              <w:widowControl/>
              <w:spacing w:after="0" w:line="360" w:lineRule="auto"/>
              <w:jc w:val="center"/>
              <w:rPr>
                <w:rFonts w:hint="eastAsia" w:ascii="楷体" w:hAnsi="楷体" w:eastAsia="楷体" w:cs="楷体"/>
                <w:b w:val="0"/>
                <w:bCs w:val="0"/>
                <w:kern w:val="2"/>
                <w:sz w:val="24"/>
                <w:szCs w:val="24"/>
                <w:highlight w:val="none"/>
                <w:vertAlign w:val="baseline"/>
                <w:lang w:val="en-US" w:eastAsia="zh-CN" w:bidi="ar-SA"/>
              </w:rPr>
            </w:pPr>
            <w:r>
              <w:rPr>
                <w:rFonts w:hint="eastAsia" w:ascii="楷体" w:hAnsi="楷体" w:eastAsia="楷体" w:cs="楷体"/>
                <w:color w:val="000000"/>
                <w:kern w:val="0"/>
                <w:sz w:val="24"/>
                <w:szCs w:val="24"/>
              </w:rPr>
              <w:t>44</w:t>
            </w:r>
          </w:p>
        </w:tc>
      </w:tr>
      <w:tr w14:paraId="1649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9" w:type="dxa"/>
            <w:noWrap w:val="0"/>
            <w:vAlign w:val="center"/>
          </w:tcPr>
          <w:p w14:paraId="5F9F1A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2</w:t>
            </w:r>
          </w:p>
        </w:tc>
        <w:tc>
          <w:tcPr>
            <w:tcW w:w="1304" w:type="dxa"/>
            <w:noWrap w:val="0"/>
            <w:vAlign w:val="center"/>
          </w:tcPr>
          <w:p w14:paraId="021F62C2">
            <w:pPr>
              <w:widowControl/>
              <w:spacing w:after="0" w:line="360" w:lineRule="auto"/>
              <w:rPr>
                <w:rFonts w:hint="eastAsia" w:ascii="楷体" w:hAnsi="楷体" w:eastAsia="楷体" w:cs="楷体"/>
                <w:b w:val="0"/>
                <w:bCs w:val="0"/>
                <w:sz w:val="24"/>
                <w:szCs w:val="24"/>
                <w:highlight w:val="none"/>
                <w:vertAlign w:val="baseline"/>
                <w:lang w:val="en-US" w:eastAsia="zh-CN"/>
              </w:rPr>
            </w:pPr>
            <w:bookmarkStart w:id="256" w:name="OLE_LINK6"/>
            <w:r>
              <w:rPr>
                <w:rFonts w:hint="eastAsia" w:ascii="楷体" w:hAnsi="楷体" w:eastAsia="楷体" w:cs="楷体"/>
                <w:b w:val="0"/>
                <w:bCs w:val="0"/>
                <w:color w:val="000000"/>
                <w:kern w:val="0"/>
                <w:sz w:val="24"/>
                <w:szCs w:val="24"/>
              </w:rPr>
              <w:t>投标人售后服务方案、应急方案及运维计划</w:t>
            </w:r>
            <w:bookmarkEnd w:id="256"/>
          </w:p>
        </w:tc>
        <w:tc>
          <w:tcPr>
            <w:tcW w:w="6791" w:type="dxa"/>
            <w:noWrap w:val="0"/>
            <w:vAlign w:val="center"/>
          </w:tcPr>
          <w:p w14:paraId="07F3D5A7">
            <w:pPr>
              <w:widowControl/>
              <w:spacing w:after="0" w:line="360" w:lineRule="auto"/>
              <w:jc w:val="both"/>
              <w:rPr>
                <w:rFonts w:hint="eastAsia" w:ascii="楷体" w:hAnsi="楷体" w:eastAsia="楷体" w:cs="楷体"/>
                <w:color w:val="auto"/>
                <w:sz w:val="24"/>
                <w:szCs w:val="24"/>
                <w:highlight w:val="none"/>
                <w:lang w:val="en-US"/>
              </w:rPr>
            </w:pPr>
            <w:r>
              <w:rPr>
                <w:rFonts w:hint="eastAsia" w:ascii="楷体" w:hAnsi="楷体" w:eastAsia="楷体" w:cs="楷体"/>
                <w:color w:val="000000"/>
                <w:kern w:val="0"/>
                <w:sz w:val="24"/>
                <w:szCs w:val="24"/>
              </w:rPr>
              <w:t>根据投标文件中售后服务方案、应急方案及运维计划等方面进行评分：包括（1）服务体系；（2）服务内容；（3）故障解决方案；（4）专业技术人员保障及服务电话；（5）应急保障方案等。上述内容需描述详细、流程清晰、合理可行，每有一项内容进行了阐述且满足采购需求的得1分，</w:t>
            </w:r>
            <w:r>
              <w:rPr>
                <w:rFonts w:hint="eastAsia" w:ascii="楷体" w:hAnsi="楷体" w:eastAsia="楷体" w:cs="楷体"/>
                <w:color w:val="000000"/>
                <w:kern w:val="0"/>
                <w:sz w:val="24"/>
                <w:szCs w:val="24"/>
                <w:lang w:val="en-US" w:eastAsia="zh-CN"/>
              </w:rPr>
              <w:t>本项</w:t>
            </w:r>
            <w:r>
              <w:rPr>
                <w:rFonts w:hint="eastAsia" w:ascii="楷体" w:hAnsi="楷体" w:eastAsia="楷体" w:cs="楷体"/>
                <w:color w:val="000000"/>
                <w:kern w:val="0"/>
                <w:sz w:val="24"/>
                <w:szCs w:val="24"/>
              </w:rPr>
              <w:t>最高得5分。</w:t>
            </w:r>
          </w:p>
        </w:tc>
        <w:tc>
          <w:tcPr>
            <w:tcW w:w="784" w:type="dxa"/>
            <w:noWrap w:val="0"/>
            <w:vAlign w:val="center"/>
          </w:tcPr>
          <w:p w14:paraId="62A055DA">
            <w:pPr>
              <w:widowControl/>
              <w:spacing w:after="0" w:line="360" w:lineRule="auto"/>
              <w:jc w:val="center"/>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rPr>
              <w:t>5</w:t>
            </w:r>
          </w:p>
        </w:tc>
      </w:tr>
      <w:tr w14:paraId="1D43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9" w:type="dxa"/>
            <w:noWrap w:val="0"/>
            <w:vAlign w:val="center"/>
          </w:tcPr>
          <w:p w14:paraId="127CD0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3</w:t>
            </w:r>
          </w:p>
        </w:tc>
        <w:tc>
          <w:tcPr>
            <w:tcW w:w="1304" w:type="dxa"/>
            <w:noWrap w:val="0"/>
            <w:vAlign w:val="center"/>
          </w:tcPr>
          <w:p w14:paraId="7B04EBE1">
            <w:pPr>
              <w:widowControl/>
              <w:spacing w:after="0" w:line="360" w:lineRule="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color w:val="000000"/>
                <w:kern w:val="0"/>
                <w:sz w:val="24"/>
                <w:szCs w:val="24"/>
              </w:rPr>
              <w:t>货物质量管理及保障措施</w:t>
            </w:r>
          </w:p>
        </w:tc>
        <w:tc>
          <w:tcPr>
            <w:tcW w:w="6791" w:type="dxa"/>
            <w:noWrap w:val="0"/>
            <w:vAlign w:val="center"/>
          </w:tcPr>
          <w:p w14:paraId="47357B1A">
            <w:pPr>
              <w:widowControl/>
              <w:spacing w:after="0" w:line="360" w:lineRule="auto"/>
              <w:jc w:val="both"/>
              <w:rPr>
                <w:rFonts w:hint="eastAsia" w:ascii="楷体" w:hAnsi="楷体" w:eastAsia="楷体" w:cs="楷体"/>
                <w:color w:val="auto"/>
                <w:sz w:val="24"/>
                <w:szCs w:val="24"/>
                <w:highlight w:val="none"/>
              </w:rPr>
            </w:pPr>
            <w:bookmarkStart w:id="257" w:name="OLE_LINK7"/>
            <w:r>
              <w:rPr>
                <w:rFonts w:hint="eastAsia" w:ascii="楷体" w:hAnsi="楷体" w:eastAsia="楷体" w:cs="楷体"/>
                <w:color w:val="000000"/>
                <w:kern w:val="0"/>
                <w:sz w:val="24"/>
                <w:szCs w:val="24"/>
              </w:rPr>
              <w:t>包括（1）储存、运输环节的质量保证措施；（2）货物质量保障应急机制；（3）完善的质量检测设施。上述内容需描述详细、流程清晰、合理可行，每有一项内容进行了阐述且满足采购需求的得1分，</w:t>
            </w:r>
            <w:r>
              <w:rPr>
                <w:rFonts w:hint="eastAsia" w:ascii="楷体" w:hAnsi="楷体" w:eastAsia="楷体" w:cs="楷体"/>
                <w:color w:val="000000"/>
                <w:kern w:val="0"/>
                <w:sz w:val="24"/>
                <w:szCs w:val="24"/>
                <w:lang w:val="en-US" w:eastAsia="zh-CN"/>
              </w:rPr>
              <w:t>本项</w:t>
            </w:r>
            <w:r>
              <w:rPr>
                <w:rFonts w:hint="eastAsia" w:ascii="楷体" w:hAnsi="楷体" w:eastAsia="楷体" w:cs="楷体"/>
                <w:color w:val="000000"/>
                <w:kern w:val="0"/>
                <w:sz w:val="24"/>
                <w:szCs w:val="24"/>
              </w:rPr>
              <w:t>最高得3分。</w:t>
            </w:r>
            <w:bookmarkEnd w:id="257"/>
          </w:p>
        </w:tc>
        <w:tc>
          <w:tcPr>
            <w:tcW w:w="784" w:type="dxa"/>
            <w:noWrap w:val="0"/>
            <w:vAlign w:val="center"/>
          </w:tcPr>
          <w:p w14:paraId="240D8503">
            <w:pPr>
              <w:widowControl/>
              <w:spacing w:after="0" w:line="360" w:lineRule="auto"/>
              <w:jc w:val="center"/>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rPr>
              <w:t>3</w:t>
            </w:r>
          </w:p>
        </w:tc>
      </w:tr>
      <w:tr w14:paraId="083E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9" w:type="dxa"/>
            <w:noWrap w:val="0"/>
            <w:vAlign w:val="center"/>
          </w:tcPr>
          <w:p w14:paraId="72C1EA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4</w:t>
            </w:r>
          </w:p>
        </w:tc>
        <w:tc>
          <w:tcPr>
            <w:tcW w:w="1304" w:type="dxa"/>
            <w:noWrap w:val="0"/>
            <w:vAlign w:val="center"/>
          </w:tcPr>
          <w:p w14:paraId="1B09765F">
            <w:pPr>
              <w:widowControl/>
              <w:spacing w:after="0" w:line="360" w:lineRule="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color w:val="000000"/>
                <w:kern w:val="0"/>
                <w:sz w:val="24"/>
                <w:szCs w:val="24"/>
                <w:highlight w:val="none"/>
              </w:rPr>
              <w:t>保修期外服务承诺方案和计划</w:t>
            </w:r>
          </w:p>
        </w:tc>
        <w:tc>
          <w:tcPr>
            <w:tcW w:w="6791" w:type="dxa"/>
            <w:noWrap w:val="0"/>
            <w:vAlign w:val="center"/>
          </w:tcPr>
          <w:p w14:paraId="1A831380">
            <w:pPr>
              <w:widowControl/>
              <w:spacing w:after="0" w:line="360" w:lineRule="auto"/>
              <w:jc w:val="both"/>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rPr>
              <w:t>包括（1）保修期外的服务承诺；（2）保修期外的计划方案。上述内容需描述详细、流程清晰、合理可行，每有一项内容进行了阐述且满足采购需求的得</w:t>
            </w:r>
            <w:r>
              <w:rPr>
                <w:rFonts w:hint="eastAsia" w:ascii="楷体" w:hAnsi="楷体" w:eastAsia="楷体" w:cs="楷体"/>
                <w:color w:val="000000"/>
                <w:kern w:val="0"/>
                <w:sz w:val="24"/>
                <w:szCs w:val="24"/>
                <w:highlight w:val="none"/>
                <w:lang w:val="en-US" w:eastAsia="zh-CN"/>
              </w:rPr>
              <w:t>2</w:t>
            </w:r>
            <w:r>
              <w:rPr>
                <w:rFonts w:hint="eastAsia" w:ascii="楷体" w:hAnsi="楷体" w:eastAsia="楷体" w:cs="楷体"/>
                <w:color w:val="000000"/>
                <w:kern w:val="0"/>
                <w:sz w:val="24"/>
                <w:szCs w:val="24"/>
                <w:highlight w:val="none"/>
              </w:rPr>
              <w:t>分，</w:t>
            </w:r>
            <w:r>
              <w:rPr>
                <w:rFonts w:hint="eastAsia" w:ascii="楷体" w:hAnsi="楷体" w:eastAsia="楷体" w:cs="楷体"/>
                <w:color w:val="000000"/>
                <w:kern w:val="0"/>
                <w:sz w:val="24"/>
                <w:szCs w:val="24"/>
                <w:highlight w:val="none"/>
                <w:lang w:val="en-US" w:eastAsia="zh-CN"/>
              </w:rPr>
              <w:t>本项</w:t>
            </w:r>
            <w:r>
              <w:rPr>
                <w:rFonts w:hint="eastAsia" w:ascii="楷体" w:hAnsi="楷体" w:eastAsia="楷体" w:cs="楷体"/>
                <w:color w:val="000000"/>
                <w:kern w:val="0"/>
                <w:sz w:val="24"/>
                <w:szCs w:val="24"/>
                <w:highlight w:val="none"/>
              </w:rPr>
              <w:t>最高得</w:t>
            </w:r>
            <w:r>
              <w:rPr>
                <w:rFonts w:hint="eastAsia" w:ascii="楷体" w:hAnsi="楷体" w:eastAsia="楷体" w:cs="楷体"/>
                <w:color w:val="000000"/>
                <w:kern w:val="0"/>
                <w:sz w:val="24"/>
                <w:szCs w:val="24"/>
                <w:highlight w:val="none"/>
                <w:lang w:val="en-US" w:eastAsia="zh-CN"/>
              </w:rPr>
              <w:t>4</w:t>
            </w:r>
            <w:r>
              <w:rPr>
                <w:rFonts w:hint="eastAsia" w:ascii="楷体" w:hAnsi="楷体" w:eastAsia="楷体" w:cs="楷体"/>
                <w:color w:val="000000"/>
                <w:kern w:val="0"/>
                <w:sz w:val="24"/>
                <w:szCs w:val="24"/>
                <w:highlight w:val="none"/>
              </w:rPr>
              <w:t>分。</w:t>
            </w:r>
          </w:p>
        </w:tc>
        <w:tc>
          <w:tcPr>
            <w:tcW w:w="784" w:type="dxa"/>
            <w:noWrap w:val="0"/>
            <w:vAlign w:val="center"/>
          </w:tcPr>
          <w:p w14:paraId="404B599E">
            <w:pPr>
              <w:widowControl/>
              <w:spacing w:after="0" w:line="360" w:lineRule="auto"/>
              <w:jc w:val="center"/>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lang w:val="en-US" w:eastAsia="zh-CN"/>
              </w:rPr>
              <w:t>4</w:t>
            </w:r>
          </w:p>
        </w:tc>
      </w:tr>
      <w:tr w14:paraId="7A69E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9" w:type="dxa"/>
            <w:noWrap w:val="0"/>
            <w:vAlign w:val="center"/>
          </w:tcPr>
          <w:p w14:paraId="1FD483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5</w:t>
            </w:r>
          </w:p>
        </w:tc>
        <w:tc>
          <w:tcPr>
            <w:tcW w:w="1304" w:type="dxa"/>
            <w:noWrap w:val="0"/>
            <w:vAlign w:val="center"/>
          </w:tcPr>
          <w:p w14:paraId="2943A26F">
            <w:pPr>
              <w:widowControl/>
              <w:spacing w:after="0" w:line="360" w:lineRule="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color w:val="000000"/>
                <w:kern w:val="0"/>
                <w:sz w:val="24"/>
                <w:szCs w:val="24"/>
                <w:highlight w:val="none"/>
              </w:rPr>
              <w:t>用户培训计划和服务措施</w:t>
            </w:r>
          </w:p>
        </w:tc>
        <w:tc>
          <w:tcPr>
            <w:tcW w:w="6791" w:type="dxa"/>
            <w:noWrap w:val="0"/>
            <w:vAlign w:val="center"/>
          </w:tcPr>
          <w:p w14:paraId="284393D8">
            <w:pPr>
              <w:widowControl/>
              <w:spacing w:after="0" w:line="360" w:lineRule="auto"/>
              <w:jc w:val="both"/>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rPr>
              <w:t>包括（1）用户培训计划；（2）服务措施；（3）方案考虑周全；（4）有合理化建议</w:t>
            </w:r>
            <w:r>
              <w:rPr>
                <w:rFonts w:hint="eastAsia" w:ascii="楷体" w:hAnsi="楷体" w:eastAsia="楷体" w:cs="楷体"/>
                <w:color w:val="000000"/>
                <w:kern w:val="0"/>
                <w:sz w:val="24"/>
                <w:szCs w:val="24"/>
                <w:highlight w:val="none"/>
                <w:lang w:eastAsia="zh-CN"/>
              </w:rPr>
              <w:t>（</w:t>
            </w:r>
            <w:r>
              <w:rPr>
                <w:rFonts w:hint="eastAsia" w:ascii="楷体" w:hAnsi="楷体" w:eastAsia="楷体" w:cs="楷体"/>
                <w:color w:val="000000"/>
                <w:kern w:val="0"/>
                <w:sz w:val="24"/>
                <w:szCs w:val="24"/>
                <w:highlight w:val="none"/>
                <w:lang w:val="en-US" w:eastAsia="zh-CN"/>
              </w:rPr>
              <w:t>5</w:t>
            </w:r>
            <w:r>
              <w:rPr>
                <w:rFonts w:hint="eastAsia" w:ascii="楷体" w:hAnsi="楷体" w:eastAsia="楷体" w:cs="楷体"/>
                <w:color w:val="000000"/>
                <w:kern w:val="0"/>
                <w:sz w:val="24"/>
                <w:szCs w:val="24"/>
                <w:highlight w:val="none"/>
                <w:lang w:eastAsia="zh-CN"/>
              </w:rPr>
              <w:t>）</w:t>
            </w:r>
            <w:r>
              <w:rPr>
                <w:rFonts w:hint="eastAsia" w:ascii="楷体" w:hAnsi="楷体" w:eastAsia="楷体" w:cs="楷体"/>
                <w:color w:val="000000"/>
                <w:kern w:val="0"/>
                <w:sz w:val="24"/>
                <w:szCs w:val="24"/>
                <w:highlight w:val="none"/>
                <w:lang w:val="en-US" w:eastAsia="zh-CN"/>
              </w:rPr>
              <w:t>培训内容（至少包括方法验证、质量控制、实际样品检测等内容）</w:t>
            </w:r>
            <w:r>
              <w:rPr>
                <w:rFonts w:hint="eastAsia" w:ascii="楷体" w:hAnsi="楷体" w:eastAsia="楷体" w:cs="楷体"/>
                <w:color w:val="000000"/>
                <w:kern w:val="0"/>
                <w:sz w:val="24"/>
                <w:szCs w:val="24"/>
                <w:highlight w:val="none"/>
              </w:rPr>
              <w:t>。上述内容需描述详细、流程清晰、合理可行，每有一项内容进行了阐述且满足采购需求的得1分，</w:t>
            </w:r>
            <w:r>
              <w:rPr>
                <w:rFonts w:hint="eastAsia" w:ascii="楷体" w:hAnsi="楷体" w:eastAsia="楷体" w:cs="楷体"/>
                <w:color w:val="000000"/>
                <w:kern w:val="0"/>
                <w:sz w:val="24"/>
                <w:szCs w:val="24"/>
                <w:highlight w:val="none"/>
                <w:lang w:val="en-US" w:eastAsia="zh-CN"/>
              </w:rPr>
              <w:t>本项</w:t>
            </w:r>
            <w:r>
              <w:rPr>
                <w:rFonts w:hint="eastAsia" w:ascii="楷体" w:hAnsi="楷体" w:eastAsia="楷体" w:cs="楷体"/>
                <w:color w:val="000000"/>
                <w:kern w:val="0"/>
                <w:sz w:val="24"/>
                <w:szCs w:val="24"/>
                <w:highlight w:val="none"/>
              </w:rPr>
              <w:t>最高得</w:t>
            </w:r>
            <w:r>
              <w:rPr>
                <w:rFonts w:hint="eastAsia" w:ascii="楷体" w:hAnsi="楷体" w:eastAsia="楷体" w:cs="楷体"/>
                <w:color w:val="000000"/>
                <w:kern w:val="0"/>
                <w:sz w:val="24"/>
                <w:szCs w:val="24"/>
                <w:highlight w:val="none"/>
                <w:lang w:val="en-US" w:eastAsia="zh-CN"/>
              </w:rPr>
              <w:t>5</w:t>
            </w:r>
            <w:r>
              <w:rPr>
                <w:rFonts w:hint="eastAsia" w:ascii="楷体" w:hAnsi="楷体" w:eastAsia="楷体" w:cs="楷体"/>
                <w:color w:val="000000"/>
                <w:kern w:val="0"/>
                <w:sz w:val="24"/>
                <w:szCs w:val="24"/>
                <w:highlight w:val="none"/>
              </w:rPr>
              <w:t>分。</w:t>
            </w:r>
          </w:p>
        </w:tc>
        <w:tc>
          <w:tcPr>
            <w:tcW w:w="784" w:type="dxa"/>
            <w:noWrap w:val="0"/>
            <w:vAlign w:val="center"/>
          </w:tcPr>
          <w:p w14:paraId="650E2440">
            <w:pPr>
              <w:widowControl/>
              <w:spacing w:after="0" w:line="360" w:lineRule="auto"/>
              <w:jc w:val="center"/>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lang w:val="en-US" w:eastAsia="zh-CN"/>
              </w:rPr>
              <w:t>5</w:t>
            </w:r>
          </w:p>
        </w:tc>
      </w:tr>
      <w:tr w14:paraId="6839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49" w:type="dxa"/>
            <w:noWrap w:val="0"/>
            <w:vAlign w:val="center"/>
          </w:tcPr>
          <w:p w14:paraId="56D617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sz w:val="24"/>
                <w:szCs w:val="24"/>
                <w:highlight w:val="none"/>
                <w:vertAlign w:val="baseline"/>
                <w:lang w:val="en-US" w:eastAsia="zh-CN"/>
              </w:rPr>
              <w:t>6</w:t>
            </w:r>
          </w:p>
        </w:tc>
        <w:tc>
          <w:tcPr>
            <w:tcW w:w="1304" w:type="dxa"/>
            <w:noWrap w:val="0"/>
            <w:vAlign w:val="center"/>
          </w:tcPr>
          <w:p w14:paraId="4DF641FB">
            <w:pPr>
              <w:widowControl/>
              <w:spacing w:after="0" w:line="360" w:lineRule="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color w:val="000000"/>
                <w:kern w:val="0"/>
                <w:sz w:val="24"/>
                <w:szCs w:val="24"/>
                <w:highlight w:val="none"/>
              </w:rPr>
              <w:t>（六）质保承诺函</w:t>
            </w:r>
          </w:p>
        </w:tc>
        <w:tc>
          <w:tcPr>
            <w:tcW w:w="6791" w:type="dxa"/>
            <w:noWrap w:val="0"/>
            <w:vAlign w:val="center"/>
          </w:tcPr>
          <w:p w14:paraId="668F2C1E">
            <w:pPr>
              <w:widowControl/>
              <w:spacing w:after="0" w:line="360" w:lineRule="auto"/>
              <w:jc w:val="both"/>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lang w:val="en-US" w:eastAsia="zh-CN"/>
              </w:rPr>
              <w:t>投标人提供</w:t>
            </w:r>
            <w:r>
              <w:rPr>
                <w:rFonts w:hint="eastAsia" w:ascii="楷体" w:hAnsi="楷体" w:eastAsia="楷体" w:cs="楷体"/>
                <w:color w:val="000000"/>
                <w:kern w:val="0"/>
                <w:sz w:val="24"/>
                <w:szCs w:val="24"/>
                <w:highlight w:val="none"/>
              </w:rPr>
              <w:t>产品制造商针对本项目的原厂质保承诺函</w:t>
            </w:r>
            <w:r>
              <w:rPr>
                <w:rFonts w:hint="eastAsia" w:ascii="楷体" w:hAnsi="楷体" w:eastAsia="楷体" w:cs="楷体"/>
                <w:color w:val="000000"/>
                <w:kern w:val="0"/>
                <w:sz w:val="24"/>
                <w:szCs w:val="24"/>
                <w:highlight w:val="none"/>
                <w:lang w:val="en-US" w:eastAsia="zh-CN"/>
              </w:rPr>
              <w:t>的</w:t>
            </w:r>
            <w:r>
              <w:rPr>
                <w:rFonts w:hint="eastAsia" w:ascii="楷体" w:hAnsi="楷体" w:eastAsia="楷体" w:cs="楷体"/>
                <w:color w:val="000000"/>
                <w:kern w:val="0"/>
                <w:sz w:val="24"/>
                <w:szCs w:val="24"/>
                <w:highlight w:val="none"/>
              </w:rPr>
              <w:t>，</w:t>
            </w:r>
            <w:r>
              <w:rPr>
                <w:rFonts w:hint="eastAsia" w:ascii="楷体" w:hAnsi="楷体" w:eastAsia="楷体" w:cs="楷体"/>
                <w:color w:val="000000"/>
                <w:kern w:val="0"/>
                <w:sz w:val="24"/>
                <w:szCs w:val="24"/>
                <w:highlight w:val="none"/>
                <w:lang w:val="en-US" w:eastAsia="zh-CN"/>
              </w:rPr>
              <w:t>得1分</w:t>
            </w:r>
            <w:r>
              <w:rPr>
                <w:rFonts w:hint="eastAsia" w:ascii="楷体" w:hAnsi="楷体" w:eastAsia="楷体" w:cs="楷体"/>
                <w:color w:val="000000"/>
                <w:kern w:val="0"/>
                <w:sz w:val="24"/>
                <w:szCs w:val="24"/>
                <w:highlight w:val="none"/>
              </w:rPr>
              <w:t>，</w:t>
            </w:r>
            <w:r>
              <w:rPr>
                <w:rFonts w:hint="eastAsia" w:ascii="楷体" w:hAnsi="楷体" w:eastAsia="楷体" w:cs="楷体"/>
                <w:color w:val="000000"/>
                <w:kern w:val="0"/>
                <w:sz w:val="24"/>
                <w:szCs w:val="24"/>
                <w:highlight w:val="none"/>
                <w:lang w:val="en-US" w:eastAsia="zh-CN"/>
              </w:rPr>
              <w:t>本项</w:t>
            </w:r>
            <w:r>
              <w:rPr>
                <w:rFonts w:hint="eastAsia" w:ascii="楷体" w:hAnsi="楷体" w:eastAsia="楷体" w:cs="楷体"/>
                <w:color w:val="000000"/>
                <w:kern w:val="0"/>
                <w:sz w:val="24"/>
                <w:szCs w:val="24"/>
                <w:highlight w:val="none"/>
              </w:rPr>
              <w:t>最高得</w:t>
            </w:r>
            <w:r>
              <w:rPr>
                <w:rFonts w:hint="eastAsia" w:ascii="楷体" w:hAnsi="楷体" w:eastAsia="楷体" w:cs="楷体"/>
                <w:color w:val="000000"/>
                <w:kern w:val="0"/>
                <w:sz w:val="24"/>
                <w:szCs w:val="24"/>
                <w:highlight w:val="none"/>
                <w:lang w:val="en-US" w:eastAsia="zh-CN"/>
              </w:rPr>
              <w:t>1</w:t>
            </w:r>
            <w:r>
              <w:rPr>
                <w:rFonts w:hint="eastAsia" w:ascii="楷体" w:hAnsi="楷体" w:eastAsia="楷体" w:cs="楷体"/>
                <w:color w:val="000000"/>
                <w:kern w:val="0"/>
                <w:sz w:val="24"/>
                <w:szCs w:val="24"/>
                <w:highlight w:val="none"/>
              </w:rPr>
              <w:t>分。</w:t>
            </w:r>
          </w:p>
        </w:tc>
        <w:tc>
          <w:tcPr>
            <w:tcW w:w="784" w:type="dxa"/>
            <w:noWrap w:val="0"/>
            <w:vAlign w:val="center"/>
          </w:tcPr>
          <w:p w14:paraId="7EA22BC2">
            <w:pPr>
              <w:widowControl/>
              <w:spacing w:after="0" w:line="360" w:lineRule="auto"/>
              <w:jc w:val="center"/>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color w:val="000000"/>
                <w:kern w:val="0"/>
                <w:sz w:val="24"/>
                <w:szCs w:val="24"/>
                <w:highlight w:val="none"/>
                <w:lang w:val="en-US" w:eastAsia="zh-CN"/>
              </w:rPr>
              <w:t>1</w:t>
            </w:r>
          </w:p>
        </w:tc>
      </w:tr>
    </w:tbl>
    <w:p w14:paraId="7EB9A450">
      <w:pPr>
        <w:widowControl/>
        <w:spacing w:line="360" w:lineRule="auto"/>
        <w:rPr>
          <w:rFonts w:hint="eastAsia" w:ascii="楷体" w:hAnsi="楷体" w:eastAsia="楷体" w:cs="楷体"/>
          <w:b/>
          <w:sz w:val="24"/>
          <w:szCs w:val="24"/>
          <w:highlight w:val="none"/>
        </w:rPr>
      </w:pPr>
    </w:p>
    <w:p w14:paraId="0E0FFE3A">
      <w:pPr>
        <w:widowControl/>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rPr>
        <w:t>（二）商务评估</w:t>
      </w:r>
    </w:p>
    <w:tbl>
      <w:tblPr>
        <w:tblStyle w:val="6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286"/>
        <w:gridCol w:w="6799"/>
        <w:gridCol w:w="784"/>
      </w:tblGrid>
      <w:tr w14:paraId="103B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59" w:type="dxa"/>
            <w:noWrap w:val="0"/>
            <w:vAlign w:val="center"/>
          </w:tcPr>
          <w:p w14:paraId="10D526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1</w:t>
            </w:r>
          </w:p>
        </w:tc>
        <w:tc>
          <w:tcPr>
            <w:tcW w:w="1286" w:type="dxa"/>
            <w:noWrap w:val="0"/>
            <w:vAlign w:val="center"/>
          </w:tcPr>
          <w:p w14:paraId="1B703F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体系认证</w:t>
            </w:r>
          </w:p>
        </w:tc>
        <w:tc>
          <w:tcPr>
            <w:tcW w:w="6799" w:type="dxa"/>
            <w:noWrap w:val="0"/>
            <w:vAlign w:val="center"/>
          </w:tcPr>
          <w:p w14:paraId="3937D0A1">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bookmarkStart w:id="258" w:name="OLE_LINK8"/>
            <w:r>
              <w:rPr>
                <w:rFonts w:hint="eastAsia" w:ascii="楷体" w:hAnsi="楷体" w:eastAsia="楷体" w:cs="楷体"/>
                <w:color w:val="auto"/>
                <w:kern w:val="0"/>
                <w:sz w:val="24"/>
                <w:szCs w:val="24"/>
                <w:highlight w:val="none"/>
                <w:lang w:val="en-US" w:eastAsia="zh-CN"/>
              </w:rPr>
              <w:t>1、</w:t>
            </w:r>
            <w:r>
              <w:rPr>
                <w:rFonts w:hint="eastAsia" w:ascii="楷体" w:hAnsi="楷体" w:eastAsia="楷体" w:cs="楷体"/>
                <w:color w:val="auto"/>
                <w:sz w:val="24"/>
                <w:szCs w:val="24"/>
                <w:highlight w:val="none"/>
                <w:lang w:val="en-US" w:eastAsia="zh-CN"/>
              </w:rPr>
              <w:t>投标人或</w:t>
            </w:r>
            <w:r>
              <w:rPr>
                <w:rFonts w:hint="eastAsia" w:ascii="楷体" w:hAnsi="楷体" w:eastAsia="楷体" w:cs="楷体"/>
                <w:sz w:val="24"/>
                <w:szCs w:val="24"/>
                <w:highlight w:val="none"/>
                <w:lang w:bidi="ar"/>
              </w:rPr>
              <w:t>所投产品制造厂商</w:t>
            </w:r>
            <w:r>
              <w:rPr>
                <w:rFonts w:hint="eastAsia" w:ascii="楷体" w:hAnsi="楷体" w:eastAsia="楷体" w:cs="楷体"/>
                <w:color w:val="auto"/>
                <w:sz w:val="24"/>
                <w:szCs w:val="24"/>
                <w:highlight w:val="none"/>
                <w:lang w:val="en-US" w:eastAsia="zh-CN"/>
              </w:rPr>
              <w:t>具有有效的质量管理体系认证证书、环境管理体系认证证书、职业健康安全管理体系认证证书，每提供一项得2分，本项最高得6分</w:t>
            </w:r>
            <w:r>
              <w:rPr>
                <w:rFonts w:hint="eastAsia" w:ascii="楷体" w:hAnsi="楷体" w:eastAsia="楷体" w:cs="楷体"/>
                <w:color w:val="auto"/>
                <w:kern w:val="0"/>
                <w:sz w:val="24"/>
                <w:szCs w:val="24"/>
                <w:highlight w:val="none"/>
                <w:lang w:val="en-US" w:eastAsia="zh-CN"/>
              </w:rPr>
              <w:t>。</w:t>
            </w:r>
          </w:p>
          <w:p w14:paraId="615FEA19">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注：1、以上相关认证证书需在“全国认证认可信息公共服务平台”中查询状态为“有效”并提供含网址查询结果截图；</w:t>
            </w:r>
          </w:p>
          <w:p w14:paraId="35A8BF70">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2、</w:t>
            </w:r>
            <w:r>
              <w:rPr>
                <w:rFonts w:hint="eastAsia" w:ascii="楷体" w:hAnsi="楷体" w:eastAsia="楷体" w:cs="楷体"/>
                <w:color w:val="auto"/>
                <w:sz w:val="24"/>
                <w:szCs w:val="24"/>
                <w:highlight w:val="none"/>
                <w:lang w:val="en-US" w:eastAsia="zh-CN"/>
              </w:rPr>
              <w:t>提供有效的证书原件扫描件</w:t>
            </w:r>
            <w:r>
              <w:rPr>
                <w:rFonts w:hint="eastAsia" w:ascii="楷体" w:hAnsi="楷体" w:eastAsia="楷体" w:cs="楷体"/>
                <w:color w:val="auto"/>
                <w:kern w:val="0"/>
                <w:sz w:val="24"/>
                <w:szCs w:val="24"/>
                <w:highlight w:val="none"/>
                <w:lang w:val="en-US" w:eastAsia="zh-CN"/>
              </w:rPr>
              <w:t>；</w:t>
            </w:r>
          </w:p>
          <w:p w14:paraId="1E9EA788">
            <w:pPr>
              <w:widowControl/>
              <w:numPr>
                <w:ilvl w:val="0"/>
                <w:numId w:val="0"/>
              </w:numPr>
              <w:spacing w:line="360" w:lineRule="auto"/>
              <w:ind w:right="-73" w:rightChars="-35"/>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0"/>
                <w:sz w:val="24"/>
                <w:szCs w:val="24"/>
                <w:highlight w:val="none"/>
                <w:lang w:val="en-US" w:eastAsia="zh-CN"/>
              </w:rPr>
              <w:t>3、未按要求提供不得分。</w:t>
            </w:r>
            <w:bookmarkEnd w:id="258"/>
          </w:p>
        </w:tc>
        <w:tc>
          <w:tcPr>
            <w:tcW w:w="784" w:type="dxa"/>
            <w:noWrap w:val="0"/>
            <w:vAlign w:val="center"/>
          </w:tcPr>
          <w:p w14:paraId="027DA7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6</w:t>
            </w:r>
          </w:p>
        </w:tc>
      </w:tr>
      <w:tr w14:paraId="01B1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759" w:type="dxa"/>
            <w:vMerge w:val="restart"/>
            <w:noWrap w:val="0"/>
            <w:vAlign w:val="center"/>
          </w:tcPr>
          <w:p w14:paraId="53B134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2</w:t>
            </w:r>
          </w:p>
        </w:tc>
        <w:tc>
          <w:tcPr>
            <w:tcW w:w="1286" w:type="dxa"/>
            <w:vMerge w:val="restart"/>
            <w:noWrap w:val="0"/>
            <w:vAlign w:val="center"/>
          </w:tcPr>
          <w:p w14:paraId="6ACBFA33">
            <w:pPr>
              <w:pStyle w:val="1544"/>
              <w:spacing w:line="360" w:lineRule="auto"/>
              <w:jc w:val="center"/>
              <w:rPr>
                <w:rStyle w:val="72"/>
                <w:rFonts w:hint="eastAsia" w:ascii="楷体" w:hAnsi="楷体" w:eastAsia="楷体" w:cs="楷体"/>
                <w:b w:val="0"/>
                <w:color w:val="auto"/>
                <w:sz w:val="24"/>
                <w:szCs w:val="24"/>
                <w:highlight w:val="none"/>
                <w:lang w:val="en-US" w:eastAsia="zh-CN"/>
              </w:rPr>
            </w:pPr>
            <w:r>
              <w:rPr>
                <w:rStyle w:val="72"/>
                <w:rFonts w:hint="eastAsia" w:ascii="楷体" w:hAnsi="楷体" w:eastAsia="楷体" w:cs="楷体"/>
                <w:b w:val="0"/>
                <w:color w:val="auto"/>
                <w:sz w:val="24"/>
                <w:szCs w:val="24"/>
                <w:highlight w:val="none"/>
                <w:lang w:val="en-US" w:eastAsia="zh-CN"/>
              </w:rPr>
              <w:t>节能、环保产品认证</w:t>
            </w:r>
          </w:p>
        </w:tc>
        <w:tc>
          <w:tcPr>
            <w:tcW w:w="6799" w:type="dxa"/>
            <w:noWrap w:val="0"/>
            <w:vAlign w:val="center"/>
          </w:tcPr>
          <w:p w14:paraId="7D7F2378">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供应商所投产品属于财政部、国家发改委公布的“节能产品品目清单”范围内的，投标人提供国家确定的认证机构出具的、处于有效期之内的该节能产品认证证书复印件的，得1分。</w:t>
            </w:r>
          </w:p>
        </w:tc>
        <w:tc>
          <w:tcPr>
            <w:tcW w:w="784" w:type="dxa"/>
            <w:noWrap w:val="0"/>
            <w:vAlign w:val="center"/>
          </w:tcPr>
          <w:p w14:paraId="167004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1</w:t>
            </w:r>
          </w:p>
        </w:tc>
      </w:tr>
      <w:tr w14:paraId="5C94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759" w:type="dxa"/>
            <w:vMerge w:val="continue"/>
            <w:noWrap w:val="0"/>
            <w:vAlign w:val="center"/>
          </w:tcPr>
          <w:p w14:paraId="3307DA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p>
        </w:tc>
        <w:tc>
          <w:tcPr>
            <w:tcW w:w="1286" w:type="dxa"/>
            <w:vMerge w:val="continue"/>
            <w:noWrap w:val="0"/>
            <w:vAlign w:val="center"/>
          </w:tcPr>
          <w:p w14:paraId="4A21FAC7">
            <w:pPr>
              <w:pStyle w:val="1544"/>
              <w:spacing w:line="360" w:lineRule="auto"/>
              <w:jc w:val="center"/>
              <w:rPr>
                <w:rStyle w:val="72"/>
                <w:rFonts w:hint="eastAsia" w:ascii="楷体" w:hAnsi="楷体" w:eastAsia="楷体" w:cs="楷体"/>
                <w:b w:val="0"/>
                <w:color w:val="auto"/>
                <w:sz w:val="24"/>
                <w:szCs w:val="24"/>
                <w:highlight w:val="none"/>
                <w:lang w:val="en-US" w:eastAsia="zh-CN"/>
              </w:rPr>
            </w:pPr>
          </w:p>
        </w:tc>
        <w:tc>
          <w:tcPr>
            <w:tcW w:w="6799" w:type="dxa"/>
            <w:noWrap w:val="0"/>
            <w:vAlign w:val="center"/>
          </w:tcPr>
          <w:p w14:paraId="77D25D5D">
            <w:pPr>
              <w:widowControl/>
              <w:numPr>
                <w:ilvl w:val="0"/>
                <w:numId w:val="0"/>
              </w:numPr>
              <w:spacing w:line="360" w:lineRule="auto"/>
              <w:ind w:right="-73" w:rightChars="-35"/>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供应商所投产品属于财政部、生态环境部公布的“环境标志产品品目清单”范围内的，投标人提供国家确定的认证机构出具的、处于有效期内的该环保产品认证证书复印件的，得1分。</w:t>
            </w:r>
          </w:p>
        </w:tc>
        <w:tc>
          <w:tcPr>
            <w:tcW w:w="784" w:type="dxa"/>
            <w:noWrap w:val="0"/>
            <w:vAlign w:val="center"/>
          </w:tcPr>
          <w:p w14:paraId="7FD46C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1</w:t>
            </w:r>
          </w:p>
        </w:tc>
      </w:tr>
    </w:tbl>
    <w:p w14:paraId="5BBE3F2B">
      <w:pPr>
        <w:widowControl/>
        <w:spacing w:line="360" w:lineRule="auto"/>
        <w:rPr>
          <w:rFonts w:hint="eastAsia" w:ascii="楷体" w:hAnsi="楷体" w:eastAsia="楷体" w:cs="楷体"/>
          <w:b/>
          <w:sz w:val="24"/>
          <w:szCs w:val="24"/>
          <w:highlight w:val="none"/>
        </w:rPr>
      </w:pPr>
    </w:p>
    <w:p w14:paraId="77AEB6DD">
      <w:pPr>
        <w:widowControl/>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rPr>
        <w:t>（三）价格评估</w:t>
      </w:r>
    </w:p>
    <w:p w14:paraId="7652D54B">
      <w:pPr>
        <w:widowControl/>
        <w:spacing w:line="360" w:lineRule="auto"/>
        <w:rPr>
          <w:rFonts w:hint="eastAsia" w:ascii="楷体" w:hAnsi="楷体" w:eastAsia="楷体" w:cs="楷体"/>
          <w:b/>
          <w:sz w:val="24"/>
          <w:szCs w:val="24"/>
          <w:highlight w:val="none"/>
        </w:rPr>
      </w:pPr>
    </w:p>
    <w:tbl>
      <w:tblPr>
        <w:tblStyle w:val="68"/>
        <w:tblW w:w="5002"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12"/>
        <w:gridCol w:w="6775"/>
        <w:gridCol w:w="797"/>
      </w:tblGrid>
      <w:tr w14:paraId="03BE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FC805B">
            <w:pPr>
              <w:pStyle w:val="154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73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F190F6">
            <w:pPr>
              <w:pStyle w:val="154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评审因素</w:t>
            </w:r>
          </w:p>
        </w:tc>
        <w:tc>
          <w:tcPr>
            <w:tcW w:w="351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F58A07">
            <w:pPr>
              <w:pStyle w:val="154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评审细则</w:t>
            </w:r>
          </w:p>
        </w:tc>
        <w:tc>
          <w:tcPr>
            <w:tcW w:w="41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56ECA3">
            <w:pPr>
              <w:pStyle w:val="154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分值</w:t>
            </w:r>
          </w:p>
        </w:tc>
      </w:tr>
      <w:tr w14:paraId="2281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6"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B73E7A">
            <w:pPr>
              <w:pStyle w:val="1545"/>
              <w:jc w:val="center"/>
              <w:rPr>
                <w:rFonts w:hint="eastAsia" w:ascii="楷体" w:hAnsi="楷体" w:eastAsia="楷体" w:cs="楷体"/>
                <w:sz w:val="24"/>
                <w:szCs w:val="24"/>
              </w:rPr>
            </w:pPr>
            <w:r>
              <w:rPr>
                <w:rFonts w:hint="eastAsia" w:ascii="楷体" w:hAnsi="楷体" w:eastAsia="楷体" w:cs="楷体"/>
                <w:sz w:val="24"/>
                <w:szCs w:val="24"/>
              </w:rPr>
              <w:t>投标报价得分</w:t>
            </w:r>
          </w:p>
        </w:tc>
        <w:tc>
          <w:tcPr>
            <w:tcW w:w="41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28F051">
            <w:pPr>
              <w:pStyle w:val="1545"/>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30</w:t>
            </w:r>
          </w:p>
        </w:tc>
      </w:tr>
      <w:tr w14:paraId="7587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3A803A">
            <w:pPr>
              <w:pStyle w:val="1545"/>
              <w:jc w:val="center"/>
              <w:rPr>
                <w:rFonts w:hint="eastAsia" w:ascii="楷体" w:hAnsi="楷体" w:eastAsia="楷体" w:cs="楷体"/>
                <w:sz w:val="24"/>
                <w:szCs w:val="24"/>
              </w:rPr>
            </w:pPr>
            <w:r>
              <w:rPr>
                <w:rFonts w:hint="eastAsia" w:ascii="楷体" w:hAnsi="楷体" w:eastAsia="楷体" w:cs="楷体"/>
                <w:sz w:val="24"/>
                <w:szCs w:val="24"/>
              </w:rPr>
              <w:t>1.1</w:t>
            </w:r>
          </w:p>
        </w:tc>
        <w:tc>
          <w:tcPr>
            <w:tcW w:w="73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6F9CCB">
            <w:pPr>
              <w:pStyle w:val="1545"/>
              <w:jc w:val="center"/>
              <w:rPr>
                <w:rFonts w:hint="eastAsia" w:ascii="楷体" w:hAnsi="楷体" w:eastAsia="楷体" w:cs="楷体"/>
                <w:color w:val="auto"/>
                <w:sz w:val="24"/>
                <w:szCs w:val="24"/>
              </w:rPr>
            </w:pPr>
            <w:r>
              <w:rPr>
                <w:rFonts w:hint="eastAsia" w:ascii="楷体" w:hAnsi="楷体" w:eastAsia="楷体" w:cs="楷体"/>
                <w:color w:val="auto"/>
                <w:sz w:val="24"/>
                <w:szCs w:val="24"/>
              </w:rPr>
              <w:t>投标报价</w:t>
            </w:r>
          </w:p>
        </w:tc>
        <w:tc>
          <w:tcPr>
            <w:tcW w:w="351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2B6C4E">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价格分采用低价优先法计算，即满足采购文件要求且报价最低的投标人报价为评标基准价，其价格分为满分30分，其它投标人的价格分统一按照以下公式计算：投标报价得分=（评标基准价/该投标人的投标报价）×30分。</w:t>
            </w:r>
          </w:p>
        </w:tc>
        <w:tc>
          <w:tcPr>
            <w:tcW w:w="41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4DA1EA">
            <w:pPr>
              <w:pStyle w:val="1545"/>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30</w:t>
            </w:r>
          </w:p>
        </w:tc>
      </w:tr>
    </w:tbl>
    <w:p w14:paraId="1EF2D9D1">
      <w:pPr>
        <w:widowControl/>
        <w:spacing w:line="360" w:lineRule="auto"/>
        <w:ind w:firstLine="480"/>
        <w:jc w:val="left"/>
        <w:rPr>
          <w:rFonts w:hint="eastAsia" w:ascii="楷体" w:hAnsi="楷体" w:eastAsia="楷体" w:cs="楷体"/>
          <w:color w:val="00B050"/>
          <w:sz w:val="24"/>
          <w:szCs w:val="24"/>
        </w:rPr>
      </w:pPr>
    </w:p>
    <w:p w14:paraId="588AE9E0">
      <w:pPr>
        <w:pStyle w:val="2"/>
        <w:ind w:firstLine="482" w:firstLineChars="200"/>
        <w:rPr>
          <w:rFonts w:hint="eastAsia" w:ascii="楷体" w:hAnsi="楷体" w:eastAsia="楷体" w:cs="楷体"/>
          <w:b/>
          <w:sz w:val="24"/>
          <w:szCs w:val="24"/>
          <w:lang w:val="en-US" w:eastAsia="zh-CN" w:bidi="ar-SA"/>
        </w:rPr>
      </w:pPr>
    </w:p>
    <w:p w14:paraId="01B5FD07">
      <w:pPr>
        <w:pStyle w:val="2"/>
        <w:ind w:firstLine="482" w:firstLineChars="200"/>
        <w:rPr>
          <w:rFonts w:hint="eastAsia" w:ascii="楷体" w:hAnsi="楷体" w:eastAsia="楷体" w:cs="楷体"/>
          <w:b/>
          <w:sz w:val="24"/>
          <w:szCs w:val="24"/>
          <w:lang w:val="en-US" w:eastAsia="zh-CN" w:bidi="ar-SA"/>
        </w:rPr>
      </w:pPr>
    </w:p>
    <w:p w14:paraId="6CA032CB">
      <w:pPr>
        <w:pStyle w:val="2"/>
        <w:ind w:firstLine="482" w:firstLineChars="200"/>
        <w:rPr>
          <w:rFonts w:hint="eastAsia" w:ascii="楷体" w:hAnsi="楷体" w:eastAsia="楷体" w:cs="楷体"/>
          <w:b/>
          <w:sz w:val="24"/>
          <w:szCs w:val="24"/>
          <w:lang w:val="en-US" w:eastAsia="zh-CN" w:bidi="ar-SA"/>
        </w:rPr>
      </w:pPr>
    </w:p>
    <w:p w14:paraId="493BF57C">
      <w:pPr>
        <w:pStyle w:val="2"/>
        <w:ind w:firstLine="482" w:firstLineChars="200"/>
        <w:rPr>
          <w:rFonts w:hint="eastAsia" w:ascii="楷体" w:hAnsi="楷体" w:eastAsia="楷体" w:cs="楷体"/>
          <w:b/>
          <w:sz w:val="24"/>
          <w:szCs w:val="24"/>
          <w:lang w:val="en-US" w:eastAsia="zh-CN" w:bidi="ar-SA"/>
        </w:rPr>
      </w:pPr>
    </w:p>
    <w:p w14:paraId="4BF9DD4C">
      <w:pPr>
        <w:pStyle w:val="2"/>
        <w:ind w:firstLine="482" w:firstLineChars="200"/>
        <w:rPr>
          <w:rFonts w:hint="eastAsia" w:ascii="楷体" w:hAnsi="楷体" w:eastAsia="楷体" w:cs="楷体"/>
          <w:b/>
          <w:sz w:val="24"/>
          <w:szCs w:val="24"/>
          <w:lang w:val="en-US" w:eastAsia="zh-CN" w:bidi="ar-SA"/>
        </w:rPr>
      </w:pPr>
    </w:p>
    <w:p w14:paraId="2C905B52">
      <w:pPr>
        <w:pStyle w:val="2"/>
        <w:ind w:firstLine="482" w:firstLineChars="200"/>
        <w:rPr>
          <w:rFonts w:hint="eastAsia" w:ascii="楷体" w:hAnsi="楷体" w:eastAsia="楷体" w:cs="楷体"/>
          <w:b/>
          <w:sz w:val="24"/>
          <w:szCs w:val="24"/>
          <w:lang w:val="en-US" w:eastAsia="zh-CN" w:bidi="ar-SA"/>
        </w:rPr>
      </w:pPr>
    </w:p>
    <w:p w14:paraId="5DA96D93">
      <w:pPr>
        <w:pStyle w:val="3"/>
        <w:rPr>
          <w:rFonts w:hint="eastAsia"/>
          <w:lang w:val="en-US" w:eastAsia="zh-CN"/>
        </w:rPr>
      </w:pPr>
    </w:p>
    <w:p w14:paraId="599B3341">
      <w:pPr>
        <w:pStyle w:val="2"/>
        <w:ind w:firstLine="482" w:firstLineChars="200"/>
        <w:rPr>
          <w:rFonts w:hint="eastAsia" w:ascii="楷体" w:hAnsi="楷体" w:eastAsia="楷体" w:cs="楷体"/>
          <w:b/>
          <w:sz w:val="24"/>
          <w:szCs w:val="24"/>
          <w:lang w:val="en-US" w:eastAsia="zh-CN" w:bidi="ar-SA"/>
        </w:rPr>
      </w:pPr>
    </w:p>
    <w:p w14:paraId="21B05CE8">
      <w:pPr>
        <w:pStyle w:val="2"/>
        <w:ind w:firstLine="482" w:firstLineChars="200"/>
        <w:rPr>
          <w:rFonts w:hint="eastAsia" w:ascii="楷体" w:hAnsi="楷体" w:eastAsia="楷体" w:cs="楷体"/>
          <w:b/>
          <w:sz w:val="24"/>
          <w:szCs w:val="24"/>
          <w:lang w:val="en-US" w:eastAsia="zh-CN" w:bidi="ar-SA"/>
        </w:rPr>
      </w:pPr>
    </w:p>
    <w:p w14:paraId="08FA7954">
      <w:pPr>
        <w:pStyle w:val="2"/>
        <w:ind w:firstLine="482" w:firstLineChars="200"/>
        <w:rPr>
          <w:rFonts w:hint="eastAsia" w:ascii="楷体" w:hAnsi="楷体" w:eastAsia="楷体" w:cs="楷体"/>
          <w:b/>
          <w:sz w:val="24"/>
          <w:szCs w:val="24"/>
          <w:lang w:val="en-US" w:eastAsia="zh-CN" w:bidi="ar-SA"/>
        </w:rPr>
      </w:pPr>
    </w:p>
    <w:p w14:paraId="1ECA3589">
      <w:pPr>
        <w:pStyle w:val="2"/>
        <w:ind w:firstLine="482" w:firstLineChars="200"/>
        <w:rPr>
          <w:rFonts w:hint="eastAsia" w:ascii="楷体" w:hAnsi="楷体" w:eastAsia="楷体" w:cs="楷体"/>
          <w:b/>
          <w:sz w:val="24"/>
          <w:szCs w:val="24"/>
          <w:lang w:val="en-US" w:eastAsia="zh-CN" w:bidi="ar-SA"/>
        </w:rPr>
      </w:pPr>
    </w:p>
    <w:p w14:paraId="4D3763BF">
      <w:pPr>
        <w:pStyle w:val="2"/>
        <w:ind w:firstLine="482" w:firstLineChars="200"/>
        <w:rPr>
          <w:rFonts w:hint="eastAsia" w:ascii="楷体" w:hAnsi="楷体" w:eastAsia="楷体" w:cs="楷体"/>
          <w:b/>
          <w:sz w:val="24"/>
          <w:szCs w:val="24"/>
          <w:lang w:val="en-US" w:eastAsia="zh-CN" w:bidi="ar-SA"/>
        </w:rPr>
      </w:pPr>
      <w:r>
        <w:rPr>
          <w:rFonts w:hint="eastAsia" w:ascii="楷体" w:hAnsi="楷体" w:eastAsia="楷体" w:cs="楷体"/>
          <w:b/>
          <w:sz w:val="24"/>
          <w:szCs w:val="24"/>
          <w:lang w:val="en-US" w:eastAsia="zh-CN" w:bidi="ar-SA"/>
        </w:rPr>
        <w:t>采购包3</w:t>
      </w:r>
    </w:p>
    <w:tbl>
      <w:tblPr>
        <w:tblStyle w:val="68"/>
        <w:tblW w:w="5011" w:type="pct"/>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2"/>
        <w:gridCol w:w="2404"/>
        <w:gridCol w:w="2404"/>
        <w:gridCol w:w="2340"/>
      </w:tblGrid>
      <w:tr w14:paraId="69909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9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43CE5C">
            <w:pPr>
              <w:pStyle w:val="1543"/>
              <w:jc w:val="center"/>
              <w:rPr>
                <w:rFonts w:hint="eastAsia" w:ascii="楷体" w:hAnsi="楷体" w:eastAsia="楷体" w:cs="楷体"/>
                <w:sz w:val="24"/>
                <w:szCs w:val="24"/>
              </w:rPr>
            </w:pPr>
            <w:r>
              <w:rPr>
                <w:rFonts w:hint="eastAsia" w:ascii="楷体" w:hAnsi="楷体" w:eastAsia="楷体" w:cs="楷体"/>
                <w:sz w:val="24"/>
                <w:szCs w:val="24"/>
              </w:rPr>
              <w:t>评分项目</w:t>
            </w:r>
          </w:p>
        </w:tc>
        <w:tc>
          <w:tcPr>
            <w:tcW w:w="12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D65B78">
            <w:pPr>
              <w:pStyle w:val="1543"/>
              <w:jc w:val="center"/>
              <w:rPr>
                <w:rFonts w:hint="eastAsia" w:ascii="楷体" w:hAnsi="楷体" w:eastAsia="楷体" w:cs="楷体"/>
                <w:sz w:val="24"/>
                <w:szCs w:val="24"/>
              </w:rPr>
            </w:pPr>
            <w:r>
              <w:rPr>
                <w:rFonts w:hint="eastAsia" w:ascii="楷体" w:hAnsi="楷体" w:eastAsia="楷体" w:cs="楷体"/>
                <w:sz w:val="24"/>
                <w:szCs w:val="24"/>
              </w:rPr>
              <w:t>技术评估</w:t>
            </w:r>
          </w:p>
        </w:tc>
        <w:tc>
          <w:tcPr>
            <w:tcW w:w="12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86A94A">
            <w:pPr>
              <w:pStyle w:val="1543"/>
              <w:jc w:val="center"/>
              <w:rPr>
                <w:rFonts w:hint="eastAsia" w:ascii="楷体" w:hAnsi="楷体" w:eastAsia="楷体" w:cs="楷体"/>
                <w:sz w:val="24"/>
                <w:szCs w:val="24"/>
              </w:rPr>
            </w:pPr>
            <w:r>
              <w:rPr>
                <w:rFonts w:hint="eastAsia" w:ascii="楷体" w:hAnsi="楷体" w:eastAsia="楷体" w:cs="楷体"/>
                <w:sz w:val="24"/>
                <w:szCs w:val="24"/>
              </w:rPr>
              <w:t>商务评估</w:t>
            </w:r>
          </w:p>
        </w:tc>
        <w:tc>
          <w:tcPr>
            <w:tcW w:w="121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D9055A">
            <w:pPr>
              <w:pStyle w:val="1543"/>
              <w:jc w:val="center"/>
              <w:rPr>
                <w:rFonts w:hint="eastAsia" w:ascii="楷体" w:hAnsi="楷体" w:eastAsia="楷体" w:cs="楷体"/>
                <w:sz w:val="24"/>
                <w:szCs w:val="24"/>
              </w:rPr>
            </w:pPr>
            <w:r>
              <w:rPr>
                <w:rFonts w:hint="eastAsia" w:ascii="楷体" w:hAnsi="楷体" w:eastAsia="楷体" w:cs="楷体"/>
                <w:sz w:val="24"/>
                <w:szCs w:val="24"/>
              </w:rPr>
              <w:t>价格评估</w:t>
            </w:r>
          </w:p>
        </w:tc>
      </w:tr>
      <w:tr w14:paraId="11F8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C99B17">
            <w:pPr>
              <w:pStyle w:val="1543"/>
              <w:jc w:val="center"/>
              <w:rPr>
                <w:rFonts w:hint="eastAsia" w:ascii="楷体" w:hAnsi="楷体" w:eastAsia="楷体" w:cs="楷体"/>
                <w:sz w:val="24"/>
                <w:szCs w:val="24"/>
              </w:rPr>
            </w:pPr>
            <w:r>
              <w:rPr>
                <w:rFonts w:hint="eastAsia" w:ascii="楷体" w:hAnsi="楷体" w:eastAsia="楷体" w:cs="楷体"/>
                <w:sz w:val="24"/>
                <w:szCs w:val="24"/>
              </w:rPr>
              <w:t>分值</w:t>
            </w:r>
          </w:p>
        </w:tc>
        <w:tc>
          <w:tcPr>
            <w:tcW w:w="12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527476">
            <w:pPr>
              <w:pStyle w:val="1543"/>
              <w:jc w:val="center"/>
              <w:rPr>
                <w:rFonts w:hint="eastAsia" w:ascii="楷体" w:hAnsi="楷体" w:eastAsia="楷体" w:cs="楷体"/>
                <w:sz w:val="24"/>
                <w:szCs w:val="24"/>
              </w:rPr>
            </w:pPr>
            <w:r>
              <w:rPr>
                <w:rFonts w:hint="eastAsia" w:ascii="楷体" w:hAnsi="楷体" w:eastAsia="楷体" w:cs="楷体"/>
                <w:sz w:val="24"/>
                <w:szCs w:val="24"/>
              </w:rPr>
              <w:t>57.00</w:t>
            </w:r>
          </w:p>
        </w:tc>
        <w:tc>
          <w:tcPr>
            <w:tcW w:w="12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00D7C5">
            <w:pPr>
              <w:pStyle w:val="1543"/>
              <w:jc w:val="center"/>
              <w:rPr>
                <w:rFonts w:hint="eastAsia" w:ascii="楷体" w:hAnsi="楷体" w:eastAsia="楷体" w:cs="楷体"/>
                <w:sz w:val="24"/>
                <w:szCs w:val="24"/>
              </w:rPr>
            </w:pPr>
            <w:r>
              <w:rPr>
                <w:rFonts w:hint="eastAsia" w:ascii="楷体" w:hAnsi="楷体" w:eastAsia="楷体" w:cs="楷体"/>
                <w:sz w:val="24"/>
                <w:szCs w:val="24"/>
              </w:rPr>
              <w:t>13.00</w:t>
            </w:r>
          </w:p>
        </w:tc>
        <w:tc>
          <w:tcPr>
            <w:tcW w:w="121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BB730D">
            <w:pPr>
              <w:pStyle w:val="1543"/>
              <w:jc w:val="center"/>
              <w:rPr>
                <w:rFonts w:hint="eastAsia" w:ascii="楷体" w:hAnsi="楷体" w:eastAsia="楷体" w:cs="楷体"/>
                <w:sz w:val="24"/>
                <w:szCs w:val="24"/>
              </w:rPr>
            </w:pPr>
            <w:r>
              <w:rPr>
                <w:rFonts w:hint="eastAsia" w:ascii="楷体" w:hAnsi="楷体" w:eastAsia="楷体" w:cs="楷体"/>
                <w:sz w:val="24"/>
                <w:szCs w:val="24"/>
              </w:rPr>
              <w:t>30.00</w:t>
            </w:r>
          </w:p>
        </w:tc>
      </w:tr>
    </w:tbl>
    <w:p w14:paraId="4FC7955F">
      <w:pPr>
        <w:widowControl/>
        <w:spacing w:line="360" w:lineRule="auto"/>
        <w:ind w:firstLine="480"/>
        <w:jc w:val="left"/>
        <w:rPr>
          <w:rFonts w:hint="eastAsia" w:ascii="楷体" w:hAnsi="楷体" w:eastAsia="楷体" w:cs="楷体"/>
          <w:sz w:val="24"/>
          <w:szCs w:val="24"/>
        </w:rPr>
      </w:pPr>
    </w:p>
    <w:p w14:paraId="14F46E31">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（一）技术评估</w:t>
      </w:r>
    </w:p>
    <w:p w14:paraId="77C6D46D">
      <w:pPr>
        <w:widowControl/>
        <w:spacing w:line="360" w:lineRule="auto"/>
        <w:rPr>
          <w:rFonts w:hint="eastAsia" w:ascii="楷体" w:hAnsi="楷体" w:eastAsia="楷体" w:cs="楷体"/>
          <w:b/>
          <w:sz w:val="24"/>
          <w:szCs w:val="24"/>
          <w:highlight w:val="red"/>
        </w:rPr>
      </w:pPr>
      <w:bookmarkStart w:id="259" w:name="EBb25e81e3b7d64d64942af6c0a230f60b"/>
    </w:p>
    <w:bookmarkEnd w:id="259"/>
    <w:tbl>
      <w:tblPr>
        <w:tblStyle w:val="6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378"/>
        <w:gridCol w:w="6791"/>
        <w:gridCol w:w="784"/>
      </w:tblGrid>
      <w:tr w14:paraId="2AF0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5" w:type="dxa"/>
            <w:shd w:val="clear" w:color="auto" w:fill="auto"/>
            <w:noWrap w:val="0"/>
            <w:vAlign w:val="center"/>
          </w:tcPr>
          <w:p w14:paraId="7E8FDFFE">
            <w:pPr>
              <w:spacing w:line="360" w:lineRule="auto"/>
              <w:jc w:val="center"/>
              <w:rPr>
                <w:rFonts w:hint="eastAsia" w:ascii="楷体" w:hAnsi="楷体" w:eastAsia="楷体" w:cs="楷体"/>
                <w:sz w:val="24"/>
                <w:szCs w:val="24"/>
              </w:rPr>
            </w:pPr>
            <w:r>
              <w:rPr>
                <w:rFonts w:hint="eastAsia" w:ascii="楷体" w:hAnsi="楷体" w:eastAsia="楷体" w:cs="楷体"/>
                <w:sz w:val="24"/>
                <w:szCs w:val="24"/>
              </w:rPr>
              <w:t>1</w:t>
            </w:r>
          </w:p>
        </w:tc>
        <w:tc>
          <w:tcPr>
            <w:tcW w:w="1378" w:type="dxa"/>
            <w:shd w:val="clear" w:color="auto" w:fill="auto"/>
            <w:noWrap w:val="0"/>
            <w:vAlign w:val="center"/>
          </w:tcPr>
          <w:p w14:paraId="3507732B">
            <w:pPr>
              <w:spacing w:line="360" w:lineRule="auto"/>
              <w:jc w:val="center"/>
              <w:rPr>
                <w:rFonts w:hint="eastAsia" w:ascii="楷体" w:hAnsi="楷体" w:eastAsia="楷体" w:cs="楷体"/>
                <w:sz w:val="24"/>
                <w:szCs w:val="24"/>
              </w:rPr>
            </w:pPr>
            <w:bookmarkStart w:id="260" w:name="OLE_LINK19"/>
            <w:r>
              <w:rPr>
                <w:rFonts w:hint="eastAsia" w:ascii="楷体" w:hAnsi="楷体" w:eastAsia="楷体" w:cs="楷体"/>
                <w:sz w:val="24"/>
                <w:szCs w:val="24"/>
              </w:rPr>
              <w:t>技术参数响应</w:t>
            </w:r>
            <w:bookmarkEnd w:id="260"/>
          </w:p>
        </w:tc>
        <w:tc>
          <w:tcPr>
            <w:tcW w:w="6791" w:type="dxa"/>
            <w:shd w:val="clear" w:color="auto" w:fill="auto"/>
            <w:noWrap w:val="0"/>
            <w:vAlign w:val="top"/>
          </w:tcPr>
          <w:p w14:paraId="489B8BB4">
            <w:pPr>
              <w:snapToGrid w:val="0"/>
              <w:spacing w:line="360" w:lineRule="auto"/>
              <w:rPr>
                <w:rFonts w:hint="eastAsia" w:ascii="楷体" w:hAnsi="楷体" w:eastAsia="楷体" w:cs="楷体"/>
                <w:sz w:val="24"/>
                <w:szCs w:val="24"/>
              </w:rPr>
            </w:pPr>
            <w:r>
              <w:rPr>
                <w:rFonts w:hint="eastAsia" w:ascii="楷体" w:hAnsi="楷体" w:eastAsia="楷体" w:cs="楷体"/>
                <w:sz w:val="24"/>
                <w:szCs w:val="24"/>
              </w:rPr>
              <w:t>1.根据各投标人所投产品的技术性能、对招标文件各项基本要求的逐项响应情况，由评委进行综合打分，投标人所投产品完全满足或优于招标文件中货物的技术参数及要求的，得基本分43分。</w:t>
            </w:r>
          </w:p>
          <w:p w14:paraId="706AF4BE">
            <w:pPr>
              <w:snapToGrid w:val="0"/>
              <w:spacing w:line="360" w:lineRule="auto"/>
              <w:rPr>
                <w:rFonts w:hint="eastAsia" w:ascii="楷体" w:hAnsi="楷体" w:eastAsia="楷体" w:cs="楷体"/>
                <w:sz w:val="24"/>
                <w:szCs w:val="24"/>
              </w:rPr>
            </w:pPr>
            <w:r>
              <w:rPr>
                <w:rFonts w:hint="eastAsia" w:ascii="楷体" w:hAnsi="楷体" w:eastAsia="楷体" w:cs="楷体"/>
                <w:sz w:val="24"/>
                <w:szCs w:val="24"/>
              </w:rPr>
              <w:t>2.标“▲”的功能及技术参数为重要性能指标（共计13项，每项2分，共计26分），如有负偏离，有一项扣2分，扣完为止。</w:t>
            </w:r>
          </w:p>
          <w:p w14:paraId="3124799F">
            <w:pPr>
              <w:pStyle w:val="2"/>
              <w:spacing w:line="360" w:lineRule="auto"/>
              <w:rPr>
                <w:rFonts w:hint="eastAsia" w:ascii="楷体" w:hAnsi="楷体" w:eastAsia="楷体" w:cs="楷体"/>
                <w:sz w:val="24"/>
                <w:szCs w:val="24"/>
              </w:rPr>
            </w:pPr>
            <w:r>
              <w:rPr>
                <w:rFonts w:hint="eastAsia" w:ascii="楷体" w:hAnsi="楷体" w:eastAsia="楷体" w:cs="楷体"/>
                <w:sz w:val="24"/>
                <w:szCs w:val="24"/>
              </w:rPr>
              <w:t>3.标“#”的功能及技术参数为一般指标（共计17项，每项1分，共计17分），如有负偏离，有一项扣1分，扣完为止。</w:t>
            </w:r>
          </w:p>
          <w:p w14:paraId="2F877ECA">
            <w:pPr>
              <w:widowControl/>
              <w:spacing w:line="360" w:lineRule="auto"/>
              <w:jc w:val="left"/>
              <w:rPr>
                <w:rFonts w:hint="eastAsia" w:ascii="楷体" w:hAnsi="楷体" w:eastAsia="楷体" w:cs="楷体"/>
                <w:snapToGrid w:val="0"/>
                <w:sz w:val="24"/>
                <w:szCs w:val="24"/>
              </w:rPr>
            </w:pPr>
            <w:r>
              <w:rPr>
                <w:rFonts w:hint="eastAsia" w:ascii="楷体" w:hAnsi="楷体" w:eastAsia="楷体" w:cs="楷体"/>
                <w:sz w:val="24"/>
                <w:szCs w:val="24"/>
              </w:rPr>
              <w:t>注：</w:t>
            </w:r>
            <w:r>
              <w:rPr>
                <w:rFonts w:hint="eastAsia" w:ascii="楷体" w:hAnsi="楷体" w:eastAsia="楷体" w:cs="楷体"/>
                <w:snapToGrid w:val="0"/>
                <w:kern w:val="2"/>
                <w:sz w:val="24"/>
                <w:szCs w:val="24"/>
                <w:highlight w:val="none"/>
                <w:lang w:val="en-US" w:eastAsia="zh-CN" w:bidi="ar-SA"/>
              </w:rPr>
              <w:t>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注：签订合同前，采购人有权要求中标供应商提供佐证材料原件核查，中标供应商不能按时提供的视为虚假响应，将取消中标资格】</w:t>
            </w:r>
            <w:r>
              <w:rPr>
                <w:rFonts w:hint="eastAsia" w:ascii="楷体" w:hAnsi="楷体" w:eastAsia="楷体" w:cs="楷体"/>
                <w:snapToGrid w:val="0"/>
                <w:sz w:val="24"/>
                <w:szCs w:val="24"/>
              </w:rPr>
              <w:t>。</w:t>
            </w:r>
          </w:p>
        </w:tc>
        <w:tc>
          <w:tcPr>
            <w:tcW w:w="784" w:type="dxa"/>
            <w:shd w:val="clear" w:color="auto" w:fill="auto"/>
            <w:noWrap w:val="0"/>
            <w:vAlign w:val="center"/>
          </w:tcPr>
          <w:p w14:paraId="6C2FABE7">
            <w:pPr>
              <w:spacing w:line="360" w:lineRule="auto"/>
              <w:jc w:val="center"/>
              <w:rPr>
                <w:rFonts w:hint="eastAsia" w:ascii="楷体" w:hAnsi="楷体" w:eastAsia="楷体" w:cs="楷体"/>
                <w:sz w:val="24"/>
                <w:szCs w:val="24"/>
              </w:rPr>
            </w:pPr>
            <w:r>
              <w:rPr>
                <w:rFonts w:hint="eastAsia" w:ascii="楷体" w:hAnsi="楷体" w:eastAsia="楷体" w:cs="楷体"/>
                <w:sz w:val="24"/>
                <w:szCs w:val="24"/>
              </w:rPr>
              <w:t>43</w:t>
            </w:r>
          </w:p>
        </w:tc>
      </w:tr>
      <w:tr w14:paraId="02F7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5" w:type="dxa"/>
            <w:shd w:val="clear" w:color="auto" w:fill="auto"/>
            <w:noWrap w:val="0"/>
            <w:vAlign w:val="center"/>
          </w:tcPr>
          <w:p w14:paraId="0EA7EAEF">
            <w:pPr>
              <w:spacing w:line="360" w:lineRule="auto"/>
              <w:jc w:val="center"/>
              <w:rPr>
                <w:rFonts w:hint="eastAsia" w:ascii="楷体" w:hAnsi="楷体" w:eastAsia="楷体" w:cs="楷体"/>
                <w:sz w:val="24"/>
                <w:szCs w:val="24"/>
              </w:rPr>
            </w:pPr>
            <w:r>
              <w:rPr>
                <w:rFonts w:hint="eastAsia" w:ascii="楷体" w:hAnsi="楷体" w:eastAsia="楷体" w:cs="楷体"/>
                <w:sz w:val="24"/>
                <w:szCs w:val="24"/>
              </w:rPr>
              <w:t>2</w:t>
            </w:r>
          </w:p>
        </w:tc>
        <w:tc>
          <w:tcPr>
            <w:tcW w:w="1378" w:type="dxa"/>
            <w:shd w:val="clear" w:color="auto" w:fill="auto"/>
            <w:noWrap w:val="0"/>
            <w:vAlign w:val="center"/>
          </w:tcPr>
          <w:p w14:paraId="302444C1">
            <w:pPr>
              <w:spacing w:line="360" w:lineRule="auto"/>
              <w:jc w:val="center"/>
              <w:rPr>
                <w:rFonts w:hint="eastAsia" w:ascii="楷体" w:hAnsi="楷体" w:eastAsia="楷体" w:cs="楷体"/>
                <w:sz w:val="24"/>
                <w:szCs w:val="24"/>
              </w:rPr>
            </w:pPr>
            <w:r>
              <w:rPr>
                <w:rFonts w:hint="eastAsia" w:ascii="楷体" w:hAnsi="楷体" w:eastAsia="楷体" w:cs="楷体"/>
                <w:sz w:val="24"/>
                <w:szCs w:val="24"/>
              </w:rPr>
              <w:t>项目实施方案</w:t>
            </w:r>
          </w:p>
        </w:tc>
        <w:tc>
          <w:tcPr>
            <w:tcW w:w="6791" w:type="dxa"/>
            <w:shd w:val="clear" w:color="auto" w:fill="auto"/>
            <w:noWrap w:val="0"/>
            <w:vAlign w:val="top"/>
          </w:tcPr>
          <w:p w14:paraId="5F73B10A">
            <w:pPr>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根据本项目实际情况制定整体服务方案，包括但不限于①供货计划②项目实施进度计划及进度保障措施③设备安装、调试、验收方案④应急响应时间及解决问题的方案⑤紧急故障处理预案及服务承诺落实的保障措施，每有一项内容且合理、可行的，得0.5分，最高得2.5分，不提供方案或不符合项目需求的，不得分。</w:t>
            </w:r>
          </w:p>
          <w:p w14:paraId="35AC4503">
            <w:pPr>
              <w:widowControl/>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投标人针对上述每一项方案在项目实施过程中所能预见的重点、难点进行分析，具有切实可行、操作性强的解决措施的，每一项方案加0.5分，最高得2.5分。</w:t>
            </w:r>
          </w:p>
        </w:tc>
        <w:tc>
          <w:tcPr>
            <w:tcW w:w="784" w:type="dxa"/>
            <w:shd w:val="clear" w:color="auto" w:fill="auto"/>
            <w:noWrap w:val="0"/>
            <w:vAlign w:val="center"/>
          </w:tcPr>
          <w:p w14:paraId="31D1B017">
            <w:pPr>
              <w:spacing w:line="360" w:lineRule="auto"/>
              <w:jc w:val="center"/>
              <w:rPr>
                <w:rFonts w:hint="eastAsia" w:ascii="楷体" w:hAnsi="楷体" w:eastAsia="楷体" w:cs="楷体"/>
                <w:sz w:val="24"/>
                <w:szCs w:val="24"/>
              </w:rPr>
            </w:pPr>
            <w:r>
              <w:rPr>
                <w:rFonts w:hint="eastAsia" w:ascii="楷体" w:hAnsi="楷体" w:eastAsia="楷体" w:cs="楷体"/>
                <w:sz w:val="24"/>
                <w:szCs w:val="24"/>
              </w:rPr>
              <w:t>5</w:t>
            </w:r>
          </w:p>
        </w:tc>
      </w:tr>
      <w:tr w14:paraId="65E78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5" w:type="dxa"/>
            <w:shd w:val="clear" w:color="auto" w:fill="auto"/>
            <w:noWrap w:val="0"/>
            <w:vAlign w:val="center"/>
          </w:tcPr>
          <w:p w14:paraId="0E27B2C4">
            <w:pPr>
              <w:spacing w:line="360" w:lineRule="auto"/>
              <w:jc w:val="center"/>
              <w:rPr>
                <w:rFonts w:hint="eastAsia" w:ascii="楷体" w:hAnsi="楷体" w:eastAsia="楷体" w:cs="楷体"/>
                <w:sz w:val="24"/>
                <w:szCs w:val="24"/>
              </w:rPr>
            </w:pPr>
            <w:r>
              <w:rPr>
                <w:rFonts w:hint="eastAsia" w:ascii="楷体" w:hAnsi="楷体" w:eastAsia="楷体" w:cs="楷体"/>
                <w:sz w:val="24"/>
                <w:szCs w:val="24"/>
              </w:rPr>
              <w:t>3</w:t>
            </w:r>
          </w:p>
        </w:tc>
        <w:tc>
          <w:tcPr>
            <w:tcW w:w="1378" w:type="dxa"/>
            <w:shd w:val="clear" w:color="auto" w:fill="auto"/>
            <w:noWrap w:val="0"/>
            <w:vAlign w:val="center"/>
          </w:tcPr>
          <w:p w14:paraId="489938F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技术培训方案</w:t>
            </w:r>
          </w:p>
        </w:tc>
        <w:tc>
          <w:tcPr>
            <w:tcW w:w="6791" w:type="dxa"/>
            <w:shd w:val="clear" w:color="auto" w:fill="auto"/>
            <w:noWrap w:val="0"/>
            <w:vAlign w:val="top"/>
          </w:tcPr>
          <w:p w14:paraId="4F7C6C1D">
            <w:pPr>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根据本项目实际情况制定技术培训方案，包括但不限于针对本次项目提供每台设备的①培训时长②培训人数③培训课程安排④培训授课人员专业程度和经验⑤培训内容（至少包括冷原子吸收测汞仪、红外测油仪、紫外分光测油仪、恒温恒湿称重系统的方法验证、质量控制、实际样品检测方案以及所投</w:t>
            </w:r>
            <w:r>
              <w:rPr>
                <w:rFonts w:hint="eastAsia" w:ascii="楷体" w:hAnsi="楷体" w:eastAsia="楷体" w:cs="楷体"/>
                <w:bCs/>
                <w:sz w:val="24"/>
                <w:szCs w:val="24"/>
              </w:rPr>
              <w:t>产品使用操作、校准、日常保养维护等内容</w:t>
            </w:r>
            <w:r>
              <w:rPr>
                <w:rFonts w:hint="eastAsia" w:ascii="楷体" w:hAnsi="楷体" w:eastAsia="楷体" w:cs="楷体"/>
                <w:sz w:val="24"/>
                <w:szCs w:val="24"/>
              </w:rPr>
              <w:t>），每有一项内容且合理、可行的，得0.5分，最高得2.5分，不提供方案或不符合项目需求的，不得分。</w:t>
            </w:r>
          </w:p>
          <w:p w14:paraId="627FA79E">
            <w:pPr>
              <w:widowControl/>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投标人针对上述每一项方案在项目实施过程中所能预见的重点、难点进行分析，具有切实可行、操作性强的解决措施的，每一项方案加0.5分，最高得2.5分。</w:t>
            </w:r>
          </w:p>
        </w:tc>
        <w:tc>
          <w:tcPr>
            <w:tcW w:w="784" w:type="dxa"/>
            <w:shd w:val="clear" w:color="auto" w:fill="auto"/>
            <w:noWrap w:val="0"/>
            <w:vAlign w:val="center"/>
          </w:tcPr>
          <w:p w14:paraId="505CEBB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5</w:t>
            </w:r>
          </w:p>
        </w:tc>
      </w:tr>
      <w:tr w14:paraId="580D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5" w:type="dxa"/>
            <w:shd w:val="clear" w:color="auto" w:fill="auto"/>
            <w:noWrap w:val="0"/>
            <w:vAlign w:val="center"/>
          </w:tcPr>
          <w:p w14:paraId="1A73B52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4</w:t>
            </w:r>
          </w:p>
        </w:tc>
        <w:tc>
          <w:tcPr>
            <w:tcW w:w="1378" w:type="dxa"/>
            <w:shd w:val="clear" w:color="auto" w:fill="auto"/>
            <w:noWrap w:val="0"/>
            <w:vAlign w:val="center"/>
          </w:tcPr>
          <w:p w14:paraId="7DA332FF">
            <w:pPr>
              <w:spacing w:line="360" w:lineRule="auto"/>
              <w:jc w:val="center"/>
              <w:rPr>
                <w:rFonts w:hint="eastAsia" w:ascii="楷体" w:hAnsi="楷体" w:eastAsia="楷体" w:cs="楷体"/>
                <w:sz w:val="24"/>
                <w:szCs w:val="24"/>
              </w:rPr>
            </w:pPr>
            <w:r>
              <w:rPr>
                <w:rFonts w:hint="eastAsia" w:ascii="楷体" w:hAnsi="楷体" w:eastAsia="楷体" w:cs="楷体"/>
                <w:sz w:val="24"/>
                <w:szCs w:val="24"/>
              </w:rPr>
              <w:t>售后服务方案</w:t>
            </w:r>
          </w:p>
        </w:tc>
        <w:tc>
          <w:tcPr>
            <w:tcW w:w="6791" w:type="dxa"/>
            <w:shd w:val="clear" w:color="auto" w:fill="auto"/>
            <w:noWrap w:val="0"/>
            <w:vAlign w:val="top"/>
          </w:tcPr>
          <w:p w14:paraId="27917FF7">
            <w:pPr>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根据本项目实际情况编制①售后服务方案②售后服务承诺③售后服务保障措施④售后专业团队及设备使用情况回访计划等售后服务方案，每有一项内容且合理、可行的，得0.5分，最高得2分，不提供方案或不符合项目需求的，不得分。</w:t>
            </w:r>
          </w:p>
          <w:p w14:paraId="6F186B0A">
            <w:pPr>
              <w:widowControl/>
              <w:spacing w:line="360" w:lineRule="auto"/>
              <w:jc w:val="left"/>
              <w:rPr>
                <w:rFonts w:hint="eastAsia" w:ascii="楷体" w:hAnsi="楷体" w:eastAsia="楷体" w:cs="楷体"/>
                <w:sz w:val="24"/>
                <w:szCs w:val="24"/>
              </w:rPr>
            </w:pPr>
            <w:r>
              <w:rPr>
                <w:rFonts w:hint="eastAsia" w:ascii="楷体" w:hAnsi="楷体" w:eastAsia="楷体" w:cs="楷体"/>
                <w:sz w:val="24"/>
                <w:szCs w:val="24"/>
              </w:rPr>
              <w:t>投标人针对上述每一项方案在项目实施过程中所能预见的重点、难点进行分析，具有切实可行、操作性强的解决措施的，每一项方案加0.5分，最高得2分。</w:t>
            </w:r>
          </w:p>
        </w:tc>
        <w:tc>
          <w:tcPr>
            <w:tcW w:w="784" w:type="dxa"/>
            <w:shd w:val="clear" w:color="auto" w:fill="auto"/>
            <w:noWrap w:val="0"/>
            <w:vAlign w:val="center"/>
          </w:tcPr>
          <w:p w14:paraId="3D508F9B">
            <w:pPr>
              <w:spacing w:line="360" w:lineRule="auto"/>
              <w:jc w:val="center"/>
              <w:rPr>
                <w:rFonts w:hint="eastAsia" w:ascii="楷体" w:hAnsi="楷体" w:eastAsia="楷体" w:cs="楷体"/>
                <w:sz w:val="24"/>
                <w:szCs w:val="24"/>
              </w:rPr>
            </w:pPr>
            <w:r>
              <w:rPr>
                <w:rFonts w:hint="eastAsia" w:ascii="楷体" w:hAnsi="楷体" w:eastAsia="楷体" w:cs="楷体"/>
                <w:sz w:val="24"/>
                <w:szCs w:val="24"/>
              </w:rPr>
              <w:t>4</w:t>
            </w:r>
          </w:p>
        </w:tc>
      </w:tr>
    </w:tbl>
    <w:p w14:paraId="18A0596E">
      <w:pPr>
        <w:widowControl/>
        <w:spacing w:line="360" w:lineRule="auto"/>
        <w:rPr>
          <w:rFonts w:hint="eastAsia" w:ascii="楷体" w:hAnsi="楷体" w:eastAsia="楷体" w:cs="楷体"/>
          <w:b/>
          <w:sz w:val="24"/>
          <w:szCs w:val="24"/>
          <w:highlight w:val="white"/>
        </w:rPr>
      </w:pPr>
    </w:p>
    <w:p w14:paraId="59F16654">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（二）商务评估</w:t>
      </w:r>
    </w:p>
    <w:tbl>
      <w:tblPr>
        <w:tblStyle w:val="6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224"/>
        <w:gridCol w:w="6861"/>
        <w:gridCol w:w="784"/>
      </w:tblGrid>
      <w:tr w14:paraId="6395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jc w:val="center"/>
        </w:trPr>
        <w:tc>
          <w:tcPr>
            <w:tcW w:w="759" w:type="dxa"/>
            <w:shd w:val="clear" w:color="auto" w:fill="auto"/>
            <w:noWrap w:val="0"/>
            <w:vAlign w:val="center"/>
          </w:tcPr>
          <w:p w14:paraId="5B4039D9">
            <w:pPr>
              <w:spacing w:line="360" w:lineRule="auto"/>
              <w:jc w:val="center"/>
              <w:rPr>
                <w:rFonts w:hint="eastAsia" w:ascii="楷体" w:hAnsi="楷体" w:eastAsia="楷体" w:cs="楷体"/>
                <w:sz w:val="24"/>
                <w:szCs w:val="24"/>
              </w:rPr>
            </w:pPr>
            <w:bookmarkStart w:id="261" w:name="EBe32f95f78aad4952b20e73059ceb65f9"/>
            <w:r>
              <w:rPr>
                <w:rFonts w:hint="eastAsia" w:ascii="楷体" w:hAnsi="楷体" w:eastAsia="楷体" w:cs="楷体"/>
                <w:sz w:val="24"/>
                <w:szCs w:val="24"/>
              </w:rPr>
              <w:t>1</w:t>
            </w:r>
          </w:p>
        </w:tc>
        <w:tc>
          <w:tcPr>
            <w:tcW w:w="1224" w:type="dxa"/>
            <w:shd w:val="clear" w:color="auto" w:fill="auto"/>
            <w:noWrap w:val="0"/>
            <w:vAlign w:val="center"/>
          </w:tcPr>
          <w:p w14:paraId="0ED1D3CC">
            <w:pPr>
              <w:spacing w:line="360" w:lineRule="auto"/>
              <w:jc w:val="center"/>
              <w:rPr>
                <w:rFonts w:hint="eastAsia" w:ascii="楷体" w:hAnsi="楷体" w:eastAsia="楷体" w:cs="楷体"/>
                <w:sz w:val="24"/>
                <w:szCs w:val="24"/>
              </w:rPr>
            </w:pPr>
            <w:r>
              <w:rPr>
                <w:rFonts w:hint="eastAsia" w:ascii="楷体" w:hAnsi="楷体" w:eastAsia="楷体" w:cs="楷体"/>
                <w:sz w:val="24"/>
                <w:szCs w:val="24"/>
              </w:rPr>
              <w:t>类似业绩</w:t>
            </w:r>
          </w:p>
        </w:tc>
        <w:tc>
          <w:tcPr>
            <w:tcW w:w="6861" w:type="dxa"/>
            <w:shd w:val="clear" w:color="auto" w:fill="auto"/>
            <w:noWrap w:val="0"/>
            <w:vAlign w:val="center"/>
          </w:tcPr>
          <w:p w14:paraId="1E73DB8D">
            <w:pPr>
              <w:spacing w:line="360" w:lineRule="auto"/>
              <w:rPr>
                <w:rFonts w:hint="eastAsia" w:ascii="楷体" w:hAnsi="楷体" w:eastAsia="楷体" w:cs="楷体"/>
                <w:sz w:val="24"/>
                <w:szCs w:val="24"/>
              </w:rPr>
            </w:pPr>
            <w:bookmarkStart w:id="262" w:name="OLE_LINK9"/>
            <w:r>
              <w:rPr>
                <w:rFonts w:hint="eastAsia" w:ascii="楷体" w:hAnsi="楷体" w:eastAsia="楷体" w:cs="楷体"/>
                <w:sz w:val="24"/>
                <w:szCs w:val="24"/>
              </w:rPr>
              <w:t>自2021年1月1日（以合同签订之日为准）以来投标人承接过类似项目业绩的，每提供1份得2分，最高得6分。</w:t>
            </w:r>
          </w:p>
          <w:p w14:paraId="2D775A45">
            <w:pPr>
              <w:spacing w:line="360" w:lineRule="auto"/>
              <w:rPr>
                <w:rFonts w:hint="eastAsia" w:ascii="楷体" w:hAnsi="楷体" w:eastAsia="楷体" w:cs="楷体"/>
                <w:sz w:val="24"/>
                <w:szCs w:val="24"/>
              </w:rPr>
            </w:pPr>
            <w:r>
              <w:rPr>
                <w:rFonts w:hint="eastAsia" w:ascii="楷体" w:hAnsi="楷体" w:eastAsia="楷体" w:cs="楷体"/>
                <w:sz w:val="24"/>
                <w:szCs w:val="24"/>
              </w:rPr>
              <w:t>注：须提供中标通知书、合同原件扫描件，未按要求提供不得分。</w:t>
            </w:r>
            <w:bookmarkEnd w:id="262"/>
          </w:p>
        </w:tc>
        <w:tc>
          <w:tcPr>
            <w:tcW w:w="784" w:type="dxa"/>
            <w:shd w:val="clear" w:color="auto" w:fill="auto"/>
            <w:noWrap w:val="0"/>
            <w:vAlign w:val="center"/>
          </w:tcPr>
          <w:p w14:paraId="3C223A2B">
            <w:pPr>
              <w:spacing w:line="360" w:lineRule="auto"/>
              <w:jc w:val="center"/>
              <w:rPr>
                <w:rFonts w:hint="eastAsia" w:ascii="楷体" w:hAnsi="楷体" w:eastAsia="楷体" w:cs="楷体"/>
                <w:sz w:val="24"/>
                <w:szCs w:val="24"/>
              </w:rPr>
            </w:pPr>
            <w:r>
              <w:rPr>
                <w:rFonts w:hint="eastAsia" w:ascii="楷体" w:hAnsi="楷体" w:eastAsia="楷体" w:cs="楷体"/>
                <w:sz w:val="24"/>
                <w:szCs w:val="24"/>
              </w:rPr>
              <w:t>6</w:t>
            </w:r>
          </w:p>
        </w:tc>
      </w:tr>
      <w:tr w14:paraId="106B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shd w:val="clear" w:color="auto" w:fill="auto"/>
            <w:noWrap w:val="0"/>
            <w:vAlign w:val="center"/>
          </w:tcPr>
          <w:p w14:paraId="26EB1A88">
            <w:pPr>
              <w:spacing w:line="360" w:lineRule="auto"/>
              <w:jc w:val="center"/>
              <w:rPr>
                <w:rFonts w:hint="eastAsia" w:ascii="楷体" w:hAnsi="楷体" w:eastAsia="楷体" w:cs="楷体"/>
                <w:sz w:val="24"/>
                <w:szCs w:val="24"/>
              </w:rPr>
            </w:pPr>
            <w:r>
              <w:rPr>
                <w:rFonts w:hint="eastAsia" w:ascii="楷体" w:hAnsi="楷体" w:eastAsia="楷体" w:cs="楷体"/>
                <w:sz w:val="24"/>
                <w:szCs w:val="24"/>
              </w:rPr>
              <w:t>2</w:t>
            </w:r>
          </w:p>
        </w:tc>
        <w:tc>
          <w:tcPr>
            <w:tcW w:w="1224" w:type="dxa"/>
            <w:shd w:val="clear" w:color="auto" w:fill="auto"/>
            <w:noWrap w:val="0"/>
            <w:vAlign w:val="center"/>
          </w:tcPr>
          <w:p w14:paraId="0A211F6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体系认证</w:t>
            </w:r>
          </w:p>
        </w:tc>
        <w:tc>
          <w:tcPr>
            <w:tcW w:w="6861" w:type="dxa"/>
            <w:shd w:val="clear" w:color="auto" w:fill="auto"/>
            <w:noWrap w:val="0"/>
            <w:vAlign w:val="center"/>
          </w:tcPr>
          <w:p w14:paraId="69024ECD">
            <w:pPr>
              <w:spacing w:line="360" w:lineRule="auto"/>
              <w:rPr>
                <w:rFonts w:hint="eastAsia" w:ascii="楷体" w:hAnsi="楷体" w:eastAsia="楷体" w:cs="楷体"/>
                <w:sz w:val="24"/>
                <w:szCs w:val="24"/>
              </w:rPr>
            </w:pPr>
            <w:r>
              <w:rPr>
                <w:rFonts w:hint="eastAsia" w:ascii="楷体" w:hAnsi="楷体" w:eastAsia="楷体" w:cs="楷体"/>
                <w:color w:val="auto"/>
                <w:sz w:val="24"/>
                <w:szCs w:val="24"/>
                <w:highlight w:val="none"/>
                <w:lang w:val="en-US" w:eastAsia="zh-CN"/>
              </w:rPr>
              <w:t>投标人或</w:t>
            </w:r>
            <w:r>
              <w:rPr>
                <w:rFonts w:hint="eastAsia" w:ascii="楷体" w:hAnsi="楷体" w:eastAsia="楷体" w:cs="楷体"/>
                <w:sz w:val="24"/>
                <w:szCs w:val="24"/>
                <w:highlight w:val="none"/>
                <w:lang w:bidi="ar"/>
              </w:rPr>
              <w:t>所投产品制造厂商</w:t>
            </w:r>
            <w:r>
              <w:rPr>
                <w:rFonts w:hint="eastAsia" w:ascii="楷体" w:hAnsi="楷体" w:eastAsia="楷体" w:cs="楷体"/>
                <w:color w:val="auto"/>
                <w:sz w:val="24"/>
                <w:szCs w:val="24"/>
                <w:highlight w:val="none"/>
                <w:lang w:val="en-US" w:eastAsia="zh-CN"/>
              </w:rPr>
              <w:t>具有有效的质量管理体系认证证书、环境管理体系认证证书、职业健康安全管理体系认证证书，每提供一项得2分，本项最高得6分</w:t>
            </w:r>
            <w:r>
              <w:rPr>
                <w:rFonts w:hint="eastAsia" w:ascii="楷体" w:hAnsi="楷体" w:eastAsia="楷体" w:cs="楷体"/>
                <w:sz w:val="24"/>
                <w:szCs w:val="24"/>
              </w:rPr>
              <w:t>。</w:t>
            </w:r>
          </w:p>
          <w:p w14:paraId="493FBFF7">
            <w:pPr>
              <w:spacing w:line="360" w:lineRule="auto"/>
              <w:rPr>
                <w:rFonts w:hint="eastAsia" w:ascii="楷体" w:hAnsi="楷体" w:eastAsia="楷体" w:cs="楷体"/>
                <w:sz w:val="24"/>
                <w:szCs w:val="24"/>
              </w:rPr>
            </w:pPr>
            <w:r>
              <w:rPr>
                <w:rFonts w:hint="eastAsia" w:ascii="楷体" w:hAnsi="楷体" w:eastAsia="楷体" w:cs="楷体"/>
                <w:sz w:val="24"/>
                <w:szCs w:val="24"/>
              </w:rPr>
              <w:t>注：1、以上相关认证证书需在“全国认证认可信息公共服务平台”中查询状态为“有效”并提供含网址查询结果截图；</w:t>
            </w:r>
          </w:p>
          <w:p w14:paraId="0A22909C">
            <w:pPr>
              <w:numPr>
                <w:ilvl w:val="0"/>
                <w:numId w:val="0"/>
              </w:numPr>
              <w:spacing w:line="360" w:lineRule="auto"/>
              <w:ind w:leftChars="20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2、提供有效的证书原件扫描件；</w:t>
            </w:r>
          </w:p>
          <w:p w14:paraId="4C7B2ED6">
            <w:pPr>
              <w:numPr>
                <w:ilvl w:val="0"/>
                <w:numId w:val="0"/>
              </w:numPr>
              <w:spacing w:line="360" w:lineRule="auto"/>
              <w:ind w:left="0" w:leftChars="0" w:firstLine="420" w:firstLineChars="175"/>
              <w:rPr>
                <w:rFonts w:hint="eastAsia" w:ascii="楷体" w:hAnsi="楷体" w:eastAsia="楷体" w:cs="楷体"/>
                <w:sz w:val="24"/>
                <w:szCs w:val="24"/>
              </w:rPr>
            </w:pPr>
            <w:r>
              <w:rPr>
                <w:rFonts w:hint="eastAsia" w:ascii="楷体" w:hAnsi="楷体" w:eastAsia="楷体" w:cs="楷体"/>
                <w:sz w:val="24"/>
                <w:szCs w:val="24"/>
                <w:lang w:val="en-US" w:eastAsia="zh-CN"/>
              </w:rPr>
              <w:t>3、</w:t>
            </w:r>
            <w:r>
              <w:rPr>
                <w:rFonts w:hint="eastAsia" w:ascii="楷体" w:hAnsi="楷体" w:eastAsia="楷体" w:cs="楷体"/>
                <w:sz w:val="24"/>
                <w:szCs w:val="24"/>
              </w:rPr>
              <w:t>未按要求提供不得分。</w:t>
            </w:r>
          </w:p>
        </w:tc>
        <w:tc>
          <w:tcPr>
            <w:tcW w:w="784" w:type="dxa"/>
            <w:shd w:val="clear" w:color="auto" w:fill="auto"/>
            <w:noWrap w:val="0"/>
            <w:vAlign w:val="center"/>
          </w:tcPr>
          <w:p w14:paraId="4837ADB7">
            <w:pPr>
              <w:spacing w:line="360" w:lineRule="auto"/>
              <w:jc w:val="center"/>
              <w:rPr>
                <w:rFonts w:hint="eastAsia" w:ascii="楷体" w:hAnsi="楷体" w:eastAsia="楷体" w:cs="楷体"/>
                <w:sz w:val="24"/>
                <w:szCs w:val="24"/>
              </w:rPr>
            </w:pPr>
            <w:r>
              <w:rPr>
                <w:rFonts w:hint="eastAsia" w:ascii="楷体" w:hAnsi="楷体" w:eastAsia="楷体" w:cs="楷体"/>
                <w:sz w:val="24"/>
                <w:szCs w:val="24"/>
              </w:rPr>
              <w:t>6</w:t>
            </w:r>
          </w:p>
        </w:tc>
      </w:tr>
      <w:tr w14:paraId="3103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59" w:type="dxa"/>
            <w:vMerge w:val="restart"/>
            <w:shd w:val="clear" w:color="auto" w:fill="auto"/>
            <w:noWrap w:val="0"/>
            <w:vAlign w:val="center"/>
          </w:tcPr>
          <w:p w14:paraId="20D1861A">
            <w:pPr>
              <w:spacing w:line="360" w:lineRule="auto"/>
              <w:jc w:val="center"/>
              <w:rPr>
                <w:rFonts w:hint="eastAsia" w:ascii="楷体" w:hAnsi="楷体" w:eastAsia="楷体" w:cs="楷体"/>
                <w:sz w:val="24"/>
                <w:szCs w:val="24"/>
              </w:rPr>
            </w:pPr>
            <w:r>
              <w:rPr>
                <w:rFonts w:hint="eastAsia" w:ascii="楷体" w:hAnsi="楷体" w:eastAsia="楷体" w:cs="楷体"/>
                <w:sz w:val="24"/>
                <w:szCs w:val="24"/>
              </w:rPr>
              <w:t>3</w:t>
            </w:r>
          </w:p>
        </w:tc>
        <w:tc>
          <w:tcPr>
            <w:tcW w:w="1224" w:type="dxa"/>
            <w:vMerge w:val="restart"/>
            <w:shd w:val="clear" w:color="auto" w:fill="auto"/>
            <w:noWrap w:val="0"/>
            <w:vAlign w:val="center"/>
          </w:tcPr>
          <w:p w14:paraId="1A2E9E71">
            <w:pPr>
              <w:pStyle w:val="1544"/>
              <w:widowControl w:val="0"/>
              <w:spacing w:line="360" w:lineRule="auto"/>
              <w:jc w:val="center"/>
              <w:rPr>
                <w:rFonts w:hint="eastAsia" w:ascii="楷体" w:hAnsi="楷体" w:eastAsia="楷体" w:cs="楷体"/>
                <w:kern w:val="2"/>
                <w:sz w:val="24"/>
                <w:szCs w:val="24"/>
              </w:rPr>
            </w:pPr>
            <w:r>
              <w:rPr>
                <w:rFonts w:hint="eastAsia" w:ascii="楷体" w:hAnsi="楷体" w:eastAsia="楷体" w:cs="楷体"/>
                <w:kern w:val="2"/>
                <w:sz w:val="24"/>
                <w:szCs w:val="24"/>
              </w:rPr>
              <w:t>节能、环保产品认证</w:t>
            </w:r>
          </w:p>
        </w:tc>
        <w:tc>
          <w:tcPr>
            <w:tcW w:w="6861" w:type="dxa"/>
            <w:shd w:val="clear" w:color="auto" w:fill="auto"/>
            <w:noWrap w:val="0"/>
            <w:vAlign w:val="center"/>
          </w:tcPr>
          <w:p w14:paraId="4B027499">
            <w:pPr>
              <w:widowControl/>
              <w:spacing w:line="360" w:lineRule="auto"/>
              <w:ind w:right="-73" w:rightChars="-35"/>
              <w:jc w:val="left"/>
              <w:rPr>
                <w:rFonts w:hint="eastAsia" w:ascii="楷体" w:hAnsi="楷体" w:eastAsia="楷体" w:cs="楷体"/>
                <w:kern w:val="0"/>
                <w:sz w:val="24"/>
                <w:szCs w:val="24"/>
              </w:rPr>
            </w:pPr>
            <w:r>
              <w:rPr>
                <w:rFonts w:hint="eastAsia" w:ascii="楷体" w:hAnsi="楷体" w:eastAsia="楷体" w:cs="楷体"/>
                <w:kern w:val="0"/>
                <w:sz w:val="24"/>
                <w:szCs w:val="24"/>
              </w:rPr>
              <w:t>供应商所投产品属于财政部、国家发改委公布的“节能产品品目清单”范围内的，投标人提供国家确定的认证机构出具的、处于有效期之内的该节能产品认证证书复印件的，得0.5分。</w:t>
            </w:r>
          </w:p>
        </w:tc>
        <w:tc>
          <w:tcPr>
            <w:tcW w:w="784" w:type="dxa"/>
            <w:shd w:val="clear" w:color="auto" w:fill="auto"/>
            <w:noWrap w:val="0"/>
            <w:vAlign w:val="center"/>
          </w:tcPr>
          <w:p w14:paraId="37037E2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0.5</w:t>
            </w:r>
          </w:p>
        </w:tc>
      </w:tr>
      <w:tr w14:paraId="3172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59" w:type="dxa"/>
            <w:vMerge w:val="continue"/>
            <w:shd w:val="clear" w:color="auto" w:fill="auto"/>
            <w:noWrap w:val="0"/>
            <w:vAlign w:val="center"/>
          </w:tcPr>
          <w:p w14:paraId="5C8DB74C">
            <w:pPr>
              <w:spacing w:line="360" w:lineRule="auto"/>
              <w:jc w:val="center"/>
              <w:rPr>
                <w:rFonts w:hint="eastAsia" w:ascii="楷体" w:hAnsi="楷体" w:eastAsia="楷体" w:cs="楷体"/>
                <w:sz w:val="24"/>
                <w:szCs w:val="24"/>
              </w:rPr>
            </w:pPr>
          </w:p>
        </w:tc>
        <w:tc>
          <w:tcPr>
            <w:tcW w:w="1224" w:type="dxa"/>
            <w:vMerge w:val="continue"/>
            <w:shd w:val="clear" w:color="auto" w:fill="auto"/>
            <w:noWrap w:val="0"/>
            <w:vAlign w:val="center"/>
          </w:tcPr>
          <w:p w14:paraId="3A0EEF74">
            <w:pPr>
              <w:pStyle w:val="1544"/>
              <w:widowControl w:val="0"/>
              <w:spacing w:line="360" w:lineRule="auto"/>
              <w:jc w:val="center"/>
              <w:rPr>
                <w:rFonts w:hint="eastAsia" w:ascii="楷体" w:hAnsi="楷体" w:eastAsia="楷体" w:cs="楷体"/>
                <w:kern w:val="2"/>
                <w:sz w:val="24"/>
                <w:szCs w:val="24"/>
              </w:rPr>
            </w:pPr>
          </w:p>
        </w:tc>
        <w:tc>
          <w:tcPr>
            <w:tcW w:w="6861" w:type="dxa"/>
            <w:shd w:val="clear" w:color="auto" w:fill="auto"/>
            <w:noWrap w:val="0"/>
            <w:vAlign w:val="center"/>
          </w:tcPr>
          <w:p w14:paraId="2FBEFF4D">
            <w:pPr>
              <w:widowControl/>
              <w:spacing w:line="360" w:lineRule="auto"/>
              <w:ind w:right="-73" w:rightChars="-35"/>
              <w:jc w:val="left"/>
              <w:rPr>
                <w:rFonts w:hint="eastAsia" w:ascii="楷体" w:hAnsi="楷体" w:eastAsia="楷体" w:cs="楷体"/>
                <w:kern w:val="0"/>
                <w:sz w:val="24"/>
                <w:szCs w:val="24"/>
              </w:rPr>
            </w:pPr>
            <w:r>
              <w:rPr>
                <w:rFonts w:hint="eastAsia" w:ascii="楷体" w:hAnsi="楷体" w:eastAsia="楷体" w:cs="楷体"/>
                <w:kern w:val="0"/>
                <w:sz w:val="24"/>
                <w:szCs w:val="24"/>
              </w:rPr>
              <w:t>供应商所投产品属于财政部、生态环境部公布的“环境标志产品品目清单”范围内的，投标人提供国家确定的认证机构出具的、处于有效期内的该环保产品认证证书复印件的，得0.5分。</w:t>
            </w:r>
          </w:p>
        </w:tc>
        <w:tc>
          <w:tcPr>
            <w:tcW w:w="784" w:type="dxa"/>
            <w:shd w:val="clear" w:color="auto" w:fill="auto"/>
            <w:noWrap w:val="0"/>
            <w:vAlign w:val="center"/>
          </w:tcPr>
          <w:p w14:paraId="60FA8B5C">
            <w:pPr>
              <w:spacing w:line="360" w:lineRule="auto"/>
              <w:jc w:val="center"/>
              <w:rPr>
                <w:rFonts w:hint="eastAsia" w:ascii="楷体" w:hAnsi="楷体" w:eastAsia="楷体" w:cs="楷体"/>
                <w:sz w:val="24"/>
                <w:szCs w:val="24"/>
              </w:rPr>
            </w:pPr>
            <w:r>
              <w:rPr>
                <w:rFonts w:hint="eastAsia" w:ascii="楷体" w:hAnsi="楷体" w:eastAsia="楷体" w:cs="楷体"/>
                <w:sz w:val="24"/>
                <w:szCs w:val="24"/>
              </w:rPr>
              <w:t>0.5</w:t>
            </w:r>
          </w:p>
        </w:tc>
      </w:tr>
      <w:bookmarkEnd w:id="261"/>
    </w:tbl>
    <w:p w14:paraId="3626E05D">
      <w:pPr>
        <w:widowControl/>
        <w:spacing w:line="360" w:lineRule="auto"/>
        <w:rPr>
          <w:rFonts w:hint="eastAsia" w:ascii="楷体" w:hAnsi="楷体" w:eastAsia="楷体" w:cs="楷体"/>
          <w:b/>
          <w:sz w:val="24"/>
          <w:szCs w:val="24"/>
          <w:highlight w:val="white"/>
        </w:rPr>
      </w:pPr>
    </w:p>
    <w:p w14:paraId="6F359B41">
      <w:pPr>
        <w:widowControl/>
        <w:spacing w:line="360" w:lineRule="auto"/>
        <w:rPr>
          <w:rFonts w:hint="eastAsia" w:ascii="楷体" w:hAnsi="楷体" w:eastAsia="楷体" w:cs="楷体"/>
          <w:b/>
          <w:sz w:val="24"/>
          <w:szCs w:val="24"/>
        </w:rPr>
      </w:pPr>
      <w:r>
        <w:rPr>
          <w:rFonts w:hint="eastAsia" w:ascii="楷体" w:hAnsi="楷体" w:eastAsia="楷体" w:cs="楷体"/>
          <w:b/>
          <w:sz w:val="24"/>
          <w:szCs w:val="24"/>
          <w:highlight w:val="white"/>
        </w:rPr>
        <w:t>（三）价格评估</w:t>
      </w:r>
    </w:p>
    <w:p w14:paraId="69B5751B">
      <w:pPr>
        <w:widowControl/>
        <w:spacing w:line="360" w:lineRule="auto"/>
        <w:rPr>
          <w:rFonts w:hint="eastAsia" w:ascii="楷体" w:hAnsi="楷体" w:eastAsia="楷体" w:cs="楷体"/>
          <w:b/>
          <w:sz w:val="24"/>
          <w:szCs w:val="24"/>
          <w:highlight w:val="red"/>
        </w:rPr>
      </w:pPr>
      <w:bookmarkStart w:id="263" w:name="EBd5db0f0abb524b2ca8ae74044d94fe36"/>
    </w:p>
    <w:tbl>
      <w:tblPr>
        <w:tblStyle w:val="68"/>
        <w:tblW w:w="5007" w:type="pct"/>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248"/>
        <w:gridCol w:w="6857"/>
        <w:gridCol w:w="800"/>
      </w:tblGrid>
      <w:tr w14:paraId="014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2AEE2C">
            <w:pPr>
              <w:pStyle w:val="1545"/>
              <w:jc w:val="center"/>
              <w:rPr>
                <w:rFonts w:hint="eastAsia" w:ascii="楷体" w:hAnsi="楷体" w:eastAsia="楷体" w:cs="楷体"/>
                <w:sz w:val="24"/>
                <w:szCs w:val="24"/>
              </w:rPr>
            </w:pPr>
            <w:r>
              <w:rPr>
                <w:rFonts w:hint="eastAsia" w:ascii="楷体" w:hAnsi="楷体" w:eastAsia="楷体" w:cs="楷体"/>
                <w:sz w:val="24"/>
                <w:szCs w:val="24"/>
              </w:rPr>
              <w:t>序号</w:t>
            </w:r>
          </w:p>
        </w:tc>
        <w:tc>
          <w:tcPr>
            <w:tcW w:w="6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C52496">
            <w:pPr>
              <w:pStyle w:val="1545"/>
              <w:jc w:val="center"/>
              <w:rPr>
                <w:rFonts w:hint="eastAsia" w:ascii="楷体" w:hAnsi="楷体" w:eastAsia="楷体" w:cs="楷体"/>
                <w:sz w:val="24"/>
                <w:szCs w:val="24"/>
              </w:rPr>
            </w:pPr>
            <w:r>
              <w:rPr>
                <w:rFonts w:hint="eastAsia" w:ascii="楷体" w:hAnsi="楷体" w:eastAsia="楷体" w:cs="楷体"/>
                <w:sz w:val="24"/>
                <w:szCs w:val="24"/>
              </w:rPr>
              <w:t>评审因素</w:t>
            </w:r>
          </w:p>
        </w:tc>
        <w:tc>
          <w:tcPr>
            <w:tcW w:w="355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B0A35A">
            <w:pPr>
              <w:pStyle w:val="1545"/>
              <w:jc w:val="center"/>
              <w:rPr>
                <w:rFonts w:hint="eastAsia" w:ascii="楷体" w:hAnsi="楷体" w:eastAsia="楷体" w:cs="楷体"/>
                <w:sz w:val="24"/>
                <w:szCs w:val="24"/>
              </w:rPr>
            </w:pPr>
            <w:r>
              <w:rPr>
                <w:rFonts w:hint="eastAsia" w:ascii="楷体" w:hAnsi="楷体" w:eastAsia="楷体" w:cs="楷体"/>
                <w:sz w:val="24"/>
                <w:szCs w:val="24"/>
              </w:rPr>
              <w:t>评审细则</w:t>
            </w:r>
          </w:p>
        </w:tc>
        <w:tc>
          <w:tcPr>
            <w:tcW w:w="41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6706B0">
            <w:pPr>
              <w:pStyle w:val="1545"/>
              <w:jc w:val="center"/>
              <w:rPr>
                <w:rFonts w:hint="eastAsia" w:ascii="楷体" w:hAnsi="楷体" w:eastAsia="楷体" w:cs="楷体"/>
                <w:sz w:val="24"/>
                <w:szCs w:val="24"/>
              </w:rPr>
            </w:pPr>
            <w:r>
              <w:rPr>
                <w:rFonts w:hint="eastAsia" w:ascii="楷体" w:hAnsi="楷体" w:eastAsia="楷体" w:cs="楷体"/>
                <w:sz w:val="24"/>
                <w:szCs w:val="24"/>
              </w:rPr>
              <w:t>分值</w:t>
            </w:r>
          </w:p>
        </w:tc>
      </w:tr>
      <w:tr w14:paraId="6D39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4"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BA3DF4">
            <w:pPr>
              <w:pStyle w:val="1545"/>
              <w:jc w:val="center"/>
              <w:rPr>
                <w:rFonts w:hint="eastAsia" w:ascii="楷体" w:hAnsi="楷体" w:eastAsia="楷体" w:cs="楷体"/>
                <w:sz w:val="24"/>
                <w:szCs w:val="24"/>
              </w:rPr>
            </w:pPr>
            <w:r>
              <w:rPr>
                <w:rFonts w:hint="eastAsia" w:ascii="楷体" w:hAnsi="楷体" w:eastAsia="楷体" w:cs="楷体"/>
                <w:sz w:val="24"/>
                <w:szCs w:val="24"/>
              </w:rPr>
              <w:t>投标报价得分</w:t>
            </w:r>
          </w:p>
        </w:tc>
        <w:tc>
          <w:tcPr>
            <w:tcW w:w="41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E65422">
            <w:pPr>
              <w:pStyle w:val="1545"/>
              <w:jc w:val="center"/>
              <w:rPr>
                <w:rFonts w:hint="eastAsia" w:ascii="楷体" w:hAnsi="楷体" w:eastAsia="楷体" w:cs="楷体"/>
                <w:sz w:val="24"/>
                <w:szCs w:val="24"/>
              </w:rPr>
            </w:pPr>
            <w:r>
              <w:rPr>
                <w:rFonts w:hint="eastAsia" w:ascii="楷体" w:hAnsi="楷体" w:eastAsia="楷体" w:cs="楷体"/>
                <w:sz w:val="24"/>
                <w:szCs w:val="24"/>
              </w:rPr>
              <w:t>30</w:t>
            </w:r>
          </w:p>
        </w:tc>
      </w:tr>
      <w:tr w14:paraId="6EB3C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D45196">
            <w:pPr>
              <w:pStyle w:val="1545"/>
              <w:jc w:val="center"/>
              <w:rPr>
                <w:rFonts w:hint="eastAsia" w:ascii="楷体" w:hAnsi="楷体" w:eastAsia="楷体" w:cs="楷体"/>
                <w:sz w:val="24"/>
                <w:szCs w:val="24"/>
              </w:rPr>
            </w:pPr>
            <w:r>
              <w:rPr>
                <w:rFonts w:hint="eastAsia" w:ascii="楷体" w:hAnsi="楷体" w:eastAsia="楷体" w:cs="楷体"/>
                <w:sz w:val="24"/>
                <w:szCs w:val="24"/>
              </w:rPr>
              <w:t>1.1</w:t>
            </w:r>
          </w:p>
        </w:tc>
        <w:tc>
          <w:tcPr>
            <w:tcW w:w="6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42082C">
            <w:pPr>
              <w:pStyle w:val="1545"/>
              <w:spacing w:line="360" w:lineRule="auto"/>
              <w:jc w:val="center"/>
              <w:rPr>
                <w:rFonts w:hint="eastAsia" w:ascii="楷体" w:hAnsi="楷体" w:eastAsia="楷体" w:cs="楷体"/>
                <w:sz w:val="24"/>
                <w:szCs w:val="24"/>
              </w:rPr>
            </w:pPr>
            <w:r>
              <w:rPr>
                <w:rFonts w:hint="eastAsia" w:ascii="楷体" w:hAnsi="楷体" w:eastAsia="楷体" w:cs="楷体"/>
                <w:sz w:val="24"/>
                <w:szCs w:val="24"/>
              </w:rPr>
              <w:t>投标报价</w:t>
            </w:r>
          </w:p>
        </w:tc>
        <w:tc>
          <w:tcPr>
            <w:tcW w:w="355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875B14">
            <w:pPr>
              <w:spacing w:line="360" w:lineRule="auto"/>
              <w:rPr>
                <w:rFonts w:hint="eastAsia" w:ascii="楷体" w:hAnsi="楷体" w:eastAsia="楷体" w:cs="楷体"/>
                <w:sz w:val="24"/>
                <w:szCs w:val="24"/>
              </w:rPr>
            </w:pPr>
            <w:r>
              <w:rPr>
                <w:rFonts w:hint="eastAsia" w:ascii="楷体" w:hAnsi="楷体" w:eastAsia="楷体" w:cs="楷体"/>
                <w:sz w:val="24"/>
                <w:szCs w:val="24"/>
              </w:rPr>
              <w:t>价格分采用低价优先法计算，即满足采购文件要求且报价最低的投标人报价为评标基准价，其价格分为满分30分，其它投标人的价格分统一按照以下公式计算：投标报价得分=（评标基准价/该投标人的投标报价）×30分。</w:t>
            </w:r>
          </w:p>
          <w:bookmarkEnd w:id="263"/>
        </w:tc>
        <w:tc>
          <w:tcPr>
            <w:tcW w:w="41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DA0257">
            <w:pPr>
              <w:pStyle w:val="1545"/>
              <w:jc w:val="center"/>
              <w:rPr>
                <w:rFonts w:hint="eastAsia" w:ascii="楷体" w:hAnsi="楷体" w:eastAsia="楷体" w:cs="楷体"/>
                <w:sz w:val="24"/>
                <w:szCs w:val="24"/>
              </w:rPr>
            </w:pPr>
            <w:r>
              <w:rPr>
                <w:rFonts w:hint="eastAsia" w:ascii="楷体" w:hAnsi="楷体" w:eastAsia="楷体" w:cs="楷体"/>
                <w:sz w:val="24"/>
                <w:szCs w:val="24"/>
              </w:rPr>
              <w:t>30</w:t>
            </w:r>
          </w:p>
        </w:tc>
      </w:tr>
    </w:tbl>
    <w:p w14:paraId="5EFE055C">
      <w:pPr>
        <w:pStyle w:val="3"/>
        <w:ind w:left="0" w:leftChars="0" w:firstLine="0" w:firstLineChars="0"/>
        <w:rPr>
          <w:rFonts w:hint="eastAsia" w:ascii="楷体" w:hAnsi="楷体" w:eastAsia="楷体" w:cs="楷体"/>
          <w:sz w:val="24"/>
          <w:szCs w:val="24"/>
          <w:lang w:val="en-US" w:eastAsia="zh-CN"/>
        </w:rPr>
      </w:pPr>
    </w:p>
    <w:p w14:paraId="6FBBCBBE">
      <w:pPr>
        <w:pStyle w:val="2"/>
        <w:ind w:firstLine="482" w:firstLineChars="200"/>
        <w:rPr>
          <w:rFonts w:hint="eastAsia" w:ascii="楷体" w:hAnsi="楷体" w:eastAsia="楷体" w:cs="楷体"/>
          <w:b/>
          <w:sz w:val="24"/>
          <w:szCs w:val="24"/>
          <w:lang w:val="en-US" w:eastAsia="zh-CN" w:bidi="ar-SA"/>
        </w:rPr>
      </w:pPr>
    </w:p>
    <w:p w14:paraId="46589714">
      <w:pPr>
        <w:pStyle w:val="2"/>
        <w:ind w:firstLine="482" w:firstLineChars="200"/>
        <w:rPr>
          <w:rFonts w:hint="eastAsia" w:ascii="楷体" w:hAnsi="楷体" w:eastAsia="楷体" w:cs="楷体"/>
          <w:b/>
          <w:sz w:val="24"/>
          <w:szCs w:val="24"/>
          <w:lang w:val="en-US" w:eastAsia="zh-CN" w:bidi="ar-SA"/>
        </w:rPr>
      </w:pPr>
    </w:p>
    <w:p w14:paraId="2B08519D">
      <w:pPr>
        <w:pStyle w:val="2"/>
        <w:ind w:firstLine="482" w:firstLineChars="200"/>
        <w:rPr>
          <w:rFonts w:hint="eastAsia" w:ascii="楷体" w:hAnsi="楷体" w:eastAsia="楷体" w:cs="楷体"/>
          <w:b/>
          <w:sz w:val="24"/>
          <w:szCs w:val="24"/>
          <w:lang w:val="en-US" w:eastAsia="zh-CN" w:bidi="ar-SA"/>
        </w:rPr>
      </w:pPr>
    </w:p>
    <w:p w14:paraId="0A5F3450">
      <w:pPr>
        <w:pStyle w:val="2"/>
        <w:ind w:firstLine="482" w:firstLineChars="200"/>
        <w:rPr>
          <w:rFonts w:hint="eastAsia" w:ascii="楷体" w:hAnsi="楷体" w:eastAsia="楷体" w:cs="楷体"/>
          <w:b/>
          <w:sz w:val="24"/>
          <w:szCs w:val="24"/>
          <w:lang w:val="en-US" w:eastAsia="zh-CN" w:bidi="ar-SA"/>
        </w:rPr>
      </w:pPr>
    </w:p>
    <w:p w14:paraId="5A990B06">
      <w:pPr>
        <w:pStyle w:val="2"/>
        <w:ind w:firstLine="482" w:firstLineChars="200"/>
        <w:rPr>
          <w:rFonts w:hint="eastAsia" w:ascii="楷体" w:hAnsi="楷体" w:eastAsia="楷体" w:cs="楷体"/>
          <w:b/>
          <w:sz w:val="24"/>
          <w:szCs w:val="24"/>
          <w:lang w:val="en-US" w:eastAsia="zh-CN" w:bidi="ar-SA"/>
        </w:rPr>
      </w:pPr>
    </w:p>
    <w:p w14:paraId="28F811D5">
      <w:pPr>
        <w:pStyle w:val="2"/>
        <w:ind w:firstLine="482" w:firstLineChars="200"/>
        <w:rPr>
          <w:rFonts w:hint="eastAsia" w:ascii="楷体" w:hAnsi="楷体" w:eastAsia="楷体" w:cs="楷体"/>
          <w:b/>
          <w:sz w:val="24"/>
          <w:szCs w:val="24"/>
          <w:lang w:val="en-US" w:eastAsia="zh-CN" w:bidi="ar-SA"/>
        </w:rPr>
      </w:pPr>
    </w:p>
    <w:p w14:paraId="0FD749AB">
      <w:pPr>
        <w:pStyle w:val="2"/>
        <w:ind w:firstLine="482" w:firstLineChars="200"/>
        <w:rPr>
          <w:rFonts w:hint="eastAsia" w:ascii="楷体" w:hAnsi="楷体" w:eastAsia="楷体" w:cs="楷体"/>
          <w:b/>
          <w:sz w:val="24"/>
          <w:szCs w:val="24"/>
          <w:lang w:val="en-US" w:eastAsia="zh-CN" w:bidi="ar-SA"/>
        </w:rPr>
      </w:pPr>
    </w:p>
    <w:p w14:paraId="2F5E5897">
      <w:pPr>
        <w:pStyle w:val="2"/>
        <w:ind w:firstLine="482" w:firstLineChars="200"/>
        <w:rPr>
          <w:rFonts w:hint="eastAsia" w:ascii="楷体" w:hAnsi="楷体" w:eastAsia="楷体" w:cs="楷体"/>
          <w:b/>
          <w:sz w:val="24"/>
          <w:szCs w:val="24"/>
          <w:lang w:val="en-US" w:eastAsia="zh-CN" w:bidi="ar-SA"/>
        </w:rPr>
      </w:pPr>
    </w:p>
    <w:p w14:paraId="70B7C9DF">
      <w:pPr>
        <w:pStyle w:val="2"/>
        <w:ind w:firstLine="482" w:firstLineChars="200"/>
        <w:rPr>
          <w:rFonts w:hint="eastAsia" w:ascii="楷体" w:hAnsi="楷体" w:eastAsia="楷体" w:cs="楷体"/>
          <w:b/>
          <w:sz w:val="24"/>
          <w:szCs w:val="24"/>
          <w:lang w:val="en-US" w:eastAsia="zh-CN" w:bidi="ar-SA"/>
        </w:rPr>
      </w:pPr>
    </w:p>
    <w:p w14:paraId="66687DCC">
      <w:pPr>
        <w:pStyle w:val="2"/>
        <w:ind w:firstLine="482" w:firstLineChars="200"/>
        <w:rPr>
          <w:rFonts w:hint="eastAsia" w:ascii="楷体" w:hAnsi="楷体" w:eastAsia="楷体" w:cs="楷体"/>
          <w:b/>
          <w:sz w:val="24"/>
          <w:szCs w:val="24"/>
          <w:lang w:val="en-US" w:eastAsia="zh-CN" w:bidi="ar-SA"/>
        </w:rPr>
      </w:pPr>
    </w:p>
    <w:p w14:paraId="6CCACA0B">
      <w:pPr>
        <w:pStyle w:val="2"/>
        <w:ind w:firstLine="482" w:firstLineChars="200"/>
        <w:rPr>
          <w:rFonts w:hint="eastAsia" w:ascii="楷体" w:hAnsi="楷体" w:eastAsia="楷体" w:cs="楷体"/>
          <w:b/>
          <w:sz w:val="24"/>
          <w:szCs w:val="24"/>
          <w:lang w:val="en-US" w:eastAsia="zh-CN" w:bidi="ar-SA"/>
        </w:rPr>
      </w:pPr>
    </w:p>
    <w:p w14:paraId="711D74AB">
      <w:pPr>
        <w:pStyle w:val="2"/>
        <w:ind w:firstLine="482" w:firstLineChars="200"/>
        <w:rPr>
          <w:rFonts w:hint="eastAsia" w:ascii="楷体" w:hAnsi="楷体" w:eastAsia="楷体" w:cs="楷体"/>
          <w:b/>
          <w:sz w:val="24"/>
          <w:szCs w:val="24"/>
          <w:lang w:val="en-US" w:eastAsia="zh-CN" w:bidi="ar-SA"/>
        </w:rPr>
      </w:pPr>
    </w:p>
    <w:p w14:paraId="19AF2EB1">
      <w:pPr>
        <w:pStyle w:val="2"/>
        <w:ind w:firstLine="482" w:firstLineChars="200"/>
        <w:rPr>
          <w:rFonts w:hint="eastAsia" w:ascii="楷体" w:hAnsi="楷体" w:eastAsia="楷体" w:cs="楷体"/>
          <w:b/>
          <w:sz w:val="24"/>
          <w:szCs w:val="24"/>
          <w:lang w:val="en-US" w:eastAsia="zh-CN" w:bidi="ar-SA"/>
        </w:rPr>
      </w:pPr>
    </w:p>
    <w:p w14:paraId="3A8725D7">
      <w:pPr>
        <w:pStyle w:val="2"/>
        <w:ind w:firstLine="482" w:firstLineChars="200"/>
        <w:rPr>
          <w:rFonts w:hint="eastAsia" w:ascii="楷体" w:hAnsi="楷体" w:eastAsia="楷体" w:cs="楷体"/>
          <w:b/>
          <w:sz w:val="24"/>
          <w:szCs w:val="24"/>
          <w:lang w:val="en-US" w:eastAsia="zh-CN" w:bidi="ar-SA"/>
        </w:rPr>
      </w:pPr>
      <w:r>
        <w:rPr>
          <w:rFonts w:hint="eastAsia" w:ascii="楷体" w:hAnsi="楷体" w:eastAsia="楷体" w:cs="楷体"/>
          <w:b/>
          <w:sz w:val="24"/>
          <w:szCs w:val="24"/>
          <w:lang w:val="en-US" w:eastAsia="zh-CN" w:bidi="ar-SA"/>
        </w:rPr>
        <w:t>采购包4</w:t>
      </w:r>
    </w:p>
    <w:p w14:paraId="6C3352B6">
      <w:pPr>
        <w:pStyle w:val="3"/>
        <w:rPr>
          <w:rFonts w:hint="eastAsia" w:ascii="楷体" w:hAnsi="楷体" w:eastAsia="楷体" w:cs="楷体"/>
          <w:sz w:val="24"/>
          <w:szCs w:val="24"/>
          <w:lang w:val="en-US" w:eastAsia="zh-CN"/>
        </w:rPr>
      </w:pPr>
    </w:p>
    <w:tbl>
      <w:tblPr>
        <w:tblStyle w:val="68"/>
        <w:tblW w:w="97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04"/>
        <w:gridCol w:w="2320"/>
        <w:gridCol w:w="2750"/>
        <w:gridCol w:w="2687"/>
      </w:tblGrid>
      <w:tr w14:paraId="2CA49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004" w:type="dxa"/>
            <w:noWrap w:val="0"/>
            <w:vAlign w:val="top"/>
          </w:tcPr>
          <w:p w14:paraId="3D038D25">
            <w:pPr>
              <w:spacing w:line="360" w:lineRule="auto"/>
              <w:jc w:val="center"/>
              <w:rPr>
                <w:rFonts w:hint="eastAsia" w:ascii="楷体" w:hAnsi="楷体" w:eastAsia="楷体" w:cs="楷体"/>
                <w:sz w:val="24"/>
                <w:szCs w:val="24"/>
              </w:rPr>
            </w:pPr>
            <w:r>
              <w:rPr>
                <w:rFonts w:hint="eastAsia" w:ascii="楷体" w:hAnsi="楷体" w:eastAsia="楷体" w:cs="楷体"/>
                <w:sz w:val="24"/>
                <w:szCs w:val="24"/>
              </w:rPr>
              <w:t>评分项目</w:t>
            </w:r>
          </w:p>
        </w:tc>
        <w:tc>
          <w:tcPr>
            <w:tcW w:w="2320" w:type="dxa"/>
            <w:noWrap w:val="0"/>
            <w:vAlign w:val="top"/>
          </w:tcPr>
          <w:p w14:paraId="3F6B3181">
            <w:pPr>
              <w:spacing w:line="360" w:lineRule="auto"/>
              <w:jc w:val="center"/>
              <w:rPr>
                <w:rFonts w:hint="eastAsia" w:ascii="楷体" w:hAnsi="楷体" w:eastAsia="楷体" w:cs="楷体"/>
                <w:sz w:val="24"/>
                <w:szCs w:val="24"/>
              </w:rPr>
            </w:pPr>
            <w:r>
              <w:rPr>
                <w:rFonts w:hint="eastAsia" w:ascii="楷体" w:hAnsi="楷体" w:eastAsia="楷体" w:cs="楷体"/>
                <w:sz w:val="24"/>
                <w:szCs w:val="24"/>
              </w:rPr>
              <w:t>技术评估</w:t>
            </w:r>
          </w:p>
        </w:tc>
        <w:tc>
          <w:tcPr>
            <w:tcW w:w="2750" w:type="dxa"/>
            <w:noWrap w:val="0"/>
            <w:vAlign w:val="top"/>
          </w:tcPr>
          <w:p w14:paraId="4CA6852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商务评估</w:t>
            </w:r>
          </w:p>
        </w:tc>
        <w:tc>
          <w:tcPr>
            <w:tcW w:w="2687" w:type="dxa"/>
            <w:noWrap w:val="0"/>
            <w:vAlign w:val="top"/>
          </w:tcPr>
          <w:p w14:paraId="1517DBE2">
            <w:pPr>
              <w:spacing w:line="360" w:lineRule="auto"/>
              <w:jc w:val="center"/>
              <w:rPr>
                <w:rFonts w:hint="eastAsia" w:ascii="楷体" w:hAnsi="楷体" w:eastAsia="楷体" w:cs="楷体"/>
                <w:sz w:val="24"/>
                <w:szCs w:val="24"/>
              </w:rPr>
            </w:pPr>
            <w:r>
              <w:rPr>
                <w:rFonts w:hint="eastAsia" w:ascii="楷体" w:hAnsi="楷体" w:eastAsia="楷体" w:cs="楷体"/>
                <w:sz w:val="24"/>
                <w:szCs w:val="24"/>
              </w:rPr>
              <w:t>价格评估</w:t>
            </w:r>
          </w:p>
        </w:tc>
      </w:tr>
      <w:tr w14:paraId="33C26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jc w:val="center"/>
        </w:trPr>
        <w:tc>
          <w:tcPr>
            <w:tcW w:w="2004" w:type="dxa"/>
            <w:noWrap w:val="0"/>
            <w:vAlign w:val="top"/>
          </w:tcPr>
          <w:p w14:paraId="02E90C97">
            <w:pPr>
              <w:spacing w:line="360" w:lineRule="auto"/>
              <w:jc w:val="center"/>
              <w:rPr>
                <w:rFonts w:hint="eastAsia" w:ascii="楷体" w:hAnsi="楷体" w:eastAsia="楷体" w:cs="楷体"/>
                <w:sz w:val="24"/>
                <w:szCs w:val="24"/>
              </w:rPr>
            </w:pPr>
            <w:r>
              <w:rPr>
                <w:rFonts w:hint="eastAsia" w:ascii="楷体" w:hAnsi="楷体" w:eastAsia="楷体" w:cs="楷体"/>
                <w:sz w:val="24"/>
                <w:szCs w:val="24"/>
              </w:rPr>
              <w:t>分值</w:t>
            </w:r>
          </w:p>
        </w:tc>
        <w:tc>
          <w:tcPr>
            <w:tcW w:w="2320" w:type="dxa"/>
            <w:noWrap w:val="0"/>
            <w:vAlign w:val="top"/>
          </w:tcPr>
          <w:p w14:paraId="25308952">
            <w:pPr>
              <w:spacing w:line="360" w:lineRule="auto"/>
              <w:jc w:val="center"/>
              <w:rPr>
                <w:rFonts w:hint="default" w:ascii="楷体" w:hAnsi="楷体" w:eastAsia="楷体" w:cs="楷体"/>
                <w:sz w:val="24"/>
                <w:szCs w:val="24"/>
                <w:lang w:val="en-US" w:eastAsia="zh-CN"/>
              </w:rPr>
            </w:pPr>
            <w:r>
              <w:rPr>
                <w:rFonts w:hint="eastAsia" w:ascii="楷体" w:hAnsi="楷体" w:eastAsia="楷体" w:cs="楷体"/>
                <w:sz w:val="24"/>
                <w:szCs w:val="24"/>
              </w:rPr>
              <w:t>58</w:t>
            </w:r>
            <w:r>
              <w:rPr>
                <w:rFonts w:hint="eastAsia" w:ascii="楷体" w:hAnsi="楷体" w:eastAsia="楷体" w:cs="楷体"/>
                <w:sz w:val="24"/>
                <w:szCs w:val="24"/>
                <w:lang w:val="en-US" w:eastAsia="zh-CN"/>
              </w:rPr>
              <w:t>.00</w:t>
            </w:r>
          </w:p>
        </w:tc>
        <w:tc>
          <w:tcPr>
            <w:tcW w:w="2750" w:type="dxa"/>
            <w:noWrap w:val="0"/>
            <w:vAlign w:val="top"/>
          </w:tcPr>
          <w:p w14:paraId="14A9EE04">
            <w:pPr>
              <w:spacing w:line="360" w:lineRule="auto"/>
              <w:jc w:val="center"/>
              <w:rPr>
                <w:rFonts w:hint="default" w:ascii="楷体" w:hAnsi="楷体" w:eastAsia="楷体" w:cs="楷体"/>
                <w:sz w:val="24"/>
                <w:szCs w:val="24"/>
                <w:lang w:val="en-US" w:eastAsia="zh-CN"/>
              </w:rPr>
            </w:pPr>
            <w:r>
              <w:rPr>
                <w:rFonts w:hint="eastAsia" w:ascii="楷体" w:hAnsi="楷体" w:eastAsia="楷体" w:cs="楷体"/>
                <w:sz w:val="24"/>
                <w:szCs w:val="24"/>
              </w:rPr>
              <w:t>12</w:t>
            </w:r>
            <w:r>
              <w:rPr>
                <w:rFonts w:hint="eastAsia" w:ascii="楷体" w:hAnsi="楷体" w:eastAsia="楷体" w:cs="楷体"/>
                <w:sz w:val="24"/>
                <w:szCs w:val="24"/>
                <w:lang w:val="en-US" w:eastAsia="zh-CN"/>
              </w:rPr>
              <w:t>.00</w:t>
            </w:r>
          </w:p>
        </w:tc>
        <w:tc>
          <w:tcPr>
            <w:tcW w:w="2687" w:type="dxa"/>
            <w:noWrap w:val="0"/>
            <w:vAlign w:val="top"/>
          </w:tcPr>
          <w:p w14:paraId="4EA3F0F1">
            <w:pPr>
              <w:spacing w:line="360" w:lineRule="auto"/>
              <w:jc w:val="center"/>
              <w:rPr>
                <w:rFonts w:hint="default" w:ascii="楷体" w:hAnsi="楷体" w:eastAsia="楷体" w:cs="楷体"/>
                <w:sz w:val="24"/>
                <w:szCs w:val="24"/>
                <w:lang w:val="en-US" w:eastAsia="zh-CN"/>
              </w:rPr>
            </w:pPr>
            <w:r>
              <w:rPr>
                <w:rFonts w:hint="eastAsia" w:ascii="楷体" w:hAnsi="楷体" w:eastAsia="楷体" w:cs="楷体"/>
                <w:sz w:val="24"/>
                <w:szCs w:val="24"/>
              </w:rPr>
              <w:t>30</w:t>
            </w:r>
            <w:r>
              <w:rPr>
                <w:rFonts w:hint="eastAsia" w:ascii="楷体" w:hAnsi="楷体" w:eastAsia="楷体" w:cs="楷体"/>
                <w:sz w:val="24"/>
                <w:szCs w:val="24"/>
                <w:lang w:val="en-US" w:eastAsia="zh-CN"/>
              </w:rPr>
              <w:t>.00</w:t>
            </w:r>
          </w:p>
        </w:tc>
      </w:tr>
    </w:tbl>
    <w:p w14:paraId="3B480C9D">
      <w:pPr>
        <w:spacing w:line="360" w:lineRule="auto"/>
        <w:rPr>
          <w:rFonts w:hint="eastAsia" w:ascii="楷体" w:hAnsi="楷体" w:eastAsia="楷体" w:cs="楷体"/>
          <w:b/>
          <w:bCs/>
          <w:color w:val="000000"/>
          <w:sz w:val="24"/>
          <w:szCs w:val="24"/>
        </w:rPr>
      </w:pPr>
      <w:r>
        <w:rPr>
          <w:rFonts w:hint="eastAsia" w:ascii="楷体" w:hAnsi="楷体" w:eastAsia="楷体" w:cs="楷体"/>
          <w:b/>
          <w:bCs/>
          <w:color w:val="000000"/>
          <w:sz w:val="24"/>
          <w:szCs w:val="24"/>
        </w:rPr>
        <w:t>（一）技术评估(62分)</w:t>
      </w:r>
    </w:p>
    <w:tbl>
      <w:tblPr>
        <w:tblStyle w:val="68"/>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285"/>
        <w:gridCol w:w="6943"/>
        <w:gridCol w:w="888"/>
      </w:tblGrid>
      <w:tr w14:paraId="44D1C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750" w:type="dxa"/>
            <w:noWrap w:val="0"/>
            <w:vAlign w:val="center"/>
          </w:tcPr>
          <w:p w14:paraId="0FF8BD2C">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序号</w:t>
            </w:r>
          </w:p>
        </w:tc>
        <w:tc>
          <w:tcPr>
            <w:tcW w:w="1285" w:type="dxa"/>
            <w:noWrap w:val="0"/>
            <w:vAlign w:val="center"/>
          </w:tcPr>
          <w:p w14:paraId="579E3C35">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评审内容</w:t>
            </w:r>
          </w:p>
        </w:tc>
        <w:tc>
          <w:tcPr>
            <w:tcW w:w="6943" w:type="dxa"/>
            <w:noWrap w:val="0"/>
            <w:vAlign w:val="center"/>
          </w:tcPr>
          <w:p w14:paraId="2804934A">
            <w:pPr>
              <w:spacing w:line="360" w:lineRule="auto"/>
              <w:ind w:firstLine="482"/>
              <w:jc w:val="center"/>
              <w:rPr>
                <w:rFonts w:hint="eastAsia" w:ascii="楷体" w:hAnsi="楷体" w:eastAsia="楷体" w:cs="楷体"/>
                <w:b/>
                <w:bCs/>
                <w:sz w:val="24"/>
                <w:szCs w:val="24"/>
              </w:rPr>
            </w:pPr>
            <w:r>
              <w:rPr>
                <w:rFonts w:hint="eastAsia" w:ascii="楷体" w:hAnsi="楷体" w:eastAsia="楷体" w:cs="楷体"/>
                <w:b/>
                <w:bCs/>
                <w:sz w:val="24"/>
                <w:szCs w:val="24"/>
              </w:rPr>
              <w:t>评标标准</w:t>
            </w:r>
          </w:p>
        </w:tc>
        <w:tc>
          <w:tcPr>
            <w:tcW w:w="888" w:type="dxa"/>
            <w:noWrap w:val="0"/>
            <w:vAlign w:val="center"/>
          </w:tcPr>
          <w:p w14:paraId="37789E0C">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分值</w:t>
            </w:r>
          </w:p>
        </w:tc>
      </w:tr>
      <w:tr w14:paraId="45C9A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750" w:type="dxa"/>
            <w:noWrap w:val="0"/>
            <w:vAlign w:val="center"/>
          </w:tcPr>
          <w:p w14:paraId="1332407A">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1</w:t>
            </w:r>
          </w:p>
        </w:tc>
        <w:tc>
          <w:tcPr>
            <w:tcW w:w="1285" w:type="dxa"/>
            <w:noWrap w:val="0"/>
            <w:vAlign w:val="center"/>
          </w:tcPr>
          <w:p w14:paraId="62AC7468">
            <w:pPr>
              <w:spacing w:line="360" w:lineRule="auto"/>
              <w:jc w:val="center"/>
              <w:rPr>
                <w:rFonts w:hint="eastAsia" w:ascii="楷体" w:hAnsi="楷体" w:eastAsia="楷体" w:cs="楷体"/>
                <w:b/>
                <w:bCs/>
                <w:sz w:val="24"/>
                <w:szCs w:val="24"/>
              </w:rPr>
            </w:pPr>
            <w:r>
              <w:rPr>
                <w:rFonts w:hint="eastAsia" w:ascii="楷体" w:hAnsi="楷体" w:eastAsia="楷体" w:cs="楷体"/>
                <w:sz w:val="24"/>
                <w:szCs w:val="24"/>
              </w:rPr>
              <w:t>技术参数响应</w:t>
            </w:r>
          </w:p>
        </w:tc>
        <w:tc>
          <w:tcPr>
            <w:tcW w:w="6943" w:type="dxa"/>
            <w:noWrap w:val="0"/>
            <w:vAlign w:val="center"/>
          </w:tcPr>
          <w:p w14:paraId="48D3C627">
            <w:pPr>
              <w:snapToGrid w:val="0"/>
              <w:spacing w:line="360" w:lineRule="auto"/>
              <w:rPr>
                <w:rFonts w:hint="eastAsia" w:ascii="楷体" w:hAnsi="楷体" w:eastAsia="楷体" w:cs="楷体"/>
                <w:sz w:val="24"/>
                <w:szCs w:val="24"/>
              </w:rPr>
            </w:pPr>
            <w:bookmarkStart w:id="264" w:name="OLE_LINK10"/>
            <w:r>
              <w:rPr>
                <w:rFonts w:hint="eastAsia" w:ascii="楷体" w:hAnsi="楷体" w:eastAsia="楷体" w:cs="楷体"/>
                <w:sz w:val="24"/>
                <w:szCs w:val="24"/>
              </w:rPr>
              <w:t>1.根据各投标人所投产品的技术性能、对招标文件各项基本要求的逐项响应情况，由评委进行综合打分，投标人所投产品完全满足或优于招标文件中货物的技术参数及要求的，得基本分</w:t>
            </w:r>
            <w:r>
              <w:rPr>
                <w:rFonts w:hint="eastAsia" w:ascii="楷体" w:hAnsi="楷体" w:eastAsia="楷体" w:cs="楷体"/>
                <w:sz w:val="24"/>
                <w:szCs w:val="24"/>
                <w:lang w:val="en-US" w:eastAsia="zh-CN"/>
              </w:rPr>
              <w:t>39</w:t>
            </w:r>
            <w:r>
              <w:rPr>
                <w:rFonts w:hint="eastAsia" w:ascii="楷体" w:hAnsi="楷体" w:eastAsia="楷体" w:cs="楷体"/>
                <w:sz w:val="24"/>
                <w:szCs w:val="24"/>
              </w:rPr>
              <w:t>分。</w:t>
            </w:r>
          </w:p>
          <w:p w14:paraId="133950C8">
            <w:pPr>
              <w:snapToGrid w:val="0"/>
              <w:spacing w:line="360" w:lineRule="auto"/>
              <w:rPr>
                <w:rFonts w:hint="eastAsia" w:ascii="楷体" w:hAnsi="楷体" w:eastAsia="楷体" w:cs="楷体"/>
                <w:sz w:val="24"/>
                <w:szCs w:val="24"/>
              </w:rPr>
            </w:pPr>
            <w:r>
              <w:rPr>
                <w:rFonts w:hint="eastAsia" w:ascii="楷体" w:hAnsi="楷体" w:eastAsia="楷体" w:cs="楷体"/>
                <w:sz w:val="24"/>
                <w:szCs w:val="24"/>
              </w:rPr>
              <w:t>2.标“▲”的功能及技术参数为重要性能指标（共计12项，每项2分，共计24分），如有负偏离，有一项扣2分，扣完为止。</w:t>
            </w:r>
          </w:p>
          <w:p w14:paraId="0CBA69D7">
            <w:pPr>
              <w:pStyle w:val="2"/>
              <w:spacing w:line="360" w:lineRule="auto"/>
              <w:rPr>
                <w:rFonts w:hint="eastAsia" w:ascii="楷体" w:hAnsi="楷体" w:eastAsia="楷体" w:cs="楷体"/>
                <w:sz w:val="24"/>
                <w:szCs w:val="24"/>
              </w:rPr>
            </w:pPr>
            <w:r>
              <w:rPr>
                <w:rFonts w:hint="eastAsia" w:ascii="楷体" w:hAnsi="楷体" w:eastAsia="楷体" w:cs="楷体"/>
                <w:sz w:val="24"/>
                <w:szCs w:val="24"/>
              </w:rPr>
              <w:t>3.标“＃”的功能及技术参数为一般指标（共计15项，每项1分，共计15分），如有负偏离，有一项扣1分，扣完为止。</w:t>
            </w:r>
          </w:p>
          <w:p w14:paraId="740AE4B6">
            <w:pPr>
              <w:widowControl/>
              <w:spacing w:line="360" w:lineRule="auto"/>
              <w:rPr>
                <w:rFonts w:hint="eastAsia" w:ascii="楷体" w:hAnsi="楷体" w:eastAsia="楷体" w:cs="楷体"/>
                <w:b/>
                <w:bCs/>
                <w:sz w:val="24"/>
                <w:szCs w:val="24"/>
              </w:rPr>
            </w:pPr>
            <w:r>
              <w:rPr>
                <w:rFonts w:hint="eastAsia" w:ascii="楷体" w:hAnsi="楷体" w:eastAsia="楷体" w:cs="楷体"/>
                <w:sz w:val="24"/>
                <w:szCs w:val="24"/>
              </w:rPr>
              <w:t>注：</w:t>
            </w:r>
            <w:r>
              <w:rPr>
                <w:rFonts w:hint="eastAsia" w:ascii="楷体" w:hAnsi="楷体" w:eastAsia="楷体" w:cs="楷体"/>
                <w:snapToGrid w:val="0"/>
                <w:kern w:val="2"/>
                <w:sz w:val="24"/>
                <w:szCs w:val="24"/>
                <w:highlight w:val="none"/>
                <w:lang w:val="en-US" w:eastAsia="zh-CN" w:bidi="ar-SA"/>
              </w:rPr>
              <w:t>招标文件“第四部分 采购需求”“四、技术及服务要求”中标“▲”及“#”的内容，投标人须在投标文件中提供技术支持资料（按采购需求中的要求提供证明材料，如果采购需求中未提及，须提供产品的厂家技术白皮书、产品样本、手册、检测报告等复印件加盖厂家公章），未提供有效证明材料或证明材料中内容与所填报指标不一致的，该指标按不满足处理。【注：签订合同前，采购人有权要求中标供应商提供佐证材料原件核查，中标供应商不能按时提供的视为虚假响应，将取消中标资格】</w:t>
            </w:r>
            <w:r>
              <w:rPr>
                <w:rFonts w:hint="eastAsia" w:ascii="楷体" w:hAnsi="楷体" w:eastAsia="楷体" w:cs="楷体"/>
                <w:snapToGrid w:val="0"/>
                <w:sz w:val="24"/>
                <w:szCs w:val="24"/>
              </w:rPr>
              <w:t>。</w:t>
            </w:r>
            <w:bookmarkEnd w:id="264"/>
          </w:p>
        </w:tc>
        <w:tc>
          <w:tcPr>
            <w:tcW w:w="888" w:type="dxa"/>
            <w:noWrap w:val="0"/>
            <w:vAlign w:val="center"/>
          </w:tcPr>
          <w:p w14:paraId="0B4ED27F">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39</w:t>
            </w:r>
          </w:p>
        </w:tc>
      </w:tr>
      <w:tr w14:paraId="513CF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jc w:val="center"/>
        </w:trPr>
        <w:tc>
          <w:tcPr>
            <w:tcW w:w="750" w:type="dxa"/>
            <w:noWrap w:val="0"/>
            <w:vAlign w:val="center"/>
          </w:tcPr>
          <w:p w14:paraId="7E5177C1">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2</w:t>
            </w:r>
          </w:p>
        </w:tc>
        <w:tc>
          <w:tcPr>
            <w:tcW w:w="1285" w:type="dxa"/>
            <w:noWrap w:val="0"/>
            <w:vAlign w:val="center"/>
          </w:tcPr>
          <w:p w14:paraId="52162F48">
            <w:pPr>
              <w:spacing w:line="360" w:lineRule="auto"/>
              <w:jc w:val="center"/>
              <w:rPr>
                <w:rFonts w:hint="eastAsia" w:ascii="楷体" w:hAnsi="楷体" w:eastAsia="楷体" w:cs="楷体"/>
                <w:b/>
                <w:bCs/>
                <w:sz w:val="24"/>
                <w:szCs w:val="24"/>
              </w:rPr>
            </w:pPr>
            <w:r>
              <w:rPr>
                <w:rFonts w:hint="eastAsia" w:ascii="楷体" w:hAnsi="楷体" w:eastAsia="楷体" w:cs="楷体"/>
                <w:b w:val="0"/>
                <w:bCs w:val="0"/>
                <w:sz w:val="24"/>
                <w:szCs w:val="24"/>
              </w:rPr>
              <w:t>实施方案</w:t>
            </w:r>
          </w:p>
        </w:tc>
        <w:tc>
          <w:tcPr>
            <w:tcW w:w="6943" w:type="dxa"/>
            <w:noWrap w:val="0"/>
            <w:vAlign w:val="center"/>
          </w:tcPr>
          <w:p w14:paraId="7004CA3B">
            <w:pPr>
              <w:pStyle w:val="1546"/>
              <w:spacing w:line="360" w:lineRule="auto"/>
              <w:rPr>
                <w:rFonts w:hint="eastAsia" w:ascii="楷体" w:hAnsi="楷体" w:eastAsia="楷体" w:cs="楷体"/>
                <w:sz w:val="24"/>
                <w:szCs w:val="24"/>
              </w:rPr>
            </w:pPr>
            <w:r>
              <w:rPr>
                <w:rFonts w:hint="eastAsia" w:ascii="楷体" w:hAnsi="楷体" w:eastAsia="楷体" w:cs="楷体"/>
                <w:sz w:val="24"/>
                <w:szCs w:val="24"/>
              </w:rPr>
              <w:t>投标人根据本项目实际情况制定整体服务方案，包括但不限于①供货计划②项目实施进度计划及进度保障措施③设备安装、调试、验收方案④应急响应时间及解决问题的方案⑤紧急故障处理预案及服务承诺落实的保障措施，每有一项内容且合理、可行的，得1分，最高得5分，不提供方案或不符合项目需求的，不得分。</w:t>
            </w:r>
          </w:p>
          <w:p w14:paraId="69E940B2">
            <w:pPr>
              <w:pStyle w:val="1546"/>
              <w:spacing w:line="360" w:lineRule="auto"/>
              <w:rPr>
                <w:rFonts w:hint="eastAsia" w:ascii="楷体" w:hAnsi="楷体" w:eastAsia="楷体" w:cs="楷体"/>
                <w:sz w:val="24"/>
                <w:szCs w:val="24"/>
              </w:rPr>
            </w:pPr>
            <w:r>
              <w:rPr>
                <w:rFonts w:hint="eastAsia" w:ascii="楷体" w:hAnsi="楷体" w:eastAsia="楷体" w:cs="楷体"/>
                <w:sz w:val="24"/>
                <w:szCs w:val="24"/>
              </w:rPr>
              <w:t>投标人针对上述每一项方案在项目实施过程中所能预见的重点、难点进行分析，具有切实可行、操作性强的解决措施的，每一项方案加0.5分，最高得2.5分。</w:t>
            </w:r>
          </w:p>
        </w:tc>
        <w:tc>
          <w:tcPr>
            <w:tcW w:w="888" w:type="dxa"/>
            <w:noWrap w:val="0"/>
            <w:vAlign w:val="center"/>
          </w:tcPr>
          <w:p w14:paraId="0B64B70E">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7.5</w:t>
            </w:r>
          </w:p>
        </w:tc>
      </w:tr>
      <w:tr w14:paraId="5D286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3" w:hRule="atLeast"/>
          <w:jc w:val="center"/>
        </w:trPr>
        <w:tc>
          <w:tcPr>
            <w:tcW w:w="750" w:type="dxa"/>
            <w:noWrap w:val="0"/>
            <w:vAlign w:val="center"/>
          </w:tcPr>
          <w:p w14:paraId="50F63754">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3</w:t>
            </w:r>
          </w:p>
        </w:tc>
        <w:tc>
          <w:tcPr>
            <w:tcW w:w="1285" w:type="dxa"/>
            <w:noWrap w:val="0"/>
            <w:vAlign w:val="center"/>
          </w:tcPr>
          <w:p w14:paraId="0B5A48E6">
            <w:pPr>
              <w:spacing w:line="360" w:lineRule="auto"/>
              <w:jc w:val="center"/>
              <w:rPr>
                <w:rFonts w:hint="eastAsia" w:ascii="楷体" w:hAnsi="楷体" w:eastAsia="楷体" w:cs="楷体"/>
                <w:b/>
                <w:bCs/>
                <w:sz w:val="24"/>
                <w:szCs w:val="24"/>
              </w:rPr>
            </w:pPr>
            <w:r>
              <w:rPr>
                <w:rFonts w:hint="eastAsia" w:ascii="楷体" w:hAnsi="楷体" w:eastAsia="楷体" w:cs="楷体"/>
                <w:b w:val="0"/>
                <w:bCs w:val="0"/>
                <w:sz w:val="24"/>
                <w:szCs w:val="24"/>
              </w:rPr>
              <w:t>技术培训方案</w:t>
            </w:r>
          </w:p>
        </w:tc>
        <w:tc>
          <w:tcPr>
            <w:tcW w:w="6943" w:type="dxa"/>
            <w:noWrap w:val="0"/>
            <w:vAlign w:val="center"/>
          </w:tcPr>
          <w:p w14:paraId="26D718A5">
            <w:pPr>
              <w:pStyle w:val="1547"/>
              <w:spacing w:line="360" w:lineRule="auto"/>
              <w:jc w:val="left"/>
              <w:rPr>
                <w:rFonts w:hint="eastAsia" w:ascii="楷体" w:hAnsi="楷体" w:eastAsia="楷体" w:cs="楷体"/>
                <w:bCs/>
                <w:sz w:val="24"/>
                <w:szCs w:val="24"/>
              </w:rPr>
            </w:pPr>
            <w:r>
              <w:rPr>
                <w:rFonts w:hint="eastAsia" w:ascii="楷体" w:hAnsi="楷体" w:eastAsia="楷体" w:cs="楷体"/>
                <w:bCs/>
                <w:sz w:val="24"/>
                <w:szCs w:val="24"/>
              </w:rPr>
              <w:t>投标人根据本项目实际情况制定技术培训方案，包括但不限于针对本次项目提供每台设备的①培训时长②培训人数③培训课程安排④培训授课人员专业程度和经验⑤培训内容（</w:t>
            </w:r>
            <w:r>
              <w:rPr>
                <w:rFonts w:hint="eastAsia" w:ascii="楷体" w:hAnsi="楷体" w:eastAsia="楷体" w:cs="楷体"/>
                <w:sz w:val="24"/>
                <w:szCs w:val="24"/>
              </w:rPr>
              <w:t>至少包括便携式水质多参数测定仪</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含溶解氧、PH、电导率</w:t>
            </w:r>
            <w:r>
              <w:rPr>
                <w:rFonts w:hint="eastAsia" w:ascii="楷体" w:hAnsi="楷体" w:eastAsia="楷体" w:cs="楷体"/>
                <w:sz w:val="24"/>
                <w:szCs w:val="24"/>
                <w:lang w:eastAsia="zh-CN"/>
              </w:rPr>
              <w:t>）</w:t>
            </w:r>
            <w:r>
              <w:rPr>
                <w:rFonts w:hint="eastAsia" w:ascii="楷体" w:hAnsi="楷体" w:eastAsia="楷体" w:cs="楷体"/>
                <w:sz w:val="24"/>
                <w:szCs w:val="24"/>
              </w:rPr>
              <w:t>、PM10/PM2.5检测仪、便携式生物毒性检测仪、便携式测油仪、便携式浊度仪、便携式烟尘烟气测试仪（定电位法）、环境空气综合采样器的方法验证、质量控制、实际样品检测方案以及所投</w:t>
            </w:r>
            <w:r>
              <w:rPr>
                <w:rFonts w:hint="eastAsia" w:ascii="楷体" w:hAnsi="楷体" w:eastAsia="楷体" w:cs="楷体"/>
                <w:bCs/>
                <w:sz w:val="24"/>
                <w:szCs w:val="24"/>
              </w:rPr>
              <w:t>产品使用操作、校准、日常保养维护等内容），每有一项内容且合理、可行的，得1分，最高得5分，不提供方案或不符合项目需求的，不得分。</w:t>
            </w:r>
          </w:p>
          <w:p w14:paraId="37149E05">
            <w:pPr>
              <w:pStyle w:val="1547"/>
              <w:spacing w:line="360" w:lineRule="auto"/>
              <w:jc w:val="left"/>
              <w:rPr>
                <w:rFonts w:hint="eastAsia" w:ascii="楷体" w:hAnsi="楷体" w:eastAsia="楷体" w:cs="楷体"/>
                <w:bCs/>
                <w:sz w:val="24"/>
                <w:szCs w:val="24"/>
              </w:rPr>
            </w:pPr>
            <w:r>
              <w:rPr>
                <w:rFonts w:hint="eastAsia" w:ascii="楷体" w:hAnsi="楷体" w:eastAsia="楷体" w:cs="楷体"/>
                <w:bCs/>
                <w:sz w:val="24"/>
                <w:szCs w:val="24"/>
              </w:rPr>
              <w:t>投标人针对上述每一项方案在项目实施过程中所能预见的重点、难点进行分析，具有切实可行、操作性强的解决措施的，每一项方案加0.5分，最高得2.5分。</w:t>
            </w:r>
          </w:p>
        </w:tc>
        <w:tc>
          <w:tcPr>
            <w:tcW w:w="888" w:type="dxa"/>
            <w:noWrap w:val="0"/>
            <w:vAlign w:val="center"/>
          </w:tcPr>
          <w:p w14:paraId="6CFB20B0">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7.5</w:t>
            </w:r>
          </w:p>
        </w:tc>
      </w:tr>
      <w:tr w14:paraId="560E0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8" w:hRule="atLeast"/>
          <w:jc w:val="center"/>
        </w:trPr>
        <w:tc>
          <w:tcPr>
            <w:tcW w:w="750" w:type="dxa"/>
            <w:noWrap w:val="0"/>
            <w:vAlign w:val="center"/>
          </w:tcPr>
          <w:p w14:paraId="7733D70B">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4</w:t>
            </w:r>
          </w:p>
        </w:tc>
        <w:tc>
          <w:tcPr>
            <w:tcW w:w="1285" w:type="dxa"/>
            <w:noWrap w:val="0"/>
            <w:vAlign w:val="center"/>
          </w:tcPr>
          <w:p w14:paraId="3F739ABC">
            <w:pPr>
              <w:spacing w:line="360" w:lineRule="auto"/>
              <w:jc w:val="center"/>
              <w:rPr>
                <w:rFonts w:hint="eastAsia" w:ascii="楷体" w:hAnsi="楷体" w:eastAsia="楷体" w:cs="楷体"/>
                <w:b/>
                <w:bCs/>
                <w:sz w:val="24"/>
                <w:szCs w:val="24"/>
              </w:rPr>
            </w:pPr>
            <w:r>
              <w:rPr>
                <w:rFonts w:hint="eastAsia" w:ascii="楷体" w:hAnsi="楷体" w:eastAsia="楷体" w:cs="楷体"/>
                <w:b w:val="0"/>
                <w:bCs w:val="0"/>
                <w:sz w:val="24"/>
                <w:szCs w:val="24"/>
              </w:rPr>
              <w:t>售后服务方案</w:t>
            </w:r>
          </w:p>
        </w:tc>
        <w:tc>
          <w:tcPr>
            <w:tcW w:w="6943" w:type="dxa"/>
            <w:noWrap w:val="0"/>
            <w:vAlign w:val="center"/>
          </w:tcPr>
          <w:p w14:paraId="6AEFDDD8">
            <w:pPr>
              <w:pStyle w:val="1546"/>
              <w:spacing w:line="360" w:lineRule="auto"/>
              <w:rPr>
                <w:rFonts w:hint="eastAsia" w:ascii="楷体" w:hAnsi="楷体" w:eastAsia="楷体" w:cs="楷体"/>
                <w:bCs/>
                <w:sz w:val="24"/>
                <w:szCs w:val="24"/>
              </w:rPr>
            </w:pPr>
            <w:r>
              <w:rPr>
                <w:rFonts w:hint="eastAsia" w:ascii="楷体" w:hAnsi="楷体" w:eastAsia="楷体" w:cs="楷体"/>
                <w:bCs/>
                <w:sz w:val="24"/>
                <w:szCs w:val="24"/>
              </w:rPr>
              <w:t>投标人根据本项目实际情况编制①售后服务方案②售后服务承诺③售后服务保障措施④售后专业团队及设备使用情况回访计划等售后服务方案，每有一项内容且合理、可行的，得0.5分，最高得2分，不提供方案或不符合项目需求的，不得分。</w:t>
            </w:r>
          </w:p>
          <w:p w14:paraId="73DB8AA7">
            <w:pPr>
              <w:pStyle w:val="1546"/>
              <w:spacing w:line="360" w:lineRule="auto"/>
              <w:rPr>
                <w:rFonts w:hint="eastAsia" w:ascii="楷体" w:hAnsi="楷体" w:eastAsia="楷体" w:cs="楷体"/>
                <w:bCs/>
                <w:sz w:val="24"/>
                <w:szCs w:val="24"/>
              </w:rPr>
            </w:pPr>
            <w:r>
              <w:rPr>
                <w:rFonts w:hint="eastAsia" w:ascii="楷体" w:hAnsi="楷体" w:eastAsia="楷体" w:cs="楷体"/>
                <w:bCs/>
                <w:sz w:val="24"/>
                <w:szCs w:val="24"/>
              </w:rPr>
              <w:t>投标人针对上述每一项方案在项目实施过程中所能预见的重点、难点进行分析，具有切实可行、操作性强的解决措施的，每一项方案加0.5分，最高得2分。</w:t>
            </w:r>
          </w:p>
        </w:tc>
        <w:tc>
          <w:tcPr>
            <w:tcW w:w="888" w:type="dxa"/>
            <w:noWrap w:val="0"/>
            <w:vAlign w:val="center"/>
          </w:tcPr>
          <w:p w14:paraId="686B56B8">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4</w:t>
            </w:r>
          </w:p>
        </w:tc>
      </w:tr>
    </w:tbl>
    <w:p w14:paraId="7255B1B8">
      <w:pPr>
        <w:pStyle w:val="986"/>
        <w:spacing w:line="360" w:lineRule="auto"/>
        <w:ind w:left="0" w:firstLine="0"/>
        <w:rPr>
          <w:rFonts w:hint="eastAsia" w:ascii="楷体" w:hAnsi="楷体" w:eastAsia="楷体" w:cs="楷体"/>
          <w:b/>
          <w:bCs/>
          <w:sz w:val="24"/>
          <w:szCs w:val="24"/>
        </w:rPr>
      </w:pPr>
    </w:p>
    <w:p w14:paraId="726E0313">
      <w:pPr>
        <w:pStyle w:val="986"/>
        <w:spacing w:line="360" w:lineRule="auto"/>
        <w:ind w:left="0" w:firstLine="0"/>
        <w:rPr>
          <w:rFonts w:hint="eastAsia" w:ascii="楷体" w:hAnsi="楷体" w:eastAsia="楷体" w:cs="楷体"/>
          <w:b/>
          <w:bCs/>
          <w:sz w:val="24"/>
          <w:szCs w:val="24"/>
        </w:rPr>
      </w:pPr>
      <w:r>
        <w:rPr>
          <w:rFonts w:hint="eastAsia" w:ascii="楷体" w:hAnsi="楷体" w:eastAsia="楷体" w:cs="楷体"/>
          <w:b/>
          <w:bCs/>
          <w:sz w:val="24"/>
          <w:szCs w:val="24"/>
        </w:rPr>
        <w:t>（二）商务评估（8分）</w:t>
      </w:r>
    </w:p>
    <w:tbl>
      <w:tblPr>
        <w:tblStyle w:val="68"/>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5"/>
        <w:gridCol w:w="1307"/>
        <w:gridCol w:w="6981"/>
        <w:gridCol w:w="879"/>
      </w:tblGrid>
      <w:tr w14:paraId="3B768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795" w:type="dxa"/>
            <w:noWrap w:val="0"/>
            <w:vAlign w:val="center"/>
          </w:tcPr>
          <w:p w14:paraId="5B29AEA5">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序号</w:t>
            </w:r>
          </w:p>
        </w:tc>
        <w:tc>
          <w:tcPr>
            <w:tcW w:w="1307" w:type="dxa"/>
            <w:noWrap w:val="0"/>
            <w:vAlign w:val="center"/>
          </w:tcPr>
          <w:p w14:paraId="74F86451">
            <w:pPr>
              <w:spacing w:line="360" w:lineRule="auto"/>
              <w:rPr>
                <w:rFonts w:hint="eastAsia" w:ascii="楷体" w:hAnsi="楷体" w:eastAsia="楷体" w:cs="楷体"/>
                <w:b/>
                <w:bCs/>
                <w:sz w:val="24"/>
                <w:szCs w:val="24"/>
              </w:rPr>
            </w:pPr>
            <w:r>
              <w:rPr>
                <w:rFonts w:hint="eastAsia" w:ascii="楷体" w:hAnsi="楷体" w:eastAsia="楷体" w:cs="楷体"/>
                <w:b/>
                <w:bCs/>
                <w:sz w:val="24"/>
                <w:szCs w:val="24"/>
              </w:rPr>
              <w:t>评审内容</w:t>
            </w:r>
          </w:p>
        </w:tc>
        <w:tc>
          <w:tcPr>
            <w:tcW w:w="6981" w:type="dxa"/>
            <w:noWrap w:val="0"/>
            <w:vAlign w:val="center"/>
          </w:tcPr>
          <w:p w14:paraId="25530A16">
            <w:pPr>
              <w:spacing w:line="360" w:lineRule="auto"/>
              <w:ind w:firstLine="482"/>
              <w:jc w:val="center"/>
              <w:rPr>
                <w:rFonts w:hint="eastAsia" w:ascii="楷体" w:hAnsi="楷体" w:eastAsia="楷体" w:cs="楷体"/>
                <w:b/>
                <w:bCs/>
                <w:sz w:val="24"/>
                <w:szCs w:val="24"/>
              </w:rPr>
            </w:pPr>
            <w:r>
              <w:rPr>
                <w:rFonts w:hint="eastAsia" w:ascii="楷体" w:hAnsi="楷体" w:eastAsia="楷体" w:cs="楷体"/>
                <w:b/>
                <w:bCs/>
                <w:sz w:val="24"/>
                <w:szCs w:val="24"/>
              </w:rPr>
              <w:t>评标标准</w:t>
            </w:r>
          </w:p>
        </w:tc>
        <w:tc>
          <w:tcPr>
            <w:tcW w:w="879" w:type="dxa"/>
            <w:noWrap w:val="0"/>
            <w:vAlign w:val="center"/>
          </w:tcPr>
          <w:p w14:paraId="04864940">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分值</w:t>
            </w:r>
          </w:p>
        </w:tc>
      </w:tr>
      <w:tr w14:paraId="4ECD4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8" w:hRule="atLeast"/>
          <w:jc w:val="center"/>
        </w:trPr>
        <w:tc>
          <w:tcPr>
            <w:tcW w:w="795" w:type="dxa"/>
            <w:noWrap w:val="0"/>
            <w:vAlign w:val="center"/>
          </w:tcPr>
          <w:p w14:paraId="7D8F1CA9">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1</w:t>
            </w:r>
          </w:p>
        </w:tc>
        <w:tc>
          <w:tcPr>
            <w:tcW w:w="1307" w:type="dxa"/>
            <w:noWrap w:val="0"/>
            <w:vAlign w:val="center"/>
          </w:tcPr>
          <w:p w14:paraId="6738A8FE">
            <w:pPr>
              <w:spacing w:line="360" w:lineRule="auto"/>
              <w:jc w:val="center"/>
              <w:rPr>
                <w:rFonts w:hint="eastAsia" w:ascii="楷体" w:hAnsi="楷体" w:eastAsia="楷体" w:cs="楷体"/>
                <w:b/>
                <w:bCs/>
                <w:sz w:val="24"/>
                <w:szCs w:val="24"/>
              </w:rPr>
            </w:pPr>
            <w:r>
              <w:rPr>
                <w:rFonts w:hint="eastAsia" w:ascii="楷体" w:hAnsi="楷体" w:eastAsia="楷体" w:cs="楷体"/>
                <w:b w:val="0"/>
                <w:bCs w:val="0"/>
                <w:sz w:val="24"/>
                <w:szCs w:val="24"/>
                <w:lang w:val="en-US" w:eastAsia="zh-CN"/>
              </w:rPr>
              <w:t>类似</w:t>
            </w:r>
            <w:r>
              <w:rPr>
                <w:rFonts w:hint="eastAsia" w:ascii="楷体" w:hAnsi="楷体" w:eastAsia="楷体" w:cs="楷体"/>
                <w:b w:val="0"/>
                <w:bCs w:val="0"/>
                <w:sz w:val="24"/>
                <w:szCs w:val="24"/>
              </w:rPr>
              <w:t>业绩</w:t>
            </w:r>
          </w:p>
        </w:tc>
        <w:tc>
          <w:tcPr>
            <w:tcW w:w="6981" w:type="dxa"/>
            <w:noWrap w:val="0"/>
            <w:vAlign w:val="center"/>
          </w:tcPr>
          <w:p w14:paraId="5E14B6DC">
            <w:pPr>
              <w:widowControl/>
              <w:spacing w:line="360" w:lineRule="auto"/>
              <w:rPr>
                <w:rFonts w:hint="eastAsia" w:ascii="楷体" w:hAnsi="楷体" w:eastAsia="楷体" w:cs="楷体"/>
                <w:sz w:val="24"/>
                <w:szCs w:val="24"/>
              </w:rPr>
            </w:pPr>
            <w:bookmarkStart w:id="265" w:name="OLE_LINK11"/>
            <w:r>
              <w:rPr>
                <w:rFonts w:hint="eastAsia" w:ascii="楷体" w:hAnsi="楷体" w:eastAsia="楷体" w:cs="楷体"/>
                <w:sz w:val="24"/>
                <w:szCs w:val="24"/>
              </w:rPr>
              <w:t>自2021年1月1日至开标截止时间前（以合同签订时间为准），投标供应商具有类似的销售合同，每提供一份得1分，满分4分。</w:t>
            </w:r>
          </w:p>
          <w:p w14:paraId="3A2A9F1E">
            <w:pPr>
              <w:widowControl/>
              <w:spacing w:line="360" w:lineRule="auto"/>
              <w:rPr>
                <w:rFonts w:hint="eastAsia" w:ascii="楷体" w:hAnsi="楷体" w:eastAsia="楷体" w:cs="楷体"/>
                <w:sz w:val="24"/>
                <w:szCs w:val="24"/>
                <w:lang w:bidi="ar"/>
              </w:rPr>
            </w:pPr>
            <w:r>
              <w:rPr>
                <w:rFonts w:hint="eastAsia" w:ascii="楷体" w:hAnsi="楷体" w:eastAsia="楷体" w:cs="楷体"/>
                <w:sz w:val="24"/>
                <w:szCs w:val="24"/>
                <w:lang w:bidi="ar"/>
              </w:rPr>
              <w:t>注：须提供中标通知书、合同原件扫描件，未按要求提供不得分。</w:t>
            </w:r>
            <w:bookmarkEnd w:id="265"/>
          </w:p>
        </w:tc>
        <w:tc>
          <w:tcPr>
            <w:tcW w:w="879" w:type="dxa"/>
            <w:noWrap w:val="0"/>
            <w:vAlign w:val="center"/>
          </w:tcPr>
          <w:p w14:paraId="096939EC">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4</w:t>
            </w:r>
          </w:p>
        </w:tc>
      </w:tr>
      <w:tr w14:paraId="31669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8" w:hRule="atLeast"/>
          <w:jc w:val="center"/>
        </w:trPr>
        <w:tc>
          <w:tcPr>
            <w:tcW w:w="795" w:type="dxa"/>
            <w:noWrap w:val="0"/>
            <w:vAlign w:val="center"/>
          </w:tcPr>
          <w:p w14:paraId="23489296">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2</w:t>
            </w:r>
          </w:p>
        </w:tc>
        <w:tc>
          <w:tcPr>
            <w:tcW w:w="1307" w:type="dxa"/>
            <w:noWrap w:val="0"/>
            <w:vAlign w:val="center"/>
          </w:tcPr>
          <w:p w14:paraId="11F53E72">
            <w:pPr>
              <w:spacing w:line="360" w:lineRule="auto"/>
              <w:jc w:val="center"/>
              <w:rPr>
                <w:rFonts w:hint="eastAsia" w:ascii="楷体" w:hAnsi="楷体" w:eastAsia="楷体" w:cs="楷体"/>
                <w:b w:val="0"/>
                <w:bCs w:val="0"/>
                <w:sz w:val="24"/>
                <w:szCs w:val="24"/>
              </w:rPr>
            </w:pPr>
            <w:r>
              <w:rPr>
                <w:rFonts w:hint="eastAsia" w:ascii="楷体" w:hAnsi="楷体" w:eastAsia="楷体" w:cs="楷体"/>
                <w:b w:val="0"/>
                <w:bCs w:val="0"/>
                <w:sz w:val="24"/>
                <w:szCs w:val="24"/>
              </w:rPr>
              <w:t>体系认证</w:t>
            </w:r>
          </w:p>
        </w:tc>
        <w:tc>
          <w:tcPr>
            <w:tcW w:w="6981" w:type="dxa"/>
            <w:noWrap w:val="0"/>
            <w:vAlign w:val="center"/>
          </w:tcPr>
          <w:p w14:paraId="7D45537E">
            <w:pPr>
              <w:widowControl/>
              <w:spacing w:line="360" w:lineRule="auto"/>
              <w:rPr>
                <w:rFonts w:hint="eastAsia" w:ascii="楷体" w:hAnsi="楷体" w:eastAsia="楷体" w:cs="楷体"/>
                <w:sz w:val="24"/>
                <w:szCs w:val="24"/>
                <w:lang w:bidi="ar"/>
              </w:rPr>
            </w:pPr>
            <w:r>
              <w:rPr>
                <w:rFonts w:hint="eastAsia" w:ascii="楷体" w:hAnsi="楷体" w:eastAsia="楷体" w:cs="楷体"/>
                <w:color w:val="auto"/>
                <w:sz w:val="24"/>
                <w:szCs w:val="24"/>
                <w:highlight w:val="none"/>
                <w:lang w:val="en-US" w:eastAsia="zh-CN"/>
              </w:rPr>
              <w:t>投标人或</w:t>
            </w:r>
            <w:r>
              <w:rPr>
                <w:rFonts w:hint="eastAsia" w:ascii="楷体" w:hAnsi="楷体" w:eastAsia="楷体" w:cs="楷体"/>
                <w:sz w:val="24"/>
                <w:szCs w:val="24"/>
                <w:highlight w:val="none"/>
                <w:lang w:bidi="ar"/>
              </w:rPr>
              <w:t>所投产品制造厂商</w:t>
            </w:r>
            <w:r>
              <w:rPr>
                <w:rFonts w:hint="eastAsia" w:ascii="楷体" w:hAnsi="楷体" w:eastAsia="楷体" w:cs="楷体"/>
                <w:color w:val="auto"/>
                <w:sz w:val="24"/>
                <w:szCs w:val="24"/>
                <w:highlight w:val="none"/>
                <w:lang w:val="en-US" w:eastAsia="zh-CN"/>
              </w:rPr>
              <w:t>具有有效的质量管理体系认证证书、环境管理体系认证证书、职业健康安全管理体系认证证书，每提供一项得2分，本项最高得6分</w:t>
            </w:r>
            <w:r>
              <w:rPr>
                <w:rFonts w:hint="eastAsia" w:ascii="楷体" w:hAnsi="楷体" w:eastAsia="楷体" w:cs="楷体"/>
                <w:sz w:val="24"/>
                <w:szCs w:val="24"/>
                <w:lang w:bidi="ar"/>
              </w:rPr>
              <w:t>。</w:t>
            </w:r>
          </w:p>
          <w:p w14:paraId="30528730">
            <w:pPr>
              <w:spacing w:line="360" w:lineRule="auto"/>
              <w:rPr>
                <w:rFonts w:hint="eastAsia" w:ascii="楷体" w:hAnsi="楷体" w:eastAsia="楷体" w:cs="楷体"/>
                <w:sz w:val="24"/>
                <w:szCs w:val="24"/>
              </w:rPr>
            </w:pPr>
            <w:r>
              <w:rPr>
                <w:rFonts w:hint="eastAsia" w:ascii="楷体" w:hAnsi="楷体" w:eastAsia="楷体" w:cs="楷体"/>
                <w:sz w:val="24"/>
                <w:szCs w:val="24"/>
              </w:rPr>
              <w:t>注：1、以上相关认证证书需在“全国认证认可信息公共服务平台”中查询状态为“有效”并提供含网址查询结果截图；</w:t>
            </w:r>
          </w:p>
          <w:p w14:paraId="5D5DE3BA">
            <w:pPr>
              <w:numPr>
                <w:ilvl w:val="0"/>
                <w:numId w:val="0"/>
              </w:numPr>
              <w:spacing w:line="360" w:lineRule="auto"/>
              <w:ind w:firstLine="480" w:firstLineChars="20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2、提供有效的证书原件扫描件；</w:t>
            </w:r>
          </w:p>
          <w:p w14:paraId="2A5F16C5">
            <w:pPr>
              <w:widowControl/>
              <w:spacing w:line="360" w:lineRule="auto"/>
              <w:ind w:firstLine="480" w:firstLineChars="200"/>
              <w:rPr>
                <w:rFonts w:hint="eastAsia" w:ascii="楷体" w:hAnsi="楷体" w:eastAsia="楷体" w:cs="楷体"/>
                <w:sz w:val="24"/>
                <w:szCs w:val="24"/>
                <w:lang w:bidi="ar"/>
              </w:rPr>
            </w:pPr>
            <w:r>
              <w:rPr>
                <w:rFonts w:hint="eastAsia" w:ascii="楷体" w:hAnsi="楷体" w:eastAsia="楷体" w:cs="楷体"/>
                <w:sz w:val="24"/>
                <w:szCs w:val="24"/>
                <w:lang w:val="en-US" w:eastAsia="zh-CN"/>
              </w:rPr>
              <w:t>3、</w:t>
            </w:r>
            <w:r>
              <w:rPr>
                <w:rFonts w:hint="eastAsia" w:ascii="楷体" w:hAnsi="楷体" w:eastAsia="楷体" w:cs="楷体"/>
                <w:sz w:val="24"/>
                <w:szCs w:val="24"/>
              </w:rPr>
              <w:t>未按要求提供不得分。</w:t>
            </w:r>
          </w:p>
        </w:tc>
        <w:tc>
          <w:tcPr>
            <w:tcW w:w="879" w:type="dxa"/>
            <w:noWrap w:val="0"/>
            <w:vAlign w:val="center"/>
          </w:tcPr>
          <w:p w14:paraId="6BABD7C1">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6</w:t>
            </w:r>
          </w:p>
        </w:tc>
      </w:tr>
      <w:tr w14:paraId="0BC9E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8" w:hRule="atLeast"/>
          <w:jc w:val="center"/>
        </w:trPr>
        <w:tc>
          <w:tcPr>
            <w:tcW w:w="795" w:type="dxa"/>
            <w:vMerge w:val="restart"/>
            <w:noWrap w:val="0"/>
            <w:vAlign w:val="center"/>
          </w:tcPr>
          <w:p w14:paraId="059B7CD8">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3</w:t>
            </w:r>
          </w:p>
        </w:tc>
        <w:tc>
          <w:tcPr>
            <w:tcW w:w="1307" w:type="dxa"/>
            <w:vMerge w:val="restart"/>
            <w:noWrap w:val="0"/>
            <w:vAlign w:val="center"/>
          </w:tcPr>
          <w:p w14:paraId="54D5D444">
            <w:pPr>
              <w:pStyle w:val="1544"/>
              <w:spacing w:line="360" w:lineRule="auto"/>
              <w:jc w:val="center"/>
              <w:rPr>
                <w:rFonts w:hint="eastAsia" w:ascii="楷体" w:hAnsi="楷体" w:eastAsia="楷体" w:cs="楷体"/>
                <w:b w:val="0"/>
                <w:bCs w:val="0"/>
                <w:sz w:val="24"/>
                <w:szCs w:val="24"/>
              </w:rPr>
            </w:pPr>
            <w:r>
              <w:rPr>
                <w:rFonts w:hint="eastAsia" w:ascii="楷体" w:hAnsi="楷体" w:eastAsia="楷体" w:cs="楷体"/>
                <w:b w:val="0"/>
                <w:bCs w:val="0"/>
                <w:sz w:val="24"/>
                <w:szCs w:val="24"/>
              </w:rPr>
              <w:t>节能、环保产品认证</w:t>
            </w:r>
          </w:p>
        </w:tc>
        <w:tc>
          <w:tcPr>
            <w:tcW w:w="6981" w:type="dxa"/>
            <w:noWrap w:val="0"/>
            <w:vAlign w:val="center"/>
          </w:tcPr>
          <w:p w14:paraId="2C8BD766">
            <w:pPr>
              <w:widowControl/>
              <w:spacing w:line="360" w:lineRule="auto"/>
              <w:ind w:right="-73" w:rightChars="-35"/>
              <w:rPr>
                <w:rFonts w:hint="eastAsia" w:ascii="楷体" w:hAnsi="楷体" w:eastAsia="楷体" w:cs="楷体"/>
                <w:sz w:val="24"/>
                <w:szCs w:val="24"/>
              </w:rPr>
            </w:pPr>
            <w:r>
              <w:rPr>
                <w:rFonts w:hint="eastAsia" w:ascii="楷体" w:hAnsi="楷体" w:eastAsia="楷体" w:cs="楷体"/>
                <w:sz w:val="24"/>
                <w:szCs w:val="24"/>
              </w:rPr>
              <w:t>供应商所投产品属于财政部、国家发改委公布的“节能产品品目</w:t>
            </w:r>
          </w:p>
          <w:p w14:paraId="017D845E">
            <w:pPr>
              <w:widowControl/>
              <w:spacing w:line="360" w:lineRule="auto"/>
              <w:ind w:right="-73" w:rightChars="-35"/>
              <w:rPr>
                <w:rFonts w:hint="eastAsia" w:ascii="楷体" w:hAnsi="楷体" w:eastAsia="楷体" w:cs="楷体"/>
                <w:sz w:val="24"/>
                <w:szCs w:val="24"/>
              </w:rPr>
            </w:pPr>
            <w:r>
              <w:rPr>
                <w:rFonts w:hint="eastAsia" w:ascii="楷体" w:hAnsi="楷体" w:eastAsia="楷体" w:cs="楷体"/>
                <w:sz w:val="24"/>
                <w:szCs w:val="24"/>
              </w:rPr>
              <w:t>清单”范围内的，投标人提供国家确定的认证机构出具的、处于</w:t>
            </w:r>
          </w:p>
          <w:p w14:paraId="14D09BB8">
            <w:pPr>
              <w:widowControl/>
              <w:spacing w:line="360" w:lineRule="auto"/>
              <w:ind w:right="-73" w:rightChars="-35"/>
              <w:rPr>
                <w:rFonts w:hint="eastAsia" w:ascii="楷体" w:hAnsi="楷体" w:eastAsia="楷体" w:cs="楷体"/>
                <w:b/>
                <w:sz w:val="24"/>
                <w:szCs w:val="24"/>
                <w:lang w:bidi="ar"/>
              </w:rPr>
            </w:pPr>
            <w:r>
              <w:rPr>
                <w:rFonts w:hint="eastAsia" w:ascii="楷体" w:hAnsi="楷体" w:eastAsia="楷体" w:cs="楷体"/>
                <w:sz w:val="24"/>
                <w:szCs w:val="24"/>
              </w:rPr>
              <w:t>有效期之内的该节能产品认证证书复印件的，得1分。</w:t>
            </w:r>
          </w:p>
        </w:tc>
        <w:tc>
          <w:tcPr>
            <w:tcW w:w="879" w:type="dxa"/>
            <w:noWrap w:val="0"/>
            <w:vAlign w:val="center"/>
          </w:tcPr>
          <w:p w14:paraId="1ECE49B1">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1</w:t>
            </w:r>
          </w:p>
        </w:tc>
      </w:tr>
      <w:tr w14:paraId="039FB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8" w:hRule="atLeast"/>
          <w:jc w:val="center"/>
        </w:trPr>
        <w:tc>
          <w:tcPr>
            <w:tcW w:w="795" w:type="dxa"/>
            <w:vMerge w:val="continue"/>
            <w:noWrap w:val="0"/>
            <w:vAlign w:val="center"/>
          </w:tcPr>
          <w:p w14:paraId="525B4E95">
            <w:pPr>
              <w:widowControl/>
              <w:spacing w:line="360" w:lineRule="auto"/>
              <w:jc w:val="center"/>
              <w:rPr>
                <w:rFonts w:hint="eastAsia" w:ascii="楷体" w:hAnsi="楷体" w:eastAsia="楷体" w:cs="楷体"/>
                <w:b/>
                <w:bCs/>
                <w:sz w:val="24"/>
                <w:szCs w:val="24"/>
              </w:rPr>
            </w:pPr>
          </w:p>
        </w:tc>
        <w:tc>
          <w:tcPr>
            <w:tcW w:w="1307" w:type="dxa"/>
            <w:vMerge w:val="continue"/>
            <w:noWrap w:val="0"/>
            <w:vAlign w:val="center"/>
          </w:tcPr>
          <w:p w14:paraId="16FD5EE2">
            <w:pPr>
              <w:pStyle w:val="1544"/>
              <w:spacing w:line="360" w:lineRule="auto"/>
              <w:jc w:val="center"/>
              <w:rPr>
                <w:rFonts w:hint="eastAsia" w:ascii="楷体" w:hAnsi="楷体" w:eastAsia="楷体" w:cs="楷体"/>
                <w:b/>
                <w:bCs/>
                <w:sz w:val="24"/>
                <w:szCs w:val="24"/>
              </w:rPr>
            </w:pPr>
          </w:p>
        </w:tc>
        <w:tc>
          <w:tcPr>
            <w:tcW w:w="6981" w:type="dxa"/>
            <w:noWrap w:val="0"/>
            <w:vAlign w:val="center"/>
          </w:tcPr>
          <w:p w14:paraId="52EBF726">
            <w:pPr>
              <w:widowControl/>
              <w:spacing w:line="360" w:lineRule="auto"/>
              <w:ind w:right="-73" w:rightChars="-35"/>
              <w:rPr>
                <w:rFonts w:hint="eastAsia" w:ascii="楷体" w:hAnsi="楷体" w:eastAsia="楷体" w:cs="楷体"/>
                <w:sz w:val="24"/>
                <w:szCs w:val="24"/>
              </w:rPr>
            </w:pPr>
            <w:r>
              <w:rPr>
                <w:rFonts w:hint="eastAsia" w:ascii="楷体" w:hAnsi="楷体" w:eastAsia="楷体" w:cs="楷体"/>
                <w:sz w:val="24"/>
                <w:szCs w:val="24"/>
              </w:rPr>
              <w:t>供应商所投产品属于财政部、生态环境部公布的“环境标志产品</w:t>
            </w:r>
          </w:p>
          <w:p w14:paraId="29D0FD83">
            <w:pPr>
              <w:widowControl/>
              <w:spacing w:line="360" w:lineRule="auto"/>
              <w:ind w:right="-73" w:rightChars="-35"/>
              <w:rPr>
                <w:rFonts w:hint="eastAsia" w:ascii="楷体" w:hAnsi="楷体" w:eastAsia="楷体" w:cs="楷体"/>
                <w:sz w:val="24"/>
                <w:szCs w:val="24"/>
              </w:rPr>
            </w:pPr>
            <w:r>
              <w:rPr>
                <w:rFonts w:hint="eastAsia" w:ascii="楷体" w:hAnsi="楷体" w:eastAsia="楷体" w:cs="楷体"/>
                <w:sz w:val="24"/>
                <w:szCs w:val="24"/>
              </w:rPr>
              <w:t>品目清单”范围内的，投标人提供国家确定的认证机构出具的、</w:t>
            </w:r>
          </w:p>
          <w:p w14:paraId="15EEFEC9">
            <w:pPr>
              <w:widowControl/>
              <w:spacing w:line="360" w:lineRule="auto"/>
              <w:ind w:right="-73" w:rightChars="-35"/>
              <w:rPr>
                <w:rFonts w:hint="eastAsia" w:ascii="楷体" w:hAnsi="楷体" w:eastAsia="楷体" w:cs="楷体"/>
                <w:b/>
                <w:sz w:val="24"/>
                <w:szCs w:val="24"/>
                <w:lang w:bidi="ar"/>
              </w:rPr>
            </w:pPr>
            <w:r>
              <w:rPr>
                <w:rFonts w:hint="eastAsia" w:ascii="楷体" w:hAnsi="楷体" w:eastAsia="楷体" w:cs="楷体"/>
                <w:sz w:val="24"/>
                <w:szCs w:val="24"/>
              </w:rPr>
              <w:t>处于有效期内的该环保产品认证证书复印件的，得1分。</w:t>
            </w:r>
          </w:p>
        </w:tc>
        <w:tc>
          <w:tcPr>
            <w:tcW w:w="879" w:type="dxa"/>
            <w:noWrap w:val="0"/>
            <w:vAlign w:val="center"/>
          </w:tcPr>
          <w:p w14:paraId="183026EF">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1</w:t>
            </w:r>
          </w:p>
        </w:tc>
      </w:tr>
    </w:tbl>
    <w:p w14:paraId="4DF1CEC4">
      <w:pPr>
        <w:spacing w:line="360" w:lineRule="auto"/>
        <w:rPr>
          <w:rFonts w:hint="eastAsia" w:ascii="楷体" w:hAnsi="楷体" w:eastAsia="楷体" w:cs="楷体"/>
          <w:b/>
          <w:bCs/>
          <w:sz w:val="24"/>
          <w:szCs w:val="24"/>
        </w:rPr>
      </w:pPr>
    </w:p>
    <w:p w14:paraId="13DEF7FD">
      <w:pPr>
        <w:spacing w:line="360" w:lineRule="auto"/>
        <w:rPr>
          <w:rFonts w:hint="eastAsia" w:ascii="楷体" w:hAnsi="楷体" w:eastAsia="楷体" w:cs="楷体"/>
          <w:b/>
          <w:bCs/>
          <w:sz w:val="24"/>
          <w:szCs w:val="24"/>
        </w:rPr>
      </w:pPr>
      <w:r>
        <w:rPr>
          <w:rFonts w:hint="eastAsia" w:ascii="楷体" w:hAnsi="楷体" w:eastAsia="楷体" w:cs="楷体"/>
          <w:b/>
          <w:bCs/>
          <w:sz w:val="24"/>
          <w:szCs w:val="24"/>
        </w:rPr>
        <w:t>（三）价格评估（30分）</w:t>
      </w:r>
    </w:p>
    <w:tbl>
      <w:tblPr>
        <w:tblStyle w:val="68"/>
        <w:tblW w:w="10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4"/>
        <w:gridCol w:w="1308"/>
        <w:gridCol w:w="7055"/>
        <w:gridCol w:w="900"/>
      </w:tblGrid>
      <w:tr w14:paraId="03E3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814" w:type="dxa"/>
            <w:noWrap w:val="0"/>
            <w:vAlign w:val="center"/>
          </w:tcPr>
          <w:p w14:paraId="23DB92F2">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序号</w:t>
            </w:r>
          </w:p>
        </w:tc>
        <w:tc>
          <w:tcPr>
            <w:tcW w:w="1308" w:type="dxa"/>
            <w:noWrap w:val="0"/>
            <w:vAlign w:val="center"/>
          </w:tcPr>
          <w:p w14:paraId="16F9E3BF">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评审内容</w:t>
            </w:r>
          </w:p>
        </w:tc>
        <w:tc>
          <w:tcPr>
            <w:tcW w:w="7055" w:type="dxa"/>
            <w:noWrap w:val="0"/>
            <w:vAlign w:val="center"/>
          </w:tcPr>
          <w:p w14:paraId="27FB0C4C">
            <w:pPr>
              <w:spacing w:line="360" w:lineRule="auto"/>
              <w:ind w:firstLine="482"/>
              <w:jc w:val="center"/>
              <w:rPr>
                <w:rFonts w:hint="eastAsia" w:ascii="楷体" w:hAnsi="楷体" w:eastAsia="楷体" w:cs="楷体"/>
                <w:b/>
                <w:bCs/>
                <w:sz w:val="24"/>
                <w:szCs w:val="24"/>
              </w:rPr>
            </w:pPr>
            <w:r>
              <w:rPr>
                <w:rFonts w:hint="eastAsia" w:ascii="楷体" w:hAnsi="楷体" w:eastAsia="楷体" w:cs="楷体"/>
                <w:b/>
                <w:bCs/>
                <w:sz w:val="24"/>
                <w:szCs w:val="24"/>
              </w:rPr>
              <w:t>评标标准</w:t>
            </w:r>
          </w:p>
        </w:tc>
        <w:tc>
          <w:tcPr>
            <w:tcW w:w="900" w:type="dxa"/>
            <w:noWrap w:val="0"/>
            <w:vAlign w:val="center"/>
          </w:tcPr>
          <w:p w14:paraId="3D4428FA">
            <w:pPr>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分值</w:t>
            </w:r>
          </w:p>
        </w:tc>
      </w:tr>
      <w:tr w14:paraId="15B0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8" w:hRule="atLeast"/>
          <w:jc w:val="center"/>
        </w:trPr>
        <w:tc>
          <w:tcPr>
            <w:tcW w:w="814" w:type="dxa"/>
            <w:noWrap w:val="0"/>
            <w:vAlign w:val="center"/>
          </w:tcPr>
          <w:p w14:paraId="1105A6F5">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1.1</w:t>
            </w:r>
          </w:p>
        </w:tc>
        <w:tc>
          <w:tcPr>
            <w:tcW w:w="1308" w:type="dxa"/>
            <w:noWrap w:val="0"/>
            <w:vAlign w:val="center"/>
          </w:tcPr>
          <w:p w14:paraId="24CC8F5A">
            <w:pPr>
              <w:pStyle w:val="1548"/>
              <w:spacing w:line="360" w:lineRule="auto"/>
              <w:jc w:val="center"/>
              <w:rPr>
                <w:rFonts w:hint="eastAsia" w:ascii="楷体" w:hAnsi="楷体" w:eastAsia="楷体" w:cs="楷体"/>
                <w:b w:val="0"/>
                <w:bCs w:val="0"/>
                <w:sz w:val="24"/>
                <w:szCs w:val="24"/>
              </w:rPr>
            </w:pPr>
            <w:r>
              <w:rPr>
                <w:rFonts w:hint="eastAsia" w:ascii="楷体" w:hAnsi="楷体" w:eastAsia="楷体" w:cs="楷体"/>
                <w:b w:val="0"/>
                <w:bCs w:val="0"/>
                <w:sz w:val="24"/>
                <w:szCs w:val="24"/>
              </w:rPr>
              <w:t>价格部分</w:t>
            </w:r>
          </w:p>
          <w:p w14:paraId="67E1AC89">
            <w:pPr>
              <w:pStyle w:val="1548"/>
              <w:spacing w:line="360" w:lineRule="auto"/>
              <w:jc w:val="both"/>
              <w:rPr>
                <w:rFonts w:hint="eastAsia" w:ascii="楷体" w:hAnsi="楷体" w:eastAsia="楷体" w:cs="楷体"/>
                <w:b/>
                <w:bCs/>
                <w:sz w:val="24"/>
                <w:szCs w:val="24"/>
              </w:rPr>
            </w:pPr>
            <w:r>
              <w:rPr>
                <w:rFonts w:hint="eastAsia" w:ascii="楷体" w:hAnsi="楷体" w:eastAsia="楷体" w:cs="楷体"/>
                <w:b w:val="0"/>
                <w:bCs w:val="0"/>
                <w:sz w:val="24"/>
                <w:szCs w:val="24"/>
                <w:lang w:eastAsia="zh-CN"/>
              </w:rPr>
              <w:t>（</w:t>
            </w:r>
            <w:r>
              <w:rPr>
                <w:rFonts w:hint="eastAsia" w:ascii="楷体" w:hAnsi="楷体" w:eastAsia="楷体" w:cs="楷体"/>
                <w:b w:val="0"/>
                <w:bCs w:val="0"/>
                <w:sz w:val="24"/>
                <w:szCs w:val="24"/>
              </w:rPr>
              <w:t>30分）</w:t>
            </w:r>
          </w:p>
        </w:tc>
        <w:tc>
          <w:tcPr>
            <w:tcW w:w="7055" w:type="dxa"/>
            <w:noWrap w:val="0"/>
            <w:vAlign w:val="top"/>
          </w:tcPr>
          <w:p w14:paraId="255755E0">
            <w:pPr>
              <w:widowControl/>
              <w:spacing w:line="360" w:lineRule="auto"/>
              <w:ind w:firstLine="480"/>
              <w:rPr>
                <w:rFonts w:hint="eastAsia" w:ascii="楷体" w:hAnsi="楷体" w:eastAsia="楷体" w:cs="楷体"/>
                <w:bCs/>
                <w:sz w:val="24"/>
                <w:szCs w:val="24"/>
              </w:rPr>
            </w:pPr>
            <w:r>
              <w:rPr>
                <w:rFonts w:hint="eastAsia" w:ascii="楷体" w:hAnsi="楷体" w:eastAsia="楷体" w:cs="楷体"/>
                <w:bCs/>
                <w:sz w:val="24"/>
                <w:szCs w:val="24"/>
              </w:rPr>
              <w:t>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p>
        </w:tc>
        <w:tc>
          <w:tcPr>
            <w:tcW w:w="900" w:type="dxa"/>
            <w:noWrap w:val="0"/>
            <w:vAlign w:val="center"/>
          </w:tcPr>
          <w:p w14:paraId="306A9EEE">
            <w:pPr>
              <w:widowControl/>
              <w:spacing w:line="360" w:lineRule="auto"/>
              <w:jc w:val="center"/>
              <w:rPr>
                <w:rFonts w:hint="eastAsia" w:ascii="楷体" w:hAnsi="楷体" w:eastAsia="楷体" w:cs="楷体"/>
                <w:b/>
                <w:bCs/>
                <w:sz w:val="24"/>
                <w:szCs w:val="24"/>
              </w:rPr>
            </w:pPr>
            <w:r>
              <w:rPr>
                <w:rFonts w:hint="eastAsia" w:ascii="楷体" w:hAnsi="楷体" w:eastAsia="楷体" w:cs="楷体"/>
                <w:b/>
                <w:bCs/>
                <w:sz w:val="24"/>
                <w:szCs w:val="24"/>
              </w:rPr>
              <w:t>30</w:t>
            </w:r>
          </w:p>
        </w:tc>
      </w:tr>
    </w:tbl>
    <w:p w14:paraId="32260093">
      <w:pPr>
        <w:pStyle w:val="3"/>
        <w:rPr>
          <w:rFonts w:hint="default"/>
          <w:lang w:val="en-US" w:eastAsia="zh-CN"/>
        </w:rPr>
      </w:pPr>
    </w:p>
    <w:p w14:paraId="5D4A0C0D">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9.相同品牌产品的处理原则</w:t>
      </w:r>
    </w:p>
    <w:p w14:paraId="2F3BD7EB">
      <w:pPr>
        <w:pStyle w:val="6"/>
        <w:keepNext w:val="0"/>
        <w:keepLines w:val="0"/>
        <w:spacing w:before="0" w:after="0" w:line="360" w:lineRule="auto"/>
        <w:ind w:firstLine="472"/>
        <w:rPr>
          <w:rFonts w:ascii="楷体" w:hAnsi="楷体" w:eastAsia="楷体"/>
          <w:b w:val="0"/>
          <w:sz w:val="24"/>
          <w:szCs w:val="24"/>
        </w:rPr>
      </w:pPr>
      <w:r>
        <w:rPr>
          <w:rFonts w:hint="eastAsia" w:ascii="楷体" w:hAnsi="楷体" w:eastAsia="楷体"/>
          <w:b w:val="0"/>
          <w:sz w:val="24"/>
          <w:szCs w:val="24"/>
        </w:rPr>
        <w:t>9.1非单一产品采购项目，采购人应当根据采购项目技术构成、产品价格比重等合理确定核心产品。本项目核心产品见投标人须知前附表。</w:t>
      </w:r>
    </w:p>
    <w:p w14:paraId="4D23F229">
      <w:pPr>
        <w:spacing w:line="360" w:lineRule="auto"/>
        <w:ind w:firstLine="480"/>
        <w:rPr>
          <w:rFonts w:ascii="楷体" w:hAnsi="楷体" w:eastAsia="楷体"/>
          <w:sz w:val="24"/>
        </w:rPr>
      </w:pPr>
      <w:r>
        <w:rPr>
          <w:rFonts w:hint="eastAsia" w:ascii="楷体" w:hAnsi="楷体" w:eastAsia="楷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FD3D72A">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10.允许修改评标结果的情形</w:t>
      </w:r>
    </w:p>
    <w:p w14:paraId="347C14CC">
      <w:pPr>
        <w:spacing w:line="360" w:lineRule="auto"/>
        <w:ind w:firstLine="480"/>
        <w:rPr>
          <w:rFonts w:ascii="楷体" w:hAnsi="楷体" w:eastAsia="楷体"/>
          <w:sz w:val="24"/>
        </w:rPr>
      </w:pPr>
      <w:r>
        <w:rPr>
          <w:rFonts w:hint="eastAsia" w:ascii="楷体" w:hAnsi="楷体" w:eastAsia="楷体"/>
          <w:sz w:val="24"/>
        </w:rPr>
        <w:t>10.1评标结果汇总完成后，除下列情形外，任何人不得修改评标结果：</w:t>
      </w:r>
    </w:p>
    <w:p w14:paraId="192B134E">
      <w:pPr>
        <w:spacing w:line="360" w:lineRule="auto"/>
        <w:ind w:firstLine="480"/>
        <w:rPr>
          <w:rFonts w:ascii="楷体" w:hAnsi="楷体" w:eastAsia="楷体"/>
          <w:sz w:val="24"/>
        </w:rPr>
      </w:pPr>
      <w:r>
        <w:rPr>
          <w:rFonts w:hint="eastAsia" w:ascii="楷体" w:hAnsi="楷体" w:eastAsia="楷体"/>
          <w:sz w:val="24"/>
        </w:rPr>
        <w:t>（1）分值汇总计算错误的；</w:t>
      </w:r>
    </w:p>
    <w:p w14:paraId="59D9A127">
      <w:pPr>
        <w:spacing w:line="360" w:lineRule="auto"/>
        <w:ind w:firstLine="480"/>
        <w:rPr>
          <w:rFonts w:ascii="楷体" w:hAnsi="楷体" w:eastAsia="楷体"/>
          <w:sz w:val="24"/>
        </w:rPr>
      </w:pPr>
      <w:r>
        <w:rPr>
          <w:rFonts w:hint="eastAsia" w:ascii="楷体" w:hAnsi="楷体" w:eastAsia="楷体"/>
          <w:sz w:val="24"/>
        </w:rPr>
        <w:t>（2）分项评分超出评分标准范围的；</w:t>
      </w:r>
    </w:p>
    <w:p w14:paraId="0EE83EA9">
      <w:pPr>
        <w:spacing w:line="360" w:lineRule="auto"/>
        <w:ind w:firstLine="480"/>
        <w:rPr>
          <w:rFonts w:ascii="楷体" w:hAnsi="楷体" w:eastAsia="楷体"/>
          <w:sz w:val="24"/>
        </w:rPr>
      </w:pPr>
      <w:r>
        <w:rPr>
          <w:rFonts w:hint="eastAsia" w:ascii="楷体" w:hAnsi="楷体" w:eastAsia="楷体"/>
          <w:sz w:val="24"/>
        </w:rPr>
        <w:t>（3）评标委员会成员对客观评审因素评分不一致的；</w:t>
      </w:r>
    </w:p>
    <w:p w14:paraId="695601AF">
      <w:pPr>
        <w:spacing w:line="360" w:lineRule="auto"/>
        <w:ind w:firstLine="480"/>
        <w:rPr>
          <w:rFonts w:ascii="楷体" w:hAnsi="楷体" w:eastAsia="楷体"/>
          <w:sz w:val="24"/>
        </w:rPr>
      </w:pPr>
      <w:r>
        <w:rPr>
          <w:rFonts w:hint="eastAsia" w:ascii="楷体" w:hAnsi="楷体" w:eastAsia="楷体"/>
          <w:sz w:val="24"/>
        </w:rPr>
        <w:t>（4）经评标委员会认定评分畸高、畸低的。</w:t>
      </w:r>
    </w:p>
    <w:p w14:paraId="61BB6FB3">
      <w:pPr>
        <w:spacing w:line="360" w:lineRule="auto"/>
        <w:ind w:firstLine="480"/>
        <w:rPr>
          <w:rFonts w:ascii="楷体" w:hAnsi="楷体" w:eastAsia="楷体"/>
          <w:sz w:val="24"/>
        </w:rPr>
      </w:pPr>
      <w:r>
        <w:rPr>
          <w:rFonts w:hint="eastAsia" w:ascii="楷体" w:hAnsi="楷体" w:eastAsia="楷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66" w:name="_Toc20732998"/>
      <w:bookmarkEnd w:id="266"/>
      <w:bookmarkStart w:id="267" w:name="_Toc100386064"/>
      <w:bookmarkEnd w:id="267"/>
      <w:bookmarkStart w:id="268" w:name="_Toc98669719"/>
      <w:bookmarkEnd w:id="268"/>
      <w:bookmarkStart w:id="269" w:name="_Toc98669361"/>
      <w:bookmarkEnd w:id="269"/>
      <w:bookmarkStart w:id="270" w:name="_Toc92168030"/>
      <w:bookmarkEnd w:id="270"/>
    </w:p>
    <w:p w14:paraId="5DD19F1D">
      <w:pPr>
        <w:pStyle w:val="6"/>
        <w:keepNext w:val="0"/>
        <w:keepLines w:val="0"/>
        <w:spacing w:before="200" w:after="200" w:line="360" w:lineRule="auto"/>
        <w:ind w:firstLine="446"/>
        <w:rPr>
          <w:rFonts w:ascii="楷体" w:hAnsi="楷体" w:eastAsia="楷体"/>
          <w:sz w:val="30"/>
          <w:szCs w:val="30"/>
        </w:rPr>
      </w:pPr>
      <w:r>
        <w:rPr>
          <w:rFonts w:hint="eastAsia" w:ascii="楷体" w:hAnsi="楷体" w:eastAsia="楷体"/>
          <w:sz w:val="30"/>
          <w:szCs w:val="30"/>
        </w:rPr>
        <w:t>11.推荐中标候选人</w:t>
      </w:r>
    </w:p>
    <w:p w14:paraId="0962EB46">
      <w:pPr>
        <w:widowControl/>
        <w:spacing w:line="360" w:lineRule="auto"/>
        <w:ind w:firstLine="420"/>
        <w:jc w:val="left"/>
        <w:rPr>
          <w:rFonts w:ascii="楷体" w:hAnsi="楷体" w:eastAsia="楷体"/>
          <w:color w:val="4472C4" w:themeColor="accent1"/>
          <w:sz w:val="24"/>
          <w14:textFill>
            <w14:solidFill>
              <w14:schemeClr w14:val="accent1"/>
            </w14:solidFill>
          </w14:textFill>
        </w:rPr>
      </w:pPr>
      <w:r>
        <w:rPr>
          <w:rFonts w:ascii="Wingdings 2" w:hAnsi="Wingdings 2" w:eastAsia="Wingdings 2" w:cs="Wingdings 2"/>
          <w:color w:val="00B050"/>
          <w:sz w:val="24"/>
        </w:rPr>
        <w:t></w:t>
      </w:r>
      <w:r>
        <w:rPr>
          <w:rFonts w:hint="eastAsia" w:ascii="楷体" w:hAnsi="楷体" w:eastAsia="楷体"/>
          <w:sz w:val="24"/>
        </w:rPr>
        <w:t>11.1</w:t>
      </w:r>
      <w:r>
        <w:rPr>
          <w:rFonts w:hint="eastAsia" w:ascii="楷体" w:hAnsi="楷体" w:eastAsia="楷体"/>
          <w:color w:val="4472C4" w:themeColor="accent1"/>
          <w:sz w:val="24"/>
          <w14:textFill>
            <w14:solidFill>
              <w14:schemeClr w14:val="accent1"/>
            </w14:solidFill>
          </w14:textFill>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p>
    <w:p w14:paraId="2C97CD1D">
      <w:pPr>
        <w:spacing w:line="360" w:lineRule="auto"/>
        <w:jc w:val="left"/>
        <w:rPr>
          <w:rFonts w:ascii="楷体" w:hAnsi="楷体" w:eastAsia="楷体"/>
          <w:b/>
          <w:sz w:val="30"/>
        </w:rPr>
      </w:pPr>
      <w:r>
        <w:rPr>
          <w:rFonts w:hint="eastAsia" w:ascii="楷体" w:hAnsi="楷体" w:eastAsia="楷体"/>
          <w:b/>
          <w:sz w:val="30"/>
        </w:rPr>
        <w:t>第六部分    投标文件（格式）</w:t>
      </w:r>
    </w:p>
    <w:p w14:paraId="559C9CC7">
      <w:pPr>
        <w:spacing w:line="360" w:lineRule="auto"/>
        <w:jc w:val="center"/>
        <w:rPr>
          <w:rFonts w:ascii="楷体" w:hAnsi="楷体" w:eastAsia="楷体"/>
          <w:b/>
          <w:sz w:val="72"/>
        </w:rPr>
      </w:pPr>
    </w:p>
    <w:p w14:paraId="159E2FF2">
      <w:pPr>
        <w:spacing w:line="360" w:lineRule="auto"/>
        <w:jc w:val="center"/>
        <w:rPr>
          <w:rFonts w:ascii="楷体" w:hAnsi="楷体" w:eastAsia="楷体"/>
          <w:sz w:val="72"/>
        </w:rPr>
      </w:pPr>
      <w:r>
        <w:rPr>
          <w:rFonts w:hint="eastAsia" w:ascii="楷体" w:hAnsi="楷体" w:eastAsia="楷体"/>
          <w:b/>
          <w:sz w:val="72"/>
        </w:rPr>
        <w:t>投   标   文   件</w:t>
      </w:r>
    </w:p>
    <w:p w14:paraId="36FDC770">
      <w:pPr>
        <w:spacing w:line="360" w:lineRule="auto"/>
        <w:ind w:firstLine="723"/>
        <w:jc w:val="center"/>
        <w:rPr>
          <w:rFonts w:ascii="楷体" w:hAnsi="楷体" w:eastAsia="楷体"/>
          <w:b/>
          <w:sz w:val="36"/>
        </w:rPr>
      </w:pPr>
    </w:p>
    <w:p w14:paraId="4A87EB11">
      <w:pPr>
        <w:spacing w:line="360" w:lineRule="auto"/>
        <w:ind w:firstLine="643"/>
        <w:rPr>
          <w:rFonts w:ascii="楷体" w:hAnsi="楷体" w:eastAsia="楷体"/>
          <w:b/>
          <w:sz w:val="32"/>
        </w:rPr>
      </w:pPr>
    </w:p>
    <w:p w14:paraId="31218CDA">
      <w:pPr>
        <w:spacing w:line="360" w:lineRule="auto"/>
        <w:ind w:firstLine="643"/>
        <w:rPr>
          <w:rFonts w:ascii="楷体" w:hAnsi="楷体" w:eastAsia="楷体"/>
          <w:b/>
          <w:sz w:val="32"/>
        </w:rPr>
      </w:pPr>
    </w:p>
    <w:p w14:paraId="43E0B812">
      <w:pPr>
        <w:spacing w:line="360" w:lineRule="auto"/>
        <w:jc w:val="center"/>
        <w:rPr>
          <w:rFonts w:ascii="楷体" w:hAnsi="楷体" w:eastAsia="楷体"/>
          <w:b/>
          <w:sz w:val="32"/>
        </w:rPr>
      </w:pPr>
      <w:r>
        <w:rPr>
          <w:rFonts w:hint="eastAsia" w:ascii="楷体" w:hAnsi="楷体" w:eastAsia="楷体"/>
          <w:b/>
          <w:sz w:val="32"/>
        </w:rPr>
        <w:t>项目编号：</w:t>
      </w:r>
    </w:p>
    <w:p w14:paraId="17F14A56">
      <w:pPr>
        <w:spacing w:line="360" w:lineRule="auto"/>
        <w:ind w:firstLine="560"/>
        <w:jc w:val="center"/>
        <w:rPr>
          <w:rFonts w:ascii="楷体" w:hAnsi="楷体" w:eastAsia="楷体"/>
          <w:sz w:val="28"/>
        </w:rPr>
      </w:pPr>
    </w:p>
    <w:p w14:paraId="356F73C4">
      <w:pPr>
        <w:spacing w:line="360" w:lineRule="auto"/>
        <w:ind w:firstLine="560"/>
        <w:jc w:val="center"/>
        <w:rPr>
          <w:rFonts w:ascii="楷体" w:hAnsi="楷体" w:eastAsia="楷体"/>
          <w:sz w:val="28"/>
        </w:rPr>
      </w:pPr>
    </w:p>
    <w:p w14:paraId="761D9831">
      <w:pPr>
        <w:spacing w:line="360" w:lineRule="auto"/>
        <w:ind w:firstLine="560"/>
        <w:jc w:val="center"/>
        <w:rPr>
          <w:rFonts w:ascii="楷体" w:hAnsi="楷体" w:eastAsia="楷体"/>
          <w:sz w:val="28"/>
        </w:rPr>
      </w:pPr>
    </w:p>
    <w:p w14:paraId="4DA3A24E">
      <w:pPr>
        <w:spacing w:line="360" w:lineRule="auto"/>
        <w:ind w:firstLine="562"/>
        <w:jc w:val="center"/>
        <w:rPr>
          <w:rFonts w:ascii="楷体" w:hAnsi="楷体" w:eastAsia="楷体"/>
          <w:b/>
          <w:sz w:val="28"/>
        </w:rPr>
      </w:pPr>
    </w:p>
    <w:p w14:paraId="50F45272">
      <w:pPr>
        <w:spacing w:line="360" w:lineRule="auto"/>
        <w:jc w:val="center"/>
        <w:rPr>
          <w:rFonts w:hint="eastAsia" w:ascii="楷体" w:hAnsi="楷体" w:eastAsia="楷体"/>
          <w:b/>
          <w:sz w:val="32"/>
          <w:szCs w:val="32"/>
          <w:lang w:eastAsia="zh-CN"/>
        </w:rPr>
      </w:pPr>
      <w:r>
        <w:rPr>
          <w:rFonts w:hint="eastAsia" w:ascii="楷体" w:hAnsi="楷体" w:eastAsia="楷体"/>
          <w:b/>
          <w:sz w:val="32"/>
          <w:szCs w:val="32"/>
        </w:rPr>
        <w:t>项目名称：</w:t>
      </w:r>
    </w:p>
    <w:p w14:paraId="6310AFD3">
      <w:pPr>
        <w:pStyle w:val="55"/>
        <w:spacing w:line="360" w:lineRule="auto"/>
        <w:ind w:firstLine="643"/>
        <w:rPr>
          <w:rFonts w:ascii="楷体" w:hAnsi="楷体" w:eastAsia="楷体"/>
          <w:b/>
          <w:sz w:val="32"/>
        </w:rPr>
      </w:pPr>
    </w:p>
    <w:p w14:paraId="4ADF53F2">
      <w:pPr>
        <w:pStyle w:val="55"/>
        <w:spacing w:line="360" w:lineRule="auto"/>
        <w:ind w:firstLine="643"/>
        <w:rPr>
          <w:rFonts w:ascii="楷体" w:hAnsi="楷体" w:eastAsia="楷体"/>
          <w:b/>
          <w:sz w:val="32"/>
        </w:rPr>
      </w:pPr>
    </w:p>
    <w:p w14:paraId="41AAA13C">
      <w:pPr>
        <w:spacing w:line="360" w:lineRule="auto"/>
        <w:jc w:val="center"/>
        <w:rPr>
          <w:rFonts w:ascii="楷体" w:hAnsi="楷体" w:eastAsia="楷体"/>
          <w:b/>
          <w:sz w:val="32"/>
        </w:rPr>
      </w:pPr>
      <w:r>
        <w:rPr>
          <w:rFonts w:hint="eastAsia" w:ascii="楷体" w:hAnsi="楷体" w:eastAsia="楷体"/>
          <w:b/>
          <w:sz w:val="32"/>
        </w:rPr>
        <w:t>投 标 人（公章）：</w:t>
      </w:r>
    </w:p>
    <w:p w14:paraId="35D73498">
      <w:pPr>
        <w:spacing w:line="360" w:lineRule="auto"/>
        <w:ind w:firstLine="723"/>
        <w:jc w:val="center"/>
        <w:rPr>
          <w:rFonts w:ascii="楷体" w:hAnsi="楷体" w:eastAsia="楷体"/>
          <w:b/>
          <w:sz w:val="36"/>
        </w:rPr>
      </w:pPr>
    </w:p>
    <w:p w14:paraId="6BF81898">
      <w:pPr>
        <w:spacing w:line="360" w:lineRule="auto"/>
        <w:ind w:firstLine="723"/>
        <w:jc w:val="center"/>
        <w:rPr>
          <w:rFonts w:ascii="楷体" w:hAnsi="楷体" w:eastAsia="楷体"/>
          <w:b/>
          <w:sz w:val="36"/>
        </w:rPr>
      </w:pPr>
    </w:p>
    <w:p w14:paraId="44510A1B">
      <w:pPr>
        <w:spacing w:line="360" w:lineRule="auto"/>
        <w:ind w:firstLine="723"/>
        <w:jc w:val="center"/>
        <w:rPr>
          <w:rFonts w:ascii="楷体" w:hAnsi="楷体" w:eastAsia="楷体"/>
          <w:b/>
          <w:sz w:val="36"/>
        </w:rPr>
      </w:pPr>
    </w:p>
    <w:p w14:paraId="09D1BB79">
      <w:pPr>
        <w:spacing w:line="360" w:lineRule="auto"/>
        <w:jc w:val="center"/>
        <w:rPr>
          <w:rFonts w:ascii="楷体" w:hAnsi="楷体" w:eastAsia="楷体"/>
          <w:b/>
          <w:sz w:val="32"/>
        </w:rPr>
      </w:pPr>
      <w:r>
        <w:rPr>
          <w:rFonts w:hint="eastAsia" w:ascii="楷体" w:hAnsi="楷体" w:eastAsia="楷体"/>
          <w:b/>
          <w:sz w:val="32"/>
        </w:rPr>
        <w:t>年</w:t>
      </w:r>
      <w:r>
        <w:rPr>
          <w:rFonts w:hint="eastAsia" w:ascii="楷体" w:hAnsi="楷体" w:eastAsia="楷体"/>
          <w:b/>
          <w:sz w:val="32"/>
          <w:lang w:val="en-US" w:eastAsia="zh-CN"/>
        </w:rPr>
        <w:t xml:space="preserve">   </w:t>
      </w:r>
      <w:r>
        <w:rPr>
          <w:rFonts w:hint="eastAsia" w:ascii="楷体" w:hAnsi="楷体" w:eastAsia="楷体"/>
          <w:b/>
          <w:sz w:val="32"/>
        </w:rPr>
        <w:t>月</w:t>
      </w:r>
      <w:r>
        <w:rPr>
          <w:rFonts w:hint="eastAsia" w:ascii="楷体" w:hAnsi="楷体" w:eastAsia="楷体"/>
          <w:b/>
          <w:sz w:val="32"/>
          <w:lang w:val="en-US" w:eastAsia="zh-CN"/>
        </w:rPr>
        <w:t xml:space="preserve">  </w:t>
      </w:r>
      <w:r>
        <w:rPr>
          <w:rFonts w:hint="eastAsia" w:ascii="楷体" w:hAnsi="楷体" w:eastAsia="楷体"/>
          <w:b/>
          <w:sz w:val="32"/>
        </w:rPr>
        <w:t>日</w:t>
      </w:r>
    </w:p>
    <w:p w14:paraId="583ABE33">
      <w:pPr>
        <w:pStyle w:val="5"/>
        <w:spacing w:line="360" w:lineRule="auto"/>
        <w:ind w:firstLine="643"/>
        <w:rPr>
          <w:rFonts w:ascii="楷体" w:hAnsi="楷体" w:eastAsia="楷体"/>
          <w:sz w:val="32"/>
        </w:rPr>
      </w:pPr>
      <w:r>
        <w:rPr>
          <w:rFonts w:hint="eastAsia" w:ascii="楷体" w:hAnsi="楷体" w:eastAsia="楷体"/>
          <w:sz w:val="32"/>
        </w:rPr>
        <w:t>一、资格部分</w:t>
      </w:r>
    </w:p>
    <w:p w14:paraId="0AB71FEC">
      <w:pPr>
        <w:pStyle w:val="5"/>
        <w:spacing w:line="360" w:lineRule="auto"/>
        <w:ind w:firstLine="643"/>
        <w:rPr>
          <w:rFonts w:ascii="楷体" w:hAnsi="楷体" w:eastAsia="楷体"/>
          <w:sz w:val="30"/>
          <w:szCs w:val="30"/>
        </w:rPr>
      </w:pPr>
      <w:r>
        <w:rPr>
          <w:rFonts w:hint="eastAsia" w:ascii="楷体" w:hAnsi="楷体" w:eastAsia="楷体"/>
          <w:sz w:val="30"/>
          <w:szCs w:val="30"/>
        </w:rPr>
        <w:t>（一）投标函</w:t>
      </w:r>
    </w:p>
    <w:p w14:paraId="71741813">
      <w:pPr>
        <w:spacing w:line="360" w:lineRule="auto"/>
        <w:rPr>
          <w:rFonts w:ascii="楷体" w:hAnsi="楷体" w:eastAsia="楷体"/>
          <w:b/>
          <w:bCs/>
          <w:sz w:val="24"/>
        </w:rPr>
      </w:pPr>
      <w:r>
        <w:rPr>
          <w:rFonts w:hint="eastAsia" w:ascii="楷体" w:hAnsi="楷体" w:eastAsia="楷体"/>
          <w:b/>
          <w:sz w:val="24"/>
          <w:u w:val="single"/>
        </w:rPr>
        <w:t>致</w:t>
      </w:r>
      <w:r>
        <w:rPr>
          <w:rFonts w:hint="eastAsia" w:ascii="楷体" w:hAnsi="楷体" w:eastAsia="楷体"/>
          <w:b/>
          <w:color w:val="6600FF"/>
          <w:sz w:val="24"/>
          <w:u w:val="single"/>
        </w:rPr>
        <w:t>××××（采购代理机构）</w:t>
      </w:r>
      <w:r>
        <w:rPr>
          <w:rFonts w:hint="eastAsia" w:ascii="楷体" w:hAnsi="楷体" w:eastAsia="楷体"/>
          <w:b/>
          <w:bCs/>
          <w:sz w:val="24"/>
        </w:rPr>
        <w:t>：</w:t>
      </w:r>
    </w:p>
    <w:p w14:paraId="2B245623">
      <w:pPr>
        <w:pStyle w:val="55"/>
        <w:spacing w:line="360" w:lineRule="auto"/>
        <w:ind w:left="0" w:firstLine="560"/>
        <w:jc w:val="both"/>
        <w:rPr>
          <w:rFonts w:ascii="楷体" w:hAnsi="楷体" w:eastAsia="楷体"/>
          <w:sz w:val="24"/>
          <w:szCs w:val="24"/>
        </w:rPr>
      </w:pPr>
      <w:r>
        <w:rPr>
          <w:rFonts w:hint="eastAsia" w:ascii="楷体" w:hAnsi="楷体" w:eastAsia="楷体"/>
          <w:sz w:val="24"/>
          <w:szCs w:val="24"/>
        </w:rPr>
        <w:t>根据贵方关于</w:t>
      </w:r>
      <w:r>
        <w:rPr>
          <w:rFonts w:hint="eastAsia" w:ascii="楷体" w:hAnsi="楷体" w:eastAsia="楷体" w:cs="Times New Roman"/>
          <w:b/>
          <w:color w:val="6600FF"/>
          <w:sz w:val="24"/>
          <w:szCs w:val="24"/>
          <w:u w:val="single"/>
        </w:rPr>
        <w:t>××××（项目名称）（项目编号：××××）</w:t>
      </w:r>
      <w:r>
        <w:rPr>
          <w:rFonts w:hint="eastAsia" w:ascii="楷体" w:hAnsi="楷体" w:eastAsia="楷体"/>
          <w:sz w:val="24"/>
          <w:szCs w:val="24"/>
        </w:rPr>
        <w:t>的投标邀请，我方已完全理解招标文件的所有内容。</w:t>
      </w:r>
    </w:p>
    <w:p w14:paraId="07A5D365">
      <w:pPr>
        <w:pStyle w:val="29"/>
        <w:spacing w:line="360" w:lineRule="auto"/>
        <w:ind w:left="1" w:firstLine="560"/>
        <w:rPr>
          <w:rFonts w:ascii="楷体" w:hAnsi="楷体" w:eastAsia="楷体"/>
          <w:sz w:val="24"/>
          <w:szCs w:val="24"/>
        </w:rPr>
      </w:pPr>
      <w:r>
        <w:rPr>
          <w:rFonts w:hint="eastAsia" w:ascii="楷体" w:hAnsi="楷体" w:eastAsia="楷体"/>
          <w:sz w:val="24"/>
          <w:szCs w:val="24"/>
        </w:rPr>
        <w:t>据此函，我方兹宣布同意如下：</w:t>
      </w:r>
    </w:p>
    <w:p w14:paraId="6A816CF7">
      <w:pPr>
        <w:tabs>
          <w:tab w:val="left" w:pos="1125"/>
        </w:tabs>
        <w:spacing w:line="360" w:lineRule="auto"/>
        <w:ind w:firstLine="560"/>
        <w:rPr>
          <w:rFonts w:ascii="楷体" w:hAnsi="楷体" w:eastAsia="楷体"/>
          <w:sz w:val="24"/>
        </w:rPr>
      </w:pPr>
      <w:r>
        <w:rPr>
          <w:rFonts w:ascii="楷体" w:hAnsi="楷体" w:eastAsia="楷体"/>
          <w:sz w:val="24"/>
        </w:rPr>
        <w:t>1．按招标文件规定提供货物（服务）的唯一投标报价见开标一览表。</w:t>
      </w:r>
      <w:r>
        <w:rPr>
          <w:rFonts w:ascii="楷体" w:hAnsi="楷体" w:eastAsia="楷体"/>
          <w:sz w:val="24"/>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eExMtQA&#10;AAAHAQAADwAAAAAAAAABACAAAAAiAAAAZHJzL2Rvd25yZXYueG1sUEsBAhQAFAAAAAgAh07iQGoO&#10;clrqAQAA6AMAAA4AAAAAAAAAAQAgAAAAIwEAAGRycy9lMm9Eb2MueG1sUEsFBgAAAAAGAAYAWQEA&#10;AH8FAAAAAA==&#10;">
                <v:fill on="f" focussize="0,0"/>
                <v:stroke color="#000000" joinstyle="round"/>
                <v:imagedata o:title=""/>
                <o:lock v:ext="edit" aspectratio="f"/>
              </v:line>
            </w:pict>
          </mc:Fallback>
        </mc:AlternateContent>
      </w:r>
      <w:r>
        <w:rPr>
          <w:rFonts w:ascii="楷体" w:hAnsi="楷体" w:eastAsia="楷体"/>
          <w:sz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Bf&#10;nGil6wEAAOgDAAAOAAAAAAAAAAEAIAAAACMBAABkcnMvZTJvRG9jLnhtbFBLBQYAAAAABgAGAFkB&#10;AACABQAAAAA=&#10;">
                <v:fill on="f" focussize="0,0"/>
                <v:stroke color="#000000" joinstyle="round"/>
                <v:imagedata o:title=""/>
                <o:lock v:ext="edit" aspectratio="f"/>
              </v:line>
            </w:pict>
          </mc:Fallback>
        </mc:AlternateContent>
      </w:r>
      <w:r>
        <w:rPr>
          <w:rFonts w:ascii="楷体" w:hAnsi="楷体" w:eastAsia="楷体"/>
          <w:sz w:val="24"/>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54TEy1AAA&#10;AAcBAAAPAAAAAAAAAAEAIAAAACIAAABkcnMvZG93bnJldi54bWxQSwECFAAUAAAACACHTuJA6kY0&#10;S+kBAADoAwAADgAAAAAAAAABACAAAAAjAQAAZHJzL2Uyb0RvYy54bWxQSwUGAAAAAAYABgBZAQAA&#10;fgUAAAAA&#10;">
                <v:fill on="f" focussize="0,0"/>
                <v:stroke color="#000000" joinstyle="round"/>
                <v:imagedata o:title=""/>
                <o:lock v:ext="edit" aspectratio="f"/>
              </v:line>
            </w:pict>
          </mc:Fallback>
        </mc:AlternateContent>
      </w:r>
      <w:r>
        <w:rPr>
          <w:rFonts w:ascii="楷体" w:hAnsi="楷体" w:eastAsia="楷体"/>
          <w:sz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Ap&#10;nUxk6wEAAOgDAAAOAAAAAAAAAAEAIAAAACMBAABkcnMvZTJvRG9jLnhtbFBLBQYAAAAABgAGAFkB&#10;AACABQAAAAA=&#10;">
                <v:fill on="f" focussize="0,0"/>
                <v:stroke color="#000000" joinstyle="round"/>
                <v:imagedata o:title=""/>
                <o:lock v:ext="edit" aspectratio="f"/>
              </v:line>
            </w:pict>
          </mc:Fallback>
        </mc:AlternateContent>
      </w:r>
    </w:p>
    <w:p w14:paraId="35ACA362">
      <w:pPr>
        <w:tabs>
          <w:tab w:val="left" w:pos="1125"/>
        </w:tabs>
        <w:spacing w:line="360" w:lineRule="auto"/>
        <w:ind w:firstLine="560"/>
        <w:rPr>
          <w:rFonts w:ascii="楷体" w:hAnsi="楷体" w:eastAsia="楷体"/>
          <w:sz w:val="24"/>
        </w:rPr>
      </w:pPr>
      <w:r>
        <w:rPr>
          <w:rFonts w:ascii="楷体" w:hAnsi="楷体" w:eastAsia="楷体"/>
          <w:sz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h6NQDV&#10;AAAACQEAAA8AAAAAAAAAAQAgAAAAIgAAAGRycy9kb3ducmV2LnhtbFBLAQIUABQAAAAIAIdO4kBc&#10;Q75Z6gEAAOgDAAAOAAAAAAAAAAEAIAAAACQBAABkcnMvZTJvRG9jLnhtbFBLBQYAAAAABgAGAFkB&#10;AACABQAAAAA=&#10;">
                <v:fill on="f" focussize="0,0"/>
                <v:stroke color="#000000" joinstyle="round"/>
                <v:imagedata o:title=""/>
                <o:lock v:ext="edit" aspectratio="f"/>
              </v:line>
            </w:pict>
          </mc:Fallback>
        </mc:AlternateContent>
      </w:r>
      <w:r>
        <w:rPr>
          <w:rFonts w:ascii="楷体" w:hAnsi="楷体" w:eastAsia="楷体"/>
          <w:sz w:val="24"/>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h6NQDVAAAACQEAAA8AAAAAAAAAAQAgAAAAIgAAAGRycy9kb3ducmV2LnhtbFBLAQIUABQAAAAI&#10;AIdO4kC6kZKn8AEAAPIDAAAOAAAAAAAAAAEAIAAAACQBAABkcnMvZTJvRG9jLnhtbFBLBQYAAAAA&#10;BgAGAFkBAACGBQAAAAA=&#10;">
                <v:fill on="f" focussize="0,0"/>
                <v:stroke color="#000000" joinstyle="round"/>
                <v:imagedata o:title=""/>
                <o:lock v:ext="edit" aspectratio="f"/>
              </v:line>
            </w:pict>
          </mc:Fallback>
        </mc:AlternateContent>
      </w:r>
      <w:r>
        <w:rPr>
          <w:rFonts w:ascii="楷体" w:hAnsi="楷体" w:eastAsia="楷体"/>
          <w:sz w:val="24"/>
        </w:rPr>
        <w:t>2．我方承诺根据招标文件的规定，完成合同义务，并承担责任（如有偏离，在投标文件中另作说明）。</w:t>
      </w:r>
    </w:p>
    <w:p w14:paraId="747E8D09">
      <w:pPr>
        <w:tabs>
          <w:tab w:val="left" w:pos="1125"/>
        </w:tabs>
        <w:spacing w:line="360" w:lineRule="auto"/>
        <w:ind w:firstLine="560"/>
        <w:rPr>
          <w:rFonts w:ascii="楷体" w:hAnsi="楷体" w:eastAsia="楷体"/>
          <w:sz w:val="24"/>
        </w:rPr>
      </w:pPr>
      <w:r>
        <w:rPr>
          <w:rFonts w:ascii="楷体" w:hAnsi="楷体" w:eastAsia="楷体"/>
          <w:sz w:val="24"/>
        </w:rPr>
        <w:t>3．我方已</w:t>
      </w:r>
      <w:r>
        <w:rPr>
          <w:rFonts w:hint="eastAsia" w:ascii="楷体" w:hAnsi="楷体" w:eastAsia="楷体"/>
          <w:sz w:val="24"/>
        </w:rPr>
        <w:t>详读全部招标文件，包括招标文件书面修改通知（如果有的话），我方完全理解并同意放弃对这方面不明及误解的权利。</w:t>
      </w:r>
    </w:p>
    <w:p w14:paraId="5ADAF6E9">
      <w:pPr>
        <w:tabs>
          <w:tab w:val="left" w:pos="1125"/>
        </w:tabs>
        <w:spacing w:line="360" w:lineRule="auto"/>
        <w:ind w:firstLine="560"/>
        <w:rPr>
          <w:rFonts w:ascii="楷体" w:hAnsi="楷体" w:eastAsia="楷体"/>
          <w:sz w:val="24"/>
        </w:rPr>
      </w:pPr>
      <w:r>
        <w:rPr>
          <w:rFonts w:ascii="楷体" w:hAnsi="楷体" w:eastAsia="楷体"/>
          <w:sz w:val="24"/>
        </w:rPr>
        <w:t>4．</w:t>
      </w:r>
      <w:r>
        <w:rPr>
          <w:rFonts w:hint="eastAsia" w:ascii="楷体" w:hAnsi="楷体" w:eastAsia="楷体"/>
          <w:sz w:val="24"/>
        </w:rPr>
        <w:t>我方已详读全部投标文件，保证提供的投标文件及所有材料的完整、真实、合法、有效性并对其负责，承诺在评审期间，如评标委员会对我方提出澄清要求，将及时作出响应，否则自行承担后果。</w:t>
      </w:r>
    </w:p>
    <w:p w14:paraId="1BA39226">
      <w:pPr>
        <w:tabs>
          <w:tab w:val="left" w:pos="1125"/>
        </w:tabs>
        <w:spacing w:line="360" w:lineRule="auto"/>
        <w:ind w:firstLine="560"/>
        <w:rPr>
          <w:rFonts w:ascii="楷体" w:hAnsi="楷体" w:eastAsia="楷体"/>
          <w:sz w:val="24"/>
        </w:rPr>
      </w:pPr>
      <w:r>
        <w:rPr>
          <w:rFonts w:ascii="楷体" w:hAnsi="楷体" w:eastAsia="楷体"/>
          <w:sz w:val="24"/>
        </w:rPr>
        <w:t>5．我方同意从规定的招标日期起遵循本招标文件，并在规定的投标有效期期满之前均具有约束力。</w:t>
      </w:r>
    </w:p>
    <w:p w14:paraId="13503C9B">
      <w:pPr>
        <w:tabs>
          <w:tab w:val="left" w:pos="1125"/>
        </w:tabs>
        <w:spacing w:line="360" w:lineRule="auto"/>
        <w:ind w:firstLine="560"/>
        <w:rPr>
          <w:rFonts w:ascii="楷体" w:hAnsi="楷体" w:eastAsia="楷体"/>
          <w:sz w:val="24"/>
        </w:rPr>
      </w:pPr>
      <w:r>
        <w:rPr>
          <w:rFonts w:ascii="楷体" w:hAnsi="楷体" w:eastAsia="楷体"/>
          <w:sz w:val="24"/>
        </w:rPr>
        <w:t>6．我方同意向贵方提供贵方可能要求的与本投标有关的任何证据或资料。</w:t>
      </w:r>
    </w:p>
    <w:p w14:paraId="730BF49E">
      <w:pPr>
        <w:tabs>
          <w:tab w:val="left" w:pos="1125"/>
        </w:tabs>
        <w:spacing w:line="360" w:lineRule="auto"/>
        <w:ind w:firstLine="560"/>
        <w:rPr>
          <w:rFonts w:ascii="楷体" w:hAnsi="楷体" w:eastAsia="楷体"/>
          <w:sz w:val="24"/>
        </w:rPr>
      </w:pPr>
      <w:r>
        <w:rPr>
          <w:rFonts w:ascii="楷体" w:hAnsi="楷体" w:eastAsia="楷体"/>
          <w:sz w:val="24"/>
        </w:rPr>
        <w:t>7．我方知道如用虚假材料或恶意方式向贵方提出质疑，将承担相应的法律责任。同时承诺：我方如果有上述行为，将无条件承担贵方相关的调查论证费用。</w:t>
      </w:r>
    </w:p>
    <w:p w14:paraId="1746A9FD">
      <w:pPr>
        <w:tabs>
          <w:tab w:val="left" w:pos="1125"/>
        </w:tabs>
        <w:spacing w:line="360" w:lineRule="auto"/>
        <w:ind w:firstLine="560"/>
        <w:rPr>
          <w:rFonts w:ascii="楷体" w:hAnsi="楷体" w:eastAsia="楷体"/>
          <w:sz w:val="24"/>
        </w:rPr>
      </w:pPr>
      <w:r>
        <w:rPr>
          <w:rFonts w:ascii="楷体" w:hAnsi="楷体" w:eastAsia="楷体"/>
          <w:sz w:val="24"/>
        </w:rPr>
        <w:t>8．我方承诺：参加政府采购活动前三年内，在经营活动中没有重大违法记录。</w:t>
      </w:r>
    </w:p>
    <w:p w14:paraId="5D31721F">
      <w:pPr>
        <w:tabs>
          <w:tab w:val="left" w:pos="1125"/>
        </w:tabs>
        <w:spacing w:line="360" w:lineRule="auto"/>
        <w:ind w:firstLine="560"/>
        <w:rPr>
          <w:rFonts w:ascii="楷体" w:hAnsi="楷体" w:eastAsia="楷体"/>
          <w:sz w:val="24"/>
        </w:rPr>
      </w:pPr>
      <w:r>
        <w:rPr>
          <w:rFonts w:ascii="楷体" w:hAnsi="楷体" w:eastAsia="楷体"/>
          <w:sz w:val="24"/>
        </w:rPr>
        <w:t>9．本次投标文件内容与招标文件内容偏离情况见偏离说明（如果有）。</w:t>
      </w:r>
    </w:p>
    <w:p w14:paraId="26038C55">
      <w:pPr>
        <w:tabs>
          <w:tab w:val="left" w:pos="1125"/>
        </w:tabs>
        <w:spacing w:line="360" w:lineRule="auto"/>
        <w:ind w:firstLine="560"/>
        <w:rPr>
          <w:rFonts w:ascii="楷体" w:hAnsi="楷体" w:eastAsia="楷体"/>
          <w:sz w:val="24"/>
        </w:rPr>
      </w:pPr>
      <w:r>
        <w:rPr>
          <w:rFonts w:ascii="楷体" w:hAnsi="楷体" w:eastAsia="楷体"/>
          <w:sz w:val="24"/>
        </w:rPr>
        <w:t>10．遵守招标文件中要求的收费项目和标准。</w:t>
      </w:r>
    </w:p>
    <w:p w14:paraId="6E3CECA5">
      <w:pPr>
        <w:tabs>
          <w:tab w:val="left" w:pos="1125"/>
        </w:tabs>
        <w:spacing w:line="360" w:lineRule="auto"/>
        <w:ind w:firstLine="560"/>
        <w:rPr>
          <w:rFonts w:ascii="楷体" w:hAnsi="楷体" w:eastAsia="楷体"/>
          <w:sz w:val="24"/>
        </w:rPr>
      </w:pPr>
      <w:r>
        <w:rPr>
          <w:rFonts w:ascii="楷体" w:hAnsi="楷体" w:eastAsia="楷体"/>
          <w:sz w:val="24"/>
        </w:rPr>
        <w:t>11．与本投标有关的一切正式往来通讯请寄：</w:t>
      </w:r>
    </w:p>
    <w:p w14:paraId="51D336FC">
      <w:pPr>
        <w:pStyle w:val="29"/>
        <w:spacing w:line="360" w:lineRule="auto"/>
        <w:ind w:firstLine="560"/>
        <w:rPr>
          <w:rFonts w:ascii="楷体" w:hAnsi="楷体" w:eastAsia="楷体"/>
          <w:sz w:val="24"/>
          <w:szCs w:val="24"/>
        </w:rPr>
      </w:pPr>
      <w:r>
        <w:rPr>
          <w:rFonts w:hint="eastAsia" w:ascii="楷体" w:hAnsi="楷体" w:eastAsia="楷体"/>
          <w:sz w:val="24"/>
          <w:szCs w:val="24"/>
        </w:rPr>
        <w:t>地址：</w:t>
      </w:r>
      <w:r>
        <w:rPr>
          <w:rFonts w:ascii="楷体" w:hAnsi="楷体" w:eastAsia="楷体"/>
          <w:sz w:val="24"/>
          <w:szCs w:val="24"/>
        </w:rPr>
        <w:t xml:space="preserve"> </w:t>
      </w:r>
      <w:r>
        <w:rPr>
          <w:rFonts w:hint="cs" w:ascii="楷体" w:hAnsi="楷体" w:eastAsia="楷体"/>
          <w:b/>
          <w:color w:val="5B9BD5" w:themeColor="accent5"/>
          <w:sz w:val="24"/>
          <w:szCs w:val="24"/>
          <w:u w:val="single"/>
          <w14:textFill>
            <w14:solidFill>
              <w14:schemeClr w14:val="accent5"/>
            </w14:solidFill>
          </w14:textFill>
        </w:rPr>
        <w:t>××</w:t>
      </w:r>
      <w:r>
        <w:rPr>
          <w:rFonts w:ascii="楷体" w:hAnsi="楷体" w:eastAsia="楷体"/>
          <w:sz w:val="24"/>
          <w:szCs w:val="24"/>
        </w:rPr>
        <w:t xml:space="preserve">                  电话： </w:t>
      </w:r>
      <w:r>
        <w:rPr>
          <w:rFonts w:hint="cs" w:ascii="楷体" w:hAnsi="楷体" w:eastAsia="楷体"/>
          <w:b/>
          <w:color w:val="5B9BD5" w:themeColor="accent5"/>
          <w:sz w:val="24"/>
          <w:szCs w:val="24"/>
          <w:u w:val="single"/>
          <w14:textFill>
            <w14:solidFill>
              <w14:schemeClr w14:val="accent5"/>
            </w14:solidFill>
          </w14:textFill>
        </w:rPr>
        <w:t>××</w:t>
      </w:r>
      <w:r>
        <w:rPr>
          <w:rFonts w:ascii="楷体" w:hAnsi="楷体" w:eastAsia="楷体"/>
          <w:sz w:val="24"/>
          <w:szCs w:val="24"/>
        </w:rPr>
        <w:t xml:space="preserve">  </w:t>
      </w:r>
    </w:p>
    <w:p w14:paraId="0F9A18D1">
      <w:pPr>
        <w:pStyle w:val="29"/>
        <w:spacing w:line="360" w:lineRule="auto"/>
        <w:ind w:firstLine="560"/>
        <w:rPr>
          <w:rFonts w:ascii="楷体" w:hAnsi="楷体" w:eastAsia="楷体"/>
          <w:sz w:val="24"/>
          <w:szCs w:val="24"/>
        </w:rPr>
      </w:pPr>
      <w:r>
        <w:rPr>
          <w:rFonts w:hint="eastAsia" w:ascii="楷体" w:hAnsi="楷体" w:eastAsia="楷体"/>
          <w:sz w:val="24"/>
          <w:szCs w:val="24"/>
        </w:rPr>
        <w:t>传真：</w:t>
      </w:r>
      <w:r>
        <w:rPr>
          <w:rFonts w:hint="cs" w:ascii="楷体" w:hAnsi="楷体" w:eastAsia="楷体"/>
          <w:b/>
          <w:color w:val="5B9BD5" w:themeColor="accent5"/>
          <w:sz w:val="24"/>
          <w:szCs w:val="24"/>
          <w:u w:val="single"/>
          <w14:textFill>
            <w14:solidFill>
              <w14:schemeClr w14:val="accent5"/>
            </w14:solidFill>
          </w14:textFill>
        </w:rPr>
        <w:t>××</w:t>
      </w:r>
      <w:r>
        <w:rPr>
          <w:rFonts w:ascii="楷体" w:hAnsi="楷体" w:eastAsia="楷体"/>
          <w:color w:val="5B9BD5" w:themeColor="accent5"/>
          <w:sz w:val="24"/>
          <w:szCs w:val="24"/>
          <w14:textFill>
            <w14:solidFill>
              <w14:schemeClr w14:val="accent5"/>
            </w14:solidFill>
          </w14:textFill>
        </w:rPr>
        <w:t xml:space="preserve">  </w:t>
      </w:r>
      <w:r>
        <w:rPr>
          <w:rFonts w:ascii="楷体" w:hAnsi="楷体" w:eastAsia="楷体"/>
          <w:sz w:val="24"/>
          <w:szCs w:val="24"/>
        </w:rPr>
        <w:t xml:space="preserve">                 邮政编码：</w:t>
      </w:r>
      <w:r>
        <w:rPr>
          <w:rFonts w:hint="cs" w:ascii="楷体" w:hAnsi="楷体" w:eastAsia="楷体"/>
          <w:b/>
          <w:color w:val="5B9BD5" w:themeColor="accent5"/>
          <w:sz w:val="24"/>
          <w:szCs w:val="24"/>
          <w:u w:val="single"/>
          <w14:textFill>
            <w14:solidFill>
              <w14:schemeClr w14:val="accent5"/>
            </w14:solidFill>
          </w14:textFill>
        </w:rPr>
        <w:t>××</w:t>
      </w:r>
    </w:p>
    <w:p w14:paraId="652AF0A3">
      <w:pPr>
        <w:pStyle w:val="29"/>
        <w:spacing w:line="360" w:lineRule="auto"/>
        <w:ind w:firstLine="560"/>
        <w:rPr>
          <w:rFonts w:ascii="楷体" w:hAnsi="楷体" w:eastAsia="楷体"/>
          <w:sz w:val="24"/>
          <w:szCs w:val="24"/>
        </w:rPr>
      </w:pPr>
      <w:r>
        <w:rPr>
          <w:rFonts w:hint="eastAsia" w:ascii="楷体" w:hAnsi="楷体" w:eastAsia="楷体"/>
          <w:sz w:val="24"/>
          <w:szCs w:val="24"/>
        </w:rPr>
        <w:t>投标人（公章）：</w:t>
      </w:r>
      <w:r>
        <w:rPr>
          <w:rFonts w:hint="cs" w:ascii="楷体" w:hAnsi="楷体" w:eastAsia="楷体"/>
          <w:b/>
          <w:color w:val="5B9BD5" w:themeColor="accent5"/>
          <w:sz w:val="24"/>
          <w:szCs w:val="24"/>
          <w:u w:val="single"/>
          <w14:textFill>
            <w14:solidFill>
              <w14:schemeClr w14:val="accent5"/>
            </w14:solidFill>
          </w14:textFill>
        </w:rPr>
        <w:t>××</w:t>
      </w:r>
    </w:p>
    <w:p w14:paraId="5EA3CE0F">
      <w:pPr>
        <w:pStyle w:val="29"/>
        <w:spacing w:line="360" w:lineRule="auto"/>
        <w:ind w:firstLine="560"/>
        <w:rPr>
          <w:rFonts w:ascii="楷体" w:hAnsi="楷体" w:eastAsia="楷体"/>
          <w:sz w:val="24"/>
          <w:szCs w:val="24"/>
        </w:rPr>
      </w:pPr>
      <w:r>
        <w:rPr>
          <w:rFonts w:hint="eastAsia" w:ascii="楷体" w:hAnsi="楷体" w:eastAsia="楷体"/>
          <w:sz w:val="24"/>
          <w:szCs w:val="24"/>
        </w:rPr>
        <w:t>法定代表人签字或盖章：</w:t>
      </w:r>
      <w:r>
        <w:rPr>
          <w:rFonts w:ascii="楷体" w:hAnsi="楷体" w:eastAsia="楷体"/>
          <w:sz w:val="24"/>
          <w:szCs w:val="24"/>
        </w:rPr>
        <w:t xml:space="preserve"> </w:t>
      </w:r>
      <w:r>
        <w:rPr>
          <w:rFonts w:hint="cs" w:ascii="楷体" w:hAnsi="楷体" w:eastAsia="楷体"/>
          <w:b/>
          <w:color w:val="5B9BD5" w:themeColor="accent5"/>
          <w:sz w:val="24"/>
          <w:szCs w:val="24"/>
          <w:u w:val="single"/>
          <w14:textFill>
            <w14:solidFill>
              <w14:schemeClr w14:val="accent5"/>
            </w14:solidFill>
          </w14:textFill>
        </w:rPr>
        <w:t>××</w:t>
      </w:r>
      <w:r>
        <w:rPr>
          <w:rFonts w:ascii="楷体" w:hAnsi="楷体" w:eastAsia="楷体"/>
          <w:b/>
          <w:color w:val="5B9BD5" w:themeColor="accent5"/>
          <w:sz w:val="24"/>
          <w:szCs w:val="24"/>
          <w:u w:val="single"/>
          <w14:textFill>
            <w14:solidFill>
              <w14:schemeClr w14:val="accent5"/>
            </w14:solidFill>
          </w14:textFill>
        </w:rPr>
        <w:t xml:space="preserve">   </w:t>
      </w:r>
    </w:p>
    <w:p w14:paraId="6C1DBD20">
      <w:pPr>
        <w:pStyle w:val="29"/>
        <w:spacing w:line="360" w:lineRule="auto"/>
        <w:ind w:right="2020" w:firstLine="560"/>
        <w:jc w:val="center"/>
        <w:rPr>
          <w:rFonts w:ascii="楷体" w:hAnsi="楷体" w:eastAsia="楷体"/>
          <w:bCs/>
          <w:sz w:val="30"/>
          <w:szCs w:val="30"/>
        </w:rPr>
      </w:pPr>
      <w:r>
        <w:rPr>
          <w:rFonts w:hint="eastAsia" w:ascii="楷体" w:hAnsi="楷体" w:eastAsia="楷体"/>
          <w:sz w:val="24"/>
          <w:szCs w:val="24"/>
        </w:rPr>
        <w:t xml:space="preserve"> </w:t>
      </w:r>
      <w:r>
        <w:rPr>
          <w:rFonts w:ascii="楷体" w:hAnsi="楷体" w:eastAsia="楷体"/>
          <w:sz w:val="24"/>
          <w:szCs w:val="24"/>
        </w:rPr>
        <w:t xml:space="preserve">                        </w:t>
      </w:r>
      <w:r>
        <w:rPr>
          <w:rFonts w:hint="eastAsia" w:ascii="楷体" w:hAnsi="楷体" w:eastAsia="楷体"/>
          <w:sz w:val="24"/>
          <w:szCs w:val="24"/>
        </w:rPr>
        <w:t>日期：</w:t>
      </w:r>
      <w:r>
        <w:rPr>
          <w:rFonts w:ascii="楷体" w:hAnsi="楷体" w:eastAsia="楷体"/>
          <w:sz w:val="24"/>
          <w:szCs w:val="24"/>
        </w:rPr>
        <w:t xml:space="preserve"> </w:t>
      </w:r>
      <w:r>
        <w:rPr>
          <w:rFonts w:hint="cs" w:ascii="楷体" w:hAnsi="楷体" w:eastAsia="楷体"/>
          <w:b/>
          <w:color w:val="5B9BD5" w:themeColor="accent5"/>
          <w:sz w:val="24"/>
          <w:szCs w:val="24"/>
          <w:u w:val="single"/>
          <w14:textFill>
            <w14:solidFill>
              <w14:schemeClr w14:val="accent5"/>
            </w14:solidFill>
          </w14:textFill>
        </w:rPr>
        <w:t>××××</w:t>
      </w:r>
      <w:r>
        <w:rPr>
          <w:rFonts w:hint="eastAsia" w:ascii="楷体" w:hAnsi="楷体" w:eastAsia="楷体"/>
          <w:sz w:val="24"/>
          <w:szCs w:val="24"/>
        </w:rPr>
        <w:t>年</w:t>
      </w:r>
      <w:r>
        <w:rPr>
          <w:rFonts w:hint="cs" w:ascii="楷体" w:hAnsi="楷体" w:eastAsia="楷体"/>
          <w:b/>
          <w:color w:val="5B9BD5" w:themeColor="accent5"/>
          <w:sz w:val="24"/>
          <w:szCs w:val="24"/>
          <w:u w:val="single"/>
          <w14:textFill>
            <w14:solidFill>
              <w14:schemeClr w14:val="accent5"/>
            </w14:solidFill>
          </w14:textFill>
        </w:rPr>
        <w:t>××</w:t>
      </w:r>
      <w:r>
        <w:rPr>
          <w:rFonts w:hint="eastAsia" w:ascii="楷体" w:hAnsi="楷体" w:eastAsia="楷体"/>
          <w:sz w:val="24"/>
          <w:szCs w:val="24"/>
        </w:rPr>
        <w:t>月</w:t>
      </w:r>
      <w:r>
        <w:rPr>
          <w:rFonts w:hint="cs" w:ascii="楷体" w:hAnsi="楷体" w:eastAsia="楷体"/>
          <w:b/>
          <w:color w:val="5B9BD5" w:themeColor="accent5"/>
          <w:sz w:val="24"/>
          <w:szCs w:val="24"/>
          <w:u w:val="single"/>
          <w14:textFill>
            <w14:solidFill>
              <w14:schemeClr w14:val="accent5"/>
            </w14:solidFill>
          </w14:textFill>
        </w:rPr>
        <w:t>××</w:t>
      </w:r>
      <w:r>
        <w:rPr>
          <w:rFonts w:hint="eastAsia" w:ascii="楷体" w:hAnsi="楷体" w:eastAsia="楷体"/>
          <w:sz w:val="24"/>
          <w:szCs w:val="24"/>
        </w:rPr>
        <w:t>日</w:t>
      </w:r>
      <w:r>
        <w:rPr>
          <w:rFonts w:ascii="楷体" w:hAnsi="楷体" w:eastAsia="楷体"/>
        </w:rPr>
        <w:br w:type="page" w:clear="all"/>
      </w:r>
      <w:r>
        <w:rPr>
          <w:rFonts w:ascii="楷体" w:hAnsi="楷体" w:eastAsia="楷体"/>
        </w:rPr>
        <w:t xml:space="preserve">    </w:t>
      </w:r>
      <w:r>
        <w:rPr>
          <w:rFonts w:ascii="楷体" w:hAnsi="楷体" w:eastAsia="楷体"/>
          <w:sz w:val="30"/>
          <w:szCs w:val="30"/>
        </w:rPr>
        <w:t xml:space="preserve"> </w:t>
      </w:r>
      <w:r>
        <w:rPr>
          <w:rFonts w:hint="eastAsia" w:ascii="楷体" w:hAnsi="楷体" w:eastAsia="楷体"/>
          <w:b/>
          <w:bCs/>
          <w:sz w:val="30"/>
          <w:szCs w:val="30"/>
        </w:rPr>
        <w:t>（二）独立承担民事责任的能力</w:t>
      </w:r>
    </w:p>
    <w:p w14:paraId="7ABE582A">
      <w:pPr>
        <w:spacing w:line="360" w:lineRule="auto"/>
        <w:ind w:firstLine="560"/>
        <w:rPr>
          <w:rFonts w:ascii="楷体" w:hAnsi="楷体" w:eastAsia="楷体"/>
          <w:color w:val="4472C4" w:themeColor="accent1"/>
          <w:sz w:val="24"/>
          <w14:textFill>
            <w14:solidFill>
              <w14:schemeClr w14:val="accent1"/>
            </w14:solidFill>
          </w14:textFill>
        </w:rPr>
      </w:pPr>
      <w:bookmarkStart w:id="271" w:name="OLE_LINK18"/>
      <w:r>
        <w:rPr>
          <w:rFonts w:hint="eastAsia" w:ascii="楷体" w:hAnsi="楷体" w:eastAsia="楷体"/>
          <w:sz w:val="24"/>
        </w:rPr>
        <w:t>法人或者其他组织的营业执照等证明文件</w:t>
      </w:r>
      <w:r>
        <w:rPr>
          <w:rFonts w:ascii="楷体" w:hAnsi="楷体" w:eastAsia="楷体"/>
          <w:sz w:val="24"/>
        </w:rPr>
        <w:t xml:space="preserve">(原件扫描件)；供应商为自然人的，提供其身份证(原件扫描件) </w:t>
      </w:r>
      <w:r>
        <w:rPr>
          <w:rFonts w:hint="eastAsia" w:ascii="楷体" w:hAnsi="楷体" w:eastAsia="楷体"/>
          <w:sz w:val="24"/>
        </w:rPr>
        <w:t>。</w:t>
      </w:r>
      <w:bookmarkEnd w:id="271"/>
      <w:r>
        <w:rPr>
          <w:rFonts w:ascii="楷体" w:hAnsi="楷体" w:eastAsia="楷体"/>
          <w:sz w:val="24"/>
        </w:rPr>
        <w:br w:type="page" w:clear="all"/>
      </w:r>
    </w:p>
    <w:p w14:paraId="33B3090F">
      <w:pPr>
        <w:pStyle w:val="5"/>
        <w:spacing w:line="360" w:lineRule="auto"/>
        <w:ind w:firstLine="643"/>
        <w:rPr>
          <w:rFonts w:ascii="楷体" w:hAnsi="楷体" w:eastAsia="楷体"/>
          <w:sz w:val="30"/>
          <w:szCs w:val="30"/>
        </w:rPr>
      </w:pPr>
      <w:r>
        <w:rPr>
          <w:rFonts w:hint="eastAsia" w:ascii="楷体" w:hAnsi="楷体" w:eastAsia="楷体"/>
          <w:sz w:val="30"/>
          <w:szCs w:val="30"/>
        </w:rPr>
        <w:t>（三）良好的商业信誉和健全的财务会计制度</w:t>
      </w:r>
    </w:p>
    <w:p w14:paraId="655BB3D3">
      <w:pPr>
        <w:spacing w:line="360" w:lineRule="auto"/>
        <w:ind w:firstLine="560"/>
        <w:rPr>
          <w:rFonts w:ascii="楷体" w:hAnsi="楷体" w:eastAsia="楷体"/>
          <w:sz w:val="24"/>
        </w:rPr>
      </w:pPr>
      <w:bookmarkStart w:id="272" w:name="OLE_LINK13"/>
      <w:r>
        <w:rPr>
          <w:rFonts w:hint="eastAsia" w:ascii="楷体" w:hAnsi="楷体" w:eastAsia="楷体"/>
          <w:sz w:val="24"/>
        </w:rPr>
        <w:t>提供上一年度财务报告、成立不满一年的提供至少一个月财务报告，或银行出具的资信证明，或财政部门认可的政府采购专业担保机构出具的投标担保函等原件扫描件，或提供</w:t>
      </w:r>
      <w:bookmarkStart w:id="273" w:name="_Hlk131494070"/>
      <w:r>
        <w:rPr>
          <w:rFonts w:hint="eastAsia" w:ascii="楷体" w:hAnsi="楷体" w:eastAsia="楷体"/>
          <w:sz w:val="24"/>
        </w:rPr>
        <w:t>资格承诺函</w:t>
      </w:r>
      <w:bookmarkEnd w:id="273"/>
      <w:bookmarkStart w:id="274" w:name="_Hlk131494108"/>
      <w:r>
        <w:rPr>
          <w:rFonts w:hint="eastAsia" w:ascii="楷体" w:hAnsi="楷体" w:eastAsia="楷体"/>
          <w:sz w:val="24"/>
        </w:rPr>
        <w:t>（见本部分（六）资格承诺函）</w:t>
      </w:r>
      <w:bookmarkEnd w:id="274"/>
      <w:r>
        <w:rPr>
          <w:rFonts w:hint="eastAsia" w:ascii="楷体" w:hAnsi="楷体" w:eastAsia="楷体"/>
          <w:sz w:val="24"/>
        </w:rPr>
        <w:t>。</w:t>
      </w:r>
    </w:p>
    <w:bookmarkEnd w:id="272"/>
    <w:p w14:paraId="5E2B4F08">
      <w:pPr>
        <w:rPr>
          <w:rFonts w:ascii="楷体" w:hAnsi="楷体" w:eastAsia="楷体"/>
          <w:sz w:val="32"/>
        </w:rPr>
      </w:pPr>
      <w:r>
        <w:rPr>
          <w:rFonts w:hint="eastAsia" w:ascii="楷体" w:hAnsi="楷体" w:eastAsia="楷体"/>
          <w:sz w:val="32"/>
        </w:rPr>
        <w:br w:type="page" w:clear="all"/>
      </w:r>
    </w:p>
    <w:p w14:paraId="46CAFFB0">
      <w:pPr>
        <w:pStyle w:val="5"/>
        <w:numPr>
          <w:ilvl w:val="0"/>
          <w:numId w:val="9"/>
        </w:numPr>
        <w:spacing w:line="360" w:lineRule="auto"/>
        <w:ind w:firstLine="643"/>
        <w:rPr>
          <w:rFonts w:ascii="楷体" w:hAnsi="楷体" w:eastAsia="楷体"/>
          <w:sz w:val="30"/>
          <w:szCs w:val="30"/>
        </w:rPr>
      </w:pPr>
      <w:r>
        <w:rPr>
          <w:rFonts w:hint="eastAsia" w:ascii="楷体" w:hAnsi="楷体" w:eastAsia="楷体"/>
          <w:sz w:val="30"/>
          <w:szCs w:val="30"/>
        </w:rPr>
        <w:t>履行合同所必需的设备和专业技术能力</w:t>
      </w:r>
    </w:p>
    <w:p w14:paraId="3430AFED">
      <w:pPr>
        <w:spacing w:line="360" w:lineRule="auto"/>
        <w:ind w:firstLine="560"/>
        <w:rPr>
          <w:rFonts w:ascii="楷体" w:hAnsi="楷体" w:eastAsia="楷体"/>
          <w:sz w:val="24"/>
        </w:rPr>
      </w:pPr>
      <w:bookmarkStart w:id="275" w:name="OLE_LINK14"/>
      <w:r>
        <w:rPr>
          <w:rFonts w:hint="eastAsia" w:ascii="楷体" w:hAnsi="楷体" w:eastAsia="楷体"/>
          <w:sz w:val="24"/>
        </w:rPr>
        <w:t>填写下述表格或提供资格承诺函（见本部分（六）资格承诺函）</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337"/>
        <w:gridCol w:w="1417"/>
        <w:gridCol w:w="1575"/>
        <w:gridCol w:w="416"/>
        <w:gridCol w:w="401"/>
        <w:gridCol w:w="994"/>
        <w:gridCol w:w="936"/>
        <w:gridCol w:w="298"/>
        <w:gridCol w:w="971"/>
        <w:gridCol w:w="1439"/>
      </w:tblGrid>
      <w:tr w14:paraId="3788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gridSpan w:val="2"/>
            <w:shd w:val="clear" w:color="auto" w:fill="D9D9D9"/>
            <w:vAlign w:val="center"/>
          </w:tcPr>
          <w:p w14:paraId="4EEB64EE">
            <w:pPr>
              <w:pStyle w:val="9"/>
              <w:spacing w:line="360" w:lineRule="auto"/>
              <w:ind w:firstLine="0"/>
              <w:jc w:val="center"/>
              <w:rPr>
                <w:rFonts w:ascii="楷体" w:hAnsi="楷体" w:eastAsia="楷体"/>
                <w:b/>
                <w:sz w:val="24"/>
              </w:rPr>
            </w:pPr>
            <w:r>
              <w:rPr>
                <w:rFonts w:ascii="楷体" w:hAnsi="楷体" w:eastAsia="楷体"/>
                <w:sz w:val="32"/>
              </w:rPr>
              <w:br w:type="page" w:clear="all"/>
            </w:r>
            <w:r>
              <w:rPr>
                <w:rFonts w:hint="eastAsia" w:ascii="楷体" w:hAnsi="楷体" w:eastAsia="楷体"/>
                <w:b/>
                <w:sz w:val="24"/>
              </w:rPr>
              <w:t>一</w:t>
            </w:r>
          </w:p>
        </w:tc>
        <w:tc>
          <w:tcPr>
            <w:tcW w:w="4385" w:type="pct"/>
            <w:gridSpan w:val="9"/>
            <w:shd w:val="clear" w:color="auto" w:fill="D9D9D9"/>
            <w:vAlign w:val="center"/>
          </w:tcPr>
          <w:p w14:paraId="58946736">
            <w:pPr>
              <w:pStyle w:val="9"/>
              <w:spacing w:line="360" w:lineRule="auto"/>
              <w:ind w:firstLine="0"/>
              <w:jc w:val="center"/>
              <w:rPr>
                <w:rFonts w:ascii="楷体" w:hAnsi="楷体" w:eastAsia="楷体"/>
                <w:b/>
                <w:sz w:val="24"/>
              </w:rPr>
            </w:pPr>
            <w:r>
              <w:rPr>
                <w:rFonts w:hint="eastAsia" w:ascii="楷体" w:hAnsi="楷体" w:eastAsia="楷体"/>
                <w:b/>
                <w:sz w:val="24"/>
              </w:rPr>
              <w:t>公司基本信息</w:t>
            </w:r>
          </w:p>
        </w:tc>
      </w:tr>
      <w:tr w14:paraId="68399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gridSpan w:val="2"/>
            <w:vAlign w:val="center"/>
          </w:tcPr>
          <w:p w14:paraId="4DDAE77A">
            <w:pPr>
              <w:pStyle w:val="9"/>
              <w:spacing w:line="360" w:lineRule="auto"/>
              <w:ind w:firstLine="0"/>
              <w:jc w:val="center"/>
              <w:rPr>
                <w:rFonts w:ascii="楷体" w:hAnsi="楷体" w:eastAsia="楷体"/>
                <w:sz w:val="24"/>
              </w:rPr>
            </w:pPr>
            <w:r>
              <w:rPr>
                <w:rFonts w:hint="eastAsia" w:ascii="楷体" w:hAnsi="楷体" w:eastAsia="楷体"/>
                <w:sz w:val="24"/>
              </w:rPr>
              <w:t>1</w:t>
            </w:r>
          </w:p>
        </w:tc>
        <w:tc>
          <w:tcPr>
            <w:tcW w:w="736" w:type="pct"/>
            <w:vAlign w:val="center"/>
          </w:tcPr>
          <w:p w14:paraId="05187380">
            <w:pPr>
              <w:pStyle w:val="9"/>
              <w:spacing w:line="360" w:lineRule="auto"/>
              <w:ind w:firstLine="0"/>
              <w:rPr>
                <w:rFonts w:ascii="楷体" w:hAnsi="楷体" w:eastAsia="楷体"/>
                <w:sz w:val="24"/>
              </w:rPr>
            </w:pPr>
            <w:r>
              <w:rPr>
                <w:rFonts w:hint="eastAsia" w:ascii="楷体" w:hAnsi="楷体" w:eastAsia="楷体"/>
                <w:sz w:val="24"/>
              </w:rPr>
              <w:t>公司名称</w:t>
            </w:r>
          </w:p>
        </w:tc>
        <w:tc>
          <w:tcPr>
            <w:tcW w:w="3648" w:type="pct"/>
            <w:gridSpan w:val="8"/>
            <w:vAlign w:val="center"/>
          </w:tcPr>
          <w:p w14:paraId="513E2CAE">
            <w:pPr>
              <w:pStyle w:val="9"/>
              <w:spacing w:line="360" w:lineRule="auto"/>
              <w:ind w:firstLine="0"/>
              <w:jc w:val="center"/>
              <w:rPr>
                <w:rFonts w:ascii="楷体" w:hAnsi="楷体" w:eastAsia="楷体"/>
                <w:sz w:val="24"/>
              </w:rPr>
            </w:pPr>
          </w:p>
        </w:tc>
      </w:tr>
      <w:tr w14:paraId="2CD0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4" w:type="pct"/>
            <w:gridSpan w:val="2"/>
            <w:vAlign w:val="center"/>
          </w:tcPr>
          <w:p w14:paraId="097667D0">
            <w:pPr>
              <w:pStyle w:val="9"/>
              <w:spacing w:line="360" w:lineRule="auto"/>
              <w:ind w:firstLine="0"/>
              <w:jc w:val="center"/>
              <w:rPr>
                <w:rFonts w:ascii="楷体" w:hAnsi="楷体" w:eastAsia="楷体"/>
                <w:sz w:val="24"/>
              </w:rPr>
            </w:pPr>
            <w:r>
              <w:rPr>
                <w:rFonts w:hint="eastAsia" w:ascii="楷体" w:hAnsi="楷体" w:eastAsia="楷体"/>
                <w:sz w:val="24"/>
              </w:rPr>
              <w:t>2</w:t>
            </w:r>
          </w:p>
        </w:tc>
        <w:tc>
          <w:tcPr>
            <w:tcW w:w="736" w:type="pct"/>
            <w:vAlign w:val="center"/>
          </w:tcPr>
          <w:p w14:paraId="27AC6015">
            <w:pPr>
              <w:pStyle w:val="9"/>
              <w:spacing w:line="360" w:lineRule="auto"/>
              <w:ind w:firstLine="0"/>
              <w:jc w:val="center"/>
              <w:rPr>
                <w:rFonts w:ascii="楷体" w:hAnsi="楷体" w:eastAsia="楷体"/>
                <w:sz w:val="24"/>
              </w:rPr>
            </w:pPr>
            <w:r>
              <w:rPr>
                <w:rFonts w:hint="eastAsia" w:ascii="楷体" w:hAnsi="楷体" w:eastAsia="楷体"/>
                <w:sz w:val="24"/>
              </w:rPr>
              <w:t>注册资金</w:t>
            </w:r>
          </w:p>
        </w:tc>
        <w:tc>
          <w:tcPr>
            <w:tcW w:w="818" w:type="pct"/>
            <w:vAlign w:val="center"/>
          </w:tcPr>
          <w:p w14:paraId="4AA4BEB5">
            <w:pPr>
              <w:pStyle w:val="9"/>
              <w:spacing w:line="360" w:lineRule="auto"/>
              <w:ind w:firstLine="0"/>
              <w:jc w:val="center"/>
              <w:rPr>
                <w:rFonts w:ascii="楷体" w:hAnsi="楷体" w:eastAsia="楷体"/>
                <w:sz w:val="24"/>
              </w:rPr>
            </w:pPr>
          </w:p>
        </w:tc>
        <w:tc>
          <w:tcPr>
            <w:tcW w:w="424" w:type="pct"/>
            <w:gridSpan w:val="2"/>
            <w:vAlign w:val="center"/>
          </w:tcPr>
          <w:p w14:paraId="0D519778">
            <w:pPr>
              <w:pStyle w:val="9"/>
              <w:spacing w:line="360" w:lineRule="auto"/>
              <w:ind w:firstLine="0"/>
              <w:jc w:val="center"/>
              <w:rPr>
                <w:rFonts w:ascii="楷体" w:hAnsi="楷体" w:eastAsia="楷体"/>
                <w:sz w:val="24"/>
              </w:rPr>
            </w:pPr>
            <w:r>
              <w:rPr>
                <w:rFonts w:hint="eastAsia" w:ascii="楷体" w:hAnsi="楷体" w:eastAsia="楷体"/>
                <w:sz w:val="24"/>
              </w:rPr>
              <w:t>3</w:t>
            </w:r>
          </w:p>
        </w:tc>
        <w:tc>
          <w:tcPr>
            <w:tcW w:w="1157" w:type="pct"/>
            <w:gridSpan w:val="3"/>
            <w:vAlign w:val="center"/>
          </w:tcPr>
          <w:p w14:paraId="2CA33484">
            <w:pPr>
              <w:pStyle w:val="9"/>
              <w:spacing w:line="360" w:lineRule="auto"/>
              <w:ind w:firstLine="0"/>
              <w:jc w:val="center"/>
              <w:rPr>
                <w:rFonts w:ascii="楷体" w:hAnsi="楷体" w:eastAsia="楷体"/>
                <w:sz w:val="24"/>
              </w:rPr>
            </w:pPr>
            <w:r>
              <w:rPr>
                <w:rFonts w:hint="eastAsia" w:ascii="楷体" w:hAnsi="楷体" w:eastAsia="楷体"/>
                <w:sz w:val="24"/>
              </w:rPr>
              <w:t>公司地址</w:t>
            </w:r>
          </w:p>
        </w:tc>
        <w:tc>
          <w:tcPr>
            <w:tcW w:w="1246" w:type="pct"/>
            <w:gridSpan w:val="2"/>
            <w:vAlign w:val="center"/>
          </w:tcPr>
          <w:p w14:paraId="6811FA6D">
            <w:pPr>
              <w:pStyle w:val="9"/>
              <w:spacing w:line="360" w:lineRule="auto"/>
              <w:ind w:firstLine="0"/>
              <w:jc w:val="center"/>
              <w:rPr>
                <w:rFonts w:ascii="楷体" w:hAnsi="楷体" w:eastAsia="楷体"/>
                <w:sz w:val="24"/>
              </w:rPr>
            </w:pPr>
          </w:p>
        </w:tc>
      </w:tr>
      <w:tr w14:paraId="6CD3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4" w:type="pct"/>
            <w:gridSpan w:val="2"/>
            <w:vAlign w:val="center"/>
          </w:tcPr>
          <w:p w14:paraId="12155BCD">
            <w:pPr>
              <w:pStyle w:val="9"/>
              <w:spacing w:line="360" w:lineRule="auto"/>
              <w:ind w:firstLine="0"/>
              <w:jc w:val="center"/>
              <w:rPr>
                <w:rFonts w:ascii="楷体" w:hAnsi="楷体" w:eastAsia="楷体"/>
                <w:sz w:val="24"/>
              </w:rPr>
            </w:pPr>
            <w:r>
              <w:rPr>
                <w:rFonts w:hint="eastAsia" w:ascii="楷体" w:hAnsi="楷体" w:eastAsia="楷体"/>
                <w:sz w:val="24"/>
              </w:rPr>
              <w:t>4</w:t>
            </w:r>
          </w:p>
        </w:tc>
        <w:tc>
          <w:tcPr>
            <w:tcW w:w="736" w:type="pct"/>
            <w:vAlign w:val="center"/>
          </w:tcPr>
          <w:p w14:paraId="06A4C282">
            <w:pPr>
              <w:pStyle w:val="9"/>
              <w:spacing w:line="360" w:lineRule="auto"/>
              <w:ind w:firstLine="0"/>
              <w:jc w:val="center"/>
              <w:rPr>
                <w:rFonts w:ascii="楷体" w:hAnsi="楷体" w:eastAsia="楷体"/>
                <w:sz w:val="24"/>
              </w:rPr>
            </w:pPr>
            <w:r>
              <w:rPr>
                <w:rFonts w:hint="eastAsia" w:ascii="楷体" w:hAnsi="楷体" w:eastAsia="楷体"/>
                <w:sz w:val="24"/>
              </w:rPr>
              <w:t>从业人数</w:t>
            </w:r>
          </w:p>
        </w:tc>
        <w:tc>
          <w:tcPr>
            <w:tcW w:w="818" w:type="pct"/>
            <w:vAlign w:val="center"/>
          </w:tcPr>
          <w:p w14:paraId="2A337686">
            <w:pPr>
              <w:pStyle w:val="9"/>
              <w:spacing w:line="360" w:lineRule="auto"/>
              <w:ind w:firstLine="0"/>
              <w:jc w:val="center"/>
              <w:rPr>
                <w:rFonts w:ascii="楷体" w:hAnsi="楷体" w:eastAsia="楷体"/>
                <w:sz w:val="24"/>
              </w:rPr>
            </w:pPr>
          </w:p>
        </w:tc>
        <w:tc>
          <w:tcPr>
            <w:tcW w:w="424" w:type="pct"/>
            <w:gridSpan w:val="2"/>
            <w:vAlign w:val="center"/>
          </w:tcPr>
          <w:p w14:paraId="2A15B13F">
            <w:pPr>
              <w:pStyle w:val="9"/>
              <w:spacing w:line="360" w:lineRule="auto"/>
              <w:ind w:firstLine="0"/>
              <w:jc w:val="center"/>
              <w:rPr>
                <w:rFonts w:ascii="楷体" w:hAnsi="楷体" w:eastAsia="楷体"/>
                <w:sz w:val="24"/>
              </w:rPr>
            </w:pPr>
            <w:r>
              <w:rPr>
                <w:rFonts w:hint="eastAsia" w:ascii="楷体" w:hAnsi="楷体" w:eastAsia="楷体"/>
                <w:sz w:val="24"/>
              </w:rPr>
              <w:t>5</w:t>
            </w:r>
          </w:p>
        </w:tc>
        <w:tc>
          <w:tcPr>
            <w:tcW w:w="1157" w:type="pct"/>
            <w:gridSpan w:val="3"/>
            <w:vAlign w:val="center"/>
          </w:tcPr>
          <w:p w14:paraId="6E6AAA95">
            <w:pPr>
              <w:pStyle w:val="9"/>
              <w:spacing w:line="360" w:lineRule="auto"/>
              <w:ind w:firstLine="0"/>
              <w:jc w:val="center"/>
              <w:rPr>
                <w:rFonts w:ascii="楷体" w:hAnsi="楷体" w:eastAsia="楷体"/>
                <w:sz w:val="24"/>
              </w:rPr>
            </w:pPr>
            <w:r>
              <w:rPr>
                <w:rFonts w:hint="eastAsia" w:ascii="楷体" w:hAnsi="楷体" w:eastAsia="楷体"/>
                <w:sz w:val="24"/>
              </w:rPr>
              <w:t>法定代表人</w:t>
            </w:r>
          </w:p>
        </w:tc>
        <w:tc>
          <w:tcPr>
            <w:tcW w:w="1246" w:type="pct"/>
            <w:gridSpan w:val="2"/>
            <w:vAlign w:val="center"/>
          </w:tcPr>
          <w:p w14:paraId="3D725ACC">
            <w:pPr>
              <w:pStyle w:val="9"/>
              <w:spacing w:line="360" w:lineRule="auto"/>
              <w:ind w:firstLine="0"/>
              <w:jc w:val="center"/>
              <w:rPr>
                <w:rFonts w:ascii="楷体" w:hAnsi="楷体" w:eastAsia="楷体"/>
                <w:sz w:val="24"/>
              </w:rPr>
            </w:pPr>
          </w:p>
        </w:tc>
      </w:tr>
      <w:tr w14:paraId="2E1B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gridSpan w:val="2"/>
            <w:vAlign w:val="center"/>
          </w:tcPr>
          <w:p w14:paraId="7E5C45CB">
            <w:pPr>
              <w:pStyle w:val="9"/>
              <w:spacing w:line="360" w:lineRule="auto"/>
              <w:ind w:firstLine="0"/>
              <w:jc w:val="center"/>
              <w:rPr>
                <w:rFonts w:ascii="楷体" w:hAnsi="楷体" w:eastAsia="楷体"/>
                <w:sz w:val="24"/>
              </w:rPr>
            </w:pPr>
            <w:r>
              <w:rPr>
                <w:rFonts w:hint="eastAsia" w:ascii="楷体" w:hAnsi="楷体" w:eastAsia="楷体"/>
                <w:sz w:val="24"/>
              </w:rPr>
              <w:t>6</w:t>
            </w:r>
          </w:p>
        </w:tc>
        <w:tc>
          <w:tcPr>
            <w:tcW w:w="736" w:type="pct"/>
            <w:vAlign w:val="center"/>
          </w:tcPr>
          <w:p w14:paraId="7C92CA21">
            <w:pPr>
              <w:pStyle w:val="9"/>
              <w:spacing w:line="360" w:lineRule="auto"/>
              <w:ind w:firstLine="0"/>
              <w:jc w:val="center"/>
              <w:rPr>
                <w:rFonts w:ascii="楷体" w:hAnsi="楷体" w:eastAsia="楷体"/>
                <w:sz w:val="24"/>
              </w:rPr>
            </w:pPr>
            <w:r>
              <w:rPr>
                <w:rFonts w:hint="eastAsia" w:ascii="楷体" w:hAnsi="楷体" w:eastAsia="楷体"/>
                <w:sz w:val="24"/>
              </w:rPr>
              <w:t>开户银行</w:t>
            </w:r>
          </w:p>
        </w:tc>
        <w:tc>
          <w:tcPr>
            <w:tcW w:w="818" w:type="pct"/>
            <w:vAlign w:val="center"/>
          </w:tcPr>
          <w:p w14:paraId="1F2723B9">
            <w:pPr>
              <w:pStyle w:val="9"/>
              <w:spacing w:line="360" w:lineRule="auto"/>
              <w:ind w:firstLine="0"/>
              <w:jc w:val="center"/>
              <w:rPr>
                <w:rFonts w:ascii="楷体" w:hAnsi="楷体" w:eastAsia="楷体"/>
                <w:sz w:val="24"/>
              </w:rPr>
            </w:pPr>
          </w:p>
        </w:tc>
        <w:tc>
          <w:tcPr>
            <w:tcW w:w="424" w:type="pct"/>
            <w:gridSpan w:val="2"/>
            <w:vAlign w:val="center"/>
          </w:tcPr>
          <w:p w14:paraId="74186E1A">
            <w:pPr>
              <w:pStyle w:val="9"/>
              <w:spacing w:line="360" w:lineRule="auto"/>
              <w:ind w:firstLine="0"/>
              <w:jc w:val="center"/>
              <w:rPr>
                <w:rFonts w:ascii="楷体" w:hAnsi="楷体" w:eastAsia="楷体"/>
                <w:sz w:val="24"/>
              </w:rPr>
            </w:pPr>
            <w:r>
              <w:rPr>
                <w:rFonts w:hint="eastAsia" w:ascii="楷体" w:hAnsi="楷体" w:eastAsia="楷体"/>
                <w:sz w:val="24"/>
              </w:rPr>
              <w:t>7</w:t>
            </w:r>
          </w:p>
        </w:tc>
        <w:tc>
          <w:tcPr>
            <w:tcW w:w="1157" w:type="pct"/>
            <w:gridSpan w:val="3"/>
            <w:vAlign w:val="center"/>
          </w:tcPr>
          <w:p w14:paraId="4722B9B9">
            <w:pPr>
              <w:pStyle w:val="9"/>
              <w:spacing w:line="360" w:lineRule="auto"/>
              <w:ind w:firstLine="0"/>
              <w:jc w:val="center"/>
              <w:rPr>
                <w:rFonts w:ascii="楷体" w:hAnsi="楷体" w:eastAsia="楷体"/>
                <w:sz w:val="24"/>
              </w:rPr>
            </w:pPr>
            <w:r>
              <w:rPr>
                <w:rFonts w:hint="eastAsia" w:ascii="楷体" w:hAnsi="楷体" w:eastAsia="楷体"/>
                <w:sz w:val="24"/>
              </w:rPr>
              <w:t>账号</w:t>
            </w:r>
          </w:p>
        </w:tc>
        <w:tc>
          <w:tcPr>
            <w:tcW w:w="1246" w:type="pct"/>
            <w:gridSpan w:val="2"/>
            <w:vAlign w:val="center"/>
          </w:tcPr>
          <w:p w14:paraId="4B85A0CE">
            <w:pPr>
              <w:pStyle w:val="9"/>
              <w:spacing w:line="360" w:lineRule="auto"/>
              <w:ind w:firstLine="0"/>
              <w:jc w:val="center"/>
              <w:rPr>
                <w:rFonts w:ascii="楷体" w:hAnsi="楷体" w:eastAsia="楷体"/>
                <w:sz w:val="24"/>
              </w:rPr>
            </w:pPr>
          </w:p>
        </w:tc>
      </w:tr>
      <w:tr w14:paraId="20CC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gridSpan w:val="2"/>
            <w:tcBorders>
              <w:bottom w:val="single" w:color="auto" w:sz="4" w:space="0"/>
            </w:tcBorders>
            <w:vAlign w:val="center"/>
          </w:tcPr>
          <w:p w14:paraId="69DFBD86">
            <w:pPr>
              <w:pStyle w:val="9"/>
              <w:spacing w:line="360" w:lineRule="auto"/>
              <w:ind w:firstLine="0"/>
              <w:jc w:val="center"/>
              <w:rPr>
                <w:rFonts w:ascii="楷体" w:hAnsi="楷体" w:eastAsia="楷体"/>
                <w:sz w:val="24"/>
              </w:rPr>
            </w:pPr>
            <w:r>
              <w:rPr>
                <w:rFonts w:hint="eastAsia" w:ascii="楷体" w:hAnsi="楷体" w:eastAsia="楷体"/>
                <w:sz w:val="24"/>
              </w:rPr>
              <w:t>8</w:t>
            </w:r>
          </w:p>
        </w:tc>
        <w:tc>
          <w:tcPr>
            <w:tcW w:w="736" w:type="pct"/>
            <w:tcBorders>
              <w:bottom w:val="single" w:color="auto" w:sz="4" w:space="0"/>
            </w:tcBorders>
            <w:vAlign w:val="center"/>
          </w:tcPr>
          <w:p w14:paraId="79F159A4">
            <w:pPr>
              <w:pStyle w:val="9"/>
              <w:spacing w:line="360" w:lineRule="auto"/>
              <w:ind w:firstLine="0"/>
              <w:jc w:val="center"/>
              <w:rPr>
                <w:rFonts w:ascii="楷体" w:hAnsi="楷体" w:eastAsia="楷体"/>
                <w:sz w:val="24"/>
              </w:rPr>
            </w:pPr>
            <w:r>
              <w:rPr>
                <w:rFonts w:hint="eastAsia" w:ascii="楷体" w:hAnsi="楷体" w:eastAsia="楷体"/>
                <w:sz w:val="24"/>
              </w:rPr>
              <w:t>项目联系人</w:t>
            </w:r>
          </w:p>
        </w:tc>
        <w:tc>
          <w:tcPr>
            <w:tcW w:w="818" w:type="pct"/>
            <w:tcBorders>
              <w:bottom w:val="single" w:color="auto" w:sz="4" w:space="0"/>
            </w:tcBorders>
            <w:vAlign w:val="center"/>
          </w:tcPr>
          <w:p w14:paraId="585F3E24">
            <w:pPr>
              <w:pStyle w:val="9"/>
              <w:spacing w:line="360" w:lineRule="auto"/>
              <w:ind w:firstLine="0"/>
              <w:jc w:val="center"/>
              <w:rPr>
                <w:rFonts w:ascii="楷体" w:hAnsi="楷体" w:eastAsia="楷体"/>
                <w:sz w:val="24"/>
              </w:rPr>
            </w:pPr>
          </w:p>
        </w:tc>
        <w:tc>
          <w:tcPr>
            <w:tcW w:w="424" w:type="pct"/>
            <w:gridSpan w:val="2"/>
            <w:tcBorders>
              <w:bottom w:val="single" w:color="auto" w:sz="4" w:space="0"/>
            </w:tcBorders>
            <w:vAlign w:val="center"/>
          </w:tcPr>
          <w:p w14:paraId="6D7D08C0">
            <w:pPr>
              <w:pStyle w:val="9"/>
              <w:spacing w:line="360" w:lineRule="auto"/>
              <w:ind w:firstLine="0"/>
              <w:jc w:val="center"/>
              <w:rPr>
                <w:rFonts w:ascii="楷体" w:hAnsi="楷体" w:eastAsia="楷体"/>
                <w:sz w:val="24"/>
              </w:rPr>
            </w:pPr>
            <w:r>
              <w:rPr>
                <w:rFonts w:hint="eastAsia" w:ascii="楷体" w:hAnsi="楷体" w:eastAsia="楷体"/>
                <w:sz w:val="24"/>
              </w:rPr>
              <w:t>9</w:t>
            </w:r>
          </w:p>
        </w:tc>
        <w:tc>
          <w:tcPr>
            <w:tcW w:w="1157" w:type="pct"/>
            <w:gridSpan w:val="3"/>
            <w:tcBorders>
              <w:bottom w:val="single" w:color="auto" w:sz="4" w:space="0"/>
            </w:tcBorders>
            <w:vAlign w:val="center"/>
          </w:tcPr>
          <w:p w14:paraId="32F71D53">
            <w:pPr>
              <w:pStyle w:val="9"/>
              <w:spacing w:line="360" w:lineRule="auto"/>
              <w:ind w:firstLine="0"/>
              <w:jc w:val="center"/>
              <w:rPr>
                <w:rFonts w:ascii="楷体" w:hAnsi="楷体" w:eastAsia="楷体"/>
                <w:sz w:val="24"/>
              </w:rPr>
            </w:pPr>
            <w:r>
              <w:rPr>
                <w:rFonts w:hint="eastAsia" w:ascii="楷体" w:hAnsi="楷体" w:eastAsia="楷体"/>
                <w:sz w:val="24"/>
              </w:rPr>
              <w:t>联系电话</w:t>
            </w:r>
          </w:p>
        </w:tc>
        <w:tc>
          <w:tcPr>
            <w:tcW w:w="1246" w:type="pct"/>
            <w:gridSpan w:val="2"/>
            <w:tcBorders>
              <w:bottom w:val="single" w:color="auto" w:sz="4" w:space="0"/>
            </w:tcBorders>
            <w:vAlign w:val="center"/>
          </w:tcPr>
          <w:p w14:paraId="55E0EDEE">
            <w:pPr>
              <w:pStyle w:val="9"/>
              <w:spacing w:line="360" w:lineRule="auto"/>
              <w:ind w:firstLine="0"/>
              <w:jc w:val="center"/>
              <w:rPr>
                <w:rFonts w:ascii="楷体" w:hAnsi="楷体" w:eastAsia="楷体"/>
                <w:sz w:val="24"/>
              </w:rPr>
            </w:pPr>
          </w:p>
        </w:tc>
      </w:tr>
      <w:tr w14:paraId="41D6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gridSpan w:val="2"/>
            <w:shd w:val="clear" w:color="auto" w:fill="D9D9D9"/>
            <w:vAlign w:val="center"/>
          </w:tcPr>
          <w:p w14:paraId="0249F08C">
            <w:pPr>
              <w:pStyle w:val="9"/>
              <w:spacing w:line="360" w:lineRule="auto"/>
              <w:ind w:firstLine="0"/>
              <w:jc w:val="center"/>
              <w:rPr>
                <w:rFonts w:ascii="楷体" w:hAnsi="楷体" w:eastAsia="楷体"/>
                <w:b/>
                <w:sz w:val="24"/>
              </w:rPr>
            </w:pPr>
            <w:r>
              <w:rPr>
                <w:rFonts w:hint="eastAsia" w:ascii="楷体" w:hAnsi="楷体" w:eastAsia="楷体"/>
                <w:b/>
                <w:sz w:val="24"/>
              </w:rPr>
              <w:t>二</w:t>
            </w:r>
          </w:p>
        </w:tc>
        <w:tc>
          <w:tcPr>
            <w:tcW w:w="4385" w:type="pct"/>
            <w:gridSpan w:val="9"/>
            <w:shd w:val="clear" w:color="auto" w:fill="D9D9D9"/>
            <w:vAlign w:val="center"/>
          </w:tcPr>
          <w:p w14:paraId="660C3DF3">
            <w:pPr>
              <w:pStyle w:val="9"/>
              <w:spacing w:line="360" w:lineRule="auto"/>
              <w:ind w:firstLine="0"/>
              <w:jc w:val="center"/>
              <w:rPr>
                <w:rFonts w:ascii="楷体" w:hAnsi="楷体" w:eastAsia="楷体"/>
                <w:b/>
                <w:sz w:val="24"/>
              </w:rPr>
            </w:pPr>
            <w:r>
              <w:rPr>
                <w:rFonts w:hint="eastAsia" w:ascii="楷体" w:hAnsi="楷体" w:eastAsia="楷体"/>
                <w:b/>
                <w:sz w:val="24"/>
              </w:rPr>
              <w:t>公司财务状况</w:t>
            </w:r>
          </w:p>
        </w:tc>
      </w:tr>
      <w:tr w14:paraId="1E41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gridSpan w:val="2"/>
            <w:vAlign w:val="center"/>
          </w:tcPr>
          <w:p w14:paraId="45CF001A">
            <w:pPr>
              <w:pStyle w:val="9"/>
              <w:spacing w:line="360" w:lineRule="auto"/>
              <w:ind w:firstLine="0"/>
              <w:jc w:val="center"/>
              <w:rPr>
                <w:rFonts w:ascii="楷体" w:hAnsi="楷体" w:eastAsia="楷体"/>
                <w:b/>
                <w:sz w:val="24"/>
              </w:rPr>
            </w:pPr>
            <w:r>
              <w:rPr>
                <w:rFonts w:hint="eastAsia" w:ascii="楷体" w:hAnsi="楷体" w:eastAsia="楷体"/>
                <w:b/>
                <w:sz w:val="24"/>
              </w:rPr>
              <w:t>（一）</w:t>
            </w:r>
          </w:p>
        </w:tc>
        <w:tc>
          <w:tcPr>
            <w:tcW w:w="4385" w:type="pct"/>
            <w:gridSpan w:val="9"/>
            <w:vAlign w:val="center"/>
          </w:tcPr>
          <w:p w14:paraId="3A68EE06">
            <w:pPr>
              <w:pStyle w:val="9"/>
              <w:spacing w:line="360" w:lineRule="auto"/>
              <w:ind w:firstLine="0"/>
              <w:jc w:val="center"/>
              <w:rPr>
                <w:rFonts w:ascii="楷体" w:hAnsi="楷体" w:eastAsia="楷体"/>
                <w:b/>
                <w:sz w:val="24"/>
              </w:rPr>
            </w:pPr>
            <w:r>
              <w:rPr>
                <w:rFonts w:hint="eastAsia" w:ascii="宋体" w:hAnsi="宋体"/>
                <w:b/>
                <w:color w:val="5B9BD5" w:themeColor="accent5"/>
                <w:sz w:val="24"/>
                <w:u w:val="single"/>
                <w14:textFill>
                  <w14:solidFill>
                    <w14:schemeClr w14:val="accent5"/>
                  </w14:solidFill>
                </w14:textFill>
              </w:rPr>
              <w:t>2</w:t>
            </w:r>
            <w:r>
              <w:rPr>
                <w:rFonts w:ascii="宋体" w:hAnsi="宋体"/>
                <w:b/>
                <w:color w:val="5B9BD5" w:themeColor="accent5"/>
                <w:sz w:val="24"/>
                <w:u w:val="single"/>
                <w14:textFill>
                  <w14:solidFill>
                    <w14:schemeClr w14:val="accent5"/>
                  </w14:solidFill>
                </w14:textFill>
              </w:rPr>
              <w:t>023</w:t>
            </w:r>
            <w:r>
              <w:rPr>
                <w:rFonts w:hint="eastAsia" w:ascii="楷体" w:hAnsi="楷体" w:eastAsia="楷体"/>
                <w:b/>
                <w:sz w:val="24"/>
              </w:rPr>
              <w:t>年度财务状况</w:t>
            </w:r>
          </w:p>
        </w:tc>
      </w:tr>
      <w:tr w14:paraId="7B71F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4" w:type="pct"/>
            <w:gridSpan w:val="2"/>
            <w:vAlign w:val="center"/>
          </w:tcPr>
          <w:p w14:paraId="65B98782">
            <w:pPr>
              <w:pStyle w:val="9"/>
              <w:spacing w:line="360" w:lineRule="auto"/>
              <w:ind w:firstLine="0"/>
              <w:jc w:val="center"/>
              <w:rPr>
                <w:rFonts w:ascii="楷体" w:hAnsi="楷体" w:eastAsia="楷体"/>
                <w:sz w:val="24"/>
              </w:rPr>
            </w:pPr>
            <w:r>
              <w:rPr>
                <w:rFonts w:hint="eastAsia" w:ascii="楷体" w:hAnsi="楷体" w:eastAsia="楷体"/>
                <w:sz w:val="24"/>
              </w:rPr>
              <w:t>1</w:t>
            </w:r>
          </w:p>
        </w:tc>
        <w:tc>
          <w:tcPr>
            <w:tcW w:w="736" w:type="pct"/>
            <w:vAlign w:val="center"/>
          </w:tcPr>
          <w:p w14:paraId="6E69B908">
            <w:pPr>
              <w:pStyle w:val="9"/>
              <w:spacing w:line="360" w:lineRule="auto"/>
              <w:ind w:firstLine="0"/>
              <w:jc w:val="center"/>
              <w:rPr>
                <w:rFonts w:ascii="楷体" w:hAnsi="楷体" w:eastAsia="楷体"/>
                <w:sz w:val="24"/>
              </w:rPr>
            </w:pPr>
            <w:r>
              <w:rPr>
                <w:rFonts w:hint="eastAsia" w:ascii="楷体" w:hAnsi="楷体" w:eastAsia="楷体"/>
                <w:sz w:val="24"/>
              </w:rPr>
              <w:t>营业收入（万）：</w:t>
            </w:r>
          </w:p>
        </w:tc>
        <w:tc>
          <w:tcPr>
            <w:tcW w:w="818" w:type="pct"/>
            <w:vAlign w:val="center"/>
          </w:tcPr>
          <w:p w14:paraId="056C7031">
            <w:pPr>
              <w:pStyle w:val="9"/>
              <w:spacing w:line="360" w:lineRule="auto"/>
              <w:ind w:firstLine="0"/>
              <w:jc w:val="center"/>
              <w:rPr>
                <w:rFonts w:ascii="楷体" w:hAnsi="楷体" w:eastAsia="楷体"/>
                <w:sz w:val="24"/>
              </w:rPr>
            </w:pPr>
          </w:p>
        </w:tc>
        <w:tc>
          <w:tcPr>
            <w:tcW w:w="424" w:type="pct"/>
            <w:gridSpan w:val="2"/>
            <w:vAlign w:val="center"/>
          </w:tcPr>
          <w:p w14:paraId="1CBEE5EF">
            <w:pPr>
              <w:pStyle w:val="9"/>
              <w:spacing w:line="360" w:lineRule="auto"/>
              <w:ind w:firstLine="0"/>
              <w:jc w:val="center"/>
              <w:rPr>
                <w:rFonts w:ascii="楷体" w:hAnsi="楷体" w:eastAsia="楷体"/>
                <w:sz w:val="24"/>
              </w:rPr>
            </w:pPr>
            <w:r>
              <w:rPr>
                <w:rFonts w:hint="eastAsia" w:ascii="楷体" w:hAnsi="楷体" w:eastAsia="楷体"/>
                <w:sz w:val="24"/>
              </w:rPr>
              <w:t>2</w:t>
            </w:r>
          </w:p>
        </w:tc>
        <w:tc>
          <w:tcPr>
            <w:tcW w:w="1157" w:type="pct"/>
            <w:gridSpan w:val="3"/>
            <w:vAlign w:val="center"/>
          </w:tcPr>
          <w:p w14:paraId="73AB876A">
            <w:pPr>
              <w:pStyle w:val="9"/>
              <w:spacing w:line="360" w:lineRule="auto"/>
              <w:ind w:firstLine="0"/>
              <w:jc w:val="center"/>
              <w:rPr>
                <w:rFonts w:ascii="楷体" w:hAnsi="楷体" w:eastAsia="楷体"/>
                <w:sz w:val="24"/>
              </w:rPr>
            </w:pPr>
            <w:r>
              <w:rPr>
                <w:rFonts w:hint="eastAsia" w:ascii="楷体" w:hAnsi="楷体" w:eastAsia="楷体"/>
                <w:sz w:val="24"/>
              </w:rPr>
              <w:t>利润总额（万）</w:t>
            </w:r>
          </w:p>
        </w:tc>
        <w:tc>
          <w:tcPr>
            <w:tcW w:w="1246" w:type="pct"/>
            <w:gridSpan w:val="2"/>
            <w:vAlign w:val="center"/>
          </w:tcPr>
          <w:p w14:paraId="730AE64D">
            <w:pPr>
              <w:pStyle w:val="9"/>
              <w:spacing w:line="360" w:lineRule="auto"/>
              <w:ind w:firstLine="0"/>
              <w:jc w:val="center"/>
              <w:rPr>
                <w:rFonts w:ascii="楷体" w:hAnsi="楷体" w:eastAsia="楷体"/>
                <w:sz w:val="24"/>
              </w:rPr>
            </w:pPr>
          </w:p>
        </w:tc>
      </w:tr>
      <w:tr w14:paraId="1F70C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4" w:type="pct"/>
            <w:gridSpan w:val="2"/>
            <w:vAlign w:val="center"/>
          </w:tcPr>
          <w:p w14:paraId="5CD678DE">
            <w:pPr>
              <w:pStyle w:val="9"/>
              <w:spacing w:line="360" w:lineRule="auto"/>
              <w:ind w:firstLine="0"/>
              <w:jc w:val="center"/>
              <w:rPr>
                <w:rFonts w:ascii="楷体" w:hAnsi="楷体" w:eastAsia="楷体"/>
                <w:sz w:val="24"/>
              </w:rPr>
            </w:pPr>
            <w:r>
              <w:rPr>
                <w:rFonts w:hint="eastAsia" w:ascii="楷体" w:hAnsi="楷体" w:eastAsia="楷体"/>
                <w:sz w:val="24"/>
              </w:rPr>
              <w:t>3</w:t>
            </w:r>
          </w:p>
        </w:tc>
        <w:tc>
          <w:tcPr>
            <w:tcW w:w="736" w:type="pct"/>
            <w:vAlign w:val="center"/>
          </w:tcPr>
          <w:p w14:paraId="504D3C89">
            <w:pPr>
              <w:pStyle w:val="9"/>
              <w:spacing w:line="360" w:lineRule="auto"/>
              <w:ind w:firstLine="0"/>
              <w:jc w:val="center"/>
              <w:rPr>
                <w:rFonts w:ascii="楷体" w:hAnsi="楷体" w:eastAsia="楷体"/>
                <w:sz w:val="24"/>
              </w:rPr>
            </w:pPr>
            <w:r>
              <w:rPr>
                <w:rFonts w:hint="eastAsia" w:ascii="楷体" w:hAnsi="楷体" w:eastAsia="楷体"/>
                <w:sz w:val="24"/>
              </w:rPr>
              <w:t>年末“固定资产合计”（万）</w:t>
            </w:r>
          </w:p>
        </w:tc>
        <w:tc>
          <w:tcPr>
            <w:tcW w:w="818" w:type="pct"/>
            <w:vAlign w:val="center"/>
          </w:tcPr>
          <w:p w14:paraId="02016D62">
            <w:pPr>
              <w:pStyle w:val="9"/>
              <w:spacing w:line="360" w:lineRule="auto"/>
              <w:ind w:firstLine="0"/>
              <w:jc w:val="center"/>
              <w:rPr>
                <w:rFonts w:ascii="楷体" w:hAnsi="楷体" w:eastAsia="楷体"/>
                <w:sz w:val="24"/>
              </w:rPr>
            </w:pPr>
          </w:p>
        </w:tc>
        <w:tc>
          <w:tcPr>
            <w:tcW w:w="424" w:type="pct"/>
            <w:gridSpan w:val="2"/>
            <w:vAlign w:val="center"/>
          </w:tcPr>
          <w:p w14:paraId="75E9E2D2">
            <w:pPr>
              <w:pStyle w:val="9"/>
              <w:spacing w:line="360" w:lineRule="auto"/>
              <w:ind w:firstLine="0"/>
              <w:jc w:val="center"/>
              <w:rPr>
                <w:rFonts w:ascii="楷体" w:hAnsi="楷体" w:eastAsia="楷体"/>
                <w:sz w:val="24"/>
              </w:rPr>
            </w:pPr>
            <w:r>
              <w:rPr>
                <w:rFonts w:hint="eastAsia" w:ascii="楷体" w:hAnsi="楷体" w:eastAsia="楷体"/>
                <w:sz w:val="24"/>
              </w:rPr>
              <w:t>4</w:t>
            </w:r>
          </w:p>
        </w:tc>
        <w:tc>
          <w:tcPr>
            <w:tcW w:w="1157" w:type="pct"/>
            <w:gridSpan w:val="3"/>
            <w:vAlign w:val="center"/>
          </w:tcPr>
          <w:p w14:paraId="241BFF35">
            <w:pPr>
              <w:pStyle w:val="9"/>
              <w:spacing w:line="360" w:lineRule="auto"/>
              <w:ind w:firstLine="0"/>
              <w:jc w:val="center"/>
              <w:rPr>
                <w:rFonts w:ascii="楷体" w:hAnsi="楷体" w:eastAsia="楷体"/>
                <w:sz w:val="24"/>
              </w:rPr>
            </w:pPr>
            <w:r>
              <w:rPr>
                <w:rFonts w:hint="eastAsia" w:ascii="楷体" w:hAnsi="楷体" w:eastAsia="楷体"/>
                <w:sz w:val="24"/>
              </w:rPr>
              <w:t>年末“流动资产”余额（万）</w:t>
            </w:r>
          </w:p>
        </w:tc>
        <w:tc>
          <w:tcPr>
            <w:tcW w:w="1246" w:type="pct"/>
            <w:gridSpan w:val="2"/>
            <w:vAlign w:val="center"/>
          </w:tcPr>
          <w:p w14:paraId="1252B11D">
            <w:pPr>
              <w:pStyle w:val="9"/>
              <w:spacing w:line="360" w:lineRule="auto"/>
              <w:ind w:firstLine="0"/>
              <w:jc w:val="center"/>
              <w:rPr>
                <w:rFonts w:ascii="楷体" w:hAnsi="楷体" w:eastAsia="楷体"/>
                <w:sz w:val="24"/>
              </w:rPr>
            </w:pPr>
          </w:p>
        </w:tc>
      </w:tr>
      <w:tr w14:paraId="1E82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4" w:type="pct"/>
            <w:gridSpan w:val="2"/>
            <w:vAlign w:val="center"/>
          </w:tcPr>
          <w:p w14:paraId="43C24EEA">
            <w:pPr>
              <w:pStyle w:val="9"/>
              <w:spacing w:line="360" w:lineRule="auto"/>
              <w:ind w:firstLine="0"/>
              <w:jc w:val="center"/>
              <w:rPr>
                <w:rFonts w:ascii="楷体" w:hAnsi="楷体" w:eastAsia="楷体"/>
                <w:sz w:val="24"/>
              </w:rPr>
            </w:pPr>
            <w:r>
              <w:rPr>
                <w:rFonts w:hint="eastAsia" w:ascii="楷体" w:hAnsi="楷体" w:eastAsia="楷体"/>
                <w:sz w:val="24"/>
              </w:rPr>
              <w:t>5</w:t>
            </w:r>
          </w:p>
        </w:tc>
        <w:tc>
          <w:tcPr>
            <w:tcW w:w="736" w:type="pct"/>
            <w:vAlign w:val="center"/>
          </w:tcPr>
          <w:p w14:paraId="699842A8">
            <w:pPr>
              <w:pStyle w:val="9"/>
              <w:spacing w:line="360" w:lineRule="auto"/>
              <w:ind w:firstLine="0"/>
              <w:jc w:val="center"/>
              <w:rPr>
                <w:rFonts w:ascii="楷体" w:hAnsi="楷体" w:eastAsia="楷体"/>
                <w:sz w:val="24"/>
              </w:rPr>
            </w:pPr>
            <w:r>
              <w:rPr>
                <w:rFonts w:hint="eastAsia" w:ascii="楷体" w:hAnsi="楷体" w:eastAsia="楷体"/>
                <w:sz w:val="24"/>
              </w:rPr>
              <w:t>年末“短期负债”余额（万）</w:t>
            </w:r>
          </w:p>
        </w:tc>
        <w:tc>
          <w:tcPr>
            <w:tcW w:w="818" w:type="pct"/>
            <w:vAlign w:val="center"/>
          </w:tcPr>
          <w:p w14:paraId="72AC0596">
            <w:pPr>
              <w:pStyle w:val="9"/>
              <w:spacing w:line="360" w:lineRule="auto"/>
              <w:ind w:firstLine="0"/>
              <w:jc w:val="center"/>
              <w:rPr>
                <w:rFonts w:ascii="楷体" w:hAnsi="楷体" w:eastAsia="楷体"/>
                <w:sz w:val="24"/>
              </w:rPr>
            </w:pPr>
          </w:p>
        </w:tc>
        <w:tc>
          <w:tcPr>
            <w:tcW w:w="424" w:type="pct"/>
            <w:gridSpan w:val="2"/>
            <w:vAlign w:val="center"/>
          </w:tcPr>
          <w:p w14:paraId="0DC64D38">
            <w:pPr>
              <w:pStyle w:val="9"/>
              <w:spacing w:line="360" w:lineRule="auto"/>
              <w:ind w:firstLine="0"/>
              <w:jc w:val="center"/>
              <w:rPr>
                <w:rFonts w:ascii="楷体" w:hAnsi="楷体" w:eastAsia="楷体"/>
                <w:sz w:val="24"/>
              </w:rPr>
            </w:pPr>
            <w:r>
              <w:rPr>
                <w:rFonts w:hint="eastAsia" w:ascii="楷体" w:hAnsi="楷体" w:eastAsia="楷体"/>
                <w:sz w:val="24"/>
              </w:rPr>
              <w:t>6</w:t>
            </w:r>
          </w:p>
        </w:tc>
        <w:tc>
          <w:tcPr>
            <w:tcW w:w="1157" w:type="pct"/>
            <w:gridSpan w:val="3"/>
            <w:vAlign w:val="center"/>
          </w:tcPr>
          <w:p w14:paraId="42365A2F">
            <w:pPr>
              <w:pStyle w:val="9"/>
              <w:spacing w:line="360" w:lineRule="auto"/>
              <w:ind w:firstLine="0"/>
              <w:jc w:val="center"/>
              <w:rPr>
                <w:rFonts w:ascii="楷体" w:hAnsi="楷体" w:eastAsia="楷体"/>
                <w:sz w:val="24"/>
              </w:rPr>
            </w:pPr>
            <w:r>
              <w:rPr>
                <w:rFonts w:hint="eastAsia" w:ascii="楷体" w:hAnsi="楷体" w:eastAsia="楷体"/>
                <w:sz w:val="24"/>
              </w:rPr>
              <w:t>年末“长期负债”余额（万）</w:t>
            </w:r>
          </w:p>
        </w:tc>
        <w:tc>
          <w:tcPr>
            <w:tcW w:w="1246" w:type="pct"/>
            <w:gridSpan w:val="2"/>
            <w:vAlign w:val="center"/>
          </w:tcPr>
          <w:p w14:paraId="72D84A5A">
            <w:pPr>
              <w:pStyle w:val="9"/>
              <w:spacing w:line="360" w:lineRule="auto"/>
              <w:ind w:firstLine="0"/>
              <w:jc w:val="center"/>
              <w:rPr>
                <w:rFonts w:ascii="楷体" w:hAnsi="楷体" w:eastAsia="楷体"/>
                <w:sz w:val="24"/>
              </w:rPr>
            </w:pPr>
          </w:p>
        </w:tc>
      </w:tr>
      <w:tr w14:paraId="31713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4" w:type="pct"/>
            <w:gridSpan w:val="2"/>
            <w:vAlign w:val="center"/>
          </w:tcPr>
          <w:p w14:paraId="29A3929C">
            <w:pPr>
              <w:pStyle w:val="9"/>
              <w:spacing w:line="360" w:lineRule="auto"/>
              <w:ind w:firstLine="0"/>
              <w:jc w:val="center"/>
              <w:rPr>
                <w:rFonts w:ascii="楷体" w:hAnsi="楷体" w:eastAsia="楷体"/>
                <w:sz w:val="24"/>
              </w:rPr>
            </w:pPr>
            <w:r>
              <w:rPr>
                <w:rFonts w:hint="eastAsia" w:ascii="楷体" w:hAnsi="楷体" w:eastAsia="楷体"/>
                <w:sz w:val="24"/>
              </w:rPr>
              <w:t>7</w:t>
            </w:r>
          </w:p>
        </w:tc>
        <w:tc>
          <w:tcPr>
            <w:tcW w:w="736" w:type="pct"/>
            <w:vAlign w:val="center"/>
          </w:tcPr>
          <w:p w14:paraId="0AE99BB7">
            <w:pPr>
              <w:pStyle w:val="9"/>
              <w:spacing w:line="360" w:lineRule="auto"/>
              <w:ind w:firstLine="0"/>
              <w:jc w:val="center"/>
              <w:rPr>
                <w:rFonts w:ascii="楷体" w:hAnsi="楷体" w:eastAsia="楷体"/>
                <w:sz w:val="24"/>
              </w:rPr>
            </w:pPr>
            <w:r>
              <w:rPr>
                <w:rFonts w:hint="eastAsia" w:ascii="楷体" w:hAnsi="楷体" w:eastAsia="楷体"/>
                <w:sz w:val="24"/>
              </w:rPr>
              <w:t>年末“资产总计”余额（万）</w:t>
            </w:r>
          </w:p>
        </w:tc>
        <w:tc>
          <w:tcPr>
            <w:tcW w:w="818" w:type="pct"/>
            <w:vAlign w:val="center"/>
          </w:tcPr>
          <w:p w14:paraId="7CF0BF63">
            <w:pPr>
              <w:pStyle w:val="9"/>
              <w:spacing w:line="360" w:lineRule="auto"/>
              <w:ind w:firstLine="0"/>
              <w:jc w:val="center"/>
              <w:rPr>
                <w:rFonts w:ascii="楷体" w:hAnsi="楷体" w:eastAsia="楷体"/>
                <w:sz w:val="24"/>
              </w:rPr>
            </w:pPr>
          </w:p>
        </w:tc>
        <w:tc>
          <w:tcPr>
            <w:tcW w:w="424" w:type="pct"/>
            <w:gridSpan w:val="2"/>
            <w:vAlign w:val="center"/>
          </w:tcPr>
          <w:p w14:paraId="7D381AEA">
            <w:pPr>
              <w:pStyle w:val="9"/>
              <w:spacing w:line="360" w:lineRule="auto"/>
              <w:ind w:firstLine="0"/>
              <w:jc w:val="center"/>
              <w:rPr>
                <w:rFonts w:ascii="楷体" w:hAnsi="楷体" w:eastAsia="楷体"/>
                <w:sz w:val="24"/>
              </w:rPr>
            </w:pPr>
            <w:r>
              <w:rPr>
                <w:rFonts w:hint="eastAsia" w:ascii="楷体" w:hAnsi="楷体" w:eastAsia="楷体"/>
                <w:sz w:val="24"/>
              </w:rPr>
              <w:t>8</w:t>
            </w:r>
          </w:p>
        </w:tc>
        <w:tc>
          <w:tcPr>
            <w:tcW w:w="1157" w:type="pct"/>
            <w:gridSpan w:val="3"/>
            <w:vAlign w:val="center"/>
          </w:tcPr>
          <w:p w14:paraId="03CE8F11">
            <w:pPr>
              <w:pStyle w:val="9"/>
              <w:spacing w:line="360" w:lineRule="auto"/>
              <w:ind w:firstLine="0"/>
              <w:jc w:val="center"/>
              <w:rPr>
                <w:rFonts w:ascii="楷体" w:hAnsi="楷体" w:eastAsia="楷体"/>
                <w:sz w:val="24"/>
              </w:rPr>
            </w:pPr>
            <w:r>
              <w:rPr>
                <w:rFonts w:hint="eastAsia" w:ascii="楷体" w:hAnsi="楷体" w:eastAsia="楷体"/>
                <w:sz w:val="24"/>
              </w:rPr>
              <w:t>年末“货币资金”余额（万）</w:t>
            </w:r>
          </w:p>
        </w:tc>
        <w:tc>
          <w:tcPr>
            <w:tcW w:w="1246" w:type="pct"/>
            <w:gridSpan w:val="2"/>
            <w:vAlign w:val="center"/>
          </w:tcPr>
          <w:p w14:paraId="4F0499A4">
            <w:pPr>
              <w:pStyle w:val="9"/>
              <w:spacing w:line="360" w:lineRule="auto"/>
              <w:ind w:firstLine="0"/>
              <w:jc w:val="center"/>
              <w:rPr>
                <w:rFonts w:ascii="楷体" w:hAnsi="楷体" w:eastAsia="楷体"/>
                <w:sz w:val="24"/>
              </w:rPr>
            </w:pPr>
          </w:p>
        </w:tc>
      </w:tr>
      <w:tr w14:paraId="5E8D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4" w:type="pct"/>
            <w:gridSpan w:val="2"/>
            <w:shd w:val="clear" w:color="auto" w:fill="D9D9D9"/>
            <w:vAlign w:val="center"/>
          </w:tcPr>
          <w:p w14:paraId="0B90D480">
            <w:pPr>
              <w:pStyle w:val="9"/>
              <w:spacing w:line="360" w:lineRule="auto"/>
              <w:ind w:firstLine="0"/>
              <w:jc w:val="center"/>
              <w:rPr>
                <w:rFonts w:ascii="楷体" w:hAnsi="楷体" w:eastAsia="楷体"/>
                <w:b/>
                <w:sz w:val="24"/>
              </w:rPr>
            </w:pPr>
            <w:r>
              <w:rPr>
                <w:rFonts w:hint="eastAsia" w:ascii="楷体" w:hAnsi="楷体" w:eastAsia="楷体"/>
                <w:b/>
                <w:sz w:val="24"/>
              </w:rPr>
              <w:t>三</w:t>
            </w:r>
          </w:p>
        </w:tc>
        <w:tc>
          <w:tcPr>
            <w:tcW w:w="4385" w:type="pct"/>
            <w:gridSpan w:val="9"/>
            <w:shd w:val="clear" w:color="auto" w:fill="D9D9D9"/>
            <w:vAlign w:val="center"/>
          </w:tcPr>
          <w:p w14:paraId="262CFE03">
            <w:pPr>
              <w:pStyle w:val="9"/>
              <w:spacing w:line="360" w:lineRule="auto"/>
              <w:ind w:firstLine="0"/>
              <w:jc w:val="center"/>
              <w:rPr>
                <w:rFonts w:ascii="楷体" w:hAnsi="楷体" w:eastAsia="楷体"/>
                <w:b/>
                <w:sz w:val="24"/>
              </w:rPr>
            </w:pPr>
            <w:r>
              <w:rPr>
                <w:rFonts w:hint="eastAsia" w:ascii="楷体" w:hAnsi="楷体" w:eastAsia="楷体"/>
                <w:b/>
                <w:sz w:val="24"/>
              </w:rPr>
              <w:t>投标人其他信息</w:t>
            </w:r>
          </w:p>
        </w:tc>
      </w:tr>
      <w:tr w14:paraId="3F78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4" w:type="pct"/>
            <w:gridSpan w:val="2"/>
            <w:vAlign w:val="center"/>
          </w:tcPr>
          <w:p w14:paraId="5E77F93C">
            <w:pPr>
              <w:pStyle w:val="9"/>
              <w:spacing w:line="360" w:lineRule="auto"/>
              <w:ind w:firstLine="0"/>
              <w:jc w:val="center"/>
              <w:rPr>
                <w:rFonts w:ascii="楷体" w:hAnsi="楷体" w:eastAsia="楷体"/>
                <w:sz w:val="24"/>
              </w:rPr>
            </w:pPr>
            <w:r>
              <w:rPr>
                <w:rFonts w:hint="eastAsia" w:ascii="楷体" w:hAnsi="楷体" w:eastAsia="楷体"/>
                <w:sz w:val="24"/>
              </w:rPr>
              <w:t>（一）</w:t>
            </w:r>
          </w:p>
        </w:tc>
        <w:tc>
          <w:tcPr>
            <w:tcW w:w="736" w:type="pct"/>
            <w:vAlign w:val="center"/>
          </w:tcPr>
          <w:p w14:paraId="4272DD67">
            <w:pPr>
              <w:pStyle w:val="9"/>
              <w:spacing w:line="360" w:lineRule="auto"/>
              <w:ind w:firstLine="0"/>
              <w:jc w:val="center"/>
              <w:rPr>
                <w:rFonts w:ascii="楷体" w:hAnsi="楷体" w:eastAsia="楷体"/>
                <w:sz w:val="24"/>
              </w:rPr>
            </w:pPr>
            <w:r>
              <w:rPr>
                <w:rFonts w:hint="eastAsia" w:ascii="楷体" w:hAnsi="楷体" w:eastAsia="楷体"/>
                <w:sz w:val="24"/>
              </w:rPr>
              <w:t>公司取得的相关资质及等级：</w:t>
            </w:r>
          </w:p>
        </w:tc>
        <w:tc>
          <w:tcPr>
            <w:tcW w:w="3648" w:type="pct"/>
            <w:gridSpan w:val="8"/>
            <w:vAlign w:val="center"/>
          </w:tcPr>
          <w:p w14:paraId="65124C44">
            <w:pPr>
              <w:pStyle w:val="9"/>
              <w:spacing w:line="360" w:lineRule="auto"/>
              <w:ind w:firstLine="0"/>
              <w:jc w:val="center"/>
              <w:rPr>
                <w:rFonts w:ascii="楷体" w:hAnsi="楷体" w:eastAsia="楷体"/>
                <w:sz w:val="24"/>
              </w:rPr>
            </w:pPr>
          </w:p>
        </w:tc>
      </w:tr>
      <w:tr w14:paraId="5B62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4" w:type="pct"/>
            <w:gridSpan w:val="2"/>
            <w:vAlign w:val="center"/>
          </w:tcPr>
          <w:p w14:paraId="22F6D52D">
            <w:pPr>
              <w:pStyle w:val="9"/>
              <w:spacing w:line="360" w:lineRule="auto"/>
              <w:ind w:firstLine="0"/>
              <w:jc w:val="center"/>
              <w:rPr>
                <w:rFonts w:ascii="楷体" w:hAnsi="楷体" w:eastAsia="楷体"/>
                <w:sz w:val="24"/>
              </w:rPr>
            </w:pPr>
            <w:r>
              <w:rPr>
                <w:rFonts w:hint="eastAsia" w:ascii="楷体" w:hAnsi="楷体" w:eastAsia="楷体"/>
                <w:sz w:val="24"/>
              </w:rPr>
              <w:t>（二）</w:t>
            </w:r>
          </w:p>
        </w:tc>
        <w:tc>
          <w:tcPr>
            <w:tcW w:w="736" w:type="pct"/>
            <w:vAlign w:val="center"/>
          </w:tcPr>
          <w:p w14:paraId="16F1CE50">
            <w:pPr>
              <w:pStyle w:val="9"/>
              <w:spacing w:line="360" w:lineRule="auto"/>
              <w:ind w:firstLine="0"/>
              <w:jc w:val="center"/>
              <w:rPr>
                <w:rFonts w:ascii="楷体" w:hAnsi="楷体" w:eastAsia="楷体"/>
                <w:sz w:val="24"/>
              </w:rPr>
            </w:pPr>
            <w:r>
              <w:rPr>
                <w:rFonts w:hint="eastAsia" w:ascii="楷体" w:hAnsi="楷体" w:eastAsia="楷体"/>
                <w:sz w:val="24"/>
              </w:rPr>
              <w:t>公司获得的荣誉及表彰情况</w:t>
            </w:r>
          </w:p>
        </w:tc>
        <w:tc>
          <w:tcPr>
            <w:tcW w:w="3648" w:type="pct"/>
            <w:gridSpan w:val="8"/>
            <w:vAlign w:val="center"/>
          </w:tcPr>
          <w:p w14:paraId="216E8B37">
            <w:pPr>
              <w:pStyle w:val="9"/>
              <w:spacing w:line="360" w:lineRule="auto"/>
              <w:ind w:firstLine="0"/>
              <w:jc w:val="center"/>
              <w:rPr>
                <w:rFonts w:ascii="楷体" w:hAnsi="楷体" w:eastAsia="楷体"/>
                <w:sz w:val="24"/>
              </w:rPr>
            </w:pPr>
          </w:p>
        </w:tc>
      </w:tr>
      <w:tr w14:paraId="64EE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4" w:type="pct"/>
            <w:gridSpan w:val="2"/>
            <w:shd w:val="clear" w:color="auto" w:fill="BFBFBF"/>
            <w:vAlign w:val="center"/>
          </w:tcPr>
          <w:p w14:paraId="013C1D52">
            <w:pPr>
              <w:pStyle w:val="9"/>
              <w:spacing w:line="360" w:lineRule="auto"/>
              <w:ind w:firstLine="0"/>
              <w:jc w:val="center"/>
              <w:rPr>
                <w:rFonts w:ascii="楷体" w:hAnsi="楷体" w:eastAsia="楷体"/>
                <w:b/>
                <w:sz w:val="24"/>
              </w:rPr>
            </w:pPr>
            <w:r>
              <w:rPr>
                <w:rFonts w:hint="eastAsia" w:ascii="楷体" w:hAnsi="楷体" w:eastAsia="楷体"/>
                <w:b/>
                <w:sz w:val="24"/>
              </w:rPr>
              <w:t>四</w:t>
            </w:r>
          </w:p>
        </w:tc>
        <w:tc>
          <w:tcPr>
            <w:tcW w:w="4385" w:type="pct"/>
            <w:gridSpan w:val="9"/>
            <w:shd w:val="clear" w:color="auto" w:fill="BFBFBF"/>
            <w:vAlign w:val="center"/>
          </w:tcPr>
          <w:p w14:paraId="770509C8">
            <w:pPr>
              <w:pStyle w:val="9"/>
              <w:spacing w:line="360" w:lineRule="auto"/>
              <w:ind w:firstLine="0"/>
              <w:jc w:val="center"/>
              <w:rPr>
                <w:rFonts w:ascii="楷体" w:hAnsi="楷体" w:eastAsia="楷体"/>
                <w:b/>
                <w:sz w:val="24"/>
              </w:rPr>
            </w:pPr>
            <w:r>
              <w:rPr>
                <w:rFonts w:hint="eastAsia" w:ascii="楷体" w:hAnsi="楷体" w:eastAsia="楷体"/>
                <w:b/>
                <w:sz w:val="24"/>
              </w:rPr>
              <w:t xml:space="preserve">提供本项目服务所必须的专业设备一览表 </w:t>
            </w:r>
          </w:p>
        </w:tc>
      </w:tr>
      <w:tr w14:paraId="05BA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39" w:type="pct"/>
            <w:shd w:val="clear" w:color="auto" w:fill="FFFFFF"/>
            <w:vAlign w:val="center"/>
          </w:tcPr>
          <w:p w14:paraId="1D4879DA">
            <w:pPr>
              <w:pStyle w:val="9"/>
              <w:spacing w:line="360" w:lineRule="auto"/>
              <w:ind w:firstLine="0"/>
              <w:jc w:val="center"/>
              <w:rPr>
                <w:rFonts w:ascii="楷体" w:hAnsi="楷体" w:eastAsia="楷体"/>
                <w:b/>
                <w:sz w:val="24"/>
              </w:rPr>
            </w:pPr>
            <w:r>
              <w:rPr>
                <w:rFonts w:hint="eastAsia" w:ascii="楷体" w:hAnsi="楷体" w:eastAsia="楷体"/>
                <w:b/>
                <w:sz w:val="24"/>
              </w:rPr>
              <w:t>序号</w:t>
            </w:r>
          </w:p>
        </w:tc>
        <w:tc>
          <w:tcPr>
            <w:tcW w:w="1945" w:type="pct"/>
            <w:gridSpan w:val="4"/>
            <w:shd w:val="clear" w:color="auto" w:fill="FFFFFF"/>
            <w:vAlign w:val="center"/>
          </w:tcPr>
          <w:p w14:paraId="25BA2EFD">
            <w:pPr>
              <w:pStyle w:val="9"/>
              <w:spacing w:line="360" w:lineRule="auto"/>
              <w:ind w:firstLine="0"/>
              <w:jc w:val="center"/>
              <w:rPr>
                <w:rFonts w:ascii="楷体" w:hAnsi="楷体" w:eastAsia="楷体"/>
                <w:b/>
                <w:sz w:val="24"/>
              </w:rPr>
            </w:pPr>
            <w:r>
              <w:rPr>
                <w:rFonts w:hint="eastAsia" w:ascii="楷体" w:hAnsi="楷体" w:eastAsia="楷体"/>
                <w:b/>
                <w:color w:val="000000"/>
                <w:sz w:val="24"/>
              </w:rPr>
              <w:t>品牌、型号及主要参数配置简述</w:t>
            </w:r>
          </w:p>
        </w:tc>
        <w:tc>
          <w:tcPr>
            <w:tcW w:w="724" w:type="pct"/>
            <w:gridSpan w:val="2"/>
            <w:shd w:val="clear" w:color="auto" w:fill="FFFFFF"/>
            <w:vAlign w:val="center"/>
          </w:tcPr>
          <w:p w14:paraId="725E0C53">
            <w:pPr>
              <w:pStyle w:val="9"/>
              <w:spacing w:line="360" w:lineRule="auto"/>
              <w:ind w:firstLine="0"/>
              <w:jc w:val="center"/>
              <w:rPr>
                <w:rFonts w:ascii="楷体" w:hAnsi="楷体" w:eastAsia="楷体"/>
                <w:b/>
                <w:sz w:val="24"/>
              </w:rPr>
            </w:pPr>
            <w:r>
              <w:rPr>
                <w:rFonts w:hint="eastAsia" w:ascii="楷体" w:hAnsi="楷体" w:eastAsia="楷体"/>
                <w:b/>
                <w:sz w:val="24"/>
              </w:rPr>
              <w:t>购置年份</w:t>
            </w:r>
          </w:p>
        </w:tc>
        <w:tc>
          <w:tcPr>
            <w:tcW w:w="486" w:type="pct"/>
            <w:shd w:val="clear" w:color="auto" w:fill="FFFFFF"/>
            <w:vAlign w:val="center"/>
          </w:tcPr>
          <w:p w14:paraId="14FA7098">
            <w:pPr>
              <w:pStyle w:val="9"/>
              <w:spacing w:line="360" w:lineRule="auto"/>
              <w:ind w:firstLine="0"/>
              <w:jc w:val="center"/>
              <w:rPr>
                <w:rFonts w:ascii="楷体" w:hAnsi="楷体" w:eastAsia="楷体"/>
                <w:b/>
                <w:sz w:val="24"/>
              </w:rPr>
            </w:pPr>
            <w:r>
              <w:rPr>
                <w:rFonts w:hint="eastAsia" w:ascii="楷体" w:hAnsi="楷体" w:eastAsia="楷体"/>
                <w:b/>
                <w:sz w:val="24"/>
              </w:rPr>
              <w:t>价格</w:t>
            </w:r>
          </w:p>
        </w:tc>
        <w:tc>
          <w:tcPr>
            <w:tcW w:w="659" w:type="pct"/>
            <w:gridSpan w:val="2"/>
            <w:shd w:val="clear" w:color="auto" w:fill="FFFFFF"/>
            <w:vAlign w:val="center"/>
          </w:tcPr>
          <w:p w14:paraId="191F2F67">
            <w:pPr>
              <w:pStyle w:val="9"/>
              <w:spacing w:line="360" w:lineRule="auto"/>
              <w:ind w:firstLine="0"/>
              <w:jc w:val="center"/>
              <w:rPr>
                <w:rFonts w:ascii="楷体" w:hAnsi="楷体" w:eastAsia="楷体"/>
                <w:b/>
                <w:sz w:val="24"/>
              </w:rPr>
            </w:pPr>
            <w:r>
              <w:rPr>
                <w:rFonts w:hint="eastAsia" w:ascii="楷体" w:hAnsi="楷体" w:eastAsia="楷体"/>
                <w:b/>
                <w:sz w:val="24"/>
              </w:rPr>
              <w:t>数量</w:t>
            </w:r>
          </w:p>
        </w:tc>
        <w:tc>
          <w:tcPr>
            <w:tcW w:w="743" w:type="pct"/>
            <w:shd w:val="clear" w:color="auto" w:fill="FFFFFF"/>
            <w:vAlign w:val="center"/>
          </w:tcPr>
          <w:p w14:paraId="2C0D4F0A">
            <w:pPr>
              <w:pStyle w:val="9"/>
              <w:spacing w:line="360" w:lineRule="auto"/>
              <w:ind w:firstLine="0"/>
              <w:jc w:val="center"/>
              <w:rPr>
                <w:rFonts w:ascii="楷体" w:hAnsi="楷体" w:eastAsia="楷体"/>
                <w:b/>
                <w:sz w:val="24"/>
              </w:rPr>
            </w:pPr>
            <w:r>
              <w:rPr>
                <w:rFonts w:hint="eastAsia" w:ascii="楷体" w:hAnsi="楷体" w:eastAsia="楷体"/>
                <w:b/>
                <w:sz w:val="24"/>
              </w:rPr>
              <w:t>用途</w:t>
            </w:r>
          </w:p>
        </w:tc>
      </w:tr>
      <w:tr w14:paraId="11D4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39" w:type="pct"/>
            <w:shd w:val="clear" w:color="auto" w:fill="FFFFFF"/>
            <w:vAlign w:val="center"/>
          </w:tcPr>
          <w:p w14:paraId="66C446EB">
            <w:pPr>
              <w:pStyle w:val="9"/>
              <w:spacing w:line="360" w:lineRule="auto"/>
              <w:ind w:firstLine="0"/>
              <w:jc w:val="center"/>
              <w:rPr>
                <w:rFonts w:ascii="楷体" w:hAnsi="楷体" w:eastAsia="楷体"/>
                <w:b/>
                <w:sz w:val="24"/>
              </w:rPr>
            </w:pPr>
            <w:r>
              <w:rPr>
                <w:rFonts w:hint="eastAsia" w:ascii="楷体" w:hAnsi="楷体" w:eastAsia="楷体"/>
                <w:b/>
                <w:sz w:val="24"/>
              </w:rPr>
              <w:t>1</w:t>
            </w:r>
          </w:p>
        </w:tc>
        <w:tc>
          <w:tcPr>
            <w:tcW w:w="1945" w:type="pct"/>
            <w:gridSpan w:val="4"/>
            <w:shd w:val="clear" w:color="auto" w:fill="FFFFFF"/>
            <w:vAlign w:val="center"/>
          </w:tcPr>
          <w:p w14:paraId="6237ADEE">
            <w:pPr>
              <w:pStyle w:val="9"/>
              <w:spacing w:line="360" w:lineRule="auto"/>
              <w:ind w:firstLine="0"/>
              <w:jc w:val="center"/>
              <w:rPr>
                <w:rFonts w:ascii="楷体" w:hAnsi="楷体" w:eastAsia="楷体"/>
                <w:b/>
                <w:sz w:val="24"/>
              </w:rPr>
            </w:pPr>
          </w:p>
        </w:tc>
        <w:tc>
          <w:tcPr>
            <w:tcW w:w="724" w:type="pct"/>
            <w:gridSpan w:val="2"/>
            <w:shd w:val="clear" w:color="auto" w:fill="FFFFFF"/>
            <w:vAlign w:val="center"/>
          </w:tcPr>
          <w:p w14:paraId="7C084F69">
            <w:pPr>
              <w:pStyle w:val="9"/>
              <w:spacing w:line="360" w:lineRule="auto"/>
              <w:ind w:firstLine="0"/>
              <w:jc w:val="center"/>
              <w:rPr>
                <w:rFonts w:ascii="楷体" w:hAnsi="楷体" w:eastAsia="楷体"/>
                <w:b/>
                <w:sz w:val="24"/>
              </w:rPr>
            </w:pPr>
          </w:p>
        </w:tc>
        <w:tc>
          <w:tcPr>
            <w:tcW w:w="486" w:type="pct"/>
            <w:shd w:val="clear" w:color="auto" w:fill="FFFFFF"/>
            <w:vAlign w:val="center"/>
          </w:tcPr>
          <w:p w14:paraId="244CFECF">
            <w:pPr>
              <w:pStyle w:val="9"/>
              <w:spacing w:line="360" w:lineRule="auto"/>
              <w:ind w:firstLine="0"/>
              <w:jc w:val="center"/>
              <w:rPr>
                <w:rFonts w:ascii="楷体" w:hAnsi="楷体" w:eastAsia="楷体"/>
                <w:b/>
                <w:sz w:val="24"/>
              </w:rPr>
            </w:pPr>
          </w:p>
        </w:tc>
        <w:tc>
          <w:tcPr>
            <w:tcW w:w="659" w:type="pct"/>
            <w:gridSpan w:val="2"/>
            <w:shd w:val="clear" w:color="auto" w:fill="FFFFFF"/>
            <w:vAlign w:val="center"/>
          </w:tcPr>
          <w:p w14:paraId="3EAFF679">
            <w:pPr>
              <w:pStyle w:val="9"/>
              <w:spacing w:line="360" w:lineRule="auto"/>
              <w:ind w:firstLine="0"/>
              <w:jc w:val="center"/>
              <w:rPr>
                <w:rFonts w:ascii="楷体" w:hAnsi="楷体" w:eastAsia="楷体"/>
                <w:b/>
                <w:sz w:val="24"/>
              </w:rPr>
            </w:pPr>
          </w:p>
        </w:tc>
        <w:tc>
          <w:tcPr>
            <w:tcW w:w="743" w:type="pct"/>
            <w:shd w:val="clear" w:color="auto" w:fill="FFFFFF"/>
            <w:vAlign w:val="center"/>
          </w:tcPr>
          <w:p w14:paraId="11B09926">
            <w:pPr>
              <w:pStyle w:val="9"/>
              <w:spacing w:line="360" w:lineRule="auto"/>
              <w:ind w:firstLine="0"/>
              <w:jc w:val="center"/>
              <w:rPr>
                <w:rFonts w:ascii="楷体" w:hAnsi="楷体" w:eastAsia="楷体"/>
                <w:b/>
                <w:sz w:val="24"/>
              </w:rPr>
            </w:pPr>
          </w:p>
        </w:tc>
      </w:tr>
      <w:tr w14:paraId="7BB7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39" w:type="pct"/>
            <w:shd w:val="clear" w:color="auto" w:fill="FFFFFF"/>
            <w:vAlign w:val="center"/>
          </w:tcPr>
          <w:p w14:paraId="78D897AF">
            <w:pPr>
              <w:pStyle w:val="9"/>
              <w:spacing w:line="360" w:lineRule="auto"/>
              <w:ind w:firstLine="0"/>
              <w:jc w:val="center"/>
              <w:rPr>
                <w:rFonts w:ascii="楷体" w:hAnsi="楷体" w:eastAsia="楷体"/>
                <w:b/>
                <w:sz w:val="24"/>
              </w:rPr>
            </w:pPr>
            <w:r>
              <w:rPr>
                <w:rFonts w:hint="eastAsia" w:ascii="楷体" w:hAnsi="楷体" w:eastAsia="楷体"/>
                <w:b/>
                <w:sz w:val="24"/>
              </w:rPr>
              <w:t>2</w:t>
            </w:r>
          </w:p>
        </w:tc>
        <w:tc>
          <w:tcPr>
            <w:tcW w:w="1945" w:type="pct"/>
            <w:gridSpan w:val="4"/>
            <w:shd w:val="clear" w:color="auto" w:fill="FFFFFF"/>
            <w:vAlign w:val="center"/>
          </w:tcPr>
          <w:p w14:paraId="18BF53F4">
            <w:pPr>
              <w:pStyle w:val="9"/>
              <w:spacing w:line="360" w:lineRule="auto"/>
              <w:ind w:firstLine="0"/>
              <w:jc w:val="center"/>
              <w:rPr>
                <w:rFonts w:ascii="楷体" w:hAnsi="楷体" w:eastAsia="楷体"/>
                <w:b/>
                <w:sz w:val="24"/>
              </w:rPr>
            </w:pPr>
          </w:p>
        </w:tc>
        <w:tc>
          <w:tcPr>
            <w:tcW w:w="724" w:type="pct"/>
            <w:gridSpan w:val="2"/>
            <w:shd w:val="clear" w:color="auto" w:fill="FFFFFF"/>
            <w:vAlign w:val="center"/>
          </w:tcPr>
          <w:p w14:paraId="554F62A1">
            <w:pPr>
              <w:pStyle w:val="9"/>
              <w:spacing w:line="360" w:lineRule="auto"/>
              <w:ind w:firstLine="0"/>
              <w:jc w:val="center"/>
              <w:rPr>
                <w:rFonts w:ascii="楷体" w:hAnsi="楷体" w:eastAsia="楷体"/>
                <w:b/>
                <w:sz w:val="24"/>
              </w:rPr>
            </w:pPr>
          </w:p>
        </w:tc>
        <w:tc>
          <w:tcPr>
            <w:tcW w:w="486" w:type="pct"/>
            <w:shd w:val="clear" w:color="auto" w:fill="FFFFFF"/>
            <w:vAlign w:val="center"/>
          </w:tcPr>
          <w:p w14:paraId="5F182EDF">
            <w:pPr>
              <w:pStyle w:val="9"/>
              <w:spacing w:line="360" w:lineRule="auto"/>
              <w:ind w:firstLine="0"/>
              <w:jc w:val="center"/>
              <w:rPr>
                <w:rFonts w:ascii="楷体" w:hAnsi="楷体" w:eastAsia="楷体"/>
                <w:b/>
                <w:sz w:val="24"/>
              </w:rPr>
            </w:pPr>
          </w:p>
        </w:tc>
        <w:tc>
          <w:tcPr>
            <w:tcW w:w="659" w:type="pct"/>
            <w:gridSpan w:val="2"/>
            <w:shd w:val="clear" w:color="auto" w:fill="FFFFFF"/>
            <w:vAlign w:val="center"/>
          </w:tcPr>
          <w:p w14:paraId="2DA36D84">
            <w:pPr>
              <w:pStyle w:val="9"/>
              <w:spacing w:line="360" w:lineRule="auto"/>
              <w:ind w:firstLine="0"/>
              <w:jc w:val="center"/>
              <w:rPr>
                <w:rFonts w:ascii="楷体" w:hAnsi="楷体" w:eastAsia="楷体"/>
                <w:b/>
                <w:sz w:val="24"/>
              </w:rPr>
            </w:pPr>
          </w:p>
        </w:tc>
        <w:tc>
          <w:tcPr>
            <w:tcW w:w="743" w:type="pct"/>
            <w:shd w:val="clear" w:color="auto" w:fill="FFFFFF"/>
            <w:vAlign w:val="center"/>
          </w:tcPr>
          <w:p w14:paraId="22E4F5F5">
            <w:pPr>
              <w:pStyle w:val="9"/>
              <w:spacing w:line="360" w:lineRule="auto"/>
              <w:ind w:firstLine="0"/>
              <w:jc w:val="center"/>
              <w:rPr>
                <w:rFonts w:ascii="楷体" w:hAnsi="楷体" w:eastAsia="楷体"/>
                <w:b/>
                <w:sz w:val="24"/>
              </w:rPr>
            </w:pPr>
          </w:p>
        </w:tc>
      </w:tr>
      <w:tr w14:paraId="6FE0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39" w:type="pct"/>
            <w:shd w:val="clear" w:color="auto" w:fill="FFFFFF"/>
            <w:vAlign w:val="center"/>
          </w:tcPr>
          <w:p w14:paraId="6D752372">
            <w:pPr>
              <w:pStyle w:val="9"/>
              <w:spacing w:line="360" w:lineRule="auto"/>
              <w:ind w:firstLine="0"/>
              <w:jc w:val="center"/>
              <w:rPr>
                <w:rFonts w:ascii="楷体" w:hAnsi="楷体" w:eastAsia="楷体"/>
                <w:b/>
                <w:sz w:val="24"/>
              </w:rPr>
            </w:pPr>
            <w:r>
              <w:rPr>
                <w:rFonts w:hint="eastAsia" w:ascii="楷体" w:hAnsi="楷体" w:eastAsia="楷体"/>
                <w:b/>
                <w:sz w:val="24"/>
              </w:rPr>
              <w:t>3</w:t>
            </w:r>
          </w:p>
        </w:tc>
        <w:tc>
          <w:tcPr>
            <w:tcW w:w="1945" w:type="pct"/>
            <w:gridSpan w:val="4"/>
            <w:shd w:val="clear" w:color="auto" w:fill="FFFFFF"/>
            <w:vAlign w:val="center"/>
          </w:tcPr>
          <w:p w14:paraId="2B832911">
            <w:pPr>
              <w:pStyle w:val="9"/>
              <w:spacing w:line="360" w:lineRule="auto"/>
              <w:ind w:firstLine="0"/>
              <w:jc w:val="center"/>
              <w:rPr>
                <w:rFonts w:ascii="楷体" w:hAnsi="楷体" w:eastAsia="楷体"/>
                <w:b/>
                <w:sz w:val="24"/>
              </w:rPr>
            </w:pPr>
          </w:p>
        </w:tc>
        <w:tc>
          <w:tcPr>
            <w:tcW w:w="724" w:type="pct"/>
            <w:gridSpan w:val="2"/>
            <w:shd w:val="clear" w:color="auto" w:fill="FFFFFF"/>
            <w:vAlign w:val="center"/>
          </w:tcPr>
          <w:p w14:paraId="5BAF5ECE">
            <w:pPr>
              <w:pStyle w:val="9"/>
              <w:spacing w:line="360" w:lineRule="auto"/>
              <w:ind w:firstLine="0"/>
              <w:jc w:val="center"/>
              <w:rPr>
                <w:rFonts w:ascii="楷体" w:hAnsi="楷体" w:eastAsia="楷体"/>
                <w:b/>
                <w:sz w:val="24"/>
              </w:rPr>
            </w:pPr>
          </w:p>
        </w:tc>
        <w:tc>
          <w:tcPr>
            <w:tcW w:w="486" w:type="pct"/>
            <w:shd w:val="clear" w:color="auto" w:fill="FFFFFF"/>
            <w:vAlign w:val="center"/>
          </w:tcPr>
          <w:p w14:paraId="4C764787">
            <w:pPr>
              <w:pStyle w:val="9"/>
              <w:spacing w:line="360" w:lineRule="auto"/>
              <w:ind w:firstLine="0"/>
              <w:jc w:val="center"/>
              <w:rPr>
                <w:rFonts w:ascii="楷体" w:hAnsi="楷体" w:eastAsia="楷体"/>
                <w:b/>
                <w:sz w:val="24"/>
              </w:rPr>
            </w:pPr>
          </w:p>
        </w:tc>
        <w:tc>
          <w:tcPr>
            <w:tcW w:w="659" w:type="pct"/>
            <w:gridSpan w:val="2"/>
            <w:shd w:val="clear" w:color="auto" w:fill="FFFFFF"/>
            <w:vAlign w:val="center"/>
          </w:tcPr>
          <w:p w14:paraId="1035A269">
            <w:pPr>
              <w:pStyle w:val="9"/>
              <w:spacing w:line="360" w:lineRule="auto"/>
              <w:ind w:firstLine="0"/>
              <w:jc w:val="center"/>
              <w:rPr>
                <w:rFonts w:ascii="楷体" w:hAnsi="楷体" w:eastAsia="楷体"/>
                <w:b/>
                <w:sz w:val="24"/>
              </w:rPr>
            </w:pPr>
          </w:p>
        </w:tc>
        <w:tc>
          <w:tcPr>
            <w:tcW w:w="743" w:type="pct"/>
            <w:shd w:val="clear" w:color="auto" w:fill="FFFFFF"/>
            <w:vAlign w:val="center"/>
          </w:tcPr>
          <w:p w14:paraId="6FBBEC20">
            <w:pPr>
              <w:pStyle w:val="9"/>
              <w:spacing w:line="360" w:lineRule="auto"/>
              <w:ind w:firstLine="0"/>
              <w:jc w:val="center"/>
              <w:rPr>
                <w:rFonts w:ascii="楷体" w:hAnsi="楷体" w:eastAsia="楷体"/>
                <w:b/>
                <w:sz w:val="24"/>
              </w:rPr>
            </w:pPr>
          </w:p>
        </w:tc>
      </w:tr>
      <w:tr w14:paraId="0F28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9" w:type="pct"/>
            <w:tcBorders>
              <w:bottom w:val="single" w:color="auto" w:sz="4" w:space="0"/>
            </w:tcBorders>
            <w:shd w:val="clear" w:color="auto" w:fill="FFFFFF"/>
            <w:vAlign w:val="center"/>
          </w:tcPr>
          <w:p w14:paraId="4433D613">
            <w:pPr>
              <w:pStyle w:val="9"/>
              <w:spacing w:line="360" w:lineRule="auto"/>
              <w:ind w:firstLine="0"/>
              <w:jc w:val="center"/>
              <w:rPr>
                <w:rFonts w:ascii="楷体" w:hAnsi="楷体" w:eastAsia="楷体"/>
                <w:b/>
                <w:sz w:val="24"/>
              </w:rPr>
            </w:pPr>
            <w:r>
              <w:rPr>
                <w:rFonts w:ascii="楷体" w:hAnsi="楷体" w:eastAsia="楷体"/>
                <w:b/>
                <w:sz w:val="24"/>
              </w:rPr>
              <w:t>…</w:t>
            </w:r>
          </w:p>
        </w:tc>
        <w:tc>
          <w:tcPr>
            <w:tcW w:w="1945" w:type="pct"/>
            <w:gridSpan w:val="4"/>
            <w:tcBorders>
              <w:bottom w:val="single" w:color="auto" w:sz="4" w:space="0"/>
            </w:tcBorders>
            <w:shd w:val="clear" w:color="auto" w:fill="FFFFFF"/>
            <w:vAlign w:val="center"/>
          </w:tcPr>
          <w:p w14:paraId="51ABF738">
            <w:pPr>
              <w:pStyle w:val="9"/>
              <w:spacing w:line="360" w:lineRule="auto"/>
              <w:ind w:firstLine="0"/>
              <w:jc w:val="center"/>
              <w:rPr>
                <w:rFonts w:ascii="楷体" w:hAnsi="楷体" w:eastAsia="楷体"/>
                <w:b/>
                <w:sz w:val="24"/>
              </w:rPr>
            </w:pPr>
          </w:p>
        </w:tc>
        <w:tc>
          <w:tcPr>
            <w:tcW w:w="724" w:type="pct"/>
            <w:gridSpan w:val="2"/>
            <w:tcBorders>
              <w:bottom w:val="single" w:color="auto" w:sz="4" w:space="0"/>
            </w:tcBorders>
            <w:shd w:val="clear" w:color="auto" w:fill="FFFFFF"/>
            <w:vAlign w:val="center"/>
          </w:tcPr>
          <w:p w14:paraId="1718077F">
            <w:pPr>
              <w:pStyle w:val="9"/>
              <w:spacing w:line="360" w:lineRule="auto"/>
              <w:ind w:firstLine="0"/>
              <w:jc w:val="center"/>
              <w:rPr>
                <w:rFonts w:ascii="楷体" w:hAnsi="楷体" w:eastAsia="楷体"/>
                <w:b/>
                <w:sz w:val="24"/>
              </w:rPr>
            </w:pPr>
          </w:p>
        </w:tc>
        <w:tc>
          <w:tcPr>
            <w:tcW w:w="486" w:type="pct"/>
            <w:tcBorders>
              <w:bottom w:val="single" w:color="auto" w:sz="4" w:space="0"/>
            </w:tcBorders>
            <w:shd w:val="clear" w:color="auto" w:fill="FFFFFF"/>
            <w:vAlign w:val="center"/>
          </w:tcPr>
          <w:p w14:paraId="60B8AA8A">
            <w:pPr>
              <w:pStyle w:val="9"/>
              <w:spacing w:line="360" w:lineRule="auto"/>
              <w:ind w:firstLine="0"/>
              <w:jc w:val="center"/>
              <w:rPr>
                <w:rFonts w:ascii="楷体" w:hAnsi="楷体" w:eastAsia="楷体"/>
                <w:b/>
                <w:sz w:val="24"/>
              </w:rPr>
            </w:pPr>
          </w:p>
        </w:tc>
        <w:tc>
          <w:tcPr>
            <w:tcW w:w="659" w:type="pct"/>
            <w:gridSpan w:val="2"/>
            <w:tcBorders>
              <w:bottom w:val="single" w:color="auto" w:sz="4" w:space="0"/>
            </w:tcBorders>
            <w:shd w:val="clear" w:color="auto" w:fill="FFFFFF"/>
            <w:vAlign w:val="center"/>
          </w:tcPr>
          <w:p w14:paraId="459EA259">
            <w:pPr>
              <w:pStyle w:val="9"/>
              <w:spacing w:line="360" w:lineRule="auto"/>
              <w:ind w:firstLine="0"/>
              <w:jc w:val="center"/>
              <w:rPr>
                <w:rFonts w:ascii="楷体" w:hAnsi="楷体" w:eastAsia="楷体"/>
                <w:b/>
                <w:sz w:val="24"/>
              </w:rPr>
            </w:pPr>
          </w:p>
        </w:tc>
        <w:tc>
          <w:tcPr>
            <w:tcW w:w="743" w:type="pct"/>
            <w:tcBorders>
              <w:bottom w:val="single" w:color="auto" w:sz="4" w:space="0"/>
            </w:tcBorders>
            <w:shd w:val="clear" w:color="auto" w:fill="FFFFFF"/>
            <w:vAlign w:val="center"/>
          </w:tcPr>
          <w:p w14:paraId="336D873D">
            <w:pPr>
              <w:pStyle w:val="9"/>
              <w:spacing w:line="360" w:lineRule="auto"/>
              <w:ind w:firstLine="0"/>
              <w:jc w:val="center"/>
              <w:rPr>
                <w:rFonts w:ascii="楷体" w:hAnsi="楷体" w:eastAsia="楷体"/>
                <w:b/>
                <w:sz w:val="24"/>
              </w:rPr>
            </w:pPr>
          </w:p>
        </w:tc>
      </w:tr>
      <w:tr w14:paraId="5729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4" w:type="pct"/>
            <w:gridSpan w:val="2"/>
            <w:shd w:val="clear" w:color="auto" w:fill="BFBFBF"/>
            <w:vAlign w:val="center"/>
          </w:tcPr>
          <w:p w14:paraId="50A12909">
            <w:pPr>
              <w:pStyle w:val="9"/>
              <w:spacing w:line="360" w:lineRule="auto"/>
              <w:ind w:firstLine="0"/>
              <w:jc w:val="center"/>
              <w:rPr>
                <w:rFonts w:ascii="楷体" w:hAnsi="楷体" w:eastAsia="楷体"/>
                <w:b/>
                <w:sz w:val="24"/>
              </w:rPr>
            </w:pPr>
            <w:r>
              <w:rPr>
                <w:rFonts w:hint="eastAsia" w:ascii="楷体" w:hAnsi="楷体" w:eastAsia="楷体"/>
                <w:b/>
                <w:sz w:val="24"/>
              </w:rPr>
              <w:t>五</w:t>
            </w:r>
          </w:p>
        </w:tc>
        <w:tc>
          <w:tcPr>
            <w:tcW w:w="4385" w:type="pct"/>
            <w:gridSpan w:val="9"/>
            <w:shd w:val="clear" w:color="auto" w:fill="BFBFBF"/>
            <w:vAlign w:val="center"/>
          </w:tcPr>
          <w:p w14:paraId="651C4DEC">
            <w:pPr>
              <w:pStyle w:val="9"/>
              <w:spacing w:line="360" w:lineRule="auto"/>
              <w:ind w:firstLine="0"/>
              <w:jc w:val="center"/>
              <w:rPr>
                <w:rFonts w:ascii="楷体" w:hAnsi="楷体" w:eastAsia="楷体"/>
                <w:b/>
                <w:sz w:val="24"/>
              </w:rPr>
            </w:pPr>
            <w:r>
              <w:rPr>
                <w:rFonts w:hint="eastAsia" w:ascii="楷体" w:hAnsi="楷体" w:eastAsia="楷体"/>
                <w:b/>
                <w:sz w:val="24"/>
              </w:rPr>
              <w:t>提供本项目服务所必须的专业技术能力</w:t>
            </w:r>
          </w:p>
        </w:tc>
      </w:tr>
      <w:tr w14:paraId="35ED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vAlign w:val="center"/>
          </w:tcPr>
          <w:p w14:paraId="080168A1">
            <w:pPr>
              <w:pStyle w:val="9"/>
              <w:spacing w:line="360" w:lineRule="auto"/>
              <w:ind w:firstLine="0"/>
              <w:jc w:val="center"/>
              <w:rPr>
                <w:rFonts w:ascii="楷体" w:hAnsi="楷体" w:eastAsia="楷体"/>
                <w:b/>
                <w:sz w:val="24"/>
              </w:rPr>
            </w:pPr>
            <w:r>
              <w:rPr>
                <w:rFonts w:hint="eastAsia" w:ascii="楷体" w:hAnsi="楷体" w:eastAsia="楷体"/>
                <w:b/>
                <w:sz w:val="24"/>
              </w:rPr>
              <w:t xml:space="preserve"> </w:t>
            </w:r>
          </w:p>
        </w:tc>
      </w:tr>
    </w:tbl>
    <w:p w14:paraId="15D9B52E">
      <w:pPr>
        <w:widowControl/>
        <w:jc w:val="left"/>
        <w:rPr>
          <w:rFonts w:ascii="楷体" w:hAnsi="楷体" w:eastAsia="楷体"/>
          <w:b/>
          <w:sz w:val="32"/>
          <w:szCs w:val="20"/>
        </w:rPr>
      </w:pPr>
    </w:p>
    <w:p w14:paraId="324284FD">
      <w:pPr>
        <w:widowControl/>
        <w:jc w:val="left"/>
        <w:rPr>
          <w:rFonts w:ascii="楷体" w:hAnsi="楷体" w:eastAsia="楷体"/>
          <w:b/>
          <w:sz w:val="32"/>
          <w:szCs w:val="20"/>
        </w:rPr>
      </w:pPr>
      <w:r>
        <w:rPr>
          <w:rFonts w:ascii="楷体" w:hAnsi="楷体" w:eastAsia="楷体"/>
          <w:b/>
          <w:sz w:val="32"/>
          <w:szCs w:val="20"/>
        </w:rPr>
        <w:br w:type="page" w:clear="all"/>
      </w:r>
    </w:p>
    <w:bookmarkEnd w:id="275"/>
    <w:p w14:paraId="05FB6786">
      <w:pPr>
        <w:pStyle w:val="5"/>
        <w:spacing w:line="360" w:lineRule="auto"/>
        <w:ind w:firstLine="643"/>
        <w:rPr>
          <w:rFonts w:ascii="楷体" w:hAnsi="楷体" w:eastAsia="楷体"/>
          <w:sz w:val="30"/>
          <w:szCs w:val="30"/>
        </w:rPr>
      </w:pPr>
      <w:r>
        <w:rPr>
          <w:rFonts w:hint="eastAsia" w:ascii="楷体" w:hAnsi="楷体" w:eastAsia="楷体"/>
          <w:sz w:val="30"/>
          <w:szCs w:val="30"/>
        </w:rPr>
        <w:t>（五）依法缴纳税收和社会保障资金的良好记录</w:t>
      </w:r>
    </w:p>
    <w:p w14:paraId="61B7AB35">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提供参加本次政府采购活动</w:t>
      </w:r>
      <w:r>
        <w:rPr>
          <w:rFonts w:hint="eastAsia" w:ascii="楷体" w:hAnsi="楷体" w:eastAsia="楷体"/>
          <w:b w:val="0"/>
          <w:bCs/>
          <w:sz w:val="24"/>
          <w:szCs w:val="24"/>
          <w:lang w:eastAsia="zh-CN"/>
        </w:rPr>
        <w:t>近</w:t>
      </w:r>
      <w:r>
        <w:rPr>
          <w:rFonts w:hint="eastAsia" w:ascii="楷体" w:hAnsi="楷体" w:eastAsia="楷体"/>
          <w:b w:val="0"/>
          <w:bCs/>
          <w:sz w:val="24"/>
          <w:szCs w:val="24"/>
        </w:rPr>
        <w:t>半年内至少一个月依法缴纳税收和社会保险的相关材料等原件扫描件，或提供资格承诺函（见本部分（六）资格承诺函）。</w:t>
      </w:r>
    </w:p>
    <w:p w14:paraId="6250C78F">
      <w:pPr>
        <w:pStyle w:val="5"/>
        <w:spacing w:line="360" w:lineRule="auto"/>
        <w:ind w:firstLine="560"/>
        <w:jc w:val="both"/>
        <w:rPr>
          <w:rFonts w:ascii="楷体" w:hAnsi="楷体" w:eastAsia="楷体"/>
          <w:b w:val="0"/>
          <w:bCs/>
          <w:sz w:val="28"/>
          <w:szCs w:val="28"/>
        </w:rPr>
      </w:pPr>
      <w:r>
        <w:rPr>
          <w:rFonts w:hint="eastAsia" w:ascii="楷体" w:hAnsi="楷体" w:eastAsia="楷体"/>
          <w:b w:val="0"/>
          <w:bCs/>
          <w:sz w:val="28"/>
          <w:szCs w:val="28"/>
        </w:rPr>
        <w:br w:type="page" w:clear="all"/>
      </w:r>
    </w:p>
    <w:p w14:paraId="77212C89">
      <w:pPr>
        <w:pStyle w:val="5"/>
        <w:spacing w:line="360" w:lineRule="auto"/>
        <w:ind w:firstLine="643"/>
        <w:rPr>
          <w:rFonts w:ascii="楷体" w:hAnsi="楷体" w:eastAsia="楷体"/>
          <w:sz w:val="30"/>
          <w:szCs w:val="30"/>
        </w:rPr>
      </w:pPr>
      <w:r>
        <w:rPr>
          <w:rFonts w:hint="eastAsia" w:ascii="楷体" w:hAnsi="楷体" w:eastAsia="楷体"/>
          <w:sz w:val="30"/>
          <w:szCs w:val="30"/>
        </w:rPr>
        <w:t>（六）资格承诺函</w:t>
      </w:r>
    </w:p>
    <w:p w14:paraId="6E918EF4">
      <w:pPr>
        <w:pStyle w:val="5"/>
        <w:spacing w:line="360" w:lineRule="auto"/>
        <w:jc w:val="both"/>
        <w:rPr>
          <w:rFonts w:ascii="楷体" w:hAnsi="楷体" w:eastAsia="楷体"/>
          <w:b w:val="0"/>
          <w:bCs/>
          <w:sz w:val="24"/>
          <w:szCs w:val="24"/>
        </w:rPr>
      </w:pPr>
      <w:r>
        <w:rPr>
          <w:rFonts w:hint="eastAsia" w:ascii="楷体" w:hAnsi="楷体" w:eastAsia="楷体"/>
          <w:b w:val="0"/>
          <w:bCs/>
          <w:sz w:val="24"/>
          <w:szCs w:val="24"/>
        </w:rPr>
        <w:t>致：</w:t>
      </w:r>
      <w:r>
        <w:rPr>
          <w:rFonts w:hint="eastAsia" w:ascii="楷体" w:hAnsi="楷体" w:eastAsia="楷体"/>
          <w:b w:val="0"/>
          <w:bCs/>
          <w:sz w:val="24"/>
          <w:szCs w:val="24"/>
          <w:u w:val="single"/>
        </w:rPr>
        <w:t>    （采购人、采购代理机构）  </w:t>
      </w:r>
      <w:r>
        <w:rPr>
          <w:rFonts w:hint="eastAsia" w:ascii="楷体" w:hAnsi="楷体" w:eastAsia="楷体"/>
          <w:b w:val="0"/>
          <w:bCs/>
          <w:sz w:val="24"/>
          <w:szCs w:val="24"/>
        </w:rPr>
        <w:t> </w:t>
      </w:r>
    </w:p>
    <w:p w14:paraId="50E62409">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我单位参与</w:t>
      </w:r>
      <w:r>
        <w:rPr>
          <w:rFonts w:hint="eastAsia" w:ascii="楷体" w:hAnsi="楷体" w:eastAsia="楷体"/>
          <w:b w:val="0"/>
          <w:bCs/>
          <w:sz w:val="24"/>
          <w:szCs w:val="24"/>
          <w:u w:val="single"/>
        </w:rPr>
        <w:t>  （项目名称）  （项目编号：    ）</w:t>
      </w:r>
      <w:r>
        <w:rPr>
          <w:rFonts w:hint="eastAsia" w:ascii="楷体" w:hAnsi="楷体" w:eastAsia="楷体"/>
          <w:b w:val="0"/>
          <w:bCs/>
          <w:sz w:val="24"/>
          <w:szCs w:val="24"/>
        </w:rPr>
        <w:t>项目的政府采购活动，现承诺如下：</w:t>
      </w:r>
    </w:p>
    <w:p w14:paraId="240BDDE7">
      <w:pPr>
        <w:pStyle w:val="5"/>
        <w:spacing w:line="360" w:lineRule="auto"/>
        <w:ind w:firstLine="560"/>
        <w:jc w:val="both"/>
        <w:rPr>
          <w:rFonts w:ascii="楷体" w:hAnsi="楷体" w:eastAsia="楷体"/>
          <w:b w:val="0"/>
          <w:bCs/>
          <w:sz w:val="24"/>
          <w:szCs w:val="24"/>
        </w:rPr>
      </w:pPr>
      <w:r>
        <w:rPr>
          <w:rFonts w:ascii="楷体" w:hAnsi="楷体" w:eastAsia="楷体"/>
          <w:b w:val="0"/>
          <w:bCs/>
          <w:sz w:val="24"/>
          <w:szCs w:val="24"/>
        </w:rPr>
        <w:t>1.我方具有良好的商业信誉和健全的财务会计制度。</w:t>
      </w:r>
    </w:p>
    <w:p w14:paraId="018A2B07">
      <w:pPr>
        <w:pStyle w:val="5"/>
        <w:spacing w:line="360" w:lineRule="auto"/>
        <w:ind w:firstLine="560"/>
        <w:jc w:val="both"/>
        <w:rPr>
          <w:rFonts w:ascii="楷体" w:hAnsi="楷体" w:eastAsia="楷体"/>
          <w:b w:val="0"/>
          <w:bCs/>
          <w:sz w:val="24"/>
          <w:szCs w:val="24"/>
        </w:rPr>
      </w:pPr>
      <w:r>
        <w:rPr>
          <w:rFonts w:ascii="楷体" w:hAnsi="楷体" w:eastAsia="楷体"/>
          <w:b w:val="0"/>
          <w:bCs/>
          <w:sz w:val="24"/>
          <w:szCs w:val="24"/>
        </w:rPr>
        <w:t>2.我方具有履行合同所必需的设备和专业技术能力。</w:t>
      </w:r>
    </w:p>
    <w:p w14:paraId="3A40F593">
      <w:pPr>
        <w:pStyle w:val="5"/>
        <w:spacing w:line="360" w:lineRule="auto"/>
        <w:ind w:firstLine="560"/>
        <w:jc w:val="both"/>
        <w:rPr>
          <w:rFonts w:ascii="楷体" w:hAnsi="楷体" w:eastAsia="楷体"/>
          <w:b w:val="0"/>
          <w:bCs/>
          <w:sz w:val="24"/>
          <w:szCs w:val="24"/>
        </w:rPr>
      </w:pPr>
      <w:r>
        <w:rPr>
          <w:rFonts w:ascii="楷体" w:hAnsi="楷体" w:eastAsia="楷体"/>
          <w:b w:val="0"/>
          <w:bCs/>
          <w:sz w:val="24"/>
          <w:szCs w:val="24"/>
        </w:rPr>
        <w:t>3.我方具有依法缴纳税收和社会保障资金的良好记录。</w:t>
      </w:r>
    </w:p>
    <w:p w14:paraId="6361ABBA">
      <w:pPr>
        <w:pStyle w:val="5"/>
        <w:spacing w:line="360" w:lineRule="auto"/>
        <w:ind w:firstLine="560"/>
        <w:jc w:val="both"/>
        <w:rPr>
          <w:rFonts w:ascii="楷体" w:hAnsi="楷体" w:eastAsia="楷体"/>
          <w:b w:val="0"/>
          <w:bCs/>
          <w:sz w:val="24"/>
          <w:szCs w:val="24"/>
        </w:rPr>
      </w:pPr>
      <w:r>
        <w:rPr>
          <w:rFonts w:ascii="楷体" w:hAnsi="楷体" w:eastAsia="楷体"/>
          <w:b w:val="0"/>
          <w:bCs/>
          <w:sz w:val="24"/>
          <w:szCs w:val="24"/>
        </w:rPr>
        <w:t>4.我方参加本项目采购活动前三年内，在经营活动中没有重大违法记录。</w:t>
      </w:r>
    </w:p>
    <w:p w14:paraId="6AFE3ACB">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若我单位承诺不实，自愿承担提供虚假材料谋取中标、成交的法律责任。</w:t>
      </w:r>
    </w:p>
    <w:p w14:paraId="4C7E8C0D">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投标（响应）供应商（全称并盖章）：         </w:t>
      </w:r>
    </w:p>
    <w:p w14:paraId="340760D9">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供应商法定代表人或授权代表（签字或签章）：    </w:t>
      </w:r>
    </w:p>
    <w:p w14:paraId="032043AF">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日期：     </w:t>
      </w:r>
    </w:p>
    <w:p w14:paraId="023AF467">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w:t>
      </w:r>
    </w:p>
    <w:p w14:paraId="314E5EFA">
      <w:pPr>
        <w:pStyle w:val="5"/>
        <w:spacing w:line="360" w:lineRule="auto"/>
        <w:ind w:firstLine="560"/>
        <w:jc w:val="both"/>
        <w:rPr>
          <w:rFonts w:ascii="楷体" w:hAnsi="楷体" w:eastAsia="楷体"/>
          <w:b w:val="0"/>
          <w:bCs/>
          <w:sz w:val="24"/>
          <w:szCs w:val="24"/>
        </w:rPr>
      </w:pPr>
      <w:r>
        <w:rPr>
          <w:rFonts w:hint="eastAsia" w:ascii="楷体" w:hAnsi="楷体" w:eastAsia="楷体"/>
          <w:b w:val="0"/>
          <w:bCs/>
          <w:sz w:val="24"/>
          <w:szCs w:val="24"/>
        </w:rPr>
        <w:t>说明：</w:t>
      </w:r>
      <w:r>
        <w:rPr>
          <w:rFonts w:ascii="楷体" w:hAnsi="楷体" w:eastAsia="楷体"/>
          <w:b w:val="0"/>
          <w:bCs/>
          <w:sz w:val="24"/>
          <w:szCs w:val="24"/>
        </w:rPr>
        <w:t>1.供应商可自行选择是否提供本承诺函，若不提供本承诺函的，应按采购文件要求提供相应的证明材料。</w:t>
      </w:r>
    </w:p>
    <w:p w14:paraId="0BBA0AB9">
      <w:pPr>
        <w:pStyle w:val="5"/>
        <w:spacing w:line="360" w:lineRule="auto"/>
        <w:ind w:firstLine="560"/>
        <w:jc w:val="both"/>
        <w:rPr>
          <w:rFonts w:ascii="楷体" w:hAnsi="楷体" w:eastAsia="楷体"/>
          <w:b w:val="0"/>
          <w:bCs/>
          <w:sz w:val="24"/>
          <w:szCs w:val="24"/>
        </w:rPr>
      </w:pPr>
      <w:r>
        <w:rPr>
          <w:rFonts w:ascii="楷体" w:hAnsi="楷体" w:eastAsia="楷体"/>
          <w:b w:val="0"/>
          <w:bCs/>
          <w:sz w:val="24"/>
          <w:szCs w:val="24"/>
        </w:rPr>
        <w:t>2.供应商可删减承诺事项，删减的承诺事项须按采购文件要求提供相应的证明材料。比如删去本承诺函第3项的，则应按采购文件要求提供依法缴纳税收和社会保障资金的良好记录。</w:t>
      </w:r>
    </w:p>
    <w:p w14:paraId="499D1075">
      <w:pPr>
        <w:rPr>
          <w:rFonts w:ascii="楷体" w:hAnsi="楷体" w:eastAsia="楷体"/>
        </w:rPr>
      </w:pPr>
      <w:r>
        <w:rPr>
          <w:rFonts w:hint="eastAsia" w:ascii="楷体" w:hAnsi="楷体" w:eastAsia="楷体"/>
        </w:rPr>
        <w:br w:type="page" w:clear="all"/>
      </w:r>
    </w:p>
    <w:p w14:paraId="03887106">
      <w:pPr>
        <w:pStyle w:val="6"/>
        <w:keepNext w:val="0"/>
        <w:keepLines w:val="0"/>
        <w:spacing w:before="0" w:after="0" w:line="360" w:lineRule="auto"/>
        <w:ind w:firstLine="643"/>
        <w:jc w:val="center"/>
        <w:rPr>
          <w:rFonts w:ascii="楷体" w:hAnsi="楷体" w:eastAsia="楷体"/>
          <w:sz w:val="30"/>
          <w:szCs w:val="30"/>
        </w:rPr>
      </w:pPr>
      <w:r>
        <w:rPr>
          <w:rFonts w:hint="eastAsia" w:ascii="楷体" w:hAnsi="楷体" w:eastAsia="楷体"/>
          <w:sz w:val="30"/>
          <w:szCs w:val="30"/>
        </w:rPr>
        <w:t>（七）</w:t>
      </w:r>
      <w:bookmarkStart w:id="276" w:name="OLE_LINK15"/>
      <w:r>
        <w:rPr>
          <w:rFonts w:hint="eastAsia" w:ascii="楷体" w:hAnsi="楷体" w:eastAsia="楷体"/>
          <w:sz w:val="30"/>
          <w:szCs w:val="30"/>
        </w:rPr>
        <w:t>法律、行政法规规定的其他条件</w:t>
      </w:r>
      <w:bookmarkEnd w:id="276"/>
    </w:p>
    <w:p w14:paraId="0580F46B">
      <w:pPr>
        <w:pStyle w:val="1530"/>
        <w:widowControl/>
        <w:shd w:val="clear" w:color="auto" w:fill="FFFFFF"/>
        <w:spacing w:line="560" w:lineRule="exact"/>
        <w:jc w:val="center"/>
        <w:rPr>
          <w:rFonts w:hint="eastAsia" w:ascii="楷体" w:hAnsi="楷体" w:eastAsia="楷体" w:cstheme="minorBidi"/>
          <w:spacing w:val="6"/>
          <w:sz w:val="24"/>
          <w:szCs w:val="24"/>
          <w:lang w:val="en-US" w:eastAsia="zh-CN" w:bidi="ar-SA"/>
        </w:rPr>
      </w:pPr>
      <w:r>
        <w:rPr>
          <w:rFonts w:hint="eastAsia" w:ascii="楷体" w:hAnsi="楷体" w:eastAsia="楷体" w:cstheme="minorBidi"/>
          <w:spacing w:val="6"/>
          <w:sz w:val="24"/>
          <w:szCs w:val="24"/>
          <w:lang w:val="en-US" w:eastAsia="zh-CN" w:bidi="ar-SA"/>
        </w:rPr>
        <w:t>无</w:t>
      </w:r>
    </w:p>
    <w:p w14:paraId="1CF31F76">
      <w:pPr>
        <w:rPr>
          <w:rFonts w:hint="eastAsia" w:ascii="楷体" w:hAnsi="楷体" w:eastAsia="楷体"/>
          <w:b w:val="0"/>
          <w:sz w:val="30"/>
          <w:szCs w:val="30"/>
        </w:rPr>
      </w:pPr>
      <w:r>
        <w:rPr>
          <w:rFonts w:hint="eastAsia" w:ascii="楷体" w:hAnsi="楷体" w:eastAsia="楷体"/>
          <w:b w:val="0"/>
          <w:sz w:val="30"/>
          <w:szCs w:val="30"/>
        </w:rPr>
        <w:br w:type="page"/>
      </w:r>
    </w:p>
    <w:p w14:paraId="3E0898A4">
      <w:pPr>
        <w:pStyle w:val="6"/>
        <w:keepNext w:val="0"/>
        <w:keepLines w:val="0"/>
        <w:spacing w:before="0" w:after="0" w:line="360" w:lineRule="auto"/>
        <w:ind w:firstLine="643"/>
        <w:jc w:val="center"/>
        <w:rPr>
          <w:rFonts w:hint="eastAsia" w:ascii="楷体" w:hAnsi="楷体" w:eastAsia="楷体"/>
          <w:sz w:val="30"/>
          <w:szCs w:val="30"/>
        </w:rPr>
      </w:pPr>
      <w:r>
        <w:rPr>
          <w:rFonts w:hint="eastAsia" w:ascii="楷体" w:hAnsi="楷体" w:eastAsia="楷体"/>
          <w:sz w:val="30"/>
          <w:szCs w:val="30"/>
        </w:rPr>
        <w:t>（八）落实政府采购政策需满足的资格要求</w:t>
      </w:r>
    </w:p>
    <w:p w14:paraId="23F7A2A7">
      <w:pPr>
        <w:pStyle w:val="6"/>
        <w:keepNext w:val="0"/>
        <w:keepLines w:val="0"/>
        <w:spacing w:before="0" w:after="0" w:line="360" w:lineRule="auto"/>
        <w:ind w:firstLine="643"/>
        <w:jc w:val="center"/>
        <w:rPr>
          <w:rFonts w:ascii="楷体" w:hAnsi="楷体" w:eastAsia="楷体"/>
          <w:b w:val="0"/>
          <w:bCs/>
          <w:sz w:val="30"/>
          <w:szCs w:val="30"/>
        </w:rPr>
      </w:pPr>
      <w:r>
        <w:rPr>
          <w:rFonts w:hint="eastAsia" w:ascii="楷体" w:hAnsi="楷体" w:eastAsia="楷体"/>
          <w:bCs/>
          <w:sz w:val="30"/>
          <w:szCs w:val="30"/>
        </w:rPr>
        <w:t>中小企业声明函（货物类）</w:t>
      </w:r>
    </w:p>
    <w:p w14:paraId="0483B0A4">
      <w:pPr>
        <w:pStyle w:val="9"/>
        <w:spacing w:line="560" w:lineRule="exact"/>
        <w:ind w:firstLine="584"/>
        <w:jc w:val="left"/>
        <w:rPr>
          <w:rFonts w:ascii="楷体" w:hAnsi="楷体" w:eastAsia="楷体" w:cstheme="minorBidi"/>
          <w:spacing w:val="6"/>
          <w:sz w:val="24"/>
        </w:rPr>
      </w:pPr>
      <w:r>
        <w:rPr>
          <w:rFonts w:hint="eastAsia" w:ascii="楷体" w:hAnsi="楷体" w:eastAsia="楷体" w:cstheme="minorBidi"/>
          <w:spacing w:val="6"/>
          <w:sz w:val="24"/>
        </w:rPr>
        <w:t>本公司（联合体）郑重声明，根据《政府采购促进中小企业发展管理办法》（财库﹝</w:t>
      </w:r>
      <w:r>
        <w:rPr>
          <w:rFonts w:ascii="楷体" w:hAnsi="楷体" w:eastAsia="楷体" w:cstheme="minorBidi"/>
          <w:spacing w:val="6"/>
          <w:sz w:val="24"/>
        </w:rPr>
        <w:t xml:space="preserve">2020﹞46 </w:t>
      </w:r>
      <w:r>
        <w:rPr>
          <w:rFonts w:hint="eastAsia" w:ascii="楷体" w:hAnsi="楷体" w:eastAsia="楷体" w:cstheme="minorBidi"/>
          <w:spacing w:val="6"/>
          <w:sz w:val="24"/>
        </w:rPr>
        <w:t>号）的规定，本公司（联合体）参加</w:t>
      </w:r>
      <w:r>
        <w:rPr>
          <w:rFonts w:hint="eastAsia" w:ascii="楷体" w:hAnsi="楷体" w:eastAsia="楷体" w:cstheme="minorBidi"/>
          <w:spacing w:val="6"/>
          <w:sz w:val="24"/>
          <w:u w:val="single"/>
        </w:rPr>
        <w:t>（单位名称）</w:t>
      </w:r>
      <w:r>
        <w:rPr>
          <w:rFonts w:hint="eastAsia" w:ascii="楷体" w:hAnsi="楷体" w:eastAsia="楷体" w:cstheme="minorBidi"/>
          <w:spacing w:val="6"/>
          <w:sz w:val="24"/>
        </w:rPr>
        <w:t>的</w:t>
      </w:r>
      <w:r>
        <w:rPr>
          <w:rFonts w:hint="eastAsia" w:ascii="楷体" w:hAnsi="楷体" w:eastAsia="楷体" w:cstheme="minorBidi"/>
          <w:spacing w:val="6"/>
          <w:sz w:val="24"/>
          <w:u w:val="single"/>
        </w:rPr>
        <w:t>（项目名称）</w:t>
      </w:r>
      <w:r>
        <w:rPr>
          <w:rFonts w:hint="eastAsia" w:ascii="楷体" w:hAnsi="楷体" w:eastAsia="楷体" w:cstheme="minorBidi"/>
          <w:spacing w:val="6"/>
          <w:sz w:val="24"/>
        </w:rPr>
        <w:t>采购活动，提供的货物全部由符合政策要求的中小企业制造。相关企业（含联合体中的中小企业、签订分包意向协议的中小企业）的具体情况如下：</w:t>
      </w:r>
      <w:r>
        <w:rPr>
          <w:rFonts w:ascii="楷体" w:hAnsi="楷体" w:eastAsia="楷体" w:cstheme="minorBidi"/>
          <w:spacing w:val="6"/>
          <w:sz w:val="24"/>
        </w:rPr>
        <w:t xml:space="preserve">  </w:t>
      </w:r>
    </w:p>
    <w:p w14:paraId="6A44D992">
      <w:pPr>
        <w:pStyle w:val="9"/>
        <w:spacing w:line="560" w:lineRule="exact"/>
        <w:ind w:firstLine="584"/>
        <w:jc w:val="left"/>
        <w:rPr>
          <w:rFonts w:ascii="楷体" w:hAnsi="楷体" w:eastAsia="楷体" w:cstheme="minorBidi"/>
          <w:spacing w:val="6"/>
          <w:sz w:val="24"/>
        </w:rPr>
      </w:pPr>
      <w:r>
        <w:rPr>
          <w:rFonts w:ascii="楷体" w:hAnsi="楷体" w:eastAsia="楷体" w:cstheme="minorBidi"/>
          <w:spacing w:val="6"/>
          <w:sz w:val="24"/>
        </w:rPr>
        <w:t>1.</w:t>
      </w:r>
      <w:r>
        <w:rPr>
          <w:rFonts w:hint="eastAsia" w:ascii="楷体" w:hAnsi="楷体" w:eastAsia="楷体" w:cstheme="minorBidi"/>
          <w:spacing w:val="6"/>
          <w:sz w:val="24"/>
          <w:u w:val="single"/>
        </w:rPr>
        <w:t>（标的名称）</w:t>
      </w:r>
      <w:r>
        <w:rPr>
          <w:rFonts w:hint="eastAsia" w:ascii="楷体" w:hAnsi="楷体" w:eastAsia="楷体" w:cstheme="minorBidi"/>
          <w:spacing w:val="6"/>
          <w:sz w:val="24"/>
        </w:rPr>
        <w:t>，属于</w:t>
      </w:r>
      <w:r>
        <w:rPr>
          <w:rFonts w:hint="eastAsia" w:ascii="楷体" w:hAnsi="楷体" w:eastAsia="楷体" w:cstheme="minorBidi"/>
          <w:spacing w:val="6"/>
          <w:sz w:val="24"/>
          <w:u w:val="single"/>
        </w:rPr>
        <w:t>（采购文件中明确的所属行业）</w:t>
      </w:r>
      <w:r>
        <w:rPr>
          <w:rFonts w:hint="eastAsia" w:ascii="楷体" w:hAnsi="楷体" w:eastAsia="楷体" w:cstheme="minorBidi"/>
          <w:spacing w:val="6"/>
          <w:sz w:val="24"/>
        </w:rPr>
        <w:t>行业；制造商为</w:t>
      </w:r>
      <w:r>
        <w:rPr>
          <w:rFonts w:hint="eastAsia" w:ascii="楷体" w:hAnsi="楷体" w:eastAsia="楷体" w:cstheme="minorBidi"/>
          <w:spacing w:val="6"/>
          <w:sz w:val="24"/>
          <w:u w:val="single"/>
        </w:rPr>
        <w:t>（企业名称）</w:t>
      </w:r>
      <w:r>
        <w:rPr>
          <w:rFonts w:hint="eastAsia" w:ascii="楷体" w:hAnsi="楷体" w:eastAsia="楷体" w:cstheme="minorBidi"/>
          <w:spacing w:val="6"/>
          <w:sz w:val="24"/>
        </w:rPr>
        <w:t>，从业人员</w:t>
      </w:r>
      <w:r>
        <w:rPr>
          <w:rFonts w:ascii="楷体" w:hAnsi="楷体" w:eastAsia="楷体" w:cstheme="minorBidi"/>
          <w:spacing w:val="6"/>
          <w:sz w:val="24"/>
          <w:u w:val="single"/>
        </w:rPr>
        <w:t xml:space="preserve">  </w:t>
      </w:r>
      <w:r>
        <w:rPr>
          <w:rFonts w:hint="eastAsia" w:ascii="楷体" w:hAnsi="楷体" w:eastAsia="楷体" w:cstheme="minorBidi"/>
          <w:spacing w:val="6"/>
          <w:sz w:val="24"/>
        </w:rPr>
        <w:t>人，营业收入为</w:t>
      </w:r>
      <w:r>
        <w:rPr>
          <w:rFonts w:ascii="楷体" w:hAnsi="楷体" w:eastAsia="楷体" w:cstheme="minorBidi"/>
          <w:spacing w:val="6"/>
          <w:sz w:val="24"/>
          <w:u w:val="single"/>
        </w:rPr>
        <w:t xml:space="preserve">  </w:t>
      </w:r>
      <w:r>
        <w:rPr>
          <w:rFonts w:hint="eastAsia" w:ascii="楷体" w:hAnsi="楷体" w:eastAsia="楷体" w:cstheme="minorBidi"/>
          <w:spacing w:val="6"/>
          <w:sz w:val="24"/>
        </w:rPr>
        <w:t>万元，资产总额为</w:t>
      </w:r>
      <w:r>
        <w:rPr>
          <w:rFonts w:ascii="楷体" w:hAnsi="楷体" w:eastAsia="楷体" w:cstheme="minorBidi"/>
          <w:spacing w:val="6"/>
          <w:sz w:val="24"/>
          <w:u w:val="single"/>
        </w:rPr>
        <w:t xml:space="preserve">  </w:t>
      </w:r>
      <w:r>
        <w:rPr>
          <w:rFonts w:hint="eastAsia" w:ascii="楷体" w:hAnsi="楷体" w:eastAsia="楷体" w:cstheme="minorBidi"/>
          <w:spacing w:val="6"/>
          <w:sz w:val="24"/>
        </w:rPr>
        <w:t>万元，属于</w:t>
      </w:r>
      <w:r>
        <w:rPr>
          <w:rFonts w:hint="eastAsia" w:ascii="楷体" w:hAnsi="楷体" w:eastAsia="楷体" w:cstheme="minorBidi"/>
          <w:spacing w:val="6"/>
          <w:sz w:val="24"/>
          <w:u w:val="single"/>
        </w:rPr>
        <w:t>（中型企业、小型企业、微型企业）</w:t>
      </w:r>
      <w:r>
        <w:rPr>
          <w:rFonts w:hint="eastAsia" w:ascii="楷体" w:hAnsi="楷体" w:eastAsia="楷体" w:cstheme="minorBidi"/>
          <w:spacing w:val="6"/>
          <w:sz w:val="24"/>
        </w:rPr>
        <w:t>；</w:t>
      </w:r>
      <w:r>
        <w:rPr>
          <w:rFonts w:ascii="楷体" w:hAnsi="楷体" w:eastAsia="楷体" w:cstheme="minorBidi"/>
          <w:spacing w:val="6"/>
          <w:sz w:val="24"/>
        </w:rPr>
        <w:t xml:space="preserve">  </w:t>
      </w:r>
    </w:p>
    <w:p w14:paraId="6B2AAAC1">
      <w:pPr>
        <w:pStyle w:val="9"/>
        <w:spacing w:line="560" w:lineRule="exact"/>
        <w:ind w:firstLine="584"/>
        <w:jc w:val="left"/>
        <w:rPr>
          <w:rFonts w:ascii="楷体" w:hAnsi="楷体" w:eastAsia="楷体" w:cstheme="minorBidi"/>
          <w:spacing w:val="6"/>
          <w:sz w:val="24"/>
        </w:rPr>
      </w:pPr>
      <w:r>
        <w:rPr>
          <w:rFonts w:ascii="楷体" w:hAnsi="楷体" w:eastAsia="楷体" w:cstheme="minorBidi"/>
          <w:spacing w:val="6"/>
          <w:sz w:val="24"/>
        </w:rPr>
        <w:t>2.</w:t>
      </w:r>
      <w:r>
        <w:rPr>
          <w:rFonts w:ascii="楷体" w:hAnsi="楷体" w:eastAsia="楷体" w:cstheme="minorBidi"/>
          <w:spacing w:val="6"/>
          <w:sz w:val="24"/>
          <w:u w:val="single"/>
        </w:rPr>
        <w:t xml:space="preserve"> （标的名称）</w:t>
      </w:r>
      <w:r>
        <w:rPr>
          <w:rFonts w:hint="eastAsia" w:ascii="楷体" w:hAnsi="楷体" w:eastAsia="楷体" w:cstheme="minorBidi"/>
          <w:spacing w:val="6"/>
          <w:sz w:val="24"/>
        </w:rPr>
        <w:t>，属于</w:t>
      </w:r>
      <w:r>
        <w:rPr>
          <w:rFonts w:hint="eastAsia" w:ascii="楷体" w:hAnsi="楷体" w:eastAsia="楷体" w:cstheme="minorBidi"/>
          <w:spacing w:val="6"/>
          <w:sz w:val="24"/>
          <w:u w:val="single"/>
        </w:rPr>
        <w:t>（采购文件中明确的所属行业）</w:t>
      </w:r>
      <w:r>
        <w:rPr>
          <w:rFonts w:hint="eastAsia" w:ascii="楷体" w:hAnsi="楷体" w:eastAsia="楷体" w:cstheme="minorBidi"/>
          <w:spacing w:val="6"/>
          <w:sz w:val="24"/>
        </w:rPr>
        <w:t>行业；制造商为</w:t>
      </w:r>
      <w:r>
        <w:rPr>
          <w:rFonts w:hint="eastAsia" w:ascii="楷体" w:hAnsi="楷体" w:eastAsia="楷体" w:cstheme="minorBidi"/>
          <w:spacing w:val="6"/>
          <w:sz w:val="24"/>
          <w:u w:val="single"/>
        </w:rPr>
        <w:t>（企业名称）</w:t>
      </w:r>
      <w:r>
        <w:rPr>
          <w:rFonts w:hint="eastAsia" w:ascii="楷体" w:hAnsi="楷体" w:eastAsia="楷体" w:cstheme="minorBidi"/>
          <w:spacing w:val="6"/>
          <w:sz w:val="24"/>
        </w:rPr>
        <w:t>，从业人员</w:t>
      </w:r>
      <w:r>
        <w:rPr>
          <w:rFonts w:ascii="楷体" w:hAnsi="楷体" w:eastAsia="楷体" w:cstheme="minorBidi"/>
          <w:spacing w:val="6"/>
          <w:sz w:val="24"/>
          <w:u w:val="single"/>
        </w:rPr>
        <w:t xml:space="preserve">  </w:t>
      </w:r>
      <w:r>
        <w:rPr>
          <w:rFonts w:hint="eastAsia" w:ascii="楷体" w:hAnsi="楷体" w:eastAsia="楷体" w:cstheme="minorBidi"/>
          <w:spacing w:val="6"/>
          <w:sz w:val="24"/>
        </w:rPr>
        <w:t>人，营业收入为</w:t>
      </w:r>
      <w:r>
        <w:rPr>
          <w:rFonts w:ascii="楷体" w:hAnsi="楷体" w:eastAsia="楷体" w:cstheme="minorBidi"/>
          <w:spacing w:val="6"/>
          <w:sz w:val="24"/>
          <w:u w:val="single"/>
        </w:rPr>
        <w:t xml:space="preserve">  </w:t>
      </w:r>
      <w:r>
        <w:rPr>
          <w:rFonts w:hint="eastAsia" w:ascii="楷体" w:hAnsi="楷体" w:eastAsia="楷体" w:cstheme="minorBidi"/>
          <w:spacing w:val="6"/>
          <w:sz w:val="24"/>
        </w:rPr>
        <w:t>万元，资产总额为</w:t>
      </w:r>
      <w:r>
        <w:rPr>
          <w:rFonts w:ascii="楷体" w:hAnsi="楷体" w:eastAsia="楷体" w:cstheme="minorBidi"/>
          <w:spacing w:val="6"/>
          <w:sz w:val="24"/>
          <w:u w:val="single"/>
        </w:rPr>
        <w:t xml:space="preserve">  </w:t>
      </w:r>
      <w:r>
        <w:rPr>
          <w:rFonts w:hint="eastAsia" w:ascii="楷体" w:hAnsi="楷体" w:eastAsia="楷体" w:cstheme="minorBidi"/>
          <w:spacing w:val="6"/>
          <w:sz w:val="24"/>
        </w:rPr>
        <w:t>万元，属于</w:t>
      </w:r>
      <w:r>
        <w:rPr>
          <w:rFonts w:hint="eastAsia" w:ascii="楷体" w:hAnsi="楷体" w:eastAsia="楷体" w:cstheme="minorBidi"/>
          <w:spacing w:val="6"/>
          <w:sz w:val="24"/>
          <w:u w:val="single"/>
        </w:rPr>
        <w:t>（中型企业、小型企业、微型企业）</w:t>
      </w:r>
      <w:r>
        <w:rPr>
          <w:rFonts w:hint="eastAsia" w:ascii="楷体" w:hAnsi="楷体" w:eastAsia="楷体" w:cstheme="minorBidi"/>
          <w:spacing w:val="6"/>
          <w:sz w:val="24"/>
        </w:rPr>
        <w:t>；</w:t>
      </w:r>
    </w:p>
    <w:p w14:paraId="44C98F31">
      <w:pPr>
        <w:pStyle w:val="9"/>
        <w:spacing w:line="560" w:lineRule="exact"/>
        <w:ind w:firstLine="584"/>
        <w:jc w:val="left"/>
        <w:rPr>
          <w:rFonts w:ascii="楷体" w:hAnsi="楷体" w:eastAsia="楷体" w:cstheme="minorBidi"/>
          <w:spacing w:val="6"/>
          <w:sz w:val="24"/>
        </w:rPr>
      </w:pPr>
      <w:r>
        <w:rPr>
          <w:rFonts w:ascii="楷体" w:hAnsi="楷体" w:eastAsia="楷体" w:cstheme="minorBidi"/>
          <w:spacing w:val="6"/>
          <w:sz w:val="24"/>
        </w:rPr>
        <w:t xml:space="preserve">  ……  </w:t>
      </w:r>
    </w:p>
    <w:p w14:paraId="75E720C8">
      <w:pPr>
        <w:pStyle w:val="9"/>
        <w:spacing w:line="560" w:lineRule="exact"/>
        <w:ind w:firstLine="584"/>
        <w:jc w:val="left"/>
        <w:rPr>
          <w:rFonts w:ascii="楷体" w:hAnsi="楷体" w:eastAsia="楷体" w:cstheme="minorBidi"/>
          <w:spacing w:val="6"/>
          <w:sz w:val="24"/>
        </w:rPr>
      </w:pPr>
      <w:r>
        <w:rPr>
          <w:rFonts w:hint="eastAsia" w:ascii="楷体" w:hAnsi="楷体" w:eastAsia="楷体" w:cstheme="minorBidi"/>
          <w:spacing w:val="6"/>
          <w:sz w:val="24"/>
        </w:rPr>
        <w:t>以上企业，不属于大企业的分支机构，不存在控股股东为大企业的情形，也不存在与大企业的负责人为同一人的情形。</w:t>
      </w:r>
    </w:p>
    <w:p w14:paraId="780C57BC">
      <w:pPr>
        <w:pStyle w:val="9"/>
        <w:spacing w:line="560" w:lineRule="exact"/>
        <w:ind w:firstLine="584"/>
        <w:jc w:val="left"/>
        <w:rPr>
          <w:rFonts w:ascii="楷体" w:hAnsi="楷体" w:eastAsia="楷体" w:cstheme="minorBidi"/>
          <w:spacing w:val="6"/>
          <w:sz w:val="24"/>
        </w:rPr>
      </w:pPr>
      <w:r>
        <w:rPr>
          <w:rFonts w:hint="eastAsia" w:ascii="楷体" w:hAnsi="楷体" w:eastAsia="楷体" w:cstheme="minorBidi"/>
          <w:spacing w:val="6"/>
          <w:sz w:val="24"/>
        </w:rPr>
        <w:t>本企业对上述声明内容的真实性负责。如有虚假，将依法承担相应责任。</w:t>
      </w:r>
      <w:r>
        <w:rPr>
          <w:rFonts w:ascii="楷体" w:hAnsi="楷体" w:eastAsia="楷体" w:cstheme="minorBidi"/>
          <w:spacing w:val="6"/>
          <w:sz w:val="24"/>
        </w:rPr>
        <w:t xml:space="preserve">  </w:t>
      </w:r>
    </w:p>
    <w:p w14:paraId="76A021E5">
      <w:pPr>
        <w:pStyle w:val="9"/>
        <w:spacing w:line="560" w:lineRule="exact"/>
        <w:ind w:firstLine="584"/>
        <w:jc w:val="left"/>
        <w:rPr>
          <w:rFonts w:ascii="楷体" w:hAnsi="楷体" w:eastAsia="楷体" w:cstheme="minorBidi"/>
          <w:spacing w:val="6"/>
          <w:sz w:val="24"/>
        </w:rPr>
      </w:pPr>
      <w:r>
        <w:rPr>
          <w:rFonts w:hint="eastAsia" w:ascii="楷体" w:hAnsi="楷体" w:eastAsia="楷体" w:cstheme="minorBidi"/>
          <w:spacing w:val="6"/>
          <w:sz w:val="24"/>
        </w:rPr>
        <w:t>企业名称（盖章）：</w:t>
      </w:r>
      <w:r>
        <w:rPr>
          <w:rFonts w:ascii="楷体" w:hAnsi="楷体" w:eastAsia="楷体" w:cstheme="minorBidi"/>
          <w:spacing w:val="6"/>
          <w:sz w:val="24"/>
        </w:rPr>
        <w:t xml:space="preserve">  </w:t>
      </w:r>
    </w:p>
    <w:p w14:paraId="020A2BC7">
      <w:pPr>
        <w:pStyle w:val="9"/>
        <w:spacing w:line="560" w:lineRule="exact"/>
        <w:ind w:firstLine="584"/>
        <w:jc w:val="left"/>
        <w:rPr>
          <w:rFonts w:ascii="楷体" w:hAnsi="楷体" w:eastAsia="楷体" w:cstheme="minorBidi"/>
          <w:spacing w:val="6"/>
          <w:sz w:val="24"/>
        </w:rPr>
      </w:pPr>
      <w:r>
        <w:rPr>
          <w:rFonts w:hint="eastAsia" w:ascii="楷体" w:hAnsi="楷体" w:eastAsia="楷体" w:cstheme="minorBidi"/>
          <w:spacing w:val="6"/>
          <w:sz w:val="24"/>
        </w:rPr>
        <w:t>日</w:t>
      </w:r>
      <w:r>
        <w:rPr>
          <w:rFonts w:ascii="楷体" w:hAnsi="楷体" w:eastAsia="楷体" w:cstheme="minorBidi"/>
          <w:spacing w:val="6"/>
          <w:sz w:val="24"/>
        </w:rPr>
        <w:t xml:space="preserve"> </w:t>
      </w:r>
      <w:r>
        <w:rPr>
          <w:rFonts w:hint="eastAsia" w:ascii="楷体" w:hAnsi="楷体" w:eastAsia="楷体" w:cstheme="minorBidi"/>
          <w:spacing w:val="6"/>
          <w:sz w:val="24"/>
        </w:rPr>
        <w:t>期：</w:t>
      </w:r>
    </w:p>
    <w:p w14:paraId="521275A0">
      <w:pPr>
        <w:pStyle w:val="9"/>
        <w:spacing w:line="360" w:lineRule="auto"/>
        <w:ind w:firstLine="584"/>
        <w:jc w:val="left"/>
        <w:rPr>
          <w:rFonts w:ascii="楷体" w:hAnsi="楷体" w:eastAsia="楷体" w:cstheme="minorBidi"/>
          <w:spacing w:val="6"/>
          <w:sz w:val="24"/>
        </w:rPr>
      </w:pPr>
      <w:r>
        <w:rPr>
          <w:rFonts w:hint="eastAsia" w:ascii="楷体" w:hAnsi="楷体" w:eastAsia="楷体" w:cstheme="minorBidi"/>
          <w:spacing w:val="6"/>
          <w:sz w:val="24"/>
        </w:rPr>
        <w:t>注：</w:t>
      </w:r>
      <w:r>
        <w:rPr>
          <w:rFonts w:ascii="楷体" w:hAnsi="楷体" w:eastAsia="楷体" w:cstheme="minorBidi"/>
          <w:spacing w:val="6"/>
          <w:sz w:val="24"/>
        </w:rPr>
        <w:t>1.从业人员、营业收入、资产总额填报上一年度数据，无上一年度数据的新成立企业可不填报。</w:t>
      </w:r>
    </w:p>
    <w:p w14:paraId="0EF1F0D4">
      <w:pPr>
        <w:pStyle w:val="9"/>
        <w:spacing w:line="360" w:lineRule="auto"/>
        <w:ind w:firstLine="504" w:firstLineChars="200"/>
        <w:jc w:val="left"/>
        <w:rPr>
          <w:rFonts w:ascii="楷体" w:hAnsi="楷体" w:eastAsia="楷体" w:cstheme="minorBidi"/>
          <w:spacing w:val="6"/>
          <w:sz w:val="24"/>
        </w:rPr>
      </w:pPr>
      <w:r>
        <w:rPr>
          <w:rFonts w:ascii="楷体" w:hAnsi="楷体" w:eastAsia="楷体" w:cstheme="minorBidi"/>
          <w:spacing w:val="6"/>
          <w:sz w:val="24"/>
        </w:rPr>
        <w:t>2.</w:t>
      </w:r>
      <w:r>
        <w:rPr>
          <w:rFonts w:hint="eastAsia" w:ascii="楷体" w:hAnsi="楷体" w:eastAsia="楷体" w:cstheme="minorBidi"/>
          <w:spacing w:val="6"/>
          <w:sz w:val="24"/>
        </w:rPr>
        <w:t>本声明函中“属于（中型企业、小型企业、微型企业）”的内容，必须且只能选择其中之一填写。</w:t>
      </w:r>
    </w:p>
    <w:p w14:paraId="41017F6E">
      <w:pPr>
        <w:pStyle w:val="9"/>
        <w:spacing w:line="360" w:lineRule="auto"/>
        <w:ind w:firstLine="584"/>
        <w:jc w:val="left"/>
        <w:rPr>
          <w:rFonts w:ascii="楷体" w:hAnsi="楷体" w:eastAsia="楷体" w:cstheme="minorBidi"/>
          <w:spacing w:val="6"/>
          <w:sz w:val="24"/>
        </w:rPr>
      </w:pPr>
      <w:r>
        <w:rPr>
          <w:rFonts w:ascii="楷体" w:hAnsi="楷体" w:eastAsia="楷体" w:cstheme="minorBidi"/>
          <w:spacing w:val="6"/>
          <w:sz w:val="24"/>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40FEF961">
      <w:pPr>
        <w:widowControl/>
        <w:jc w:val="center"/>
        <w:outlineLvl w:val="2"/>
        <w:rPr>
          <w:rFonts w:ascii="楷体" w:hAnsi="楷体" w:eastAsia="楷体" w:cstheme="minorBidi"/>
          <w:spacing w:val="6"/>
          <w:sz w:val="30"/>
          <w:szCs w:val="30"/>
        </w:rPr>
      </w:pPr>
      <w:r>
        <w:rPr>
          <w:rFonts w:ascii="楷体" w:hAnsi="楷体" w:eastAsia="楷体"/>
          <w:b/>
          <w:sz w:val="32"/>
          <w:szCs w:val="32"/>
        </w:rPr>
        <w:br w:type="page" w:clear="all"/>
      </w:r>
      <w:r>
        <w:rPr>
          <w:rFonts w:hint="eastAsia" w:ascii="楷体" w:hAnsi="楷体" w:eastAsia="楷体"/>
          <w:b/>
          <w:sz w:val="30"/>
          <w:szCs w:val="30"/>
        </w:rPr>
        <w:t>残疾人福利性单位声明函（可选）</w:t>
      </w:r>
    </w:p>
    <w:p w14:paraId="5EF596F4">
      <w:pPr>
        <w:spacing w:line="360" w:lineRule="auto"/>
        <w:rPr>
          <w:rFonts w:ascii="楷体" w:hAnsi="楷体" w:eastAsia="楷体" w:cstheme="minorBidi"/>
          <w:spacing w:val="6"/>
          <w:sz w:val="28"/>
          <w:szCs w:val="28"/>
        </w:rPr>
      </w:pPr>
    </w:p>
    <w:p w14:paraId="25ECFE9A">
      <w:pPr>
        <w:spacing w:line="360" w:lineRule="auto"/>
        <w:ind w:firstLine="560"/>
        <w:rPr>
          <w:rFonts w:ascii="楷体" w:hAnsi="楷体" w:eastAsia="楷体" w:cstheme="minorBidi"/>
          <w:spacing w:val="6"/>
          <w:sz w:val="24"/>
        </w:rPr>
      </w:pPr>
      <w:r>
        <w:rPr>
          <w:rFonts w:hint="eastAsia" w:ascii="楷体" w:hAnsi="楷体" w:eastAsia="楷体" w:cstheme="minorBidi"/>
          <w:spacing w:val="6"/>
          <w:sz w:val="24"/>
        </w:rPr>
        <w:t>本单位郑重声明，根据《财政部</w:t>
      </w:r>
      <w:r>
        <w:rPr>
          <w:rFonts w:ascii="楷体" w:hAnsi="楷体" w:eastAsia="楷体" w:cstheme="minorBidi"/>
          <w:spacing w:val="6"/>
          <w:sz w:val="24"/>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（采购单位名称）</w:t>
      </w:r>
      <w:r>
        <w:rPr>
          <w:rFonts w:ascii="楷体" w:hAnsi="楷体" w:eastAsia="楷体" w:cstheme="minorBidi"/>
          <w:spacing w:val="6"/>
          <w:sz w:val="24"/>
          <w:u w:val="single"/>
        </w:rPr>
        <w:t xml:space="preserve">    </w:t>
      </w:r>
      <w:r>
        <w:rPr>
          <w:rFonts w:hint="eastAsia" w:ascii="楷体" w:hAnsi="楷体" w:eastAsia="楷体" w:cstheme="minorBidi"/>
          <w:spacing w:val="6"/>
          <w:sz w:val="24"/>
        </w:rPr>
        <w:t>单位的</w:t>
      </w:r>
      <w:r>
        <w:rPr>
          <w:rFonts w:ascii="楷体" w:hAnsi="楷体" w:eastAsia="楷体" w:cstheme="minorBidi"/>
          <w:spacing w:val="6"/>
          <w:sz w:val="24"/>
          <w:u w:val="single"/>
        </w:rPr>
        <w:t xml:space="preserve">   （项目名称）           </w:t>
      </w:r>
      <w:r>
        <w:rPr>
          <w:rFonts w:hint="eastAsia" w:ascii="楷体" w:hAnsi="楷体" w:eastAsia="楷体" w:cstheme="minorBidi"/>
          <w:spacing w:val="6"/>
          <w:sz w:val="24"/>
        </w:rPr>
        <w:t>项目采购活动提供本单位制造的货物（由本单位承担工程</w:t>
      </w:r>
      <w:r>
        <w:rPr>
          <w:rFonts w:ascii="楷体" w:hAnsi="楷体" w:eastAsia="楷体" w:cstheme="minorBidi"/>
          <w:spacing w:val="6"/>
          <w:sz w:val="24"/>
        </w:rPr>
        <w:t>/提供服务），或者提供其他残疾人福利性单位制造的货物（不包括使用非残疾人福利性单位注册商标的货物）。</w:t>
      </w:r>
    </w:p>
    <w:p w14:paraId="6D38BF65">
      <w:pPr>
        <w:spacing w:line="360" w:lineRule="auto"/>
        <w:ind w:firstLine="584"/>
        <w:rPr>
          <w:rFonts w:ascii="楷体" w:hAnsi="楷体" w:eastAsia="楷体" w:cstheme="minorBidi"/>
          <w:spacing w:val="6"/>
          <w:sz w:val="24"/>
        </w:rPr>
      </w:pPr>
      <w:r>
        <w:rPr>
          <w:rFonts w:hint="eastAsia" w:ascii="楷体" w:hAnsi="楷体" w:eastAsia="楷体" w:cstheme="minorBidi"/>
          <w:spacing w:val="6"/>
          <w:sz w:val="24"/>
        </w:rPr>
        <w:t>本单位对上述声明的真实性负责。如有虚假，将依法承担相应责任。</w:t>
      </w:r>
    </w:p>
    <w:p w14:paraId="334BEE4A">
      <w:pPr>
        <w:spacing w:line="360" w:lineRule="auto"/>
        <w:rPr>
          <w:rFonts w:ascii="楷体" w:hAnsi="楷体" w:eastAsia="楷体" w:cstheme="minorBidi"/>
          <w:spacing w:val="6"/>
          <w:sz w:val="24"/>
        </w:rPr>
      </w:pPr>
    </w:p>
    <w:p w14:paraId="66BC3141">
      <w:pPr>
        <w:spacing w:line="360" w:lineRule="auto"/>
        <w:jc w:val="right"/>
        <w:rPr>
          <w:rFonts w:ascii="楷体" w:hAnsi="楷体" w:eastAsia="楷体" w:cstheme="minorBidi"/>
          <w:spacing w:val="6"/>
          <w:sz w:val="24"/>
        </w:rPr>
      </w:pPr>
      <w:r>
        <w:rPr>
          <w:rFonts w:hint="eastAsia" w:ascii="楷体" w:hAnsi="楷体" w:eastAsia="楷体" w:cstheme="minorBidi"/>
          <w:spacing w:val="6"/>
          <w:sz w:val="24"/>
        </w:rPr>
        <w:t>单位名称（盖章）：</w:t>
      </w:r>
    </w:p>
    <w:p w14:paraId="7684C58C">
      <w:pPr>
        <w:spacing w:line="360" w:lineRule="auto"/>
        <w:jc w:val="right"/>
        <w:rPr>
          <w:rFonts w:ascii="楷体" w:hAnsi="楷体" w:eastAsia="楷体" w:cstheme="minorBidi"/>
          <w:spacing w:val="6"/>
          <w:sz w:val="24"/>
        </w:rPr>
      </w:pPr>
      <w:r>
        <w:rPr>
          <w:rFonts w:hint="eastAsia" w:ascii="楷体" w:hAnsi="楷体" w:eastAsia="楷体" w:cstheme="minorBidi"/>
          <w:spacing w:val="6"/>
          <w:sz w:val="24"/>
        </w:rPr>
        <w:t>日</w:t>
      </w:r>
      <w:r>
        <w:rPr>
          <w:rFonts w:ascii="楷体" w:hAnsi="楷体" w:eastAsia="楷体" w:cstheme="minorBidi"/>
          <w:spacing w:val="6"/>
          <w:sz w:val="24"/>
        </w:rPr>
        <w:tab/>
      </w:r>
      <w:r>
        <w:rPr>
          <w:rFonts w:hint="eastAsia" w:ascii="楷体" w:hAnsi="楷体" w:eastAsia="楷体" w:cstheme="minorBidi"/>
          <w:spacing w:val="6"/>
          <w:sz w:val="24"/>
        </w:rPr>
        <w:t>期：</w:t>
      </w:r>
    </w:p>
    <w:p w14:paraId="6FAAE561">
      <w:pPr>
        <w:pStyle w:val="9"/>
        <w:spacing w:line="560" w:lineRule="exact"/>
        <w:ind w:firstLine="0"/>
        <w:jc w:val="left"/>
        <w:rPr>
          <w:rFonts w:ascii="楷体" w:hAnsi="楷体" w:eastAsia="楷体" w:cstheme="minorBidi"/>
          <w:spacing w:val="6"/>
          <w:sz w:val="28"/>
          <w:szCs w:val="28"/>
        </w:rPr>
      </w:pPr>
    </w:p>
    <w:p w14:paraId="33528BF0">
      <w:pPr>
        <w:rPr>
          <w:rFonts w:ascii="楷体" w:hAnsi="楷体" w:eastAsia="楷体"/>
          <w:b/>
          <w:sz w:val="32"/>
          <w:szCs w:val="32"/>
        </w:rPr>
      </w:pPr>
      <w:r>
        <w:rPr>
          <w:rFonts w:hint="eastAsia" w:ascii="楷体" w:hAnsi="楷体" w:eastAsia="楷体"/>
          <w:b/>
          <w:sz w:val="32"/>
          <w:szCs w:val="32"/>
        </w:rPr>
        <w:br w:type="page" w:clear="all"/>
      </w:r>
    </w:p>
    <w:p w14:paraId="794EF68B">
      <w:pPr>
        <w:widowControl/>
        <w:jc w:val="left"/>
        <w:rPr>
          <w:rFonts w:ascii="楷体" w:hAnsi="楷体" w:eastAsia="楷体"/>
          <w:b/>
          <w:sz w:val="30"/>
          <w:szCs w:val="30"/>
        </w:rPr>
      </w:pPr>
    </w:p>
    <w:p w14:paraId="38CEAD5D">
      <w:pPr>
        <w:pStyle w:val="6"/>
        <w:keepNext w:val="0"/>
        <w:keepLines w:val="0"/>
        <w:spacing w:before="0" w:after="0" w:line="360" w:lineRule="auto"/>
        <w:ind w:firstLine="643"/>
        <w:jc w:val="center"/>
        <w:rPr>
          <w:rFonts w:ascii="楷体" w:hAnsi="楷体" w:eastAsia="楷体"/>
          <w:sz w:val="30"/>
          <w:szCs w:val="30"/>
        </w:rPr>
      </w:pPr>
      <w:r>
        <w:rPr>
          <w:rFonts w:hint="eastAsia" w:ascii="楷体" w:hAnsi="楷体" w:eastAsia="楷体"/>
          <w:sz w:val="30"/>
          <w:szCs w:val="30"/>
        </w:rPr>
        <w:t>（九）本项目的特定资格要求</w:t>
      </w:r>
    </w:p>
    <w:p w14:paraId="48C7B1DF">
      <w:pPr>
        <w:spacing w:line="360" w:lineRule="auto"/>
        <w:ind w:firstLine="560"/>
        <w:jc w:val="center"/>
        <w:rPr>
          <w:rFonts w:hint="eastAsia" w:ascii="楷体" w:hAnsi="楷体" w:eastAsia="楷体"/>
          <w:sz w:val="24"/>
          <w:szCs w:val="24"/>
          <w:lang w:eastAsia="zh-CN"/>
        </w:rPr>
      </w:pPr>
      <w:r>
        <w:rPr>
          <w:rFonts w:hint="eastAsia" w:ascii="楷体" w:hAnsi="楷体" w:eastAsia="楷体"/>
          <w:sz w:val="24"/>
          <w:szCs w:val="24"/>
          <w:lang w:eastAsia="zh-CN"/>
        </w:rPr>
        <w:t>无</w:t>
      </w:r>
    </w:p>
    <w:p w14:paraId="17C6CFBC">
      <w:pPr>
        <w:rPr>
          <w:rFonts w:hint="eastAsia" w:ascii="楷体" w:hAnsi="楷体" w:eastAsia="楷体"/>
          <w:sz w:val="30"/>
          <w:szCs w:val="30"/>
        </w:rPr>
      </w:pPr>
      <w:r>
        <w:rPr>
          <w:rFonts w:hint="eastAsia" w:ascii="楷体" w:hAnsi="楷体" w:eastAsia="楷体"/>
          <w:sz w:val="30"/>
          <w:szCs w:val="30"/>
        </w:rPr>
        <w:br w:type="page"/>
      </w:r>
    </w:p>
    <w:p w14:paraId="3B1A07F7">
      <w:pPr>
        <w:pStyle w:val="6"/>
        <w:keepNext w:val="0"/>
        <w:keepLines w:val="0"/>
        <w:spacing w:before="0" w:after="0" w:line="360" w:lineRule="auto"/>
        <w:ind w:firstLine="643"/>
        <w:jc w:val="center"/>
        <w:rPr>
          <w:rFonts w:ascii="楷体" w:hAnsi="楷体" w:eastAsia="楷体"/>
          <w:sz w:val="30"/>
          <w:szCs w:val="30"/>
          <w:u w:val="single"/>
        </w:rPr>
      </w:pPr>
      <w:r>
        <w:rPr>
          <w:rFonts w:hint="eastAsia" w:ascii="楷体" w:hAnsi="楷体" w:eastAsia="楷体"/>
          <w:sz w:val="30"/>
          <w:szCs w:val="30"/>
        </w:rPr>
        <w:t>二、法定代表人身份证明书</w:t>
      </w:r>
    </w:p>
    <w:p w14:paraId="1D4750E1">
      <w:pPr>
        <w:spacing w:line="360" w:lineRule="auto"/>
        <w:ind w:firstLine="560"/>
        <w:rPr>
          <w:rFonts w:ascii="楷体" w:hAnsi="楷体" w:eastAsia="楷体"/>
          <w:sz w:val="28"/>
          <w:szCs w:val="28"/>
        </w:rPr>
      </w:pPr>
    </w:p>
    <w:p w14:paraId="3211F941">
      <w:pPr>
        <w:spacing w:line="360" w:lineRule="auto"/>
        <w:ind w:firstLine="560"/>
        <w:rPr>
          <w:rFonts w:ascii="楷体" w:hAnsi="楷体" w:eastAsia="楷体"/>
          <w:sz w:val="28"/>
          <w:szCs w:val="28"/>
        </w:rPr>
      </w:pPr>
      <w:r>
        <w:rPr>
          <w:rFonts w:hint="eastAsia" w:ascii="楷体" w:hAnsi="楷体" w:eastAsia="楷体"/>
          <w:sz w:val="28"/>
          <w:szCs w:val="28"/>
        </w:rPr>
        <w:t>兹证明</w:t>
      </w:r>
      <w:r>
        <w:rPr>
          <w:rFonts w:hint="eastAsia" w:ascii="宋体" w:hAnsi="宋体"/>
          <w:b/>
          <w:color w:val="5B9BD5" w:themeColor="accent5"/>
          <w:sz w:val="24"/>
          <w:u w:val="single"/>
          <w14:textFill>
            <w14:solidFill>
              <w14:schemeClr w14:val="accent5"/>
            </w14:solidFill>
          </w14:textFill>
        </w:rPr>
        <w:t>×××（）姓名</w:t>
      </w:r>
      <w:r>
        <w:rPr>
          <w:rFonts w:hint="eastAsia" w:ascii="楷体" w:hAnsi="楷体" w:eastAsia="楷体"/>
          <w:sz w:val="28"/>
          <w:szCs w:val="28"/>
        </w:rPr>
        <w:t>同志，性别</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8"/>
        </w:rPr>
        <w:t>，</w:t>
      </w:r>
      <w:r>
        <w:rPr>
          <w:rFonts w:hint="eastAsia" w:ascii="楷体" w:hAnsi="楷体" w:eastAsia="楷体"/>
          <w:sz w:val="28"/>
        </w:rPr>
        <w:t>居民身份证号</w:t>
      </w:r>
      <w:r>
        <w:rPr>
          <w:rFonts w:hint="eastAsia" w:ascii="宋体" w:hAnsi="宋体"/>
          <w:b/>
          <w:color w:val="5B9BD5" w:themeColor="accent5"/>
          <w:sz w:val="24"/>
          <w:u w:val="single"/>
          <w14:textFill>
            <w14:solidFill>
              <w14:schemeClr w14:val="accent5"/>
            </w14:solidFill>
          </w14:textFill>
        </w:rPr>
        <w:t>×××</w:t>
      </w:r>
      <w:r>
        <w:rPr>
          <w:rFonts w:hint="eastAsia" w:ascii="楷体" w:hAnsi="楷体" w:eastAsia="楷体"/>
          <w:sz w:val="28"/>
          <w:szCs w:val="28"/>
        </w:rPr>
        <w:t>，在我单位任</w:t>
      </w:r>
      <w:r>
        <w:rPr>
          <w:rFonts w:hint="eastAsia" w:ascii="楷体" w:hAnsi="楷体" w:eastAsia="楷体"/>
          <w:sz w:val="28"/>
          <w:szCs w:val="28"/>
          <w:u w:val="single"/>
        </w:rPr>
        <w:t xml:space="preserve">               </w:t>
      </w:r>
      <w:r>
        <w:rPr>
          <w:rFonts w:hint="eastAsia" w:ascii="楷体" w:hAnsi="楷体" w:eastAsia="楷体"/>
          <w:sz w:val="28"/>
          <w:szCs w:val="28"/>
        </w:rPr>
        <w:t>职务，系我单位主要负责人即法定代表人。</w:t>
      </w:r>
    </w:p>
    <w:p w14:paraId="6E0B40D3">
      <w:pPr>
        <w:spacing w:line="360" w:lineRule="auto"/>
        <w:ind w:firstLine="560"/>
        <w:rPr>
          <w:rFonts w:ascii="楷体" w:hAnsi="楷体" w:eastAsia="楷体"/>
          <w:sz w:val="28"/>
          <w:szCs w:val="28"/>
        </w:rPr>
      </w:pPr>
    </w:p>
    <w:p w14:paraId="5EA82FD1">
      <w:pPr>
        <w:spacing w:line="360" w:lineRule="auto"/>
        <w:ind w:firstLine="560"/>
        <w:rPr>
          <w:rFonts w:ascii="楷体" w:hAnsi="楷体" w:eastAsia="楷体"/>
          <w:sz w:val="28"/>
          <w:szCs w:val="28"/>
        </w:rPr>
      </w:pPr>
      <w:r>
        <w:rPr>
          <w:rFonts w:hint="eastAsia" w:ascii="楷体" w:hAnsi="楷体" w:eastAsia="楷体"/>
          <w:sz w:val="28"/>
          <w:szCs w:val="28"/>
        </w:rPr>
        <w:t>单位地址：</w:t>
      </w:r>
    </w:p>
    <w:p w14:paraId="5D633547">
      <w:pPr>
        <w:spacing w:line="360" w:lineRule="auto"/>
        <w:ind w:firstLine="560"/>
        <w:rPr>
          <w:rFonts w:ascii="楷体" w:hAnsi="楷体" w:eastAsia="楷体"/>
          <w:sz w:val="28"/>
          <w:szCs w:val="28"/>
        </w:rPr>
      </w:pPr>
    </w:p>
    <w:p w14:paraId="6A21B6A9">
      <w:pPr>
        <w:spacing w:line="360" w:lineRule="auto"/>
        <w:ind w:firstLine="560"/>
        <w:rPr>
          <w:rFonts w:ascii="楷体" w:hAnsi="楷体" w:eastAsia="楷体"/>
          <w:sz w:val="28"/>
          <w:szCs w:val="28"/>
        </w:rPr>
      </w:pPr>
      <w:r>
        <w:rPr>
          <w:rFonts w:hint="eastAsia" w:ascii="楷体" w:hAnsi="楷体" w:eastAsia="楷体"/>
          <w:sz w:val="28"/>
          <w:szCs w:val="28"/>
        </w:rPr>
        <w:t>电    话：</w:t>
      </w:r>
    </w:p>
    <w:p w14:paraId="362E52A0">
      <w:pPr>
        <w:spacing w:line="360" w:lineRule="auto"/>
        <w:ind w:firstLine="560"/>
        <w:rPr>
          <w:rFonts w:ascii="楷体" w:hAnsi="楷体" w:eastAsia="楷体"/>
          <w:sz w:val="28"/>
          <w:szCs w:val="28"/>
        </w:rPr>
      </w:pPr>
    </w:p>
    <w:p w14:paraId="2A816668">
      <w:pPr>
        <w:spacing w:line="360" w:lineRule="auto"/>
        <w:ind w:firstLine="560"/>
        <w:rPr>
          <w:rFonts w:ascii="楷体" w:hAnsi="楷体" w:eastAsia="楷体"/>
          <w:sz w:val="28"/>
          <w:szCs w:val="28"/>
        </w:rPr>
      </w:pPr>
      <w:r>
        <w:rPr>
          <w:rFonts w:hint="eastAsia" w:ascii="楷体" w:hAnsi="楷体" w:eastAsia="楷体"/>
          <w:sz w:val="28"/>
          <w:szCs w:val="28"/>
        </w:rPr>
        <w:t xml:space="preserve">单位全称： </w:t>
      </w:r>
    </w:p>
    <w:p w14:paraId="6CDF0D42">
      <w:pPr>
        <w:spacing w:line="360" w:lineRule="auto"/>
        <w:ind w:firstLine="560"/>
        <w:rPr>
          <w:rFonts w:ascii="楷体" w:hAnsi="楷体" w:eastAsia="楷体"/>
          <w:sz w:val="28"/>
          <w:szCs w:val="28"/>
        </w:rPr>
      </w:pPr>
      <w:r>
        <w:rPr>
          <w:rFonts w:hint="eastAsia" w:ascii="楷体" w:hAnsi="楷体" w:eastAsia="楷体"/>
          <w:sz w:val="28"/>
          <w:szCs w:val="28"/>
        </w:rPr>
        <w:t xml:space="preserve">  </w:t>
      </w:r>
    </w:p>
    <w:p w14:paraId="714E8BF0">
      <w:pPr>
        <w:spacing w:line="360" w:lineRule="auto"/>
        <w:ind w:firstLine="560"/>
        <w:rPr>
          <w:rFonts w:ascii="楷体" w:hAnsi="楷体" w:eastAsia="楷体"/>
          <w:sz w:val="28"/>
          <w:szCs w:val="28"/>
        </w:rPr>
      </w:pPr>
      <w:r>
        <w:rPr>
          <w:rFonts w:hint="eastAsia" w:ascii="楷体" w:hAnsi="楷体" w:eastAsia="楷体"/>
          <w:sz w:val="28"/>
          <w:szCs w:val="28"/>
        </w:rPr>
        <w:t xml:space="preserve">公    章： </w:t>
      </w:r>
    </w:p>
    <w:p w14:paraId="5E4AF55E">
      <w:pPr>
        <w:tabs>
          <w:tab w:val="left" w:pos="7290"/>
        </w:tabs>
        <w:spacing w:line="360" w:lineRule="auto"/>
        <w:ind w:firstLine="560"/>
        <w:rPr>
          <w:rFonts w:ascii="楷体" w:hAnsi="楷体" w:eastAsia="楷体"/>
          <w:sz w:val="28"/>
          <w:szCs w:val="28"/>
        </w:rPr>
      </w:pPr>
      <w:r>
        <w:rPr>
          <w:rFonts w:hint="eastAsia" w:ascii="楷体" w:hAnsi="楷体" w:eastAsia="楷体"/>
          <w:sz w:val="28"/>
          <w:szCs w:val="28"/>
        </w:rPr>
        <w:t xml:space="preserve">                               </w:t>
      </w:r>
    </w:p>
    <w:p w14:paraId="20BA0165">
      <w:pPr>
        <w:tabs>
          <w:tab w:val="left" w:pos="7290"/>
        </w:tabs>
        <w:spacing w:line="360" w:lineRule="auto"/>
        <w:ind w:firstLine="560"/>
        <w:jc w:val="right"/>
        <w:rPr>
          <w:rFonts w:ascii="楷体" w:hAnsi="楷体" w:eastAsia="楷体"/>
          <w:sz w:val="28"/>
          <w:szCs w:val="28"/>
        </w:rPr>
      </w:pPr>
      <w:r>
        <w:rPr>
          <w:rFonts w:hint="eastAsia" w:ascii="楷体" w:hAnsi="楷体" w:eastAsia="楷体"/>
          <w:sz w:val="28"/>
          <w:szCs w:val="28"/>
        </w:rPr>
        <w:t xml:space="preserve">  年     月    日</w:t>
      </w:r>
    </w:p>
    <w:p w14:paraId="0224A19C">
      <w:pPr>
        <w:spacing w:line="360" w:lineRule="auto"/>
        <w:ind w:firstLine="643"/>
        <w:jc w:val="left"/>
        <w:rPr>
          <w:rFonts w:ascii="楷体" w:hAnsi="楷体" w:eastAsia="楷体"/>
          <w:b/>
          <w:sz w:val="32"/>
          <w:szCs w:val="32"/>
        </w:rPr>
      </w:pPr>
    </w:p>
    <w:p w14:paraId="4BC457EA">
      <w:pPr>
        <w:spacing w:line="360" w:lineRule="auto"/>
        <w:ind w:firstLine="643"/>
        <w:jc w:val="left"/>
        <w:rPr>
          <w:rFonts w:ascii="楷体" w:hAnsi="楷体" w:eastAsia="楷体"/>
          <w:b/>
          <w:sz w:val="32"/>
          <w:szCs w:val="32"/>
        </w:rPr>
      </w:pPr>
    </w:p>
    <w:p w14:paraId="65A6E078">
      <w:pPr>
        <w:spacing w:line="360" w:lineRule="auto"/>
        <w:ind w:firstLine="643"/>
        <w:jc w:val="left"/>
        <w:rPr>
          <w:rFonts w:ascii="楷体" w:hAnsi="楷体" w:eastAsia="楷体"/>
          <w:b/>
          <w:sz w:val="24"/>
        </w:rPr>
      </w:pPr>
      <w:r>
        <w:rPr>
          <w:rFonts w:hint="eastAsia" w:ascii="楷体" w:hAnsi="楷体" w:eastAsia="楷体"/>
          <w:b/>
          <w:sz w:val="24"/>
        </w:rPr>
        <w:t>附：法定代表人居民身份证扫描件</w:t>
      </w:r>
    </w:p>
    <w:p w14:paraId="200D4584">
      <w:pPr>
        <w:tabs>
          <w:tab w:val="left" w:pos="7290"/>
        </w:tabs>
        <w:spacing w:line="360" w:lineRule="auto"/>
        <w:ind w:firstLine="560"/>
        <w:rPr>
          <w:rFonts w:ascii="楷体" w:hAnsi="楷体" w:eastAsia="楷体"/>
          <w:sz w:val="24"/>
        </w:rPr>
      </w:pPr>
      <w:r>
        <w:rPr>
          <w:rFonts w:hint="eastAsia" w:ascii="楷体" w:hAnsi="楷体" w:eastAsia="楷体"/>
          <w:sz w:val="24"/>
          <w:u w:val="single"/>
        </w:rPr>
        <w:t>注：</w:t>
      </w:r>
      <w:r>
        <w:rPr>
          <w:rFonts w:ascii="楷体" w:hAnsi="楷体" w:eastAsia="楷体"/>
          <w:sz w:val="24"/>
          <w:u w:val="single"/>
        </w:rPr>
        <w:t>1.“法定代表人”直接参加投标响应活动的仅需填写本身份证明</w:t>
      </w:r>
      <w:r>
        <w:rPr>
          <w:rFonts w:hint="eastAsia" w:ascii="楷体" w:hAnsi="楷体" w:eastAsia="楷体"/>
          <w:sz w:val="24"/>
        </w:rPr>
        <w:t>。</w:t>
      </w:r>
    </w:p>
    <w:p w14:paraId="5120CAF7">
      <w:pPr>
        <w:tabs>
          <w:tab w:val="left" w:pos="7290"/>
        </w:tabs>
        <w:spacing w:line="360" w:lineRule="auto"/>
        <w:ind w:firstLine="562"/>
        <w:rPr>
          <w:rFonts w:ascii="楷体" w:hAnsi="楷体" w:eastAsia="楷体"/>
          <w:b/>
          <w:sz w:val="24"/>
          <w:u w:val="single"/>
        </w:rPr>
      </w:pPr>
      <w:r>
        <w:rPr>
          <w:rFonts w:ascii="楷体" w:hAnsi="楷体" w:eastAsia="楷体"/>
          <w:b/>
          <w:sz w:val="24"/>
          <w:u w:val="single"/>
        </w:rPr>
        <w:t>2.投标人属于非法人组织的，按照法律、行政法规规定能够对外代表其从事民事活动的主要负责人，视同法定代表人。</w:t>
      </w:r>
    </w:p>
    <w:p w14:paraId="3105A38B">
      <w:pPr>
        <w:widowControl/>
        <w:spacing w:line="360" w:lineRule="auto"/>
        <w:jc w:val="left"/>
        <w:rPr>
          <w:rFonts w:ascii="楷体" w:hAnsi="楷体" w:eastAsia="楷体"/>
          <w:b/>
          <w:sz w:val="32"/>
          <w:szCs w:val="20"/>
        </w:rPr>
      </w:pPr>
      <w:r>
        <w:rPr>
          <w:rFonts w:ascii="楷体" w:hAnsi="楷体" w:eastAsia="楷体"/>
        </w:rPr>
        <w:br w:type="page" w:clear="all"/>
      </w:r>
    </w:p>
    <w:p w14:paraId="3B953C26">
      <w:pPr>
        <w:pStyle w:val="6"/>
        <w:keepNext w:val="0"/>
        <w:keepLines w:val="0"/>
        <w:spacing w:before="0" w:after="0" w:line="360" w:lineRule="auto"/>
        <w:ind w:firstLine="643"/>
        <w:jc w:val="center"/>
        <w:rPr>
          <w:rFonts w:ascii="楷体" w:hAnsi="楷体" w:eastAsia="楷体"/>
          <w:b w:val="0"/>
          <w:sz w:val="30"/>
          <w:szCs w:val="30"/>
        </w:rPr>
      </w:pPr>
      <w:r>
        <w:rPr>
          <w:rFonts w:hint="eastAsia" w:ascii="楷体" w:hAnsi="楷体" w:eastAsia="楷体"/>
          <w:sz w:val="30"/>
          <w:szCs w:val="30"/>
        </w:rPr>
        <w:t>三、法定代表人授权委托书</w:t>
      </w:r>
    </w:p>
    <w:p w14:paraId="7AD08F9D">
      <w:pPr>
        <w:spacing w:line="360" w:lineRule="auto"/>
        <w:ind w:right="420" w:firstLine="560"/>
        <w:rPr>
          <w:rFonts w:ascii="楷体" w:hAnsi="楷体" w:eastAsia="楷体"/>
          <w:sz w:val="28"/>
        </w:rPr>
      </w:pPr>
      <w:r>
        <w:rPr>
          <w:rFonts w:hint="eastAsia" w:ascii="楷体" w:hAnsi="楷体" w:eastAsia="楷体"/>
          <w:sz w:val="28"/>
        </w:rPr>
        <w:t>本授权书声明：</w:t>
      </w:r>
      <w:r>
        <w:rPr>
          <w:rFonts w:hint="eastAsia" w:ascii="宋体" w:hAnsi="宋体"/>
          <w:b/>
          <w:color w:val="5B9BD5" w:themeColor="accent5"/>
          <w:sz w:val="24"/>
          <w:u w:val="single"/>
          <w14:textFill>
            <w14:solidFill>
              <w14:schemeClr w14:val="accent5"/>
            </w14:solidFill>
          </w14:textFill>
        </w:rPr>
        <w:t>×××（投标人名称）</w:t>
      </w:r>
      <w:r>
        <w:rPr>
          <w:rFonts w:hint="eastAsia" w:ascii="楷体" w:hAnsi="楷体" w:eastAsia="楷体"/>
          <w:sz w:val="28"/>
          <w:u w:val="single"/>
        </w:rPr>
        <w:t xml:space="preserve"> </w:t>
      </w:r>
      <w:r>
        <w:rPr>
          <w:rFonts w:hint="eastAsia" w:ascii="楷体" w:hAnsi="楷体" w:eastAsia="楷体"/>
          <w:sz w:val="28"/>
        </w:rPr>
        <w:t>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8"/>
        </w:rPr>
        <w:t>授权</w:t>
      </w:r>
      <w:r>
        <w:rPr>
          <w:rFonts w:hint="eastAsia" w:ascii="宋体" w:hAnsi="宋体"/>
          <w:b/>
          <w:color w:val="5B9BD5" w:themeColor="accent5"/>
          <w:sz w:val="24"/>
          <w:u w:val="single"/>
          <w14:textFill>
            <w14:solidFill>
              <w14:schemeClr w14:val="accent5"/>
            </w14:solidFill>
          </w14:textFill>
        </w:rPr>
        <w:t>×××（委托代理人的姓名、身份证号）</w:t>
      </w:r>
      <w:r>
        <w:rPr>
          <w:rFonts w:hint="eastAsia" w:ascii="楷体" w:hAnsi="楷体" w:eastAsia="楷体"/>
          <w:sz w:val="28"/>
        </w:rPr>
        <w:t>为我方就</w:t>
      </w:r>
      <w:r>
        <w:rPr>
          <w:rFonts w:hint="eastAsia" w:ascii="宋体" w:hAnsi="宋体"/>
          <w:b/>
          <w:color w:val="5B9BD5" w:themeColor="accent5"/>
          <w:sz w:val="24"/>
          <w:u w:val="single"/>
          <w14:textFill>
            <w14:solidFill>
              <w14:schemeClr w14:val="accent5"/>
            </w14:solidFill>
          </w14:textFill>
        </w:rPr>
        <w:t>××××（代理机构）代理的××××（项目编号）</w:t>
      </w:r>
      <w:r>
        <w:rPr>
          <w:rFonts w:hint="eastAsia" w:ascii="楷体" w:hAnsi="楷体" w:eastAsia="楷体"/>
          <w:bCs/>
          <w:sz w:val="28"/>
        </w:rPr>
        <w:t>项目</w:t>
      </w:r>
      <w:r>
        <w:rPr>
          <w:rFonts w:hint="eastAsia" w:ascii="楷体" w:hAnsi="楷体" w:eastAsia="楷体"/>
          <w:sz w:val="28"/>
        </w:rPr>
        <w:t>的投标活动的合法代理人，以本公司名义全权处理一切与该项目投标有关的事务（含合同签订）。</w:t>
      </w:r>
    </w:p>
    <w:p w14:paraId="63368C2D">
      <w:pPr>
        <w:tabs>
          <w:tab w:val="left" w:pos="5560"/>
        </w:tabs>
        <w:spacing w:line="360" w:lineRule="auto"/>
        <w:ind w:firstLine="560"/>
        <w:rPr>
          <w:rFonts w:ascii="楷体" w:hAnsi="楷体" w:eastAsia="楷体"/>
          <w:sz w:val="28"/>
        </w:rPr>
      </w:pPr>
      <w:r>
        <w:rPr>
          <w:rFonts w:hint="eastAsia" w:ascii="楷体" w:hAnsi="楷体" w:eastAsia="楷体"/>
          <w:sz w:val="28"/>
        </w:rPr>
        <w:tab/>
      </w:r>
    </w:p>
    <w:p w14:paraId="30E1D661">
      <w:pPr>
        <w:spacing w:line="360" w:lineRule="auto"/>
        <w:ind w:firstLine="560"/>
        <w:rPr>
          <w:rFonts w:ascii="楷体" w:hAnsi="楷体" w:eastAsia="楷体"/>
          <w:sz w:val="28"/>
        </w:rPr>
      </w:pPr>
      <w:r>
        <w:rPr>
          <w:rFonts w:hint="eastAsia" w:ascii="楷体" w:hAnsi="楷体" w:eastAsia="楷体"/>
          <w:sz w:val="28"/>
        </w:rPr>
        <w:t>本授权书于</w:t>
      </w:r>
      <w:r>
        <w:rPr>
          <w:rFonts w:hint="eastAsia" w:ascii="楷体" w:hAnsi="楷体" w:eastAsia="楷体"/>
          <w:sz w:val="28"/>
          <w:u w:val="single"/>
        </w:rPr>
        <w:t xml:space="preserve">  </w:t>
      </w:r>
      <w:r>
        <w:rPr>
          <w:rFonts w:hint="eastAsia" w:ascii="楷体" w:hAnsi="楷体" w:eastAsia="楷体"/>
          <w:sz w:val="28"/>
        </w:rPr>
        <w:t>年</w:t>
      </w:r>
      <w:r>
        <w:rPr>
          <w:rFonts w:hint="eastAsia" w:ascii="楷体" w:hAnsi="楷体" w:eastAsia="楷体"/>
          <w:sz w:val="28"/>
          <w:u w:val="single"/>
        </w:rPr>
        <w:t xml:space="preserve">  </w:t>
      </w:r>
      <w:r>
        <w:rPr>
          <w:rFonts w:hint="eastAsia" w:ascii="楷体" w:hAnsi="楷体" w:eastAsia="楷体"/>
          <w:sz w:val="28"/>
        </w:rPr>
        <w:t>月</w:t>
      </w:r>
      <w:r>
        <w:rPr>
          <w:rFonts w:hint="eastAsia" w:ascii="楷体" w:hAnsi="楷体" w:eastAsia="楷体"/>
          <w:sz w:val="28"/>
          <w:u w:val="single"/>
        </w:rPr>
        <w:t xml:space="preserve">  </w:t>
      </w:r>
      <w:r>
        <w:rPr>
          <w:rFonts w:hint="eastAsia" w:ascii="楷体" w:hAnsi="楷体" w:eastAsia="楷体"/>
          <w:sz w:val="28"/>
        </w:rPr>
        <w:t>日签字生效，特此声明。</w:t>
      </w:r>
    </w:p>
    <w:p w14:paraId="7C0DA192">
      <w:pPr>
        <w:spacing w:line="360" w:lineRule="auto"/>
        <w:ind w:firstLine="560"/>
        <w:rPr>
          <w:rFonts w:ascii="楷体" w:hAnsi="楷体" w:eastAsia="楷体"/>
          <w:sz w:val="28"/>
        </w:rPr>
      </w:pPr>
      <w:r>
        <w:rPr>
          <w:rFonts w:hint="eastAsia" w:ascii="楷体" w:hAnsi="楷体" w:eastAsia="楷体"/>
          <w:sz w:val="28"/>
        </w:rPr>
        <w:t>委托代理人身份证号码：</w:t>
      </w:r>
      <w:r>
        <w:rPr>
          <w:rFonts w:hint="eastAsia" w:ascii="楷体" w:hAnsi="楷体" w:eastAsia="楷体"/>
          <w:sz w:val="28"/>
          <w:u w:val="single"/>
        </w:rPr>
        <w:t xml:space="preserve">                        </w:t>
      </w:r>
    </w:p>
    <w:p w14:paraId="062A8542">
      <w:pPr>
        <w:spacing w:line="360" w:lineRule="auto"/>
        <w:ind w:firstLine="560"/>
        <w:rPr>
          <w:rFonts w:ascii="楷体" w:hAnsi="楷体" w:eastAsia="楷体"/>
          <w:sz w:val="28"/>
        </w:rPr>
      </w:pPr>
      <w:r>
        <w:rPr>
          <w:rFonts w:hint="eastAsia" w:ascii="楷体" w:hAnsi="楷体" w:eastAsia="楷体"/>
          <w:sz w:val="28"/>
        </w:rPr>
        <w:t>委托代理人联系电话：（手机）</w:t>
      </w:r>
      <w:r>
        <w:rPr>
          <w:rFonts w:hint="eastAsia" w:ascii="楷体" w:hAnsi="楷体" w:eastAsia="楷体"/>
          <w:sz w:val="28"/>
          <w:u w:val="single"/>
        </w:rPr>
        <w:t xml:space="preserve">                        </w:t>
      </w:r>
    </w:p>
    <w:p w14:paraId="48AC6078">
      <w:pPr>
        <w:spacing w:line="360" w:lineRule="auto"/>
        <w:ind w:firstLine="560"/>
        <w:rPr>
          <w:rFonts w:ascii="楷体" w:hAnsi="楷体" w:eastAsia="楷体"/>
          <w:sz w:val="28"/>
        </w:rPr>
      </w:pPr>
    </w:p>
    <w:p w14:paraId="2FD7D3E5">
      <w:pPr>
        <w:spacing w:line="360" w:lineRule="auto"/>
        <w:ind w:firstLine="560"/>
        <w:rPr>
          <w:rFonts w:ascii="楷体" w:hAnsi="楷体" w:eastAsia="楷体"/>
          <w:sz w:val="28"/>
          <w:u w:val="single"/>
        </w:rPr>
      </w:pPr>
      <w:r>
        <w:rPr>
          <w:rFonts w:hint="eastAsia" w:ascii="楷体" w:hAnsi="楷体" w:eastAsia="楷体"/>
          <w:sz w:val="28"/>
        </w:rPr>
        <w:t xml:space="preserve">法定代表人签字或盖章：          </w:t>
      </w:r>
    </w:p>
    <w:p w14:paraId="5E4908F1">
      <w:pPr>
        <w:spacing w:line="360" w:lineRule="auto"/>
        <w:ind w:firstLine="560"/>
        <w:rPr>
          <w:rFonts w:ascii="楷体" w:hAnsi="楷体" w:eastAsia="楷体"/>
          <w:color w:val="FF0000"/>
          <w:sz w:val="28"/>
        </w:rPr>
      </w:pPr>
    </w:p>
    <w:p w14:paraId="08B4D1A8">
      <w:pPr>
        <w:spacing w:line="360" w:lineRule="auto"/>
        <w:ind w:firstLine="560"/>
        <w:rPr>
          <w:rFonts w:ascii="楷体" w:hAnsi="楷体" w:eastAsia="楷体"/>
          <w:sz w:val="28"/>
        </w:rPr>
      </w:pPr>
      <w:r>
        <w:rPr>
          <w:rFonts w:hint="eastAsia" w:ascii="楷体" w:hAnsi="楷体" w:eastAsia="楷体"/>
          <w:sz w:val="28"/>
        </w:rPr>
        <w:t>投标人名称（公章）：</w:t>
      </w:r>
    </w:p>
    <w:p w14:paraId="2909850D">
      <w:pPr>
        <w:spacing w:line="360" w:lineRule="auto"/>
        <w:ind w:firstLine="560"/>
        <w:rPr>
          <w:rFonts w:ascii="楷体" w:hAnsi="楷体" w:eastAsia="楷体"/>
          <w:sz w:val="28"/>
          <w:u w:val="single"/>
        </w:rPr>
      </w:pPr>
      <w:r>
        <w:rPr>
          <w:rFonts w:hint="eastAsia" w:ascii="楷体" w:hAnsi="楷体" w:eastAsia="楷体"/>
          <w:sz w:val="28"/>
        </w:rPr>
        <w:t>日     期：</w:t>
      </w:r>
    </w:p>
    <w:p w14:paraId="17825F8A">
      <w:pPr>
        <w:spacing w:line="360" w:lineRule="auto"/>
        <w:ind w:firstLine="560"/>
        <w:rPr>
          <w:rFonts w:ascii="楷体" w:hAnsi="楷体" w:eastAsia="楷体"/>
          <w:color w:val="FF0000"/>
          <w:sz w:val="28"/>
        </w:rPr>
      </w:pPr>
    </w:p>
    <w:p w14:paraId="17ED4CB7">
      <w:pPr>
        <w:spacing w:line="360" w:lineRule="auto"/>
        <w:ind w:firstLine="643"/>
        <w:rPr>
          <w:rFonts w:ascii="楷体" w:hAnsi="楷体" w:eastAsia="楷体"/>
          <w:sz w:val="24"/>
          <w:u w:val="single"/>
        </w:rPr>
      </w:pPr>
      <w:r>
        <w:rPr>
          <w:rFonts w:hint="eastAsia" w:ascii="楷体" w:hAnsi="楷体" w:eastAsia="楷体"/>
          <w:b/>
          <w:sz w:val="24"/>
        </w:rPr>
        <w:t>附：委托代理人居民身份证扫描件</w:t>
      </w:r>
    </w:p>
    <w:p w14:paraId="1F925C23">
      <w:pPr>
        <w:pStyle w:val="5"/>
        <w:keepNext w:val="0"/>
        <w:keepLines w:val="0"/>
        <w:spacing w:line="360" w:lineRule="auto"/>
        <w:ind w:firstLine="562"/>
        <w:jc w:val="left"/>
        <w:rPr>
          <w:rFonts w:ascii="楷体" w:hAnsi="楷体" w:eastAsia="楷体"/>
          <w:sz w:val="24"/>
          <w:szCs w:val="24"/>
          <w:u w:val="single"/>
        </w:rPr>
      </w:pPr>
      <w:r>
        <w:rPr>
          <w:rFonts w:hint="eastAsia" w:ascii="楷体" w:hAnsi="楷体" w:eastAsia="楷体"/>
          <w:sz w:val="24"/>
          <w:szCs w:val="24"/>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4"/>
          <w:szCs w:val="24"/>
        </w:rPr>
        <w:t>。</w:t>
      </w:r>
    </w:p>
    <w:p w14:paraId="5CD4C0AA">
      <w:pPr>
        <w:pStyle w:val="6"/>
        <w:keepNext w:val="0"/>
        <w:keepLines w:val="0"/>
        <w:spacing w:before="0" w:after="0" w:line="360" w:lineRule="auto"/>
        <w:ind w:firstLine="420"/>
        <w:jc w:val="center"/>
        <w:rPr>
          <w:rFonts w:ascii="楷体" w:hAnsi="楷体" w:eastAsia="楷体"/>
          <w:b w:val="0"/>
          <w:sz w:val="21"/>
          <w:szCs w:val="24"/>
        </w:rPr>
      </w:pPr>
    </w:p>
    <w:p w14:paraId="42841A2B">
      <w:pPr>
        <w:pStyle w:val="6"/>
        <w:keepNext w:val="0"/>
        <w:keepLines w:val="0"/>
        <w:spacing w:before="0" w:after="0" w:line="360" w:lineRule="auto"/>
        <w:ind w:firstLine="420"/>
        <w:jc w:val="center"/>
        <w:rPr>
          <w:rFonts w:ascii="楷体" w:hAnsi="楷体" w:eastAsia="楷体"/>
          <w:b w:val="0"/>
          <w:sz w:val="21"/>
          <w:szCs w:val="24"/>
        </w:rPr>
      </w:pPr>
    </w:p>
    <w:p w14:paraId="0B51146F">
      <w:pPr>
        <w:pStyle w:val="6"/>
        <w:keepNext w:val="0"/>
        <w:keepLines w:val="0"/>
        <w:spacing w:before="0" w:after="0" w:line="360" w:lineRule="auto"/>
        <w:ind w:firstLine="720"/>
        <w:jc w:val="center"/>
        <w:rPr>
          <w:rFonts w:ascii="楷体" w:hAnsi="楷体" w:eastAsia="楷体"/>
          <w:b w:val="0"/>
          <w:sz w:val="36"/>
          <w:szCs w:val="36"/>
        </w:rPr>
      </w:pPr>
    </w:p>
    <w:p w14:paraId="6CCA1D40">
      <w:pPr>
        <w:pStyle w:val="5"/>
        <w:spacing w:line="360" w:lineRule="auto"/>
        <w:rPr>
          <w:rFonts w:ascii="楷体" w:hAnsi="楷体" w:eastAsia="楷体"/>
          <w:sz w:val="32"/>
        </w:rPr>
        <w:sectPr>
          <w:footerReference r:id="rId5" w:type="first"/>
          <w:footerReference r:id="rId4" w:type="default"/>
          <w:pgSz w:w="11907" w:h="16840"/>
          <w:pgMar w:top="1247" w:right="1247" w:bottom="1247" w:left="1247" w:header="851" w:footer="992" w:gutter="0"/>
          <w:pgNumType w:fmt="decimal"/>
          <w:cols w:space="720" w:num="1"/>
          <w:titlePg/>
          <w:docGrid w:linePitch="360" w:charSpace="0"/>
        </w:sectPr>
      </w:pPr>
    </w:p>
    <w:p w14:paraId="65629F6B">
      <w:pPr>
        <w:pStyle w:val="5"/>
        <w:spacing w:line="360" w:lineRule="auto"/>
        <w:ind w:firstLine="643"/>
        <w:rPr>
          <w:rFonts w:ascii="楷体" w:hAnsi="楷体" w:eastAsia="楷体"/>
          <w:sz w:val="32"/>
          <w:szCs w:val="32"/>
        </w:rPr>
      </w:pPr>
      <w:r>
        <w:rPr>
          <w:rFonts w:hint="eastAsia" w:ascii="楷体" w:hAnsi="楷体" w:eastAsia="楷体"/>
          <w:sz w:val="32"/>
          <w:szCs w:val="32"/>
        </w:rPr>
        <w:t>四、价格部分</w:t>
      </w:r>
    </w:p>
    <w:p w14:paraId="4ECE937D">
      <w:pPr>
        <w:pStyle w:val="5"/>
        <w:spacing w:line="360" w:lineRule="auto"/>
        <w:ind w:firstLine="643"/>
        <w:rPr>
          <w:rFonts w:ascii="楷体" w:hAnsi="楷体" w:eastAsia="楷体"/>
          <w:sz w:val="30"/>
          <w:szCs w:val="30"/>
        </w:rPr>
      </w:pPr>
      <w:r>
        <w:rPr>
          <w:rFonts w:hint="eastAsia" w:ascii="楷体" w:hAnsi="楷体" w:eastAsia="楷体"/>
          <w:sz w:val="30"/>
          <w:szCs w:val="30"/>
        </w:rPr>
        <w:t>开标一览表</w:t>
      </w:r>
    </w:p>
    <w:p w14:paraId="18A824D2">
      <w:pPr>
        <w:pStyle w:val="2"/>
        <w:spacing w:line="360" w:lineRule="auto"/>
        <w:ind w:firstLine="480"/>
        <w:rPr>
          <w:rFonts w:ascii="楷体" w:hAnsi="楷体" w:eastAsia="楷体"/>
          <w:sz w:val="24"/>
        </w:rPr>
      </w:pPr>
      <w:r>
        <w:rPr>
          <w:rFonts w:hint="eastAsia" w:ascii="楷体" w:hAnsi="楷体" w:eastAsia="楷体"/>
          <w:sz w:val="24"/>
        </w:rPr>
        <w:t>项目编号： </w:t>
      </w:r>
    </w:p>
    <w:p w14:paraId="7CB01A1B">
      <w:pPr>
        <w:pStyle w:val="2"/>
        <w:spacing w:line="360" w:lineRule="auto"/>
        <w:ind w:firstLine="480"/>
        <w:rPr>
          <w:rFonts w:ascii="楷体" w:hAnsi="楷体" w:eastAsia="楷体"/>
          <w:sz w:val="24"/>
          <w:u w:val="single"/>
        </w:rPr>
      </w:pPr>
      <w:r>
        <w:rPr>
          <w:rFonts w:hint="eastAsia" w:ascii="楷体" w:hAnsi="楷体" w:eastAsia="楷体"/>
          <w:sz w:val="24"/>
        </w:rPr>
        <w:t>投标人名称（公章）：                                货币单位：人民币元</w:t>
      </w:r>
    </w:p>
    <w:p w14:paraId="7BB3DDC1">
      <w:pPr>
        <w:pStyle w:val="2"/>
        <w:spacing w:line="360" w:lineRule="auto"/>
        <w:ind w:firstLine="480"/>
        <w:rPr>
          <w:rFonts w:ascii="楷体" w:hAnsi="楷体" w:eastAsia="楷体"/>
          <w:sz w:val="24"/>
          <w:u w:val="single"/>
        </w:rPr>
      </w:pPr>
    </w:p>
    <w:tbl>
      <w:tblPr>
        <w:tblStyle w:val="68"/>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406"/>
        <w:gridCol w:w="2570"/>
        <w:gridCol w:w="3709"/>
      </w:tblGrid>
      <w:tr w14:paraId="01A8A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blCellSpacing w:w="15" w:type="dxa"/>
        </w:trPr>
        <w:tc>
          <w:tcPr>
            <w:tcW w:w="3110" w:type="dxa"/>
            <w:shd w:val="clear" w:color="auto" w:fill="auto"/>
            <w:vAlign w:val="center"/>
          </w:tcPr>
          <w:p w14:paraId="22DBAB6E">
            <w:pPr>
              <w:pStyle w:val="2"/>
              <w:spacing w:line="360" w:lineRule="auto"/>
              <w:ind w:firstLine="480"/>
              <w:rPr>
                <w:rFonts w:ascii="楷体" w:hAnsi="楷体" w:eastAsia="楷体"/>
                <w:sz w:val="24"/>
              </w:rPr>
            </w:pPr>
            <w:r>
              <w:rPr>
                <w:rFonts w:hint="eastAsia" w:ascii="楷体" w:hAnsi="楷体" w:eastAsia="楷体"/>
                <w:sz w:val="24"/>
              </w:rPr>
              <w:t>项目名称</w:t>
            </w:r>
          </w:p>
        </w:tc>
        <w:tc>
          <w:tcPr>
            <w:tcW w:w="3375" w:type="dxa"/>
            <w:shd w:val="clear" w:color="auto" w:fill="auto"/>
            <w:vAlign w:val="center"/>
          </w:tcPr>
          <w:p w14:paraId="12A3E8DD">
            <w:pPr>
              <w:pStyle w:val="2"/>
              <w:spacing w:line="360" w:lineRule="auto"/>
              <w:ind w:firstLine="480"/>
              <w:rPr>
                <w:rFonts w:ascii="楷体" w:hAnsi="楷体" w:eastAsia="楷体"/>
                <w:sz w:val="24"/>
              </w:rPr>
            </w:pPr>
            <w:r>
              <w:rPr>
                <w:rFonts w:hint="eastAsia" w:ascii="楷体" w:hAnsi="楷体" w:eastAsia="楷体"/>
                <w:sz w:val="24"/>
              </w:rPr>
              <w:t>项目内容</w:t>
            </w:r>
          </w:p>
        </w:tc>
        <w:tc>
          <w:tcPr>
            <w:tcW w:w="4260" w:type="dxa"/>
            <w:shd w:val="clear" w:color="auto" w:fill="auto"/>
            <w:vAlign w:val="center"/>
          </w:tcPr>
          <w:p w14:paraId="7F1738D8">
            <w:pPr>
              <w:pStyle w:val="2"/>
              <w:spacing w:line="360" w:lineRule="auto"/>
              <w:ind w:firstLine="480"/>
              <w:rPr>
                <w:rFonts w:ascii="楷体" w:hAnsi="楷体" w:eastAsia="楷体"/>
                <w:sz w:val="24"/>
              </w:rPr>
            </w:pPr>
            <w:r>
              <w:rPr>
                <w:rFonts w:hint="eastAsia" w:ascii="楷体" w:hAnsi="楷体" w:eastAsia="楷体"/>
                <w:sz w:val="24"/>
              </w:rPr>
              <w:t>总价（小写）</w:t>
            </w:r>
          </w:p>
        </w:tc>
      </w:tr>
      <w:tr w14:paraId="3C020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110" w:type="dxa"/>
            <w:shd w:val="clear" w:color="auto" w:fill="auto"/>
            <w:vAlign w:val="center"/>
          </w:tcPr>
          <w:p w14:paraId="2882C6FC">
            <w:pPr>
              <w:pStyle w:val="2"/>
              <w:spacing w:line="360" w:lineRule="auto"/>
              <w:ind w:firstLine="480"/>
              <w:rPr>
                <w:rFonts w:ascii="楷体" w:hAnsi="楷体" w:eastAsia="楷体"/>
                <w:sz w:val="24"/>
              </w:rPr>
            </w:pPr>
            <w:r>
              <w:rPr>
                <w:rFonts w:hint="eastAsia" w:ascii="楷体" w:hAnsi="楷体" w:eastAsia="楷体"/>
                <w:sz w:val="24"/>
              </w:rPr>
              <w:t>项目名称 </w:t>
            </w:r>
          </w:p>
        </w:tc>
        <w:tc>
          <w:tcPr>
            <w:tcW w:w="3375" w:type="dxa"/>
            <w:shd w:val="clear" w:color="auto" w:fill="auto"/>
            <w:vAlign w:val="center"/>
          </w:tcPr>
          <w:p w14:paraId="529DEE43">
            <w:pPr>
              <w:pStyle w:val="2"/>
              <w:spacing w:line="360" w:lineRule="auto"/>
              <w:ind w:firstLine="480"/>
              <w:rPr>
                <w:rFonts w:ascii="楷体" w:hAnsi="楷体" w:eastAsia="楷体"/>
                <w:sz w:val="24"/>
              </w:rPr>
            </w:pPr>
            <w:r>
              <w:rPr>
                <w:rFonts w:hint="eastAsia" w:ascii="楷体" w:hAnsi="楷体" w:eastAsia="楷体"/>
                <w:sz w:val="24"/>
              </w:rPr>
              <w:t>详见投标文件</w:t>
            </w:r>
          </w:p>
        </w:tc>
        <w:tc>
          <w:tcPr>
            <w:tcW w:w="4260" w:type="dxa"/>
            <w:shd w:val="clear" w:color="auto" w:fill="auto"/>
            <w:vAlign w:val="center"/>
          </w:tcPr>
          <w:p w14:paraId="7FD09654">
            <w:pPr>
              <w:pStyle w:val="2"/>
              <w:spacing w:line="360" w:lineRule="auto"/>
              <w:ind w:firstLine="480"/>
              <w:rPr>
                <w:rFonts w:ascii="楷体" w:hAnsi="楷体" w:eastAsia="楷体"/>
                <w:sz w:val="24"/>
              </w:rPr>
            </w:pPr>
            <w:r>
              <w:rPr>
                <w:rFonts w:hint="eastAsia" w:ascii="楷体" w:hAnsi="楷体" w:eastAsia="楷体"/>
                <w:sz w:val="24"/>
              </w:rPr>
              <w:t>              元</w:t>
            </w:r>
          </w:p>
        </w:tc>
      </w:tr>
      <w:tr w14:paraId="481E7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110" w:type="dxa"/>
            <w:shd w:val="clear" w:color="auto" w:fill="auto"/>
            <w:vAlign w:val="center"/>
          </w:tcPr>
          <w:p w14:paraId="3E1089FB">
            <w:pPr>
              <w:pStyle w:val="2"/>
              <w:spacing w:line="360" w:lineRule="auto"/>
              <w:ind w:firstLine="480"/>
              <w:rPr>
                <w:rFonts w:ascii="楷体" w:hAnsi="楷体" w:eastAsia="楷体"/>
                <w:sz w:val="24"/>
              </w:rPr>
            </w:pPr>
            <w:r>
              <w:rPr>
                <w:rFonts w:hint="eastAsia" w:ascii="楷体" w:hAnsi="楷体" w:eastAsia="楷体"/>
                <w:sz w:val="24"/>
              </w:rPr>
              <w:t>总价（大写）：</w:t>
            </w:r>
          </w:p>
        </w:tc>
        <w:tc>
          <w:tcPr>
            <w:tcW w:w="7665" w:type="dxa"/>
            <w:gridSpan w:val="2"/>
            <w:shd w:val="clear" w:color="auto" w:fill="auto"/>
            <w:vAlign w:val="center"/>
          </w:tcPr>
          <w:p w14:paraId="74643BE0">
            <w:pPr>
              <w:pStyle w:val="2"/>
              <w:spacing w:line="360" w:lineRule="auto"/>
              <w:ind w:firstLine="480"/>
              <w:rPr>
                <w:rFonts w:ascii="楷体" w:hAnsi="楷体" w:eastAsia="楷体"/>
                <w:sz w:val="24"/>
              </w:rPr>
            </w:pPr>
            <w:r>
              <w:rPr>
                <w:rFonts w:hint="eastAsia" w:ascii="楷体" w:hAnsi="楷体" w:eastAsia="楷体"/>
                <w:sz w:val="24"/>
              </w:rPr>
              <w:t>金额大写 </w:t>
            </w:r>
          </w:p>
        </w:tc>
      </w:tr>
    </w:tbl>
    <w:p w14:paraId="60C0EFB4">
      <w:pPr>
        <w:pStyle w:val="2"/>
        <w:spacing w:line="360" w:lineRule="auto"/>
        <w:ind w:firstLine="482"/>
        <w:rPr>
          <w:rFonts w:ascii="楷体" w:hAnsi="楷体" w:eastAsia="楷体"/>
          <w:b/>
          <w:sz w:val="24"/>
        </w:rPr>
      </w:pPr>
    </w:p>
    <w:p w14:paraId="28AFEFC0">
      <w:pPr>
        <w:pStyle w:val="2"/>
        <w:spacing w:line="360" w:lineRule="auto"/>
        <w:ind w:firstLine="482"/>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1.“项目总报价”包括本次招标要求提供的货物（服务）已支付或将支付的所有费用；</w:t>
      </w:r>
    </w:p>
    <w:p w14:paraId="66EE0AB6">
      <w:pPr>
        <w:pStyle w:val="2"/>
        <w:spacing w:line="360" w:lineRule="auto"/>
        <w:ind w:firstLine="480"/>
        <w:rPr>
          <w:rFonts w:ascii="楷体" w:hAnsi="楷体" w:eastAsia="楷体"/>
          <w:bCs/>
          <w:sz w:val="24"/>
          <w:u w:val="single"/>
        </w:rPr>
      </w:pPr>
      <w:r>
        <w:rPr>
          <w:rFonts w:hint="eastAsia" w:ascii="楷体" w:hAnsi="楷体" w:eastAsia="楷体"/>
          <w:bCs/>
          <w:sz w:val="24"/>
          <w:u w:val="single"/>
        </w:rPr>
        <w:t>2.投标人必须据实填写此表，报价所含与招标文件要求的内容一致；</w:t>
      </w:r>
    </w:p>
    <w:p w14:paraId="30AEFA66">
      <w:pPr>
        <w:pStyle w:val="2"/>
        <w:spacing w:line="360" w:lineRule="auto"/>
        <w:ind w:firstLine="480"/>
        <w:rPr>
          <w:rFonts w:ascii="楷体" w:hAnsi="楷体" w:eastAsia="楷体"/>
          <w:bCs/>
          <w:sz w:val="24"/>
          <w:u w:val="single"/>
        </w:rPr>
      </w:pPr>
      <w:r>
        <w:rPr>
          <w:rFonts w:hint="eastAsia" w:ascii="楷体" w:hAnsi="楷体" w:eastAsia="楷体"/>
          <w:bCs/>
          <w:sz w:val="24"/>
          <w:u w:val="single"/>
        </w:rPr>
        <w:t>3.报价保留至小数点后两位，四舍五入。</w:t>
      </w:r>
    </w:p>
    <w:p w14:paraId="49C42D6E">
      <w:pPr>
        <w:pStyle w:val="2"/>
        <w:spacing w:line="360" w:lineRule="auto"/>
        <w:ind w:firstLine="480"/>
        <w:jc w:val="center"/>
        <w:rPr>
          <w:rFonts w:ascii="楷体" w:hAnsi="楷体" w:eastAsia="楷体"/>
        </w:rPr>
      </w:pPr>
      <w:r>
        <w:rPr>
          <w:rFonts w:hint="eastAsia" w:ascii="楷体" w:hAnsi="楷体" w:eastAsia="楷体"/>
          <w:sz w:val="24"/>
        </w:rPr>
        <w:t xml:space="preserve">                                                 </w:t>
      </w:r>
    </w:p>
    <w:p w14:paraId="0F26A4F9">
      <w:pPr>
        <w:pStyle w:val="2"/>
        <w:spacing w:line="360" w:lineRule="auto"/>
        <w:ind w:firstLine="480"/>
        <w:jc w:val="center"/>
        <w:rPr>
          <w:rFonts w:ascii="楷体" w:hAnsi="楷体" w:eastAsia="楷体"/>
          <w:sz w:val="24"/>
          <w:szCs w:val="24"/>
        </w:rPr>
      </w:pPr>
      <w:r>
        <w:rPr>
          <w:rFonts w:ascii="楷体" w:hAnsi="楷体" w:eastAsia="楷体"/>
        </w:rPr>
        <w:t xml:space="preserve">                              </w:t>
      </w:r>
      <w:r>
        <w:rPr>
          <w:rFonts w:hint="eastAsia" w:ascii="楷体" w:hAnsi="楷体" w:eastAsia="楷体"/>
          <w:sz w:val="24"/>
          <w:szCs w:val="24"/>
        </w:rPr>
        <w:t>投标人盖章（公章）：</w:t>
      </w:r>
    </w:p>
    <w:p w14:paraId="2C5C583A">
      <w:pPr>
        <w:pStyle w:val="2"/>
        <w:spacing w:line="360" w:lineRule="auto"/>
        <w:ind w:left="482" w:firstLine="560"/>
        <w:jc w:val="right"/>
        <w:rPr>
          <w:rFonts w:ascii="楷体" w:hAnsi="楷体" w:eastAsia="楷体"/>
          <w:sz w:val="24"/>
          <w:szCs w:val="24"/>
        </w:rPr>
        <w:sectPr>
          <w:pgSz w:w="11906" w:h="16838"/>
          <w:pgMar w:top="1418" w:right="1418" w:bottom="1418" w:left="1418" w:header="851" w:footer="992" w:gutter="0"/>
          <w:pgNumType w:fmt="decimal"/>
          <w:cols w:space="720" w:num="1"/>
          <w:docGrid w:linePitch="360" w:charSpace="0"/>
        </w:sectPr>
      </w:pPr>
      <w:r>
        <w:rPr>
          <w:rFonts w:hint="eastAsia" w:ascii="楷体" w:hAnsi="楷体" w:eastAsia="楷体"/>
          <w:sz w:val="24"/>
          <w:szCs w:val="24"/>
        </w:rPr>
        <w:t>法定代表人签字或盖章：</w:t>
      </w:r>
      <w:r>
        <w:rPr>
          <w:rFonts w:hint="eastAsia" w:ascii="宋体" w:hAnsi="宋体" w:eastAsia="楷体"/>
          <w:b/>
          <w:color w:val="5B9BD5" w:themeColor="accent5"/>
          <w:sz w:val="24"/>
          <w:szCs w:val="24"/>
          <w:u w:val="single"/>
          <w:lang w:val="en-US" w:eastAsia="zh-CN"/>
          <w14:textFill>
            <w14:solidFill>
              <w14:schemeClr w14:val="accent5"/>
            </w14:solidFill>
          </w14:textFill>
        </w:rPr>
        <w:t xml:space="preserve">    </w:t>
      </w:r>
      <w:r>
        <w:rPr>
          <w:rFonts w:ascii="楷体" w:hAnsi="楷体" w:eastAsia="楷体"/>
          <w:sz w:val="24"/>
          <w:szCs w:val="24"/>
        </w:rPr>
        <w:t xml:space="preserve">                                                                                                                                                  </w:t>
      </w:r>
      <w:r>
        <w:rPr>
          <w:rFonts w:hint="eastAsia" w:ascii="楷体" w:hAnsi="楷体" w:eastAsia="楷体"/>
          <w:sz w:val="24"/>
          <w:szCs w:val="24"/>
        </w:rPr>
        <w:t>日期：</w:t>
      </w:r>
      <w:r>
        <w:rPr>
          <w:rFonts w:hint="eastAsia" w:ascii="宋体" w:hAnsi="宋体" w:eastAsia="楷体"/>
          <w:b/>
          <w:color w:val="5B9BD5" w:themeColor="accent5"/>
          <w:sz w:val="24"/>
          <w:szCs w:val="24"/>
          <w:u w:val="single"/>
          <w:lang w:val="en-US" w:eastAsia="zh-CN"/>
          <w14:textFill>
            <w14:solidFill>
              <w14:schemeClr w14:val="accent5"/>
            </w14:solidFill>
          </w14:textFill>
        </w:rPr>
        <w:t xml:space="preserve">  </w:t>
      </w:r>
      <w:r>
        <w:rPr>
          <w:rFonts w:hint="eastAsia" w:ascii="楷体" w:hAnsi="楷体" w:eastAsia="楷体"/>
          <w:sz w:val="24"/>
          <w:szCs w:val="24"/>
        </w:rPr>
        <w:t>年</w:t>
      </w:r>
      <w:r>
        <w:rPr>
          <w:rFonts w:hint="eastAsia" w:ascii="宋体" w:hAnsi="宋体" w:eastAsia="楷体"/>
          <w:b/>
          <w:color w:val="5B9BD5" w:themeColor="accent5"/>
          <w:sz w:val="24"/>
          <w:szCs w:val="24"/>
          <w:u w:val="single"/>
          <w:lang w:val="en-US" w:eastAsia="zh-CN"/>
          <w14:textFill>
            <w14:solidFill>
              <w14:schemeClr w14:val="accent5"/>
            </w14:solidFill>
          </w14:textFill>
        </w:rPr>
        <w:t xml:space="preserve">  </w:t>
      </w:r>
      <w:r>
        <w:rPr>
          <w:rFonts w:hint="eastAsia" w:ascii="楷体" w:hAnsi="楷体" w:eastAsia="楷体"/>
          <w:sz w:val="24"/>
          <w:szCs w:val="24"/>
        </w:rPr>
        <w:t>月</w:t>
      </w:r>
      <w:r>
        <w:rPr>
          <w:rFonts w:hint="eastAsia" w:ascii="宋体" w:hAnsi="宋体" w:eastAsia="楷体"/>
          <w:b/>
          <w:color w:val="5B9BD5" w:themeColor="accent5"/>
          <w:sz w:val="24"/>
          <w:szCs w:val="24"/>
          <w:u w:val="single"/>
          <w:lang w:val="en-US" w:eastAsia="zh-CN"/>
          <w14:textFill>
            <w14:solidFill>
              <w14:schemeClr w14:val="accent5"/>
            </w14:solidFill>
          </w14:textFill>
        </w:rPr>
        <w:t xml:space="preserve">  </w:t>
      </w:r>
      <w:r>
        <w:rPr>
          <w:rFonts w:hint="eastAsia" w:ascii="楷体" w:hAnsi="楷体" w:eastAsia="楷体"/>
          <w:sz w:val="24"/>
          <w:szCs w:val="24"/>
        </w:rPr>
        <w:t>日</w:t>
      </w:r>
    </w:p>
    <w:p w14:paraId="0C6D4AE5">
      <w:pPr>
        <w:pStyle w:val="5"/>
        <w:keepNext w:val="0"/>
        <w:keepLines w:val="0"/>
        <w:tabs>
          <w:tab w:val="left" w:pos="764"/>
        </w:tabs>
        <w:spacing w:before="100" w:beforeAutospacing="1" w:after="0" w:line="360" w:lineRule="auto"/>
        <w:rPr>
          <w:rFonts w:ascii="楷体" w:hAnsi="楷体" w:eastAsia="楷体"/>
          <w:sz w:val="30"/>
          <w:szCs w:val="30"/>
        </w:rPr>
      </w:pPr>
      <w:r>
        <w:rPr>
          <w:rFonts w:hint="eastAsia" w:ascii="楷体" w:hAnsi="楷体" w:eastAsia="楷体"/>
          <w:sz w:val="30"/>
          <w:szCs w:val="30"/>
        </w:rPr>
        <w:t>清单及明细报价表</w:t>
      </w:r>
    </w:p>
    <w:tbl>
      <w:tblPr>
        <w:tblStyle w:val="68"/>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1"/>
        <w:gridCol w:w="1452"/>
        <w:gridCol w:w="875"/>
        <w:gridCol w:w="1229"/>
        <w:gridCol w:w="158"/>
        <w:gridCol w:w="1103"/>
        <w:gridCol w:w="982"/>
        <w:gridCol w:w="939"/>
        <w:gridCol w:w="1446"/>
        <w:gridCol w:w="1057"/>
      </w:tblGrid>
      <w:tr w14:paraId="24C3E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10"/>
            <w:vAlign w:val="center"/>
          </w:tcPr>
          <w:p w14:paraId="55A42F44">
            <w:pPr>
              <w:spacing w:line="360" w:lineRule="auto"/>
              <w:jc w:val="center"/>
              <w:rPr>
                <w:rFonts w:ascii="楷体" w:hAnsi="楷体" w:eastAsia="楷体"/>
                <w:b/>
                <w:sz w:val="24"/>
              </w:rPr>
            </w:pPr>
            <w:r>
              <w:rPr>
                <w:rFonts w:hint="eastAsia" w:ascii="楷体" w:hAnsi="楷体" w:eastAsia="楷体"/>
                <w:b/>
                <w:sz w:val="24"/>
              </w:rPr>
              <w:t>一、货物部分</w:t>
            </w:r>
          </w:p>
        </w:tc>
      </w:tr>
      <w:tr w14:paraId="750AD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437BB99F">
            <w:pPr>
              <w:spacing w:line="360" w:lineRule="auto"/>
              <w:jc w:val="center"/>
              <w:rPr>
                <w:rFonts w:ascii="楷体" w:hAnsi="楷体" w:eastAsia="楷体"/>
                <w:b/>
                <w:sz w:val="24"/>
              </w:rPr>
            </w:pPr>
            <w:r>
              <w:rPr>
                <w:rFonts w:hint="eastAsia" w:ascii="楷体" w:hAnsi="楷体" w:eastAsia="楷体"/>
                <w:b/>
                <w:sz w:val="24"/>
              </w:rPr>
              <w:t>序号</w:t>
            </w:r>
          </w:p>
        </w:tc>
        <w:tc>
          <w:tcPr>
            <w:tcW w:w="1471" w:type="dxa"/>
            <w:tcBorders>
              <w:left w:val="single" w:color="auto" w:sz="4" w:space="0"/>
              <w:right w:val="single" w:color="auto" w:sz="4" w:space="0"/>
            </w:tcBorders>
            <w:vAlign w:val="center"/>
          </w:tcPr>
          <w:p w14:paraId="649D666D">
            <w:pPr>
              <w:spacing w:line="360" w:lineRule="auto"/>
              <w:jc w:val="center"/>
              <w:rPr>
                <w:rFonts w:ascii="楷体" w:hAnsi="楷体" w:eastAsia="楷体"/>
                <w:b/>
                <w:sz w:val="24"/>
              </w:rPr>
            </w:pPr>
            <w:r>
              <w:rPr>
                <w:rFonts w:hint="eastAsia" w:ascii="楷体" w:hAnsi="楷体" w:eastAsia="楷体"/>
                <w:b/>
                <w:sz w:val="24"/>
              </w:rPr>
              <w:t>标的名称</w:t>
            </w:r>
          </w:p>
        </w:tc>
        <w:tc>
          <w:tcPr>
            <w:tcW w:w="883" w:type="dxa"/>
            <w:tcBorders>
              <w:left w:val="single" w:color="auto" w:sz="4" w:space="0"/>
              <w:right w:val="single" w:color="auto" w:sz="4" w:space="0"/>
            </w:tcBorders>
            <w:vAlign w:val="center"/>
          </w:tcPr>
          <w:p w14:paraId="6688EE1B">
            <w:pPr>
              <w:spacing w:line="360" w:lineRule="auto"/>
              <w:jc w:val="center"/>
              <w:rPr>
                <w:rFonts w:ascii="楷体" w:hAnsi="楷体" w:eastAsia="楷体"/>
                <w:b/>
                <w:sz w:val="24"/>
              </w:rPr>
            </w:pPr>
            <w:r>
              <w:rPr>
                <w:rFonts w:hint="eastAsia" w:ascii="楷体" w:hAnsi="楷体" w:eastAsia="楷体"/>
                <w:b/>
                <w:sz w:val="24"/>
              </w:rPr>
              <w:t>品牌</w:t>
            </w:r>
          </w:p>
        </w:tc>
        <w:tc>
          <w:tcPr>
            <w:tcW w:w="1243" w:type="dxa"/>
            <w:tcBorders>
              <w:left w:val="single" w:color="auto" w:sz="4" w:space="0"/>
              <w:right w:val="single" w:color="auto" w:sz="4" w:space="0"/>
            </w:tcBorders>
            <w:vAlign w:val="center"/>
          </w:tcPr>
          <w:p w14:paraId="19072F6F">
            <w:pPr>
              <w:spacing w:line="360" w:lineRule="auto"/>
              <w:jc w:val="center"/>
              <w:rPr>
                <w:rFonts w:ascii="楷体" w:hAnsi="楷体" w:eastAsia="楷体"/>
                <w:b/>
                <w:sz w:val="24"/>
              </w:rPr>
            </w:pPr>
            <w:r>
              <w:rPr>
                <w:rFonts w:hint="eastAsia" w:ascii="楷体" w:hAnsi="楷体" w:eastAsia="楷体"/>
                <w:b/>
                <w:sz w:val="24"/>
              </w:rPr>
              <w:t>规格型号</w:t>
            </w:r>
          </w:p>
        </w:tc>
        <w:tc>
          <w:tcPr>
            <w:tcW w:w="1276" w:type="dxa"/>
            <w:gridSpan w:val="2"/>
            <w:tcBorders>
              <w:right w:val="single" w:color="auto" w:sz="4" w:space="0"/>
            </w:tcBorders>
            <w:vAlign w:val="center"/>
          </w:tcPr>
          <w:p w14:paraId="79A79EF5">
            <w:pPr>
              <w:spacing w:line="360" w:lineRule="auto"/>
              <w:jc w:val="center"/>
              <w:rPr>
                <w:rFonts w:ascii="楷体" w:hAnsi="楷体" w:eastAsia="楷体"/>
                <w:b/>
                <w:sz w:val="24"/>
              </w:rPr>
            </w:pPr>
            <w:r>
              <w:rPr>
                <w:rFonts w:hint="eastAsia" w:ascii="楷体" w:hAnsi="楷体" w:eastAsia="楷体"/>
                <w:b/>
                <w:sz w:val="24"/>
              </w:rPr>
              <w:t>厂家</w:t>
            </w:r>
          </w:p>
        </w:tc>
        <w:tc>
          <w:tcPr>
            <w:tcW w:w="992" w:type="dxa"/>
            <w:tcBorders>
              <w:right w:val="single" w:color="auto" w:sz="4" w:space="0"/>
            </w:tcBorders>
            <w:vAlign w:val="center"/>
          </w:tcPr>
          <w:p w14:paraId="5DD21D6E">
            <w:pPr>
              <w:spacing w:line="360" w:lineRule="auto"/>
              <w:jc w:val="center"/>
              <w:rPr>
                <w:rFonts w:ascii="楷体" w:hAnsi="楷体" w:eastAsia="楷体"/>
                <w:b/>
                <w:sz w:val="24"/>
              </w:rPr>
            </w:pPr>
            <w:r>
              <w:rPr>
                <w:rFonts w:hint="eastAsia" w:ascii="楷体" w:hAnsi="楷体" w:eastAsia="楷体"/>
                <w:b/>
                <w:sz w:val="24"/>
              </w:rPr>
              <w:t>数量</w:t>
            </w:r>
          </w:p>
        </w:tc>
        <w:tc>
          <w:tcPr>
            <w:tcW w:w="851" w:type="dxa"/>
            <w:tcBorders>
              <w:left w:val="single" w:color="auto" w:sz="4" w:space="0"/>
              <w:right w:val="single" w:color="auto" w:sz="4" w:space="0"/>
            </w:tcBorders>
            <w:vAlign w:val="center"/>
          </w:tcPr>
          <w:p w14:paraId="539559A0">
            <w:pPr>
              <w:spacing w:line="360" w:lineRule="auto"/>
              <w:jc w:val="center"/>
              <w:rPr>
                <w:rFonts w:ascii="楷体" w:hAnsi="楷体" w:eastAsia="楷体"/>
                <w:b/>
                <w:sz w:val="24"/>
              </w:rPr>
            </w:pPr>
            <w:r>
              <w:rPr>
                <w:rFonts w:hint="eastAsia" w:ascii="楷体" w:hAnsi="楷体" w:eastAsia="楷体"/>
                <w:b/>
                <w:sz w:val="24"/>
              </w:rPr>
              <w:t>单价（元）</w:t>
            </w:r>
          </w:p>
        </w:tc>
        <w:tc>
          <w:tcPr>
            <w:tcW w:w="1455" w:type="dxa"/>
            <w:tcBorders>
              <w:left w:val="single" w:color="auto" w:sz="4" w:space="0"/>
              <w:right w:val="single" w:color="auto" w:sz="4" w:space="0"/>
            </w:tcBorders>
            <w:vAlign w:val="center"/>
          </w:tcPr>
          <w:p w14:paraId="6513DC13">
            <w:pPr>
              <w:spacing w:line="360" w:lineRule="auto"/>
              <w:jc w:val="center"/>
              <w:rPr>
                <w:rFonts w:ascii="楷体" w:hAnsi="楷体" w:eastAsia="楷体"/>
                <w:b/>
                <w:sz w:val="24"/>
              </w:rPr>
            </w:pPr>
            <w:r>
              <w:rPr>
                <w:rFonts w:hint="eastAsia" w:ascii="楷体" w:hAnsi="楷体" w:eastAsia="楷体"/>
                <w:b/>
                <w:sz w:val="24"/>
              </w:rPr>
              <w:t>合计（元）</w:t>
            </w:r>
          </w:p>
        </w:tc>
        <w:tc>
          <w:tcPr>
            <w:tcW w:w="1068" w:type="dxa"/>
            <w:tcBorders>
              <w:left w:val="single" w:color="auto" w:sz="4" w:space="0"/>
            </w:tcBorders>
            <w:vAlign w:val="center"/>
          </w:tcPr>
          <w:p w14:paraId="6D4F7151">
            <w:pPr>
              <w:spacing w:line="360" w:lineRule="auto"/>
              <w:jc w:val="center"/>
              <w:rPr>
                <w:rFonts w:ascii="楷体" w:hAnsi="楷体" w:eastAsia="楷体"/>
                <w:b/>
                <w:sz w:val="24"/>
              </w:rPr>
            </w:pPr>
            <w:r>
              <w:rPr>
                <w:rFonts w:hint="eastAsia" w:ascii="楷体" w:hAnsi="楷体" w:eastAsia="楷体"/>
                <w:b/>
                <w:sz w:val="24"/>
              </w:rPr>
              <w:t>免费质保期</w:t>
            </w:r>
          </w:p>
        </w:tc>
      </w:tr>
      <w:tr w14:paraId="5722F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593211BB">
            <w:pPr>
              <w:spacing w:line="360" w:lineRule="auto"/>
              <w:jc w:val="center"/>
              <w:rPr>
                <w:rFonts w:ascii="楷体" w:hAnsi="楷体" w:eastAsia="楷体"/>
                <w:sz w:val="24"/>
              </w:rPr>
            </w:pPr>
            <w:r>
              <w:rPr>
                <w:rFonts w:hint="eastAsia" w:ascii="楷体" w:hAnsi="楷体" w:eastAsia="楷体"/>
                <w:sz w:val="24"/>
              </w:rPr>
              <w:t>1</w:t>
            </w:r>
          </w:p>
        </w:tc>
        <w:tc>
          <w:tcPr>
            <w:tcW w:w="1471" w:type="dxa"/>
            <w:tcBorders>
              <w:left w:val="single" w:color="auto" w:sz="4" w:space="0"/>
              <w:right w:val="single" w:color="auto" w:sz="4" w:space="0"/>
            </w:tcBorders>
            <w:vAlign w:val="center"/>
          </w:tcPr>
          <w:p w14:paraId="28DAEAAE">
            <w:pPr>
              <w:widowControl/>
              <w:rPr>
                <w:rFonts w:ascii="楷体" w:hAnsi="楷体" w:eastAsia="楷体" w:cs="Calibri"/>
                <w:sz w:val="24"/>
              </w:rPr>
            </w:pPr>
            <w:r>
              <w:rPr>
                <w:rFonts w:hint="eastAsia" w:ascii="楷体" w:hAnsi="楷体" w:eastAsia="楷体" w:cs="Calibri"/>
                <w:sz w:val="24"/>
              </w:rPr>
              <w:t xml:space="preserve"> </w:t>
            </w:r>
          </w:p>
        </w:tc>
        <w:tc>
          <w:tcPr>
            <w:tcW w:w="883" w:type="dxa"/>
            <w:tcBorders>
              <w:left w:val="single" w:color="auto" w:sz="4" w:space="0"/>
              <w:right w:val="single" w:color="auto" w:sz="4" w:space="0"/>
            </w:tcBorders>
            <w:vAlign w:val="center"/>
          </w:tcPr>
          <w:p w14:paraId="78A1426E">
            <w:pPr>
              <w:spacing w:line="360" w:lineRule="auto"/>
              <w:jc w:val="center"/>
              <w:rPr>
                <w:rFonts w:ascii="楷体" w:hAnsi="楷体" w:eastAsia="楷体"/>
                <w:sz w:val="24"/>
              </w:rPr>
            </w:pPr>
          </w:p>
        </w:tc>
        <w:tc>
          <w:tcPr>
            <w:tcW w:w="1243" w:type="dxa"/>
            <w:tcBorders>
              <w:left w:val="single" w:color="auto" w:sz="4" w:space="0"/>
              <w:right w:val="single" w:color="auto" w:sz="4" w:space="0"/>
            </w:tcBorders>
            <w:vAlign w:val="center"/>
          </w:tcPr>
          <w:p w14:paraId="5860FE65">
            <w:pPr>
              <w:spacing w:line="360" w:lineRule="auto"/>
              <w:jc w:val="center"/>
              <w:rPr>
                <w:rFonts w:ascii="楷体" w:hAnsi="楷体" w:eastAsia="楷体"/>
                <w:sz w:val="24"/>
              </w:rPr>
            </w:pPr>
          </w:p>
        </w:tc>
        <w:tc>
          <w:tcPr>
            <w:tcW w:w="1276" w:type="dxa"/>
            <w:gridSpan w:val="2"/>
            <w:tcBorders>
              <w:right w:val="single" w:color="auto" w:sz="4" w:space="0"/>
            </w:tcBorders>
            <w:vAlign w:val="center"/>
          </w:tcPr>
          <w:p w14:paraId="277B1BA0">
            <w:pPr>
              <w:widowControl/>
              <w:jc w:val="center"/>
              <w:rPr>
                <w:rFonts w:ascii="楷体" w:hAnsi="楷体" w:eastAsia="楷体" w:cs="Calibri"/>
                <w:sz w:val="24"/>
              </w:rPr>
            </w:pPr>
            <w:r>
              <w:rPr>
                <w:rFonts w:hint="eastAsia" w:ascii="楷体" w:hAnsi="楷体" w:eastAsia="楷体" w:cs="Calibri"/>
                <w:sz w:val="24"/>
              </w:rPr>
              <w:t xml:space="preserve"> </w:t>
            </w:r>
          </w:p>
        </w:tc>
        <w:tc>
          <w:tcPr>
            <w:tcW w:w="992" w:type="dxa"/>
            <w:tcBorders>
              <w:right w:val="single" w:color="auto" w:sz="4" w:space="0"/>
            </w:tcBorders>
            <w:vAlign w:val="center"/>
          </w:tcPr>
          <w:p w14:paraId="77F04373">
            <w:pPr>
              <w:widowControl/>
              <w:jc w:val="center"/>
              <w:rPr>
                <w:rFonts w:ascii="楷体" w:hAnsi="楷体" w:eastAsia="楷体" w:cs="Calibri"/>
                <w:sz w:val="24"/>
              </w:rPr>
            </w:pPr>
          </w:p>
        </w:tc>
        <w:tc>
          <w:tcPr>
            <w:tcW w:w="851" w:type="dxa"/>
            <w:tcBorders>
              <w:left w:val="single" w:color="auto" w:sz="4" w:space="0"/>
              <w:right w:val="single" w:color="auto" w:sz="4" w:space="0"/>
            </w:tcBorders>
            <w:vAlign w:val="center"/>
          </w:tcPr>
          <w:p w14:paraId="3BA54FC5">
            <w:pPr>
              <w:spacing w:line="360" w:lineRule="auto"/>
              <w:jc w:val="center"/>
              <w:rPr>
                <w:rFonts w:ascii="楷体" w:hAnsi="楷体" w:eastAsia="楷体"/>
                <w:sz w:val="24"/>
              </w:rPr>
            </w:pPr>
          </w:p>
        </w:tc>
        <w:tc>
          <w:tcPr>
            <w:tcW w:w="1455" w:type="dxa"/>
            <w:tcBorders>
              <w:left w:val="single" w:color="auto" w:sz="4" w:space="0"/>
              <w:right w:val="single" w:color="auto" w:sz="4" w:space="0"/>
            </w:tcBorders>
            <w:vAlign w:val="center"/>
          </w:tcPr>
          <w:p w14:paraId="490CB2DF">
            <w:pPr>
              <w:spacing w:line="360" w:lineRule="auto"/>
              <w:jc w:val="center"/>
              <w:rPr>
                <w:rFonts w:ascii="楷体" w:hAnsi="楷体" w:eastAsia="楷体"/>
                <w:sz w:val="24"/>
              </w:rPr>
            </w:pPr>
          </w:p>
        </w:tc>
        <w:tc>
          <w:tcPr>
            <w:tcW w:w="1068" w:type="dxa"/>
            <w:tcBorders>
              <w:left w:val="single" w:color="auto" w:sz="4" w:space="0"/>
            </w:tcBorders>
          </w:tcPr>
          <w:p w14:paraId="3A79A9C8">
            <w:pPr>
              <w:spacing w:line="360" w:lineRule="auto"/>
              <w:jc w:val="center"/>
              <w:rPr>
                <w:rFonts w:ascii="楷体" w:hAnsi="楷体" w:eastAsia="楷体"/>
                <w:sz w:val="24"/>
              </w:rPr>
            </w:pPr>
          </w:p>
        </w:tc>
      </w:tr>
      <w:tr w14:paraId="359DF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6D13A35F">
            <w:pPr>
              <w:spacing w:line="360" w:lineRule="auto"/>
              <w:jc w:val="center"/>
              <w:rPr>
                <w:rFonts w:ascii="楷体" w:hAnsi="楷体" w:eastAsia="楷体"/>
                <w:sz w:val="24"/>
              </w:rPr>
            </w:pPr>
            <w:r>
              <w:rPr>
                <w:rFonts w:hint="eastAsia" w:ascii="楷体" w:hAnsi="楷体" w:eastAsia="楷体"/>
                <w:sz w:val="24"/>
              </w:rPr>
              <w:t>2</w:t>
            </w:r>
          </w:p>
        </w:tc>
        <w:tc>
          <w:tcPr>
            <w:tcW w:w="1471" w:type="dxa"/>
            <w:tcBorders>
              <w:left w:val="single" w:color="auto" w:sz="4" w:space="0"/>
              <w:right w:val="single" w:color="auto" w:sz="4" w:space="0"/>
            </w:tcBorders>
            <w:vAlign w:val="center"/>
          </w:tcPr>
          <w:p w14:paraId="12F6598A">
            <w:pPr>
              <w:widowControl/>
              <w:rPr>
                <w:rFonts w:ascii="楷体" w:hAnsi="楷体" w:eastAsia="楷体" w:cs="Calibri"/>
                <w:sz w:val="24"/>
              </w:rPr>
            </w:pPr>
            <w:r>
              <w:rPr>
                <w:rFonts w:hint="eastAsia" w:ascii="楷体" w:hAnsi="楷体" w:eastAsia="楷体" w:cs="Calibri"/>
                <w:sz w:val="24"/>
              </w:rPr>
              <w:t xml:space="preserve"> </w:t>
            </w:r>
          </w:p>
        </w:tc>
        <w:tc>
          <w:tcPr>
            <w:tcW w:w="883" w:type="dxa"/>
            <w:tcBorders>
              <w:left w:val="single" w:color="auto" w:sz="4" w:space="0"/>
              <w:right w:val="single" w:color="auto" w:sz="4" w:space="0"/>
            </w:tcBorders>
            <w:vAlign w:val="center"/>
          </w:tcPr>
          <w:p w14:paraId="5F1AA30A">
            <w:pPr>
              <w:spacing w:line="360" w:lineRule="auto"/>
              <w:jc w:val="center"/>
              <w:rPr>
                <w:rFonts w:ascii="楷体" w:hAnsi="楷体" w:eastAsia="楷体"/>
                <w:sz w:val="24"/>
              </w:rPr>
            </w:pPr>
          </w:p>
        </w:tc>
        <w:tc>
          <w:tcPr>
            <w:tcW w:w="1243" w:type="dxa"/>
            <w:tcBorders>
              <w:left w:val="single" w:color="auto" w:sz="4" w:space="0"/>
              <w:right w:val="single" w:color="auto" w:sz="4" w:space="0"/>
            </w:tcBorders>
            <w:vAlign w:val="center"/>
          </w:tcPr>
          <w:p w14:paraId="12B86DCE">
            <w:pPr>
              <w:spacing w:line="360" w:lineRule="auto"/>
              <w:jc w:val="center"/>
              <w:rPr>
                <w:rFonts w:ascii="楷体" w:hAnsi="楷体" w:eastAsia="楷体"/>
                <w:sz w:val="24"/>
              </w:rPr>
            </w:pPr>
          </w:p>
        </w:tc>
        <w:tc>
          <w:tcPr>
            <w:tcW w:w="1276" w:type="dxa"/>
            <w:gridSpan w:val="2"/>
            <w:tcBorders>
              <w:right w:val="single" w:color="auto" w:sz="4" w:space="0"/>
            </w:tcBorders>
            <w:vAlign w:val="center"/>
          </w:tcPr>
          <w:p w14:paraId="537DD1DD">
            <w:pPr>
              <w:widowControl/>
              <w:jc w:val="center"/>
              <w:rPr>
                <w:rFonts w:ascii="楷体" w:hAnsi="楷体" w:eastAsia="楷体" w:cs="Calibri"/>
                <w:sz w:val="24"/>
              </w:rPr>
            </w:pPr>
          </w:p>
        </w:tc>
        <w:tc>
          <w:tcPr>
            <w:tcW w:w="992" w:type="dxa"/>
            <w:tcBorders>
              <w:right w:val="single" w:color="auto" w:sz="4" w:space="0"/>
            </w:tcBorders>
            <w:vAlign w:val="center"/>
          </w:tcPr>
          <w:p w14:paraId="55ED9CE1">
            <w:pPr>
              <w:widowControl/>
              <w:jc w:val="center"/>
              <w:rPr>
                <w:rFonts w:ascii="楷体" w:hAnsi="楷体" w:eastAsia="楷体" w:cs="Calibri"/>
                <w:sz w:val="24"/>
              </w:rPr>
            </w:pPr>
          </w:p>
        </w:tc>
        <w:tc>
          <w:tcPr>
            <w:tcW w:w="851" w:type="dxa"/>
            <w:tcBorders>
              <w:left w:val="single" w:color="auto" w:sz="4" w:space="0"/>
              <w:right w:val="single" w:color="auto" w:sz="4" w:space="0"/>
            </w:tcBorders>
            <w:vAlign w:val="center"/>
          </w:tcPr>
          <w:p w14:paraId="0D39BE0F">
            <w:pPr>
              <w:spacing w:line="360" w:lineRule="auto"/>
              <w:jc w:val="center"/>
              <w:rPr>
                <w:rFonts w:ascii="楷体" w:hAnsi="楷体" w:eastAsia="楷体"/>
                <w:sz w:val="24"/>
              </w:rPr>
            </w:pPr>
          </w:p>
        </w:tc>
        <w:tc>
          <w:tcPr>
            <w:tcW w:w="1455" w:type="dxa"/>
            <w:tcBorders>
              <w:left w:val="single" w:color="auto" w:sz="4" w:space="0"/>
              <w:right w:val="single" w:color="auto" w:sz="4" w:space="0"/>
            </w:tcBorders>
            <w:vAlign w:val="center"/>
          </w:tcPr>
          <w:p w14:paraId="72E19C13">
            <w:pPr>
              <w:spacing w:line="360" w:lineRule="auto"/>
              <w:jc w:val="center"/>
              <w:rPr>
                <w:rFonts w:ascii="楷体" w:hAnsi="楷体" w:eastAsia="楷体"/>
                <w:sz w:val="24"/>
              </w:rPr>
            </w:pPr>
          </w:p>
        </w:tc>
        <w:tc>
          <w:tcPr>
            <w:tcW w:w="1068" w:type="dxa"/>
            <w:tcBorders>
              <w:left w:val="single" w:color="auto" w:sz="4" w:space="0"/>
            </w:tcBorders>
          </w:tcPr>
          <w:p w14:paraId="77F26F8C">
            <w:pPr>
              <w:spacing w:line="360" w:lineRule="auto"/>
              <w:jc w:val="center"/>
              <w:rPr>
                <w:rFonts w:ascii="楷体" w:hAnsi="楷体" w:eastAsia="楷体"/>
                <w:sz w:val="24"/>
              </w:rPr>
            </w:pPr>
          </w:p>
        </w:tc>
      </w:tr>
      <w:tr w14:paraId="5D116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7EC753A3">
            <w:pPr>
              <w:spacing w:line="360" w:lineRule="auto"/>
              <w:jc w:val="center"/>
              <w:rPr>
                <w:rFonts w:ascii="楷体" w:hAnsi="楷体" w:eastAsia="楷体"/>
                <w:sz w:val="24"/>
              </w:rPr>
            </w:pPr>
            <w:r>
              <w:rPr>
                <w:rFonts w:ascii="楷体" w:hAnsi="楷体" w:eastAsia="楷体"/>
                <w:sz w:val="24"/>
              </w:rPr>
              <w:t>…</w:t>
            </w:r>
          </w:p>
        </w:tc>
        <w:tc>
          <w:tcPr>
            <w:tcW w:w="1471" w:type="dxa"/>
            <w:tcBorders>
              <w:left w:val="single" w:color="auto" w:sz="4" w:space="0"/>
              <w:right w:val="single" w:color="auto" w:sz="4" w:space="0"/>
            </w:tcBorders>
            <w:vAlign w:val="center"/>
          </w:tcPr>
          <w:p w14:paraId="632CC49F">
            <w:pPr>
              <w:widowControl/>
              <w:rPr>
                <w:rFonts w:ascii="楷体" w:hAnsi="楷体" w:eastAsia="楷体" w:cs="Calibri"/>
                <w:sz w:val="24"/>
              </w:rPr>
            </w:pPr>
            <w:r>
              <w:rPr>
                <w:rFonts w:hint="eastAsia" w:ascii="楷体" w:hAnsi="楷体" w:eastAsia="楷体" w:cs="Calibri"/>
                <w:sz w:val="24"/>
              </w:rPr>
              <w:t xml:space="preserve"> </w:t>
            </w:r>
          </w:p>
        </w:tc>
        <w:tc>
          <w:tcPr>
            <w:tcW w:w="883" w:type="dxa"/>
            <w:tcBorders>
              <w:left w:val="single" w:color="auto" w:sz="4" w:space="0"/>
              <w:right w:val="single" w:color="auto" w:sz="4" w:space="0"/>
            </w:tcBorders>
            <w:vAlign w:val="center"/>
          </w:tcPr>
          <w:p w14:paraId="061FDD84">
            <w:pPr>
              <w:spacing w:line="360" w:lineRule="auto"/>
              <w:jc w:val="center"/>
              <w:rPr>
                <w:rFonts w:ascii="楷体" w:hAnsi="楷体" w:eastAsia="楷体"/>
                <w:sz w:val="24"/>
              </w:rPr>
            </w:pPr>
          </w:p>
        </w:tc>
        <w:tc>
          <w:tcPr>
            <w:tcW w:w="1243" w:type="dxa"/>
            <w:tcBorders>
              <w:left w:val="single" w:color="auto" w:sz="4" w:space="0"/>
              <w:right w:val="single" w:color="auto" w:sz="4" w:space="0"/>
            </w:tcBorders>
            <w:vAlign w:val="center"/>
          </w:tcPr>
          <w:p w14:paraId="6181D892">
            <w:pPr>
              <w:spacing w:line="360" w:lineRule="auto"/>
              <w:jc w:val="center"/>
              <w:rPr>
                <w:rFonts w:ascii="楷体" w:hAnsi="楷体" w:eastAsia="楷体"/>
                <w:sz w:val="24"/>
              </w:rPr>
            </w:pPr>
          </w:p>
        </w:tc>
        <w:tc>
          <w:tcPr>
            <w:tcW w:w="1276" w:type="dxa"/>
            <w:gridSpan w:val="2"/>
            <w:tcBorders>
              <w:right w:val="single" w:color="auto" w:sz="4" w:space="0"/>
            </w:tcBorders>
            <w:vAlign w:val="center"/>
          </w:tcPr>
          <w:p w14:paraId="33ECBA7A">
            <w:pPr>
              <w:widowControl/>
              <w:jc w:val="center"/>
              <w:rPr>
                <w:rFonts w:ascii="楷体" w:hAnsi="楷体" w:eastAsia="楷体" w:cs="Calibri"/>
                <w:sz w:val="24"/>
              </w:rPr>
            </w:pPr>
          </w:p>
        </w:tc>
        <w:tc>
          <w:tcPr>
            <w:tcW w:w="992" w:type="dxa"/>
            <w:tcBorders>
              <w:right w:val="single" w:color="auto" w:sz="4" w:space="0"/>
            </w:tcBorders>
            <w:vAlign w:val="center"/>
          </w:tcPr>
          <w:p w14:paraId="73BA5954">
            <w:pPr>
              <w:widowControl/>
              <w:jc w:val="center"/>
              <w:rPr>
                <w:rFonts w:ascii="楷体" w:hAnsi="楷体" w:eastAsia="楷体" w:cs="Calibri"/>
                <w:sz w:val="24"/>
              </w:rPr>
            </w:pPr>
          </w:p>
        </w:tc>
        <w:tc>
          <w:tcPr>
            <w:tcW w:w="851" w:type="dxa"/>
            <w:tcBorders>
              <w:left w:val="single" w:color="auto" w:sz="4" w:space="0"/>
              <w:right w:val="single" w:color="auto" w:sz="4" w:space="0"/>
            </w:tcBorders>
            <w:vAlign w:val="center"/>
          </w:tcPr>
          <w:p w14:paraId="2F2D79EA">
            <w:pPr>
              <w:spacing w:line="360" w:lineRule="auto"/>
              <w:jc w:val="center"/>
              <w:rPr>
                <w:rFonts w:ascii="楷体" w:hAnsi="楷体" w:eastAsia="楷体"/>
                <w:sz w:val="24"/>
              </w:rPr>
            </w:pPr>
          </w:p>
        </w:tc>
        <w:tc>
          <w:tcPr>
            <w:tcW w:w="1455" w:type="dxa"/>
            <w:tcBorders>
              <w:left w:val="single" w:color="auto" w:sz="4" w:space="0"/>
              <w:right w:val="single" w:color="auto" w:sz="4" w:space="0"/>
            </w:tcBorders>
            <w:vAlign w:val="center"/>
          </w:tcPr>
          <w:p w14:paraId="683C7871">
            <w:pPr>
              <w:spacing w:line="360" w:lineRule="auto"/>
              <w:jc w:val="center"/>
              <w:rPr>
                <w:rFonts w:ascii="楷体" w:hAnsi="楷体" w:eastAsia="楷体"/>
                <w:sz w:val="24"/>
              </w:rPr>
            </w:pPr>
          </w:p>
        </w:tc>
        <w:tc>
          <w:tcPr>
            <w:tcW w:w="1068" w:type="dxa"/>
            <w:tcBorders>
              <w:left w:val="single" w:color="auto" w:sz="4" w:space="0"/>
            </w:tcBorders>
          </w:tcPr>
          <w:p w14:paraId="47B889A9">
            <w:pPr>
              <w:spacing w:line="360" w:lineRule="auto"/>
              <w:jc w:val="center"/>
              <w:rPr>
                <w:rFonts w:ascii="楷体" w:hAnsi="楷体" w:eastAsia="楷体"/>
                <w:sz w:val="24"/>
              </w:rPr>
            </w:pPr>
          </w:p>
        </w:tc>
      </w:tr>
      <w:tr w14:paraId="1B26E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9782" w:type="dxa"/>
            <w:gridSpan w:val="10"/>
            <w:vAlign w:val="center"/>
          </w:tcPr>
          <w:p w14:paraId="7A816EED">
            <w:pPr>
              <w:spacing w:line="360" w:lineRule="auto"/>
              <w:jc w:val="center"/>
              <w:rPr>
                <w:rFonts w:ascii="楷体" w:hAnsi="楷体" w:eastAsia="楷体"/>
                <w:b/>
                <w:sz w:val="24"/>
              </w:rPr>
            </w:pPr>
            <w:r>
              <w:rPr>
                <w:rFonts w:hint="eastAsia" w:ascii="楷体" w:hAnsi="楷体" w:eastAsia="楷体"/>
                <w:b/>
                <w:sz w:val="24"/>
              </w:rPr>
              <w:t>货物部分小计：     元</w:t>
            </w:r>
          </w:p>
        </w:tc>
      </w:tr>
      <w:tr w14:paraId="58432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10"/>
            <w:vAlign w:val="center"/>
          </w:tcPr>
          <w:p w14:paraId="5BA9CD0A">
            <w:pPr>
              <w:spacing w:line="360" w:lineRule="auto"/>
              <w:jc w:val="center"/>
              <w:rPr>
                <w:rFonts w:ascii="楷体" w:hAnsi="楷体" w:eastAsia="楷体"/>
                <w:sz w:val="24"/>
              </w:rPr>
            </w:pPr>
            <w:r>
              <w:rPr>
                <w:rFonts w:hint="eastAsia" w:ascii="楷体" w:hAnsi="楷体" w:eastAsia="楷体"/>
                <w:b/>
                <w:sz w:val="24"/>
              </w:rPr>
              <w:t>二、服务部分</w:t>
            </w:r>
          </w:p>
        </w:tc>
      </w:tr>
      <w:tr w14:paraId="3704E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tcBorders>
              <w:right w:val="single" w:color="auto" w:sz="4" w:space="0"/>
            </w:tcBorders>
            <w:vAlign w:val="center"/>
          </w:tcPr>
          <w:p w14:paraId="5F9D675E">
            <w:pPr>
              <w:spacing w:line="360" w:lineRule="auto"/>
              <w:jc w:val="center"/>
              <w:rPr>
                <w:rFonts w:ascii="楷体" w:hAnsi="楷体" w:eastAsia="楷体"/>
                <w:b/>
                <w:sz w:val="24"/>
              </w:rPr>
            </w:pPr>
            <w:r>
              <w:rPr>
                <w:rFonts w:hint="eastAsia" w:ascii="楷体" w:hAnsi="楷体" w:eastAsia="楷体"/>
                <w:b/>
                <w:sz w:val="24"/>
              </w:rPr>
              <w:t>序号</w:t>
            </w:r>
          </w:p>
        </w:tc>
        <w:tc>
          <w:tcPr>
            <w:tcW w:w="1471" w:type="dxa"/>
            <w:tcBorders>
              <w:left w:val="single" w:color="auto" w:sz="4" w:space="0"/>
              <w:right w:val="single" w:color="auto" w:sz="4" w:space="0"/>
            </w:tcBorders>
            <w:vAlign w:val="center"/>
          </w:tcPr>
          <w:p w14:paraId="5AB0B206">
            <w:pPr>
              <w:spacing w:line="360" w:lineRule="auto"/>
              <w:jc w:val="center"/>
              <w:rPr>
                <w:rFonts w:ascii="楷体" w:hAnsi="楷体" w:eastAsia="楷体"/>
                <w:b/>
                <w:sz w:val="24"/>
              </w:rPr>
            </w:pPr>
            <w:r>
              <w:rPr>
                <w:rFonts w:hint="eastAsia" w:ascii="楷体" w:hAnsi="楷体" w:eastAsia="楷体"/>
                <w:b/>
                <w:sz w:val="24"/>
              </w:rPr>
              <w:t>标的名称</w:t>
            </w:r>
          </w:p>
        </w:tc>
        <w:tc>
          <w:tcPr>
            <w:tcW w:w="5245" w:type="dxa"/>
            <w:gridSpan w:val="6"/>
            <w:tcBorders>
              <w:left w:val="single" w:color="auto" w:sz="4" w:space="0"/>
              <w:right w:val="single" w:color="auto" w:sz="4" w:space="0"/>
            </w:tcBorders>
            <w:vAlign w:val="center"/>
          </w:tcPr>
          <w:p w14:paraId="38D13358">
            <w:pPr>
              <w:spacing w:line="360" w:lineRule="auto"/>
              <w:jc w:val="center"/>
              <w:rPr>
                <w:rFonts w:ascii="楷体" w:hAnsi="楷体" w:eastAsia="楷体"/>
                <w:b/>
                <w:sz w:val="24"/>
              </w:rPr>
            </w:pPr>
            <w:r>
              <w:rPr>
                <w:rFonts w:hint="eastAsia" w:ascii="楷体" w:hAnsi="楷体" w:eastAsia="楷体"/>
                <w:b/>
                <w:sz w:val="24"/>
              </w:rPr>
              <w:t>服务内容</w:t>
            </w:r>
          </w:p>
        </w:tc>
        <w:tc>
          <w:tcPr>
            <w:tcW w:w="1455" w:type="dxa"/>
            <w:tcBorders>
              <w:left w:val="single" w:color="auto" w:sz="4" w:space="0"/>
              <w:right w:val="single" w:color="auto" w:sz="4" w:space="0"/>
            </w:tcBorders>
            <w:vAlign w:val="center"/>
          </w:tcPr>
          <w:p w14:paraId="1365B1F6">
            <w:pPr>
              <w:spacing w:line="360" w:lineRule="auto"/>
              <w:jc w:val="center"/>
              <w:rPr>
                <w:rFonts w:ascii="楷体" w:hAnsi="楷体" w:eastAsia="楷体"/>
                <w:b/>
                <w:sz w:val="24"/>
              </w:rPr>
            </w:pPr>
            <w:r>
              <w:rPr>
                <w:rFonts w:hint="eastAsia" w:ascii="楷体" w:hAnsi="楷体" w:eastAsia="楷体"/>
                <w:b/>
                <w:sz w:val="24"/>
              </w:rPr>
              <w:t>价格（元）</w:t>
            </w:r>
          </w:p>
        </w:tc>
        <w:tc>
          <w:tcPr>
            <w:tcW w:w="1068" w:type="dxa"/>
            <w:tcBorders>
              <w:left w:val="single" w:color="auto" w:sz="4" w:space="0"/>
            </w:tcBorders>
            <w:vAlign w:val="center"/>
          </w:tcPr>
          <w:p w14:paraId="58B5C8EC">
            <w:pPr>
              <w:spacing w:line="360" w:lineRule="auto"/>
              <w:jc w:val="center"/>
              <w:rPr>
                <w:rFonts w:ascii="楷体" w:hAnsi="楷体" w:eastAsia="楷体"/>
                <w:b/>
                <w:sz w:val="24"/>
              </w:rPr>
            </w:pPr>
            <w:r>
              <w:rPr>
                <w:rFonts w:hint="eastAsia" w:ascii="楷体" w:hAnsi="楷体" w:eastAsia="楷体"/>
                <w:b/>
                <w:sz w:val="24"/>
              </w:rPr>
              <w:t>备注</w:t>
            </w:r>
          </w:p>
        </w:tc>
      </w:tr>
      <w:tr w14:paraId="024CA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2CF49886">
            <w:pPr>
              <w:spacing w:line="360" w:lineRule="auto"/>
              <w:jc w:val="center"/>
              <w:rPr>
                <w:rFonts w:ascii="楷体" w:hAnsi="楷体" w:eastAsia="楷体"/>
                <w:sz w:val="24"/>
              </w:rPr>
            </w:pPr>
            <w:r>
              <w:rPr>
                <w:rFonts w:hint="eastAsia" w:ascii="楷体" w:hAnsi="楷体" w:eastAsia="楷体"/>
                <w:sz w:val="24"/>
              </w:rPr>
              <w:t>1</w:t>
            </w:r>
          </w:p>
        </w:tc>
        <w:tc>
          <w:tcPr>
            <w:tcW w:w="1471" w:type="dxa"/>
            <w:tcBorders>
              <w:left w:val="single" w:color="auto" w:sz="4" w:space="0"/>
              <w:right w:val="single" w:color="auto" w:sz="4" w:space="0"/>
            </w:tcBorders>
            <w:vAlign w:val="center"/>
          </w:tcPr>
          <w:p w14:paraId="7C86110B">
            <w:pPr>
              <w:spacing w:line="360" w:lineRule="auto"/>
              <w:rPr>
                <w:rFonts w:ascii="楷体" w:hAnsi="楷体" w:eastAsia="楷体"/>
                <w:sz w:val="24"/>
              </w:rPr>
            </w:pPr>
            <w:r>
              <w:rPr>
                <w:rFonts w:hint="eastAsia" w:ascii="楷体" w:hAnsi="楷体" w:eastAsia="楷体"/>
                <w:sz w:val="24"/>
              </w:rPr>
              <w:t xml:space="preserve"> </w:t>
            </w:r>
          </w:p>
        </w:tc>
        <w:tc>
          <w:tcPr>
            <w:tcW w:w="5245" w:type="dxa"/>
            <w:gridSpan w:val="6"/>
            <w:tcBorders>
              <w:left w:val="single" w:color="auto" w:sz="4" w:space="0"/>
              <w:right w:val="single" w:color="auto" w:sz="4" w:space="0"/>
            </w:tcBorders>
            <w:vAlign w:val="center"/>
          </w:tcPr>
          <w:p w14:paraId="45DA663F">
            <w:pPr>
              <w:spacing w:line="360" w:lineRule="auto"/>
              <w:jc w:val="center"/>
              <w:rPr>
                <w:rFonts w:ascii="楷体" w:hAnsi="楷体" w:eastAsia="楷体"/>
                <w:sz w:val="24"/>
                <w:highlight w:val="yellow"/>
              </w:rPr>
            </w:pPr>
          </w:p>
        </w:tc>
        <w:tc>
          <w:tcPr>
            <w:tcW w:w="1455" w:type="dxa"/>
            <w:tcBorders>
              <w:left w:val="single" w:color="auto" w:sz="4" w:space="0"/>
              <w:right w:val="single" w:color="auto" w:sz="4" w:space="0"/>
            </w:tcBorders>
            <w:vAlign w:val="center"/>
          </w:tcPr>
          <w:p w14:paraId="3E130952">
            <w:pPr>
              <w:spacing w:line="360" w:lineRule="auto"/>
              <w:jc w:val="center"/>
              <w:rPr>
                <w:rFonts w:ascii="楷体" w:hAnsi="楷体" w:eastAsia="楷体"/>
                <w:sz w:val="24"/>
                <w:highlight w:val="yellow"/>
              </w:rPr>
            </w:pPr>
          </w:p>
        </w:tc>
        <w:tc>
          <w:tcPr>
            <w:tcW w:w="1068" w:type="dxa"/>
            <w:tcBorders>
              <w:left w:val="single" w:color="auto" w:sz="4" w:space="0"/>
            </w:tcBorders>
          </w:tcPr>
          <w:p w14:paraId="0FDDB50B">
            <w:pPr>
              <w:spacing w:line="360" w:lineRule="auto"/>
              <w:jc w:val="center"/>
              <w:rPr>
                <w:rFonts w:ascii="楷体" w:hAnsi="楷体" w:eastAsia="楷体"/>
                <w:sz w:val="24"/>
                <w:highlight w:val="yellow"/>
              </w:rPr>
            </w:pPr>
          </w:p>
        </w:tc>
      </w:tr>
      <w:tr w14:paraId="06BF9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10"/>
            <w:vAlign w:val="center"/>
          </w:tcPr>
          <w:p w14:paraId="0D7B5853">
            <w:pPr>
              <w:spacing w:line="360" w:lineRule="auto"/>
              <w:jc w:val="center"/>
              <w:rPr>
                <w:rFonts w:ascii="楷体" w:hAnsi="楷体" w:eastAsia="楷体"/>
                <w:sz w:val="24"/>
              </w:rPr>
            </w:pPr>
            <w:r>
              <w:rPr>
                <w:rFonts w:ascii="楷体" w:hAnsi="楷体" w:eastAsia="楷体"/>
                <w:b/>
                <w:sz w:val="24"/>
              </w:rPr>
              <w:t>服务</w:t>
            </w:r>
            <w:r>
              <w:rPr>
                <w:rFonts w:hint="eastAsia" w:ascii="楷体" w:hAnsi="楷体" w:eastAsia="楷体"/>
                <w:b/>
                <w:sz w:val="24"/>
              </w:rPr>
              <w:t>部分小计：     元</w:t>
            </w:r>
          </w:p>
        </w:tc>
      </w:tr>
      <w:tr w14:paraId="29224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5"/>
          </w:tcPr>
          <w:p w14:paraId="64527883">
            <w:pPr>
              <w:spacing w:line="360" w:lineRule="auto"/>
              <w:rPr>
                <w:rFonts w:ascii="楷体" w:hAnsi="楷体" w:eastAsia="楷体"/>
                <w:b/>
                <w:sz w:val="24"/>
              </w:rPr>
            </w:pPr>
            <w:r>
              <w:rPr>
                <w:rFonts w:hint="eastAsia" w:ascii="楷体" w:hAnsi="楷体" w:eastAsia="楷体"/>
                <w:b/>
                <w:sz w:val="24"/>
              </w:rPr>
              <w:t>其它与项目有关的费用(培训、税费等与项目相关的一切费用)</w:t>
            </w:r>
          </w:p>
        </w:tc>
        <w:tc>
          <w:tcPr>
            <w:tcW w:w="5483" w:type="dxa"/>
            <w:gridSpan w:val="5"/>
          </w:tcPr>
          <w:p w14:paraId="20D28E5B">
            <w:pPr>
              <w:spacing w:line="360" w:lineRule="auto"/>
              <w:jc w:val="center"/>
              <w:rPr>
                <w:rFonts w:ascii="楷体" w:hAnsi="楷体" w:eastAsia="楷体"/>
                <w:sz w:val="24"/>
              </w:rPr>
            </w:pPr>
            <w:r>
              <w:rPr>
                <w:rFonts w:hint="eastAsia" w:ascii="楷体" w:hAnsi="楷体" w:eastAsia="楷体" w:cs="楷体"/>
                <w:b/>
                <w:sz w:val="24"/>
              </w:rPr>
              <w:t>元</w:t>
            </w:r>
          </w:p>
        </w:tc>
      </w:tr>
      <w:tr w14:paraId="7FCDF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5"/>
          </w:tcPr>
          <w:p w14:paraId="1890CE82">
            <w:pPr>
              <w:spacing w:line="360" w:lineRule="auto"/>
              <w:rPr>
                <w:rFonts w:ascii="楷体" w:hAnsi="楷体" w:eastAsia="楷体"/>
                <w:b/>
                <w:sz w:val="24"/>
              </w:rPr>
            </w:pPr>
            <w:r>
              <w:rPr>
                <w:rFonts w:hint="eastAsia" w:ascii="楷体" w:hAnsi="楷体" w:eastAsia="楷体"/>
                <w:b/>
                <w:sz w:val="24"/>
              </w:rPr>
              <w:t>项目总报价</w:t>
            </w:r>
          </w:p>
        </w:tc>
        <w:tc>
          <w:tcPr>
            <w:tcW w:w="5483" w:type="dxa"/>
            <w:gridSpan w:val="5"/>
          </w:tcPr>
          <w:p w14:paraId="348BA8BA">
            <w:pPr>
              <w:spacing w:line="360" w:lineRule="auto"/>
              <w:jc w:val="center"/>
              <w:rPr>
                <w:rFonts w:ascii="楷体" w:hAnsi="楷体" w:eastAsia="楷体"/>
                <w:sz w:val="24"/>
              </w:rPr>
            </w:pPr>
            <w:r>
              <w:rPr>
                <w:rFonts w:hint="eastAsia" w:ascii="楷体" w:hAnsi="楷体" w:eastAsia="楷体" w:cs="楷体"/>
                <w:b/>
                <w:sz w:val="24"/>
              </w:rPr>
              <w:t>元</w:t>
            </w:r>
          </w:p>
        </w:tc>
      </w:tr>
    </w:tbl>
    <w:p w14:paraId="7FAEEDCE">
      <w:pPr>
        <w:spacing w:line="360" w:lineRule="auto"/>
        <w:rPr>
          <w:rFonts w:ascii="楷体" w:hAnsi="楷体" w:eastAsia="楷体"/>
          <w:b/>
          <w:sz w:val="24"/>
        </w:rPr>
      </w:pPr>
    </w:p>
    <w:p w14:paraId="60302BA9">
      <w:pPr>
        <w:spacing w:line="360" w:lineRule="auto"/>
        <w:rPr>
          <w:rFonts w:ascii="楷体" w:hAnsi="楷体" w:eastAsia="楷体"/>
          <w:b/>
          <w:sz w:val="24"/>
          <w:u w:val="single"/>
        </w:rPr>
      </w:pPr>
      <w:r>
        <w:rPr>
          <w:rFonts w:hint="eastAsia" w:ascii="楷体" w:hAnsi="楷体" w:eastAsia="楷体"/>
          <w:b/>
          <w:sz w:val="24"/>
        </w:rPr>
        <w:t>注：</w:t>
      </w:r>
      <w:r>
        <w:rPr>
          <w:rFonts w:hint="eastAsia" w:ascii="楷体" w:hAnsi="楷体" w:eastAsia="楷体"/>
          <w:sz w:val="24"/>
        </w:rPr>
        <w:t>1、</w:t>
      </w:r>
      <w:r>
        <w:rPr>
          <w:rFonts w:hint="eastAsia" w:ascii="楷体" w:hAnsi="楷体" w:eastAsia="楷体"/>
          <w:b/>
          <w:sz w:val="24"/>
          <w:u w:val="single"/>
        </w:rPr>
        <w:t>投标人应当按照招标文件采购需求及相关报价要求填写</w:t>
      </w:r>
      <w:r>
        <w:rPr>
          <w:rFonts w:hint="eastAsia" w:ascii="楷体" w:hAnsi="楷体" w:eastAsia="楷体"/>
          <w:sz w:val="24"/>
          <w:u w:val="single"/>
        </w:rPr>
        <w:t>。</w:t>
      </w:r>
    </w:p>
    <w:p w14:paraId="6F1FE3B5">
      <w:pPr>
        <w:spacing w:line="360" w:lineRule="auto"/>
        <w:ind w:left="-283" w:firstLine="480"/>
        <w:rPr>
          <w:rFonts w:ascii="楷体" w:hAnsi="楷体" w:eastAsia="楷体"/>
          <w:sz w:val="24"/>
          <w:u w:val="single"/>
        </w:rPr>
      </w:pPr>
      <w:r>
        <w:rPr>
          <w:rFonts w:hint="eastAsia" w:ascii="楷体" w:hAnsi="楷体" w:eastAsia="楷体"/>
          <w:sz w:val="24"/>
        </w:rPr>
        <w:t>2、</w:t>
      </w:r>
      <w:r>
        <w:rPr>
          <w:rFonts w:hint="eastAsia" w:ascii="楷体" w:hAnsi="楷体" w:eastAsia="楷体"/>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572304E9">
      <w:pPr>
        <w:spacing w:line="360" w:lineRule="auto"/>
        <w:ind w:left="-283" w:firstLine="480"/>
        <w:rPr>
          <w:rFonts w:ascii="楷体" w:hAnsi="楷体" w:eastAsia="楷体"/>
          <w:sz w:val="24"/>
          <w:u w:val="single"/>
        </w:rPr>
      </w:pPr>
      <w:r>
        <w:rPr>
          <w:rFonts w:hint="eastAsia" w:ascii="楷体" w:hAnsi="楷体" w:eastAsia="楷体"/>
          <w:sz w:val="24"/>
        </w:rPr>
        <w:t>3、</w:t>
      </w:r>
      <w:r>
        <w:rPr>
          <w:rFonts w:hint="eastAsia" w:ascii="楷体" w:hAnsi="楷体" w:eastAsia="楷体"/>
          <w:sz w:val="24"/>
          <w:u w:val="single"/>
        </w:rPr>
        <w:t>本表中项目总报价应与开标一览表中项目总报价保持一致。</w:t>
      </w:r>
    </w:p>
    <w:p w14:paraId="0A558E4E">
      <w:pPr>
        <w:spacing w:line="360" w:lineRule="auto"/>
        <w:ind w:left="-283" w:firstLine="480"/>
        <w:rPr>
          <w:rFonts w:ascii="楷体" w:hAnsi="楷体" w:eastAsia="楷体"/>
          <w:bCs/>
          <w:sz w:val="24"/>
          <w:u w:val="single"/>
        </w:rPr>
      </w:pPr>
      <w:r>
        <w:rPr>
          <w:rFonts w:hint="eastAsia" w:ascii="楷体" w:hAnsi="楷体" w:eastAsia="楷体"/>
          <w:sz w:val="24"/>
        </w:rPr>
        <w:t>4、</w:t>
      </w:r>
      <w:r>
        <w:rPr>
          <w:rFonts w:hint="eastAsia" w:ascii="楷体" w:hAnsi="楷体" w:eastAsia="楷体"/>
          <w:bCs/>
          <w:sz w:val="24"/>
          <w:u w:val="single"/>
        </w:rPr>
        <w:t>报价保留至小数点后两位，四舍五入。</w:t>
      </w:r>
    </w:p>
    <w:p w14:paraId="532A5E13">
      <w:pPr>
        <w:spacing w:line="360" w:lineRule="auto"/>
        <w:ind w:left="-283" w:firstLine="480"/>
        <w:rPr>
          <w:rFonts w:ascii="楷体" w:hAnsi="楷体" w:eastAsia="楷体"/>
          <w:bCs/>
          <w:sz w:val="24"/>
          <w:u w:val="single"/>
        </w:rPr>
      </w:pPr>
      <w:r>
        <w:rPr>
          <w:rFonts w:hint="eastAsia" w:ascii="楷体" w:hAnsi="楷体" w:eastAsia="楷体"/>
          <w:bCs/>
          <w:sz w:val="24"/>
        </w:rPr>
        <w:t>5、</w:t>
      </w:r>
      <w:r>
        <w:rPr>
          <w:rFonts w:hint="eastAsia" w:ascii="楷体" w:hAnsi="楷体" w:eastAsia="楷体"/>
          <w:bCs/>
          <w:sz w:val="24"/>
          <w:u w:val="single"/>
        </w:rPr>
        <w:t>标的物报价不得为零，否则投标无效。</w:t>
      </w:r>
    </w:p>
    <w:p w14:paraId="32FE3B23">
      <w:pPr>
        <w:pStyle w:val="9"/>
        <w:spacing w:line="360" w:lineRule="auto"/>
        <w:jc w:val="center"/>
        <w:rPr>
          <w:rFonts w:ascii="楷体" w:hAnsi="楷体" w:eastAsia="楷体"/>
        </w:rPr>
      </w:pPr>
      <w:r>
        <w:rPr>
          <w:rFonts w:ascii="楷体" w:hAnsi="楷体" w:eastAsia="楷体"/>
        </w:rPr>
        <w:br w:type="page" w:clear="all"/>
      </w:r>
    </w:p>
    <w:p w14:paraId="22BE06C8">
      <w:pPr>
        <w:pStyle w:val="9"/>
        <w:spacing w:before="260" w:after="260" w:line="360" w:lineRule="auto"/>
        <w:ind w:firstLine="0"/>
        <w:jc w:val="center"/>
        <w:rPr>
          <w:rFonts w:ascii="楷体" w:hAnsi="楷体" w:eastAsia="楷体"/>
          <w:b/>
          <w:sz w:val="32"/>
          <w:szCs w:val="32"/>
        </w:rPr>
      </w:pPr>
      <w:r>
        <w:rPr>
          <w:rFonts w:hint="eastAsia" w:ascii="楷体" w:hAnsi="楷体" w:eastAsia="楷体"/>
          <w:b/>
          <w:sz w:val="32"/>
          <w:szCs w:val="32"/>
        </w:rPr>
        <w:t>五、技术部分</w:t>
      </w:r>
    </w:p>
    <w:p w14:paraId="52DF0F4F">
      <w:pPr>
        <w:widowControl/>
        <w:jc w:val="center"/>
        <w:rPr>
          <w:rFonts w:ascii="楷体" w:hAnsi="楷体" w:eastAsia="楷体"/>
          <w:b/>
          <w:sz w:val="30"/>
          <w:szCs w:val="30"/>
        </w:rPr>
      </w:pPr>
      <w:r>
        <w:rPr>
          <w:rFonts w:hint="eastAsia" w:ascii="楷体" w:hAnsi="楷体" w:eastAsia="楷体"/>
          <w:b/>
          <w:sz w:val="30"/>
          <w:szCs w:val="30"/>
        </w:rPr>
        <w:t>（一）技术响应及偏离表</w:t>
      </w:r>
    </w:p>
    <w:tbl>
      <w:tblPr>
        <w:tblStyle w:val="68"/>
        <w:tblW w:w="10292" w:type="dxa"/>
        <w:jc w:val="center"/>
        <w:tblLayout w:type="fixed"/>
        <w:tblCellMar>
          <w:top w:w="0" w:type="dxa"/>
          <w:left w:w="28" w:type="dxa"/>
          <w:bottom w:w="0" w:type="dxa"/>
          <w:right w:w="28" w:type="dxa"/>
        </w:tblCellMar>
      </w:tblPr>
      <w:tblGrid>
        <w:gridCol w:w="639"/>
        <w:gridCol w:w="2240"/>
        <w:gridCol w:w="1304"/>
        <w:gridCol w:w="992"/>
        <w:gridCol w:w="1417"/>
        <w:gridCol w:w="1418"/>
        <w:gridCol w:w="1134"/>
        <w:gridCol w:w="1148"/>
      </w:tblGrid>
      <w:tr w14:paraId="72D87517">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vAlign w:val="center"/>
          </w:tcPr>
          <w:p w14:paraId="455175F6">
            <w:pPr>
              <w:spacing w:before="40" w:after="40" w:line="360" w:lineRule="auto"/>
              <w:jc w:val="center"/>
              <w:rPr>
                <w:rFonts w:ascii="楷体" w:hAnsi="楷体" w:eastAsia="楷体"/>
                <w:b/>
                <w:sz w:val="24"/>
              </w:rPr>
            </w:pPr>
            <w:r>
              <w:rPr>
                <w:rFonts w:ascii="楷体" w:hAnsi="楷体" w:eastAsia="楷体"/>
                <w:b/>
                <w:sz w:val="24"/>
              </w:rPr>
              <w:br w:type="page" w:clear="all"/>
            </w:r>
            <w:r>
              <w:rPr>
                <w:rFonts w:hint="eastAsia" w:ascii="楷体" w:hAnsi="楷体" w:eastAsia="楷体"/>
                <w:b/>
                <w:sz w:val="24"/>
              </w:rPr>
              <w:t>序号</w:t>
            </w:r>
          </w:p>
        </w:tc>
        <w:tc>
          <w:tcPr>
            <w:tcW w:w="2240" w:type="dxa"/>
            <w:tcBorders>
              <w:top w:val="single" w:color="000000" w:sz="6" w:space="0"/>
              <w:left w:val="nil"/>
              <w:bottom w:val="single" w:color="000000" w:sz="6" w:space="0"/>
              <w:right w:val="single" w:color="000000" w:sz="6" w:space="0"/>
            </w:tcBorders>
            <w:vAlign w:val="center"/>
          </w:tcPr>
          <w:p w14:paraId="1FAA919E">
            <w:pPr>
              <w:spacing w:before="40" w:after="40" w:line="360" w:lineRule="auto"/>
              <w:jc w:val="center"/>
              <w:rPr>
                <w:rFonts w:ascii="楷体" w:hAnsi="楷体" w:eastAsia="楷体"/>
                <w:b/>
                <w:sz w:val="24"/>
              </w:rPr>
            </w:pPr>
          </w:p>
          <w:p w14:paraId="4CA60129">
            <w:pPr>
              <w:spacing w:before="40" w:after="40" w:line="360" w:lineRule="auto"/>
              <w:jc w:val="center"/>
              <w:rPr>
                <w:rFonts w:ascii="楷体" w:hAnsi="楷体" w:eastAsia="楷体"/>
                <w:b/>
                <w:sz w:val="24"/>
              </w:rPr>
            </w:pPr>
            <w:r>
              <w:rPr>
                <w:rFonts w:hint="eastAsia" w:ascii="楷体" w:hAnsi="楷体" w:eastAsia="楷体"/>
                <w:b/>
                <w:sz w:val="24"/>
              </w:rPr>
              <w:t>标的名称</w:t>
            </w:r>
          </w:p>
        </w:tc>
        <w:tc>
          <w:tcPr>
            <w:tcW w:w="1304" w:type="dxa"/>
            <w:tcBorders>
              <w:top w:val="single" w:color="000000" w:sz="6" w:space="0"/>
              <w:left w:val="nil"/>
              <w:bottom w:val="single" w:color="000000" w:sz="6" w:space="0"/>
              <w:right w:val="single" w:color="auto" w:sz="4" w:space="0"/>
            </w:tcBorders>
            <w:vAlign w:val="center"/>
          </w:tcPr>
          <w:p w14:paraId="4E5748FD">
            <w:pPr>
              <w:spacing w:before="40" w:after="40" w:line="360" w:lineRule="auto"/>
              <w:jc w:val="center"/>
              <w:rPr>
                <w:rFonts w:ascii="楷体" w:hAnsi="楷体" w:eastAsia="楷体"/>
                <w:b/>
                <w:sz w:val="24"/>
              </w:rPr>
            </w:pPr>
            <w:r>
              <w:rPr>
                <w:rFonts w:hint="eastAsia" w:ascii="楷体" w:hAnsi="楷体" w:eastAsia="楷体"/>
                <w:b/>
                <w:sz w:val="24"/>
              </w:rPr>
              <w:t>响应产品名称及型号</w:t>
            </w:r>
          </w:p>
        </w:tc>
        <w:tc>
          <w:tcPr>
            <w:tcW w:w="992" w:type="dxa"/>
            <w:tcBorders>
              <w:top w:val="single" w:color="000000" w:sz="6" w:space="0"/>
              <w:left w:val="nil"/>
              <w:bottom w:val="single" w:color="000000" w:sz="6" w:space="0"/>
              <w:right w:val="single" w:color="auto" w:sz="4" w:space="0"/>
            </w:tcBorders>
            <w:vAlign w:val="center"/>
          </w:tcPr>
          <w:p w14:paraId="3CD91F54">
            <w:pPr>
              <w:spacing w:before="40" w:after="40" w:line="360" w:lineRule="auto"/>
              <w:rPr>
                <w:rFonts w:ascii="楷体" w:hAnsi="楷体" w:eastAsia="楷体"/>
                <w:b/>
                <w:sz w:val="24"/>
              </w:rPr>
            </w:pPr>
            <w:r>
              <w:rPr>
                <w:rFonts w:hint="eastAsia" w:ascii="楷体" w:hAnsi="楷体" w:eastAsia="楷体"/>
                <w:b/>
                <w:sz w:val="24"/>
              </w:rPr>
              <w:t>指标要求</w:t>
            </w:r>
          </w:p>
        </w:tc>
        <w:tc>
          <w:tcPr>
            <w:tcW w:w="1417" w:type="dxa"/>
            <w:tcBorders>
              <w:top w:val="single" w:color="000000" w:sz="6" w:space="0"/>
              <w:left w:val="single" w:color="auto" w:sz="4" w:space="0"/>
              <w:bottom w:val="single" w:color="000000" w:sz="6" w:space="0"/>
              <w:right w:val="single" w:color="000000" w:sz="6" w:space="0"/>
            </w:tcBorders>
            <w:vAlign w:val="center"/>
          </w:tcPr>
          <w:p w14:paraId="73267780">
            <w:pPr>
              <w:spacing w:before="40" w:after="40" w:line="360" w:lineRule="auto"/>
              <w:rPr>
                <w:rFonts w:ascii="楷体" w:hAnsi="楷体" w:eastAsia="楷体"/>
                <w:b/>
                <w:sz w:val="24"/>
              </w:rPr>
            </w:pPr>
            <w:r>
              <w:rPr>
                <w:rFonts w:hint="eastAsia" w:ascii="楷体" w:hAnsi="楷体" w:eastAsia="楷体"/>
                <w:b/>
                <w:sz w:val="24"/>
              </w:rPr>
              <w:t>证明材料要求</w:t>
            </w:r>
          </w:p>
        </w:tc>
        <w:tc>
          <w:tcPr>
            <w:tcW w:w="1418" w:type="dxa"/>
            <w:tcBorders>
              <w:top w:val="single" w:color="000000" w:sz="6" w:space="0"/>
              <w:left w:val="nil"/>
              <w:bottom w:val="single" w:color="000000" w:sz="6" w:space="0"/>
              <w:right w:val="single" w:color="000000" w:sz="6" w:space="0"/>
            </w:tcBorders>
            <w:vAlign w:val="center"/>
          </w:tcPr>
          <w:p w14:paraId="5445F84A">
            <w:pPr>
              <w:spacing w:before="40" w:after="40" w:line="360" w:lineRule="auto"/>
              <w:jc w:val="center"/>
              <w:rPr>
                <w:rFonts w:ascii="楷体" w:hAnsi="楷体" w:eastAsia="楷体"/>
                <w:b/>
                <w:sz w:val="24"/>
              </w:rPr>
            </w:pPr>
            <w:r>
              <w:rPr>
                <w:rFonts w:hint="eastAsia" w:ascii="楷体" w:hAnsi="楷体" w:eastAsia="楷体"/>
                <w:b/>
                <w:sz w:val="24"/>
              </w:rPr>
              <w:t>响应情况</w:t>
            </w:r>
          </w:p>
        </w:tc>
        <w:tc>
          <w:tcPr>
            <w:tcW w:w="1134" w:type="dxa"/>
            <w:tcBorders>
              <w:top w:val="single" w:color="000000" w:sz="6" w:space="0"/>
              <w:left w:val="nil"/>
              <w:bottom w:val="single" w:color="000000" w:sz="6" w:space="0"/>
              <w:right w:val="single" w:color="000000" w:sz="6" w:space="0"/>
            </w:tcBorders>
            <w:vAlign w:val="center"/>
          </w:tcPr>
          <w:p w14:paraId="66ECC42C">
            <w:pPr>
              <w:spacing w:before="40" w:after="40" w:line="360" w:lineRule="auto"/>
              <w:jc w:val="center"/>
              <w:rPr>
                <w:rFonts w:ascii="楷体" w:hAnsi="楷体" w:eastAsia="楷体"/>
                <w:b/>
                <w:sz w:val="24"/>
              </w:rPr>
            </w:pPr>
            <w:r>
              <w:rPr>
                <w:rFonts w:hint="eastAsia" w:ascii="楷体" w:hAnsi="楷体" w:eastAsia="楷体"/>
                <w:b/>
                <w:sz w:val="24"/>
              </w:rPr>
              <w:t>偏离情况（正偏离</w:t>
            </w:r>
            <w:r>
              <w:rPr>
                <w:rFonts w:ascii="楷体" w:hAnsi="楷体" w:eastAsia="楷体"/>
                <w:b/>
                <w:sz w:val="24"/>
              </w:rPr>
              <w:t>/无偏离/负偏离）</w:t>
            </w:r>
          </w:p>
        </w:tc>
        <w:tc>
          <w:tcPr>
            <w:tcW w:w="1148" w:type="dxa"/>
            <w:tcBorders>
              <w:top w:val="single" w:color="000000" w:sz="6" w:space="0"/>
              <w:left w:val="nil"/>
              <w:bottom w:val="single" w:color="000000" w:sz="6" w:space="0"/>
              <w:right w:val="single" w:color="000000" w:sz="6" w:space="0"/>
            </w:tcBorders>
            <w:vAlign w:val="center"/>
          </w:tcPr>
          <w:p w14:paraId="62E519EF">
            <w:pPr>
              <w:spacing w:before="40" w:after="40" w:line="360" w:lineRule="auto"/>
              <w:jc w:val="center"/>
              <w:rPr>
                <w:rFonts w:ascii="楷体" w:hAnsi="楷体" w:eastAsia="楷体"/>
                <w:b/>
                <w:sz w:val="24"/>
              </w:rPr>
            </w:pPr>
            <w:r>
              <w:rPr>
                <w:rFonts w:hint="eastAsia" w:ascii="楷体" w:hAnsi="楷体" w:eastAsia="楷体"/>
                <w:b/>
                <w:sz w:val="24"/>
              </w:rPr>
              <w:t>备注（证明材料所在位置）</w:t>
            </w:r>
          </w:p>
        </w:tc>
      </w:tr>
      <w:tr w14:paraId="0FC43905">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08F78565">
            <w:pPr>
              <w:spacing w:line="360" w:lineRule="auto"/>
              <w:jc w:val="center"/>
              <w:rPr>
                <w:rFonts w:ascii="楷体" w:hAnsi="楷体" w:eastAsia="楷体" w:cs="黑体"/>
                <w:sz w:val="24"/>
              </w:rPr>
            </w:pPr>
            <w:r>
              <w:rPr>
                <w:rFonts w:ascii="楷体" w:hAnsi="楷体" w:eastAsia="楷体"/>
                <w:sz w:val="24"/>
              </w:rPr>
              <w:t>1</w:t>
            </w:r>
          </w:p>
        </w:tc>
        <w:tc>
          <w:tcPr>
            <w:tcW w:w="2240" w:type="dxa"/>
            <w:tcBorders>
              <w:top w:val="single" w:color="000000" w:sz="6" w:space="0"/>
              <w:left w:val="nil"/>
              <w:bottom w:val="single" w:color="000000" w:sz="6" w:space="0"/>
              <w:right w:val="single" w:color="000000" w:sz="6" w:space="0"/>
            </w:tcBorders>
          </w:tcPr>
          <w:p w14:paraId="2C47A5A2">
            <w:pPr>
              <w:spacing w:line="360" w:lineRule="auto"/>
              <w:rPr>
                <w:rFonts w:ascii="楷体" w:hAnsi="楷体" w:eastAsia="楷体" w:cs="黑体"/>
                <w:sz w:val="24"/>
                <w:u w:val="single"/>
              </w:rPr>
            </w:pPr>
          </w:p>
        </w:tc>
        <w:tc>
          <w:tcPr>
            <w:tcW w:w="1304" w:type="dxa"/>
            <w:tcBorders>
              <w:top w:val="single" w:color="000000" w:sz="6" w:space="0"/>
              <w:left w:val="nil"/>
              <w:bottom w:val="single" w:color="000000" w:sz="6" w:space="0"/>
              <w:right w:val="single" w:color="auto" w:sz="4" w:space="0"/>
            </w:tcBorders>
          </w:tcPr>
          <w:p w14:paraId="6FE4B1CD">
            <w:pPr>
              <w:spacing w:line="360" w:lineRule="auto"/>
              <w:rPr>
                <w:rFonts w:ascii="楷体" w:hAnsi="楷体" w:eastAsia="楷体" w:cs="黑体"/>
                <w:sz w:val="24"/>
                <w:u w:val="single"/>
              </w:rPr>
            </w:pPr>
          </w:p>
        </w:tc>
        <w:tc>
          <w:tcPr>
            <w:tcW w:w="992" w:type="dxa"/>
            <w:tcBorders>
              <w:top w:val="single" w:color="000000" w:sz="6" w:space="0"/>
              <w:left w:val="nil"/>
              <w:bottom w:val="single" w:color="000000" w:sz="6" w:space="0"/>
              <w:right w:val="single" w:color="auto" w:sz="4" w:space="0"/>
            </w:tcBorders>
          </w:tcPr>
          <w:p w14:paraId="4C3EDC3F">
            <w:pPr>
              <w:spacing w:line="360" w:lineRule="auto"/>
              <w:rPr>
                <w:rFonts w:ascii="楷体" w:hAnsi="楷体" w:eastAsia="楷体" w:cs="黑体"/>
                <w:sz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0D0C3BF1">
            <w:pPr>
              <w:spacing w:line="360" w:lineRule="auto"/>
              <w:rPr>
                <w:rFonts w:ascii="楷体" w:hAnsi="楷体" w:eastAsia="楷体" w:cs="黑体"/>
                <w:sz w:val="24"/>
                <w:u w:val="single"/>
              </w:rPr>
            </w:pPr>
          </w:p>
        </w:tc>
        <w:tc>
          <w:tcPr>
            <w:tcW w:w="1418" w:type="dxa"/>
            <w:tcBorders>
              <w:top w:val="single" w:color="000000" w:sz="6" w:space="0"/>
              <w:left w:val="nil"/>
              <w:bottom w:val="single" w:color="000000" w:sz="6" w:space="0"/>
              <w:right w:val="single" w:color="000000" w:sz="6" w:space="0"/>
            </w:tcBorders>
          </w:tcPr>
          <w:p w14:paraId="63E5BD87">
            <w:pPr>
              <w:spacing w:line="360" w:lineRule="auto"/>
              <w:rPr>
                <w:rFonts w:ascii="楷体" w:hAnsi="楷体" w:eastAsia="楷体" w:cs="黑体"/>
                <w:sz w:val="24"/>
                <w:u w:val="single"/>
              </w:rPr>
            </w:pPr>
          </w:p>
        </w:tc>
        <w:tc>
          <w:tcPr>
            <w:tcW w:w="1134" w:type="dxa"/>
            <w:tcBorders>
              <w:top w:val="single" w:color="000000" w:sz="6" w:space="0"/>
              <w:left w:val="nil"/>
              <w:bottom w:val="single" w:color="000000" w:sz="6" w:space="0"/>
              <w:right w:val="single" w:color="000000" w:sz="6" w:space="0"/>
            </w:tcBorders>
          </w:tcPr>
          <w:p w14:paraId="19A5312F">
            <w:pPr>
              <w:spacing w:line="360" w:lineRule="auto"/>
              <w:rPr>
                <w:rFonts w:ascii="楷体" w:hAnsi="楷体" w:eastAsia="楷体" w:cs="黑体"/>
                <w:sz w:val="24"/>
                <w:u w:val="single"/>
              </w:rPr>
            </w:pPr>
          </w:p>
        </w:tc>
        <w:tc>
          <w:tcPr>
            <w:tcW w:w="1148" w:type="dxa"/>
            <w:tcBorders>
              <w:top w:val="single" w:color="000000" w:sz="6" w:space="0"/>
              <w:left w:val="nil"/>
              <w:bottom w:val="single" w:color="000000" w:sz="6" w:space="0"/>
              <w:right w:val="single" w:color="000000" w:sz="6" w:space="0"/>
            </w:tcBorders>
          </w:tcPr>
          <w:p w14:paraId="142BA02B">
            <w:pPr>
              <w:spacing w:line="360" w:lineRule="auto"/>
              <w:rPr>
                <w:rFonts w:ascii="楷体" w:hAnsi="楷体" w:eastAsia="楷体" w:cs="黑体"/>
                <w:sz w:val="24"/>
                <w:u w:val="single"/>
              </w:rPr>
            </w:pPr>
          </w:p>
        </w:tc>
      </w:tr>
      <w:tr w14:paraId="72CDBE2E">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2D58EC57">
            <w:pPr>
              <w:spacing w:line="360" w:lineRule="auto"/>
              <w:jc w:val="center"/>
              <w:rPr>
                <w:rFonts w:ascii="楷体" w:hAnsi="楷体" w:eastAsia="楷体" w:cs="黑体"/>
                <w:sz w:val="24"/>
              </w:rPr>
            </w:pPr>
            <w:r>
              <w:rPr>
                <w:rFonts w:ascii="楷体" w:hAnsi="楷体" w:eastAsia="楷体"/>
                <w:sz w:val="24"/>
              </w:rPr>
              <w:t>2</w:t>
            </w:r>
          </w:p>
        </w:tc>
        <w:tc>
          <w:tcPr>
            <w:tcW w:w="2240" w:type="dxa"/>
            <w:tcBorders>
              <w:top w:val="single" w:color="000000" w:sz="6" w:space="0"/>
              <w:left w:val="nil"/>
              <w:bottom w:val="single" w:color="000000" w:sz="6" w:space="0"/>
              <w:right w:val="single" w:color="000000" w:sz="6" w:space="0"/>
            </w:tcBorders>
          </w:tcPr>
          <w:p w14:paraId="029A0439">
            <w:pPr>
              <w:spacing w:line="360" w:lineRule="auto"/>
              <w:rPr>
                <w:rFonts w:ascii="楷体" w:hAnsi="楷体" w:eastAsia="楷体" w:cs="黑体"/>
                <w:sz w:val="24"/>
                <w:u w:val="single"/>
              </w:rPr>
            </w:pPr>
          </w:p>
        </w:tc>
        <w:tc>
          <w:tcPr>
            <w:tcW w:w="1304" w:type="dxa"/>
            <w:tcBorders>
              <w:top w:val="single" w:color="000000" w:sz="6" w:space="0"/>
              <w:left w:val="nil"/>
              <w:bottom w:val="single" w:color="000000" w:sz="6" w:space="0"/>
              <w:right w:val="single" w:color="auto" w:sz="4" w:space="0"/>
            </w:tcBorders>
          </w:tcPr>
          <w:p w14:paraId="25C9F8FB">
            <w:pPr>
              <w:spacing w:line="360" w:lineRule="auto"/>
              <w:rPr>
                <w:rFonts w:ascii="楷体" w:hAnsi="楷体" w:eastAsia="楷体" w:cs="黑体"/>
                <w:sz w:val="24"/>
                <w:u w:val="single"/>
              </w:rPr>
            </w:pPr>
          </w:p>
        </w:tc>
        <w:tc>
          <w:tcPr>
            <w:tcW w:w="992" w:type="dxa"/>
            <w:tcBorders>
              <w:top w:val="single" w:color="000000" w:sz="6" w:space="0"/>
              <w:left w:val="nil"/>
              <w:bottom w:val="single" w:color="000000" w:sz="6" w:space="0"/>
              <w:right w:val="single" w:color="auto" w:sz="4" w:space="0"/>
            </w:tcBorders>
          </w:tcPr>
          <w:p w14:paraId="1460C01A">
            <w:pPr>
              <w:spacing w:line="360" w:lineRule="auto"/>
              <w:rPr>
                <w:rFonts w:ascii="楷体" w:hAnsi="楷体" w:eastAsia="楷体" w:cs="黑体"/>
                <w:sz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650EC8EF">
            <w:pPr>
              <w:spacing w:line="360" w:lineRule="auto"/>
              <w:rPr>
                <w:rFonts w:ascii="楷体" w:hAnsi="楷体" w:eastAsia="楷体" w:cs="黑体"/>
                <w:sz w:val="24"/>
                <w:u w:val="single"/>
              </w:rPr>
            </w:pPr>
          </w:p>
        </w:tc>
        <w:tc>
          <w:tcPr>
            <w:tcW w:w="1418" w:type="dxa"/>
            <w:tcBorders>
              <w:top w:val="single" w:color="000000" w:sz="6" w:space="0"/>
              <w:left w:val="nil"/>
              <w:bottom w:val="single" w:color="000000" w:sz="6" w:space="0"/>
              <w:right w:val="single" w:color="000000" w:sz="6" w:space="0"/>
            </w:tcBorders>
          </w:tcPr>
          <w:p w14:paraId="624BF650">
            <w:pPr>
              <w:spacing w:line="360" w:lineRule="auto"/>
              <w:rPr>
                <w:rFonts w:ascii="楷体" w:hAnsi="楷体" w:eastAsia="楷体" w:cs="黑体"/>
                <w:sz w:val="24"/>
                <w:u w:val="single"/>
              </w:rPr>
            </w:pPr>
          </w:p>
        </w:tc>
        <w:tc>
          <w:tcPr>
            <w:tcW w:w="1134" w:type="dxa"/>
            <w:tcBorders>
              <w:top w:val="single" w:color="000000" w:sz="6" w:space="0"/>
              <w:left w:val="nil"/>
              <w:bottom w:val="single" w:color="000000" w:sz="6" w:space="0"/>
              <w:right w:val="single" w:color="000000" w:sz="6" w:space="0"/>
            </w:tcBorders>
          </w:tcPr>
          <w:p w14:paraId="7B36FB2A">
            <w:pPr>
              <w:spacing w:line="360" w:lineRule="auto"/>
              <w:rPr>
                <w:rFonts w:ascii="楷体" w:hAnsi="楷体" w:eastAsia="楷体" w:cs="黑体"/>
                <w:sz w:val="24"/>
                <w:u w:val="single"/>
              </w:rPr>
            </w:pPr>
          </w:p>
        </w:tc>
        <w:tc>
          <w:tcPr>
            <w:tcW w:w="1148" w:type="dxa"/>
            <w:tcBorders>
              <w:top w:val="single" w:color="000000" w:sz="6" w:space="0"/>
              <w:left w:val="nil"/>
              <w:bottom w:val="single" w:color="000000" w:sz="6" w:space="0"/>
              <w:right w:val="single" w:color="000000" w:sz="6" w:space="0"/>
            </w:tcBorders>
          </w:tcPr>
          <w:p w14:paraId="4BC47E8A">
            <w:pPr>
              <w:spacing w:line="360" w:lineRule="auto"/>
              <w:rPr>
                <w:rFonts w:ascii="楷体" w:hAnsi="楷体" w:eastAsia="楷体" w:cs="黑体"/>
                <w:sz w:val="24"/>
                <w:u w:val="single"/>
              </w:rPr>
            </w:pPr>
          </w:p>
        </w:tc>
      </w:tr>
      <w:tr w14:paraId="2CCCEACD">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0D10CB1E">
            <w:pPr>
              <w:spacing w:line="360" w:lineRule="auto"/>
              <w:jc w:val="center"/>
              <w:rPr>
                <w:rFonts w:ascii="楷体" w:hAnsi="楷体" w:eastAsia="楷体" w:cs="黑体"/>
                <w:sz w:val="24"/>
              </w:rPr>
            </w:pPr>
            <w:r>
              <w:rPr>
                <w:rFonts w:hint="eastAsia" w:ascii="楷体" w:hAnsi="楷体" w:eastAsia="楷体"/>
                <w:sz w:val="24"/>
              </w:rPr>
              <w:t>……</w:t>
            </w:r>
          </w:p>
        </w:tc>
        <w:tc>
          <w:tcPr>
            <w:tcW w:w="2240" w:type="dxa"/>
            <w:tcBorders>
              <w:top w:val="single" w:color="000000" w:sz="6" w:space="0"/>
              <w:left w:val="nil"/>
              <w:bottom w:val="single" w:color="000000" w:sz="6" w:space="0"/>
              <w:right w:val="single" w:color="000000" w:sz="6" w:space="0"/>
            </w:tcBorders>
          </w:tcPr>
          <w:p w14:paraId="3E29EAF0">
            <w:pPr>
              <w:spacing w:line="360" w:lineRule="auto"/>
              <w:rPr>
                <w:rFonts w:ascii="楷体" w:hAnsi="楷体" w:eastAsia="楷体" w:cs="黑体"/>
                <w:sz w:val="24"/>
                <w:u w:val="single"/>
              </w:rPr>
            </w:pPr>
          </w:p>
        </w:tc>
        <w:tc>
          <w:tcPr>
            <w:tcW w:w="1304" w:type="dxa"/>
            <w:tcBorders>
              <w:top w:val="single" w:color="000000" w:sz="6" w:space="0"/>
              <w:left w:val="nil"/>
              <w:bottom w:val="single" w:color="000000" w:sz="6" w:space="0"/>
              <w:right w:val="single" w:color="auto" w:sz="4" w:space="0"/>
            </w:tcBorders>
          </w:tcPr>
          <w:p w14:paraId="75ED02C6">
            <w:pPr>
              <w:spacing w:line="360" w:lineRule="auto"/>
              <w:rPr>
                <w:rFonts w:ascii="楷体" w:hAnsi="楷体" w:eastAsia="楷体" w:cs="黑体"/>
                <w:sz w:val="24"/>
                <w:u w:val="single"/>
              </w:rPr>
            </w:pPr>
          </w:p>
        </w:tc>
        <w:tc>
          <w:tcPr>
            <w:tcW w:w="992" w:type="dxa"/>
            <w:tcBorders>
              <w:top w:val="single" w:color="000000" w:sz="6" w:space="0"/>
              <w:left w:val="nil"/>
              <w:bottom w:val="single" w:color="000000" w:sz="6" w:space="0"/>
              <w:right w:val="single" w:color="auto" w:sz="4" w:space="0"/>
            </w:tcBorders>
          </w:tcPr>
          <w:p w14:paraId="70200FF9">
            <w:pPr>
              <w:spacing w:line="360" w:lineRule="auto"/>
              <w:rPr>
                <w:rFonts w:ascii="楷体" w:hAnsi="楷体" w:eastAsia="楷体" w:cs="黑体"/>
                <w:sz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565BEF1E">
            <w:pPr>
              <w:spacing w:line="360" w:lineRule="auto"/>
              <w:rPr>
                <w:rFonts w:ascii="楷体" w:hAnsi="楷体" w:eastAsia="楷体" w:cs="黑体"/>
                <w:sz w:val="24"/>
                <w:u w:val="single"/>
              </w:rPr>
            </w:pPr>
          </w:p>
        </w:tc>
        <w:tc>
          <w:tcPr>
            <w:tcW w:w="1418" w:type="dxa"/>
            <w:tcBorders>
              <w:top w:val="single" w:color="000000" w:sz="6" w:space="0"/>
              <w:left w:val="nil"/>
              <w:bottom w:val="single" w:color="000000" w:sz="6" w:space="0"/>
              <w:right w:val="single" w:color="000000" w:sz="6" w:space="0"/>
            </w:tcBorders>
          </w:tcPr>
          <w:p w14:paraId="19C22489">
            <w:pPr>
              <w:spacing w:line="360" w:lineRule="auto"/>
              <w:rPr>
                <w:rFonts w:ascii="楷体" w:hAnsi="楷体" w:eastAsia="楷体" w:cs="黑体"/>
                <w:sz w:val="24"/>
                <w:u w:val="single"/>
              </w:rPr>
            </w:pPr>
          </w:p>
        </w:tc>
        <w:tc>
          <w:tcPr>
            <w:tcW w:w="1134" w:type="dxa"/>
            <w:tcBorders>
              <w:top w:val="single" w:color="000000" w:sz="6" w:space="0"/>
              <w:left w:val="nil"/>
              <w:bottom w:val="single" w:color="000000" w:sz="6" w:space="0"/>
              <w:right w:val="single" w:color="000000" w:sz="6" w:space="0"/>
            </w:tcBorders>
          </w:tcPr>
          <w:p w14:paraId="5B86643B">
            <w:pPr>
              <w:spacing w:line="360" w:lineRule="auto"/>
              <w:rPr>
                <w:rFonts w:ascii="楷体" w:hAnsi="楷体" w:eastAsia="楷体" w:cs="黑体"/>
                <w:sz w:val="24"/>
                <w:u w:val="single"/>
              </w:rPr>
            </w:pPr>
          </w:p>
        </w:tc>
        <w:tc>
          <w:tcPr>
            <w:tcW w:w="1148" w:type="dxa"/>
            <w:tcBorders>
              <w:top w:val="single" w:color="000000" w:sz="6" w:space="0"/>
              <w:left w:val="nil"/>
              <w:bottom w:val="single" w:color="000000" w:sz="6" w:space="0"/>
              <w:right w:val="single" w:color="000000" w:sz="6" w:space="0"/>
            </w:tcBorders>
          </w:tcPr>
          <w:p w14:paraId="1C8C3BB5">
            <w:pPr>
              <w:spacing w:line="360" w:lineRule="auto"/>
              <w:rPr>
                <w:rFonts w:ascii="楷体" w:hAnsi="楷体" w:eastAsia="楷体" w:cs="黑体"/>
                <w:sz w:val="24"/>
                <w:u w:val="single"/>
              </w:rPr>
            </w:pPr>
          </w:p>
        </w:tc>
      </w:tr>
    </w:tbl>
    <w:p w14:paraId="779FA615">
      <w:pPr>
        <w:pStyle w:val="1534"/>
        <w:spacing w:line="360" w:lineRule="auto"/>
        <w:ind w:firstLine="480"/>
        <w:rPr>
          <w:rFonts w:hint="eastAsia" w:ascii="楷体" w:hAnsi="楷体" w:eastAsia="楷体"/>
          <w:sz w:val="24"/>
          <w:u w:val="single"/>
        </w:rPr>
      </w:pPr>
      <w:r>
        <w:rPr>
          <w:rFonts w:hint="eastAsia" w:ascii="楷体" w:hAnsi="楷体" w:eastAsia="楷体"/>
          <w:sz w:val="24"/>
          <w:u w:val="single"/>
        </w:rPr>
        <w:t>注：1、“偏离”系指“正偏离”、“负偏离”或“无偏离”。</w:t>
      </w:r>
    </w:p>
    <w:p w14:paraId="2DAF0718">
      <w:pPr>
        <w:pStyle w:val="1534"/>
        <w:spacing w:line="360" w:lineRule="auto"/>
        <w:ind w:firstLine="480"/>
        <w:rPr>
          <w:rFonts w:hint="eastAsia" w:ascii="楷体" w:hAnsi="楷体" w:eastAsia="楷体"/>
          <w:sz w:val="24"/>
          <w:u w:val="single"/>
        </w:rPr>
      </w:pPr>
      <w:r>
        <w:rPr>
          <w:rFonts w:hint="eastAsia" w:ascii="楷体" w:hAnsi="楷体" w:eastAsia="楷体"/>
          <w:sz w:val="24"/>
          <w:u w:val="single"/>
        </w:rPr>
        <w:t>2、投标人应</w:t>
      </w:r>
      <w:r>
        <w:rPr>
          <w:rFonts w:hint="eastAsia" w:ascii="楷体" w:hAnsi="楷体" w:eastAsia="楷体"/>
          <w:sz w:val="24"/>
          <w:u w:val="single"/>
          <w:lang w:val="en-US" w:eastAsia="zh-CN"/>
        </w:rPr>
        <w:t>根据招标文件“第四部分 采购需求”“四、技术及服务要求”中的相关技术要求，</w:t>
      </w:r>
      <w:r>
        <w:rPr>
          <w:rFonts w:hint="eastAsia" w:ascii="楷体" w:hAnsi="楷体" w:eastAsia="楷体"/>
          <w:b/>
          <w:bCs/>
          <w:color w:val="FF0000"/>
          <w:sz w:val="28"/>
          <w:szCs w:val="28"/>
          <w:u w:val="single"/>
        </w:rPr>
        <w:t>逐一</w:t>
      </w:r>
      <w:r>
        <w:rPr>
          <w:rFonts w:hint="eastAsia" w:ascii="楷体" w:hAnsi="楷体" w:eastAsia="楷体"/>
          <w:sz w:val="24"/>
          <w:u w:val="single"/>
        </w:rPr>
        <w:t>说明投标货物技术</w:t>
      </w:r>
      <w:r>
        <w:rPr>
          <w:rFonts w:hint="eastAsia" w:ascii="楷体" w:hAnsi="楷体" w:eastAsia="楷体"/>
          <w:sz w:val="24"/>
          <w:u w:val="single"/>
          <w:lang w:val="en-US" w:eastAsia="zh-CN"/>
        </w:rPr>
        <w:t>响应</w:t>
      </w:r>
      <w:r>
        <w:rPr>
          <w:rFonts w:hint="eastAsia" w:ascii="楷体" w:hAnsi="楷体" w:eastAsia="楷体"/>
          <w:sz w:val="24"/>
          <w:u w:val="single"/>
        </w:rPr>
        <w:t>和偏离情况，如直接拷贝或简单复制招标文件技术要求的，技术参数响应情况评分按得零分处理。</w:t>
      </w:r>
    </w:p>
    <w:p w14:paraId="2852D92C">
      <w:pPr>
        <w:pStyle w:val="1534"/>
        <w:spacing w:line="360" w:lineRule="auto"/>
        <w:ind w:firstLine="480"/>
        <w:rPr>
          <w:rFonts w:hint="eastAsia" w:ascii="楷体" w:hAnsi="楷体" w:eastAsia="楷体"/>
          <w:sz w:val="24"/>
          <w:u w:val="single"/>
        </w:rPr>
      </w:pPr>
      <w:r>
        <w:rPr>
          <w:rFonts w:hint="eastAsia" w:ascii="楷体" w:hAnsi="楷体" w:eastAsia="楷体"/>
          <w:sz w:val="24"/>
          <w:u w:val="single"/>
        </w:rPr>
        <w:t>3、投标人在《技术响应及偏离表》中须如实表述产品技术性能，虚构产品技术参数的，将视为虚假应标，按照无效投标处理。</w:t>
      </w:r>
    </w:p>
    <w:p w14:paraId="68C406E2">
      <w:pPr>
        <w:pStyle w:val="1534"/>
        <w:spacing w:line="360" w:lineRule="auto"/>
        <w:ind w:firstLine="480"/>
        <w:rPr>
          <w:rFonts w:hint="eastAsia" w:ascii="楷体" w:hAnsi="楷体" w:eastAsia="楷体"/>
          <w:sz w:val="24"/>
          <w:u w:val="single"/>
        </w:rPr>
      </w:pPr>
      <w:r>
        <w:rPr>
          <w:rFonts w:hint="eastAsia" w:ascii="楷体" w:hAnsi="楷体" w:eastAsia="楷体"/>
          <w:sz w:val="24"/>
          <w:u w:val="single"/>
        </w:rPr>
        <w:t>4、行数不够可自行添加。</w:t>
      </w:r>
    </w:p>
    <w:p w14:paraId="752AD783">
      <w:pPr>
        <w:pStyle w:val="1534"/>
        <w:spacing w:line="360" w:lineRule="auto"/>
        <w:ind w:firstLine="480"/>
        <w:rPr>
          <w:rFonts w:ascii="楷体" w:hAnsi="楷体" w:eastAsia="楷体"/>
          <w:sz w:val="24"/>
          <w:u w:val="single"/>
        </w:rPr>
      </w:pPr>
      <w:r>
        <w:rPr>
          <w:rFonts w:hint="eastAsia" w:ascii="楷体" w:hAnsi="楷体" w:eastAsia="楷体"/>
          <w:sz w:val="24"/>
          <w:u w:val="single"/>
        </w:rPr>
        <w:t>5、相关证明材料附后</w:t>
      </w:r>
      <w:r>
        <w:rPr>
          <w:rFonts w:ascii="楷体" w:hAnsi="楷体" w:eastAsia="楷体"/>
          <w:sz w:val="24"/>
          <w:u w:val="single"/>
        </w:rPr>
        <w:t>。</w:t>
      </w:r>
    </w:p>
    <w:p w14:paraId="02DD4097">
      <w:pPr>
        <w:widowControl/>
        <w:jc w:val="left"/>
        <w:rPr>
          <w:rFonts w:ascii="楷体" w:hAnsi="楷体" w:eastAsia="楷体"/>
          <w:b/>
          <w:sz w:val="32"/>
          <w:szCs w:val="32"/>
        </w:rPr>
      </w:pPr>
    </w:p>
    <w:p w14:paraId="7AE61764">
      <w:pPr>
        <w:widowControl/>
        <w:jc w:val="left"/>
        <w:rPr>
          <w:rFonts w:ascii="楷体" w:hAnsi="楷体" w:eastAsia="楷体"/>
          <w:b/>
          <w:sz w:val="32"/>
          <w:szCs w:val="32"/>
        </w:rPr>
      </w:pPr>
      <w:r>
        <w:rPr>
          <w:rFonts w:ascii="楷体" w:hAnsi="楷体" w:eastAsia="楷体"/>
          <w:b/>
          <w:sz w:val="32"/>
          <w:szCs w:val="32"/>
        </w:rPr>
        <w:br w:type="page" w:clear="all"/>
      </w:r>
    </w:p>
    <w:p w14:paraId="3388E8E3">
      <w:pPr>
        <w:pStyle w:val="5"/>
        <w:rPr>
          <w:rFonts w:ascii="楷体" w:hAnsi="楷体" w:eastAsia="楷体"/>
          <w:sz w:val="30"/>
          <w:szCs w:val="30"/>
        </w:rPr>
      </w:pPr>
      <w:r>
        <w:rPr>
          <w:rFonts w:hint="eastAsia" w:ascii="楷体" w:hAnsi="楷体" w:eastAsia="楷体"/>
          <w:sz w:val="30"/>
          <w:szCs w:val="30"/>
        </w:rPr>
        <w:t>（二）项目实施方案</w:t>
      </w:r>
    </w:p>
    <w:p w14:paraId="6C068968">
      <w:pPr>
        <w:bidi w:val="0"/>
        <w:jc w:val="center"/>
      </w:pPr>
      <w:r>
        <w:rPr>
          <w:rFonts w:hint="eastAsia"/>
          <w:lang w:val="en-US" w:eastAsia="zh-CN"/>
        </w:rPr>
        <w:t>各投标人根据评分办法中的相关要求进行编制</w:t>
      </w:r>
      <w:r>
        <w:br w:type="page"/>
      </w:r>
    </w:p>
    <w:p w14:paraId="6CE295D9">
      <w:pPr>
        <w:pStyle w:val="5"/>
        <w:numPr>
          <w:ilvl w:val="0"/>
          <w:numId w:val="10"/>
        </w:numPr>
        <w:rPr>
          <w:rFonts w:hint="eastAsia" w:ascii="楷体" w:hAnsi="楷体" w:eastAsia="楷体"/>
          <w:sz w:val="30"/>
          <w:szCs w:val="30"/>
        </w:rPr>
      </w:pPr>
      <w:r>
        <w:rPr>
          <w:rFonts w:hint="eastAsia" w:ascii="楷体" w:hAnsi="楷体" w:eastAsia="楷体"/>
          <w:sz w:val="30"/>
          <w:szCs w:val="30"/>
          <w:lang w:val="en-US" w:eastAsia="zh-CN"/>
        </w:rPr>
        <w:t>技术培训方案</w:t>
      </w:r>
    </w:p>
    <w:p w14:paraId="77E7BE67">
      <w:pPr>
        <w:jc w:val="center"/>
        <w:rPr>
          <w:rFonts w:hint="eastAsia"/>
        </w:rPr>
      </w:pPr>
      <w:r>
        <w:rPr>
          <w:rFonts w:hint="eastAsia"/>
          <w:lang w:val="en-US" w:eastAsia="zh-CN"/>
        </w:rPr>
        <w:t>各投标人根据评分办法中的相关要求进行编制</w:t>
      </w:r>
    </w:p>
    <w:p w14:paraId="1CAF8DFE">
      <w:pPr>
        <w:rPr>
          <w:rFonts w:hint="eastAsia" w:ascii="楷体" w:hAnsi="楷体" w:eastAsia="楷体"/>
          <w:sz w:val="30"/>
          <w:szCs w:val="30"/>
        </w:rPr>
      </w:pPr>
      <w:r>
        <w:rPr>
          <w:rFonts w:hint="eastAsia" w:ascii="楷体" w:hAnsi="楷体" w:eastAsia="楷体"/>
          <w:sz w:val="30"/>
          <w:szCs w:val="30"/>
        </w:rPr>
        <w:br w:type="page"/>
      </w:r>
    </w:p>
    <w:p w14:paraId="5CE0A33C">
      <w:pPr>
        <w:pStyle w:val="5"/>
        <w:numPr>
          <w:ilvl w:val="0"/>
          <w:numId w:val="10"/>
        </w:numPr>
        <w:rPr>
          <w:rFonts w:hint="eastAsia" w:ascii="楷体" w:hAnsi="楷体" w:eastAsia="楷体"/>
          <w:sz w:val="30"/>
          <w:szCs w:val="30"/>
        </w:rPr>
      </w:pPr>
      <w:r>
        <w:rPr>
          <w:rFonts w:hint="eastAsia" w:ascii="楷体" w:hAnsi="楷体" w:eastAsia="楷体"/>
          <w:sz w:val="30"/>
          <w:szCs w:val="30"/>
          <w:lang w:val="en-US" w:eastAsia="zh-CN"/>
        </w:rPr>
        <w:t>售后服务</w:t>
      </w:r>
    </w:p>
    <w:p w14:paraId="521B54CD">
      <w:pPr>
        <w:pStyle w:val="5"/>
        <w:tabs>
          <w:tab w:val="left" w:pos="3360"/>
        </w:tabs>
        <w:rPr>
          <w:rFonts w:ascii="楷体" w:hAnsi="楷体" w:eastAsia="楷体"/>
          <w:sz w:val="30"/>
          <w:szCs w:val="30"/>
        </w:rPr>
      </w:pPr>
      <w:r>
        <w:rPr>
          <w:rFonts w:hint="eastAsia" w:ascii="楷体" w:hAnsi="楷体" w:eastAsia="楷体"/>
          <w:sz w:val="30"/>
          <w:szCs w:val="30"/>
          <w:lang w:val="en-US" w:eastAsia="zh-CN"/>
        </w:rPr>
        <w:t>服务</w:t>
      </w:r>
      <w:r>
        <w:rPr>
          <w:rFonts w:hint="eastAsia" w:ascii="楷体" w:hAnsi="楷体" w:eastAsia="楷体"/>
          <w:sz w:val="30"/>
          <w:szCs w:val="30"/>
        </w:rPr>
        <w:t>要求</w:t>
      </w:r>
      <w:r>
        <w:rPr>
          <w:rFonts w:ascii="楷体" w:hAnsi="楷体" w:eastAsia="楷体"/>
          <w:sz w:val="30"/>
          <w:szCs w:val="30"/>
        </w:rPr>
        <w:t>响应及偏离对照表</w:t>
      </w:r>
    </w:p>
    <w:tbl>
      <w:tblPr>
        <w:tblStyle w:val="68"/>
        <w:tblW w:w="501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33"/>
        <w:gridCol w:w="1283"/>
        <w:gridCol w:w="2156"/>
        <w:gridCol w:w="1911"/>
        <w:gridCol w:w="1356"/>
        <w:gridCol w:w="1013"/>
      </w:tblGrid>
      <w:tr w14:paraId="07EA2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2" w:hRule="atLeast"/>
        </w:trPr>
        <w:tc>
          <w:tcPr>
            <w:tcW w:w="379" w:type="pct"/>
            <w:tcBorders>
              <w:bottom w:val="single" w:color="000000" w:sz="4" w:space="0"/>
              <w:right w:val="single" w:color="000000" w:sz="4" w:space="0"/>
            </w:tcBorders>
            <w:shd w:val="clear" w:color="auto" w:fill="auto"/>
            <w:vAlign w:val="center"/>
          </w:tcPr>
          <w:p w14:paraId="1E40A181">
            <w:pPr>
              <w:spacing w:before="6" w:line="310" w:lineRule="atLeast"/>
              <w:ind w:left="100" w:right="278"/>
              <w:jc w:val="center"/>
              <w:rPr>
                <w:rFonts w:ascii="楷体" w:hAnsi="楷体" w:eastAsia="楷体" w:cs="宋体"/>
                <w:sz w:val="24"/>
                <w:lang w:val="zh-CN" w:bidi="zh-CN"/>
              </w:rPr>
            </w:pPr>
            <w:r>
              <w:rPr>
                <w:rFonts w:ascii="楷体" w:hAnsi="楷体" w:eastAsia="楷体" w:cs="宋体"/>
                <w:sz w:val="24"/>
                <w:lang w:val="zh-CN" w:bidi="zh-CN"/>
              </w:rPr>
              <w:t>序号</w:t>
            </w:r>
          </w:p>
        </w:tc>
        <w:tc>
          <w:tcPr>
            <w:tcW w:w="768" w:type="pct"/>
            <w:tcBorders>
              <w:left w:val="single" w:color="000000" w:sz="4" w:space="0"/>
              <w:bottom w:val="single" w:color="000000" w:sz="4" w:space="0"/>
              <w:right w:val="single" w:color="000000" w:sz="4" w:space="0"/>
            </w:tcBorders>
            <w:shd w:val="clear" w:color="auto" w:fill="auto"/>
            <w:vAlign w:val="center"/>
          </w:tcPr>
          <w:p w14:paraId="12956555">
            <w:pPr>
              <w:spacing w:before="8"/>
              <w:ind w:left="117"/>
              <w:jc w:val="center"/>
              <w:rPr>
                <w:rFonts w:ascii="楷体" w:hAnsi="楷体" w:eastAsia="楷体" w:cs="宋体"/>
                <w:sz w:val="24"/>
                <w:lang w:val="zh-CN" w:bidi="zh-CN"/>
              </w:rPr>
            </w:pPr>
            <w:r>
              <w:rPr>
                <w:rFonts w:ascii="楷体" w:hAnsi="楷体" w:eastAsia="楷体" w:cs="宋体"/>
                <w:sz w:val="24"/>
                <w:lang w:val="zh-CN" w:bidi="zh-CN"/>
              </w:rPr>
              <w:t>项目名称</w:t>
            </w:r>
          </w:p>
        </w:tc>
        <w:tc>
          <w:tcPr>
            <w:tcW w:w="1291" w:type="pct"/>
            <w:tcBorders>
              <w:left w:val="single" w:color="000000" w:sz="4" w:space="0"/>
              <w:bottom w:val="single" w:color="000000" w:sz="4" w:space="0"/>
              <w:right w:val="single" w:color="000000" w:sz="4" w:space="0"/>
            </w:tcBorders>
            <w:shd w:val="clear" w:color="auto" w:fill="auto"/>
            <w:vAlign w:val="center"/>
          </w:tcPr>
          <w:p w14:paraId="58FB0EA7">
            <w:pPr>
              <w:spacing w:before="164"/>
              <w:jc w:val="center"/>
              <w:rPr>
                <w:rFonts w:ascii="楷体" w:hAnsi="楷体" w:eastAsia="楷体" w:cs="宋体"/>
                <w:sz w:val="24"/>
                <w:lang w:val="zh-CN" w:bidi="zh-CN"/>
              </w:rPr>
            </w:pPr>
            <w:r>
              <w:rPr>
                <w:rFonts w:ascii="楷体" w:hAnsi="楷体" w:eastAsia="楷体" w:cs="宋体"/>
                <w:sz w:val="24"/>
                <w:lang w:val="zh-CN" w:bidi="zh-CN"/>
              </w:rPr>
              <w:t>招标文件要求</w:t>
            </w:r>
          </w:p>
        </w:tc>
        <w:tc>
          <w:tcPr>
            <w:tcW w:w="1144" w:type="pct"/>
            <w:tcBorders>
              <w:left w:val="single" w:color="000000" w:sz="4" w:space="0"/>
              <w:bottom w:val="single" w:color="000000" w:sz="4" w:space="0"/>
              <w:right w:val="single" w:color="000000" w:sz="4" w:space="0"/>
            </w:tcBorders>
            <w:shd w:val="clear" w:color="auto" w:fill="auto"/>
            <w:vAlign w:val="center"/>
          </w:tcPr>
          <w:p w14:paraId="5C76CFD0">
            <w:pPr>
              <w:spacing w:before="6" w:line="310" w:lineRule="atLeast"/>
              <w:ind w:left="121" w:right="84"/>
              <w:jc w:val="center"/>
              <w:rPr>
                <w:rFonts w:ascii="楷体" w:hAnsi="楷体" w:eastAsia="楷体" w:cs="宋体"/>
                <w:sz w:val="24"/>
                <w:lang w:val="zh-CN" w:bidi="zh-CN"/>
              </w:rPr>
            </w:pPr>
            <w:r>
              <w:rPr>
                <w:rFonts w:hint="eastAsia" w:ascii="楷体" w:hAnsi="楷体" w:eastAsia="楷体" w:cs="宋体"/>
                <w:sz w:val="24"/>
                <w:lang w:val="zh-CN" w:bidi="zh-CN"/>
              </w:rPr>
              <w:t>投标文件</w:t>
            </w:r>
            <w:r>
              <w:rPr>
                <w:rFonts w:ascii="楷体" w:hAnsi="楷体" w:eastAsia="楷体" w:cs="宋体"/>
                <w:sz w:val="24"/>
                <w:lang w:val="zh-CN" w:bidi="zh-CN"/>
              </w:rPr>
              <w:t>的实际情况</w:t>
            </w:r>
          </w:p>
        </w:tc>
        <w:tc>
          <w:tcPr>
            <w:tcW w:w="812" w:type="pct"/>
            <w:tcBorders>
              <w:left w:val="single" w:color="000000" w:sz="4" w:space="0"/>
              <w:bottom w:val="single" w:color="000000" w:sz="4" w:space="0"/>
              <w:right w:val="single" w:color="000000" w:sz="4" w:space="0"/>
            </w:tcBorders>
            <w:shd w:val="clear" w:color="auto" w:fill="auto"/>
            <w:vAlign w:val="center"/>
          </w:tcPr>
          <w:p w14:paraId="71254979">
            <w:pPr>
              <w:spacing w:before="6" w:line="310" w:lineRule="atLeast"/>
              <w:ind w:left="120" w:right="308"/>
              <w:jc w:val="center"/>
              <w:rPr>
                <w:rFonts w:ascii="楷体" w:hAnsi="楷体" w:eastAsia="楷体" w:cs="宋体"/>
                <w:sz w:val="24"/>
                <w:lang w:val="zh-CN" w:bidi="zh-CN"/>
              </w:rPr>
            </w:pPr>
            <w:r>
              <w:rPr>
                <w:rFonts w:ascii="楷体" w:hAnsi="楷体" w:eastAsia="楷体" w:cs="宋体"/>
                <w:sz w:val="24"/>
                <w:lang w:val="zh-CN" w:bidi="zh-CN"/>
              </w:rPr>
              <w:t>符合/正偏离/负偏离</w:t>
            </w:r>
          </w:p>
        </w:tc>
        <w:tc>
          <w:tcPr>
            <w:tcW w:w="603" w:type="pct"/>
            <w:tcBorders>
              <w:left w:val="single" w:color="000000" w:sz="4" w:space="0"/>
              <w:bottom w:val="single" w:color="000000" w:sz="4" w:space="0"/>
              <w:right w:val="single" w:color="000000" w:sz="6" w:space="0"/>
            </w:tcBorders>
            <w:shd w:val="clear" w:color="auto" w:fill="auto"/>
            <w:vAlign w:val="center"/>
          </w:tcPr>
          <w:p w14:paraId="385E7FE8">
            <w:pPr>
              <w:spacing w:before="164"/>
              <w:ind w:left="121"/>
              <w:jc w:val="center"/>
              <w:rPr>
                <w:rFonts w:ascii="楷体" w:hAnsi="楷体" w:eastAsia="楷体" w:cs="宋体"/>
                <w:sz w:val="24"/>
                <w:lang w:val="zh-CN" w:bidi="zh-CN"/>
              </w:rPr>
            </w:pPr>
            <w:r>
              <w:rPr>
                <w:rFonts w:ascii="楷体" w:hAnsi="楷体" w:eastAsia="楷体" w:cs="宋体"/>
                <w:sz w:val="24"/>
                <w:lang w:val="zh-CN" w:bidi="zh-CN"/>
              </w:rPr>
              <w:t>备注</w:t>
            </w:r>
          </w:p>
        </w:tc>
      </w:tr>
      <w:tr w14:paraId="5740A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379" w:type="pct"/>
            <w:tcBorders>
              <w:top w:val="single" w:color="000000" w:sz="4" w:space="0"/>
              <w:bottom w:val="single" w:color="000000" w:sz="4" w:space="0"/>
              <w:right w:val="single" w:color="000000" w:sz="4" w:space="0"/>
            </w:tcBorders>
            <w:shd w:val="clear" w:color="auto" w:fill="auto"/>
          </w:tcPr>
          <w:p w14:paraId="345245E3">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72540A90">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3BC4B093">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69AC28C0">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4706A194">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0ED218AC">
            <w:pPr>
              <w:jc w:val="left"/>
              <w:rPr>
                <w:rFonts w:ascii="楷体" w:hAnsi="楷体" w:eastAsia="楷体" w:cs="宋体"/>
                <w:sz w:val="24"/>
                <w:lang w:val="zh-CN" w:bidi="zh-CN"/>
              </w:rPr>
            </w:pPr>
          </w:p>
        </w:tc>
      </w:tr>
      <w:tr w14:paraId="496D9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098CB421">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50B5A257">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42A1BA05">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25407188">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11C0B273">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569DF466">
            <w:pPr>
              <w:jc w:val="left"/>
              <w:rPr>
                <w:rFonts w:ascii="楷体" w:hAnsi="楷体" w:eastAsia="楷体" w:cs="宋体"/>
                <w:sz w:val="24"/>
                <w:lang w:val="zh-CN" w:bidi="zh-CN"/>
              </w:rPr>
            </w:pPr>
          </w:p>
        </w:tc>
      </w:tr>
      <w:tr w14:paraId="1F623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0C445585">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72060E80">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3C5550AB">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7155C888">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7C7A622D">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156A158A">
            <w:pPr>
              <w:jc w:val="left"/>
              <w:rPr>
                <w:rFonts w:ascii="楷体" w:hAnsi="楷体" w:eastAsia="楷体" w:cs="宋体"/>
                <w:sz w:val="24"/>
                <w:lang w:val="zh-CN" w:bidi="zh-CN"/>
              </w:rPr>
            </w:pPr>
          </w:p>
        </w:tc>
      </w:tr>
      <w:tr w14:paraId="21E9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01B07FA7">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05F19EFD">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2E981427">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65C7A1D6">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0C8A5134">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6728B6C5">
            <w:pPr>
              <w:jc w:val="left"/>
              <w:rPr>
                <w:rFonts w:ascii="楷体" w:hAnsi="楷体" w:eastAsia="楷体" w:cs="宋体"/>
                <w:sz w:val="24"/>
                <w:lang w:val="zh-CN" w:bidi="zh-CN"/>
              </w:rPr>
            </w:pPr>
          </w:p>
        </w:tc>
      </w:tr>
      <w:tr w14:paraId="0FDB4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2BE3E5EE">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6707C825">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746CE69F">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6CCC357D">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2A68F3FD">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5C563B29">
            <w:pPr>
              <w:jc w:val="left"/>
              <w:rPr>
                <w:rFonts w:ascii="楷体" w:hAnsi="楷体" w:eastAsia="楷体" w:cs="宋体"/>
                <w:sz w:val="24"/>
                <w:lang w:val="zh-CN" w:bidi="zh-CN"/>
              </w:rPr>
            </w:pPr>
          </w:p>
        </w:tc>
      </w:tr>
      <w:tr w14:paraId="72268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629D24AD">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1EAE4EED">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649A980B">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474D5EA1">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6BF4EAB0">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407857BF">
            <w:pPr>
              <w:jc w:val="left"/>
              <w:rPr>
                <w:rFonts w:ascii="楷体" w:hAnsi="楷体" w:eastAsia="楷体" w:cs="宋体"/>
                <w:sz w:val="24"/>
                <w:lang w:val="zh-CN" w:bidi="zh-CN"/>
              </w:rPr>
            </w:pPr>
          </w:p>
        </w:tc>
      </w:tr>
      <w:tr w14:paraId="6F213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3D51F88B">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70D2B48A">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11F5D753">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64C3A5DD">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69069A62">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5A0BE8E0">
            <w:pPr>
              <w:jc w:val="left"/>
              <w:rPr>
                <w:rFonts w:ascii="楷体" w:hAnsi="楷体" w:eastAsia="楷体" w:cs="宋体"/>
                <w:sz w:val="24"/>
                <w:lang w:val="zh-CN" w:bidi="zh-CN"/>
              </w:rPr>
            </w:pPr>
          </w:p>
        </w:tc>
      </w:tr>
      <w:tr w14:paraId="24F0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5E414F50">
            <w:pPr>
              <w:jc w:val="left"/>
              <w:rPr>
                <w:rFonts w:ascii="楷体" w:hAnsi="楷体" w:eastAsia="楷体" w:cs="宋体"/>
                <w:sz w:val="24"/>
                <w:lang w:val="zh-CN" w:bidi="zh-CN"/>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tcPr>
          <w:p w14:paraId="556A4592">
            <w:pPr>
              <w:jc w:val="left"/>
              <w:rPr>
                <w:rFonts w:ascii="楷体" w:hAnsi="楷体" w:eastAsia="楷体" w:cs="宋体"/>
                <w:sz w:val="24"/>
                <w:lang w:val="zh-CN" w:bidi="zh-CN"/>
              </w:rPr>
            </w:pPr>
          </w:p>
        </w:tc>
        <w:tc>
          <w:tcPr>
            <w:tcW w:w="1291" w:type="pct"/>
            <w:tcBorders>
              <w:top w:val="single" w:color="000000" w:sz="4" w:space="0"/>
              <w:left w:val="single" w:color="000000" w:sz="4" w:space="0"/>
              <w:bottom w:val="single" w:color="000000" w:sz="4" w:space="0"/>
              <w:right w:val="single" w:color="000000" w:sz="4" w:space="0"/>
            </w:tcBorders>
            <w:shd w:val="clear" w:color="auto" w:fill="auto"/>
          </w:tcPr>
          <w:p w14:paraId="0B888345">
            <w:pPr>
              <w:jc w:val="left"/>
              <w:rPr>
                <w:rFonts w:ascii="楷体" w:hAnsi="楷体" w:eastAsia="楷体" w:cs="宋体"/>
                <w:sz w:val="24"/>
                <w:lang w:val="zh-CN" w:bidi="zh-CN"/>
              </w:rPr>
            </w:pPr>
          </w:p>
        </w:tc>
        <w:tc>
          <w:tcPr>
            <w:tcW w:w="1144" w:type="pct"/>
            <w:tcBorders>
              <w:top w:val="single" w:color="000000" w:sz="4" w:space="0"/>
              <w:left w:val="single" w:color="000000" w:sz="4" w:space="0"/>
              <w:bottom w:val="single" w:color="000000" w:sz="4" w:space="0"/>
              <w:right w:val="single" w:color="000000" w:sz="4" w:space="0"/>
            </w:tcBorders>
            <w:shd w:val="clear" w:color="auto" w:fill="auto"/>
          </w:tcPr>
          <w:p w14:paraId="0DF91A95">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1185CA60">
            <w:pPr>
              <w:jc w:val="left"/>
              <w:rPr>
                <w:rFonts w:ascii="楷体" w:hAnsi="楷体" w:eastAsia="楷体" w:cs="宋体"/>
                <w:sz w:val="24"/>
                <w:lang w:val="zh-CN" w:bidi="zh-CN"/>
              </w:rPr>
            </w:pPr>
          </w:p>
        </w:tc>
        <w:tc>
          <w:tcPr>
            <w:tcW w:w="603" w:type="pct"/>
            <w:tcBorders>
              <w:top w:val="single" w:color="000000" w:sz="4" w:space="0"/>
              <w:left w:val="single" w:color="000000" w:sz="4" w:space="0"/>
              <w:bottom w:val="single" w:color="000000" w:sz="4" w:space="0"/>
              <w:right w:val="single" w:color="000000" w:sz="6" w:space="0"/>
            </w:tcBorders>
            <w:shd w:val="clear" w:color="auto" w:fill="auto"/>
          </w:tcPr>
          <w:p w14:paraId="4CFB3C6B">
            <w:pPr>
              <w:jc w:val="left"/>
              <w:rPr>
                <w:rFonts w:ascii="楷体" w:hAnsi="楷体" w:eastAsia="楷体" w:cs="宋体"/>
                <w:sz w:val="24"/>
                <w:lang w:val="zh-CN" w:bidi="zh-CN"/>
              </w:rPr>
            </w:pPr>
          </w:p>
        </w:tc>
      </w:tr>
      <w:tr w14:paraId="1F51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000" w:type="pct"/>
            <w:gridSpan w:val="6"/>
            <w:tcBorders>
              <w:top w:val="single" w:color="000000" w:sz="4" w:space="0"/>
              <w:bottom w:val="single" w:color="000000" w:sz="6" w:space="0"/>
              <w:right w:val="single" w:color="000000" w:sz="6" w:space="0"/>
            </w:tcBorders>
            <w:shd w:val="clear" w:color="auto" w:fill="auto"/>
          </w:tcPr>
          <w:p w14:paraId="20A2C577">
            <w:pPr>
              <w:jc w:val="left"/>
              <w:rPr>
                <w:rFonts w:ascii="楷体" w:hAnsi="楷体" w:eastAsia="楷体" w:cs="宋体"/>
                <w:sz w:val="24"/>
                <w:lang w:val="zh-CN" w:bidi="zh-CN"/>
              </w:rPr>
            </w:pPr>
          </w:p>
        </w:tc>
      </w:tr>
    </w:tbl>
    <w:p w14:paraId="44BFCBDB">
      <w:pPr>
        <w:spacing w:before="94"/>
        <w:ind w:left="230"/>
        <w:jc w:val="left"/>
        <w:rPr>
          <w:rFonts w:ascii="楷体" w:hAnsi="楷体" w:eastAsia="楷体" w:cs="宋体"/>
          <w:sz w:val="24"/>
          <w:lang w:val="zh-CN" w:bidi="zh-CN"/>
        </w:rPr>
      </w:pPr>
      <w:r>
        <w:rPr>
          <w:rFonts w:ascii="楷体" w:hAnsi="楷体" w:eastAsia="楷体" w:cs="宋体"/>
          <w:sz w:val="24"/>
          <w:lang w:val="zh-CN" w:bidi="zh-CN"/>
        </w:rPr>
        <w:t>填表说明：</w:t>
      </w:r>
    </w:p>
    <w:p w14:paraId="36E89D22">
      <w:pPr>
        <w:spacing w:before="160"/>
        <w:ind w:left="230"/>
        <w:jc w:val="left"/>
        <w:rPr>
          <w:rFonts w:ascii="楷体" w:hAnsi="楷体" w:eastAsia="楷体" w:cs="宋体"/>
          <w:sz w:val="24"/>
          <w:lang w:val="zh-CN" w:bidi="zh-CN"/>
        </w:rPr>
      </w:pPr>
      <w:r>
        <w:rPr>
          <w:rFonts w:ascii="楷体" w:hAnsi="楷体" w:eastAsia="楷体" w:cs="宋体"/>
          <w:sz w:val="24"/>
          <w:lang w:val="zh-CN" w:bidi="zh-CN"/>
        </w:rPr>
        <w:t>1、如有偏离的条款，</w:t>
      </w:r>
      <w:r>
        <w:rPr>
          <w:rFonts w:hint="eastAsia" w:ascii="楷体" w:hAnsi="楷体" w:eastAsia="楷体" w:cs="宋体"/>
          <w:sz w:val="24"/>
          <w:lang w:val="zh-CN" w:bidi="zh-CN"/>
        </w:rPr>
        <w:t>投标人</w:t>
      </w:r>
      <w:r>
        <w:rPr>
          <w:rFonts w:ascii="楷体" w:hAnsi="楷体" w:eastAsia="楷体" w:cs="宋体"/>
          <w:sz w:val="24"/>
          <w:lang w:val="zh-CN" w:bidi="zh-CN"/>
        </w:rPr>
        <w:t>应当根据招标文件</w:t>
      </w:r>
      <w:r>
        <w:rPr>
          <w:rFonts w:hint="eastAsia" w:ascii="楷体" w:hAnsi="楷体" w:eastAsia="楷体" w:cs="宋体"/>
          <w:sz w:val="24"/>
          <w:lang w:val="zh-CN" w:eastAsia="zh-CN" w:bidi="zh-CN"/>
        </w:rPr>
        <w:t>“第四部分 采购需求”“四、技术及服务要求”中的相关</w:t>
      </w:r>
      <w:r>
        <w:rPr>
          <w:rFonts w:hint="eastAsia" w:ascii="楷体" w:hAnsi="楷体" w:eastAsia="楷体" w:cs="宋体"/>
          <w:sz w:val="24"/>
          <w:lang w:val="en-US" w:eastAsia="zh-CN" w:bidi="zh-CN"/>
        </w:rPr>
        <w:t>服务</w:t>
      </w:r>
      <w:r>
        <w:rPr>
          <w:rFonts w:hint="eastAsia" w:ascii="楷体" w:hAnsi="楷体" w:eastAsia="楷体" w:cs="宋体"/>
          <w:sz w:val="24"/>
          <w:lang w:val="zh-CN" w:eastAsia="zh-CN" w:bidi="zh-CN"/>
        </w:rPr>
        <w:t>要求，</w:t>
      </w:r>
      <w:r>
        <w:rPr>
          <w:rFonts w:ascii="楷体" w:hAnsi="楷体" w:eastAsia="楷体" w:cs="宋体"/>
          <w:sz w:val="24"/>
          <w:lang w:val="zh-CN" w:bidi="zh-CN"/>
        </w:rPr>
        <w:t>在上表中标明满足与否。</w:t>
      </w:r>
    </w:p>
    <w:p w14:paraId="6F1C82FE">
      <w:pPr>
        <w:spacing w:before="161"/>
        <w:ind w:left="230"/>
        <w:jc w:val="left"/>
        <w:rPr>
          <w:rFonts w:ascii="楷体" w:hAnsi="楷体" w:eastAsia="楷体" w:cs="宋体"/>
          <w:sz w:val="24"/>
          <w:lang w:val="zh-CN" w:bidi="zh-CN"/>
        </w:rPr>
      </w:pPr>
      <w:r>
        <w:rPr>
          <w:rFonts w:ascii="楷体" w:hAnsi="楷体" w:eastAsia="楷体" w:cs="宋体"/>
          <w:sz w:val="24"/>
          <w:lang w:val="zh-CN" w:bidi="zh-CN"/>
        </w:rPr>
        <w:t>2、</w:t>
      </w:r>
      <w:r>
        <w:rPr>
          <w:rFonts w:hint="eastAsia" w:ascii="楷体" w:hAnsi="楷体" w:eastAsia="楷体" w:cs="宋体"/>
          <w:sz w:val="24"/>
          <w:lang w:val="zh-CN" w:bidi="zh-CN"/>
        </w:rPr>
        <w:t>投标人</w:t>
      </w:r>
      <w:r>
        <w:rPr>
          <w:rFonts w:ascii="楷体" w:hAnsi="楷体" w:eastAsia="楷体" w:cs="宋体"/>
          <w:sz w:val="24"/>
          <w:lang w:val="zh-CN" w:bidi="zh-CN"/>
        </w:rPr>
        <w:t>在本表中须如实表述，虚构内容的，将视为虚假应标，按照无效投标处理。</w:t>
      </w:r>
    </w:p>
    <w:p w14:paraId="73E7E182">
      <w:pPr>
        <w:spacing w:before="160"/>
        <w:ind w:left="230"/>
        <w:jc w:val="left"/>
        <w:rPr>
          <w:rFonts w:ascii="楷体" w:hAnsi="楷体" w:eastAsia="楷体" w:cs="宋体"/>
          <w:sz w:val="24"/>
          <w:lang w:val="zh-CN" w:bidi="zh-CN"/>
        </w:rPr>
      </w:pPr>
      <w:r>
        <w:rPr>
          <w:rFonts w:ascii="楷体" w:hAnsi="楷体" w:eastAsia="楷体" w:cs="宋体"/>
          <w:sz w:val="24"/>
          <w:lang w:val="zh-CN" w:bidi="zh-CN"/>
        </w:rPr>
        <w:t>3、行数不够，可自行添加；</w:t>
      </w:r>
    </w:p>
    <w:p w14:paraId="402005FE">
      <w:pPr>
        <w:spacing w:before="161"/>
        <w:ind w:left="230"/>
        <w:jc w:val="left"/>
        <w:rPr>
          <w:rFonts w:ascii="楷体" w:hAnsi="楷体" w:eastAsia="楷体" w:cs="宋体"/>
          <w:sz w:val="24"/>
          <w:lang w:val="zh-CN" w:bidi="zh-CN"/>
        </w:rPr>
      </w:pPr>
      <w:r>
        <w:rPr>
          <w:rFonts w:ascii="楷体" w:hAnsi="楷体" w:eastAsia="楷体" w:cs="宋体"/>
          <w:sz w:val="24"/>
          <w:lang w:val="zh-CN" w:bidi="zh-CN"/>
        </w:rPr>
        <w:t>4、</w:t>
      </w:r>
      <w:r>
        <w:rPr>
          <w:rFonts w:hint="eastAsia" w:ascii="楷体" w:hAnsi="楷体" w:eastAsia="楷体" w:cs="宋体"/>
          <w:sz w:val="24"/>
          <w:lang w:val="zh-CN" w:bidi="zh-CN"/>
        </w:rPr>
        <w:t>投标人</w:t>
      </w:r>
      <w:r>
        <w:rPr>
          <w:rFonts w:ascii="楷体" w:hAnsi="楷体" w:eastAsia="楷体" w:cs="宋体"/>
          <w:sz w:val="24"/>
          <w:lang w:val="zh-CN" w:bidi="zh-CN"/>
        </w:rPr>
        <w:t>如对</w:t>
      </w:r>
      <w:r>
        <w:rPr>
          <w:rFonts w:hint="eastAsia" w:ascii="楷体" w:hAnsi="楷体" w:eastAsia="楷体" w:cs="宋体"/>
          <w:sz w:val="24"/>
          <w:lang w:val="en-US" w:bidi="zh-CN"/>
        </w:rPr>
        <w:t>服务</w:t>
      </w:r>
      <w:r>
        <w:rPr>
          <w:rFonts w:ascii="楷体" w:hAnsi="楷体" w:eastAsia="楷体" w:cs="宋体"/>
          <w:sz w:val="24"/>
          <w:lang w:val="zh-CN" w:bidi="zh-CN"/>
        </w:rPr>
        <w:t>部分中的内容无偏离，本表盖章即可。</w:t>
      </w:r>
    </w:p>
    <w:p w14:paraId="4E62BA78">
      <w:pPr>
        <w:pStyle w:val="2"/>
        <w:spacing w:line="360" w:lineRule="auto"/>
        <w:ind w:firstLine="480"/>
        <w:jc w:val="center"/>
        <w:rPr>
          <w:rFonts w:hint="eastAsia" w:ascii="楷体" w:hAnsi="楷体" w:eastAsia="楷体"/>
          <w:sz w:val="24"/>
          <w:szCs w:val="24"/>
          <w:lang w:val="en-US" w:eastAsia="zh-CN"/>
        </w:rPr>
      </w:pPr>
      <w:r>
        <w:rPr>
          <w:rFonts w:hint="eastAsia" w:ascii="楷体" w:hAnsi="楷体" w:eastAsia="楷体"/>
          <w:sz w:val="24"/>
          <w:szCs w:val="24"/>
          <w:lang w:val="en-US" w:eastAsia="zh-CN"/>
        </w:rPr>
        <w:t xml:space="preserve">                                    </w:t>
      </w:r>
    </w:p>
    <w:p w14:paraId="1CE84305">
      <w:pPr>
        <w:pStyle w:val="2"/>
        <w:spacing w:line="360" w:lineRule="auto"/>
        <w:ind w:firstLine="480"/>
        <w:jc w:val="right"/>
        <w:rPr>
          <w:rFonts w:ascii="楷体" w:hAnsi="楷体" w:eastAsia="楷体"/>
          <w:sz w:val="24"/>
          <w:szCs w:val="24"/>
        </w:rPr>
      </w:pPr>
      <w:r>
        <w:rPr>
          <w:rFonts w:hint="eastAsia" w:ascii="楷体" w:hAnsi="楷体" w:eastAsia="楷体"/>
          <w:sz w:val="24"/>
          <w:szCs w:val="24"/>
        </w:rPr>
        <w:t>投标人盖章（公章）：</w:t>
      </w:r>
    </w:p>
    <w:p w14:paraId="7AB910FB">
      <w:pPr>
        <w:pStyle w:val="2"/>
        <w:spacing w:line="360" w:lineRule="auto"/>
        <w:ind w:left="482" w:firstLine="560"/>
        <w:jc w:val="right"/>
        <w:rPr>
          <w:rFonts w:ascii="楷体" w:hAnsi="楷体" w:eastAsia="楷体" w:cs="宋体"/>
          <w:sz w:val="24"/>
          <w:lang w:val="zh-CN" w:bidi="zh-CN"/>
        </w:rPr>
      </w:pPr>
      <w:r>
        <w:rPr>
          <w:rFonts w:hint="eastAsia" w:ascii="楷体" w:hAnsi="楷体" w:eastAsia="楷体"/>
          <w:sz w:val="24"/>
          <w:szCs w:val="24"/>
          <w:lang w:val="en-US" w:eastAsia="zh-CN"/>
        </w:rPr>
        <w:t xml:space="preserve">                              </w:t>
      </w:r>
      <w:r>
        <w:rPr>
          <w:rFonts w:hint="eastAsia" w:ascii="楷体" w:hAnsi="楷体" w:eastAsia="楷体"/>
          <w:sz w:val="24"/>
          <w:szCs w:val="24"/>
        </w:rPr>
        <w:t>法定代表人签字或盖章：</w:t>
      </w:r>
      <w:r>
        <w:rPr>
          <w:rFonts w:ascii="楷体" w:hAnsi="楷体" w:eastAsia="楷体"/>
          <w:sz w:val="24"/>
          <w:szCs w:val="24"/>
        </w:rPr>
        <w:t xml:space="preserve">                                                                                                                                                   </w:t>
      </w:r>
      <w:r>
        <w:rPr>
          <w:rFonts w:hint="eastAsia" w:ascii="楷体" w:hAnsi="楷体" w:eastAsia="楷体"/>
          <w:sz w:val="24"/>
          <w:szCs w:val="24"/>
          <w:lang w:val="en-US" w:eastAsia="zh-CN"/>
        </w:rPr>
        <w:t xml:space="preserve">                                   </w:t>
      </w:r>
      <w:r>
        <w:rPr>
          <w:rFonts w:hint="eastAsia" w:ascii="楷体" w:hAnsi="楷体" w:eastAsia="楷体"/>
          <w:sz w:val="24"/>
          <w:szCs w:val="24"/>
        </w:rPr>
        <w:t>日期：</w:t>
      </w:r>
      <w:r>
        <w:rPr>
          <w:rFonts w:hint="eastAsia" w:ascii="楷体" w:hAnsi="楷体" w:eastAsia="楷体"/>
          <w:sz w:val="24"/>
          <w:szCs w:val="24"/>
          <w:lang w:val="en-US" w:eastAsia="zh-CN"/>
        </w:rPr>
        <w:t xml:space="preserve">     </w:t>
      </w:r>
      <w:r>
        <w:rPr>
          <w:rFonts w:hint="eastAsia" w:ascii="楷体" w:hAnsi="楷体" w:eastAsia="楷体"/>
          <w:sz w:val="24"/>
          <w:szCs w:val="24"/>
        </w:rPr>
        <w:t>年</w:t>
      </w:r>
      <w:r>
        <w:rPr>
          <w:rFonts w:hint="eastAsia" w:ascii="楷体" w:hAnsi="楷体" w:eastAsia="楷体"/>
          <w:sz w:val="24"/>
          <w:szCs w:val="24"/>
          <w:lang w:val="en-US" w:eastAsia="zh-CN"/>
        </w:rPr>
        <w:t xml:space="preserve">    </w:t>
      </w:r>
      <w:r>
        <w:rPr>
          <w:rFonts w:hint="eastAsia" w:ascii="楷体" w:hAnsi="楷体" w:eastAsia="楷体"/>
          <w:sz w:val="24"/>
          <w:szCs w:val="24"/>
        </w:rPr>
        <w:t>月</w:t>
      </w:r>
      <w:r>
        <w:rPr>
          <w:rFonts w:hint="eastAsia" w:ascii="楷体" w:hAnsi="楷体" w:eastAsia="楷体"/>
          <w:sz w:val="24"/>
          <w:szCs w:val="24"/>
          <w:lang w:val="en-US" w:eastAsia="zh-CN"/>
        </w:rPr>
        <w:t xml:space="preserve">   </w:t>
      </w:r>
      <w:r>
        <w:rPr>
          <w:rFonts w:hint="eastAsia" w:ascii="楷体" w:hAnsi="楷体" w:eastAsia="楷体"/>
          <w:sz w:val="24"/>
          <w:szCs w:val="24"/>
        </w:rPr>
        <w:t>日</w:t>
      </w:r>
    </w:p>
    <w:p w14:paraId="7D936AA0">
      <w:pPr>
        <w:jc w:val="center"/>
        <w:rPr>
          <w:rFonts w:hint="eastAsia"/>
        </w:rPr>
      </w:pPr>
    </w:p>
    <w:p w14:paraId="14509B6A">
      <w:pPr>
        <w:rPr>
          <w:rFonts w:ascii="楷体" w:hAnsi="楷体" w:eastAsia="楷体"/>
          <w:b/>
          <w:sz w:val="32"/>
          <w:szCs w:val="32"/>
        </w:rPr>
      </w:pPr>
      <w:r>
        <w:rPr>
          <w:rFonts w:hint="eastAsia" w:ascii="楷体" w:hAnsi="楷体" w:eastAsia="楷体" w:cs="Times New Roman"/>
          <w:b/>
          <w:sz w:val="30"/>
          <w:szCs w:val="30"/>
          <w:lang w:val="en-US" w:eastAsia="zh-CN" w:bidi="ar-SA"/>
        </w:rPr>
        <w:br w:type="page"/>
      </w:r>
    </w:p>
    <w:p w14:paraId="2DC506C4">
      <w:pPr>
        <w:pStyle w:val="5"/>
        <w:numPr>
          <w:ilvl w:val="0"/>
          <w:numId w:val="0"/>
        </w:numPr>
        <w:jc w:val="center"/>
        <w:rPr>
          <w:rFonts w:hint="eastAsia" w:ascii="楷体" w:hAnsi="楷体" w:eastAsia="楷体"/>
          <w:sz w:val="30"/>
          <w:szCs w:val="30"/>
        </w:rPr>
      </w:pPr>
      <w:r>
        <w:rPr>
          <w:rFonts w:hint="eastAsia" w:ascii="楷体" w:hAnsi="楷体" w:eastAsia="楷体"/>
          <w:sz w:val="30"/>
          <w:szCs w:val="30"/>
          <w:lang w:val="en-US" w:eastAsia="zh-CN"/>
        </w:rPr>
        <w:t>售后服务方案</w:t>
      </w:r>
    </w:p>
    <w:p w14:paraId="6CFB8843">
      <w:pPr>
        <w:widowControl/>
        <w:jc w:val="center"/>
        <w:rPr>
          <w:rFonts w:hint="eastAsia" w:ascii="楷体" w:hAnsi="楷体" w:eastAsia="楷体"/>
          <w:b/>
          <w:sz w:val="32"/>
          <w:szCs w:val="32"/>
        </w:rPr>
      </w:pPr>
    </w:p>
    <w:p w14:paraId="4248F8DD">
      <w:pPr>
        <w:widowControl/>
        <w:jc w:val="center"/>
        <w:rPr>
          <w:rFonts w:hint="eastAsia" w:ascii="楷体" w:hAnsi="楷体" w:eastAsia="楷体"/>
          <w:b/>
          <w:sz w:val="32"/>
          <w:szCs w:val="32"/>
        </w:rPr>
      </w:pPr>
    </w:p>
    <w:p w14:paraId="5A5EBA87">
      <w:pPr>
        <w:widowControl/>
        <w:jc w:val="center"/>
        <w:rPr>
          <w:rFonts w:hint="eastAsia" w:ascii="楷体" w:hAnsi="楷体" w:eastAsia="楷体"/>
          <w:b/>
          <w:sz w:val="32"/>
          <w:szCs w:val="32"/>
        </w:rPr>
      </w:pPr>
    </w:p>
    <w:p w14:paraId="29373252">
      <w:pPr>
        <w:widowControl/>
        <w:jc w:val="center"/>
        <w:rPr>
          <w:rFonts w:hint="eastAsia" w:ascii="楷体" w:hAnsi="楷体" w:eastAsia="楷体"/>
          <w:b/>
          <w:sz w:val="32"/>
          <w:szCs w:val="32"/>
        </w:rPr>
      </w:pPr>
    </w:p>
    <w:p w14:paraId="46F6D57B">
      <w:pPr>
        <w:widowControl/>
        <w:jc w:val="center"/>
        <w:rPr>
          <w:rFonts w:hint="eastAsia" w:ascii="楷体" w:hAnsi="楷体" w:eastAsia="楷体"/>
          <w:b/>
          <w:sz w:val="32"/>
          <w:szCs w:val="32"/>
        </w:rPr>
      </w:pPr>
    </w:p>
    <w:p w14:paraId="2A93432E">
      <w:pPr>
        <w:widowControl/>
        <w:jc w:val="center"/>
        <w:rPr>
          <w:rFonts w:hint="eastAsia" w:ascii="楷体" w:hAnsi="楷体" w:eastAsia="楷体"/>
          <w:b/>
          <w:sz w:val="32"/>
          <w:szCs w:val="32"/>
        </w:rPr>
      </w:pPr>
    </w:p>
    <w:p w14:paraId="7415B214">
      <w:pPr>
        <w:widowControl/>
        <w:jc w:val="center"/>
        <w:rPr>
          <w:rFonts w:hint="eastAsia" w:ascii="楷体" w:hAnsi="楷体" w:eastAsia="楷体"/>
          <w:b/>
          <w:sz w:val="32"/>
          <w:szCs w:val="32"/>
        </w:rPr>
      </w:pPr>
    </w:p>
    <w:p w14:paraId="6F5DEF9C">
      <w:pPr>
        <w:widowControl/>
        <w:jc w:val="center"/>
        <w:rPr>
          <w:rFonts w:hint="eastAsia" w:ascii="楷体" w:hAnsi="楷体" w:eastAsia="楷体"/>
          <w:b/>
          <w:sz w:val="32"/>
          <w:szCs w:val="32"/>
        </w:rPr>
      </w:pPr>
    </w:p>
    <w:p w14:paraId="2B3C3F32">
      <w:pPr>
        <w:widowControl/>
        <w:jc w:val="center"/>
        <w:rPr>
          <w:rFonts w:hint="eastAsia" w:ascii="楷体" w:hAnsi="楷体" w:eastAsia="楷体"/>
          <w:b/>
          <w:sz w:val="32"/>
          <w:szCs w:val="32"/>
        </w:rPr>
      </w:pPr>
    </w:p>
    <w:p w14:paraId="63862956">
      <w:pPr>
        <w:widowControl/>
        <w:jc w:val="center"/>
        <w:rPr>
          <w:rFonts w:hint="eastAsia" w:ascii="楷体" w:hAnsi="楷体" w:eastAsia="楷体"/>
          <w:b/>
          <w:sz w:val="32"/>
          <w:szCs w:val="32"/>
        </w:rPr>
      </w:pPr>
    </w:p>
    <w:p w14:paraId="62ECC513">
      <w:pPr>
        <w:widowControl/>
        <w:jc w:val="center"/>
        <w:rPr>
          <w:rFonts w:hint="eastAsia" w:ascii="楷体" w:hAnsi="楷体" w:eastAsia="楷体"/>
          <w:b/>
          <w:sz w:val="32"/>
          <w:szCs w:val="32"/>
        </w:rPr>
      </w:pPr>
    </w:p>
    <w:p w14:paraId="7F0CCACB">
      <w:pPr>
        <w:widowControl/>
        <w:jc w:val="center"/>
        <w:rPr>
          <w:rFonts w:hint="eastAsia" w:ascii="楷体" w:hAnsi="楷体" w:eastAsia="楷体"/>
          <w:b/>
          <w:sz w:val="32"/>
          <w:szCs w:val="32"/>
        </w:rPr>
      </w:pPr>
    </w:p>
    <w:p w14:paraId="78150B64">
      <w:pPr>
        <w:widowControl/>
        <w:jc w:val="center"/>
        <w:rPr>
          <w:rFonts w:hint="eastAsia" w:ascii="楷体" w:hAnsi="楷体" w:eastAsia="楷体"/>
          <w:b/>
          <w:sz w:val="32"/>
          <w:szCs w:val="32"/>
        </w:rPr>
      </w:pPr>
    </w:p>
    <w:p w14:paraId="1BD6551B">
      <w:pPr>
        <w:widowControl/>
        <w:jc w:val="center"/>
        <w:rPr>
          <w:rFonts w:hint="eastAsia" w:ascii="楷体" w:hAnsi="楷体" w:eastAsia="楷体"/>
          <w:b/>
          <w:sz w:val="32"/>
          <w:szCs w:val="32"/>
        </w:rPr>
      </w:pPr>
    </w:p>
    <w:p w14:paraId="106B46DA">
      <w:pPr>
        <w:widowControl/>
        <w:jc w:val="center"/>
        <w:rPr>
          <w:rFonts w:hint="eastAsia" w:ascii="楷体" w:hAnsi="楷体" w:eastAsia="楷体"/>
          <w:b/>
          <w:sz w:val="32"/>
          <w:szCs w:val="32"/>
        </w:rPr>
      </w:pPr>
    </w:p>
    <w:p w14:paraId="0739AAA8">
      <w:pPr>
        <w:widowControl/>
        <w:jc w:val="center"/>
        <w:rPr>
          <w:rFonts w:hint="eastAsia" w:ascii="楷体" w:hAnsi="楷体" w:eastAsia="楷体"/>
          <w:b/>
          <w:sz w:val="32"/>
          <w:szCs w:val="32"/>
        </w:rPr>
      </w:pPr>
    </w:p>
    <w:p w14:paraId="569ADD71">
      <w:pPr>
        <w:widowControl/>
        <w:jc w:val="center"/>
        <w:rPr>
          <w:rFonts w:hint="eastAsia" w:ascii="楷体" w:hAnsi="楷体" w:eastAsia="楷体"/>
          <w:b/>
          <w:sz w:val="32"/>
          <w:szCs w:val="32"/>
        </w:rPr>
      </w:pPr>
    </w:p>
    <w:p w14:paraId="1D35935A">
      <w:pPr>
        <w:widowControl/>
        <w:jc w:val="center"/>
        <w:rPr>
          <w:rFonts w:hint="eastAsia" w:ascii="楷体" w:hAnsi="楷体" w:eastAsia="楷体"/>
          <w:b/>
          <w:sz w:val="32"/>
          <w:szCs w:val="32"/>
        </w:rPr>
      </w:pPr>
    </w:p>
    <w:p w14:paraId="1DA2A996">
      <w:pPr>
        <w:widowControl/>
        <w:jc w:val="center"/>
        <w:rPr>
          <w:rFonts w:hint="eastAsia" w:ascii="楷体" w:hAnsi="楷体" w:eastAsia="楷体"/>
          <w:b/>
          <w:sz w:val="32"/>
          <w:szCs w:val="32"/>
        </w:rPr>
      </w:pPr>
    </w:p>
    <w:p w14:paraId="780D9716">
      <w:pPr>
        <w:widowControl/>
        <w:jc w:val="center"/>
        <w:rPr>
          <w:rFonts w:hint="eastAsia" w:ascii="楷体" w:hAnsi="楷体" w:eastAsia="楷体"/>
          <w:b/>
          <w:sz w:val="32"/>
          <w:szCs w:val="32"/>
        </w:rPr>
      </w:pPr>
    </w:p>
    <w:p w14:paraId="7E9FB581">
      <w:pPr>
        <w:widowControl/>
        <w:jc w:val="center"/>
        <w:rPr>
          <w:rFonts w:hint="eastAsia" w:ascii="楷体" w:hAnsi="楷体" w:eastAsia="楷体"/>
          <w:b/>
          <w:sz w:val="32"/>
          <w:szCs w:val="32"/>
        </w:rPr>
      </w:pPr>
    </w:p>
    <w:p w14:paraId="21C1D42C">
      <w:pPr>
        <w:widowControl/>
        <w:jc w:val="center"/>
        <w:rPr>
          <w:rFonts w:hint="eastAsia" w:ascii="楷体" w:hAnsi="楷体" w:eastAsia="楷体"/>
          <w:b/>
          <w:sz w:val="32"/>
          <w:szCs w:val="32"/>
        </w:rPr>
      </w:pPr>
    </w:p>
    <w:p w14:paraId="61264CCA">
      <w:pPr>
        <w:widowControl/>
        <w:jc w:val="center"/>
        <w:rPr>
          <w:rFonts w:hint="eastAsia" w:ascii="楷体" w:hAnsi="楷体" w:eastAsia="楷体"/>
          <w:b/>
          <w:sz w:val="32"/>
          <w:szCs w:val="32"/>
        </w:rPr>
      </w:pPr>
    </w:p>
    <w:p w14:paraId="72545E00">
      <w:pPr>
        <w:widowControl/>
        <w:jc w:val="center"/>
        <w:rPr>
          <w:rFonts w:hint="eastAsia" w:ascii="楷体" w:hAnsi="楷体" w:eastAsia="楷体"/>
          <w:b/>
          <w:sz w:val="32"/>
          <w:szCs w:val="32"/>
        </w:rPr>
      </w:pPr>
    </w:p>
    <w:p w14:paraId="31CFBEDB">
      <w:pPr>
        <w:widowControl/>
        <w:jc w:val="center"/>
        <w:rPr>
          <w:rFonts w:hint="eastAsia" w:ascii="楷体" w:hAnsi="楷体" w:eastAsia="楷体"/>
          <w:b/>
          <w:sz w:val="32"/>
          <w:szCs w:val="32"/>
        </w:rPr>
      </w:pPr>
    </w:p>
    <w:p w14:paraId="5A509E2F">
      <w:pPr>
        <w:widowControl/>
        <w:jc w:val="center"/>
        <w:rPr>
          <w:rFonts w:hint="eastAsia" w:ascii="楷体" w:hAnsi="楷体" w:eastAsia="楷体"/>
          <w:b/>
          <w:sz w:val="32"/>
          <w:szCs w:val="32"/>
        </w:rPr>
      </w:pPr>
    </w:p>
    <w:p w14:paraId="2C4DED82">
      <w:pPr>
        <w:widowControl/>
        <w:jc w:val="center"/>
        <w:rPr>
          <w:rFonts w:hint="eastAsia" w:ascii="楷体" w:hAnsi="楷体" w:eastAsia="楷体"/>
          <w:b/>
          <w:sz w:val="32"/>
          <w:szCs w:val="32"/>
        </w:rPr>
      </w:pPr>
    </w:p>
    <w:p w14:paraId="42C784CF">
      <w:pPr>
        <w:widowControl/>
        <w:jc w:val="center"/>
        <w:rPr>
          <w:rFonts w:hint="eastAsia" w:ascii="楷体" w:hAnsi="楷体" w:eastAsia="楷体"/>
          <w:b/>
          <w:sz w:val="32"/>
          <w:szCs w:val="32"/>
        </w:rPr>
      </w:pPr>
    </w:p>
    <w:p w14:paraId="2B5846DA">
      <w:pPr>
        <w:widowControl/>
        <w:jc w:val="center"/>
        <w:rPr>
          <w:rFonts w:hint="eastAsia" w:ascii="楷体" w:hAnsi="楷体" w:eastAsia="楷体"/>
          <w:b/>
          <w:sz w:val="32"/>
          <w:szCs w:val="32"/>
        </w:rPr>
      </w:pPr>
    </w:p>
    <w:p w14:paraId="00E32252">
      <w:pPr>
        <w:widowControl/>
        <w:jc w:val="center"/>
        <w:rPr>
          <w:rFonts w:hint="eastAsia" w:ascii="楷体" w:hAnsi="楷体" w:eastAsia="楷体"/>
          <w:b/>
          <w:sz w:val="32"/>
          <w:szCs w:val="32"/>
        </w:rPr>
      </w:pPr>
    </w:p>
    <w:p w14:paraId="12B0353B">
      <w:pPr>
        <w:widowControl/>
        <w:jc w:val="center"/>
        <w:rPr>
          <w:rFonts w:hint="eastAsia" w:ascii="楷体" w:hAnsi="楷体" w:eastAsia="楷体"/>
          <w:b/>
          <w:sz w:val="32"/>
          <w:szCs w:val="32"/>
        </w:rPr>
      </w:pPr>
    </w:p>
    <w:p w14:paraId="50A1D02C">
      <w:pPr>
        <w:widowControl/>
        <w:jc w:val="center"/>
        <w:rPr>
          <w:rFonts w:ascii="楷体" w:hAnsi="楷体" w:eastAsia="楷体"/>
          <w:b/>
          <w:color w:val="002060"/>
          <w:sz w:val="32"/>
          <w:szCs w:val="32"/>
        </w:rPr>
      </w:pPr>
      <w:r>
        <w:rPr>
          <w:rFonts w:hint="eastAsia" w:ascii="楷体" w:hAnsi="楷体" w:eastAsia="楷体"/>
          <w:b/>
          <w:sz w:val="32"/>
          <w:szCs w:val="32"/>
        </w:rPr>
        <w:t>六、商务部分</w:t>
      </w:r>
    </w:p>
    <w:p w14:paraId="4B248AC4">
      <w:pPr>
        <w:pStyle w:val="5"/>
        <w:rPr>
          <w:rFonts w:hint="eastAsia" w:ascii="楷体" w:hAnsi="楷体" w:eastAsia="楷体"/>
          <w:sz w:val="30"/>
          <w:szCs w:val="30"/>
          <w:lang w:val="en-US" w:eastAsia="zh-CN"/>
        </w:rPr>
      </w:pPr>
      <w:r>
        <w:rPr>
          <w:rFonts w:hint="eastAsia" w:ascii="楷体" w:hAnsi="楷体" w:eastAsia="楷体"/>
          <w:sz w:val="30"/>
          <w:szCs w:val="30"/>
        </w:rPr>
        <w:t>（一）</w:t>
      </w:r>
      <w:r>
        <w:rPr>
          <w:rFonts w:hint="eastAsia" w:ascii="楷体" w:hAnsi="楷体" w:eastAsia="楷体"/>
          <w:sz w:val="30"/>
          <w:szCs w:val="30"/>
          <w:lang w:val="en-US" w:eastAsia="zh-CN"/>
        </w:rPr>
        <w:t>类似业绩</w:t>
      </w:r>
    </w:p>
    <w:p w14:paraId="447984B9">
      <w:pPr>
        <w:spacing w:line="360" w:lineRule="auto"/>
        <w:jc w:val="center"/>
        <w:rPr>
          <w:rFonts w:ascii="楷体" w:hAnsi="楷体" w:eastAsia="楷体" w:cs="宋体"/>
          <w:sz w:val="30"/>
          <w:szCs w:val="30"/>
          <w:lang w:val="zh-CN" w:bidi="zh-CN"/>
        </w:rPr>
      </w:pPr>
      <w:r>
        <w:rPr>
          <w:rFonts w:hint="eastAsia" w:ascii="楷体" w:hAnsi="楷体" w:eastAsia="楷体" w:cs="宋体"/>
          <w:sz w:val="30"/>
          <w:szCs w:val="30"/>
          <w:lang w:val="zh-CN" w:bidi="zh-CN"/>
        </w:rPr>
        <w:t>投标人类似业绩表</w:t>
      </w:r>
    </w:p>
    <w:tbl>
      <w:tblPr>
        <w:tblStyle w:val="68"/>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759"/>
        <w:gridCol w:w="2696"/>
        <w:gridCol w:w="1541"/>
        <w:gridCol w:w="1159"/>
      </w:tblGrid>
      <w:tr w14:paraId="3B62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4FCAF9CF">
            <w:pPr>
              <w:spacing w:line="360" w:lineRule="auto"/>
              <w:jc w:val="center"/>
              <w:rPr>
                <w:rFonts w:ascii="楷体" w:hAnsi="楷体" w:eastAsia="楷体"/>
                <w:bCs/>
                <w:sz w:val="24"/>
                <w:szCs w:val="21"/>
              </w:rPr>
            </w:pPr>
            <w:r>
              <w:rPr>
                <w:rFonts w:hint="eastAsia" w:ascii="楷体" w:hAnsi="楷体" w:eastAsia="楷体"/>
                <w:bCs/>
                <w:sz w:val="24"/>
                <w:szCs w:val="21"/>
              </w:rPr>
              <w:t>序号</w:t>
            </w:r>
          </w:p>
        </w:tc>
        <w:tc>
          <w:tcPr>
            <w:tcW w:w="1124" w:type="pct"/>
            <w:tcBorders>
              <w:top w:val="single" w:color="auto" w:sz="4" w:space="0"/>
              <w:left w:val="single" w:color="auto" w:sz="4" w:space="0"/>
              <w:bottom w:val="single" w:color="auto" w:sz="4" w:space="0"/>
              <w:right w:val="single" w:color="auto" w:sz="4" w:space="0"/>
            </w:tcBorders>
            <w:vAlign w:val="center"/>
          </w:tcPr>
          <w:p w14:paraId="74F91C04">
            <w:pPr>
              <w:spacing w:line="360" w:lineRule="auto"/>
              <w:jc w:val="center"/>
              <w:rPr>
                <w:rFonts w:ascii="楷体" w:hAnsi="楷体" w:eastAsia="楷体"/>
                <w:bCs/>
                <w:sz w:val="24"/>
                <w:szCs w:val="21"/>
              </w:rPr>
            </w:pPr>
            <w:r>
              <w:rPr>
                <w:rFonts w:hint="eastAsia" w:ascii="楷体" w:hAnsi="楷体" w:eastAsia="楷体"/>
                <w:bCs/>
                <w:sz w:val="24"/>
                <w:szCs w:val="21"/>
              </w:rPr>
              <w:t>项目名称</w:t>
            </w:r>
          </w:p>
        </w:tc>
        <w:tc>
          <w:tcPr>
            <w:tcW w:w="1723" w:type="pct"/>
            <w:tcBorders>
              <w:top w:val="single" w:color="auto" w:sz="4" w:space="0"/>
              <w:left w:val="single" w:color="auto" w:sz="4" w:space="0"/>
              <w:bottom w:val="single" w:color="auto" w:sz="4" w:space="0"/>
              <w:right w:val="single" w:color="auto" w:sz="4" w:space="0"/>
            </w:tcBorders>
            <w:vAlign w:val="center"/>
          </w:tcPr>
          <w:p w14:paraId="7B563FE9">
            <w:pPr>
              <w:spacing w:line="360" w:lineRule="auto"/>
              <w:jc w:val="center"/>
              <w:rPr>
                <w:rFonts w:ascii="楷体" w:hAnsi="楷体" w:eastAsia="楷体"/>
                <w:bCs/>
                <w:sz w:val="24"/>
                <w:szCs w:val="21"/>
              </w:rPr>
            </w:pPr>
            <w:r>
              <w:rPr>
                <w:rFonts w:hint="eastAsia" w:ascii="楷体" w:hAnsi="楷体" w:eastAsia="楷体"/>
                <w:bCs/>
                <w:sz w:val="24"/>
                <w:szCs w:val="21"/>
              </w:rPr>
              <w:t>项目内容</w:t>
            </w:r>
          </w:p>
        </w:tc>
        <w:tc>
          <w:tcPr>
            <w:tcW w:w="985" w:type="pct"/>
            <w:tcBorders>
              <w:top w:val="single" w:color="auto" w:sz="4" w:space="0"/>
              <w:left w:val="single" w:color="auto" w:sz="4" w:space="0"/>
              <w:bottom w:val="single" w:color="auto" w:sz="4" w:space="0"/>
              <w:right w:val="single" w:color="auto" w:sz="4" w:space="0"/>
            </w:tcBorders>
            <w:vAlign w:val="center"/>
          </w:tcPr>
          <w:p w14:paraId="6655E7DE">
            <w:pPr>
              <w:spacing w:line="360" w:lineRule="auto"/>
              <w:jc w:val="center"/>
              <w:rPr>
                <w:rFonts w:ascii="楷体" w:hAnsi="楷体" w:eastAsia="楷体"/>
                <w:bCs/>
                <w:sz w:val="24"/>
                <w:szCs w:val="21"/>
              </w:rPr>
            </w:pPr>
            <w:r>
              <w:rPr>
                <w:rFonts w:hint="eastAsia" w:ascii="楷体" w:hAnsi="楷体" w:eastAsia="楷体"/>
                <w:bCs/>
                <w:sz w:val="24"/>
                <w:szCs w:val="21"/>
              </w:rPr>
              <w:t>所在地</w:t>
            </w:r>
          </w:p>
        </w:tc>
        <w:tc>
          <w:tcPr>
            <w:tcW w:w="741" w:type="pct"/>
            <w:tcBorders>
              <w:top w:val="single" w:color="auto" w:sz="4" w:space="0"/>
              <w:left w:val="single" w:color="auto" w:sz="4" w:space="0"/>
              <w:bottom w:val="single" w:color="auto" w:sz="4" w:space="0"/>
              <w:right w:val="single" w:color="auto" w:sz="4" w:space="0"/>
            </w:tcBorders>
            <w:vAlign w:val="center"/>
          </w:tcPr>
          <w:p w14:paraId="507DC07B">
            <w:pPr>
              <w:spacing w:line="360" w:lineRule="auto"/>
              <w:jc w:val="center"/>
              <w:rPr>
                <w:rFonts w:ascii="楷体" w:hAnsi="楷体" w:eastAsia="楷体"/>
                <w:bCs/>
                <w:sz w:val="24"/>
                <w:szCs w:val="21"/>
              </w:rPr>
            </w:pPr>
            <w:r>
              <w:rPr>
                <w:rFonts w:hint="eastAsia" w:ascii="楷体" w:hAnsi="楷体" w:eastAsia="楷体"/>
                <w:bCs/>
                <w:sz w:val="24"/>
                <w:szCs w:val="21"/>
              </w:rPr>
              <w:t>时间</w:t>
            </w:r>
          </w:p>
        </w:tc>
      </w:tr>
      <w:tr w14:paraId="5C50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39CB821A">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25D20FFD">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381D832C">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1B884A68">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2AEBF739">
            <w:pPr>
              <w:spacing w:line="360" w:lineRule="auto"/>
              <w:jc w:val="center"/>
              <w:rPr>
                <w:rFonts w:ascii="楷体" w:hAnsi="楷体" w:eastAsia="楷体"/>
                <w:sz w:val="24"/>
                <w:szCs w:val="21"/>
              </w:rPr>
            </w:pPr>
          </w:p>
        </w:tc>
      </w:tr>
      <w:tr w14:paraId="0753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03C91171">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6B0E1673">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6D8E6EC7">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2E3FF0F0">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4D79B853">
            <w:pPr>
              <w:spacing w:line="360" w:lineRule="auto"/>
              <w:jc w:val="center"/>
              <w:rPr>
                <w:rFonts w:ascii="楷体" w:hAnsi="楷体" w:eastAsia="楷体"/>
                <w:sz w:val="24"/>
                <w:szCs w:val="21"/>
              </w:rPr>
            </w:pPr>
          </w:p>
        </w:tc>
      </w:tr>
      <w:tr w14:paraId="5370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133BA64E">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4CD081F5">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1AC29934">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69E29B91">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24DAC524">
            <w:pPr>
              <w:spacing w:line="360" w:lineRule="auto"/>
              <w:jc w:val="center"/>
              <w:rPr>
                <w:rFonts w:ascii="楷体" w:hAnsi="楷体" w:eastAsia="楷体"/>
                <w:sz w:val="24"/>
                <w:szCs w:val="21"/>
              </w:rPr>
            </w:pPr>
          </w:p>
        </w:tc>
      </w:tr>
      <w:tr w14:paraId="5E5B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05E11752">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0D250AD8">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43ACA568">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34C24EDF">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717B2AE6">
            <w:pPr>
              <w:spacing w:line="360" w:lineRule="auto"/>
              <w:jc w:val="center"/>
              <w:rPr>
                <w:rFonts w:ascii="楷体" w:hAnsi="楷体" w:eastAsia="楷体"/>
                <w:sz w:val="24"/>
                <w:szCs w:val="21"/>
              </w:rPr>
            </w:pPr>
          </w:p>
        </w:tc>
      </w:tr>
      <w:tr w14:paraId="750B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0B5B750E">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233C031D">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2B474B01">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37210B2D">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3699CCA0">
            <w:pPr>
              <w:spacing w:line="360" w:lineRule="auto"/>
              <w:jc w:val="center"/>
              <w:rPr>
                <w:rFonts w:ascii="楷体" w:hAnsi="楷体" w:eastAsia="楷体"/>
                <w:sz w:val="24"/>
                <w:szCs w:val="21"/>
              </w:rPr>
            </w:pPr>
          </w:p>
        </w:tc>
      </w:tr>
      <w:tr w14:paraId="2388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30ADB766">
            <w:pPr>
              <w:spacing w:line="360" w:lineRule="auto"/>
              <w:jc w:val="center"/>
              <w:rPr>
                <w:rFonts w:ascii="楷体" w:hAnsi="楷体" w:eastAsia="楷体"/>
                <w:sz w:val="24"/>
                <w:szCs w:val="21"/>
              </w:rPr>
            </w:pPr>
          </w:p>
        </w:tc>
        <w:tc>
          <w:tcPr>
            <w:tcW w:w="1124" w:type="pct"/>
            <w:tcBorders>
              <w:top w:val="single" w:color="auto" w:sz="4" w:space="0"/>
              <w:left w:val="single" w:color="auto" w:sz="4" w:space="0"/>
              <w:bottom w:val="single" w:color="auto" w:sz="4" w:space="0"/>
              <w:right w:val="single" w:color="auto" w:sz="4" w:space="0"/>
            </w:tcBorders>
            <w:vAlign w:val="center"/>
          </w:tcPr>
          <w:p w14:paraId="2CF19549">
            <w:pPr>
              <w:spacing w:line="360" w:lineRule="auto"/>
              <w:jc w:val="center"/>
              <w:rPr>
                <w:rFonts w:ascii="楷体" w:hAnsi="楷体" w:eastAsia="楷体"/>
                <w:sz w:val="24"/>
                <w:szCs w:val="21"/>
              </w:rPr>
            </w:pPr>
          </w:p>
        </w:tc>
        <w:tc>
          <w:tcPr>
            <w:tcW w:w="1723" w:type="pct"/>
            <w:tcBorders>
              <w:top w:val="single" w:color="auto" w:sz="4" w:space="0"/>
              <w:left w:val="single" w:color="auto" w:sz="4" w:space="0"/>
              <w:bottom w:val="single" w:color="auto" w:sz="4" w:space="0"/>
              <w:right w:val="single" w:color="auto" w:sz="4" w:space="0"/>
            </w:tcBorders>
          </w:tcPr>
          <w:p w14:paraId="11DBA4A7">
            <w:pPr>
              <w:spacing w:line="360" w:lineRule="auto"/>
              <w:jc w:val="center"/>
              <w:rPr>
                <w:rFonts w:ascii="楷体" w:hAnsi="楷体" w:eastAsia="楷体"/>
                <w:sz w:val="24"/>
                <w:szCs w:val="21"/>
              </w:rPr>
            </w:pPr>
          </w:p>
        </w:tc>
        <w:tc>
          <w:tcPr>
            <w:tcW w:w="985" w:type="pct"/>
            <w:tcBorders>
              <w:top w:val="single" w:color="auto" w:sz="4" w:space="0"/>
              <w:left w:val="single" w:color="auto" w:sz="4" w:space="0"/>
              <w:bottom w:val="single" w:color="auto" w:sz="4" w:space="0"/>
              <w:right w:val="single" w:color="auto" w:sz="4" w:space="0"/>
            </w:tcBorders>
            <w:vAlign w:val="center"/>
          </w:tcPr>
          <w:p w14:paraId="15211F3B">
            <w:pPr>
              <w:spacing w:line="360" w:lineRule="auto"/>
              <w:jc w:val="center"/>
              <w:rPr>
                <w:rFonts w:ascii="楷体" w:hAnsi="楷体" w:eastAsia="楷体"/>
                <w:sz w:val="24"/>
                <w:szCs w:val="21"/>
              </w:rPr>
            </w:pPr>
          </w:p>
        </w:tc>
        <w:tc>
          <w:tcPr>
            <w:tcW w:w="741" w:type="pct"/>
            <w:tcBorders>
              <w:top w:val="single" w:color="auto" w:sz="4" w:space="0"/>
              <w:left w:val="single" w:color="auto" w:sz="4" w:space="0"/>
              <w:bottom w:val="single" w:color="auto" w:sz="4" w:space="0"/>
              <w:right w:val="single" w:color="auto" w:sz="4" w:space="0"/>
            </w:tcBorders>
            <w:vAlign w:val="center"/>
          </w:tcPr>
          <w:p w14:paraId="10109684">
            <w:pPr>
              <w:spacing w:line="360" w:lineRule="auto"/>
              <w:jc w:val="center"/>
              <w:rPr>
                <w:rFonts w:ascii="楷体" w:hAnsi="楷体" w:eastAsia="楷体"/>
                <w:sz w:val="24"/>
                <w:szCs w:val="21"/>
              </w:rPr>
            </w:pPr>
          </w:p>
        </w:tc>
      </w:tr>
    </w:tbl>
    <w:p w14:paraId="40C902B4">
      <w:pPr>
        <w:spacing w:line="360" w:lineRule="auto"/>
        <w:ind w:firstLine="480"/>
        <w:rPr>
          <w:rFonts w:ascii="楷体" w:hAnsi="楷体" w:eastAsia="楷体"/>
          <w:sz w:val="24"/>
          <w:szCs w:val="21"/>
        </w:rPr>
      </w:pPr>
      <w:bookmarkStart w:id="277" w:name="_Hlk513642805"/>
      <w:r>
        <w:rPr>
          <w:rFonts w:hint="eastAsia" w:ascii="楷体" w:hAnsi="楷体" w:eastAsia="楷体"/>
          <w:sz w:val="24"/>
          <w:szCs w:val="21"/>
        </w:rPr>
        <w:t>备注：</w:t>
      </w:r>
      <w:bookmarkEnd w:id="277"/>
    </w:p>
    <w:p w14:paraId="0C5582A0">
      <w:r>
        <w:rPr>
          <w:rFonts w:hint="eastAsia" w:ascii="楷体" w:hAnsi="楷体" w:eastAsia="楷体" w:cs="宋体"/>
          <w:sz w:val="24"/>
          <w:szCs w:val="21"/>
          <w:lang w:val="zh-CN" w:bidi="zh-CN"/>
        </w:rPr>
        <w:t>1、根据评分标准中关于类似业绩的描述，提供符合招标文件要求的证明材料扫描件。</w:t>
      </w:r>
    </w:p>
    <w:p w14:paraId="58DAB81E">
      <w:pPr>
        <w:widowControl/>
        <w:jc w:val="center"/>
        <w:rPr>
          <w:rFonts w:ascii="楷体" w:hAnsi="楷体" w:eastAsia="楷体"/>
          <w:b/>
          <w:sz w:val="32"/>
          <w:szCs w:val="32"/>
        </w:rPr>
      </w:pPr>
    </w:p>
    <w:p w14:paraId="1776FA4F">
      <w:pPr>
        <w:spacing w:line="360" w:lineRule="auto"/>
        <w:ind w:firstLine="480"/>
        <w:rPr>
          <w:rFonts w:ascii="楷体" w:hAnsi="楷体" w:eastAsia="楷体"/>
          <w:color w:val="000000"/>
          <w:sz w:val="24"/>
          <w:u w:val="single"/>
        </w:rPr>
      </w:pPr>
      <w:bookmarkStart w:id="278" w:name="_Toc100386081"/>
    </w:p>
    <w:p w14:paraId="12A4239F">
      <w:pPr>
        <w:spacing w:line="360" w:lineRule="auto"/>
        <w:ind w:firstLine="482"/>
        <w:rPr>
          <w:rFonts w:ascii="楷体" w:hAnsi="楷体" w:eastAsia="楷体"/>
          <w:b/>
          <w:color w:val="000000"/>
          <w:sz w:val="24"/>
        </w:rPr>
      </w:pPr>
    </w:p>
    <w:p w14:paraId="6D1D075A">
      <w:pPr>
        <w:spacing w:line="360" w:lineRule="auto"/>
        <w:ind w:firstLine="560"/>
      </w:pPr>
      <w:r>
        <w:rPr>
          <w:rFonts w:hint="eastAsia" w:ascii="楷体" w:hAnsi="楷体" w:eastAsia="楷体"/>
          <w:sz w:val="28"/>
        </w:rPr>
        <w:t xml:space="preserve">           </w:t>
      </w:r>
      <w:bookmarkEnd w:id="278"/>
    </w:p>
    <w:p w14:paraId="18BA1585">
      <w:pPr>
        <w:widowControl/>
        <w:jc w:val="left"/>
        <w:rPr>
          <w:rFonts w:ascii="楷体" w:hAnsi="楷体" w:eastAsia="楷体"/>
          <w:b/>
          <w:sz w:val="24"/>
          <w:szCs w:val="20"/>
        </w:rPr>
      </w:pPr>
      <w:r>
        <w:rPr>
          <w:rFonts w:ascii="楷体" w:hAnsi="楷体" w:eastAsia="楷体"/>
          <w:sz w:val="24"/>
        </w:rPr>
        <w:br w:type="page" w:clear="all"/>
      </w:r>
    </w:p>
    <w:p w14:paraId="51F66B87">
      <w:pPr>
        <w:pStyle w:val="5"/>
        <w:rPr>
          <w:rFonts w:ascii="楷体" w:hAnsi="楷体" w:eastAsia="楷体"/>
          <w:sz w:val="30"/>
          <w:szCs w:val="30"/>
        </w:rPr>
      </w:pPr>
      <w:r>
        <w:rPr>
          <w:rFonts w:hint="eastAsia" w:ascii="楷体" w:hAnsi="楷体" w:eastAsia="楷体"/>
          <w:sz w:val="30"/>
          <w:szCs w:val="30"/>
        </w:rPr>
        <w:t>（二）</w:t>
      </w:r>
      <w:r>
        <w:rPr>
          <w:rFonts w:hint="eastAsia" w:ascii="楷体" w:hAnsi="楷体" w:eastAsia="楷体"/>
          <w:sz w:val="30"/>
          <w:szCs w:val="30"/>
          <w:lang w:val="en-US" w:eastAsia="zh-CN"/>
        </w:rPr>
        <w:t>体系认证</w:t>
      </w:r>
    </w:p>
    <w:p w14:paraId="27CD3982">
      <w:pPr>
        <w:widowControl/>
        <w:jc w:val="left"/>
        <w:rPr>
          <w:rFonts w:ascii="楷体" w:hAnsi="楷体" w:eastAsia="楷体"/>
          <w:b/>
          <w:sz w:val="24"/>
          <w:szCs w:val="20"/>
        </w:rPr>
      </w:pPr>
      <w:r>
        <w:rPr>
          <w:rFonts w:ascii="楷体" w:hAnsi="楷体" w:eastAsia="楷体"/>
          <w:sz w:val="24"/>
        </w:rPr>
        <w:br w:type="page"/>
      </w:r>
    </w:p>
    <w:p w14:paraId="3BBCE84F">
      <w:pPr>
        <w:pStyle w:val="5"/>
        <w:rPr>
          <w:rFonts w:hint="default" w:ascii="楷体" w:hAnsi="楷体" w:eastAsia="楷体"/>
          <w:sz w:val="30"/>
          <w:szCs w:val="30"/>
          <w:lang w:val="en-US" w:eastAsia="zh-CN"/>
        </w:rPr>
      </w:pPr>
      <w:r>
        <w:rPr>
          <w:rFonts w:hint="eastAsia" w:ascii="楷体" w:hAnsi="楷体" w:eastAsia="楷体"/>
          <w:sz w:val="30"/>
          <w:szCs w:val="30"/>
        </w:rPr>
        <w:t>（三）</w:t>
      </w:r>
      <w:r>
        <w:rPr>
          <w:rFonts w:hint="eastAsia" w:ascii="楷体" w:hAnsi="楷体" w:eastAsia="楷体"/>
          <w:sz w:val="30"/>
          <w:szCs w:val="30"/>
          <w:lang w:val="en-US" w:eastAsia="zh-CN"/>
        </w:rPr>
        <w:t>节能、环保产品认证</w:t>
      </w:r>
    </w:p>
    <w:p w14:paraId="2D886144">
      <w:pPr>
        <w:pStyle w:val="1540"/>
        <w:jc w:val="center"/>
        <w:outlineLvl w:val="2"/>
        <w:rPr>
          <w:rFonts w:hint="eastAsia" w:ascii="楷体" w:hAnsi="楷体" w:eastAsia="楷体"/>
          <w:b/>
          <w:bCs/>
          <w:sz w:val="30"/>
          <w:szCs w:val="30"/>
        </w:rPr>
      </w:pPr>
    </w:p>
    <w:p w14:paraId="29183F8A">
      <w:pPr>
        <w:pStyle w:val="1540"/>
        <w:jc w:val="center"/>
        <w:outlineLvl w:val="2"/>
        <w:rPr>
          <w:rFonts w:hint="eastAsia" w:ascii="楷体" w:hAnsi="楷体" w:eastAsia="楷体"/>
          <w:b/>
          <w:bCs/>
          <w:sz w:val="30"/>
          <w:szCs w:val="30"/>
        </w:rPr>
      </w:pPr>
    </w:p>
    <w:p w14:paraId="572A0BC4">
      <w:pPr>
        <w:pStyle w:val="1540"/>
        <w:jc w:val="center"/>
        <w:outlineLvl w:val="2"/>
        <w:rPr>
          <w:rFonts w:hint="eastAsia" w:ascii="楷体" w:hAnsi="楷体" w:eastAsia="楷体"/>
          <w:b/>
          <w:bCs/>
          <w:sz w:val="30"/>
          <w:szCs w:val="30"/>
        </w:rPr>
      </w:pPr>
    </w:p>
    <w:p w14:paraId="2DE00E5E">
      <w:pPr>
        <w:pStyle w:val="1540"/>
        <w:jc w:val="center"/>
        <w:outlineLvl w:val="2"/>
        <w:rPr>
          <w:rFonts w:hint="eastAsia" w:ascii="楷体" w:hAnsi="楷体" w:eastAsia="楷体"/>
          <w:b/>
          <w:bCs/>
          <w:sz w:val="30"/>
          <w:szCs w:val="30"/>
        </w:rPr>
      </w:pPr>
    </w:p>
    <w:p w14:paraId="16D47C3C">
      <w:pPr>
        <w:pStyle w:val="1540"/>
        <w:jc w:val="center"/>
        <w:outlineLvl w:val="2"/>
        <w:rPr>
          <w:rFonts w:hint="eastAsia" w:ascii="楷体" w:hAnsi="楷体" w:eastAsia="楷体"/>
          <w:b/>
          <w:bCs/>
          <w:sz w:val="30"/>
          <w:szCs w:val="30"/>
        </w:rPr>
      </w:pPr>
    </w:p>
    <w:p w14:paraId="20CC62D5">
      <w:pPr>
        <w:pStyle w:val="1540"/>
        <w:jc w:val="center"/>
        <w:outlineLvl w:val="2"/>
        <w:rPr>
          <w:rFonts w:hint="eastAsia" w:ascii="楷体" w:hAnsi="楷体" w:eastAsia="楷体"/>
          <w:b/>
          <w:bCs/>
          <w:sz w:val="30"/>
          <w:szCs w:val="30"/>
        </w:rPr>
      </w:pPr>
    </w:p>
    <w:p w14:paraId="7548E111">
      <w:pPr>
        <w:pStyle w:val="1540"/>
        <w:jc w:val="center"/>
        <w:outlineLvl w:val="2"/>
        <w:rPr>
          <w:rFonts w:hint="eastAsia" w:ascii="楷体" w:hAnsi="楷体" w:eastAsia="楷体"/>
          <w:b/>
          <w:bCs/>
          <w:sz w:val="30"/>
          <w:szCs w:val="30"/>
        </w:rPr>
      </w:pPr>
    </w:p>
    <w:p w14:paraId="302F5E37">
      <w:pPr>
        <w:pStyle w:val="1540"/>
        <w:jc w:val="center"/>
        <w:outlineLvl w:val="2"/>
        <w:rPr>
          <w:rFonts w:hint="eastAsia" w:ascii="楷体" w:hAnsi="楷体" w:eastAsia="楷体"/>
          <w:b/>
          <w:bCs/>
          <w:sz w:val="30"/>
          <w:szCs w:val="30"/>
        </w:rPr>
      </w:pPr>
    </w:p>
    <w:p w14:paraId="26CE17D4">
      <w:pPr>
        <w:pStyle w:val="1540"/>
        <w:jc w:val="center"/>
        <w:outlineLvl w:val="2"/>
        <w:rPr>
          <w:rFonts w:hint="eastAsia" w:ascii="楷体" w:hAnsi="楷体" w:eastAsia="楷体"/>
          <w:b/>
          <w:bCs/>
          <w:sz w:val="30"/>
          <w:szCs w:val="30"/>
        </w:rPr>
      </w:pPr>
    </w:p>
    <w:p w14:paraId="056798B7">
      <w:pPr>
        <w:pStyle w:val="1540"/>
        <w:jc w:val="center"/>
        <w:outlineLvl w:val="2"/>
        <w:rPr>
          <w:rFonts w:hint="eastAsia" w:ascii="楷体" w:hAnsi="楷体" w:eastAsia="楷体"/>
          <w:b/>
          <w:bCs/>
          <w:sz w:val="30"/>
          <w:szCs w:val="30"/>
        </w:rPr>
      </w:pPr>
    </w:p>
    <w:p w14:paraId="0BCACCB5">
      <w:pPr>
        <w:pStyle w:val="1540"/>
        <w:jc w:val="center"/>
        <w:outlineLvl w:val="2"/>
        <w:rPr>
          <w:rFonts w:hint="eastAsia" w:ascii="楷体" w:hAnsi="楷体" w:eastAsia="楷体"/>
          <w:b/>
          <w:bCs/>
          <w:sz w:val="30"/>
          <w:szCs w:val="30"/>
        </w:rPr>
      </w:pPr>
    </w:p>
    <w:p w14:paraId="27EED1E7">
      <w:pPr>
        <w:pStyle w:val="1540"/>
        <w:jc w:val="center"/>
        <w:outlineLvl w:val="2"/>
        <w:rPr>
          <w:rFonts w:hint="eastAsia" w:ascii="楷体" w:hAnsi="楷体" w:eastAsia="楷体"/>
          <w:b/>
          <w:bCs/>
          <w:sz w:val="30"/>
          <w:szCs w:val="30"/>
        </w:rPr>
      </w:pPr>
    </w:p>
    <w:p w14:paraId="4F2B4DF0">
      <w:pPr>
        <w:pStyle w:val="1540"/>
        <w:jc w:val="center"/>
        <w:outlineLvl w:val="2"/>
        <w:rPr>
          <w:rFonts w:hint="eastAsia" w:ascii="楷体" w:hAnsi="楷体" w:eastAsia="楷体"/>
          <w:b/>
          <w:bCs/>
          <w:sz w:val="30"/>
          <w:szCs w:val="30"/>
        </w:rPr>
      </w:pPr>
    </w:p>
    <w:p w14:paraId="31B52D41">
      <w:pPr>
        <w:pStyle w:val="1540"/>
        <w:jc w:val="center"/>
        <w:outlineLvl w:val="2"/>
        <w:rPr>
          <w:rFonts w:hint="eastAsia" w:ascii="楷体" w:hAnsi="楷体" w:eastAsia="楷体"/>
          <w:b/>
          <w:bCs/>
          <w:sz w:val="30"/>
          <w:szCs w:val="30"/>
        </w:rPr>
      </w:pPr>
    </w:p>
    <w:p w14:paraId="4B7EB10F">
      <w:pPr>
        <w:pStyle w:val="1540"/>
        <w:jc w:val="center"/>
        <w:outlineLvl w:val="2"/>
        <w:rPr>
          <w:rFonts w:hint="eastAsia" w:ascii="楷体" w:hAnsi="楷体" w:eastAsia="楷体"/>
          <w:b/>
          <w:bCs/>
          <w:sz w:val="30"/>
          <w:szCs w:val="30"/>
        </w:rPr>
      </w:pPr>
    </w:p>
    <w:p w14:paraId="02DDF5BB">
      <w:pPr>
        <w:pStyle w:val="1540"/>
        <w:jc w:val="center"/>
        <w:outlineLvl w:val="2"/>
        <w:rPr>
          <w:rFonts w:hint="eastAsia" w:ascii="楷体" w:hAnsi="楷体" w:eastAsia="楷体"/>
          <w:b/>
          <w:bCs/>
          <w:sz w:val="30"/>
          <w:szCs w:val="30"/>
        </w:rPr>
      </w:pPr>
    </w:p>
    <w:p w14:paraId="610F8F7B">
      <w:pPr>
        <w:pStyle w:val="1540"/>
        <w:jc w:val="center"/>
        <w:outlineLvl w:val="2"/>
        <w:rPr>
          <w:rFonts w:hint="eastAsia" w:ascii="楷体" w:hAnsi="楷体" w:eastAsia="楷体"/>
          <w:b/>
          <w:bCs/>
          <w:sz w:val="30"/>
          <w:szCs w:val="30"/>
        </w:rPr>
      </w:pPr>
    </w:p>
    <w:p w14:paraId="567A3448">
      <w:pPr>
        <w:pStyle w:val="1540"/>
        <w:jc w:val="center"/>
        <w:outlineLvl w:val="2"/>
        <w:rPr>
          <w:rFonts w:hint="eastAsia" w:ascii="楷体" w:hAnsi="楷体" w:eastAsia="楷体"/>
          <w:b/>
          <w:bCs/>
          <w:sz w:val="30"/>
          <w:szCs w:val="30"/>
        </w:rPr>
      </w:pPr>
    </w:p>
    <w:p w14:paraId="26D0B074">
      <w:pPr>
        <w:pStyle w:val="1540"/>
        <w:jc w:val="center"/>
        <w:outlineLvl w:val="2"/>
        <w:rPr>
          <w:rFonts w:hint="eastAsia" w:ascii="楷体" w:hAnsi="楷体" w:eastAsia="楷体"/>
          <w:b/>
          <w:bCs/>
          <w:sz w:val="30"/>
          <w:szCs w:val="30"/>
        </w:rPr>
      </w:pPr>
    </w:p>
    <w:p w14:paraId="1A4BF314">
      <w:pPr>
        <w:pStyle w:val="1540"/>
        <w:jc w:val="center"/>
        <w:outlineLvl w:val="2"/>
        <w:rPr>
          <w:rFonts w:hint="eastAsia" w:ascii="楷体" w:hAnsi="楷体" w:eastAsia="楷体"/>
          <w:b/>
          <w:bCs/>
          <w:sz w:val="30"/>
          <w:szCs w:val="30"/>
        </w:rPr>
      </w:pPr>
    </w:p>
    <w:p w14:paraId="572505F4">
      <w:pPr>
        <w:pStyle w:val="1540"/>
        <w:jc w:val="center"/>
        <w:outlineLvl w:val="2"/>
        <w:rPr>
          <w:rFonts w:hint="eastAsia" w:ascii="楷体" w:hAnsi="楷体" w:eastAsia="楷体"/>
          <w:b/>
          <w:bCs/>
          <w:sz w:val="30"/>
          <w:szCs w:val="30"/>
        </w:rPr>
      </w:pPr>
    </w:p>
    <w:p w14:paraId="4DDAE5AA">
      <w:pPr>
        <w:pStyle w:val="1540"/>
        <w:jc w:val="center"/>
        <w:outlineLvl w:val="2"/>
        <w:rPr>
          <w:rFonts w:hint="eastAsia" w:ascii="楷体" w:hAnsi="楷体" w:eastAsia="楷体"/>
          <w:b/>
          <w:bCs/>
          <w:sz w:val="30"/>
          <w:szCs w:val="30"/>
        </w:rPr>
      </w:pPr>
    </w:p>
    <w:p w14:paraId="3CDF0FEF">
      <w:pPr>
        <w:pStyle w:val="1540"/>
        <w:jc w:val="center"/>
        <w:outlineLvl w:val="2"/>
        <w:rPr>
          <w:rFonts w:hint="eastAsia" w:ascii="楷体" w:hAnsi="楷体" w:eastAsia="楷体"/>
          <w:b/>
          <w:bCs/>
          <w:sz w:val="30"/>
          <w:szCs w:val="30"/>
        </w:rPr>
      </w:pPr>
    </w:p>
    <w:p w14:paraId="4EB5CA99">
      <w:pPr>
        <w:pStyle w:val="1540"/>
        <w:jc w:val="center"/>
        <w:outlineLvl w:val="2"/>
        <w:rPr>
          <w:rFonts w:hint="eastAsia" w:ascii="楷体" w:hAnsi="楷体" w:eastAsia="楷体"/>
          <w:b/>
          <w:bCs/>
          <w:sz w:val="30"/>
          <w:szCs w:val="30"/>
        </w:rPr>
      </w:pPr>
    </w:p>
    <w:p w14:paraId="361BF4F5">
      <w:pPr>
        <w:pStyle w:val="1540"/>
        <w:jc w:val="center"/>
        <w:outlineLvl w:val="2"/>
        <w:rPr>
          <w:rFonts w:hint="eastAsia" w:ascii="楷体" w:hAnsi="楷体" w:eastAsia="楷体"/>
          <w:b/>
          <w:bCs/>
          <w:sz w:val="30"/>
          <w:szCs w:val="30"/>
        </w:rPr>
      </w:pPr>
    </w:p>
    <w:p w14:paraId="27A1EFC8">
      <w:pPr>
        <w:pStyle w:val="1540"/>
        <w:jc w:val="center"/>
        <w:outlineLvl w:val="2"/>
        <w:rPr>
          <w:rFonts w:hint="eastAsia" w:ascii="楷体" w:hAnsi="楷体" w:eastAsia="楷体"/>
          <w:b/>
          <w:bCs/>
          <w:sz w:val="30"/>
          <w:szCs w:val="30"/>
        </w:rPr>
      </w:pPr>
    </w:p>
    <w:p w14:paraId="7BAD17C6">
      <w:pPr>
        <w:pStyle w:val="1540"/>
        <w:jc w:val="center"/>
        <w:outlineLvl w:val="2"/>
        <w:rPr>
          <w:rFonts w:hint="eastAsia" w:ascii="楷体" w:hAnsi="楷体" w:eastAsia="楷体"/>
          <w:b/>
          <w:bCs/>
          <w:sz w:val="30"/>
          <w:szCs w:val="30"/>
        </w:rPr>
      </w:pPr>
    </w:p>
    <w:p w14:paraId="38E4A832">
      <w:pPr>
        <w:pStyle w:val="1540"/>
        <w:jc w:val="center"/>
        <w:outlineLvl w:val="2"/>
        <w:rPr>
          <w:rFonts w:hint="eastAsia" w:ascii="楷体" w:hAnsi="楷体" w:eastAsia="楷体"/>
          <w:b/>
          <w:bCs/>
          <w:sz w:val="30"/>
          <w:szCs w:val="30"/>
        </w:rPr>
      </w:pPr>
    </w:p>
    <w:p w14:paraId="2F8DFE0F">
      <w:pPr>
        <w:pStyle w:val="1540"/>
        <w:jc w:val="center"/>
        <w:outlineLvl w:val="2"/>
        <w:rPr>
          <w:rFonts w:hint="eastAsia" w:ascii="楷体" w:hAnsi="楷体" w:eastAsia="楷体"/>
          <w:b/>
          <w:bCs/>
          <w:sz w:val="30"/>
          <w:szCs w:val="30"/>
        </w:rPr>
      </w:pPr>
    </w:p>
    <w:p w14:paraId="706A435A">
      <w:pPr>
        <w:pStyle w:val="1540"/>
        <w:jc w:val="center"/>
        <w:outlineLvl w:val="2"/>
        <w:rPr>
          <w:rFonts w:hint="eastAsia" w:ascii="楷体" w:hAnsi="楷体" w:eastAsia="楷体"/>
          <w:b/>
          <w:bCs/>
          <w:sz w:val="30"/>
          <w:szCs w:val="30"/>
        </w:rPr>
      </w:pPr>
    </w:p>
    <w:p w14:paraId="5E7BF55C">
      <w:pPr>
        <w:pStyle w:val="1540"/>
        <w:jc w:val="center"/>
        <w:outlineLvl w:val="2"/>
        <w:rPr>
          <w:rFonts w:hint="eastAsia" w:ascii="楷体" w:hAnsi="楷体" w:eastAsia="楷体"/>
          <w:b/>
          <w:bCs/>
          <w:sz w:val="30"/>
          <w:szCs w:val="30"/>
        </w:rPr>
      </w:pPr>
    </w:p>
    <w:p w14:paraId="0C72FA87">
      <w:pPr>
        <w:pStyle w:val="1540"/>
        <w:jc w:val="center"/>
        <w:outlineLvl w:val="2"/>
        <w:rPr>
          <w:rFonts w:hint="eastAsia" w:ascii="楷体" w:hAnsi="楷体" w:eastAsia="楷体"/>
          <w:b/>
          <w:bCs/>
          <w:sz w:val="30"/>
          <w:szCs w:val="30"/>
        </w:rPr>
      </w:pPr>
    </w:p>
    <w:p w14:paraId="086590FF">
      <w:pPr>
        <w:pStyle w:val="1540"/>
        <w:jc w:val="center"/>
        <w:outlineLvl w:val="2"/>
        <w:rPr>
          <w:rFonts w:hint="eastAsia" w:ascii="楷体" w:hAnsi="楷体" w:eastAsia="楷体"/>
          <w:b/>
          <w:bCs/>
          <w:sz w:val="30"/>
          <w:szCs w:val="30"/>
        </w:rPr>
      </w:pPr>
    </w:p>
    <w:p w14:paraId="7A2E644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楷体" w:hAnsi="楷体" w:eastAsia="楷体" w:cs="Times New Roman"/>
          <w:b/>
          <w:sz w:val="30"/>
          <w:szCs w:val="30"/>
          <w:lang w:val="en-US" w:eastAsia="zh-CN" w:bidi="ar-SA"/>
        </w:rPr>
      </w:pPr>
      <w:r>
        <w:rPr>
          <w:rFonts w:hint="eastAsia" w:ascii="楷体" w:hAnsi="楷体" w:eastAsia="楷体" w:cs="Times New Roman"/>
          <w:b/>
          <w:sz w:val="30"/>
          <w:szCs w:val="30"/>
          <w:lang w:val="en-US" w:eastAsia="zh-CN" w:bidi="ar-SA"/>
        </w:rPr>
        <w:t>（四）人员配备</w:t>
      </w:r>
    </w:p>
    <w:p w14:paraId="01739E6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项目经理能力</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1885"/>
        <w:gridCol w:w="3797"/>
      </w:tblGrid>
      <w:tr w14:paraId="7F63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7ACD0CE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姓名</w:t>
            </w:r>
          </w:p>
        </w:tc>
        <w:tc>
          <w:tcPr>
            <w:tcW w:w="2014" w:type="dxa"/>
            <w:noWrap w:val="0"/>
            <w:tcMar>
              <w:top w:w="0" w:type="dxa"/>
              <w:left w:w="108" w:type="dxa"/>
              <w:bottom w:w="0" w:type="dxa"/>
              <w:right w:w="108" w:type="dxa"/>
            </w:tcMar>
            <w:vAlign w:val="center"/>
          </w:tcPr>
          <w:p w14:paraId="16FDF18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noWrap w:val="0"/>
            <w:tcMar>
              <w:top w:w="0" w:type="dxa"/>
              <w:left w:w="108" w:type="dxa"/>
              <w:bottom w:w="0" w:type="dxa"/>
              <w:right w:w="108" w:type="dxa"/>
            </w:tcMar>
            <w:vAlign w:val="center"/>
          </w:tcPr>
          <w:p w14:paraId="500CCB0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近3年工作业绩及承担的主要工作</w:t>
            </w:r>
          </w:p>
        </w:tc>
      </w:tr>
      <w:tr w14:paraId="16B2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3D981E1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性别</w:t>
            </w:r>
          </w:p>
        </w:tc>
        <w:tc>
          <w:tcPr>
            <w:tcW w:w="2014" w:type="dxa"/>
            <w:noWrap w:val="0"/>
            <w:tcMar>
              <w:top w:w="0" w:type="dxa"/>
              <w:left w:w="108" w:type="dxa"/>
              <w:bottom w:w="0" w:type="dxa"/>
              <w:right w:w="108" w:type="dxa"/>
            </w:tcMar>
            <w:vAlign w:val="center"/>
          </w:tcPr>
          <w:p w14:paraId="0BA54B6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restart"/>
            <w:noWrap w:val="0"/>
            <w:tcMar>
              <w:top w:w="0" w:type="dxa"/>
              <w:left w:w="108" w:type="dxa"/>
              <w:bottom w:w="0" w:type="dxa"/>
              <w:right w:w="108" w:type="dxa"/>
            </w:tcMar>
            <w:vAlign w:val="center"/>
          </w:tcPr>
          <w:p w14:paraId="06FA726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r>
      <w:tr w14:paraId="30DBE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249C0C1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年龄</w:t>
            </w:r>
          </w:p>
        </w:tc>
        <w:tc>
          <w:tcPr>
            <w:tcW w:w="2014" w:type="dxa"/>
            <w:noWrap w:val="0"/>
            <w:tcMar>
              <w:top w:w="0" w:type="dxa"/>
              <w:left w:w="108" w:type="dxa"/>
              <w:bottom w:w="0" w:type="dxa"/>
              <w:right w:w="108" w:type="dxa"/>
            </w:tcMar>
            <w:vAlign w:val="center"/>
          </w:tcPr>
          <w:p w14:paraId="657A8D5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677F786E"/>
        </w:tc>
      </w:tr>
      <w:tr w14:paraId="5E43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12A3CFB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职称</w:t>
            </w:r>
          </w:p>
        </w:tc>
        <w:tc>
          <w:tcPr>
            <w:tcW w:w="2014" w:type="dxa"/>
            <w:noWrap w:val="0"/>
            <w:tcMar>
              <w:top w:w="0" w:type="dxa"/>
              <w:left w:w="108" w:type="dxa"/>
              <w:bottom w:w="0" w:type="dxa"/>
              <w:right w:w="108" w:type="dxa"/>
            </w:tcMar>
            <w:vAlign w:val="center"/>
          </w:tcPr>
          <w:p w14:paraId="100CA14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5C81D52D"/>
        </w:tc>
      </w:tr>
      <w:tr w14:paraId="792F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4804ED9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毕业时间</w:t>
            </w:r>
          </w:p>
        </w:tc>
        <w:tc>
          <w:tcPr>
            <w:tcW w:w="2014" w:type="dxa"/>
            <w:noWrap w:val="0"/>
            <w:tcMar>
              <w:top w:w="0" w:type="dxa"/>
              <w:left w:w="108" w:type="dxa"/>
              <w:bottom w:w="0" w:type="dxa"/>
              <w:right w:w="108" w:type="dxa"/>
            </w:tcMar>
            <w:vAlign w:val="center"/>
          </w:tcPr>
          <w:p w14:paraId="54CC3EA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169428D8"/>
        </w:tc>
      </w:tr>
      <w:tr w14:paraId="71E2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4E76AA7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所学专业</w:t>
            </w:r>
          </w:p>
        </w:tc>
        <w:tc>
          <w:tcPr>
            <w:tcW w:w="2014" w:type="dxa"/>
            <w:noWrap w:val="0"/>
            <w:tcMar>
              <w:top w:w="0" w:type="dxa"/>
              <w:left w:w="108" w:type="dxa"/>
              <w:bottom w:w="0" w:type="dxa"/>
              <w:right w:w="108" w:type="dxa"/>
            </w:tcMar>
            <w:vAlign w:val="center"/>
          </w:tcPr>
          <w:p w14:paraId="697C8DD4">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5E8D2572"/>
        </w:tc>
      </w:tr>
      <w:tr w14:paraId="6F37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292EAA13">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学历</w:t>
            </w:r>
          </w:p>
        </w:tc>
        <w:tc>
          <w:tcPr>
            <w:tcW w:w="2014" w:type="dxa"/>
            <w:noWrap w:val="0"/>
            <w:tcMar>
              <w:top w:w="0" w:type="dxa"/>
              <w:left w:w="108" w:type="dxa"/>
              <w:bottom w:w="0" w:type="dxa"/>
              <w:right w:w="108" w:type="dxa"/>
            </w:tcMar>
            <w:vAlign w:val="center"/>
          </w:tcPr>
          <w:p w14:paraId="749BFFF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42C08E95"/>
        </w:tc>
      </w:tr>
      <w:tr w14:paraId="40F2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08FB73A3">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证书名称</w:t>
            </w:r>
          </w:p>
        </w:tc>
        <w:tc>
          <w:tcPr>
            <w:tcW w:w="2014" w:type="dxa"/>
            <w:noWrap w:val="0"/>
            <w:tcMar>
              <w:top w:w="0" w:type="dxa"/>
              <w:left w:w="108" w:type="dxa"/>
              <w:bottom w:w="0" w:type="dxa"/>
              <w:right w:w="108" w:type="dxa"/>
            </w:tcMar>
            <w:vAlign w:val="center"/>
          </w:tcPr>
          <w:p w14:paraId="24322E0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6B18BF71"/>
        </w:tc>
      </w:tr>
      <w:tr w14:paraId="3ED85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3E4AFD8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专业资格</w:t>
            </w:r>
          </w:p>
        </w:tc>
        <w:tc>
          <w:tcPr>
            <w:tcW w:w="2014" w:type="dxa"/>
            <w:noWrap w:val="0"/>
            <w:tcMar>
              <w:top w:w="0" w:type="dxa"/>
              <w:left w:w="108" w:type="dxa"/>
              <w:bottom w:w="0" w:type="dxa"/>
              <w:right w:w="108" w:type="dxa"/>
            </w:tcMar>
            <w:vAlign w:val="center"/>
          </w:tcPr>
          <w:p w14:paraId="33A935A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72CAD650"/>
        </w:tc>
      </w:tr>
      <w:tr w14:paraId="28F6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tcMar>
              <w:top w:w="0" w:type="dxa"/>
              <w:left w:w="108" w:type="dxa"/>
              <w:bottom w:w="0" w:type="dxa"/>
              <w:right w:w="108" w:type="dxa"/>
            </w:tcMar>
            <w:vAlign w:val="center"/>
          </w:tcPr>
          <w:p w14:paraId="66276FD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联系电话</w:t>
            </w:r>
          </w:p>
        </w:tc>
        <w:tc>
          <w:tcPr>
            <w:tcW w:w="2014" w:type="dxa"/>
            <w:noWrap w:val="0"/>
            <w:tcMar>
              <w:top w:w="0" w:type="dxa"/>
              <w:left w:w="108" w:type="dxa"/>
              <w:bottom w:w="0" w:type="dxa"/>
              <w:right w:w="108" w:type="dxa"/>
            </w:tcMar>
            <w:vAlign w:val="center"/>
          </w:tcPr>
          <w:p w14:paraId="5368398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vMerge w:val="continue"/>
            <w:noWrap w:val="0"/>
            <w:vAlign w:val="top"/>
          </w:tcPr>
          <w:p w14:paraId="7BDD14E4"/>
        </w:tc>
      </w:tr>
      <w:tr w14:paraId="7271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3056" w:type="dxa"/>
            <w:noWrap w:val="0"/>
            <w:tcMar>
              <w:top w:w="0" w:type="dxa"/>
              <w:left w:w="108" w:type="dxa"/>
              <w:bottom w:w="0" w:type="dxa"/>
              <w:right w:w="108" w:type="dxa"/>
            </w:tcMar>
            <w:vAlign w:val="center"/>
          </w:tcPr>
          <w:p w14:paraId="7E84DED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曾担任项目主要负责人的项目</w:t>
            </w:r>
          </w:p>
        </w:tc>
        <w:tc>
          <w:tcPr>
            <w:tcW w:w="2014" w:type="dxa"/>
            <w:noWrap w:val="0"/>
            <w:tcMar>
              <w:top w:w="0" w:type="dxa"/>
              <w:left w:w="108" w:type="dxa"/>
              <w:bottom w:w="0" w:type="dxa"/>
              <w:right w:w="108" w:type="dxa"/>
            </w:tcMar>
            <w:vAlign w:val="center"/>
          </w:tcPr>
          <w:p w14:paraId="4B693C2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c>
          <w:tcPr>
            <w:tcW w:w="4099" w:type="dxa"/>
            <w:noWrap w:val="0"/>
            <w:tcMar>
              <w:top w:w="0" w:type="dxa"/>
              <w:left w:w="108" w:type="dxa"/>
              <w:bottom w:w="0" w:type="dxa"/>
              <w:right w:w="108" w:type="dxa"/>
            </w:tcMar>
            <w:vAlign w:val="center"/>
          </w:tcPr>
          <w:p w14:paraId="72C3E5B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w:t>
            </w:r>
          </w:p>
        </w:tc>
      </w:tr>
    </w:tbl>
    <w:p w14:paraId="371D170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注：1.项目经理具有资格证书的，应在本栏目提交相关证书扫描件。</w:t>
      </w:r>
    </w:p>
    <w:p w14:paraId="27CB4BA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2.列入本表人员如要更换，需经采购人同意。擅自更换属违约行为。</w:t>
      </w:r>
    </w:p>
    <w:p w14:paraId="77E1AA9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br w:type="page" w:clear="all"/>
      </w:r>
    </w:p>
    <w:p w14:paraId="0377311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color w:val="000000"/>
          <w:sz w:val="28"/>
          <w:szCs w:val="28"/>
        </w:rPr>
      </w:pPr>
      <w:r>
        <w:rPr>
          <w:rFonts w:hint="eastAsia" w:ascii="宋体" w:hAnsi="宋体" w:eastAsia="宋体" w:cs="宋体"/>
          <w:color w:val="000000"/>
          <w:sz w:val="28"/>
          <w:szCs w:val="28"/>
        </w:rPr>
        <w:t>项目实施成员能力</w:t>
      </w:r>
    </w:p>
    <w:p w14:paraId="7F03F0A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color w:val="000000"/>
          <w:sz w:val="28"/>
          <w:szCs w:val="28"/>
        </w:rPr>
      </w:pP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94"/>
        <w:gridCol w:w="794"/>
        <w:gridCol w:w="985"/>
        <w:gridCol w:w="982"/>
        <w:gridCol w:w="2097"/>
        <w:gridCol w:w="1546"/>
        <w:gridCol w:w="1324"/>
      </w:tblGrid>
      <w:tr w14:paraId="0B5155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5EDB0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序号</w:t>
            </w:r>
          </w:p>
        </w:tc>
        <w:tc>
          <w:tcPr>
            <w:tcW w:w="8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E8BA2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姓名</w:t>
            </w:r>
          </w:p>
        </w:tc>
        <w:tc>
          <w:tcPr>
            <w:tcW w:w="10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55AE33">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身份证号</w:t>
            </w:r>
          </w:p>
        </w:tc>
        <w:tc>
          <w:tcPr>
            <w:tcW w:w="10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F8B0F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人员类别</w:t>
            </w:r>
          </w:p>
        </w:tc>
        <w:tc>
          <w:tcPr>
            <w:tcW w:w="23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E6D3E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技术证书、级别</w:t>
            </w:r>
          </w:p>
        </w:tc>
        <w:tc>
          <w:tcPr>
            <w:tcW w:w="171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64D92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相关工作经验</w:t>
            </w:r>
          </w:p>
        </w:tc>
        <w:tc>
          <w:tcPr>
            <w:tcW w:w="14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52E069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4"/>
              </w:rPr>
              <w:t>备注</w:t>
            </w:r>
          </w:p>
        </w:tc>
      </w:tr>
      <w:tr w14:paraId="29B1F1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C2DD8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C095D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0B468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F9149B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8891A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F52C1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E9149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5049EF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50D72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454A2B">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50FFD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C65AD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F2610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5DC5F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D18BD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4F8929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8399E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99CC9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27D76A">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3B8B9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15EBA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4674C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614CAA">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5BFEB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F33B6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47127B">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6E9714">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43A01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7E7AA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C8D4F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78D6B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2364F3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36A0C7">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A31C0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90B3A6">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DE6A4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9A5394">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4D3C9B">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E7EBA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37F2DA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68039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A7AE5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768E4B">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C6A44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EDAEA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6E900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483F5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r w14:paraId="74CCA5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338F18">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CD3B65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3E5C74">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0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2EE8D8">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23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89B331">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71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0F5A0E">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c>
          <w:tcPr>
            <w:tcW w:w="14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3FAC1D">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新宋体" w:hAnsi="新宋体" w:eastAsia="新宋体" w:cs="新宋体"/>
                <w:b/>
                <w:color w:val="000000"/>
                <w:sz w:val="28"/>
              </w:rPr>
              <w:t> </w:t>
            </w:r>
          </w:p>
        </w:tc>
      </w:tr>
    </w:tbl>
    <w:p w14:paraId="129122E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注：1.行数不够，请自行添加。</w:t>
      </w:r>
    </w:p>
    <w:p w14:paraId="607631F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2.列入本表人员如要更换，须经采购人同意，擅自更换属违约行为。</w:t>
      </w:r>
    </w:p>
    <w:p w14:paraId="46C0EA44">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Times New Roman" w:hAnsi="Times New Roman" w:eastAsia="Times New Roman" w:cs="Times New Roman"/>
          <w:color w:val="000000"/>
          <w:sz w:val="24"/>
        </w:rPr>
      </w:pPr>
      <w:r>
        <w:rPr>
          <w:rFonts w:ascii="宋体" w:hAnsi="宋体" w:eastAsia="宋体" w:cs="宋体"/>
          <w:color w:val="000000"/>
          <w:sz w:val="24"/>
        </w:rPr>
        <w:t>3.</w:t>
      </w:r>
      <w:r>
        <w:rPr>
          <w:rFonts w:ascii="Times New Roman" w:hAnsi="Times New Roman" w:eastAsia="Times New Roman" w:cs="Times New Roman"/>
          <w:color w:val="000000"/>
          <w:sz w:val="24"/>
        </w:rPr>
        <w:t>列入上表人员具有相关证书、工作经验的，应在本栏目提交相关证明材料扫描件。</w:t>
      </w:r>
    </w:p>
    <w:p w14:paraId="671E9CA9">
      <w:pPr>
        <w:widowControl/>
        <w:jc w:val="left"/>
        <w:rPr>
          <w:rFonts w:ascii="楷体" w:hAnsi="楷体" w:eastAsia="楷体"/>
          <w:b/>
          <w:sz w:val="24"/>
          <w:szCs w:val="20"/>
        </w:rPr>
      </w:pPr>
      <w:r>
        <w:rPr>
          <w:rFonts w:ascii="Times New Roman" w:hAnsi="Times New Roman" w:eastAsia="Times New Roman" w:cs="Times New Roman"/>
          <w:color w:val="000000"/>
          <w:sz w:val="24"/>
        </w:rPr>
        <w:br w:type="page"/>
      </w:r>
    </w:p>
    <w:p w14:paraId="0AB5095D">
      <w:pPr>
        <w:pStyle w:val="5"/>
        <w:rPr>
          <w:rFonts w:ascii="楷体" w:hAnsi="楷体" w:eastAsia="楷体"/>
          <w:sz w:val="30"/>
          <w:szCs w:val="30"/>
        </w:rPr>
      </w:pPr>
      <w:r>
        <w:rPr>
          <w:rFonts w:hint="eastAsia" w:ascii="楷体" w:hAnsi="楷体" w:eastAsia="楷体"/>
          <w:sz w:val="30"/>
          <w:szCs w:val="30"/>
        </w:rPr>
        <w:t>（五）</w:t>
      </w:r>
      <w:r>
        <w:rPr>
          <w:rFonts w:ascii="楷体" w:hAnsi="楷体" w:eastAsia="楷体"/>
          <w:sz w:val="30"/>
          <w:szCs w:val="30"/>
        </w:rPr>
        <w:t>商务</w:t>
      </w:r>
      <w:r>
        <w:rPr>
          <w:rFonts w:hint="eastAsia" w:ascii="楷体" w:hAnsi="楷体" w:eastAsia="楷体"/>
          <w:sz w:val="30"/>
          <w:szCs w:val="30"/>
        </w:rPr>
        <w:t>要求</w:t>
      </w:r>
      <w:r>
        <w:rPr>
          <w:rFonts w:ascii="楷体" w:hAnsi="楷体" w:eastAsia="楷体"/>
          <w:sz w:val="30"/>
          <w:szCs w:val="30"/>
        </w:rPr>
        <w:t>响应及偏离对照表</w:t>
      </w:r>
    </w:p>
    <w:tbl>
      <w:tblPr>
        <w:tblStyle w:val="68"/>
        <w:tblW w:w="500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32"/>
        <w:gridCol w:w="1282"/>
        <w:gridCol w:w="2154"/>
        <w:gridCol w:w="1909"/>
        <w:gridCol w:w="1354"/>
        <w:gridCol w:w="1006"/>
      </w:tblGrid>
      <w:tr w14:paraId="18085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2" w:hRule="atLeast"/>
        </w:trPr>
        <w:tc>
          <w:tcPr>
            <w:tcW w:w="379" w:type="pct"/>
            <w:tcBorders>
              <w:bottom w:val="single" w:color="000000" w:sz="4" w:space="0"/>
              <w:right w:val="single" w:color="000000" w:sz="4" w:space="0"/>
            </w:tcBorders>
            <w:shd w:val="clear" w:color="auto" w:fill="auto"/>
            <w:vAlign w:val="center"/>
          </w:tcPr>
          <w:p w14:paraId="5D9B19B9">
            <w:pPr>
              <w:spacing w:before="6" w:line="310" w:lineRule="atLeast"/>
              <w:ind w:left="100" w:right="278"/>
              <w:jc w:val="center"/>
              <w:rPr>
                <w:rFonts w:ascii="楷体" w:hAnsi="楷体" w:eastAsia="楷体" w:cs="宋体"/>
                <w:sz w:val="24"/>
                <w:lang w:val="zh-CN" w:bidi="zh-CN"/>
              </w:rPr>
            </w:pPr>
            <w:r>
              <w:rPr>
                <w:rFonts w:ascii="楷体" w:hAnsi="楷体" w:eastAsia="楷体" w:cs="宋体"/>
                <w:sz w:val="24"/>
                <w:lang w:val="zh-CN" w:bidi="zh-CN"/>
              </w:rPr>
              <w:t>序号</w:t>
            </w:r>
          </w:p>
        </w:tc>
        <w:tc>
          <w:tcPr>
            <w:tcW w:w="769" w:type="pct"/>
            <w:tcBorders>
              <w:left w:val="single" w:color="000000" w:sz="4" w:space="0"/>
              <w:bottom w:val="single" w:color="000000" w:sz="4" w:space="0"/>
              <w:right w:val="single" w:color="000000" w:sz="4" w:space="0"/>
            </w:tcBorders>
            <w:shd w:val="clear" w:color="auto" w:fill="auto"/>
            <w:vAlign w:val="center"/>
          </w:tcPr>
          <w:p w14:paraId="57FAECFC">
            <w:pPr>
              <w:spacing w:before="8"/>
              <w:ind w:left="117"/>
              <w:jc w:val="center"/>
              <w:rPr>
                <w:rFonts w:ascii="楷体" w:hAnsi="楷体" w:eastAsia="楷体" w:cs="宋体"/>
                <w:sz w:val="24"/>
                <w:lang w:val="zh-CN" w:bidi="zh-CN"/>
              </w:rPr>
            </w:pPr>
            <w:r>
              <w:rPr>
                <w:rFonts w:ascii="楷体" w:hAnsi="楷体" w:eastAsia="楷体" w:cs="宋体"/>
                <w:sz w:val="24"/>
                <w:lang w:val="zh-CN" w:bidi="zh-CN"/>
              </w:rPr>
              <w:t>项目名称</w:t>
            </w:r>
          </w:p>
        </w:tc>
        <w:tc>
          <w:tcPr>
            <w:tcW w:w="1292" w:type="pct"/>
            <w:tcBorders>
              <w:left w:val="single" w:color="000000" w:sz="4" w:space="0"/>
              <w:bottom w:val="single" w:color="000000" w:sz="4" w:space="0"/>
              <w:right w:val="single" w:color="000000" w:sz="4" w:space="0"/>
            </w:tcBorders>
            <w:shd w:val="clear" w:color="auto" w:fill="auto"/>
            <w:vAlign w:val="center"/>
          </w:tcPr>
          <w:p w14:paraId="7A211F1E">
            <w:pPr>
              <w:spacing w:before="164"/>
              <w:jc w:val="center"/>
              <w:rPr>
                <w:rFonts w:ascii="楷体" w:hAnsi="楷体" w:eastAsia="楷体" w:cs="宋体"/>
                <w:sz w:val="24"/>
                <w:lang w:val="zh-CN" w:bidi="zh-CN"/>
              </w:rPr>
            </w:pPr>
            <w:r>
              <w:rPr>
                <w:rFonts w:ascii="楷体" w:hAnsi="楷体" w:eastAsia="楷体" w:cs="宋体"/>
                <w:sz w:val="24"/>
                <w:lang w:val="zh-CN" w:bidi="zh-CN"/>
              </w:rPr>
              <w:t>招标文件要求</w:t>
            </w:r>
          </w:p>
        </w:tc>
        <w:tc>
          <w:tcPr>
            <w:tcW w:w="1145" w:type="pct"/>
            <w:tcBorders>
              <w:left w:val="single" w:color="000000" w:sz="4" w:space="0"/>
              <w:bottom w:val="single" w:color="000000" w:sz="4" w:space="0"/>
              <w:right w:val="single" w:color="000000" w:sz="4" w:space="0"/>
            </w:tcBorders>
            <w:shd w:val="clear" w:color="auto" w:fill="auto"/>
            <w:vAlign w:val="center"/>
          </w:tcPr>
          <w:p w14:paraId="0110C119">
            <w:pPr>
              <w:spacing w:before="6" w:line="310" w:lineRule="atLeast"/>
              <w:ind w:left="121" w:right="84"/>
              <w:jc w:val="center"/>
              <w:rPr>
                <w:rFonts w:ascii="楷体" w:hAnsi="楷体" w:eastAsia="楷体" w:cs="宋体"/>
                <w:sz w:val="24"/>
                <w:lang w:val="zh-CN" w:bidi="zh-CN"/>
              </w:rPr>
            </w:pPr>
            <w:r>
              <w:rPr>
                <w:rFonts w:hint="eastAsia" w:ascii="楷体" w:hAnsi="楷体" w:eastAsia="楷体" w:cs="宋体"/>
                <w:sz w:val="24"/>
                <w:lang w:val="zh-CN" w:bidi="zh-CN"/>
              </w:rPr>
              <w:t>投标文件</w:t>
            </w:r>
            <w:r>
              <w:rPr>
                <w:rFonts w:ascii="楷体" w:hAnsi="楷体" w:eastAsia="楷体" w:cs="宋体"/>
                <w:sz w:val="24"/>
                <w:lang w:val="zh-CN" w:bidi="zh-CN"/>
              </w:rPr>
              <w:t>的实际情况</w:t>
            </w:r>
          </w:p>
        </w:tc>
        <w:tc>
          <w:tcPr>
            <w:tcW w:w="812" w:type="pct"/>
            <w:tcBorders>
              <w:left w:val="single" w:color="000000" w:sz="4" w:space="0"/>
              <w:bottom w:val="single" w:color="000000" w:sz="4" w:space="0"/>
              <w:right w:val="single" w:color="000000" w:sz="4" w:space="0"/>
            </w:tcBorders>
            <w:shd w:val="clear" w:color="auto" w:fill="auto"/>
            <w:vAlign w:val="center"/>
          </w:tcPr>
          <w:p w14:paraId="2D00FC86">
            <w:pPr>
              <w:spacing w:before="6" w:line="310" w:lineRule="atLeast"/>
              <w:ind w:left="120" w:right="308"/>
              <w:jc w:val="center"/>
              <w:rPr>
                <w:rFonts w:ascii="楷体" w:hAnsi="楷体" w:eastAsia="楷体" w:cs="宋体"/>
                <w:sz w:val="24"/>
                <w:lang w:val="zh-CN" w:bidi="zh-CN"/>
              </w:rPr>
            </w:pPr>
            <w:r>
              <w:rPr>
                <w:rFonts w:ascii="楷体" w:hAnsi="楷体" w:eastAsia="楷体" w:cs="宋体"/>
                <w:sz w:val="24"/>
                <w:lang w:val="zh-CN" w:bidi="zh-CN"/>
              </w:rPr>
              <w:t>符合/正偏离/负偏离</w:t>
            </w:r>
          </w:p>
        </w:tc>
        <w:tc>
          <w:tcPr>
            <w:tcW w:w="600" w:type="pct"/>
            <w:tcBorders>
              <w:left w:val="single" w:color="000000" w:sz="4" w:space="0"/>
              <w:bottom w:val="single" w:color="000000" w:sz="4" w:space="0"/>
              <w:right w:val="single" w:color="000000" w:sz="6" w:space="0"/>
            </w:tcBorders>
            <w:shd w:val="clear" w:color="auto" w:fill="auto"/>
            <w:vAlign w:val="center"/>
          </w:tcPr>
          <w:p w14:paraId="0A24DD98">
            <w:pPr>
              <w:spacing w:before="164"/>
              <w:ind w:left="121"/>
              <w:jc w:val="center"/>
              <w:rPr>
                <w:rFonts w:ascii="楷体" w:hAnsi="楷体" w:eastAsia="楷体" w:cs="宋体"/>
                <w:sz w:val="24"/>
                <w:lang w:val="zh-CN" w:bidi="zh-CN"/>
              </w:rPr>
            </w:pPr>
            <w:r>
              <w:rPr>
                <w:rFonts w:ascii="楷体" w:hAnsi="楷体" w:eastAsia="楷体" w:cs="宋体"/>
                <w:sz w:val="24"/>
                <w:lang w:val="zh-CN" w:bidi="zh-CN"/>
              </w:rPr>
              <w:t>备注</w:t>
            </w:r>
          </w:p>
        </w:tc>
      </w:tr>
      <w:tr w14:paraId="3F201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379" w:type="pct"/>
            <w:tcBorders>
              <w:top w:val="single" w:color="000000" w:sz="4" w:space="0"/>
              <w:bottom w:val="single" w:color="000000" w:sz="4" w:space="0"/>
              <w:right w:val="single" w:color="000000" w:sz="4" w:space="0"/>
            </w:tcBorders>
            <w:shd w:val="clear" w:color="auto" w:fill="auto"/>
          </w:tcPr>
          <w:p w14:paraId="5B3341C9">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3EC89CC2">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3785E5C3">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2B44E34D">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36C0E782">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7644120D">
            <w:pPr>
              <w:jc w:val="left"/>
              <w:rPr>
                <w:rFonts w:ascii="楷体" w:hAnsi="楷体" w:eastAsia="楷体" w:cs="宋体"/>
                <w:sz w:val="24"/>
                <w:lang w:val="zh-CN" w:bidi="zh-CN"/>
              </w:rPr>
            </w:pPr>
          </w:p>
        </w:tc>
      </w:tr>
      <w:tr w14:paraId="7DB3E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5760E435">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146E510E">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0CCB235C">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63CC5CE7">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3EF9806B">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13B751F0">
            <w:pPr>
              <w:jc w:val="left"/>
              <w:rPr>
                <w:rFonts w:ascii="楷体" w:hAnsi="楷体" w:eastAsia="楷体" w:cs="宋体"/>
                <w:sz w:val="24"/>
                <w:lang w:val="zh-CN" w:bidi="zh-CN"/>
              </w:rPr>
            </w:pPr>
          </w:p>
        </w:tc>
      </w:tr>
      <w:tr w14:paraId="4B192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512DB98B">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152D6BCC">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53113A27">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442ED5A9">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4459EB40">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5A550CED">
            <w:pPr>
              <w:jc w:val="left"/>
              <w:rPr>
                <w:rFonts w:ascii="楷体" w:hAnsi="楷体" w:eastAsia="楷体" w:cs="宋体"/>
                <w:sz w:val="24"/>
                <w:lang w:val="zh-CN" w:bidi="zh-CN"/>
              </w:rPr>
            </w:pPr>
          </w:p>
        </w:tc>
      </w:tr>
      <w:tr w14:paraId="6407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1C15D5FE">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22091376">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14FF8846">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4F120D81">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18602B69">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7C9ECA9E">
            <w:pPr>
              <w:jc w:val="left"/>
              <w:rPr>
                <w:rFonts w:ascii="楷体" w:hAnsi="楷体" w:eastAsia="楷体" w:cs="宋体"/>
                <w:sz w:val="24"/>
                <w:lang w:val="zh-CN" w:bidi="zh-CN"/>
              </w:rPr>
            </w:pPr>
          </w:p>
        </w:tc>
      </w:tr>
      <w:tr w14:paraId="60C43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379" w:type="pct"/>
            <w:tcBorders>
              <w:top w:val="single" w:color="000000" w:sz="4" w:space="0"/>
              <w:bottom w:val="single" w:color="000000" w:sz="4" w:space="0"/>
              <w:right w:val="single" w:color="000000" w:sz="4" w:space="0"/>
            </w:tcBorders>
            <w:shd w:val="clear" w:color="auto" w:fill="auto"/>
          </w:tcPr>
          <w:p w14:paraId="2884071F">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769BAF3A">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6B220390">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42456506">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30C875A9">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4A90EA66">
            <w:pPr>
              <w:jc w:val="left"/>
              <w:rPr>
                <w:rFonts w:ascii="楷体" w:hAnsi="楷体" w:eastAsia="楷体" w:cs="宋体"/>
                <w:sz w:val="24"/>
                <w:lang w:val="zh-CN" w:bidi="zh-CN"/>
              </w:rPr>
            </w:pPr>
          </w:p>
        </w:tc>
      </w:tr>
      <w:tr w14:paraId="31DEB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69002AD5">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2710DAD0">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018E8E9C">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76CA84EC">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79002229">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5FC67738">
            <w:pPr>
              <w:jc w:val="left"/>
              <w:rPr>
                <w:rFonts w:ascii="楷体" w:hAnsi="楷体" w:eastAsia="楷体" w:cs="宋体"/>
                <w:sz w:val="24"/>
                <w:lang w:val="zh-CN" w:bidi="zh-CN"/>
              </w:rPr>
            </w:pPr>
          </w:p>
        </w:tc>
      </w:tr>
      <w:tr w14:paraId="51623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6825A0FA">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673A08EB">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37EE3DC3">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1D620AB1">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42DE242A">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7D8C1CEF">
            <w:pPr>
              <w:jc w:val="left"/>
              <w:rPr>
                <w:rFonts w:ascii="楷体" w:hAnsi="楷体" w:eastAsia="楷体" w:cs="宋体"/>
                <w:sz w:val="24"/>
                <w:lang w:val="zh-CN" w:bidi="zh-CN"/>
              </w:rPr>
            </w:pPr>
          </w:p>
        </w:tc>
      </w:tr>
      <w:tr w14:paraId="1FE4C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54378140">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52D1E3DB">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6BBC3C52">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4C53AEFC">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284E8F85">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0A79377D">
            <w:pPr>
              <w:jc w:val="left"/>
              <w:rPr>
                <w:rFonts w:ascii="楷体" w:hAnsi="楷体" w:eastAsia="楷体" w:cs="宋体"/>
                <w:sz w:val="24"/>
                <w:lang w:val="zh-CN" w:bidi="zh-CN"/>
              </w:rPr>
            </w:pPr>
          </w:p>
        </w:tc>
      </w:tr>
      <w:tr w14:paraId="0B3B6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379" w:type="pct"/>
            <w:tcBorders>
              <w:top w:val="single" w:color="000000" w:sz="4" w:space="0"/>
              <w:bottom w:val="single" w:color="000000" w:sz="4" w:space="0"/>
              <w:right w:val="single" w:color="000000" w:sz="4" w:space="0"/>
            </w:tcBorders>
            <w:shd w:val="clear" w:color="auto" w:fill="auto"/>
          </w:tcPr>
          <w:p w14:paraId="3B62B712">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50C843E1">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6DB8375C">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532AA766">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6FADC5C6">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595CAB71">
            <w:pPr>
              <w:jc w:val="left"/>
              <w:rPr>
                <w:rFonts w:ascii="楷体" w:hAnsi="楷体" w:eastAsia="楷体" w:cs="宋体"/>
                <w:sz w:val="24"/>
                <w:lang w:val="zh-CN" w:bidi="zh-CN"/>
              </w:rPr>
            </w:pPr>
          </w:p>
        </w:tc>
      </w:tr>
      <w:tr w14:paraId="5451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379" w:type="pct"/>
            <w:tcBorders>
              <w:top w:val="single" w:color="000000" w:sz="4" w:space="0"/>
              <w:bottom w:val="single" w:color="000000" w:sz="4" w:space="0"/>
              <w:right w:val="single" w:color="000000" w:sz="4" w:space="0"/>
            </w:tcBorders>
            <w:shd w:val="clear" w:color="auto" w:fill="auto"/>
          </w:tcPr>
          <w:p w14:paraId="3B286E3B">
            <w:pPr>
              <w:jc w:val="left"/>
              <w:rPr>
                <w:rFonts w:ascii="楷体" w:hAnsi="楷体" w:eastAsia="楷体" w:cs="宋体"/>
                <w:sz w:val="24"/>
                <w:lang w:val="zh-CN" w:bidi="zh-CN"/>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tcPr>
          <w:p w14:paraId="37374B6D">
            <w:pPr>
              <w:jc w:val="left"/>
              <w:rPr>
                <w:rFonts w:ascii="楷体" w:hAnsi="楷体" w:eastAsia="楷体" w:cs="宋体"/>
                <w:sz w:val="24"/>
                <w:lang w:val="zh-CN" w:bidi="zh-CN"/>
              </w:rPr>
            </w:pPr>
          </w:p>
        </w:tc>
        <w:tc>
          <w:tcPr>
            <w:tcW w:w="1292" w:type="pct"/>
            <w:tcBorders>
              <w:top w:val="single" w:color="000000" w:sz="4" w:space="0"/>
              <w:left w:val="single" w:color="000000" w:sz="4" w:space="0"/>
              <w:bottom w:val="single" w:color="000000" w:sz="4" w:space="0"/>
              <w:right w:val="single" w:color="000000" w:sz="4" w:space="0"/>
            </w:tcBorders>
            <w:shd w:val="clear" w:color="auto" w:fill="auto"/>
          </w:tcPr>
          <w:p w14:paraId="77946FCC">
            <w:pPr>
              <w:jc w:val="left"/>
              <w:rPr>
                <w:rFonts w:ascii="楷体" w:hAnsi="楷体" w:eastAsia="楷体" w:cs="宋体"/>
                <w:sz w:val="24"/>
                <w:lang w:val="zh-CN" w:bidi="zh-CN"/>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tcPr>
          <w:p w14:paraId="1DE85EAD">
            <w:pPr>
              <w:jc w:val="left"/>
              <w:rPr>
                <w:rFonts w:ascii="楷体" w:hAnsi="楷体" w:eastAsia="楷体" w:cs="宋体"/>
                <w:sz w:val="24"/>
                <w:lang w:val="zh-CN" w:bidi="zh-CN"/>
              </w:rPr>
            </w:pPr>
          </w:p>
        </w:tc>
        <w:tc>
          <w:tcPr>
            <w:tcW w:w="812" w:type="pct"/>
            <w:tcBorders>
              <w:top w:val="single" w:color="000000" w:sz="4" w:space="0"/>
              <w:left w:val="single" w:color="000000" w:sz="4" w:space="0"/>
              <w:bottom w:val="single" w:color="000000" w:sz="4" w:space="0"/>
              <w:right w:val="single" w:color="000000" w:sz="4" w:space="0"/>
            </w:tcBorders>
            <w:shd w:val="clear" w:color="auto" w:fill="auto"/>
          </w:tcPr>
          <w:p w14:paraId="3446C6CA">
            <w:pPr>
              <w:jc w:val="left"/>
              <w:rPr>
                <w:rFonts w:ascii="楷体" w:hAnsi="楷体" w:eastAsia="楷体" w:cs="宋体"/>
                <w:sz w:val="24"/>
                <w:lang w:val="zh-CN" w:bidi="zh-CN"/>
              </w:rPr>
            </w:pPr>
          </w:p>
        </w:tc>
        <w:tc>
          <w:tcPr>
            <w:tcW w:w="600" w:type="pct"/>
            <w:tcBorders>
              <w:top w:val="single" w:color="000000" w:sz="4" w:space="0"/>
              <w:left w:val="single" w:color="000000" w:sz="4" w:space="0"/>
              <w:bottom w:val="single" w:color="000000" w:sz="4" w:space="0"/>
              <w:right w:val="single" w:color="000000" w:sz="6" w:space="0"/>
            </w:tcBorders>
            <w:shd w:val="clear" w:color="auto" w:fill="auto"/>
          </w:tcPr>
          <w:p w14:paraId="453449E4">
            <w:pPr>
              <w:jc w:val="left"/>
              <w:rPr>
                <w:rFonts w:ascii="楷体" w:hAnsi="楷体" w:eastAsia="楷体" w:cs="宋体"/>
                <w:sz w:val="24"/>
                <w:lang w:val="zh-CN" w:bidi="zh-CN"/>
              </w:rPr>
            </w:pPr>
          </w:p>
        </w:tc>
      </w:tr>
      <w:tr w14:paraId="115B4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000" w:type="pct"/>
            <w:gridSpan w:val="6"/>
            <w:tcBorders>
              <w:top w:val="single" w:color="000000" w:sz="4" w:space="0"/>
              <w:bottom w:val="single" w:color="000000" w:sz="6" w:space="0"/>
              <w:right w:val="single" w:color="000000" w:sz="6" w:space="0"/>
            </w:tcBorders>
            <w:shd w:val="clear" w:color="auto" w:fill="auto"/>
          </w:tcPr>
          <w:p w14:paraId="55F8AB70">
            <w:pPr>
              <w:jc w:val="left"/>
              <w:rPr>
                <w:rFonts w:ascii="楷体" w:hAnsi="楷体" w:eastAsia="楷体" w:cs="宋体"/>
                <w:sz w:val="24"/>
                <w:lang w:val="zh-CN" w:bidi="zh-CN"/>
              </w:rPr>
            </w:pPr>
          </w:p>
        </w:tc>
      </w:tr>
    </w:tbl>
    <w:p w14:paraId="6E93A5EF">
      <w:pPr>
        <w:spacing w:before="94"/>
        <w:ind w:left="230"/>
        <w:jc w:val="left"/>
        <w:rPr>
          <w:rFonts w:ascii="楷体" w:hAnsi="楷体" w:eastAsia="楷体" w:cs="宋体"/>
          <w:sz w:val="24"/>
          <w:lang w:val="zh-CN" w:bidi="zh-CN"/>
        </w:rPr>
      </w:pPr>
      <w:r>
        <w:rPr>
          <w:rFonts w:ascii="楷体" w:hAnsi="楷体" w:eastAsia="楷体" w:cs="宋体"/>
          <w:sz w:val="24"/>
          <w:lang w:val="zh-CN" w:bidi="zh-CN"/>
        </w:rPr>
        <w:t>填表说明：</w:t>
      </w:r>
    </w:p>
    <w:p w14:paraId="136D765D">
      <w:pPr>
        <w:spacing w:before="160"/>
        <w:ind w:left="230"/>
        <w:jc w:val="left"/>
        <w:rPr>
          <w:rFonts w:ascii="楷体" w:hAnsi="楷体" w:eastAsia="楷体" w:cs="宋体"/>
          <w:sz w:val="24"/>
          <w:lang w:val="zh-CN" w:bidi="zh-CN"/>
        </w:rPr>
      </w:pPr>
      <w:r>
        <w:rPr>
          <w:rFonts w:ascii="楷体" w:hAnsi="楷体" w:eastAsia="楷体" w:cs="宋体"/>
          <w:sz w:val="24"/>
          <w:lang w:val="zh-CN" w:bidi="zh-CN"/>
        </w:rPr>
        <w:t>1、如有偏离的条款，</w:t>
      </w:r>
      <w:r>
        <w:rPr>
          <w:rFonts w:hint="eastAsia" w:ascii="楷体" w:hAnsi="楷体" w:eastAsia="楷体" w:cs="宋体"/>
          <w:sz w:val="24"/>
          <w:lang w:val="zh-CN" w:bidi="zh-CN"/>
        </w:rPr>
        <w:t>投标人</w:t>
      </w:r>
      <w:r>
        <w:rPr>
          <w:rFonts w:ascii="楷体" w:hAnsi="楷体" w:eastAsia="楷体" w:cs="宋体"/>
          <w:sz w:val="24"/>
          <w:lang w:val="zh-CN" w:bidi="zh-CN"/>
        </w:rPr>
        <w:t>应当根据招标文件</w:t>
      </w:r>
      <w:r>
        <w:rPr>
          <w:rFonts w:hint="eastAsia" w:ascii="楷体" w:hAnsi="楷体" w:eastAsia="楷体" w:cs="宋体"/>
          <w:sz w:val="24"/>
          <w:lang w:val="zh-CN" w:bidi="zh-CN"/>
        </w:rPr>
        <w:t>“第四部分 采购需求”的商务</w:t>
      </w:r>
      <w:r>
        <w:rPr>
          <w:rFonts w:ascii="楷体" w:hAnsi="楷体" w:eastAsia="楷体" w:cs="宋体"/>
          <w:sz w:val="24"/>
          <w:lang w:val="zh-CN" w:bidi="zh-CN"/>
        </w:rPr>
        <w:t>要求在上表中标明满足与否。</w:t>
      </w:r>
    </w:p>
    <w:p w14:paraId="206815E1">
      <w:pPr>
        <w:spacing w:before="161"/>
        <w:ind w:left="230"/>
        <w:jc w:val="left"/>
        <w:rPr>
          <w:rFonts w:ascii="楷体" w:hAnsi="楷体" w:eastAsia="楷体" w:cs="宋体"/>
          <w:sz w:val="24"/>
          <w:lang w:val="zh-CN" w:bidi="zh-CN"/>
        </w:rPr>
      </w:pPr>
      <w:r>
        <w:rPr>
          <w:rFonts w:ascii="楷体" w:hAnsi="楷体" w:eastAsia="楷体" w:cs="宋体"/>
          <w:sz w:val="24"/>
          <w:lang w:val="zh-CN" w:bidi="zh-CN"/>
        </w:rPr>
        <w:t>2、</w:t>
      </w:r>
      <w:r>
        <w:rPr>
          <w:rFonts w:hint="eastAsia" w:ascii="楷体" w:hAnsi="楷体" w:eastAsia="楷体" w:cs="宋体"/>
          <w:sz w:val="24"/>
          <w:lang w:val="zh-CN" w:bidi="zh-CN"/>
        </w:rPr>
        <w:t>投标人</w:t>
      </w:r>
      <w:r>
        <w:rPr>
          <w:rFonts w:ascii="楷体" w:hAnsi="楷体" w:eastAsia="楷体" w:cs="宋体"/>
          <w:sz w:val="24"/>
          <w:lang w:val="zh-CN" w:bidi="zh-CN"/>
        </w:rPr>
        <w:t>在本表中须如实表述，虚构内容的，将视为虚假应标，按照无效投标处理。</w:t>
      </w:r>
    </w:p>
    <w:p w14:paraId="23D1CF15">
      <w:pPr>
        <w:spacing w:before="160"/>
        <w:ind w:left="230"/>
        <w:jc w:val="left"/>
        <w:rPr>
          <w:rFonts w:ascii="楷体" w:hAnsi="楷体" w:eastAsia="楷体" w:cs="宋体"/>
          <w:sz w:val="24"/>
          <w:lang w:val="zh-CN" w:bidi="zh-CN"/>
        </w:rPr>
      </w:pPr>
      <w:r>
        <w:rPr>
          <w:rFonts w:ascii="楷体" w:hAnsi="楷体" w:eastAsia="楷体" w:cs="宋体"/>
          <w:sz w:val="24"/>
          <w:lang w:val="zh-CN" w:bidi="zh-CN"/>
        </w:rPr>
        <w:t>3、行数不够，可自行添加；</w:t>
      </w:r>
    </w:p>
    <w:p w14:paraId="006C9020">
      <w:pPr>
        <w:spacing w:before="161"/>
        <w:ind w:left="230"/>
        <w:jc w:val="left"/>
        <w:rPr>
          <w:rFonts w:ascii="楷体" w:hAnsi="楷体" w:eastAsia="楷体" w:cs="宋体"/>
          <w:sz w:val="24"/>
          <w:lang w:val="zh-CN" w:bidi="zh-CN"/>
        </w:rPr>
      </w:pPr>
      <w:r>
        <w:rPr>
          <w:rFonts w:ascii="楷体" w:hAnsi="楷体" w:eastAsia="楷体" w:cs="宋体"/>
          <w:sz w:val="24"/>
          <w:lang w:val="zh-CN" w:bidi="zh-CN"/>
        </w:rPr>
        <w:t>4、</w:t>
      </w:r>
      <w:r>
        <w:rPr>
          <w:rFonts w:hint="eastAsia" w:ascii="楷体" w:hAnsi="楷体" w:eastAsia="楷体" w:cs="宋体"/>
          <w:sz w:val="24"/>
          <w:lang w:val="zh-CN" w:bidi="zh-CN"/>
        </w:rPr>
        <w:t>投标人</w:t>
      </w:r>
      <w:r>
        <w:rPr>
          <w:rFonts w:ascii="楷体" w:hAnsi="楷体" w:eastAsia="楷体" w:cs="宋体"/>
          <w:sz w:val="24"/>
          <w:lang w:val="zh-CN" w:bidi="zh-CN"/>
        </w:rPr>
        <w:t>如对商务部分中的内容无偏离，本表盖章即可。</w:t>
      </w:r>
    </w:p>
    <w:p w14:paraId="274B27CE">
      <w:pPr>
        <w:pStyle w:val="5"/>
        <w:rPr>
          <w:rFonts w:ascii="楷体" w:hAnsi="楷体" w:eastAsia="楷体" w:cs="宋体"/>
          <w:sz w:val="24"/>
          <w:lang w:val="zh-CN" w:bidi="zh-CN"/>
        </w:rPr>
      </w:pPr>
    </w:p>
    <w:p w14:paraId="5A589584">
      <w:pPr>
        <w:pStyle w:val="2"/>
        <w:spacing w:line="360" w:lineRule="auto"/>
        <w:ind w:firstLine="480"/>
        <w:jc w:val="center"/>
        <w:rPr>
          <w:rFonts w:ascii="楷体" w:hAnsi="楷体" w:eastAsia="楷体"/>
          <w:sz w:val="24"/>
          <w:szCs w:val="24"/>
        </w:rPr>
      </w:pPr>
      <w:r>
        <w:rPr>
          <w:rFonts w:hint="eastAsia" w:ascii="楷体" w:hAnsi="楷体" w:eastAsia="楷体"/>
          <w:sz w:val="24"/>
          <w:szCs w:val="24"/>
          <w:lang w:val="en-US" w:eastAsia="zh-CN"/>
        </w:rPr>
        <w:t xml:space="preserve">                                    </w:t>
      </w:r>
      <w:r>
        <w:rPr>
          <w:rFonts w:hint="eastAsia" w:ascii="楷体" w:hAnsi="楷体" w:eastAsia="楷体"/>
          <w:sz w:val="24"/>
          <w:szCs w:val="24"/>
        </w:rPr>
        <w:t>投标人盖章（公章）：</w:t>
      </w:r>
    </w:p>
    <w:p w14:paraId="55C63134">
      <w:pPr>
        <w:pStyle w:val="2"/>
        <w:spacing w:line="360" w:lineRule="auto"/>
        <w:ind w:left="482" w:firstLine="560"/>
        <w:jc w:val="right"/>
        <w:rPr>
          <w:rFonts w:ascii="楷体" w:hAnsi="楷体" w:eastAsia="楷体" w:cs="宋体"/>
          <w:sz w:val="24"/>
          <w:lang w:val="zh-CN" w:bidi="zh-CN"/>
        </w:rPr>
      </w:pPr>
      <w:r>
        <w:rPr>
          <w:rFonts w:hint="eastAsia" w:ascii="楷体" w:hAnsi="楷体" w:eastAsia="楷体"/>
          <w:sz w:val="24"/>
          <w:szCs w:val="24"/>
          <w:lang w:val="en-US" w:eastAsia="zh-CN"/>
        </w:rPr>
        <w:t xml:space="preserve">                              </w:t>
      </w:r>
      <w:r>
        <w:rPr>
          <w:rFonts w:hint="eastAsia" w:ascii="楷体" w:hAnsi="楷体" w:eastAsia="楷体"/>
          <w:sz w:val="24"/>
          <w:szCs w:val="24"/>
        </w:rPr>
        <w:t>法定代表人签字或盖章：</w:t>
      </w:r>
      <w:r>
        <w:rPr>
          <w:rFonts w:ascii="楷体" w:hAnsi="楷体" w:eastAsia="楷体"/>
          <w:sz w:val="24"/>
          <w:szCs w:val="24"/>
        </w:rPr>
        <w:t xml:space="preserve">                                                                                                                                                   </w:t>
      </w:r>
      <w:r>
        <w:rPr>
          <w:rFonts w:hint="eastAsia" w:ascii="楷体" w:hAnsi="楷体" w:eastAsia="楷体"/>
          <w:sz w:val="24"/>
          <w:szCs w:val="24"/>
          <w:lang w:val="en-US" w:eastAsia="zh-CN"/>
        </w:rPr>
        <w:t xml:space="preserve">                                   </w:t>
      </w:r>
      <w:r>
        <w:rPr>
          <w:rFonts w:hint="eastAsia" w:ascii="楷体" w:hAnsi="楷体" w:eastAsia="楷体"/>
          <w:sz w:val="24"/>
          <w:szCs w:val="24"/>
        </w:rPr>
        <w:t>日期：</w:t>
      </w:r>
      <w:r>
        <w:rPr>
          <w:rFonts w:hint="eastAsia" w:ascii="楷体" w:hAnsi="楷体" w:eastAsia="楷体"/>
          <w:sz w:val="24"/>
          <w:szCs w:val="24"/>
          <w:lang w:val="en-US" w:eastAsia="zh-CN"/>
        </w:rPr>
        <w:t xml:space="preserve">     </w:t>
      </w:r>
      <w:r>
        <w:rPr>
          <w:rFonts w:hint="eastAsia" w:ascii="楷体" w:hAnsi="楷体" w:eastAsia="楷体"/>
          <w:sz w:val="24"/>
          <w:szCs w:val="24"/>
        </w:rPr>
        <w:t>年</w:t>
      </w:r>
      <w:r>
        <w:rPr>
          <w:rFonts w:hint="eastAsia" w:ascii="楷体" w:hAnsi="楷体" w:eastAsia="楷体"/>
          <w:sz w:val="24"/>
          <w:szCs w:val="24"/>
          <w:lang w:val="en-US" w:eastAsia="zh-CN"/>
        </w:rPr>
        <w:t xml:space="preserve">    </w:t>
      </w:r>
      <w:r>
        <w:rPr>
          <w:rFonts w:hint="eastAsia" w:ascii="楷体" w:hAnsi="楷体" w:eastAsia="楷体"/>
          <w:sz w:val="24"/>
          <w:szCs w:val="24"/>
        </w:rPr>
        <w:t>月</w:t>
      </w:r>
      <w:r>
        <w:rPr>
          <w:rFonts w:hint="eastAsia" w:ascii="楷体" w:hAnsi="楷体" w:eastAsia="楷体"/>
          <w:sz w:val="24"/>
          <w:szCs w:val="24"/>
          <w:lang w:val="en-US" w:eastAsia="zh-CN"/>
        </w:rPr>
        <w:t xml:space="preserve">   </w:t>
      </w:r>
      <w:r>
        <w:rPr>
          <w:rFonts w:hint="eastAsia" w:ascii="楷体" w:hAnsi="楷体" w:eastAsia="楷体"/>
          <w:sz w:val="24"/>
          <w:szCs w:val="24"/>
        </w:rPr>
        <w:t>日</w:t>
      </w:r>
    </w:p>
    <w:p w14:paraId="13D6442A">
      <w:pPr>
        <w:spacing w:before="11"/>
        <w:jc w:val="left"/>
        <w:rPr>
          <w:rFonts w:ascii="楷体" w:hAnsi="楷体" w:eastAsia="楷体" w:cs="宋体"/>
          <w:sz w:val="24"/>
          <w:lang w:val="zh-CN" w:bidi="zh-CN"/>
        </w:rPr>
      </w:pPr>
    </w:p>
    <w:p w14:paraId="6DE0BB41">
      <w:pPr>
        <w:pStyle w:val="5"/>
        <w:rPr>
          <w:lang w:val="zh-CN" w:bidi="zh-CN"/>
        </w:rPr>
      </w:pPr>
      <w:r>
        <w:rPr>
          <w:rFonts w:ascii="Calibri" w:hAnsi="Calibri" w:eastAsia="宋体"/>
          <w:b w:val="0"/>
          <w:sz w:val="21"/>
          <w:szCs w:val="22"/>
        </w:rPr>
        <w:br w:type="page" w:clear="all"/>
      </w:r>
    </w:p>
    <w:p w14:paraId="0E32BA47">
      <w:pPr>
        <w:pStyle w:val="9"/>
        <w:spacing w:line="360" w:lineRule="auto"/>
        <w:ind w:firstLine="3020"/>
        <w:jc w:val="left"/>
        <w:rPr>
          <w:rFonts w:ascii="楷体" w:hAnsi="楷体" w:eastAsia="楷体"/>
          <w:b/>
          <w:sz w:val="32"/>
          <w:szCs w:val="32"/>
        </w:rPr>
      </w:pPr>
      <w:r>
        <w:rPr>
          <w:rFonts w:hint="eastAsia" w:ascii="楷体" w:hAnsi="楷体" w:eastAsia="楷体"/>
          <w:b/>
          <w:sz w:val="32"/>
          <w:szCs w:val="32"/>
        </w:rPr>
        <w:t>七、其他部分</w:t>
      </w:r>
    </w:p>
    <w:p w14:paraId="1C92EAF3">
      <w:pPr>
        <w:widowControl/>
        <w:spacing w:line="360" w:lineRule="auto"/>
        <w:jc w:val="center"/>
        <w:rPr>
          <w:rFonts w:ascii="楷体" w:hAnsi="楷体" w:eastAsia="楷体"/>
          <w:b/>
          <w:sz w:val="28"/>
          <w:szCs w:val="28"/>
        </w:rPr>
      </w:pPr>
      <w:bookmarkStart w:id="279" w:name="OLE_LINK12"/>
      <w:r>
        <w:rPr>
          <w:rFonts w:hint="eastAsia" w:ascii="楷体" w:hAnsi="楷体" w:eastAsia="楷体"/>
          <w:b/>
          <w:sz w:val="28"/>
          <w:szCs w:val="28"/>
        </w:rPr>
        <w:t>按招标文件要求投标人所能提供的</w:t>
      </w:r>
      <w:r>
        <w:rPr>
          <w:rFonts w:ascii="楷体" w:hAnsi="楷体" w:eastAsia="楷体"/>
          <w:b/>
          <w:sz w:val="28"/>
          <w:szCs w:val="28"/>
        </w:rPr>
        <w:t>其他文件</w:t>
      </w:r>
    </w:p>
    <w:bookmarkEnd w:id="279"/>
    <w:p w14:paraId="5CEA522A">
      <w:pPr>
        <w:widowControl/>
        <w:spacing w:line="360" w:lineRule="auto"/>
        <w:jc w:val="center"/>
        <w:rPr>
          <w:rFonts w:ascii="楷体" w:hAnsi="楷体" w:eastAsia="楷体"/>
          <w:b/>
          <w:sz w:val="32"/>
          <w:szCs w:val="32"/>
        </w:rPr>
      </w:pPr>
    </w:p>
    <w:p w14:paraId="791E8778">
      <w:pPr>
        <w:pStyle w:val="5"/>
      </w:pPr>
    </w:p>
    <w:p w14:paraId="2A304CB7"/>
    <w:p w14:paraId="3752B675">
      <w:pPr>
        <w:pStyle w:val="5"/>
      </w:pPr>
    </w:p>
    <w:p w14:paraId="722C316A"/>
    <w:p w14:paraId="70D6012A">
      <w:pPr>
        <w:pStyle w:val="5"/>
      </w:pPr>
    </w:p>
    <w:p w14:paraId="0E03785D"/>
    <w:p w14:paraId="68998C4B">
      <w:pPr>
        <w:pStyle w:val="5"/>
      </w:pPr>
    </w:p>
    <w:p w14:paraId="23657554"/>
    <w:p w14:paraId="0E93EB2E">
      <w:pPr>
        <w:pStyle w:val="5"/>
      </w:pPr>
    </w:p>
    <w:p w14:paraId="660338BC"/>
    <w:p w14:paraId="20F5ED32">
      <w:pPr>
        <w:widowControl/>
        <w:jc w:val="left"/>
        <w:rPr>
          <w:rFonts w:ascii="方正小标宋简体" w:eastAsia="方正小标宋简体"/>
          <w:sz w:val="44"/>
          <w:szCs w:val="44"/>
        </w:rPr>
      </w:pPr>
    </w:p>
    <w:p w14:paraId="2ED3B4D5">
      <w:pPr>
        <w:widowControl/>
        <w:jc w:val="left"/>
        <w:rPr>
          <w:rFonts w:ascii="楷体" w:hAnsi="楷体" w:eastAsia="楷体"/>
          <w:b/>
          <w:sz w:val="36"/>
          <w:szCs w:val="36"/>
        </w:rPr>
      </w:pPr>
      <w:r>
        <w:rPr>
          <w:rFonts w:ascii="楷体" w:hAnsi="楷体" w:eastAsia="楷体"/>
          <w:b/>
          <w:sz w:val="36"/>
          <w:szCs w:val="36"/>
        </w:rPr>
        <w:br w:type="page"/>
      </w:r>
    </w:p>
    <w:p w14:paraId="1A2E5A69">
      <w:pPr>
        <w:jc w:val="center"/>
        <w:rPr>
          <w:rFonts w:ascii="楷体" w:hAnsi="楷体" w:eastAsia="楷体"/>
          <w:b/>
          <w:sz w:val="36"/>
          <w:szCs w:val="36"/>
        </w:rPr>
      </w:pPr>
      <w:r>
        <w:rPr>
          <w:rFonts w:hint="eastAsia" w:ascii="楷体" w:hAnsi="楷体" w:eastAsia="楷体"/>
          <w:b/>
          <w:sz w:val="36"/>
          <w:szCs w:val="36"/>
        </w:rPr>
        <w:t>告供应商书</w:t>
      </w:r>
    </w:p>
    <w:p w14:paraId="23361D03">
      <w:pPr>
        <w:rPr>
          <w:rFonts w:ascii="楷体" w:hAnsi="楷体" w:eastAsia="楷体"/>
          <w:sz w:val="30"/>
          <w:szCs w:val="30"/>
        </w:rPr>
      </w:pPr>
    </w:p>
    <w:p w14:paraId="1AA91002">
      <w:pPr>
        <w:rPr>
          <w:rFonts w:ascii="楷体" w:hAnsi="楷体" w:eastAsia="楷体"/>
          <w:sz w:val="30"/>
          <w:szCs w:val="30"/>
        </w:rPr>
      </w:pPr>
      <w:r>
        <w:rPr>
          <w:rFonts w:hint="eastAsia" w:ascii="楷体" w:hAnsi="楷体" w:eastAsia="楷体"/>
          <w:sz w:val="30"/>
          <w:szCs w:val="30"/>
        </w:rPr>
        <w:t>中标（成交）供应商：</w:t>
      </w:r>
    </w:p>
    <w:p w14:paraId="2F975B63">
      <w:pPr>
        <w:ind w:firstLine="640"/>
        <w:rPr>
          <w:rFonts w:ascii="楷体" w:hAnsi="楷体" w:eastAsia="楷体"/>
          <w:sz w:val="30"/>
          <w:szCs w:val="30"/>
        </w:rPr>
      </w:pPr>
      <w:r>
        <w:rPr>
          <w:rFonts w:hint="eastAsia" w:ascii="楷体" w:hAnsi="楷体" w:eastAsia="楷体"/>
          <w:sz w:val="30"/>
          <w:szCs w:val="30"/>
        </w:rPr>
        <w:t>恭喜您成功中标（成交），为我市采购人提供优质产品及服务。为优化政府采购营商环境，发挥政府采购政策功能，缓解企业融资难题，我省已推出政府采购线上合同信用融资贷款业务，特此告知如下：</w:t>
      </w:r>
    </w:p>
    <w:p w14:paraId="2F7DB91C">
      <w:pPr>
        <w:ind w:firstLine="640"/>
        <w:rPr>
          <w:rFonts w:ascii="楷体" w:hAnsi="楷体" w:eastAsia="楷体"/>
          <w:sz w:val="30"/>
          <w:szCs w:val="30"/>
        </w:rPr>
      </w:pPr>
      <w:r>
        <w:rPr>
          <w:rFonts w:hint="eastAsia" w:ascii="楷体" w:hAnsi="楷体" w:eastAsia="楷体"/>
          <w:sz w:val="30"/>
          <w:szCs w:val="30"/>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sz w:val="30"/>
          <w:szCs w:val="30"/>
        </w:rPr>
        <w:t>为您提供</w:t>
      </w:r>
      <w:r>
        <w:rPr>
          <w:rFonts w:hint="eastAsia" w:ascii="楷体" w:hAnsi="楷体" w:eastAsia="楷体"/>
          <w:sz w:val="30"/>
          <w:szCs w:val="30"/>
        </w:rPr>
        <w:t>无抵押低息融资</w:t>
      </w:r>
      <w:r>
        <w:rPr>
          <w:rFonts w:ascii="楷体" w:hAnsi="楷体" w:eastAsia="楷体"/>
          <w:sz w:val="30"/>
          <w:szCs w:val="30"/>
        </w:rPr>
        <w:t>便利</w:t>
      </w:r>
      <w:r>
        <w:rPr>
          <w:rFonts w:hint="eastAsia" w:ascii="楷体" w:hAnsi="楷体" w:eastAsia="楷体"/>
          <w:sz w:val="30"/>
          <w:szCs w:val="30"/>
        </w:rPr>
        <w:t>。</w:t>
      </w:r>
      <w:r>
        <w:rPr>
          <w:rFonts w:ascii="楷体" w:hAnsi="楷体" w:eastAsia="楷体"/>
          <w:sz w:val="30"/>
          <w:szCs w:val="30"/>
        </w:rPr>
        <w:t>具体业务流程可登录</w:t>
      </w:r>
      <w:r>
        <w:rPr>
          <w:rFonts w:hint="eastAsia" w:ascii="楷体" w:hAnsi="楷体" w:eastAsia="楷体"/>
          <w:sz w:val="30"/>
          <w:szCs w:val="30"/>
        </w:rPr>
        <w:t>“江苏政府采购网</w:t>
      </w:r>
      <w:r>
        <w:rPr>
          <w:rFonts w:ascii="楷体" w:hAnsi="楷体" w:eastAsia="楷体"/>
          <w:sz w:val="30"/>
          <w:szCs w:val="30"/>
        </w:rPr>
        <w:t>—</w:t>
      </w:r>
      <w:r>
        <w:rPr>
          <w:rFonts w:hint="eastAsia" w:ascii="楷体" w:hAnsi="楷体" w:eastAsia="楷体"/>
          <w:sz w:val="30"/>
          <w:szCs w:val="30"/>
        </w:rPr>
        <w:t>政采贷”栏目（</w:t>
      </w:r>
      <w:r>
        <w:rPr>
          <w:rFonts w:ascii="楷体" w:hAnsi="楷体" w:eastAsia="楷体"/>
          <w:sz w:val="30"/>
          <w:szCs w:val="30"/>
        </w:rPr>
        <w:t>http://www.ccgp-jiangsu.gov.cn/jiangsu/paying.html</w:t>
      </w:r>
      <w:r>
        <w:rPr>
          <w:rFonts w:hint="eastAsia" w:ascii="楷体" w:hAnsi="楷体" w:eastAsia="楷体"/>
          <w:sz w:val="30"/>
          <w:szCs w:val="30"/>
        </w:rPr>
        <w:t>）查看并办理。</w:t>
      </w:r>
    </w:p>
    <w:p w14:paraId="05681E83">
      <w:pPr>
        <w:ind w:firstLine="640"/>
        <w:rPr>
          <w:rFonts w:ascii="楷体" w:hAnsi="楷体" w:eastAsia="楷体"/>
          <w:sz w:val="30"/>
          <w:szCs w:val="30"/>
        </w:rPr>
      </w:pPr>
      <w:r>
        <w:rPr>
          <w:rFonts w:hint="eastAsia" w:ascii="楷体" w:hAnsi="楷体" w:eastAsia="楷体"/>
          <w:sz w:val="30"/>
          <w:szCs w:val="30"/>
        </w:rPr>
        <w:t>如您需要帮助，请致电镇江市财政局政府采购管理处，电话：0</w:t>
      </w:r>
      <w:r>
        <w:rPr>
          <w:rFonts w:ascii="楷体" w:hAnsi="楷体" w:eastAsia="楷体"/>
          <w:sz w:val="30"/>
          <w:szCs w:val="30"/>
        </w:rPr>
        <w:t>511-80909958</w:t>
      </w:r>
      <w:r>
        <w:rPr>
          <w:rFonts w:hint="eastAsia" w:ascii="楷体" w:hAnsi="楷体" w:eastAsia="楷体"/>
          <w:sz w:val="30"/>
          <w:szCs w:val="30"/>
        </w:rPr>
        <w:t>。我们将竭诚为您服务！</w:t>
      </w:r>
    </w:p>
    <w:p w14:paraId="05ACF1C0">
      <w:pPr>
        <w:ind w:right="160" w:firstLine="640"/>
        <w:jc w:val="right"/>
        <w:rPr>
          <w:rFonts w:ascii="楷体" w:hAnsi="楷体" w:eastAsia="楷体"/>
          <w:sz w:val="30"/>
          <w:szCs w:val="30"/>
        </w:rPr>
      </w:pPr>
    </w:p>
    <w:p w14:paraId="3AFF40E9">
      <w:pPr>
        <w:ind w:right="160" w:firstLine="640"/>
        <w:jc w:val="right"/>
        <w:rPr>
          <w:rFonts w:ascii="楷体" w:hAnsi="楷体" w:eastAsia="楷体"/>
          <w:sz w:val="30"/>
          <w:szCs w:val="30"/>
        </w:rPr>
      </w:pPr>
      <w:r>
        <w:rPr>
          <w:rFonts w:ascii="楷体" w:hAnsi="楷体" w:eastAsia="楷体"/>
          <w:sz w:val="30"/>
          <w:szCs w:val="30"/>
        </w:rPr>
        <w:t>镇江市财政局</w:t>
      </w:r>
    </w:p>
    <w:p w14:paraId="51D0222F">
      <w:pPr>
        <w:widowControl/>
        <w:jc w:val="left"/>
        <w:rPr>
          <w:rFonts w:ascii="幼圆" w:hAnsi="Arial" w:eastAsia="楷体_GB2312"/>
          <w:b/>
          <w:sz w:val="44"/>
          <w:szCs w:val="20"/>
        </w:rPr>
      </w:pPr>
    </w:p>
    <w:sectPr>
      <w:footerReference r:id="rId6" w:type="first"/>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B93E9F-85A6-4163-A809-18BC8582A74E}"/>
  </w:font>
  <w:font w:name="Arial">
    <w:panose1 w:val="020B0604020202020204"/>
    <w:charset w:val="01"/>
    <w:family w:val="swiss"/>
    <w:pitch w:val="default"/>
    <w:sig w:usb0="E0002EFF" w:usb1="C000785B" w:usb2="00000009" w:usb3="00000000" w:csb0="400001FF" w:csb1="FFFF0000"/>
    <w:embedRegular r:id="rId2" w:fontKey="{B42C229E-E2BB-49FB-9853-B0AD34709314}"/>
  </w:font>
  <w:font w:name="黑体">
    <w:panose1 w:val="02010609060101010101"/>
    <w:charset w:val="86"/>
    <w:family w:val="auto"/>
    <w:pitch w:val="default"/>
    <w:sig w:usb0="800002BF" w:usb1="38CF7CFA" w:usb2="00000016" w:usb3="00000000" w:csb0="00040001" w:csb1="00000000"/>
    <w:embedRegular r:id="rId3" w:fontKey="{D0EBDE68-7581-437A-BAD1-EF4EB1FCA2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5BD8A548-CC58-410A-BA3F-1317E135CFB6}"/>
  </w:font>
  <w:font w:name="楷体_GB2312">
    <w:altName w:val="楷体"/>
    <w:panose1 w:val="00000000000000000000"/>
    <w:charset w:val="86"/>
    <w:family w:val="modern"/>
    <w:pitch w:val="default"/>
    <w:sig w:usb0="00000000" w:usb1="00000000" w:usb2="00000010" w:usb3="00000000" w:csb0="00040000" w:csb1="00000000"/>
    <w:embedRegular r:id="rId5" w:fontKey="{B34D16F5-44D7-4DF2-8B35-1E95C6CF0926}"/>
  </w:font>
  <w:font w:name="幼圆">
    <w:panose1 w:val="02010509060101010101"/>
    <w:charset w:val="86"/>
    <w:family w:val="modern"/>
    <w:pitch w:val="default"/>
    <w:sig w:usb0="00000001" w:usb1="080E0000" w:usb2="00000000" w:usb3="00000000" w:csb0="00040000" w:csb1="00000000"/>
    <w:embedRegular r:id="rId6" w:fontKey="{171A805A-24A8-4E89-B30D-48E8CC8D5B39}"/>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0000000000000000000"/>
    <w:charset w:val="86"/>
    <w:family w:val="auto"/>
    <w:pitch w:val="default"/>
    <w:sig w:usb0="00000000" w:usb1="00000000" w:usb2="00082016" w:usb3="00000000" w:csb0="00040001" w:csb1="00000000"/>
  </w:font>
  <w:font w:name="仿宋_GB2312">
    <w:altName w:val="仿宋"/>
    <w:panose1 w:val="00000000000000000000"/>
    <w:charset w:val="86"/>
    <w:family w:val="modern"/>
    <w:pitch w:val="default"/>
    <w:sig w:usb0="00000000" w:usb1="00000000" w:usb2="00000010" w:usb3="00000000" w:csb0="00040000" w:csb1="00000000"/>
    <w:embedRegular r:id="rId7" w:fontKey="{3440A267-FBA3-46E1-9FB8-B65F2E4D5919}"/>
  </w:font>
  <w:font w:name="仿宋">
    <w:panose1 w:val="02010609060101010101"/>
    <w:charset w:val="86"/>
    <w:family w:val="auto"/>
    <w:pitch w:val="default"/>
    <w:sig w:usb0="800002BF" w:usb1="38CF7CFA" w:usb2="00000016" w:usb3="00000000" w:csb0="00040001" w:csb1="00000000"/>
    <w:embedRegular r:id="rId8" w:fontKey="{27E3392F-4444-49A0-A3EE-82435276A702}"/>
  </w:font>
  <w:font w:name="Arial Unicode MS">
    <w:panose1 w:val="020B0604020202020204"/>
    <w:charset w:val="86"/>
    <w:family w:val="auto"/>
    <w:pitch w:val="default"/>
    <w:sig w:usb0="FFFFFFFF" w:usb1="E9FFFFFF" w:usb2="0000003F" w:usb3="00000000" w:csb0="603F01FF" w:csb1="FFFF0000"/>
  </w:font>
  <w:font w:name="等线 Light">
    <w:panose1 w:val="02010600030101010101"/>
    <w:charset w:val="86"/>
    <w:family w:val="auto"/>
    <w:pitch w:val="default"/>
    <w:sig w:usb0="A00002BF" w:usb1="38CF7CFA" w:usb2="00000016" w:usb3="00000000" w:csb0="0004000F" w:csb1="00000000"/>
  </w:font>
  <w:font w:name="Taipei">
    <w:altName w:val="Noto Sans SC"/>
    <w:panose1 w:val="00000000000000000000"/>
    <w:charset w:val="00"/>
    <w:family w:val="roman"/>
    <w:pitch w:val="default"/>
    <w:sig w:usb0="00000000" w:usb1="00000000" w:usb2="00000000" w:usb3="00000000" w:csb0="00040001" w:csb1="00000000"/>
  </w:font>
  <w:font w:name="StarSymbol">
    <w:altName w:val="Noto Sans SC"/>
    <w:panose1 w:val="00000000000000000000"/>
    <w:charset w:val="80"/>
    <w:family w:val="auto"/>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embedRegular r:id="rId9" w:fontKey="{AFB2AE28-50E4-4424-8CA1-75F2F2A5EEAF}"/>
  </w:font>
  <w:font w:name="楷体">
    <w:panose1 w:val="02010609060101010101"/>
    <w:charset w:val="86"/>
    <w:family w:val="auto"/>
    <w:pitch w:val="default"/>
    <w:sig w:usb0="800002BF" w:usb1="38CF7CFA" w:usb2="00000016" w:usb3="00000000" w:csb0="00040001" w:csb1="00000000"/>
    <w:embedRegular r:id="rId10" w:fontKey="{AC1FC324-C327-46FD-B654-E2B8B4F1439F}"/>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Arial Unicode MS"/>
    <w:panose1 w:val="02000000000000000000"/>
    <w:charset w:val="86"/>
    <w:family w:val="script"/>
    <w:pitch w:val="default"/>
    <w:sig w:usb0="00000000" w:usb1="00000000" w:usb2="00082016" w:usb3="00000000" w:csb0="00040001" w:csb1="00000000"/>
  </w:font>
  <w:font w:name="ˎ̥">
    <w:altName w:val="Noto Sans SC"/>
    <w:panose1 w:val="00000000000000000000"/>
    <w:charset w:val="01"/>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embedRegular r:id="rId11" w:fontKey="{B2F2317B-B07A-4FBA-81CB-4A30C5806C27}"/>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86"/>
    <w:family w:val="script"/>
    <w:pitch w:val="default"/>
    <w:sig w:usb0="00000000" w:usb1="00000000" w:usb2="00000010" w:usb3="00000000" w:csb0="00040000" w:csb1="00000000"/>
  </w:font>
  <w:font w:name="华文黑体">
    <w:altName w:val="黑体"/>
    <w:panose1 w:val="00000000000000000000"/>
    <w:charset w:val="86"/>
    <w:family w:val="auto"/>
    <w:pitch w:val="default"/>
    <w:sig w:usb0="00000000" w:usb1="00000000" w:usb2="00000000" w:usb3="00000000" w:csb0="0004009F" w:csb1="DFD70000"/>
  </w:font>
  <w:font w:name="Lucida Grande">
    <w:altName w:val="Courier New"/>
    <w:panose1 w:val="00000000000000000000"/>
    <w:charset w:val="00"/>
    <w:family w:val="auto"/>
    <w:pitch w:val="default"/>
    <w:sig w:usb0="00000000" w:usb1="00000000" w:usb2="00000000" w:usb3="00000000" w:csb0="000001BF" w:csb1="00000000"/>
  </w:font>
  <w:font w:name="方正黑体_GBK">
    <w:altName w:val="微软雅黑"/>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panose1 w:val="02010509060101010101"/>
    <w:charset w:val="86"/>
    <w:family w:val="modern"/>
    <w:pitch w:val="default"/>
    <w:sig w:usb0="00000001" w:usb1="080E0000" w:usb2="00000000" w:usb3="00000000" w:csb0="00040000" w:csb1="00000000"/>
    <w:embedRegular r:id="rId12" w:fontKey="{DA7B6483-A6A7-4376-B15B-23C6B2429BD0}"/>
  </w:font>
  <w:font w:name="Segoe UI Symbol">
    <w:panose1 w:val="020B0502040204020203"/>
    <w:charset w:val="00"/>
    <w:family w:val="swiss"/>
    <w:pitch w:val="default"/>
    <w:sig w:usb0="800001E3" w:usb1="1200FFEF" w:usb2="00040000" w:usb3="04000000" w:csb0="00000001" w:csb1="40000000"/>
    <w:embedRegular r:id="rId13" w:fontKey="{61A8ED18-404F-409F-93E6-9FD88D8F08BA}"/>
  </w:font>
  <w:font w:name="方正小标宋简体">
    <w:panose1 w:val="02000000000000000000"/>
    <w:charset w:val="86"/>
    <w:family w:val="script"/>
    <w:pitch w:val="default"/>
    <w:sig w:usb0="00000001" w:usb1="08000000" w:usb2="00000000" w:usb3="00000000" w:csb0="00040000" w:csb1="00000000"/>
    <w:embedRegular r:id="rId14" w:fontKey="{A1F63AFB-BF8C-4824-A037-08462BF8FDF5}"/>
  </w:font>
  <w:font w:name="Noto Sans SC">
    <w:panose1 w:val="020B0500000000000000"/>
    <w:charset w:val="86"/>
    <w:family w:val="auto"/>
    <w:pitch w:val="default"/>
    <w:sig w:usb0="20000083" w:usb1="2ADF3C10" w:usb2="00000016" w:usb3="00000000" w:csb0="60060107" w:csb1="00000000"/>
  </w:font>
  <w:font w:name="Wingdings 2">
    <w:panose1 w:val="05020102010507070707"/>
    <w:charset w:val="00"/>
    <w:family w:val="auto"/>
    <w:pitch w:val="default"/>
    <w:sig w:usb0="00000000" w:usb1="00000000" w:usb2="00000000" w:usb3="00000000" w:csb0="80000000" w:csb1="00000000"/>
    <w:embedRegular r:id="rId15" w:fontKey="{27846ACA-57E0-4FAC-90DE-16B73B142E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C09F9">
    <w:pPr>
      <w:pStyle w:val="4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0962D">
                          <w:pPr>
                            <w:pStyle w:val="4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BF0962D">
                    <w:pPr>
                      <w:pStyle w:val="4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C79C2">
    <w:pPr>
      <w:pStyle w:val="4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7E5D1">
                          <w:pPr>
                            <w:pStyle w:val="4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0F7E5D1">
                    <w:pPr>
                      <w:pStyle w:val="46"/>
                    </w:pPr>
                    <w:r>
                      <w:fldChar w:fldCharType="begin"/>
                    </w:r>
                    <w:r>
                      <w:instrText xml:space="preserve"> PAGE  \* MERGEFORMAT </w:instrText>
                    </w:r>
                    <w:r>
                      <w:fldChar w:fldCharType="separate"/>
                    </w:r>
                    <w:r>
                      <w:t>2</w:t>
                    </w:r>
                    <w:r>
                      <w:fldChar w:fldCharType="end"/>
                    </w:r>
                  </w:p>
                </w:txbxContent>
              </v:textbox>
            </v:shape>
          </w:pict>
        </mc:Fallback>
      </mc:AlternateContent>
    </w:r>
    <w:sdt>
      <w:sdtPr>
        <w:id w:val="75308377"/>
      </w:sdtPr>
      <w:sdtContent/>
    </w:sdt>
  </w:p>
  <w:p w14:paraId="1A9F9A3F">
    <w:pPr>
      <w:pStyle w:val="4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A3DB4">
    <w:pPr>
      <w:pStyle w:val="4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731578">
                          <w:pPr>
                            <w:pStyle w:val="46"/>
                            <w:jc w:val="center"/>
                          </w:pPr>
                          <w:r>
                            <w:fldChar w:fldCharType="begin"/>
                          </w:r>
                          <w:r>
                            <w:rPr>
                              <w:rStyle w:val="75"/>
                            </w:rPr>
                            <w:instrText xml:space="preserve"> PAGE </w:instrText>
                          </w:r>
                          <w:r>
                            <w:fldChar w:fldCharType="separate"/>
                          </w:r>
                          <w:r>
                            <w:rPr>
                              <w:rStyle w:val="75"/>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D731578">
                    <w:pPr>
                      <w:pStyle w:val="46"/>
                      <w:jc w:val="center"/>
                    </w:pPr>
                    <w:r>
                      <w:fldChar w:fldCharType="begin"/>
                    </w:r>
                    <w:r>
                      <w:rPr>
                        <w:rStyle w:val="75"/>
                      </w:rPr>
                      <w:instrText xml:space="preserve"> PAGE </w:instrText>
                    </w:r>
                    <w:r>
                      <w:fldChar w:fldCharType="separate"/>
                    </w:r>
                    <w:r>
                      <w:rPr>
                        <w:rStyle w:val="75"/>
                      </w:rP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DEB05">
    <w:pPr>
      <w:pStyle w:val="46"/>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C29C1B"/>
    <w:multiLevelType w:val="singleLevel"/>
    <w:tmpl w:val="8BC29C1B"/>
    <w:lvl w:ilvl="0" w:tentative="0">
      <w:start w:val="2"/>
      <w:numFmt w:val="decimal"/>
      <w:suff w:val="nothing"/>
      <w:lvlText w:val="%1、"/>
      <w:lvlJc w:val="left"/>
      <w:pPr>
        <w:ind w:left="-60"/>
      </w:pPr>
    </w:lvl>
  </w:abstractNum>
  <w:abstractNum w:abstractNumId="1">
    <w:nsid w:val="B0214376"/>
    <w:multiLevelType w:val="singleLevel"/>
    <w:tmpl w:val="B0214376"/>
    <w:lvl w:ilvl="0" w:tentative="0">
      <w:start w:val="3"/>
      <w:numFmt w:val="chineseCounting"/>
      <w:suff w:val="nothing"/>
      <w:lvlText w:val="（%1）"/>
      <w:lvlJc w:val="left"/>
      <w:rPr>
        <w:rFonts w:hint="eastAsia"/>
      </w:rPr>
    </w:lvl>
  </w:abstractNum>
  <w:abstractNum w:abstractNumId="2">
    <w:nsid w:val="BD9EE577"/>
    <w:multiLevelType w:val="singleLevel"/>
    <w:tmpl w:val="BD9EE577"/>
    <w:lvl w:ilvl="0" w:tentative="0">
      <w:start w:val="1"/>
      <w:numFmt w:val="decimal"/>
      <w:lvlText w:val="%1)"/>
      <w:lvlJc w:val="left"/>
      <w:pPr>
        <w:ind w:left="425" w:hanging="425"/>
      </w:pPr>
      <w:rPr>
        <w:rFonts w:hint="default"/>
      </w:rPr>
    </w:lvl>
  </w:abstractNum>
  <w:abstractNum w:abstractNumId="3">
    <w:nsid w:val="D8687643"/>
    <w:multiLevelType w:val="singleLevel"/>
    <w:tmpl w:val="D8687643"/>
    <w:lvl w:ilvl="0" w:tentative="0">
      <w:start w:val="6"/>
      <w:numFmt w:val="decimal"/>
      <w:suff w:val="nothing"/>
      <w:lvlText w:val="%1、"/>
      <w:lvlJc w:val="left"/>
    </w:lvl>
  </w:abstractNum>
  <w:abstractNum w:abstractNumId="4">
    <w:nsid w:val="F4EA147D"/>
    <w:multiLevelType w:val="singleLevel"/>
    <w:tmpl w:val="F4EA147D"/>
    <w:lvl w:ilvl="0" w:tentative="0">
      <w:start w:val="4"/>
      <w:numFmt w:val="chineseCounting"/>
      <w:suff w:val="nothing"/>
      <w:lvlText w:val="%1、"/>
      <w:lvlJc w:val="left"/>
      <w:rPr>
        <w:rFonts w:hint="eastAsia"/>
      </w:rPr>
    </w:lvl>
  </w:abstractNum>
  <w:abstractNum w:abstractNumId="5">
    <w:nsid w:val="FDBF49CC"/>
    <w:multiLevelType w:val="singleLevel"/>
    <w:tmpl w:val="FDBF49CC"/>
    <w:lvl w:ilvl="0" w:tentative="0">
      <w:start w:val="19"/>
      <w:numFmt w:val="chineseCounting"/>
      <w:suff w:val="nothing"/>
      <w:lvlText w:val="（%1）"/>
      <w:lvlJc w:val="left"/>
      <w:rPr>
        <w:rFonts w:hint="eastAsia"/>
      </w:rPr>
    </w:lvl>
  </w:abstractNum>
  <w:abstractNum w:abstractNumId="6">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5E619DC"/>
    <w:multiLevelType w:val="singleLevel"/>
    <w:tmpl w:val="05E619DC"/>
    <w:lvl w:ilvl="0" w:tentative="0">
      <w:start w:val="1"/>
      <w:numFmt w:val="decimal"/>
      <w:lvlText w:val="%1)"/>
      <w:lvlJc w:val="left"/>
      <w:pPr>
        <w:ind w:left="425" w:hanging="425"/>
      </w:pPr>
      <w:rPr>
        <w:rFonts w:hint="default"/>
      </w:rPr>
    </w:lvl>
  </w:abstractNum>
  <w:abstractNum w:abstractNumId="8">
    <w:nsid w:val="269D0EC2"/>
    <w:multiLevelType w:val="multilevel"/>
    <w:tmpl w:val="269D0EC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B3F77CA"/>
    <w:multiLevelType w:val="multilevel"/>
    <w:tmpl w:val="7B3F77CA"/>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9"/>
  </w:num>
  <w:num w:numId="5">
    <w:abstractNumId w:val="7"/>
  </w:num>
  <w:num w:numId="6">
    <w:abstractNumId w:val="2"/>
  </w:num>
  <w:num w:numId="7">
    <w:abstractNumId w:val="5"/>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jYTg5YzJhMTY2OTY0Y2IxZTcwNDUwMDU5N2FmZjgifQ=="/>
  </w:docVars>
  <w:rsids>
    <w:rsidRoot w:val="007810FE"/>
    <w:rsid w:val="00007C61"/>
    <w:rsid w:val="00022918"/>
    <w:rsid w:val="00043BD6"/>
    <w:rsid w:val="000505F9"/>
    <w:rsid w:val="00095BBE"/>
    <w:rsid w:val="000A5A0E"/>
    <w:rsid w:val="000B5B9C"/>
    <w:rsid w:val="000B68A9"/>
    <w:rsid w:val="000E1172"/>
    <w:rsid w:val="000E4392"/>
    <w:rsid w:val="000F37C9"/>
    <w:rsid w:val="00110985"/>
    <w:rsid w:val="00112BD1"/>
    <w:rsid w:val="0015341D"/>
    <w:rsid w:val="00164609"/>
    <w:rsid w:val="00180E21"/>
    <w:rsid w:val="001A7829"/>
    <w:rsid w:val="001B78F7"/>
    <w:rsid w:val="001C545A"/>
    <w:rsid w:val="001D0210"/>
    <w:rsid w:val="001F5BDF"/>
    <w:rsid w:val="001F7765"/>
    <w:rsid w:val="00222A91"/>
    <w:rsid w:val="00226950"/>
    <w:rsid w:val="00231338"/>
    <w:rsid w:val="00234FD9"/>
    <w:rsid w:val="00251675"/>
    <w:rsid w:val="002527A8"/>
    <w:rsid w:val="00253152"/>
    <w:rsid w:val="00253612"/>
    <w:rsid w:val="002A56B5"/>
    <w:rsid w:val="002B04E9"/>
    <w:rsid w:val="002B1F8E"/>
    <w:rsid w:val="002C5D57"/>
    <w:rsid w:val="002F1471"/>
    <w:rsid w:val="002F69EE"/>
    <w:rsid w:val="00300030"/>
    <w:rsid w:val="0031558A"/>
    <w:rsid w:val="00335EFF"/>
    <w:rsid w:val="00350CA5"/>
    <w:rsid w:val="003524BC"/>
    <w:rsid w:val="003771EA"/>
    <w:rsid w:val="003A0FD6"/>
    <w:rsid w:val="003A2A9F"/>
    <w:rsid w:val="00422E41"/>
    <w:rsid w:val="0042691C"/>
    <w:rsid w:val="00432EBC"/>
    <w:rsid w:val="00463BF1"/>
    <w:rsid w:val="00464234"/>
    <w:rsid w:val="00486AEA"/>
    <w:rsid w:val="00496D86"/>
    <w:rsid w:val="004B2CE5"/>
    <w:rsid w:val="004C5BB1"/>
    <w:rsid w:val="005057B1"/>
    <w:rsid w:val="0051783B"/>
    <w:rsid w:val="00564F6D"/>
    <w:rsid w:val="00580CA6"/>
    <w:rsid w:val="00597471"/>
    <w:rsid w:val="005B1741"/>
    <w:rsid w:val="005F38B3"/>
    <w:rsid w:val="00606632"/>
    <w:rsid w:val="0061780E"/>
    <w:rsid w:val="006603A3"/>
    <w:rsid w:val="00671289"/>
    <w:rsid w:val="006A21D5"/>
    <w:rsid w:val="006C4BA9"/>
    <w:rsid w:val="00701365"/>
    <w:rsid w:val="00711D46"/>
    <w:rsid w:val="00734847"/>
    <w:rsid w:val="007509BD"/>
    <w:rsid w:val="007524EA"/>
    <w:rsid w:val="007602AD"/>
    <w:rsid w:val="00764B51"/>
    <w:rsid w:val="007735B0"/>
    <w:rsid w:val="00777B18"/>
    <w:rsid w:val="007810FE"/>
    <w:rsid w:val="007937CF"/>
    <w:rsid w:val="007A03EC"/>
    <w:rsid w:val="007C30DD"/>
    <w:rsid w:val="007C7096"/>
    <w:rsid w:val="007D2038"/>
    <w:rsid w:val="007D294C"/>
    <w:rsid w:val="007E1FFD"/>
    <w:rsid w:val="00800F50"/>
    <w:rsid w:val="00811B1F"/>
    <w:rsid w:val="00814A19"/>
    <w:rsid w:val="008425AA"/>
    <w:rsid w:val="008708B2"/>
    <w:rsid w:val="008749A5"/>
    <w:rsid w:val="00895D0E"/>
    <w:rsid w:val="008A5E4F"/>
    <w:rsid w:val="008E264A"/>
    <w:rsid w:val="008E5277"/>
    <w:rsid w:val="008F06DE"/>
    <w:rsid w:val="0090321D"/>
    <w:rsid w:val="00903642"/>
    <w:rsid w:val="00911E0A"/>
    <w:rsid w:val="00940AFA"/>
    <w:rsid w:val="00950D13"/>
    <w:rsid w:val="0096140D"/>
    <w:rsid w:val="009C02FF"/>
    <w:rsid w:val="009D3323"/>
    <w:rsid w:val="00A12755"/>
    <w:rsid w:val="00A216B4"/>
    <w:rsid w:val="00A3647C"/>
    <w:rsid w:val="00A54328"/>
    <w:rsid w:val="00A82F1A"/>
    <w:rsid w:val="00A8772B"/>
    <w:rsid w:val="00AE0A64"/>
    <w:rsid w:val="00AE36E0"/>
    <w:rsid w:val="00B166D1"/>
    <w:rsid w:val="00B26371"/>
    <w:rsid w:val="00B32E59"/>
    <w:rsid w:val="00B32FCD"/>
    <w:rsid w:val="00B37A60"/>
    <w:rsid w:val="00B4091B"/>
    <w:rsid w:val="00B560B5"/>
    <w:rsid w:val="00B71295"/>
    <w:rsid w:val="00B96C50"/>
    <w:rsid w:val="00BB43E0"/>
    <w:rsid w:val="00BE6400"/>
    <w:rsid w:val="00BF465F"/>
    <w:rsid w:val="00BF52BD"/>
    <w:rsid w:val="00C10010"/>
    <w:rsid w:val="00C337EF"/>
    <w:rsid w:val="00C35EF1"/>
    <w:rsid w:val="00C60890"/>
    <w:rsid w:val="00CD3556"/>
    <w:rsid w:val="00CF4537"/>
    <w:rsid w:val="00D0054A"/>
    <w:rsid w:val="00D27CE8"/>
    <w:rsid w:val="00D4375E"/>
    <w:rsid w:val="00D75E1F"/>
    <w:rsid w:val="00DA38CC"/>
    <w:rsid w:val="00DC0325"/>
    <w:rsid w:val="00DC0989"/>
    <w:rsid w:val="00DE4A7A"/>
    <w:rsid w:val="00E12C5A"/>
    <w:rsid w:val="00E17A1F"/>
    <w:rsid w:val="00E57B8B"/>
    <w:rsid w:val="00E67C95"/>
    <w:rsid w:val="00E71BC7"/>
    <w:rsid w:val="00E9279F"/>
    <w:rsid w:val="00EA3603"/>
    <w:rsid w:val="00EC38AF"/>
    <w:rsid w:val="00EE2A15"/>
    <w:rsid w:val="00EE33F2"/>
    <w:rsid w:val="00F03C68"/>
    <w:rsid w:val="00F108EB"/>
    <w:rsid w:val="00F44E16"/>
    <w:rsid w:val="00F8297E"/>
    <w:rsid w:val="00F83229"/>
    <w:rsid w:val="00FD469D"/>
    <w:rsid w:val="00FE0EA4"/>
    <w:rsid w:val="00FE11F6"/>
    <w:rsid w:val="012D06EA"/>
    <w:rsid w:val="01AB317A"/>
    <w:rsid w:val="02B80AA3"/>
    <w:rsid w:val="04163189"/>
    <w:rsid w:val="04B770E1"/>
    <w:rsid w:val="05080FE1"/>
    <w:rsid w:val="06FA2BAB"/>
    <w:rsid w:val="071D041C"/>
    <w:rsid w:val="072C6E2A"/>
    <w:rsid w:val="07D96C64"/>
    <w:rsid w:val="082D37EE"/>
    <w:rsid w:val="08DE7336"/>
    <w:rsid w:val="08FE4543"/>
    <w:rsid w:val="09060CCF"/>
    <w:rsid w:val="094208BC"/>
    <w:rsid w:val="098F1CD1"/>
    <w:rsid w:val="0AE61EF7"/>
    <w:rsid w:val="0BD04184"/>
    <w:rsid w:val="0C236700"/>
    <w:rsid w:val="0D0B5B12"/>
    <w:rsid w:val="0D75536F"/>
    <w:rsid w:val="0E62425E"/>
    <w:rsid w:val="0E6C5E71"/>
    <w:rsid w:val="0EAD05D0"/>
    <w:rsid w:val="0EB35300"/>
    <w:rsid w:val="0F152C78"/>
    <w:rsid w:val="0F24405C"/>
    <w:rsid w:val="0F3B0BD8"/>
    <w:rsid w:val="0F3E0E00"/>
    <w:rsid w:val="10093E5F"/>
    <w:rsid w:val="109A13A3"/>
    <w:rsid w:val="10A23B86"/>
    <w:rsid w:val="10CF50A9"/>
    <w:rsid w:val="11BD34C5"/>
    <w:rsid w:val="12BB3535"/>
    <w:rsid w:val="12C95196"/>
    <w:rsid w:val="1376062C"/>
    <w:rsid w:val="143376FC"/>
    <w:rsid w:val="14445DAD"/>
    <w:rsid w:val="14A03B6A"/>
    <w:rsid w:val="15AC7AE7"/>
    <w:rsid w:val="15CC3832"/>
    <w:rsid w:val="16133C89"/>
    <w:rsid w:val="167C538B"/>
    <w:rsid w:val="188334A5"/>
    <w:rsid w:val="18CC76CE"/>
    <w:rsid w:val="1A7550B9"/>
    <w:rsid w:val="1A916CD3"/>
    <w:rsid w:val="1AB84DF8"/>
    <w:rsid w:val="1AD02BFD"/>
    <w:rsid w:val="1B122762"/>
    <w:rsid w:val="1BA36420"/>
    <w:rsid w:val="1BE64B2C"/>
    <w:rsid w:val="1C8713FB"/>
    <w:rsid w:val="1D1A53AB"/>
    <w:rsid w:val="1D676A6F"/>
    <w:rsid w:val="1DDF07A3"/>
    <w:rsid w:val="1E1C2580"/>
    <w:rsid w:val="1E49753D"/>
    <w:rsid w:val="204131A1"/>
    <w:rsid w:val="20B123A6"/>
    <w:rsid w:val="21182F4E"/>
    <w:rsid w:val="213353E6"/>
    <w:rsid w:val="215313DE"/>
    <w:rsid w:val="21841692"/>
    <w:rsid w:val="2217240B"/>
    <w:rsid w:val="223C6B10"/>
    <w:rsid w:val="22525F24"/>
    <w:rsid w:val="22656D96"/>
    <w:rsid w:val="2336587F"/>
    <w:rsid w:val="23A31F79"/>
    <w:rsid w:val="243F3E9B"/>
    <w:rsid w:val="2494331F"/>
    <w:rsid w:val="26336919"/>
    <w:rsid w:val="266670C2"/>
    <w:rsid w:val="272B1D58"/>
    <w:rsid w:val="27E103C2"/>
    <w:rsid w:val="282E0B48"/>
    <w:rsid w:val="28697739"/>
    <w:rsid w:val="28E57E44"/>
    <w:rsid w:val="28EC138C"/>
    <w:rsid w:val="2919115F"/>
    <w:rsid w:val="294A756A"/>
    <w:rsid w:val="295C3C45"/>
    <w:rsid w:val="2A3873C3"/>
    <w:rsid w:val="2AD6277D"/>
    <w:rsid w:val="2AD74E2E"/>
    <w:rsid w:val="2B2333E5"/>
    <w:rsid w:val="2BD31A99"/>
    <w:rsid w:val="2C6B1CD2"/>
    <w:rsid w:val="2C860A8B"/>
    <w:rsid w:val="2CA92052"/>
    <w:rsid w:val="2D742E08"/>
    <w:rsid w:val="2DA41CE1"/>
    <w:rsid w:val="2DD31305"/>
    <w:rsid w:val="2DDA49F8"/>
    <w:rsid w:val="2E5A5987"/>
    <w:rsid w:val="2F334EB4"/>
    <w:rsid w:val="2F9C03F4"/>
    <w:rsid w:val="311F308B"/>
    <w:rsid w:val="330F0DF1"/>
    <w:rsid w:val="3324727F"/>
    <w:rsid w:val="336B6F92"/>
    <w:rsid w:val="33B2468A"/>
    <w:rsid w:val="33F151B2"/>
    <w:rsid w:val="34093F0C"/>
    <w:rsid w:val="34562574"/>
    <w:rsid w:val="345B7A07"/>
    <w:rsid w:val="34DA1486"/>
    <w:rsid w:val="34DB376C"/>
    <w:rsid w:val="34DD69F0"/>
    <w:rsid w:val="356773AC"/>
    <w:rsid w:val="36E36908"/>
    <w:rsid w:val="375A6BCB"/>
    <w:rsid w:val="37BD3134"/>
    <w:rsid w:val="38061EC5"/>
    <w:rsid w:val="382E44BD"/>
    <w:rsid w:val="385176F1"/>
    <w:rsid w:val="390A63CE"/>
    <w:rsid w:val="393D78F7"/>
    <w:rsid w:val="39666182"/>
    <w:rsid w:val="39D8471E"/>
    <w:rsid w:val="3A726921"/>
    <w:rsid w:val="3C700C3E"/>
    <w:rsid w:val="3C7B42F3"/>
    <w:rsid w:val="3D344362"/>
    <w:rsid w:val="3D5D7415"/>
    <w:rsid w:val="3D63424F"/>
    <w:rsid w:val="3DAD4894"/>
    <w:rsid w:val="3DF75CA2"/>
    <w:rsid w:val="3E165B19"/>
    <w:rsid w:val="3E500D27"/>
    <w:rsid w:val="3E846873"/>
    <w:rsid w:val="3EBF34B3"/>
    <w:rsid w:val="3ECB4852"/>
    <w:rsid w:val="3F06588A"/>
    <w:rsid w:val="3F435F0D"/>
    <w:rsid w:val="3FB12298"/>
    <w:rsid w:val="3FBB675E"/>
    <w:rsid w:val="40037546"/>
    <w:rsid w:val="40475AF0"/>
    <w:rsid w:val="40DC68A2"/>
    <w:rsid w:val="40F41E3E"/>
    <w:rsid w:val="41E06866"/>
    <w:rsid w:val="42073BEE"/>
    <w:rsid w:val="424439FF"/>
    <w:rsid w:val="428D40CB"/>
    <w:rsid w:val="429733C9"/>
    <w:rsid w:val="431E13F4"/>
    <w:rsid w:val="43370096"/>
    <w:rsid w:val="438751EB"/>
    <w:rsid w:val="43B43D5F"/>
    <w:rsid w:val="43E10357"/>
    <w:rsid w:val="44AE49FA"/>
    <w:rsid w:val="455145CA"/>
    <w:rsid w:val="457F248F"/>
    <w:rsid w:val="45801ED6"/>
    <w:rsid w:val="45B218DB"/>
    <w:rsid w:val="46031FE4"/>
    <w:rsid w:val="460F77B6"/>
    <w:rsid w:val="46496BD3"/>
    <w:rsid w:val="46D5626E"/>
    <w:rsid w:val="483809E0"/>
    <w:rsid w:val="487F7BDF"/>
    <w:rsid w:val="494F190D"/>
    <w:rsid w:val="496725C6"/>
    <w:rsid w:val="498B1C5F"/>
    <w:rsid w:val="49A56C4C"/>
    <w:rsid w:val="4A457840"/>
    <w:rsid w:val="4AE71DF0"/>
    <w:rsid w:val="4B196FC7"/>
    <w:rsid w:val="4B744390"/>
    <w:rsid w:val="4C134C8E"/>
    <w:rsid w:val="4C39729F"/>
    <w:rsid w:val="4C655859"/>
    <w:rsid w:val="4CBD57DA"/>
    <w:rsid w:val="4D88237D"/>
    <w:rsid w:val="4EC56D16"/>
    <w:rsid w:val="4ECA0682"/>
    <w:rsid w:val="4EFB4CDF"/>
    <w:rsid w:val="4F366E6A"/>
    <w:rsid w:val="4F8627FB"/>
    <w:rsid w:val="4F99788D"/>
    <w:rsid w:val="500C6E58"/>
    <w:rsid w:val="506863A4"/>
    <w:rsid w:val="506A38CC"/>
    <w:rsid w:val="50F3686E"/>
    <w:rsid w:val="5126542F"/>
    <w:rsid w:val="51695F30"/>
    <w:rsid w:val="52BD36C4"/>
    <w:rsid w:val="534F1156"/>
    <w:rsid w:val="53637FD8"/>
    <w:rsid w:val="536A36BC"/>
    <w:rsid w:val="536A6C5C"/>
    <w:rsid w:val="537F4A0A"/>
    <w:rsid w:val="53924908"/>
    <w:rsid w:val="53B042EA"/>
    <w:rsid w:val="53D91EAA"/>
    <w:rsid w:val="544B2D16"/>
    <w:rsid w:val="544E765F"/>
    <w:rsid w:val="54694499"/>
    <w:rsid w:val="54BA54C6"/>
    <w:rsid w:val="54BB1DBE"/>
    <w:rsid w:val="54CB6F02"/>
    <w:rsid w:val="54FC23CF"/>
    <w:rsid w:val="553F75F1"/>
    <w:rsid w:val="55823417"/>
    <w:rsid w:val="55B36CDB"/>
    <w:rsid w:val="56CE5812"/>
    <w:rsid w:val="56D54497"/>
    <w:rsid w:val="582A4DDF"/>
    <w:rsid w:val="585C18AB"/>
    <w:rsid w:val="586E6522"/>
    <w:rsid w:val="5878286A"/>
    <w:rsid w:val="58845DFF"/>
    <w:rsid w:val="588D579A"/>
    <w:rsid w:val="58F27753"/>
    <w:rsid w:val="5A0022DC"/>
    <w:rsid w:val="5A2450EA"/>
    <w:rsid w:val="5A3555EA"/>
    <w:rsid w:val="5A647BDD"/>
    <w:rsid w:val="5B2860E1"/>
    <w:rsid w:val="5C1949F7"/>
    <w:rsid w:val="5C715D80"/>
    <w:rsid w:val="5CBE2BA2"/>
    <w:rsid w:val="5CE84AF5"/>
    <w:rsid w:val="5D9B6B8C"/>
    <w:rsid w:val="5DCD2ABA"/>
    <w:rsid w:val="5E407A06"/>
    <w:rsid w:val="5E7E6D93"/>
    <w:rsid w:val="5EFD3F3B"/>
    <w:rsid w:val="5FD2225B"/>
    <w:rsid w:val="5FF874E2"/>
    <w:rsid w:val="60883047"/>
    <w:rsid w:val="609A6548"/>
    <w:rsid w:val="61785D1C"/>
    <w:rsid w:val="61987FD6"/>
    <w:rsid w:val="61E6326D"/>
    <w:rsid w:val="628C08F7"/>
    <w:rsid w:val="62A64825"/>
    <w:rsid w:val="63514E04"/>
    <w:rsid w:val="637C5F97"/>
    <w:rsid w:val="639B3980"/>
    <w:rsid w:val="63AC1E04"/>
    <w:rsid w:val="63EB0A27"/>
    <w:rsid w:val="64405216"/>
    <w:rsid w:val="648C1B70"/>
    <w:rsid w:val="64DD33FB"/>
    <w:rsid w:val="65764C68"/>
    <w:rsid w:val="66903836"/>
    <w:rsid w:val="669B6734"/>
    <w:rsid w:val="66A01F9C"/>
    <w:rsid w:val="66EA1469"/>
    <w:rsid w:val="679E62CF"/>
    <w:rsid w:val="68092EC0"/>
    <w:rsid w:val="688E4077"/>
    <w:rsid w:val="68C1444C"/>
    <w:rsid w:val="69197DE4"/>
    <w:rsid w:val="6A2A37E1"/>
    <w:rsid w:val="6A87604C"/>
    <w:rsid w:val="6B160A7F"/>
    <w:rsid w:val="6C164925"/>
    <w:rsid w:val="6C16685D"/>
    <w:rsid w:val="6C6C04E5"/>
    <w:rsid w:val="6ED338CF"/>
    <w:rsid w:val="6F06705D"/>
    <w:rsid w:val="6F174DC6"/>
    <w:rsid w:val="6F305E87"/>
    <w:rsid w:val="6F9767F7"/>
    <w:rsid w:val="6FA029C6"/>
    <w:rsid w:val="709366CE"/>
    <w:rsid w:val="71EF4F54"/>
    <w:rsid w:val="71FC4BA9"/>
    <w:rsid w:val="71FC61E4"/>
    <w:rsid w:val="72275A4D"/>
    <w:rsid w:val="726F73DC"/>
    <w:rsid w:val="7375655F"/>
    <w:rsid w:val="7396573E"/>
    <w:rsid w:val="73EA4857"/>
    <w:rsid w:val="745804C5"/>
    <w:rsid w:val="74FB2A94"/>
    <w:rsid w:val="75132843"/>
    <w:rsid w:val="75220020"/>
    <w:rsid w:val="763C15B6"/>
    <w:rsid w:val="76932099"/>
    <w:rsid w:val="76F37EC6"/>
    <w:rsid w:val="776770A9"/>
    <w:rsid w:val="778D21EA"/>
    <w:rsid w:val="77E837A3"/>
    <w:rsid w:val="782B3690"/>
    <w:rsid w:val="787956DB"/>
    <w:rsid w:val="78FB03F9"/>
    <w:rsid w:val="7A214D4A"/>
    <w:rsid w:val="7A8C68B6"/>
    <w:rsid w:val="7AEF6BF7"/>
    <w:rsid w:val="7B225AFD"/>
    <w:rsid w:val="7B9D48A5"/>
    <w:rsid w:val="7BD834BB"/>
    <w:rsid w:val="7CEC7892"/>
    <w:rsid w:val="7DE5217B"/>
    <w:rsid w:val="7DED428D"/>
    <w:rsid w:val="7DFD3DD8"/>
    <w:rsid w:val="7E292420"/>
    <w:rsid w:val="7E933D3D"/>
    <w:rsid w:val="7EF23159"/>
    <w:rsid w:val="7F003179"/>
    <w:rsid w:val="7F0C5F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266"/>
    <w:qFormat/>
    <w:uiPriority w:val="0"/>
    <w:pPr>
      <w:keepNext/>
      <w:outlineLvl w:val="0"/>
    </w:pPr>
    <w:rPr>
      <w:rFonts w:ascii="楷体_GB2312" w:eastAsia="楷体_GB2312"/>
      <w:sz w:val="28"/>
      <w:szCs w:val="20"/>
    </w:rPr>
  </w:style>
  <w:style w:type="paragraph" w:styleId="5">
    <w:name w:val="heading 2"/>
    <w:basedOn w:val="1"/>
    <w:next w:val="1"/>
    <w:link w:val="240"/>
    <w:qFormat/>
    <w:uiPriority w:val="0"/>
    <w:pPr>
      <w:keepNext/>
      <w:keepLines/>
      <w:spacing w:before="260" w:after="260" w:line="416" w:lineRule="auto"/>
      <w:jc w:val="center"/>
      <w:outlineLvl w:val="1"/>
    </w:pPr>
    <w:rPr>
      <w:rFonts w:ascii="幼圆" w:hAnsi="Arial" w:eastAsia="楷体_GB2312"/>
      <w:b/>
      <w:sz w:val="44"/>
      <w:szCs w:val="20"/>
    </w:rPr>
  </w:style>
  <w:style w:type="paragraph" w:styleId="6">
    <w:name w:val="heading 3"/>
    <w:basedOn w:val="1"/>
    <w:next w:val="1"/>
    <w:link w:val="269"/>
    <w:qFormat/>
    <w:uiPriority w:val="0"/>
    <w:pPr>
      <w:keepNext/>
      <w:keepLines/>
      <w:spacing w:before="260" w:after="260" w:line="416" w:lineRule="auto"/>
      <w:outlineLvl w:val="2"/>
    </w:pPr>
    <w:rPr>
      <w:b/>
      <w:sz w:val="32"/>
      <w:szCs w:val="20"/>
    </w:rPr>
  </w:style>
  <w:style w:type="paragraph" w:styleId="7">
    <w:name w:val="heading 4"/>
    <w:basedOn w:val="1"/>
    <w:next w:val="1"/>
    <w:link w:val="270"/>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271"/>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10">
    <w:name w:val="heading 6"/>
    <w:basedOn w:val="1"/>
    <w:next w:val="9"/>
    <w:link w:val="257"/>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11">
    <w:name w:val="heading 7"/>
    <w:basedOn w:val="1"/>
    <w:next w:val="9"/>
    <w:link w:val="265"/>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2">
    <w:name w:val="heading 8"/>
    <w:basedOn w:val="1"/>
    <w:next w:val="9"/>
    <w:link w:val="264"/>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3">
    <w:name w:val="heading 9"/>
    <w:basedOn w:val="1"/>
    <w:next w:val="9"/>
    <w:link w:val="259"/>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802"/>
    <w:qFormat/>
    <w:uiPriority w:val="0"/>
    <w:rPr>
      <w:rFonts w:ascii="楷体_GB2312" w:hAnsi="Arial" w:eastAsia="楷体_GB2312" w:cstheme="minorBidi"/>
      <w:sz w:val="28"/>
      <w:szCs w:val="22"/>
    </w:rPr>
  </w:style>
  <w:style w:type="paragraph" w:styleId="3">
    <w:name w:val="Body Text First Indent"/>
    <w:basedOn w:val="2"/>
    <w:link w:val="1524"/>
    <w:semiHidden/>
    <w:unhideWhenUsed/>
    <w:qFormat/>
    <w:uiPriority w:val="0"/>
    <w:pPr>
      <w:spacing w:after="120"/>
      <w:ind w:firstLine="420"/>
    </w:pPr>
    <w:rPr>
      <w:rFonts w:ascii="Arial" w:eastAsiaTheme="minorEastAsia"/>
      <w:sz w:val="21"/>
      <w:szCs w:val="21"/>
    </w:rPr>
  </w:style>
  <w:style w:type="paragraph" w:styleId="9">
    <w:name w:val="Normal Indent"/>
    <w:basedOn w:val="1"/>
    <w:link w:val="267"/>
    <w:unhideWhenUsed/>
    <w:qFormat/>
    <w:uiPriority w:val="0"/>
    <w:pPr>
      <w:ind w:firstLine="420"/>
    </w:pPr>
  </w:style>
  <w:style w:type="paragraph" w:styleId="14">
    <w:name w:val="toc 7"/>
    <w:basedOn w:val="1"/>
    <w:next w:val="1"/>
    <w:unhideWhenUsed/>
    <w:qFormat/>
    <w:uiPriority w:val="39"/>
    <w:pPr>
      <w:spacing w:after="57"/>
      <w:ind w:left="1701"/>
    </w:pPr>
  </w:style>
  <w:style w:type="paragraph" w:styleId="15">
    <w:name w:val="List Number 2"/>
    <w:basedOn w:val="1"/>
    <w:unhideWhenUsed/>
    <w:qFormat/>
    <w:uiPriority w:val="0"/>
    <w:pPr>
      <w:tabs>
        <w:tab w:val="left" w:pos="425"/>
        <w:tab w:val="left" w:pos="567"/>
      </w:tabs>
      <w:spacing w:line="300" w:lineRule="auto"/>
      <w:ind w:left="425" w:hanging="425"/>
    </w:pPr>
    <w:rPr>
      <w:sz w:val="28"/>
      <w:szCs w:val="20"/>
    </w:rPr>
  </w:style>
  <w:style w:type="paragraph" w:styleId="16">
    <w:name w:val="Note Heading"/>
    <w:basedOn w:val="1"/>
    <w:next w:val="1"/>
    <w:link w:val="806"/>
    <w:qFormat/>
    <w:uiPriority w:val="0"/>
    <w:pPr>
      <w:jc w:val="center"/>
    </w:pPr>
    <w:rPr>
      <w:rFonts w:asciiTheme="minorHAnsi" w:hAnsiTheme="minorHAnsi" w:eastAsiaTheme="minorEastAsia" w:cstheme="minorBidi"/>
    </w:rPr>
  </w:style>
  <w:style w:type="paragraph" w:styleId="17">
    <w:name w:val="index 8"/>
    <w:basedOn w:val="1"/>
    <w:next w:val="1"/>
    <w:qFormat/>
    <w:uiPriority w:val="0"/>
    <w:pPr>
      <w:ind w:left="1680" w:hanging="210"/>
      <w:jc w:val="left"/>
    </w:pPr>
    <w:rPr>
      <w:rFonts w:ascii="Calibri" w:hAnsi="Calibri"/>
      <w:sz w:val="20"/>
      <w:szCs w:val="20"/>
    </w:rPr>
  </w:style>
  <w:style w:type="paragraph" w:styleId="18">
    <w:name w:val="List Number"/>
    <w:basedOn w:val="19"/>
    <w:qFormat/>
    <w:uiPriority w:val="0"/>
    <w:pPr>
      <w:widowControl/>
      <w:spacing w:before="120" w:after="240" w:line="240" w:lineRule="atLeast"/>
      <w:ind w:left="720" w:right="720" w:hanging="360"/>
    </w:pPr>
    <w:rPr>
      <w:rFonts w:ascii="宋体" w:hAnsi="Garamond"/>
      <w:spacing w:val="-5"/>
      <w:sz w:val="24"/>
      <w:szCs w:val="20"/>
    </w:rPr>
  </w:style>
  <w:style w:type="paragraph" w:styleId="19">
    <w:name w:val="List"/>
    <w:basedOn w:val="1"/>
    <w:qFormat/>
    <w:uiPriority w:val="0"/>
    <w:pPr>
      <w:ind w:left="200" w:hanging="200"/>
    </w:pPr>
  </w:style>
  <w:style w:type="paragraph" w:styleId="20">
    <w:name w:val="caption"/>
    <w:basedOn w:val="1"/>
    <w:next w:val="1"/>
    <w:link w:val="386"/>
    <w:qFormat/>
    <w:uiPriority w:val="0"/>
    <w:rPr>
      <w:rFonts w:ascii="Cambria" w:hAnsi="Cambria" w:eastAsia="黑体" w:cstheme="minorBidi"/>
      <w:szCs w:val="22"/>
    </w:rPr>
  </w:style>
  <w:style w:type="paragraph" w:styleId="21">
    <w:name w:val="index 5"/>
    <w:basedOn w:val="1"/>
    <w:next w:val="1"/>
    <w:qFormat/>
    <w:uiPriority w:val="0"/>
    <w:pPr>
      <w:ind w:left="1050" w:hanging="210"/>
      <w:jc w:val="left"/>
    </w:pPr>
    <w:rPr>
      <w:rFonts w:ascii="Calibri" w:hAnsi="Calibri"/>
      <w:sz w:val="20"/>
      <w:szCs w:val="20"/>
    </w:rPr>
  </w:style>
  <w:style w:type="paragraph" w:styleId="22">
    <w:name w:val="List Bullet"/>
    <w:basedOn w:val="1"/>
    <w:unhideWhenUsed/>
    <w:qFormat/>
    <w:uiPriority w:val="99"/>
    <w:pPr>
      <w:tabs>
        <w:tab w:val="left" w:pos="360"/>
      </w:tabs>
      <w:ind w:left="1236" w:hanging="1236"/>
      <w:contextualSpacing/>
    </w:pPr>
    <w:rPr>
      <w:rFonts w:ascii="Calibri" w:hAnsi="Calibri"/>
      <w:szCs w:val="22"/>
    </w:rPr>
  </w:style>
  <w:style w:type="paragraph" w:styleId="23">
    <w:name w:val="Document Map"/>
    <w:basedOn w:val="1"/>
    <w:link w:val="794"/>
    <w:qFormat/>
    <w:uiPriority w:val="99"/>
    <w:rPr>
      <w:rFonts w:ascii="宋体" w:hAnsiTheme="minorHAnsi" w:eastAsiaTheme="minorEastAsia" w:cstheme="minorBidi"/>
      <w:sz w:val="18"/>
      <w:szCs w:val="18"/>
    </w:rPr>
  </w:style>
  <w:style w:type="paragraph" w:styleId="24">
    <w:name w:val="annotation text"/>
    <w:basedOn w:val="1"/>
    <w:link w:val="800"/>
    <w:qFormat/>
    <w:uiPriority w:val="0"/>
    <w:pPr>
      <w:jc w:val="left"/>
    </w:pPr>
    <w:rPr>
      <w:rFonts w:ascii="Calibri" w:hAnsi="Calibri" w:eastAsiaTheme="minorEastAsia" w:cstheme="minorBidi"/>
      <w:szCs w:val="22"/>
    </w:rPr>
  </w:style>
  <w:style w:type="paragraph" w:styleId="25">
    <w:name w:val="index 6"/>
    <w:basedOn w:val="1"/>
    <w:next w:val="1"/>
    <w:qFormat/>
    <w:uiPriority w:val="0"/>
    <w:pPr>
      <w:ind w:left="1260" w:hanging="210"/>
      <w:jc w:val="left"/>
    </w:pPr>
    <w:rPr>
      <w:rFonts w:ascii="Calibri" w:hAnsi="Calibri"/>
      <w:sz w:val="20"/>
      <w:szCs w:val="20"/>
    </w:rPr>
  </w:style>
  <w:style w:type="paragraph" w:styleId="26">
    <w:name w:val="Salutation"/>
    <w:basedOn w:val="1"/>
    <w:next w:val="1"/>
    <w:link w:val="810"/>
    <w:unhideWhenUsed/>
    <w:qFormat/>
    <w:uiPriority w:val="0"/>
    <w:pPr>
      <w:spacing w:line="500" w:lineRule="exact"/>
      <w:ind w:firstLine="560"/>
    </w:pPr>
    <w:rPr>
      <w:rFonts w:ascii="Arial" w:hAnsi="Arial" w:eastAsia="方正仿宋_GBK" w:cs="Arial"/>
      <w:szCs w:val="22"/>
    </w:rPr>
  </w:style>
  <w:style w:type="paragraph" w:styleId="27">
    <w:name w:val="Body Text 3"/>
    <w:basedOn w:val="1"/>
    <w:link w:val="804"/>
    <w:qFormat/>
    <w:uiPriority w:val="0"/>
    <w:rPr>
      <w:rFonts w:ascii="仿宋_GB2312" w:hAnsi="Arial" w:eastAsia="仿宋_GB2312" w:cstheme="minorBidi"/>
      <w:sz w:val="32"/>
      <w:szCs w:val="22"/>
    </w:rPr>
  </w:style>
  <w:style w:type="paragraph" w:styleId="28">
    <w:name w:val="List Bullet 3"/>
    <w:basedOn w:val="1"/>
    <w:unhideWhenUsed/>
    <w:qFormat/>
    <w:uiPriority w:val="99"/>
    <w:pPr>
      <w:tabs>
        <w:tab w:val="left" w:pos="1200"/>
      </w:tabs>
      <w:ind w:left="1236" w:hanging="1236"/>
      <w:contextualSpacing/>
    </w:pPr>
  </w:style>
  <w:style w:type="paragraph" w:styleId="29">
    <w:name w:val="Body Text Indent"/>
    <w:basedOn w:val="1"/>
    <w:link w:val="801"/>
    <w:qFormat/>
    <w:uiPriority w:val="0"/>
    <w:pPr>
      <w:ind w:firstLine="645"/>
    </w:pPr>
    <w:rPr>
      <w:rFonts w:ascii="楷体_GB2312" w:eastAsia="楷体_GB2312" w:hAnsiTheme="minorHAnsi" w:cstheme="minorBidi"/>
      <w:sz w:val="32"/>
      <w:szCs w:val="22"/>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796"/>
    <w:qFormat/>
    <w:uiPriority w:val="0"/>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39"/>
    <w:pPr>
      <w:spacing w:after="57"/>
      <w:ind w:left="1134"/>
    </w:pPr>
  </w:style>
  <w:style w:type="paragraph" w:styleId="37">
    <w:name w:val="toc 3"/>
    <w:basedOn w:val="1"/>
    <w:next w:val="1"/>
    <w:semiHidden/>
    <w:unhideWhenUsed/>
    <w:qFormat/>
    <w:uiPriority w:val="39"/>
    <w:pPr>
      <w:ind w:left="840"/>
    </w:pPr>
  </w:style>
  <w:style w:type="paragraph" w:styleId="38">
    <w:name w:val="Plain Text"/>
    <w:basedOn w:val="1"/>
    <w:link w:val="797"/>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39"/>
    <w:pPr>
      <w:spacing w:after="57"/>
      <w:ind w:left="1984"/>
    </w:p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795"/>
    <w:qFormat/>
    <w:uiPriority w:val="0"/>
    <w:pPr>
      <w:ind w:left="100"/>
    </w:pPr>
    <w:rPr>
      <w:rFonts w:ascii="仿宋_GB2312" w:eastAsia="仿宋_GB2312" w:hAnsiTheme="minorHAnsi" w:cstheme="minorBidi"/>
      <w:b/>
      <w:sz w:val="36"/>
    </w:rPr>
  </w:style>
  <w:style w:type="paragraph" w:styleId="43">
    <w:name w:val="Body Text Indent 2"/>
    <w:basedOn w:val="1"/>
    <w:link w:val="803"/>
    <w:qFormat/>
    <w:uiPriority w:val="0"/>
    <w:pPr>
      <w:spacing w:line="520" w:lineRule="exact"/>
      <w:ind w:firstLine="560"/>
    </w:pPr>
    <w:rPr>
      <w:rFonts w:ascii="楷体_GB2312" w:eastAsia="楷体_GB2312" w:hAnsiTheme="minorHAnsi" w:cstheme="minorBidi"/>
      <w:sz w:val="28"/>
      <w:szCs w:val="28"/>
    </w:rPr>
  </w:style>
  <w:style w:type="paragraph" w:styleId="44">
    <w:name w:val="endnote text"/>
    <w:basedOn w:val="1"/>
    <w:link w:val="812"/>
    <w:qFormat/>
    <w:uiPriority w:val="0"/>
    <w:pPr>
      <w:jc w:val="left"/>
    </w:pPr>
    <w:rPr>
      <w:rFonts w:asciiTheme="minorHAnsi" w:hAnsiTheme="minorHAnsi" w:eastAsiaTheme="minorEastAsia" w:cstheme="minorBidi"/>
      <w:lang w:val="zh-CN"/>
    </w:rPr>
  </w:style>
  <w:style w:type="paragraph" w:styleId="45">
    <w:name w:val="Balloon Text"/>
    <w:basedOn w:val="1"/>
    <w:link w:val="808"/>
    <w:qFormat/>
    <w:uiPriority w:val="0"/>
    <w:rPr>
      <w:rFonts w:asciiTheme="minorHAnsi" w:hAnsiTheme="minorHAnsi" w:eastAsiaTheme="minorEastAsia" w:cstheme="minorBidi"/>
      <w:sz w:val="18"/>
      <w:szCs w:val="18"/>
    </w:rPr>
  </w:style>
  <w:style w:type="paragraph" w:styleId="46">
    <w:name w:val="footer"/>
    <w:basedOn w:val="1"/>
    <w:link w:val="236"/>
    <w:unhideWhenUsed/>
    <w:qFormat/>
    <w:uiPriority w:val="99"/>
    <w:pPr>
      <w:tabs>
        <w:tab w:val="center" w:pos="4153"/>
        <w:tab w:val="right" w:pos="8306"/>
      </w:tabs>
      <w:jc w:val="left"/>
    </w:pPr>
    <w:rPr>
      <w:sz w:val="18"/>
      <w:szCs w:val="18"/>
    </w:rPr>
  </w:style>
  <w:style w:type="paragraph" w:styleId="47">
    <w:name w:val="header"/>
    <w:basedOn w:val="1"/>
    <w:link w:val="235"/>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pPr>
  </w:style>
  <w:style w:type="paragraph" w:styleId="49">
    <w:name w:val="toc 4"/>
    <w:basedOn w:val="1"/>
    <w:next w:val="1"/>
    <w:unhideWhenUsed/>
    <w:qFormat/>
    <w:uiPriority w:val="39"/>
    <w:pPr>
      <w:spacing w:after="57"/>
      <w:ind w:left="85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1"/>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799"/>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pPr>
  </w:style>
  <w:style w:type="paragraph" w:styleId="55">
    <w:name w:val="Body Text Indent 3"/>
    <w:basedOn w:val="1"/>
    <w:link w:val="805"/>
    <w:qFormat/>
    <w:uiPriority w:val="0"/>
    <w:pPr>
      <w:ind w:left="520" w:firstLine="425"/>
      <w:jc w:val="center"/>
    </w:pPr>
    <w:rPr>
      <w:rFonts w:ascii="Arial Unicode MS" w:hAnsi="Arial" w:eastAsia="Arial Unicode MS"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09"/>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798"/>
    <w:qFormat/>
    <w:uiPriority w:val="0"/>
    <w:rPr>
      <w:rFonts w:ascii="Courier New" w:hAnsi="Courier New" w:cs="Courier New" w:eastAsiaTheme="minorEastAsia"/>
      <w:szCs w:val="22"/>
    </w:rPr>
  </w:style>
  <w:style w:type="paragraph" w:styleId="63">
    <w:name w:val="Normal (Web)"/>
    <w:basedOn w:val="1"/>
    <w:link w:val="392"/>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3"/>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4"/>
    <w:next w:val="24"/>
    <w:link w:val="807"/>
    <w:qFormat/>
    <w:uiPriority w:val="99"/>
    <w:rPr>
      <w:b/>
      <w:bCs/>
    </w:rPr>
  </w:style>
  <w:style w:type="paragraph" w:styleId="67">
    <w:name w:val="Body Text First Indent 2"/>
    <w:basedOn w:val="29"/>
    <w:link w:val="1523"/>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
    <w:name w:val="Table Theme"/>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Elegant"/>
    <w:basedOn w:val="68"/>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3">
    <w:name w:val="Strong"/>
    <w:qFormat/>
    <w:uiPriority w:val="0"/>
    <w:rPr>
      <w:b/>
      <w:bCs/>
    </w:rPr>
  </w:style>
  <w:style w:type="character" w:styleId="74">
    <w:name w:val="endnote reference"/>
    <w:qFormat/>
    <w:uiPriority w:val="0"/>
    <w:rPr>
      <w:vertAlign w:val="superscript"/>
    </w:rPr>
  </w:style>
  <w:style w:type="character" w:styleId="75">
    <w:name w:val="page number"/>
    <w:basedOn w:val="72"/>
    <w:qFormat/>
    <w:uiPriority w:val="0"/>
  </w:style>
  <w:style w:type="character" w:styleId="76">
    <w:name w:val="FollowedHyperlink"/>
    <w:basedOn w:val="72"/>
    <w:semiHidden/>
    <w:unhideWhenUsed/>
    <w:qFormat/>
    <w:uiPriority w:val="99"/>
    <w:rPr>
      <w:color w:val="954F72" w:themeColor="followedHyperlink"/>
      <w:u w:val="single"/>
      <w14:textFill>
        <w14:solidFill>
          <w14:schemeClr w14:val="folHlink"/>
        </w14:solidFill>
      </w14:textFill>
    </w:rPr>
  </w:style>
  <w:style w:type="character" w:styleId="77">
    <w:name w:val="Emphasis"/>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hint="default" w:ascii="Courier New" w:hAnsi="Courier New" w:eastAsia="Courier New" w:cs="Courier New"/>
      <w:sz w:val="24"/>
      <w:szCs w:val="24"/>
    </w:rPr>
  </w:style>
  <w:style w:type="character" w:styleId="80">
    <w:name w:val="HTML Acronym"/>
    <w:basedOn w:val="72"/>
    <w:qFormat/>
    <w:uiPriority w:val="0"/>
  </w:style>
  <w:style w:type="character" w:styleId="81">
    <w:name w:val="HTML Variable"/>
    <w:basedOn w:val="72"/>
    <w:unhideWhenUsed/>
    <w:qFormat/>
    <w:uiPriority w:val="0"/>
  </w:style>
  <w:style w:type="character" w:styleId="82">
    <w:name w:val="Hyperlink"/>
    <w:basedOn w:val="72"/>
    <w:qFormat/>
    <w:uiPriority w:val="99"/>
    <w:rPr>
      <w:color w:val="0000FF"/>
      <w:u w:val="none"/>
    </w:rPr>
  </w:style>
  <w:style w:type="character" w:styleId="83">
    <w:name w:val="HTML Code"/>
    <w:unhideWhenUsed/>
    <w:qFormat/>
    <w:uiPriority w:val="0"/>
    <w:rPr>
      <w:rFonts w:hint="default" w:ascii="Courier New" w:hAnsi="Courier New" w:eastAsia="Courier New" w:cs="Courier New"/>
      <w:sz w:val="24"/>
      <w:szCs w:val="24"/>
    </w:rPr>
  </w:style>
  <w:style w:type="character" w:styleId="84">
    <w:name w:val="annotation reference"/>
    <w:qFormat/>
    <w:uiPriority w:val="0"/>
    <w:rPr>
      <w:sz w:val="21"/>
      <w:szCs w:val="21"/>
    </w:rPr>
  </w:style>
  <w:style w:type="character" w:styleId="85">
    <w:name w:val="HTML Cite"/>
    <w:basedOn w:val="72"/>
    <w:unhideWhenUsed/>
    <w:qFormat/>
    <w:uiPriority w:val="0"/>
  </w:style>
  <w:style w:type="character" w:styleId="86">
    <w:name w:val="footnote reference"/>
    <w:unhideWhenUsed/>
    <w:qFormat/>
    <w:uiPriority w:val="0"/>
    <w:rPr>
      <w:vertAlign w:val="superscript"/>
    </w:rPr>
  </w:style>
  <w:style w:type="character" w:styleId="87">
    <w:name w:val="HTML Keyboard"/>
    <w:unhideWhenUsed/>
    <w:qFormat/>
    <w:uiPriority w:val="0"/>
    <w:rPr>
      <w:rFonts w:hint="default" w:ascii="Courier New" w:hAnsi="Courier New" w:eastAsia="Courier New" w:cs="Courier New"/>
      <w:sz w:val="24"/>
      <w:szCs w:val="24"/>
    </w:rPr>
  </w:style>
  <w:style w:type="character" w:styleId="88">
    <w:name w:val="HTML Sample"/>
    <w:unhideWhenUsed/>
    <w:qFormat/>
    <w:uiPriority w:val="0"/>
    <w:rPr>
      <w:rFonts w:hint="default" w:ascii="Courier New" w:hAnsi="Courier New" w:eastAsia="Courier New" w:cs="Courier New"/>
    </w:rPr>
  </w:style>
  <w:style w:type="character" w:customStyle="1" w:styleId="89">
    <w:name w:val="Heading 1 Char"/>
    <w:basedOn w:val="72"/>
    <w:qFormat/>
    <w:uiPriority w:val="9"/>
    <w:rPr>
      <w:rFonts w:ascii="Arial" w:hAnsi="Arial" w:eastAsia="Arial" w:cs="Arial"/>
      <w:sz w:val="40"/>
      <w:szCs w:val="40"/>
    </w:rPr>
  </w:style>
  <w:style w:type="character" w:customStyle="1" w:styleId="90">
    <w:name w:val="Heading 2 Char"/>
    <w:basedOn w:val="72"/>
    <w:qFormat/>
    <w:uiPriority w:val="9"/>
    <w:rPr>
      <w:rFonts w:ascii="Arial" w:hAnsi="Arial" w:eastAsia="Arial" w:cs="Arial"/>
      <w:sz w:val="34"/>
    </w:rPr>
  </w:style>
  <w:style w:type="character" w:customStyle="1" w:styleId="91">
    <w:name w:val="Heading 3 Char"/>
    <w:basedOn w:val="72"/>
    <w:qFormat/>
    <w:uiPriority w:val="9"/>
    <w:rPr>
      <w:rFonts w:ascii="Arial" w:hAnsi="Arial" w:eastAsia="Arial" w:cs="Arial"/>
      <w:sz w:val="30"/>
      <w:szCs w:val="30"/>
    </w:rPr>
  </w:style>
  <w:style w:type="character" w:customStyle="1" w:styleId="92">
    <w:name w:val="Heading 4 Char"/>
    <w:basedOn w:val="72"/>
    <w:qFormat/>
    <w:uiPriority w:val="9"/>
    <w:rPr>
      <w:rFonts w:ascii="Arial" w:hAnsi="Arial" w:eastAsia="Arial" w:cs="Arial"/>
      <w:b/>
      <w:bCs/>
      <w:sz w:val="26"/>
      <w:szCs w:val="26"/>
    </w:rPr>
  </w:style>
  <w:style w:type="character" w:customStyle="1" w:styleId="93">
    <w:name w:val="Heading 5 Char"/>
    <w:basedOn w:val="72"/>
    <w:qFormat/>
    <w:uiPriority w:val="9"/>
    <w:rPr>
      <w:rFonts w:ascii="Arial" w:hAnsi="Arial" w:eastAsia="Arial" w:cs="Arial"/>
      <w:b/>
      <w:bCs/>
      <w:sz w:val="24"/>
      <w:szCs w:val="24"/>
    </w:rPr>
  </w:style>
  <w:style w:type="character" w:customStyle="1" w:styleId="94">
    <w:name w:val="Heading 6 Char"/>
    <w:basedOn w:val="72"/>
    <w:qFormat/>
    <w:uiPriority w:val="9"/>
    <w:rPr>
      <w:rFonts w:ascii="Arial" w:hAnsi="Arial" w:eastAsia="Arial" w:cs="Arial"/>
      <w:b/>
      <w:bCs/>
      <w:sz w:val="22"/>
      <w:szCs w:val="22"/>
    </w:rPr>
  </w:style>
  <w:style w:type="character" w:customStyle="1" w:styleId="95">
    <w:name w:val="Heading 7 Char"/>
    <w:basedOn w:val="72"/>
    <w:qFormat/>
    <w:uiPriority w:val="9"/>
    <w:rPr>
      <w:rFonts w:ascii="Arial" w:hAnsi="Arial" w:eastAsia="Arial" w:cs="Arial"/>
      <w:b/>
      <w:bCs/>
      <w:i/>
      <w:iCs/>
      <w:sz w:val="22"/>
      <w:szCs w:val="22"/>
    </w:rPr>
  </w:style>
  <w:style w:type="character" w:customStyle="1" w:styleId="96">
    <w:name w:val="Heading 8 Char"/>
    <w:basedOn w:val="72"/>
    <w:qFormat/>
    <w:uiPriority w:val="9"/>
    <w:rPr>
      <w:rFonts w:ascii="Arial" w:hAnsi="Arial" w:eastAsia="Arial" w:cs="Arial"/>
      <w:i/>
      <w:iCs/>
      <w:sz w:val="22"/>
      <w:szCs w:val="22"/>
    </w:rPr>
  </w:style>
  <w:style w:type="character" w:customStyle="1" w:styleId="97">
    <w:name w:val="Heading 9 Char"/>
    <w:basedOn w:val="72"/>
    <w:qFormat/>
    <w:uiPriority w:val="9"/>
    <w:rPr>
      <w:rFonts w:ascii="Arial" w:hAnsi="Arial" w:eastAsia="Arial" w:cs="Arial"/>
      <w:i/>
      <w:iCs/>
      <w:sz w:val="21"/>
      <w:szCs w:val="21"/>
    </w:rPr>
  </w:style>
  <w:style w:type="character" w:customStyle="1" w:styleId="98">
    <w:name w:val="Title Char"/>
    <w:basedOn w:val="72"/>
    <w:qFormat/>
    <w:uiPriority w:val="10"/>
    <w:rPr>
      <w:sz w:val="48"/>
      <w:szCs w:val="48"/>
    </w:rPr>
  </w:style>
  <w:style w:type="character" w:customStyle="1" w:styleId="99">
    <w:name w:val="Subtitle Char"/>
    <w:basedOn w:val="72"/>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2"/>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字符2"/>
    <w:link w:val="102"/>
    <w:qFormat/>
    <w:uiPriority w:val="30"/>
    <w:rPr>
      <w:i/>
    </w:rPr>
  </w:style>
  <w:style w:type="character" w:customStyle="1" w:styleId="104">
    <w:name w:val="Header Char"/>
    <w:basedOn w:val="72"/>
    <w:qFormat/>
    <w:uiPriority w:val="99"/>
  </w:style>
  <w:style w:type="character" w:customStyle="1" w:styleId="105">
    <w:name w:val="Footer Char"/>
    <w:basedOn w:val="72"/>
    <w:qFormat/>
    <w:uiPriority w:val="99"/>
  </w:style>
  <w:style w:type="character" w:customStyle="1" w:styleId="106">
    <w:name w:val="Caption Char"/>
    <w:qFormat/>
    <w:uiPriority w:val="99"/>
  </w:style>
  <w:style w:type="table" w:customStyle="1" w:styleId="107">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8">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5">
    <w:name w:val="Grid Table 1 Light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6">
    <w:name w:val="Grid Table 1 Light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7">
    <w:name w:val="Grid Table 1 Light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8">
    <w:name w:val="Grid Table 1 Light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9">
    <w:name w:val="Grid Table 1 Light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0">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2">
    <w:name w:val="Grid Table 2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2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2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2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2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9">
    <w:name w:val="Grid Table 3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3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3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3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3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basedOn w:val="68"/>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6">
    <w:name w:val="Grid Table 4 - Accent 2"/>
    <w:basedOn w:val="6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4 - Accent 3"/>
    <w:basedOn w:val="6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4 - Accent 4"/>
    <w:basedOn w:val="6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4 - Accent 5"/>
    <w:basedOn w:val="68"/>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0">
    <w:name w:val="Grid Table 4 - Accent 6"/>
    <w:basedOn w:val="6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3">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4">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5">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6">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7">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8">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basedOn w:val="68"/>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6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6 Colorful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68"/>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4">
    <w:name w:val="Grid Table 6 Colorful - Accent 6"/>
    <w:basedOn w:val="6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5">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basedOn w:val="68"/>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basedOn w:val="6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basedOn w:val="6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9">
    <w:name w:val="Grid Table 7 Colorful - Accent 4"/>
    <w:basedOn w:val="6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basedOn w:val="68"/>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1">
    <w:name w:val="Grid Table 7 Colorful - Accent 6"/>
    <w:basedOn w:val="6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2">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basedOn w:val="68"/>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4">
    <w:name w:val="List Table 1 Light - Accent 2"/>
    <w:basedOn w:val="6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5">
    <w:name w:val="List Table 1 Light - Accent 3"/>
    <w:basedOn w:val="6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6">
    <w:name w:val="List Table 1 Light - Accent 4"/>
    <w:basedOn w:val="6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7">
    <w:name w:val="List Table 1 Light - Accent 5"/>
    <w:basedOn w:val="68"/>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8">
    <w:name w:val="List Table 1 Light - Accent 6"/>
    <w:basedOn w:val="6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9">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basedOn w:val="68"/>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2 - Accent 2"/>
    <w:basedOn w:val="6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2 - Accent 3"/>
    <w:basedOn w:val="6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2 - Accent 4"/>
    <w:basedOn w:val="6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2 - Accent 5"/>
    <w:basedOn w:val="68"/>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2 - Accent 6"/>
    <w:basedOn w:val="6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basedOn w:val="68"/>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8">
    <w:name w:val="List Table 3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9">
    <w:name w:val="List Table 3 - Accent 3"/>
    <w:basedOn w:val="6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0">
    <w:name w:val="List Table 3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1">
    <w:name w:val="List Table 3 - Accent 5"/>
    <w:basedOn w:val="68"/>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2">
    <w:name w:val="List Table 3 - Accent 6"/>
    <w:basedOn w:val="6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3">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basedOn w:val="68"/>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5">
    <w:name w:val="List Table 4 - Accent 2"/>
    <w:basedOn w:val="6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6">
    <w:name w:val="List Table 4 - Accent 3"/>
    <w:basedOn w:val="6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7">
    <w:name w:val="List Table 4 - Accent 4"/>
    <w:basedOn w:val="6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8">
    <w:name w:val="List Table 4 - Accent 5"/>
    <w:basedOn w:val="68"/>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9">
    <w:name w:val="List Table 4 - Accent 6"/>
    <w:basedOn w:val="6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0">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basedOn w:val="68"/>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2">
    <w:name w:val="List Table 5 Dark - Accent 2"/>
    <w:basedOn w:val="6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3">
    <w:name w:val="List Table 5 Dark - Accent 3"/>
    <w:basedOn w:val="6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4">
    <w:name w:val="List Table 5 Dark - Accent 4"/>
    <w:basedOn w:val="6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5">
    <w:name w:val="List Table 5 Dark - Accent 5"/>
    <w:basedOn w:val="68"/>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6">
    <w:name w:val="List Table 5 Dark - Accent 6"/>
    <w:basedOn w:val="6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7">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basedOn w:val="68"/>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9">
    <w:name w:val="List Table 6 Colorful - Accent 2"/>
    <w:basedOn w:val="6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basedOn w:val="6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basedOn w:val="6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basedOn w:val="68"/>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basedOn w:val="6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basedOn w:val="68"/>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6">
    <w:name w:val="List Table 7 Colorful - Accent 2"/>
    <w:basedOn w:val="6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6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6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68"/>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6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68"/>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3">
    <w:name w:val="Lined - Accent 2"/>
    <w:basedOn w:val="6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6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6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68"/>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7">
    <w:name w:val="Lined - Accent 6"/>
    <w:basedOn w:val="6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68"/>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0">
    <w:name w:val="Bordered &amp; Lined - Accent 2"/>
    <w:basedOn w:val="6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6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6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68"/>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4">
    <w:name w:val="Bordered &amp; Lined - Accent 6"/>
    <w:basedOn w:val="6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7">
    <w:name w:val="Bordered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1">
    <w:name w:val="Bordered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Footnote Text Char"/>
    <w:qFormat/>
    <w:uiPriority w:val="99"/>
    <w:rPr>
      <w:sz w:val="18"/>
    </w:rPr>
  </w:style>
  <w:style w:type="character" w:customStyle="1" w:styleId="233">
    <w:name w:val="Endnote Text Char"/>
    <w:qFormat/>
    <w:uiPriority w:val="99"/>
    <w:rPr>
      <w:sz w:val="20"/>
    </w:rPr>
  </w:style>
  <w:style w:type="paragraph" w:customStyle="1" w:styleId="234">
    <w:name w:val="TOC 标题1"/>
    <w:unhideWhenUsed/>
    <w:qFormat/>
    <w:uiPriority w:val="39"/>
    <w:rPr>
      <w:rFonts w:ascii="Times New Roman" w:hAnsi="Times New Roman" w:eastAsia="宋体" w:cs="Times New Roman"/>
      <w:lang w:val="en-US" w:eastAsia="zh-CN" w:bidi="ar-SA"/>
    </w:rPr>
  </w:style>
  <w:style w:type="character" w:customStyle="1" w:styleId="235">
    <w:name w:val="页眉 字符2"/>
    <w:basedOn w:val="72"/>
    <w:link w:val="47"/>
    <w:qFormat/>
    <w:uiPriority w:val="99"/>
    <w:rPr>
      <w:rFonts w:ascii="Times New Roman" w:hAnsi="Times New Roman" w:eastAsia="宋体" w:cs="Times New Roman"/>
      <w:sz w:val="18"/>
      <w:szCs w:val="18"/>
    </w:rPr>
  </w:style>
  <w:style w:type="character" w:customStyle="1" w:styleId="236">
    <w:name w:val="页脚 字符2"/>
    <w:basedOn w:val="72"/>
    <w:link w:val="46"/>
    <w:qFormat/>
    <w:uiPriority w:val="99"/>
    <w:rPr>
      <w:rFonts w:ascii="Times New Roman" w:hAnsi="Times New Roman" w:eastAsia="宋体" w:cs="Times New Roman"/>
      <w:sz w:val="18"/>
      <w:szCs w:val="18"/>
    </w:rPr>
  </w:style>
  <w:style w:type="paragraph" w:styleId="237">
    <w:name w:val="List Paragraph"/>
    <w:basedOn w:val="1"/>
    <w:link w:val="238"/>
    <w:qFormat/>
    <w:uiPriority w:val="34"/>
    <w:pPr>
      <w:ind w:firstLine="420"/>
    </w:pPr>
  </w:style>
  <w:style w:type="character" w:customStyle="1" w:styleId="238">
    <w:name w:val="列表段落 字符2"/>
    <w:link w:val="237"/>
    <w:qFormat/>
    <w:uiPriority w:val="34"/>
    <w:rPr>
      <w:rFonts w:ascii="Times New Roman" w:hAnsi="Times New Roman" w:eastAsia="宋体" w:cs="Times New Roman"/>
      <w:szCs w:val="24"/>
    </w:rPr>
  </w:style>
  <w:style w:type="paragraph" w:customStyle="1" w:styleId="239">
    <w:name w:val="_Style 18"/>
    <w:basedOn w:val="1"/>
    <w:next w:val="237"/>
    <w:qFormat/>
    <w:uiPriority w:val="34"/>
    <w:pPr>
      <w:ind w:firstLine="420"/>
    </w:pPr>
    <w:rPr>
      <w:rFonts w:ascii="Calibri" w:hAnsi="Calibri"/>
      <w:szCs w:val="22"/>
    </w:rPr>
  </w:style>
  <w:style w:type="character" w:customStyle="1" w:styleId="240">
    <w:name w:val="标题 2 字符2"/>
    <w:basedOn w:val="72"/>
    <w:link w:val="5"/>
    <w:qFormat/>
    <w:uiPriority w:val="9"/>
    <w:rPr>
      <w:rFonts w:ascii="幼圆" w:hAnsi="Arial" w:eastAsia="楷体_GB2312" w:cs="Times New Roman"/>
      <w:b/>
      <w:sz w:val="44"/>
      <w:szCs w:val="20"/>
    </w:rPr>
  </w:style>
  <w:style w:type="character" w:customStyle="1" w:styleId="241">
    <w:name w:val="htd0"/>
    <w:basedOn w:val="72"/>
    <w:qFormat/>
    <w:uiPriority w:val="0"/>
  </w:style>
  <w:style w:type="character" w:customStyle="1" w:styleId="242">
    <w:name w:val="标题 1 Char"/>
    <w:basedOn w:val="72"/>
    <w:qFormat/>
    <w:uiPriority w:val="9"/>
    <w:rPr>
      <w:rFonts w:ascii="Times New Roman" w:hAnsi="Times New Roman" w:eastAsia="宋体" w:cs="Times New Roman"/>
      <w:b/>
      <w:bCs/>
      <w:sz w:val="44"/>
      <w:szCs w:val="44"/>
    </w:rPr>
  </w:style>
  <w:style w:type="character" w:customStyle="1" w:styleId="243">
    <w:name w:val="标题 3 Char"/>
    <w:basedOn w:val="72"/>
    <w:qFormat/>
    <w:uiPriority w:val="9"/>
    <w:rPr>
      <w:rFonts w:ascii="Times New Roman" w:hAnsi="Times New Roman" w:eastAsia="宋体" w:cs="Times New Roman"/>
      <w:b/>
      <w:bCs/>
      <w:sz w:val="32"/>
      <w:szCs w:val="32"/>
    </w:rPr>
  </w:style>
  <w:style w:type="character" w:customStyle="1" w:styleId="244">
    <w:name w:val="标题 4 Char"/>
    <w:basedOn w:val="72"/>
    <w:semiHidden/>
    <w:qFormat/>
    <w:uiPriority w:val="9"/>
    <w:rPr>
      <w:rFonts w:asciiTheme="majorHAnsi" w:hAnsiTheme="majorHAnsi" w:eastAsiaTheme="majorEastAsia" w:cstheme="majorBidi"/>
      <w:b/>
      <w:bCs/>
      <w:sz w:val="28"/>
      <w:szCs w:val="28"/>
    </w:rPr>
  </w:style>
  <w:style w:type="character" w:customStyle="1" w:styleId="245">
    <w:name w:val="标题 5 Char"/>
    <w:basedOn w:val="72"/>
    <w:semiHidden/>
    <w:qFormat/>
    <w:uiPriority w:val="9"/>
    <w:rPr>
      <w:rFonts w:ascii="Times New Roman" w:hAnsi="Times New Roman" w:eastAsia="宋体" w:cs="Times New Roman"/>
      <w:b/>
      <w:bCs/>
      <w:sz w:val="28"/>
      <w:szCs w:val="28"/>
    </w:rPr>
  </w:style>
  <w:style w:type="character" w:customStyle="1" w:styleId="246">
    <w:name w:val="标题 6 Char"/>
    <w:basedOn w:val="72"/>
    <w:semiHidden/>
    <w:qFormat/>
    <w:uiPriority w:val="9"/>
    <w:rPr>
      <w:rFonts w:asciiTheme="majorHAnsi" w:hAnsiTheme="majorHAnsi" w:eastAsiaTheme="majorEastAsia" w:cstheme="majorBidi"/>
      <w:b/>
      <w:bCs/>
      <w:sz w:val="24"/>
      <w:szCs w:val="24"/>
    </w:rPr>
  </w:style>
  <w:style w:type="character" w:customStyle="1" w:styleId="247">
    <w:name w:val="标题 7 Char"/>
    <w:basedOn w:val="72"/>
    <w:semiHidden/>
    <w:qFormat/>
    <w:uiPriority w:val="9"/>
    <w:rPr>
      <w:rFonts w:ascii="Times New Roman" w:hAnsi="Times New Roman" w:eastAsia="宋体" w:cs="Times New Roman"/>
      <w:b/>
      <w:bCs/>
      <w:sz w:val="24"/>
      <w:szCs w:val="24"/>
    </w:rPr>
  </w:style>
  <w:style w:type="character" w:customStyle="1" w:styleId="248">
    <w:name w:val="标题 8 Char"/>
    <w:basedOn w:val="72"/>
    <w:semiHidden/>
    <w:qFormat/>
    <w:uiPriority w:val="9"/>
    <w:rPr>
      <w:rFonts w:asciiTheme="majorHAnsi" w:hAnsiTheme="majorHAnsi" w:eastAsiaTheme="majorEastAsia" w:cstheme="majorBidi"/>
      <w:sz w:val="24"/>
      <w:szCs w:val="24"/>
    </w:rPr>
  </w:style>
  <w:style w:type="character" w:customStyle="1" w:styleId="249">
    <w:name w:val="标题 9 Char"/>
    <w:basedOn w:val="72"/>
    <w:semiHidden/>
    <w:qFormat/>
    <w:uiPriority w:val="9"/>
    <w:rPr>
      <w:rFonts w:asciiTheme="majorHAnsi" w:hAnsiTheme="majorHAnsi" w:eastAsiaTheme="majorEastAsia" w:cstheme="majorBidi"/>
      <w:szCs w:val="21"/>
    </w:rPr>
  </w:style>
  <w:style w:type="paragraph" w:customStyle="1" w:styleId="250">
    <w:name w:val="_Style 31"/>
    <w:basedOn w:val="1"/>
    <w:next w:val="237"/>
    <w:qFormat/>
    <w:uiPriority w:val="34"/>
    <w:pPr>
      <w:ind w:firstLine="420"/>
    </w:pPr>
    <w:rPr>
      <w:rFonts w:ascii="Calibri" w:hAnsi="Calibri"/>
      <w:szCs w:val="22"/>
    </w:rPr>
  </w:style>
  <w:style w:type="character" w:customStyle="1" w:styleId="251">
    <w:name w:val="style31"/>
    <w:qFormat/>
    <w:uiPriority w:val="0"/>
    <w:rPr>
      <w:sz w:val="21"/>
      <w:szCs w:val="21"/>
    </w:rPr>
  </w:style>
  <w:style w:type="character" w:customStyle="1" w:styleId="252">
    <w:name w:val="页脚 字符"/>
    <w:qFormat/>
    <w:uiPriority w:val="99"/>
    <w:rPr>
      <w:sz w:val="18"/>
    </w:rPr>
  </w:style>
  <w:style w:type="character" w:customStyle="1" w:styleId="253">
    <w:name w:val="正文文本缩进 Char4"/>
    <w:qFormat/>
    <w:uiPriority w:val="0"/>
    <w:rPr>
      <w:rFonts w:ascii="楷体_GB2312" w:eastAsia="楷体_GB2312"/>
      <w:sz w:val="32"/>
    </w:rPr>
  </w:style>
  <w:style w:type="character" w:customStyle="1" w:styleId="254">
    <w:name w:val="普通文字 Char Char Char"/>
    <w:qFormat/>
    <w:uiPriority w:val="0"/>
    <w:rPr>
      <w:rFonts w:ascii="宋体" w:hAnsi="Courier New" w:eastAsia="宋体" w:cs="Courier New"/>
      <w:sz w:val="21"/>
      <w:szCs w:val="21"/>
      <w:lang w:val="en-US" w:eastAsia="zh-CN" w:bidi="ar-SA"/>
    </w:rPr>
  </w:style>
  <w:style w:type="character" w:customStyle="1" w:styleId="255">
    <w:name w:val="段落 Char1"/>
    <w:link w:val="256"/>
    <w:qFormat/>
    <w:uiPriority w:val="0"/>
    <w:rPr>
      <w:rFonts w:eastAsia="仿宋_GB2312"/>
      <w:sz w:val="24"/>
      <w:szCs w:val="24"/>
    </w:rPr>
  </w:style>
  <w:style w:type="paragraph" w:customStyle="1" w:styleId="256">
    <w:name w:val="段落"/>
    <w:link w:val="255"/>
    <w:qFormat/>
    <w:uiPriority w:val="0"/>
    <w:pPr>
      <w:spacing w:before="120" w:after="120" w:line="360" w:lineRule="auto"/>
      <w:ind w:firstLine="420"/>
      <w:jc w:val="both"/>
    </w:pPr>
    <w:rPr>
      <w:rFonts w:eastAsia="仿宋_GB2312" w:asciiTheme="minorHAnsi" w:hAnsiTheme="minorHAnsi" w:cstheme="minorBidi"/>
      <w:sz w:val="24"/>
      <w:szCs w:val="24"/>
      <w:lang w:val="en-US" w:eastAsia="zh-CN" w:bidi="ar-SA"/>
    </w:rPr>
  </w:style>
  <w:style w:type="character" w:customStyle="1" w:styleId="257">
    <w:name w:val="标题 6 字符"/>
    <w:link w:val="10"/>
    <w:qFormat/>
    <w:uiPriority w:val="0"/>
    <w:rPr>
      <w:rFonts w:ascii="Arial" w:hAnsi="Arial" w:eastAsia="黑体" w:cs="Times New Roman"/>
      <w:b/>
      <w:spacing w:val="-2"/>
      <w:position w:val="-6"/>
      <w:sz w:val="24"/>
      <w:szCs w:val="20"/>
    </w:rPr>
  </w:style>
  <w:style w:type="character" w:customStyle="1" w:styleId="258">
    <w:name w:val="批注框文本 Char4"/>
    <w:qFormat/>
    <w:uiPriority w:val="0"/>
    <w:rPr>
      <w:sz w:val="18"/>
      <w:szCs w:val="18"/>
    </w:rPr>
  </w:style>
  <w:style w:type="character" w:customStyle="1" w:styleId="259">
    <w:name w:val="标题 9 字符"/>
    <w:link w:val="13"/>
    <w:qFormat/>
    <w:uiPriority w:val="0"/>
    <w:rPr>
      <w:rFonts w:ascii="Arial" w:hAnsi="Arial" w:eastAsia="黑体" w:cs="Times New Roman"/>
      <w:spacing w:val="-2"/>
      <w:position w:val="-6"/>
      <w:sz w:val="28"/>
      <w:szCs w:val="20"/>
    </w:rPr>
  </w:style>
  <w:style w:type="character" w:customStyle="1" w:styleId="260">
    <w:name w:val="纯文本 Char3"/>
    <w:qFormat/>
    <w:uiPriority w:val="0"/>
    <w:rPr>
      <w:rFonts w:ascii="宋体" w:hAnsi="Courier New" w:cs="Courier New"/>
      <w:szCs w:val="21"/>
    </w:rPr>
  </w:style>
  <w:style w:type="character" w:customStyle="1" w:styleId="261">
    <w:name w:val="_正文段落 Char Char"/>
    <w:link w:val="262"/>
    <w:qFormat/>
    <w:uiPriority w:val="0"/>
    <w:rPr>
      <w:rFonts w:ascii="宋体" w:hAnsi="宋体"/>
      <w:sz w:val="24"/>
      <w:szCs w:val="28"/>
    </w:rPr>
  </w:style>
  <w:style w:type="paragraph" w:customStyle="1" w:styleId="262">
    <w:name w:val="_正文段落"/>
    <w:basedOn w:val="1"/>
    <w:link w:val="261"/>
    <w:qFormat/>
    <w:uiPriority w:val="0"/>
    <w:pPr>
      <w:spacing w:line="360" w:lineRule="auto"/>
      <w:ind w:firstLine="480"/>
    </w:pPr>
    <w:rPr>
      <w:rFonts w:ascii="宋体" w:hAnsi="宋体" w:eastAsiaTheme="minorEastAsia" w:cstheme="minorBidi"/>
      <w:sz w:val="24"/>
      <w:szCs w:val="28"/>
    </w:rPr>
  </w:style>
  <w:style w:type="character" w:customStyle="1" w:styleId="263">
    <w:name w:val="正文文本 Char4"/>
    <w:qFormat/>
    <w:uiPriority w:val="0"/>
    <w:rPr>
      <w:rFonts w:ascii="楷体_GB2312" w:hAnsi="Arial" w:eastAsia="楷体_GB2312"/>
      <w:sz w:val="28"/>
    </w:rPr>
  </w:style>
  <w:style w:type="character" w:customStyle="1" w:styleId="264">
    <w:name w:val="标题 8 字符"/>
    <w:link w:val="12"/>
    <w:qFormat/>
    <w:uiPriority w:val="0"/>
    <w:rPr>
      <w:rFonts w:ascii="Arial" w:hAnsi="Arial" w:eastAsia="黑体" w:cs="Times New Roman"/>
      <w:spacing w:val="-2"/>
      <w:position w:val="-6"/>
      <w:sz w:val="24"/>
      <w:szCs w:val="20"/>
    </w:rPr>
  </w:style>
  <w:style w:type="character" w:customStyle="1" w:styleId="265">
    <w:name w:val="标题 7 字符"/>
    <w:link w:val="11"/>
    <w:qFormat/>
    <w:uiPriority w:val="0"/>
    <w:rPr>
      <w:rFonts w:ascii="宋体" w:hAnsi="Times New Roman" w:eastAsia="宋体" w:cs="Times New Roman"/>
      <w:b/>
      <w:spacing w:val="-2"/>
      <w:position w:val="-6"/>
      <w:sz w:val="24"/>
      <w:szCs w:val="20"/>
    </w:rPr>
  </w:style>
  <w:style w:type="character" w:customStyle="1" w:styleId="266">
    <w:name w:val="标题 1 字符"/>
    <w:link w:val="4"/>
    <w:qFormat/>
    <w:uiPriority w:val="0"/>
    <w:rPr>
      <w:rFonts w:ascii="楷体_GB2312" w:hAnsi="Times New Roman" w:eastAsia="楷体_GB2312" w:cs="Times New Roman"/>
      <w:sz w:val="28"/>
      <w:szCs w:val="20"/>
    </w:rPr>
  </w:style>
  <w:style w:type="character" w:customStyle="1" w:styleId="267">
    <w:name w:val="正文缩进 字符"/>
    <w:link w:val="9"/>
    <w:qFormat/>
    <w:uiPriority w:val="0"/>
    <w:rPr>
      <w:rFonts w:ascii="Times New Roman" w:hAnsi="Times New Roman" w:eastAsia="宋体" w:cs="Times New Roman"/>
      <w:szCs w:val="24"/>
    </w:rPr>
  </w:style>
  <w:style w:type="character" w:customStyle="1" w:styleId="268">
    <w:name w:val="标题 2 字符"/>
    <w:qFormat/>
    <w:uiPriority w:val="0"/>
    <w:rPr>
      <w:rFonts w:ascii="幼圆" w:hAnsi="Arial" w:eastAsia="楷体_GB2312"/>
      <w:b/>
      <w:sz w:val="44"/>
    </w:rPr>
  </w:style>
  <w:style w:type="character" w:customStyle="1" w:styleId="269">
    <w:name w:val="标题 3 字符2"/>
    <w:link w:val="6"/>
    <w:qFormat/>
    <w:uiPriority w:val="0"/>
    <w:rPr>
      <w:rFonts w:ascii="Times New Roman" w:hAnsi="Times New Roman" w:eastAsia="宋体" w:cs="Times New Roman"/>
      <w:b/>
      <w:sz w:val="32"/>
      <w:szCs w:val="20"/>
    </w:rPr>
  </w:style>
  <w:style w:type="character" w:customStyle="1" w:styleId="270">
    <w:name w:val="标题 4 字符"/>
    <w:link w:val="7"/>
    <w:qFormat/>
    <w:uiPriority w:val="0"/>
    <w:rPr>
      <w:rFonts w:ascii="Arial" w:hAnsi="Arial" w:eastAsia="黑体" w:cs="Times New Roman"/>
      <w:b/>
      <w:bCs/>
      <w:sz w:val="28"/>
      <w:szCs w:val="28"/>
    </w:rPr>
  </w:style>
  <w:style w:type="character" w:customStyle="1" w:styleId="271">
    <w:name w:val="标题 5 字符"/>
    <w:link w:val="8"/>
    <w:qFormat/>
    <w:uiPriority w:val="0"/>
    <w:rPr>
      <w:rFonts w:ascii="宋体" w:hAnsi="Times New Roman" w:eastAsia="宋体" w:cs="Times New Roman"/>
      <w:b/>
      <w:spacing w:val="-2"/>
      <w:position w:val="-6"/>
      <w:sz w:val="28"/>
      <w:szCs w:val="20"/>
    </w:rPr>
  </w:style>
  <w:style w:type="character" w:customStyle="1" w:styleId="272">
    <w:name w:val="font"/>
    <w:basedOn w:val="72"/>
    <w:qFormat/>
    <w:uiPriority w:val="0"/>
  </w:style>
  <w:style w:type="character" w:customStyle="1" w:styleId="273">
    <w:name w:val="pt9-hui-line201"/>
    <w:qFormat/>
    <w:uiPriority w:val="0"/>
    <w:rPr>
      <w:color w:val="333333"/>
      <w:spacing w:val="300"/>
      <w:sz w:val="18"/>
      <w:szCs w:val="18"/>
      <w:u w:val="none"/>
    </w:rPr>
  </w:style>
  <w:style w:type="character" w:customStyle="1" w:styleId="274">
    <w:name w:val="正文文本缩进 2 Char4"/>
    <w:qFormat/>
    <w:uiPriority w:val="0"/>
    <w:rPr>
      <w:rFonts w:ascii="楷体_GB2312" w:eastAsia="楷体_GB2312"/>
      <w:sz w:val="28"/>
      <w:szCs w:val="28"/>
    </w:rPr>
  </w:style>
  <w:style w:type="character" w:customStyle="1" w:styleId="275">
    <w:name w:val="批注主题 Char4"/>
    <w:qFormat/>
    <w:uiPriority w:val="99"/>
    <w:rPr>
      <w:rFonts w:ascii="Calibri" w:hAnsi="Calibri"/>
      <w:b/>
      <w:bCs/>
    </w:rPr>
  </w:style>
  <w:style w:type="character" w:customStyle="1" w:styleId="276">
    <w:name w:val="批注文字 Char4"/>
    <w:qFormat/>
    <w:uiPriority w:val="99"/>
    <w:rPr>
      <w:rFonts w:ascii="Calibri" w:hAnsi="Calibri"/>
    </w:rPr>
  </w:style>
  <w:style w:type="character" w:customStyle="1" w:styleId="277">
    <w:name w:val="样式 正文文本缩进 + 左  0 字符 Char Char"/>
    <w:link w:val="278"/>
    <w:qFormat/>
    <w:uiPriority w:val="0"/>
    <w:rPr>
      <w:rFonts w:cs="宋体"/>
      <w:sz w:val="24"/>
    </w:rPr>
  </w:style>
  <w:style w:type="paragraph" w:customStyle="1" w:styleId="278">
    <w:name w:val="样式 正文文本缩进 + 左  0 字符"/>
    <w:basedOn w:val="29"/>
    <w:link w:val="277"/>
    <w:qFormat/>
    <w:uiPriority w:val="0"/>
    <w:pPr>
      <w:spacing w:line="360" w:lineRule="auto"/>
      <w:ind w:firstLine="250"/>
    </w:pPr>
    <w:rPr>
      <w:rFonts w:cs="宋体" w:asciiTheme="minorHAnsi" w:eastAsiaTheme="minorEastAsia"/>
      <w:sz w:val="24"/>
    </w:rPr>
  </w:style>
  <w:style w:type="character" w:customStyle="1" w:styleId="279">
    <w:name w:val="带缩进的正文 Char Char"/>
    <w:link w:val="280"/>
    <w:qFormat/>
    <w:uiPriority w:val="0"/>
    <w:rPr>
      <w:rFonts w:ascii="Calibri" w:hAnsi="Calibri"/>
      <w:sz w:val="24"/>
    </w:rPr>
  </w:style>
  <w:style w:type="paragraph" w:customStyle="1" w:styleId="280">
    <w:name w:val="带缩进的正文"/>
    <w:basedOn w:val="1"/>
    <w:link w:val="279"/>
    <w:qFormat/>
    <w:uiPriority w:val="0"/>
    <w:pPr>
      <w:spacing w:line="360" w:lineRule="auto"/>
      <w:ind w:firstLine="480"/>
    </w:pPr>
    <w:rPr>
      <w:rFonts w:ascii="Calibri" w:hAnsi="Calibri" w:eastAsiaTheme="minorEastAsia" w:cstheme="minorBidi"/>
      <w:sz w:val="24"/>
      <w:szCs w:val="22"/>
    </w:rPr>
  </w:style>
  <w:style w:type="character" w:customStyle="1" w:styleId="281">
    <w:name w:val="bodybold1"/>
    <w:qFormat/>
    <w:uiPriority w:val="0"/>
    <w:rPr>
      <w:rFonts w:hint="default" w:ascii="Taipei" w:hAnsi="Taipei"/>
      <w:b/>
      <w:bCs/>
      <w:color w:val="0066FF"/>
      <w:sz w:val="26"/>
      <w:szCs w:val="26"/>
      <w:u w:val="none"/>
    </w:rPr>
  </w:style>
  <w:style w:type="character" w:customStyle="1" w:styleId="282">
    <w:name w:val="flname8"/>
    <w:basedOn w:val="72"/>
    <w:qFormat/>
    <w:uiPriority w:val="0"/>
  </w:style>
  <w:style w:type="character" w:customStyle="1" w:styleId="283">
    <w:name w:val="正文（首行缩进两字） Char Char"/>
    <w:qFormat/>
    <w:uiPriority w:val="0"/>
    <w:rPr>
      <w:rFonts w:eastAsia="宋体"/>
      <w:sz w:val="24"/>
      <w:lang w:val="en-US" w:eastAsia="zh-CN" w:bidi="ar-SA"/>
    </w:rPr>
  </w:style>
  <w:style w:type="character" w:customStyle="1" w:styleId="284">
    <w:name w:val="标题 3 Char Char"/>
    <w:qFormat/>
    <w:uiPriority w:val="0"/>
    <w:rPr>
      <w:rFonts w:eastAsia="宋体"/>
      <w:b/>
      <w:sz w:val="32"/>
      <w:lang w:val="en-US" w:eastAsia="zh-CN" w:bidi="ar-SA"/>
    </w:rPr>
  </w:style>
  <w:style w:type="character" w:customStyle="1" w:styleId="285">
    <w:name w:val="样式6 Char Char"/>
    <w:link w:val="286"/>
    <w:qFormat/>
    <w:uiPriority w:val="0"/>
    <w:rPr>
      <w:rFonts w:ascii="宋体" w:hAnsi="宋体"/>
      <w:sz w:val="28"/>
      <w:szCs w:val="28"/>
    </w:rPr>
  </w:style>
  <w:style w:type="paragraph" w:customStyle="1" w:styleId="286">
    <w:name w:val="样式6"/>
    <w:basedOn w:val="1"/>
    <w:link w:val="285"/>
    <w:qFormat/>
    <w:uiPriority w:val="0"/>
    <w:pPr>
      <w:spacing w:line="360" w:lineRule="auto"/>
      <w:ind w:left="980" w:hanging="420"/>
    </w:pPr>
    <w:rPr>
      <w:rFonts w:ascii="宋体" w:hAnsi="宋体" w:eastAsiaTheme="minorEastAsia" w:cstheme="minorBidi"/>
      <w:sz w:val="28"/>
      <w:szCs w:val="28"/>
    </w:rPr>
  </w:style>
  <w:style w:type="character" w:customStyle="1" w:styleId="287">
    <w:name w:val="页眉 字符"/>
    <w:qFormat/>
    <w:uiPriority w:val="99"/>
    <w:rPr>
      <w:sz w:val="18"/>
      <w:szCs w:val="18"/>
    </w:rPr>
  </w:style>
  <w:style w:type="character" w:customStyle="1" w:styleId="288">
    <w:name w:val="WW8Num11z1"/>
    <w:qFormat/>
    <w:uiPriority w:val="0"/>
    <w:rPr>
      <w:rFonts w:ascii="Wingdings" w:hAnsi="Wingdings"/>
    </w:rPr>
  </w:style>
  <w:style w:type="character" w:customStyle="1" w:styleId="289">
    <w:name w:val="样式 正文缩进 + 首行缩进:  2 字符 Char Char"/>
    <w:link w:val="290"/>
    <w:qFormat/>
    <w:uiPriority w:val="0"/>
    <w:rPr>
      <w:rFonts w:cs="宋体"/>
      <w:sz w:val="24"/>
    </w:rPr>
  </w:style>
  <w:style w:type="paragraph" w:customStyle="1" w:styleId="290">
    <w:name w:val="样式 正文缩进 + 首行缩进:  2 字符"/>
    <w:basedOn w:val="9"/>
    <w:link w:val="289"/>
    <w:qFormat/>
    <w:uiPriority w:val="0"/>
    <w:pPr>
      <w:spacing w:line="360" w:lineRule="auto"/>
      <w:ind w:firstLine="200"/>
    </w:pPr>
    <w:rPr>
      <w:rFonts w:cs="宋体" w:asciiTheme="minorHAnsi" w:hAnsiTheme="minorHAnsi" w:eastAsiaTheme="minorEastAsia"/>
      <w:sz w:val="24"/>
      <w:szCs w:val="22"/>
    </w:rPr>
  </w:style>
  <w:style w:type="character" w:customStyle="1" w:styleId="291">
    <w:name w:val="彩色网格 - 强调文字颜色 1 Char"/>
    <w:link w:val="292"/>
    <w:qFormat/>
    <w:uiPriority w:val="0"/>
    <w:rPr>
      <w:rFonts w:eastAsia="方正仿宋_GBK"/>
      <w:i/>
      <w:iCs/>
      <w:color w:val="000000"/>
      <w:szCs w:val="24"/>
    </w:rPr>
  </w:style>
  <w:style w:type="paragraph" w:customStyle="1" w:styleId="292">
    <w:name w:val="彩色网格 - 强调文字颜色 11"/>
    <w:basedOn w:val="1"/>
    <w:next w:val="1"/>
    <w:link w:val="291"/>
    <w:qFormat/>
    <w:uiPriority w:val="0"/>
    <w:pPr>
      <w:spacing w:line="360" w:lineRule="auto"/>
      <w:ind w:firstLine="560"/>
    </w:pPr>
    <w:rPr>
      <w:rFonts w:eastAsia="方正仿宋_GBK" w:asciiTheme="minorHAnsi" w:hAnsiTheme="minorHAnsi" w:cstheme="minorBidi"/>
      <w:i/>
      <w:iCs/>
      <w:color w:val="000000"/>
    </w:rPr>
  </w:style>
  <w:style w:type="character" w:customStyle="1" w:styleId="293">
    <w:name w:val="文档结构图 Char3"/>
    <w:qFormat/>
    <w:uiPriority w:val="99"/>
    <w:rPr>
      <w:rFonts w:ascii="宋体"/>
      <w:sz w:val="18"/>
      <w:szCs w:val="18"/>
    </w:rPr>
  </w:style>
  <w:style w:type="character" w:customStyle="1" w:styleId="294">
    <w:name w:val="正文首行缩进 2 Char3"/>
    <w:semiHidden/>
    <w:qFormat/>
    <w:uiPriority w:val="0"/>
    <w:rPr>
      <w:rFonts w:ascii="Arial" w:hAnsi="Arial" w:eastAsia="方正仿宋_GBK" w:cs="Arial"/>
      <w:szCs w:val="24"/>
    </w:rPr>
  </w:style>
  <w:style w:type="character" w:customStyle="1" w:styleId="295">
    <w:name w:val="样式7 Char Char"/>
    <w:link w:val="296"/>
    <w:qFormat/>
    <w:uiPriority w:val="0"/>
    <w:rPr>
      <w:rFonts w:ascii="宋体" w:hAnsi="宋体"/>
      <w:sz w:val="28"/>
      <w:szCs w:val="28"/>
    </w:rPr>
  </w:style>
  <w:style w:type="paragraph" w:customStyle="1" w:styleId="296">
    <w:name w:val="样式7"/>
    <w:basedOn w:val="1"/>
    <w:link w:val="295"/>
    <w:qFormat/>
    <w:uiPriority w:val="0"/>
    <w:pPr>
      <w:spacing w:line="360" w:lineRule="auto"/>
      <w:ind w:left="980" w:hanging="420"/>
    </w:pPr>
    <w:rPr>
      <w:rFonts w:ascii="宋体" w:hAnsi="宋体" w:eastAsiaTheme="minorEastAsia" w:cstheme="minorBidi"/>
      <w:sz w:val="28"/>
      <w:szCs w:val="28"/>
    </w:rPr>
  </w:style>
  <w:style w:type="character" w:customStyle="1" w:styleId="297">
    <w:name w:val="WW-Absatz-Standardschriftart11"/>
    <w:qFormat/>
    <w:uiPriority w:val="0"/>
  </w:style>
  <w:style w:type="character" w:customStyle="1" w:styleId="298">
    <w:name w:val="正文文本 3 Char3"/>
    <w:qFormat/>
    <w:uiPriority w:val="0"/>
    <w:rPr>
      <w:rFonts w:ascii="仿宋_GB2312" w:hAnsi="Arial" w:eastAsia="仿宋_GB2312"/>
      <w:sz w:val="32"/>
    </w:rPr>
  </w:style>
  <w:style w:type="character" w:customStyle="1" w:styleId="299">
    <w:name w:val="WW8Num34z2"/>
    <w:qFormat/>
    <w:uiPriority w:val="0"/>
    <w:rPr>
      <w:rFonts w:ascii="StarSymbol" w:hAnsi="StarSymbol" w:cs="StarSymbol"/>
      <w:sz w:val="18"/>
      <w:szCs w:val="18"/>
    </w:rPr>
  </w:style>
  <w:style w:type="character" w:customStyle="1" w:styleId="300">
    <w:name w:val="日期 Char4"/>
    <w:qFormat/>
    <w:uiPriority w:val="0"/>
    <w:rPr>
      <w:rFonts w:ascii="仿宋_GB2312" w:eastAsia="仿宋_GB2312"/>
      <w:b/>
      <w:sz w:val="36"/>
      <w:szCs w:val="24"/>
    </w:rPr>
  </w:style>
  <w:style w:type="character" w:customStyle="1" w:styleId="301">
    <w:name w:val="正文文本缩进 3 字符1"/>
    <w:qFormat/>
    <w:uiPriority w:val="99"/>
    <w:rPr>
      <w:rFonts w:ascii="宋体" w:hAnsi="Times New Roman" w:eastAsia="方正仿宋_GBK" w:cs="Times New Roman"/>
      <w:sz w:val="16"/>
      <w:szCs w:val="16"/>
    </w:rPr>
  </w:style>
  <w:style w:type="character" w:customStyle="1" w:styleId="302">
    <w:name w:val="正文文本缩进 3 Char3"/>
    <w:qFormat/>
    <w:uiPriority w:val="0"/>
    <w:rPr>
      <w:rFonts w:ascii="Arial Unicode MS" w:hAnsi="Arial" w:eastAsia="Arial Unicode MS"/>
      <w:sz w:val="36"/>
    </w:rPr>
  </w:style>
  <w:style w:type="character" w:customStyle="1" w:styleId="303">
    <w:name w:val="WW8Num6z1"/>
    <w:qFormat/>
    <w:uiPriority w:val="0"/>
    <w:rPr>
      <w:rFonts w:ascii="Wingdings" w:hAnsi="Wingdings"/>
    </w:rPr>
  </w:style>
  <w:style w:type="character" w:customStyle="1" w:styleId="304">
    <w:name w:val="正文文本 2 Char3"/>
    <w:qFormat/>
    <w:uiPriority w:val="0"/>
    <w:rPr>
      <w:szCs w:val="24"/>
    </w:rPr>
  </w:style>
  <w:style w:type="character" w:customStyle="1" w:styleId="305">
    <w:name w:val="WW8Num32z2"/>
    <w:qFormat/>
    <w:uiPriority w:val="0"/>
    <w:rPr>
      <w:rFonts w:ascii="StarSymbol" w:hAnsi="StarSymbol" w:cs="StarSymbol"/>
      <w:sz w:val="18"/>
      <w:szCs w:val="18"/>
    </w:rPr>
  </w:style>
  <w:style w:type="character" w:customStyle="1" w:styleId="306">
    <w:name w:val="列表段落 字符1"/>
    <w:qFormat/>
    <w:uiPriority w:val="34"/>
    <w:rPr>
      <w:rFonts w:ascii="Calibri" w:hAnsi="Calibri"/>
      <w:sz w:val="21"/>
      <w:szCs w:val="22"/>
    </w:rPr>
  </w:style>
  <w:style w:type="character" w:customStyle="1" w:styleId="307">
    <w:name w:val="WW8Num28z0"/>
    <w:qFormat/>
    <w:uiPriority w:val="0"/>
    <w:rPr>
      <w:rFonts w:ascii="Wingdings" w:hAnsi="Wingdings" w:cs="StarSymbol"/>
      <w:sz w:val="18"/>
      <w:szCs w:val="18"/>
    </w:rPr>
  </w:style>
  <w:style w:type="character" w:customStyle="1" w:styleId="308">
    <w:name w:val="WW8Num2z2"/>
    <w:qFormat/>
    <w:uiPriority w:val="0"/>
    <w:rPr>
      <w:rFonts w:ascii="StarSymbol" w:hAnsi="StarSymbol" w:cs="StarSymbol"/>
      <w:sz w:val="18"/>
      <w:szCs w:val="18"/>
    </w:rPr>
  </w:style>
  <w:style w:type="character" w:customStyle="1" w:styleId="309">
    <w:name w:val="apple-converted-space"/>
    <w:basedOn w:val="72"/>
    <w:qFormat/>
    <w:uiPriority w:val="0"/>
  </w:style>
  <w:style w:type="character" w:customStyle="1" w:styleId="310">
    <w:name w:val="WW8Num35z2"/>
    <w:qFormat/>
    <w:uiPriority w:val="0"/>
    <w:rPr>
      <w:rFonts w:ascii="StarSymbol" w:hAnsi="StarSymbol" w:cs="StarSymbol"/>
      <w:sz w:val="18"/>
      <w:szCs w:val="18"/>
    </w:rPr>
  </w:style>
  <w:style w:type="character" w:customStyle="1" w:styleId="311">
    <w:name w:val="标题 Char3"/>
    <w:qFormat/>
    <w:uiPriority w:val="10"/>
    <w:rPr>
      <w:rFonts w:ascii="Cambria" w:hAnsi="Cambria"/>
      <w:b/>
      <w:bCs/>
      <w:sz w:val="32"/>
      <w:szCs w:val="32"/>
    </w:rPr>
  </w:style>
  <w:style w:type="character" w:customStyle="1" w:styleId="312">
    <w:name w:val="WW8Num10z0"/>
    <w:qFormat/>
    <w:uiPriority w:val="0"/>
    <w:rPr>
      <w:rFonts w:ascii="Wingdings" w:hAnsi="Wingdings" w:cs="StarSymbol"/>
      <w:sz w:val="18"/>
      <w:szCs w:val="18"/>
    </w:rPr>
  </w:style>
  <w:style w:type="character" w:customStyle="1" w:styleId="313">
    <w:name w:val="正文首行缩进 Char5"/>
    <w:semiHidden/>
    <w:qFormat/>
    <w:uiPriority w:val="0"/>
    <w:rPr>
      <w:rFonts w:ascii="Arial" w:hAnsi="Arial"/>
      <w:szCs w:val="21"/>
    </w:rPr>
  </w:style>
  <w:style w:type="character" w:customStyle="1" w:styleId="314">
    <w:name w:val="WW8Num32z0"/>
    <w:qFormat/>
    <w:uiPriority w:val="0"/>
    <w:rPr>
      <w:rFonts w:ascii="Wingdings" w:hAnsi="Wingdings" w:cs="StarSymbol"/>
      <w:sz w:val="18"/>
      <w:szCs w:val="18"/>
    </w:rPr>
  </w:style>
  <w:style w:type="character" w:customStyle="1" w:styleId="315">
    <w:name w:val="正文首行缩进 Char1"/>
    <w:qFormat/>
    <w:uiPriority w:val="0"/>
    <w:rPr>
      <w:rFonts w:ascii="Times New Roman" w:hAnsi="Times New Roman" w:eastAsia="宋体" w:cs="Times New Roman"/>
      <w:szCs w:val="24"/>
    </w:rPr>
  </w:style>
  <w:style w:type="character" w:customStyle="1" w:styleId="316">
    <w:name w:val="标题 3 字符1"/>
    <w:qFormat/>
    <w:uiPriority w:val="0"/>
    <w:rPr>
      <w:rFonts w:ascii="仿宋" w:eastAsia="仿宋"/>
      <w:b/>
      <w:sz w:val="32"/>
      <w:szCs w:val="32"/>
    </w:rPr>
  </w:style>
  <w:style w:type="character" w:customStyle="1" w:styleId="317">
    <w:name w:val="正文首行缩进 Char2"/>
    <w:qFormat/>
    <w:uiPriority w:val="0"/>
    <w:rPr>
      <w:rFonts w:ascii="楷体_GB2312" w:hAnsi="Arial" w:eastAsia="楷体_GB2312"/>
      <w:sz w:val="21"/>
      <w:szCs w:val="24"/>
    </w:rPr>
  </w:style>
  <w:style w:type="character" w:customStyle="1" w:styleId="318">
    <w:name w:val="正文文本 2 字符1"/>
    <w:semiHidden/>
    <w:qFormat/>
    <w:uiPriority w:val="99"/>
    <w:rPr>
      <w:rFonts w:ascii="Times New Roman" w:hAnsi="Times New Roman" w:eastAsia="方正仿宋_GBK" w:cs="Times New Roman"/>
      <w:sz w:val="24"/>
      <w:szCs w:val="24"/>
    </w:rPr>
  </w:style>
  <w:style w:type="character" w:customStyle="1" w:styleId="319">
    <w:name w:val="Table Heading Char1"/>
    <w:link w:val="320"/>
    <w:qFormat/>
    <w:uiPriority w:val="0"/>
    <w:rPr>
      <w:rFonts w:ascii="Book Antiqua" w:hAnsi="Book Antiqua" w:eastAsia="黑体" w:cs="Book Antiqua"/>
      <w:bCs/>
      <w:szCs w:val="21"/>
    </w:rPr>
  </w:style>
  <w:style w:type="paragraph" w:customStyle="1" w:styleId="320">
    <w:name w:val="Table Heading"/>
    <w:basedOn w:val="1"/>
    <w:link w:val="319"/>
    <w:qFormat/>
    <w:uiPriority w:val="0"/>
    <w:pPr>
      <w:keepNext/>
      <w:spacing w:before="80" w:after="80" w:line="240" w:lineRule="atLeast"/>
      <w:jc w:val="left"/>
    </w:pPr>
    <w:rPr>
      <w:rFonts w:ascii="Book Antiqua" w:hAnsi="Book Antiqua" w:eastAsia="黑体" w:cs="Book Antiqua"/>
      <w:bCs/>
      <w:szCs w:val="21"/>
    </w:rPr>
  </w:style>
  <w:style w:type="character" w:customStyle="1" w:styleId="321">
    <w:name w:val="二级采标题 字符"/>
    <w:link w:val="322"/>
    <w:qFormat/>
    <w:uiPriority w:val="0"/>
    <w:rPr>
      <w:rFonts w:ascii="Calibri" w:hAnsi="Calibri"/>
    </w:rPr>
  </w:style>
  <w:style w:type="paragraph" w:customStyle="1" w:styleId="322">
    <w:name w:val="二级采标题"/>
    <w:next w:val="323"/>
    <w:link w:val="321"/>
    <w:qFormat/>
    <w:uiPriority w:val="0"/>
    <w:pPr>
      <w:ind w:left="1134" w:hanging="1134"/>
    </w:pPr>
    <w:rPr>
      <w:rFonts w:ascii="Calibri" w:hAnsi="Calibri" w:eastAsiaTheme="minorEastAsia" w:cstheme="minorBidi"/>
      <w:sz w:val="21"/>
      <w:szCs w:val="22"/>
      <w:lang w:val="en-US" w:eastAsia="zh-CN" w:bidi="ar-SA"/>
    </w:rPr>
  </w:style>
  <w:style w:type="paragraph" w:customStyle="1" w:styleId="323">
    <w:name w:val="段"/>
    <w:qFormat/>
    <w:uiPriority w:val="0"/>
    <w:pPr>
      <w:ind w:firstLine="200"/>
      <w:jc w:val="both"/>
    </w:pPr>
    <w:rPr>
      <w:rFonts w:ascii="宋体" w:hAnsi="Times New Roman" w:eastAsia="宋体" w:cs="Times New Roman"/>
      <w:sz w:val="21"/>
      <w:lang w:val="en-US" w:eastAsia="zh-CN" w:bidi="ar-SA"/>
    </w:rPr>
  </w:style>
  <w:style w:type="character" w:customStyle="1" w:styleId="324">
    <w:name w:val="Table Text Char"/>
    <w:link w:val="325"/>
    <w:qFormat/>
    <w:uiPriority w:val="0"/>
    <w:rPr>
      <w:rFonts w:cs="Arial"/>
      <w:szCs w:val="21"/>
    </w:rPr>
  </w:style>
  <w:style w:type="paragraph" w:customStyle="1" w:styleId="325">
    <w:name w:val="Table Text"/>
    <w:basedOn w:val="1"/>
    <w:link w:val="324"/>
    <w:qFormat/>
    <w:uiPriority w:val="0"/>
    <w:pPr>
      <w:spacing w:before="80" w:after="80" w:line="240" w:lineRule="atLeast"/>
      <w:jc w:val="left"/>
    </w:pPr>
    <w:rPr>
      <w:rFonts w:cs="Arial" w:asciiTheme="minorHAnsi" w:hAnsiTheme="minorHAnsi" w:eastAsiaTheme="minorEastAsia"/>
      <w:szCs w:val="21"/>
    </w:rPr>
  </w:style>
  <w:style w:type="character" w:customStyle="1" w:styleId="326">
    <w:name w:val="WW8Num28z2"/>
    <w:qFormat/>
    <w:uiPriority w:val="0"/>
    <w:rPr>
      <w:rFonts w:ascii="StarSymbol" w:hAnsi="StarSymbol" w:cs="StarSymbol"/>
      <w:sz w:val="18"/>
      <w:szCs w:val="18"/>
    </w:rPr>
  </w:style>
  <w:style w:type="character" w:customStyle="1" w:styleId="327">
    <w:name w:val="标题2 Char"/>
    <w:link w:val="328"/>
    <w:qFormat/>
    <w:uiPriority w:val="0"/>
    <w:rPr>
      <w:rFonts w:ascii="宋体" w:hAnsi="宋体"/>
      <w:b/>
      <w:bCs/>
      <w:sz w:val="28"/>
      <w:szCs w:val="28"/>
    </w:rPr>
  </w:style>
  <w:style w:type="paragraph" w:customStyle="1" w:styleId="328">
    <w:name w:val="标题2"/>
    <w:basedOn w:val="5"/>
    <w:next w:val="1"/>
    <w:link w:val="327"/>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29">
    <w:name w:val="WW8Num17z1"/>
    <w:qFormat/>
    <w:uiPriority w:val="0"/>
    <w:rPr>
      <w:rFonts w:ascii="Wingdings 2" w:hAnsi="Wingdings 2" w:cs="StarSymbol"/>
      <w:sz w:val="18"/>
      <w:szCs w:val="18"/>
    </w:rPr>
  </w:style>
  <w:style w:type="character" w:customStyle="1" w:styleId="330">
    <w:name w:val="font01"/>
    <w:qFormat/>
    <w:uiPriority w:val="0"/>
    <w:rPr>
      <w:rFonts w:hint="eastAsia" w:ascii="楷体" w:hAnsi="楷体" w:eastAsia="楷体" w:cs="楷体"/>
      <w:color w:val="FF0000"/>
      <w:sz w:val="22"/>
      <w:szCs w:val="22"/>
      <w:u w:val="none"/>
    </w:rPr>
  </w:style>
  <w:style w:type="character" w:customStyle="1" w:styleId="331">
    <w:name w:val="WW8Num23z0"/>
    <w:qFormat/>
    <w:uiPriority w:val="0"/>
    <w:rPr>
      <w:rFonts w:ascii="Wingdings" w:hAnsi="Wingdings" w:cs="StarSymbol"/>
      <w:sz w:val="18"/>
      <w:szCs w:val="18"/>
    </w:rPr>
  </w:style>
  <w:style w:type="character" w:customStyle="1" w:styleId="332">
    <w:name w:val="font21"/>
    <w:qFormat/>
    <w:uiPriority w:val="0"/>
    <w:rPr>
      <w:rFonts w:hint="eastAsia" w:ascii="楷体" w:hAnsi="楷体" w:eastAsia="楷体" w:cs="楷体"/>
      <w:color w:val="000000"/>
      <w:sz w:val="22"/>
      <w:szCs w:val="22"/>
      <w:u w:val="none"/>
    </w:rPr>
  </w:style>
  <w:style w:type="character" w:customStyle="1" w:styleId="333">
    <w:name w:val="Absatz-Standardschriftart"/>
    <w:qFormat/>
    <w:uiPriority w:val="0"/>
  </w:style>
  <w:style w:type="character" w:customStyle="1" w:styleId="334">
    <w:name w:val="批注文字 Char1"/>
    <w:qFormat/>
    <w:uiPriority w:val="0"/>
    <w:rPr>
      <w:rFonts w:ascii="Times New Roman" w:hAnsi="Times New Roman" w:eastAsia="宋体" w:cs="Times New Roman"/>
      <w:szCs w:val="24"/>
    </w:rPr>
  </w:style>
  <w:style w:type="character" w:customStyle="1" w:styleId="335">
    <w:name w:val="WW8Num20z1"/>
    <w:qFormat/>
    <w:uiPriority w:val="0"/>
    <w:rPr>
      <w:rFonts w:ascii="Wingdings 2" w:hAnsi="Wingdings 2" w:cs="StarSymbol"/>
      <w:sz w:val="18"/>
      <w:szCs w:val="18"/>
    </w:rPr>
  </w:style>
  <w:style w:type="character" w:customStyle="1" w:styleId="336">
    <w:name w:val="font31"/>
    <w:qFormat/>
    <w:uiPriority w:val="0"/>
    <w:rPr>
      <w:rFonts w:hint="eastAsia" w:ascii="宋体" w:hAnsi="宋体" w:eastAsia="宋体" w:cs="宋体"/>
      <w:b/>
      <w:color w:val="000000"/>
      <w:sz w:val="24"/>
      <w:szCs w:val="24"/>
      <w:u w:val="none"/>
    </w:rPr>
  </w:style>
  <w:style w:type="character" w:customStyle="1" w:styleId="337">
    <w:name w:val="金宏发行正文 Char Char Char"/>
    <w:qFormat/>
    <w:uiPriority w:val="0"/>
    <w:rPr>
      <w:rFonts w:hint="eastAsia" w:ascii="仿宋_GB2312" w:eastAsia="仿宋_GB2312" w:cs="宋体"/>
      <w:sz w:val="28"/>
    </w:rPr>
  </w:style>
  <w:style w:type="character" w:customStyle="1" w:styleId="338">
    <w:name w:val="se11"/>
    <w:qFormat/>
    <w:uiPriority w:val="0"/>
    <w:rPr>
      <w:rFonts w:ascii="Tahoma" w:hAnsi="Tahoma" w:cs="Times New Roman"/>
      <w:color w:val="000000"/>
      <w:sz w:val="24"/>
      <w:lang w:bidi="ar-SA"/>
    </w:rPr>
  </w:style>
  <w:style w:type="character" w:customStyle="1" w:styleId="339">
    <w:name w:val="WW8Num6z2"/>
    <w:qFormat/>
    <w:uiPriority w:val="0"/>
    <w:rPr>
      <w:rFonts w:ascii="StarSymbol" w:hAnsi="StarSymbol" w:cs="StarSymbol"/>
      <w:sz w:val="18"/>
      <w:szCs w:val="18"/>
    </w:rPr>
  </w:style>
  <w:style w:type="character" w:customStyle="1" w:styleId="340">
    <w:name w:val="模板正文 Char"/>
    <w:link w:val="341"/>
    <w:qFormat/>
    <w:uiPriority w:val="0"/>
    <w:rPr>
      <w:rFonts w:ascii="Calibri" w:hAnsi="Calibri"/>
      <w:sz w:val="28"/>
      <w:szCs w:val="21"/>
    </w:rPr>
  </w:style>
  <w:style w:type="paragraph" w:customStyle="1" w:styleId="341">
    <w:name w:val="模板正文"/>
    <w:basedOn w:val="1"/>
    <w:link w:val="340"/>
    <w:qFormat/>
    <w:uiPriority w:val="0"/>
    <w:pPr>
      <w:spacing w:line="360" w:lineRule="auto"/>
      <w:ind w:firstLine="200"/>
    </w:pPr>
    <w:rPr>
      <w:rFonts w:ascii="Calibri" w:hAnsi="Calibri" w:eastAsiaTheme="minorEastAsia" w:cstheme="minorBidi"/>
      <w:sz w:val="28"/>
      <w:szCs w:val="21"/>
    </w:rPr>
  </w:style>
  <w:style w:type="character" w:customStyle="1" w:styleId="342">
    <w:name w:val="批注框文本 字符1"/>
    <w:qFormat/>
    <w:uiPriority w:val="99"/>
    <w:rPr>
      <w:rFonts w:ascii="Times New Roman" w:hAnsi="Times New Roman" w:eastAsia="方正仿宋_GBK" w:cs="Times New Roman"/>
      <w:sz w:val="18"/>
      <w:szCs w:val="18"/>
    </w:rPr>
  </w:style>
  <w:style w:type="character" w:customStyle="1" w:styleId="343">
    <w:name w:val="标书正文 Char"/>
    <w:link w:val="344"/>
    <w:qFormat/>
    <w:uiPriority w:val="0"/>
    <w:rPr>
      <w:rFonts w:ascii="Calibri" w:hAnsi="Calibri"/>
    </w:rPr>
  </w:style>
  <w:style w:type="paragraph" w:customStyle="1" w:styleId="344">
    <w:name w:val="标书正文"/>
    <w:basedOn w:val="1"/>
    <w:link w:val="343"/>
    <w:qFormat/>
    <w:uiPriority w:val="0"/>
    <w:pPr>
      <w:spacing w:before="120" w:line="360" w:lineRule="auto"/>
      <w:ind w:firstLine="200"/>
    </w:pPr>
    <w:rPr>
      <w:rFonts w:ascii="Calibri" w:hAnsi="Calibri" w:eastAsiaTheme="minorEastAsia" w:cstheme="minorBidi"/>
      <w:szCs w:val="22"/>
    </w:rPr>
  </w:style>
  <w:style w:type="character" w:customStyle="1" w:styleId="345">
    <w:name w:val="二级条标题 字符"/>
    <w:link w:val="346"/>
    <w:qFormat/>
    <w:uiPriority w:val="0"/>
    <w:rPr>
      <w:rFonts w:ascii="黑体" w:eastAsia="黑体"/>
    </w:rPr>
  </w:style>
  <w:style w:type="paragraph" w:customStyle="1" w:styleId="346">
    <w:name w:val="二级条标题"/>
    <w:basedOn w:val="347"/>
    <w:next w:val="323"/>
    <w:link w:val="345"/>
    <w:qFormat/>
    <w:uiPriority w:val="0"/>
    <w:pPr>
      <w:tabs>
        <w:tab w:val="left" w:pos="567"/>
        <w:tab w:val="left" w:pos="780"/>
      </w:tabs>
      <w:ind w:left="630"/>
      <w:outlineLvl w:val="3"/>
    </w:pPr>
  </w:style>
  <w:style w:type="paragraph" w:customStyle="1" w:styleId="347">
    <w:name w:val="一级条标题"/>
    <w:basedOn w:val="348"/>
    <w:next w:val="323"/>
    <w:link w:val="461"/>
    <w:qFormat/>
    <w:uiPriority w:val="0"/>
    <w:pPr>
      <w:tabs>
        <w:tab w:val="left" w:pos="567"/>
        <w:tab w:val="left" w:pos="780"/>
      </w:tabs>
      <w:ind w:left="420" w:hanging="420"/>
      <w:outlineLvl w:val="2"/>
    </w:pPr>
  </w:style>
  <w:style w:type="paragraph" w:customStyle="1" w:styleId="348">
    <w:name w:val="章标题"/>
    <w:next w:val="323"/>
    <w:link w:val="669"/>
    <w:qFormat/>
    <w:uiPriority w:val="0"/>
    <w:pPr>
      <w:tabs>
        <w:tab w:val="left" w:pos="567"/>
        <w:tab w:val="left" w:pos="780"/>
      </w:tabs>
      <w:ind w:left="780" w:hanging="360"/>
      <w:jc w:val="both"/>
      <w:outlineLvl w:val="1"/>
    </w:pPr>
    <w:rPr>
      <w:rFonts w:ascii="黑体" w:eastAsia="黑体" w:hAnsiTheme="minorHAnsi" w:cstheme="minorBidi"/>
      <w:sz w:val="21"/>
      <w:szCs w:val="22"/>
      <w:lang w:val="en-US" w:eastAsia="zh-CN" w:bidi="ar-SA"/>
    </w:rPr>
  </w:style>
  <w:style w:type="character" w:customStyle="1" w:styleId="349">
    <w:name w:val="页脚 Char1"/>
    <w:qFormat/>
    <w:uiPriority w:val="0"/>
    <w:rPr>
      <w:sz w:val="18"/>
      <w:szCs w:val="18"/>
    </w:rPr>
  </w:style>
  <w:style w:type="character" w:customStyle="1" w:styleId="350">
    <w:name w:val="WW8Num15z1"/>
    <w:qFormat/>
    <w:uiPriority w:val="0"/>
    <w:rPr>
      <w:rFonts w:ascii="Wingdings 2" w:hAnsi="Wingdings 2" w:cs="StarSymbol"/>
      <w:sz w:val="18"/>
      <w:szCs w:val="18"/>
    </w:rPr>
  </w:style>
  <w:style w:type="character" w:customStyle="1" w:styleId="351">
    <w:name w:val="n正文 Char"/>
    <w:link w:val="352"/>
    <w:qFormat/>
    <w:uiPriority w:val="0"/>
    <w:rPr>
      <w:rFonts w:eastAsia="仿宋_GB2312"/>
      <w:color w:val="000000"/>
      <w:sz w:val="28"/>
      <w:szCs w:val="28"/>
    </w:rPr>
  </w:style>
  <w:style w:type="paragraph" w:customStyle="1" w:styleId="352">
    <w:name w:val="n正文"/>
    <w:link w:val="351"/>
    <w:qFormat/>
    <w:uiPriority w:val="0"/>
    <w:pPr>
      <w:spacing w:line="360" w:lineRule="auto"/>
      <w:ind w:firstLine="200"/>
    </w:pPr>
    <w:rPr>
      <w:rFonts w:eastAsia="仿宋_GB2312" w:asciiTheme="minorHAnsi" w:hAnsiTheme="minorHAnsi" w:cstheme="minorBidi"/>
      <w:color w:val="000000"/>
      <w:sz w:val="28"/>
      <w:szCs w:val="28"/>
      <w:lang w:val="en-US" w:eastAsia="zh-CN" w:bidi="ar-SA"/>
    </w:rPr>
  </w:style>
  <w:style w:type="character" w:customStyle="1" w:styleId="353">
    <w:name w:val="Table Text Char1"/>
    <w:qFormat/>
    <w:uiPriority w:val="0"/>
    <w:rPr>
      <w:sz w:val="21"/>
      <w:szCs w:val="21"/>
    </w:rPr>
  </w:style>
  <w:style w:type="character" w:customStyle="1" w:styleId="354">
    <w:name w:val="正文文本缩进 Char1"/>
    <w:qFormat/>
    <w:uiPriority w:val="0"/>
    <w:rPr>
      <w:rFonts w:ascii="Calibri" w:hAnsi="Calibri" w:eastAsia="宋体" w:cs="Times New Roman"/>
    </w:rPr>
  </w:style>
  <w:style w:type="character" w:customStyle="1" w:styleId="355">
    <w:name w:val="文章正文 Char"/>
    <w:qFormat/>
    <w:uiPriority w:val="0"/>
    <w:rPr>
      <w:rFonts w:hint="default" w:ascii="Calibri" w:hAnsi="Calibri"/>
      <w:sz w:val="21"/>
      <w:szCs w:val="24"/>
    </w:rPr>
  </w:style>
  <w:style w:type="character" w:customStyle="1" w:styleId="356">
    <w:name w:val="GEO正文 Char"/>
    <w:link w:val="357"/>
    <w:qFormat/>
    <w:uiPriority w:val="0"/>
    <w:rPr>
      <w:rFonts w:eastAsia="仿宋_GB2312"/>
      <w:sz w:val="28"/>
    </w:rPr>
  </w:style>
  <w:style w:type="paragraph" w:customStyle="1" w:styleId="357">
    <w:name w:val="GEO正文"/>
    <w:basedOn w:val="1"/>
    <w:link w:val="356"/>
    <w:qFormat/>
    <w:uiPriority w:val="0"/>
    <w:pPr>
      <w:spacing w:line="360" w:lineRule="auto"/>
      <w:ind w:firstLine="200"/>
    </w:pPr>
    <w:rPr>
      <w:rFonts w:eastAsia="仿宋_GB2312" w:asciiTheme="minorHAnsi" w:hAnsiTheme="minorHAnsi" w:cstheme="minorBidi"/>
      <w:sz w:val="28"/>
      <w:szCs w:val="22"/>
    </w:rPr>
  </w:style>
  <w:style w:type="character" w:customStyle="1" w:styleId="358">
    <w:name w:val="WW8Num35z1"/>
    <w:qFormat/>
    <w:uiPriority w:val="0"/>
    <w:rPr>
      <w:rFonts w:ascii="Wingdings 2" w:hAnsi="Wingdings 2" w:cs="StarSymbol"/>
      <w:sz w:val="18"/>
      <w:szCs w:val="18"/>
    </w:rPr>
  </w:style>
  <w:style w:type="character" w:customStyle="1" w:styleId="359">
    <w:name w:val="页眉 Char1"/>
    <w:qFormat/>
    <w:uiPriority w:val="0"/>
    <w:rPr>
      <w:sz w:val="18"/>
      <w:szCs w:val="18"/>
    </w:rPr>
  </w:style>
  <w:style w:type="character" w:customStyle="1" w:styleId="360">
    <w:name w:val="WW8Num34z1"/>
    <w:qFormat/>
    <w:uiPriority w:val="0"/>
    <w:rPr>
      <w:rFonts w:ascii="Wingdings 2" w:hAnsi="Wingdings 2" w:cs="StarSymbol"/>
      <w:sz w:val="18"/>
      <w:szCs w:val="18"/>
    </w:rPr>
  </w:style>
  <w:style w:type="character" w:customStyle="1" w:styleId="361">
    <w:name w:val="文档结构图 Char1"/>
    <w:qFormat/>
    <w:uiPriority w:val="0"/>
    <w:rPr>
      <w:rFonts w:ascii="宋体" w:hAnsi="Calibri" w:eastAsia="宋体" w:cs="Times New Roman"/>
      <w:sz w:val="18"/>
      <w:szCs w:val="18"/>
    </w:rPr>
  </w:style>
  <w:style w:type="character" w:customStyle="1" w:styleId="362">
    <w:name w:val="WW8Num21z0"/>
    <w:qFormat/>
    <w:uiPriority w:val="0"/>
    <w:rPr>
      <w:rFonts w:ascii="Wingdings" w:hAnsi="Wingdings" w:cs="StarSymbol"/>
      <w:sz w:val="18"/>
      <w:szCs w:val="18"/>
    </w:rPr>
  </w:style>
  <w:style w:type="character" w:customStyle="1" w:styleId="363">
    <w:name w:val="页脚 Char2"/>
    <w:qFormat/>
    <w:uiPriority w:val="99"/>
    <w:rPr>
      <w:sz w:val="18"/>
      <w:szCs w:val="18"/>
    </w:rPr>
  </w:style>
  <w:style w:type="character" w:customStyle="1" w:styleId="364">
    <w:name w:val="WW8Num1z1"/>
    <w:qFormat/>
    <w:uiPriority w:val="0"/>
    <w:rPr>
      <w:rFonts w:ascii="Wingdings" w:hAnsi="Wingdings"/>
    </w:rPr>
  </w:style>
  <w:style w:type="character" w:customStyle="1" w:styleId="365">
    <w:name w:val="批注主题 Char1"/>
    <w:qFormat/>
    <w:uiPriority w:val="0"/>
    <w:rPr>
      <w:rFonts w:ascii="Calibri" w:hAnsi="Calibri" w:eastAsia="宋体" w:cs="Times New Roman"/>
      <w:b/>
      <w:bCs/>
      <w:sz w:val="21"/>
      <w:szCs w:val="22"/>
    </w:rPr>
  </w:style>
  <w:style w:type="character" w:customStyle="1" w:styleId="366">
    <w:name w:val="我的图表标题 Char"/>
    <w:qFormat/>
    <w:uiPriority w:val="0"/>
    <w:rPr>
      <w:rFonts w:hint="default" w:ascii="Cambria" w:hAnsi="Cambria" w:eastAsia="黑体" w:cs="宋体"/>
      <w:sz w:val="24"/>
    </w:rPr>
  </w:style>
  <w:style w:type="character" w:customStyle="1" w:styleId="367">
    <w:name w:val="页眉 Char2"/>
    <w:qFormat/>
    <w:uiPriority w:val="99"/>
    <w:rPr>
      <w:sz w:val="18"/>
      <w:szCs w:val="18"/>
    </w:rPr>
  </w:style>
  <w:style w:type="character" w:customStyle="1" w:styleId="368">
    <w:name w:val="WW8Num14z2"/>
    <w:qFormat/>
    <w:uiPriority w:val="0"/>
    <w:rPr>
      <w:rFonts w:ascii="StarSymbol" w:hAnsi="StarSymbol" w:cs="StarSymbol"/>
      <w:sz w:val="18"/>
      <w:szCs w:val="18"/>
    </w:rPr>
  </w:style>
  <w:style w:type="character" w:customStyle="1" w:styleId="369">
    <w:name w:val="正文文本缩进 2 Char1"/>
    <w:qFormat/>
    <w:uiPriority w:val="0"/>
    <w:rPr>
      <w:rFonts w:ascii="Calibri" w:hAnsi="Calibri" w:eastAsia="宋体" w:cs="Times New Roman"/>
    </w:rPr>
  </w:style>
  <w:style w:type="character" w:customStyle="1" w:styleId="370">
    <w:name w:val="不明显强调1"/>
    <w:qFormat/>
    <w:uiPriority w:val="0"/>
    <w:rPr>
      <w:i/>
      <w:iCs/>
      <w:color w:val="808080"/>
    </w:rPr>
  </w:style>
  <w:style w:type="character" w:customStyle="1" w:styleId="371">
    <w:name w:val="正文文本缩进 3 Char1"/>
    <w:qFormat/>
    <w:uiPriority w:val="0"/>
    <w:rPr>
      <w:rFonts w:ascii="Calibri" w:hAnsi="Calibri" w:eastAsia="宋体" w:cs="Times New Roman"/>
      <w:sz w:val="16"/>
      <w:szCs w:val="16"/>
    </w:rPr>
  </w:style>
  <w:style w:type="character" w:customStyle="1" w:styleId="372">
    <w:name w:val="批注文字 字符1"/>
    <w:qFormat/>
    <w:uiPriority w:val="0"/>
    <w:rPr>
      <w:rFonts w:ascii="Times New Roman" w:hAnsi="Times New Roman" w:eastAsia="方正仿宋_GBK" w:cs="Times New Roman"/>
      <w:sz w:val="24"/>
      <w:szCs w:val="24"/>
    </w:rPr>
  </w:style>
  <w:style w:type="character" w:customStyle="1" w:styleId="373">
    <w:name w:val="纯文本 Char2"/>
    <w:qFormat/>
    <w:uiPriority w:val="0"/>
    <w:rPr>
      <w:rFonts w:ascii="宋体" w:hAnsi="Courier New" w:eastAsia="宋体" w:cs="Courier New"/>
      <w:szCs w:val="21"/>
    </w:rPr>
  </w:style>
  <w:style w:type="character" w:customStyle="1" w:styleId="374">
    <w:name w:val="WW8Num19z1"/>
    <w:qFormat/>
    <w:uiPriority w:val="0"/>
    <w:rPr>
      <w:rFonts w:ascii="Wingdings" w:hAnsi="Wingdings"/>
    </w:rPr>
  </w:style>
  <w:style w:type="character" w:customStyle="1" w:styleId="375">
    <w:name w:val="正文文本缩进 Char2"/>
    <w:semiHidden/>
    <w:qFormat/>
    <w:uiPriority w:val="99"/>
    <w:rPr>
      <w:sz w:val="21"/>
      <w:szCs w:val="22"/>
    </w:rPr>
  </w:style>
  <w:style w:type="character" w:customStyle="1" w:styleId="376">
    <w:name w:val="WW8Num14z7"/>
    <w:qFormat/>
    <w:uiPriority w:val="0"/>
    <w:rPr>
      <w:rFonts w:ascii="Wingdings" w:hAnsi="Wingdings"/>
    </w:rPr>
  </w:style>
  <w:style w:type="character" w:customStyle="1" w:styleId="377">
    <w:name w:val="正文文本缩进 2 Char2"/>
    <w:semiHidden/>
    <w:qFormat/>
    <w:uiPriority w:val="99"/>
    <w:rPr>
      <w:sz w:val="21"/>
      <w:szCs w:val="22"/>
    </w:rPr>
  </w:style>
  <w:style w:type="character" w:customStyle="1" w:styleId="378">
    <w:name w:val="WW8Num23z1"/>
    <w:qFormat/>
    <w:uiPriority w:val="0"/>
    <w:rPr>
      <w:rFonts w:ascii="Wingdings 2" w:hAnsi="Wingdings 2" w:cs="StarSymbol"/>
      <w:sz w:val="18"/>
      <w:szCs w:val="18"/>
    </w:rPr>
  </w:style>
  <w:style w:type="character" w:customStyle="1" w:styleId="379">
    <w:name w:val="批注框文本 Char1"/>
    <w:qFormat/>
    <w:uiPriority w:val="0"/>
    <w:rPr>
      <w:sz w:val="18"/>
      <w:szCs w:val="18"/>
    </w:rPr>
  </w:style>
  <w:style w:type="character" w:customStyle="1" w:styleId="380">
    <w:name w:val="WW8Num3z2"/>
    <w:qFormat/>
    <w:uiPriority w:val="0"/>
    <w:rPr>
      <w:rFonts w:ascii="StarSymbol" w:hAnsi="StarSymbol" w:cs="StarSymbol"/>
      <w:sz w:val="18"/>
      <w:szCs w:val="18"/>
    </w:rPr>
  </w:style>
  <w:style w:type="character" w:customStyle="1" w:styleId="381">
    <w:name w:val="文档结构图 Char2"/>
    <w:qFormat/>
    <w:uiPriority w:val="99"/>
    <w:rPr>
      <w:rFonts w:ascii="宋体"/>
      <w:sz w:val="18"/>
      <w:szCs w:val="18"/>
    </w:rPr>
  </w:style>
  <w:style w:type="character" w:customStyle="1" w:styleId="382">
    <w:name w:val="样式 InfoBlue + 倾斜 Char"/>
    <w:qFormat/>
    <w:uiPriority w:val="0"/>
    <w:rPr>
      <w:color w:val="0000FF"/>
      <w:sz w:val="21"/>
    </w:rPr>
  </w:style>
  <w:style w:type="character" w:customStyle="1" w:styleId="383">
    <w:name w:val="批注文字 Char2"/>
    <w:qFormat/>
    <w:uiPriority w:val="0"/>
    <w:rPr>
      <w:sz w:val="21"/>
      <w:szCs w:val="22"/>
    </w:rPr>
  </w:style>
  <w:style w:type="character" w:customStyle="1" w:styleId="384">
    <w:name w:val="批注主题 Char2"/>
    <w:qFormat/>
    <w:uiPriority w:val="0"/>
    <w:rPr>
      <w:b/>
      <w:bCs/>
      <w:sz w:val="21"/>
      <w:szCs w:val="22"/>
    </w:rPr>
  </w:style>
  <w:style w:type="character" w:customStyle="1" w:styleId="385">
    <w:name w:val="Char Char6"/>
    <w:qFormat/>
    <w:uiPriority w:val="0"/>
    <w:rPr>
      <w:b/>
      <w:bCs/>
      <w:sz w:val="44"/>
      <w:szCs w:val="44"/>
    </w:rPr>
  </w:style>
  <w:style w:type="character" w:customStyle="1" w:styleId="386">
    <w:name w:val="题注 字符"/>
    <w:link w:val="20"/>
    <w:qFormat/>
    <w:uiPriority w:val="0"/>
    <w:rPr>
      <w:rFonts w:ascii="Cambria" w:hAnsi="Cambria" w:eastAsia="黑体"/>
    </w:rPr>
  </w:style>
  <w:style w:type="character" w:customStyle="1" w:styleId="387">
    <w:name w:val="p0 Char"/>
    <w:link w:val="388"/>
    <w:qFormat/>
    <w:uiPriority w:val="0"/>
    <w:rPr>
      <w:szCs w:val="21"/>
    </w:rPr>
  </w:style>
  <w:style w:type="paragraph" w:customStyle="1" w:styleId="388">
    <w:name w:val="p0"/>
    <w:basedOn w:val="1"/>
    <w:link w:val="387"/>
    <w:qFormat/>
    <w:uiPriority w:val="0"/>
    <w:pPr>
      <w:widowControl/>
    </w:pPr>
    <w:rPr>
      <w:rFonts w:asciiTheme="minorHAnsi" w:hAnsiTheme="minorHAnsi" w:eastAsiaTheme="minorEastAsia" w:cstheme="minorBidi"/>
      <w:szCs w:val="21"/>
    </w:rPr>
  </w:style>
  <w:style w:type="character" w:customStyle="1" w:styleId="389">
    <w:name w:val="脚注文本 Char3"/>
    <w:qFormat/>
    <w:uiPriority w:val="0"/>
    <w:rPr>
      <w:rFonts w:ascii="Calibri" w:hAnsi="Calibri"/>
      <w:sz w:val="18"/>
      <w:szCs w:val="18"/>
    </w:rPr>
  </w:style>
  <w:style w:type="character" w:customStyle="1" w:styleId="390">
    <w:name w:val="标准文本 Char"/>
    <w:link w:val="391"/>
    <w:qFormat/>
    <w:uiPriority w:val="0"/>
    <w:rPr>
      <w:rFonts w:cs="宋体"/>
      <w:szCs w:val="21"/>
    </w:rPr>
  </w:style>
  <w:style w:type="paragraph" w:customStyle="1" w:styleId="391">
    <w:name w:val="标准文本"/>
    <w:basedOn w:val="1"/>
    <w:link w:val="390"/>
    <w:qFormat/>
    <w:uiPriority w:val="0"/>
    <w:pPr>
      <w:spacing w:line="360" w:lineRule="auto"/>
      <w:ind w:firstLine="420"/>
    </w:pPr>
    <w:rPr>
      <w:rFonts w:cs="宋体" w:asciiTheme="minorHAnsi" w:hAnsiTheme="minorHAnsi" w:eastAsiaTheme="minorEastAsia"/>
      <w:szCs w:val="21"/>
    </w:rPr>
  </w:style>
  <w:style w:type="character" w:customStyle="1" w:styleId="392">
    <w:name w:val="普通(网站) 字符"/>
    <w:link w:val="63"/>
    <w:qFormat/>
    <w:uiPriority w:val="0"/>
    <w:rPr>
      <w:rFonts w:ascii="宋体" w:hAnsi="宋体" w:cs="宋体"/>
      <w:color w:val="000000"/>
      <w:sz w:val="24"/>
      <w:szCs w:val="24"/>
    </w:rPr>
  </w:style>
  <w:style w:type="character" w:customStyle="1" w:styleId="393">
    <w:name w:val="无间隔 字符1"/>
    <w:link w:val="394"/>
    <w:qFormat/>
    <w:uiPriority w:val="0"/>
    <w:rPr>
      <w:rFonts w:ascii="Calibri" w:hAnsi="Calibri"/>
    </w:rPr>
  </w:style>
  <w:style w:type="paragraph" w:styleId="394">
    <w:name w:val="No Spacing"/>
    <w:link w:val="393"/>
    <w:qFormat/>
    <w:uiPriority w:val="0"/>
    <w:pPr>
      <w:widowControl w:val="0"/>
      <w:jc w:val="both"/>
    </w:pPr>
    <w:rPr>
      <w:rFonts w:ascii="Calibri" w:hAnsi="Calibri" w:eastAsiaTheme="minorEastAsia" w:cstheme="minorBidi"/>
      <w:sz w:val="21"/>
      <w:szCs w:val="22"/>
      <w:lang w:val="en-US" w:eastAsia="zh-CN" w:bidi="ar-SA"/>
    </w:rPr>
  </w:style>
  <w:style w:type="character" w:customStyle="1" w:styleId="395">
    <w:name w:val="页码1"/>
    <w:basedOn w:val="72"/>
    <w:qFormat/>
    <w:uiPriority w:val="0"/>
  </w:style>
  <w:style w:type="character" w:customStyle="1" w:styleId="396">
    <w:name w:val="11111 Char"/>
    <w:qFormat/>
    <w:uiPriority w:val="0"/>
    <w:rPr>
      <w:rFonts w:hint="eastAsia" w:ascii="宋体" w:hAnsi="宋体" w:eastAsia="宋体" w:cs="宋体"/>
      <w:color w:val="000000"/>
      <w:sz w:val="24"/>
      <w:szCs w:val="24"/>
      <w:lang w:val="zh-CN"/>
    </w:rPr>
  </w:style>
  <w:style w:type="character" w:customStyle="1" w:styleId="397">
    <w:name w:val="正文文本 Char1"/>
    <w:qFormat/>
    <w:uiPriority w:val="0"/>
    <w:rPr>
      <w:rFonts w:ascii="Times New Roman" w:hAnsi="Times New Roman" w:eastAsia="宋体" w:cs="Times New Roman"/>
      <w:szCs w:val="24"/>
    </w:rPr>
  </w:style>
  <w:style w:type="character" w:customStyle="1" w:styleId="398">
    <w:name w:val="WW8Num26z1"/>
    <w:qFormat/>
    <w:uiPriority w:val="0"/>
    <w:rPr>
      <w:rFonts w:ascii="Wingdings 2" w:hAnsi="Wingdings 2" w:cs="StarSymbol"/>
      <w:sz w:val="18"/>
      <w:szCs w:val="18"/>
    </w:rPr>
  </w:style>
  <w:style w:type="character" w:customStyle="1" w:styleId="399">
    <w:name w:val="font51"/>
    <w:qFormat/>
    <w:uiPriority w:val="0"/>
    <w:rPr>
      <w:rFonts w:hint="default" w:ascii="Arial" w:hAnsi="Arial" w:cs="Arial"/>
      <w:color w:val="000000"/>
      <w:sz w:val="20"/>
      <w:szCs w:val="20"/>
      <w:u w:val="none"/>
    </w:rPr>
  </w:style>
  <w:style w:type="character" w:customStyle="1" w:styleId="400">
    <w:name w:val="WW8Num25z0"/>
    <w:qFormat/>
    <w:uiPriority w:val="0"/>
    <w:rPr>
      <w:rFonts w:ascii="Wingdings" w:hAnsi="Wingdings" w:cs="StarSymbol"/>
      <w:sz w:val="18"/>
      <w:szCs w:val="18"/>
    </w:rPr>
  </w:style>
  <w:style w:type="character" w:customStyle="1" w:styleId="401">
    <w:name w:val="paramlista1"/>
    <w:qFormat/>
    <w:uiPriority w:val="0"/>
    <w:rPr>
      <w:rFonts w:ascii="Calibri" w:hAnsi="Calibri" w:eastAsia="宋体" w:cs="Times New Roman"/>
      <w:sz w:val="18"/>
      <w:szCs w:val="18"/>
    </w:rPr>
  </w:style>
  <w:style w:type="character" w:customStyle="1" w:styleId="402">
    <w:name w:val="high-light-bg4"/>
    <w:qFormat/>
    <w:uiPriority w:val="0"/>
  </w:style>
  <w:style w:type="character" w:customStyle="1" w:styleId="403">
    <w:name w:val="Char Char201"/>
    <w:qFormat/>
    <w:uiPriority w:val="0"/>
    <w:rPr>
      <w:rFonts w:ascii="楷体_GB2312" w:eastAsia="楷体_GB2312"/>
      <w:sz w:val="28"/>
    </w:rPr>
  </w:style>
  <w:style w:type="character" w:customStyle="1" w:styleId="404">
    <w:name w:val="页脚 字符1"/>
    <w:qFormat/>
    <w:uiPriority w:val="99"/>
    <w:rPr>
      <w:rFonts w:ascii="Times New Roman" w:hAnsi="Times New Roman" w:eastAsia="方正仿宋_GBK" w:cs="Times New Roman"/>
      <w:sz w:val="18"/>
      <w:szCs w:val="18"/>
    </w:rPr>
  </w:style>
  <w:style w:type="character" w:customStyle="1" w:styleId="405">
    <w:name w:val="font41"/>
    <w:qFormat/>
    <w:uiPriority w:val="0"/>
    <w:rPr>
      <w:rFonts w:hint="eastAsia" w:ascii="宋体" w:hAnsi="宋体" w:eastAsia="宋体" w:cs="宋体"/>
      <w:color w:val="000000"/>
      <w:sz w:val="20"/>
      <w:szCs w:val="20"/>
      <w:u w:val="none"/>
    </w:rPr>
  </w:style>
  <w:style w:type="character" w:customStyle="1" w:styleId="406">
    <w:name w:val="WW8Num38z0"/>
    <w:qFormat/>
    <w:uiPriority w:val="0"/>
    <w:rPr>
      <w:rFonts w:ascii="Wingdings" w:hAnsi="Wingdings" w:cs="StarSymbol"/>
      <w:sz w:val="18"/>
      <w:szCs w:val="18"/>
    </w:rPr>
  </w:style>
  <w:style w:type="character" w:customStyle="1" w:styleId="407">
    <w:name w:val="+正文 Char3"/>
    <w:link w:val="408"/>
    <w:qFormat/>
    <w:uiPriority w:val="0"/>
    <w:rPr>
      <w:sz w:val="28"/>
    </w:rPr>
  </w:style>
  <w:style w:type="paragraph" w:customStyle="1" w:styleId="408">
    <w:name w:val="+正文"/>
    <w:basedOn w:val="1"/>
    <w:link w:val="407"/>
    <w:qFormat/>
    <w:uiPriority w:val="0"/>
    <w:pPr>
      <w:spacing w:line="360" w:lineRule="auto"/>
      <w:ind w:firstLine="200"/>
    </w:pPr>
    <w:rPr>
      <w:rFonts w:asciiTheme="minorHAnsi" w:hAnsiTheme="minorHAnsi" w:eastAsiaTheme="minorEastAsia" w:cstheme="minorBidi"/>
      <w:sz w:val="28"/>
      <w:szCs w:val="22"/>
    </w:rPr>
  </w:style>
  <w:style w:type="character" w:customStyle="1" w:styleId="409">
    <w:name w:val="正文文本 3 字符1"/>
    <w:qFormat/>
    <w:uiPriority w:val="99"/>
    <w:rPr>
      <w:rFonts w:ascii="Times New Roman" w:hAnsi="Times New Roman" w:eastAsia="方正仿宋_GBK" w:cs="Times New Roman"/>
      <w:sz w:val="16"/>
      <w:szCs w:val="16"/>
    </w:rPr>
  </w:style>
  <w:style w:type="character" w:customStyle="1" w:styleId="410">
    <w:name w:val="Char Char171"/>
    <w:qFormat/>
    <w:uiPriority w:val="0"/>
    <w:rPr>
      <w:rFonts w:ascii="Arial" w:hAnsi="Arial" w:eastAsia="黑体"/>
      <w:b/>
      <w:spacing w:val="-2"/>
      <w:position w:val="-6"/>
      <w:sz w:val="24"/>
    </w:rPr>
  </w:style>
  <w:style w:type="character" w:customStyle="1" w:styleId="411">
    <w:name w:val="style241"/>
    <w:qFormat/>
    <w:uiPriority w:val="0"/>
    <w:rPr>
      <w:rFonts w:hint="eastAsia" w:ascii="宋体" w:hAnsi="宋体" w:eastAsia="宋体"/>
      <w:color w:val="333333"/>
      <w:lang w:val="en-US" w:eastAsia="zh-CN" w:bidi="ar-SA"/>
    </w:rPr>
  </w:style>
  <w:style w:type="character" w:customStyle="1" w:styleId="412">
    <w:name w:val="fontstyle01"/>
    <w:qFormat/>
    <w:uiPriority w:val="0"/>
    <w:rPr>
      <w:rFonts w:hint="default" w:ascii="楷体" w:hAnsi="楷体"/>
      <w:color w:val="000000"/>
      <w:sz w:val="24"/>
      <w:szCs w:val="24"/>
    </w:rPr>
  </w:style>
  <w:style w:type="character" w:customStyle="1" w:styleId="413">
    <w:name w:val="Numbering Symbols"/>
    <w:qFormat/>
    <w:uiPriority w:val="0"/>
  </w:style>
  <w:style w:type="character" w:customStyle="1" w:styleId="414">
    <w:name w:val="标题 1 Char1"/>
    <w:qFormat/>
    <w:uiPriority w:val="0"/>
    <w:rPr>
      <w:b/>
      <w:sz w:val="44"/>
    </w:rPr>
  </w:style>
  <w:style w:type="character" w:customStyle="1" w:styleId="415">
    <w:name w:val="引用 Char1"/>
    <w:qFormat/>
    <w:uiPriority w:val="29"/>
    <w:rPr>
      <w:i/>
      <w:iCs/>
      <w:color w:val="404040"/>
      <w:sz w:val="21"/>
    </w:rPr>
  </w:style>
  <w:style w:type="character" w:customStyle="1" w:styleId="416">
    <w:name w:val="Char Char181"/>
    <w:qFormat/>
    <w:uiPriority w:val="0"/>
    <w:rPr>
      <w:rFonts w:ascii="宋体"/>
      <w:b/>
      <w:spacing w:val="-2"/>
      <w:position w:val="-6"/>
      <w:sz w:val="28"/>
    </w:rPr>
  </w:style>
  <w:style w:type="character" w:customStyle="1" w:styleId="417">
    <w:name w:val="Table Heading Char"/>
    <w:qFormat/>
    <w:uiPriority w:val="0"/>
    <w:rPr>
      <w:rFonts w:hint="default" w:ascii="Book Antiqua" w:hAnsi="Book Antiqua" w:eastAsia="黑体"/>
      <w:bCs/>
      <w:sz w:val="21"/>
      <w:szCs w:val="21"/>
    </w:rPr>
  </w:style>
  <w:style w:type="character" w:customStyle="1" w:styleId="418">
    <w:name w:val="Char Char151"/>
    <w:qFormat/>
    <w:uiPriority w:val="0"/>
    <w:rPr>
      <w:rFonts w:ascii="Arial" w:hAnsi="Arial" w:eastAsia="黑体"/>
      <w:spacing w:val="-2"/>
      <w:position w:val="-6"/>
      <w:sz w:val="24"/>
    </w:rPr>
  </w:style>
  <w:style w:type="character" w:customStyle="1" w:styleId="419">
    <w:name w:val="WW8Num14z1"/>
    <w:qFormat/>
    <w:uiPriority w:val="0"/>
    <w:rPr>
      <w:rFonts w:ascii="Wingdings 2" w:hAnsi="Wingdings 2" w:cs="StarSymbol"/>
      <w:sz w:val="18"/>
      <w:szCs w:val="18"/>
    </w:rPr>
  </w:style>
  <w:style w:type="character" w:customStyle="1" w:styleId="420">
    <w:name w:val="font111"/>
    <w:qFormat/>
    <w:uiPriority w:val="0"/>
    <w:rPr>
      <w:rFonts w:hint="eastAsia" w:ascii="宋体" w:hAnsi="宋体" w:eastAsia="宋体" w:cs="宋体"/>
      <w:color w:val="000000"/>
      <w:sz w:val="21"/>
      <w:szCs w:val="21"/>
      <w:u w:val="none"/>
    </w:rPr>
  </w:style>
  <w:style w:type="character" w:customStyle="1" w:styleId="421">
    <w:name w:val="样式2 Char"/>
    <w:qFormat/>
    <w:uiPriority w:val="0"/>
    <w:rPr>
      <w:rFonts w:hint="eastAsia" w:ascii="方正仿宋_GBK" w:eastAsia="方正仿宋_GBK"/>
      <w:bCs/>
      <w:sz w:val="32"/>
      <w:szCs w:val="24"/>
    </w:rPr>
  </w:style>
  <w:style w:type="character" w:customStyle="1" w:styleId="422">
    <w:name w:val="Char Char18"/>
    <w:qFormat/>
    <w:uiPriority w:val="0"/>
    <w:rPr>
      <w:rFonts w:ascii="宋体"/>
      <w:b/>
      <w:spacing w:val="-2"/>
      <w:position w:val="-6"/>
      <w:sz w:val="28"/>
    </w:rPr>
  </w:style>
  <w:style w:type="character" w:customStyle="1" w:styleId="423">
    <w:name w:val="WW8Num25z7"/>
    <w:qFormat/>
    <w:uiPriority w:val="0"/>
    <w:rPr>
      <w:rFonts w:ascii="Wingdings" w:hAnsi="Wingdings"/>
    </w:rPr>
  </w:style>
  <w:style w:type="character" w:customStyle="1" w:styleId="424">
    <w:name w:val="font71"/>
    <w:qFormat/>
    <w:uiPriority w:val="0"/>
    <w:rPr>
      <w:rFonts w:hint="default" w:ascii="Arial" w:hAnsi="Arial" w:cs="Arial"/>
      <w:color w:val="000000"/>
      <w:sz w:val="20"/>
      <w:szCs w:val="20"/>
      <w:u w:val="none"/>
    </w:rPr>
  </w:style>
  <w:style w:type="character" w:customStyle="1" w:styleId="425">
    <w:name w:val="WW8Num8z0"/>
    <w:qFormat/>
    <w:uiPriority w:val="0"/>
    <w:rPr>
      <w:rFonts w:ascii="Wingdings" w:hAnsi="Wingdings" w:cs="StarSymbol"/>
      <w:sz w:val="18"/>
      <w:szCs w:val="18"/>
    </w:rPr>
  </w:style>
  <w:style w:type="character" w:customStyle="1" w:styleId="426">
    <w:name w:val="页码2"/>
    <w:basedOn w:val="72"/>
    <w:qFormat/>
    <w:uiPriority w:val="0"/>
  </w:style>
  <w:style w:type="character" w:customStyle="1" w:styleId="427">
    <w:name w:val="WW8Num12z0"/>
    <w:qFormat/>
    <w:uiPriority w:val="0"/>
    <w:rPr>
      <w:rFonts w:ascii="Wingdings" w:hAnsi="Wingdings" w:cs="StarSymbol"/>
      <w:sz w:val="18"/>
      <w:szCs w:val="18"/>
    </w:rPr>
  </w:style>
  <w:style w:type="character" w:customStyle="1" w:styleId="428">
    <w:name w:val="方案文档 Char"/>
    <w:link w:val="429"/>
    <w:qFormat/>
    <w:uiPriority w:val="0"/>
    <w:rPr>
      <w:sz w:val="24"/>
      <w:szCs w:val="24"/>
    </w:rPr>
  </w:style>
  <w:style w:type="paragraph" w:customStyle="1" w:styleId="429">
    <w:name w:val="方案文档"/>
    <w:link w:val="428"/>
    <w:qFormat/>
    <w:uiPriority w:val="0"/>
    <w:pPr>
      <w:spacing w:line="360" w:lineRule="auto"/>
      <w:ind w:firstLine="200"/>
    </w:pPr>
    <w:rPr>
      <w:rFonts w:asciiTheme="minorHAnsi" w:hAnsiTheme="minorHAnsi" w:eastAsiaTheme="minorEastAsia" w:cstheme="minorBidi"/>
      <w:sz w:val="24"/>
      <w:szCs w:val="24"/>
      <w:lang w:val="en-US" w:eastAsia="zh-CN" w:bidi="ar-SA"/>
    </w:rPr>
  </w:style>
  <w:style w:type="character" w:customStyle="1" w:styleId="430">
    <w:name w:val="称呼 Char3"/>
    <w:qFormat/>
    <w:uiPriority w:val="0"/>
    <w:rPr>
      <w:rFonts w:ascii="Arial" w:hAnsi="Arial" w:eastAsia="方正仿宋_GBK" w:cs="Arial"/>
    </w:rPr>
  </w:style>
  <w:style w:type="character" w:customStyle="1" w:styleId="431">
    <w:name w:val="font141"/>
    <w:qFormat/>
    <w:uiPriority w:val="0"/>
    <w:rPr>
      <w:rFonts w:hint="eastAsia" w:ascii="宋体" w:hAnsi="宋体" w:eastAsia="宋体" w:cs="宋体"/>
      <w:color w:val="000000"/>
      <w:sz w:val="20"/>
      <w:szCs w:val="20"/>
      <w:u w:val="none"/>
    </w:rPr>
  </w:style>
  <w:style w:type="character" w:customStyle="1" w:styleId="432">
    <w:name w:val="WW8Num13z2"/>
    <w:qFormat/>
    <w:uiPriority w:val="0"/>
    <w:rPr>
      <w:rFonts w:ascii="StarSymbol" w:hAnsi="StarSymbol" w:cs="StarSymbol"/>
      <w:sz w:val="18"/>
      <w:szCs w:val="18"/>
    </w:rPr>
  </w:style>
  <w:style w:type="character" w:customStyle="1" w:styleId="433">
    <w:name w:val="项目编号B Char"/>
    <w:link w:val="434"/>
    <w:qFormat/>
    <w:uiPriority w:val="0"/>
    <w:rPr>
      <w:sz w:val="24"/>
      <w:szCs w:val="24"/>
    </w:rPr>
  </w:style>
  <w:style w:type="paragraph" w:customStyle="1" w:styleId="434">
    <w:name w:val="项目编号B"/>
    <w:link w:val="433"/>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sz w:val="24"/>
      <w:szCs w:val="24"/>
      <w:lang w:val="en-US" w:eastAsia="zh-CN" w:bidi="ar-SA"/>
    </w:rPr>
  </w:style>
  <w:style w:type="character" w:customStyle="1" w:styleId="435">
    <w:name w:val="WW8Num33z1"/>
    <w:qFormat/>
    <w:uiPriority w:val="0"/>
    <w:rPr>
      <w:rFonts w:ascii="Wingdings 2" w:hAnsi="Wingdings 2" w:cs="StarSymbol"/>
      <w:sz w:val="18"/>
      <w:szCs w:val="18"/>
    </w:rPr>
  </w:style>
  <w:style w:type="character" w:customStyle="1" w:styleId="436">
    <w:name w:val="项目编号A Char Char"/>
    <w:link w:val="437"/>
    <w:qFormat/>
    <w:uiPriority w:val="0"/>
    <w:rPr>
      <w:sz w:val="24"/>
      <w:szCs w:val="24"/>
    </w:rPr>
  </w:style>
  <w:style w:type="paragraph" w:customStyle="1" w:styleId="437">
    <w:name w:val="项目编号A"/>
    <w:link w:val="436"/>
    <w:qFormat/>
    <w:uiPriority w:val="0"/>
    <w:pPr>
      <w:tabs>
        <w:tab w:val="left" w:pos="840"/>
      </w:tabs>
      <w:spacing w:line="360" w:lineRule="auto"/>
    </w:pPr>
    <w:rPr>
      <w:rFonts w:asciiTheme="minorHAnsi" w:hAnsiTheme="minorHAnsi" w:eastAsiaTheme="minorEastAsia" w:cstheme="minorBidi"/>
      <w:sz w:val="24"/>
      <w:szCs w:val="24"/>
      <w:lang w:val="en-US" w:eastAsia="zh-CN" w:bidi="ar-SA"/>
    </w:rPr>
  </w:style>
  <w:style w:type="character" w:customStyle="1" w:styleId="438">
    <w:name w:val="style11"/>
    <w:qFormat/>
    <w:uiPriority w:val="0"/>
    <w:rPr>
      <w:color w:val="FF0000"/>
    </w:rPr>
  </w:style>
  <w:style w:type="character" w:customStyle="1" w:styleId="439">
    <w:name w:val="Char Char15"/>
    <w:qFormat/>
    <w:uiPriority w:val="0"/>
    <w:rPr>
      <w:rFonts w:ascii="Arial" w:hAnsi="Arial" w:eastAsia="黑体"/>
      <w:spacing w:val="-2"/>
      <w:position w:val="-6"/>
      <w:sz w:val="24"/>
    </w:rPr>
  </w:style>
  <w:style w:type="character" w:customStyle="1" w:styleId="440">
    <w:name w:val="WW8Num14z0"/>
    <w:qFormat/>
    <w:uiPriority w:val="0"/>
    <w:rPr>
      <w:rFonts w:ascii="Wingdings" w:hAnsi="Wingdings" w:cs="StarSymbol"/>
      <w:sz w:val="18"/>
      <w:szCs w:val="18"/>
    </w:rPr>
  </w:style>
  <w:style w:type="character" w:customStyle="1" w:styleId="441">
    <w:name w:val="Char Char17"/>
    <w:qFormat/>
    <w:uiPriority w:val="0"/>
    <w:rPr>
      <w:rFonts w:ascii="Arial" w:hAnsi="Arial" w:eastAsia="黑体"/>
      <w:b/>
      <w:spacing w:val="-2"/>
      <w:position w:val="-6"/>
      <w:sz w:val="24"/>
    </w:rPr>
  </w:style>
  <w:style w:type="character" w:customStyle="1" w:styleId="442">
    <w:name w:val="表格内容 Char"/>
    <w:qFormat/>
    <w:uiPriority w:val="0"/>
    <w:rPr>
      <w:rFonts w:hint="eastAsia" w:ascii="微软雅黑" w:hAnsi="微软雅黑" w:eastAsia="微软雅黑"/>
      <w:sz w:val="18"/>
      <w:szCs w:val="24"/>
      <w:lang w:val="en-GB"/>
    </w:rPr>
  </w:style>
  <w:style w:type="character" w:customStyle="1" w:styleId="443">
    <w:name w:val="武汉表格 Char"/>
    <w:link w:val="444"/>
    <w:qFormat/>
    <w:uiPriority w:val="0"/>
    <w:rPr>
      <w:rFonts w:eastAsia="黑体"/>
      <w:szCs w:val="21"/>
    </w:rPr>
  </w:style>
  <w:style w:type="paragraph" w:customStyle="1" w:styleId="444">
    <w:name w:val="武汉表格"/>
    <w:basedOn w:val="1"/>
    <w:link w:val="443"/>
    <w:qFormat/>
    <w:uiPriority w:val="0"/>
    <w:rPr>
      <w:rFonts w:eastAsia="黑体" w:asciiTheme="minorHAnsi" w:hAnsiTheme="minorHAnsi" w:cstheme="minorBidi"/>
      <w:szCs w:val="21"/>
    </w:rPr>
  </w:style>
  <w:style w:type="character" w:customStyle="1" w:styleId="445">
    <w:name w:val="WW8Num12z1"/>
    <w:qFormat/>
    <w:uiPriority w:val="0"/>
    <w:rPr>
      <w:rFonts w:ascii="Wingdings 2" w:hAnsi="Wingdings 2" w:cs="StarSymbol"/>
      <w:sz w:val="18"/>
      <w:szCs w:val="18"/>
    </w:rPr>
  </w:style>
  <w:style w:type="character" w:customStyle="1" w:styleId="446">
    <w:name w:val="Char Char20"/>
    <w:qFormat/>
    <w:uiPriority w:val="0"/>
    <w:rPr>
      <w:rFonts w:ascii="楷体_GB2312" w:eastAsia="楷体_GB2312"/>
      <w:sz w:val="28"/>
    </w:rPr>
  </w:style>
  <w:style w:type="character" w:customStyle="1" w:styleId="447">
    <w:name w:val="con_text1"/>
    <w:qFormat/>
    <w:uiPriority w:val="0"/>
  </w:style>
  <w:style w:type="character" w:customStyle="1" w:styleId="448">
    <w:name w:val="批注引用2"/>
    <w:qFormat/>
    <w:uiPriority w:val="0"/>
    <w:rPr>
      <w:sz w:val="21"/>
      <w:szCs w:val="21"/>
    </w:rPr>
  </w:style>
  <w:style w:type="character" w:customStyle="1" w:styleId="449">
    <w:name w:val="WW8Num5z2"/>
    <w:qFormat/>
    <w:uiPriority w:val="0"/>
    <w:rPr>
      <w:rFonts w:ascii="StarSymbol" w:hAnsi="StarSymbol" w:cs="StarSymbol"/>
      <w:sz w:val="18"/>
      <w:szCs w:val="18"/>
    </w:rPr>
  </w:style>
  <w:style w:type="character" w:customStyle="1" w:styleId="450">
    <w:name w:val="正文缩进 Char2"/>
    <w:qFormat/>
    <w:uiPriority w:val="0"/>
    <w:rPr>
      <w:rFonts w:eastAsia="宋体"/>
      <w:sz w:val="21"/>
      <w:lang w:val="en-US" w:eastAsia="zh-CN" w:bidi="ar-SA"/>
    </w:rPr>
  </w:style>
  <w:style w:type="character" w:customStyle="1" w:styleId="451">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2">
    <w:name w:val="Char Char16"/>
    <w:qFormat/>
    <w:uiPriority w:val="0"/>
    <w:rPr>
      <w:rFonts w:ascii="宋体"/>
      <w:b/>
      <w:spacing w:val="-2"/>
      <w:position w:val="-6"/>
      <w:sz w:val="24"/>
    </w:rPr>
  </w:style>
  <w:style w:type="character" w:customStyle="1" w:styleId="453">
    <w:name w:val="批注主题 字符1"/>
    <w:qFormat/>
    <w:uiPriority w:val="99"/>
    <w:rPr>
      <w:rFonts w:ascii="Times New Roman" w:hAnsi="Times New Roman" w:eastAsia="方正仿宋_GBK" w:cs="Times New Roman"/>
      <w:b/>
      <w:bCs/>
      <w:sz w:val="24"/>
      <w:szCs w:val="24"/>
    </w:rPr>
  </w:style>
  <w:style w:type="character" w:customStyle="1" w:styleId="454">
    <w:name w:val="Char Char161"/>
    <w:qFormat/>
    <w:uiPriority w:val="0"/>
    <w:rPr>
      <w:rFonts w:ascii="宋体"/>
      <w:b/>
      <w:spacing w:val="-2"/>
      <w:position w:val="-6"/>
      <w:sz w:val="24"/>
    </w:rPr>
  </w:style>
  <w:style w:type="character" w:customStyle="1" w:styleId="455">
    <w:name w:val="引用 Char"/>
    <w:qFormat/>
    <w:uiPriority w:val="0"/>
    <w:rPr>
      <w:rFonts w:ascii="Times New Roman" w:hAnsi="Times New Roman" w:eastAsia="方正仿宋_GBK" w:cs="Times New Roman"/>
      <w:i/>
      <w:iCs/>
      <w:color w:val="000000"/>
      <w:sz w:val="24"/>
      <w:szCs w:val="20"/>
    </w:rPr>
  </w:style>
  <w:style w:type="character" w:customStyle="1" w:styleId="456">
    <w:name w:val="标题 3 Char1"/>
    <w:qFormat/>
    <w:uiPriority w:val="0"/>
    <w:rPr>
      <w:b/>
      <w:sz w:val="32"/>
    </w:rPr>
  </w:style>
  <w:style w:type="character" w:customStyle="1" w:styleId="457">
    <w:name w:val="InfoBlue Char"/>
    <w:qFormat/>
    <w:uiPriority w:val="0"/>
    <w:rPr>
      <w:color w:val="0000FF"/>
      <w:sz w:val="21"/>
    </w:rPr>
  </w:style>
  <w:style w:type="character" w:customStyle="1" w:styleId="458">
    <w:name w:val="副标题 Char3"/>
    <w:qFormat/>
    <w:uiPriority w:val="0"/>
    <w:rPr>
      <w:b/>
      <w:bCs/>
      <w:sz w:val="32"/>
      <w:szCs w:val="32"/>
    </w:rPr>
  </w:style>
  <w:style w:type="character" w:customStyle="1" w:styleId="459">
    <w:name w:val="title_orange1"/>
    <w:qFormat/>
    <w:uiPriority w:val="0"/>
    <w:rPr>
      <w:b/>
      <w:bCs/>
      <w:color w:val="CC6600"/>
      <w:sz w:val="33"/>
      <w:szCs w:val="33"/>
      <w:u w:val="none"/>
    </w:rPr>
  </w:style>
  <w:style w:type="character" w:customStyle="1" w:styleId="460">
    <w:name w:val="font61"/>
    <w:qFormat/>
    <w:uiPriority w:val="0"/>
    <w:rPr>
      <w:rFonts w:hint="default" w:ascii="Arial" w:hAnsi="Arial" w:cs="Arial"/>
      <w:b/>
      <w:color w:val="000000"/>
      <w:sz w:val="20"/>
      <w:szCs w:val="20"/>
      <w:u w:val="none"/>
    </w:rPr>
  </w:style>
  <w:style w:type="character" w:customStyle="1" w:styleId="461">
    <w:name w:val="一级条标题 Char Char"/>
    <w:link w:val="347"/>
    <w:qFormat/>
    <w:uiPriority w:val="0"/>
    <w:rPr>
      <w:rFonts w:ascii="黑体" w:eastAsia="黑体"/>
    </w:rPr>
  </w:style>
  <w:style w:type="character" w:customStyle="1" w:styleId="462">
    <w:name w:val="Char Char191"/>
    <w:qFormat/>
    <w:uiPriority w:val="0"/>
    <w:rPr>
      <w:rFonts w:ascii="Arial" w:hAnsi="Arial" w:eastAsia="黑体"/>
      <w:b/>
      <w:bCs/>
      <w:sz w:val="28"/>
      <w:szCs w:val="28"/>
    </w:rPr>
  </w:style>
  <w:style w:type="character" w:customStyle="1" w:styleId="463">
    <w:name w:val="WW8Num33z0"/>
    <w:qFormat/>
    <w:uiPriority w:val="0"/>
    <w:rPr>
      <w:rFonts w:ascii="Wingdings" w:hAnsi="Wingdings" w:cs="StarSymbol"/>
      <w:sz w:val="18"/>
      <w:szCs w:val="18"/>
    </w:rPr>
  </w:style>
  <w:style w:type="character" w:customStyle="1" w:styleId="464">
    <w:name w:val="font91"/>
    <w:qFormat/>
    <w:uiPriority w:val="0"/>
    <w:rPr>
      <w:rFonts w:hint="eastAsia" w:ascii="宋体" w:hAnsi="宋体" w:eastAsia="宋体" w:cs="宋体"/>
      <w:color w:val="000000"/>
      <w:sz w:val="20"/>
      <w:szCs w:val="20"/>
      <w:u w:val="none"/>
    </w:rPr>
  </w:style>
  <w:style w:type="character" w:customStyle="1" w:styleId="465">
    <w:name w:val="op_dict_text21"/>
    <w:qFormat/>
    <w:uiPriority w:val="0"/>
  </w:style>
  <w:style w:type="character" w:customStyle="1" w:styleId="466">
    <w:name w:val="normal91"/>
    <w:qFormat/>
    <w:uiPriority w:val="0"/>
    <w:rPr>
      <w:rFonts w:ascii="Calibri" w:hAnsi="Calibri" w:eastAsia="宋体" w:cs="Times New Roman"/>
      <w:sz w:val="20"/>
      <w:szCs w:val="20"/>
    </w:rPr>
  </w:style>
  <w:style w:type="character" w:customStyle="1" w:styleId="467">
    <w:name w:val="WW8Num18z1"/>
    <w:qFormat/>
    <w:uiPriority w:val="0"/>
    <w:rPr>
      <w:rFonts w:ascii="Wingdings 2" w:hAnsi="Wingdings 2" w:cs="StarSymbol"/>
      <w:sz w:val="18"/>
      <w:szCs w:val="18"/>
    </w:rPr>
  </w:style>
  <w:style w:type="character" w:customStyle="1" w:styleId="468">
    <w:name w:val="font121"/>
    <w:qFormat/>
    <w:uiPriority w:val="0"/>
    <w:rPr>
      <w:rFonts w:hint="eastAsia" w:ascii="宋体" w:hAnsi="宋体" w:eastAsia="宋体" w:cs="宋体"/>
      <w:b/>
      <w:color w:val="000000"/>
      <w:sz w:val="20"/>
      <w:szCs w:val="20"/>
      <w:u w:val="none"/>
    </w:rPr>
  </w:style>
  <w:style w:type="character" w:customStyle="1" w:styleId="469">
    <w:name w:val="标题 4 Char1"/>
    <w:qFormat/>
    <w:uiPriority w:val="0"/>
    <w:rPr>
      <w:rFonts w:hint="default" w:ascii="Cambria" w:hAnsi="Cambria" w:eastAsia="宋体" w:cs="Times New Roman"/>
      <w:b/>
      <w:bCs/>
      <w:sz w:val="28"/>
      <w:szCs w:val="28"/>
    </w:rPr>
  </w:style>
  <w:style w:type="character" w:customStyle="1" w:styleId="470">
    <w:name w:val="Char Char19"/>
    <w:qFormat/>
    <w:uiPriority w:val="0"/>
    <w:rPr>
      <w:rFonts w:ascii="Arial" w:hAnsi="Arial" w:eastAsia="黑体"/>
      <w:b/>
      <w:bCs/>
      <w:sz w:val="28"/>
      <w:szCs w:val="28"/>
    </w:rPr>
  </w:style>
  <w:style w:type="character" w:customStyle="1" w:styleId="471">
    <w:name w:val="标题 9 字符1"/>
    <w:qFormat/>
    <w:uiPriority w:val="9"/>
    <w:rPr>
      <w:rFonts w:ascii="Arial" w:hAnsi="Arial" w:eastAsia="黑体" w:cs="Times New Roman"/>
      <w:sz w:val="24"/>
      <w:szCs w:val="21"/>
    </w:rPr>
  </w:style>
  <w:style w:type="character" w:customStyle="1" w:styleId="472">
    <w:name w:val="font131"/>
    <w:qFormat/>
    <w:uiPriority w:val="0"/>
    <w:rPr>
      <w:rFonts w:hint="eastAsia" w:ascii="宋体" w:hAnsi="宋体" w:eastAsia="宋体" w:cs="宋体"/>
      <w:color w:val="000000"/>
      <w:sz w:val="18"/>
      <w:szCs w:val="18"/>
      <w:u w:val="none"/>
    </w:rPr>
  </w:style>
  <w:style w:type="character" w:customStyle="1" w:styleId="473">
    <w:name w:val="标题G Char"/>
    <w:qFormat/>
    <w:uiPriority w:val="0"/>
    <w:rPr>
      <w:rFonts w:hint="eastAsia" w:ascii="方正小标宋_GBK" w:hAnsi="方正小标宋_GBK" w:eastAsia="方正小标宋_GBK"/>
      <w:color w:val="000000"/>
      <w:spacing w:val="-20"/>
      <w:sz w:val="44"/>
      <w:szCs w:val="52"/>
    </w:rPr>
  </w:style>
  <w:style w:type="character" w:customStyle="1" w:styleId="474">
    <w:name w:val="批注引用1"/>
    <w:qFormat/>
    <w:uiPriority w:val="0"/>
    <w:rPr>
      <w:sz w:val="21"/>
      <w:szCs w:val="21"/>
    </w:rPr>
  </w:style>
  <w:style w:type="character" w:customStyle="1" w:styleId="475">
    <w:name w:val="WW-Absatz-Standardschriftart111"/>
    <w:qFormat/>
    <w:uiPriority w:val="0"/>
  </w:style>
  <w:style w:type="character" w:customStyle="1" w:styleId="476">
    <w:name w:val="font81"/>
    <w:qFormat/>
    <w:uiPriority w:val="0"/>
    <w:rPr>
      <w:rFonts w:hint="eastAsia" w:ascii="宋体" w:hAnsi="宋体" w:eastAsia="宋体" w:cs="宋体"/>
      <w:b/>
      <w:color w:val="000000"/>
      <w:sz w:val="20"/>
      <w:szCs w:val="20"/>
      <w:u w:val="none"/>
    </w:rPr>
  </w:style>
  <w:style w:type="character" w:customStyle="1" w:styleId="477">
    <w:name w:val="m1"/>
    <w:qFormat/>
    <w:uiPriority w:val="0"/>
    <w:rPr>
      <w:rFonts w:hint="eastAsia" w:ascii="宋体" w:hAnsi="宋体" w:eastAsia="宋体"/>
      <w:color w:val="0000FF"/>
      <w:lang w:val="en-US" w:eastAsia="zh-CN" w:bidi="ar-SA"/>
    </w:rPr>
  </w:style>
  <w:style w:type="character" w:customStyle="1" w:styleId="478">
    <w:name w:val="表格 Char Char"/>
    <w:link w:val="479"/>
    <w:qFormat/>
    <w:uiPriority w:val="0"/>
    <w:rPr>
      <w:rFonts w:ascii="Arial" w:hAnsi="Arial"/>
      <w:sz w:val="24"/>
      <w:szCs w:val="24"/>
    </w:rPr>
  </w:style>
  <w:style w:type="paragraph" w:customStyle="1" w:styleId="479">
    <w:name w:val="表格"/>
    <w:basedOn w:val="1"/>
    <w:link w:val="478"/>
    <w:qFormat/>
    <w:uiPriority w:val="0"/>
    <w:rPr>
      <w:rFonts w:ascii="Arial" w:hAnsi="Arial" w:eastAsiaTheme="minorEastAsia" w:cstheme="minorBidi"/>
      <w:sz w:val="24"/>
    </w:rPr>
  </w:style>
  <w:style w:type="character" w:customStyle="1" w:styleId="480">
    <w:name w:val="WW8Num21z2"/>
    <w:qFormat/>
    <w:uiPriority w:val="0"/>
    <w:rPr>
      <w:rFonts w:ascii="StarSymbol" w:hAnsi="StarSymbol" w:cs="StarSymbol"/>
      <w:sz w:val="18"/>
      <w:szCs w:val="18"/>
    </w:rPr>
  </w:style>
  <w:style w:type="character" w:customStyle="1" w:styleId="481">
    <w:name w:val="副标题 Char1"/>
    <w:qFormat/>
    <w:uiPriority w:val="0"/>
    <w:rPr>
      <w:rFonts w:ascii="Cambria" w:hAnsi="Cambria" w:cs="Times New Roman"/>
      <w:b/>
      <w:bCs/>
      <w:sz w:val="32"/>
      <w:szCs w:val="32"/>
    </w:rPr>
  </w:style>
  <w:style w:type="character" w:customStyle="1" w:styleId="482">
    <w:name w:val="atitle31"/>
    <w:qFormat/>
    <w:uiPriority w:val="0"/>
    <w:rPr>
      <w:rFonts w:hint="default" w:ascii="Arial" w:hAnsi="Arial" w:cs="Arial"/>
      <w:b/>
      <w:bCs/>
      <w:sz w:val="29"/>
      <w:szCs w:val="29"/>
    </w:rPr>
  </w:style>
  <w:style w:type="character" w:customStyle="1" w:styleId="483">
    <w:name w:val="副标题 Char2"/>
    <w:qFormat/>
    <w:uiPriority w:val="0"/>
    <w:rPr>
      <w:rFonts w:ascii="Cambria" w:hAnsi="Cambria" w:cs="Times New Roman"/>
      <w:b/>
      <w:bCs/>
      <w:sz w:val="32"/>
      <w:szCs w:val="32"/>
    </w:rPr>
  </w:style>
  <w:style w:type="character" w:customStyle="1" w:styleId="484">
    <w:name w:val="WW8Num21z1"/>
    <w:qFormat/>
    <w:uiPriority w:val="0"/>
    <w:rPr>
      <w:rFonts w:ascii="Wingdings" w:hAnsi="Wingdings"/>
    </w:rPr>
  </w:style>
  <w:style w:type="character" w:customStyle="1" w:styleId="485">
    <w:name w:val="font191"/>
    <w:qFormat/>
    <w:uiPriority w:val="0"/>
    <w:rPr>
      <w:rFonts w:hint="default" w:ascii="Arial" w:hAnsi="Arial" w:cs="Arial"/>
      <w:b/>
      <w:color w:val="000000"/>
      <w:sz w:val="20"/>
      <w:szCs w:val="20"/>
      <w:u w:val="none"/>
    </w:rPr>
  </w:style>
  <w:style w:type="character" w:customStyle="1" w:styleId="486">
    <w:name w:val="MM Topic 2 Char"/>
    <w:link w:val="487"/>
    <w:qFormat/>
    <w:uiPriority w:val="0"/>
    <w:rPr>
      <w:rFonts w:ascii="Cambria" w:hAnsi="Cambria"/>
      <w:b/>
      <w:bCs/>
      <w:sz w:val="32"/>
      <w:szCs w:val="32"/>
      <w:lang w:val="zh-CN"/>
    </w:rPr>
  </w:style>
  <w:style w:type="paragraph" w:customStyle="1" w:styleId="487">
    <w:name w:val="MM Topic 2"/>
    <w:basedOn w:val="5"/>
    <w:link w:val="486"/>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88">
    <w:name w:val="注释标题 Char"/>
    <w:qFormat/>
    <w:uiPriority w:val="0"/>
    <w:rPr>
      <w:sz w:val="21"/>
      <w:szCs w:val="24"/>
    </w:rPr>
  </w:style>
  <w:style w:type="character" w:customStyle="1" w:styleId="489">
    <w:name w:val="页眉 字符1"/>
    <w:qFormat/>
    <w:uiPriority w:val="0"/>
    <w:rPr>
      <w:rFonts w:ascii="Times New Roman" w:hAnsi="Times New Roman" w:eastAsia="方正仿宋_GBK" w:cs="Times New Roman"/>
      <w:sz w:val="18"/>
      <w:szCs w:val="18"/>
    </w:rPr>
  </w:style>
  <w:style w:type="character" w:customStyle="1" w:styleId="490">
    <w:name w:val="称呼 Char"/>
    <w:qFormat/>
    <w:uiPriority w:val="0"/>
    <w:rPr>
      <w:sz w:val="21"/>
      <w:szCs w:val="24"/>
    </w:rPr>
  </w:style>
  <w:style w:type="character" w:customStyle="1" w:styleId="491">
    <w:name w:val="WW8Num16z2"/>
    <w:qFormat/>
    <w:uiPriority w:val="0"/>
    <w:rPr>
      <w:rFonts w:ascii="StarSymbol" w:hAnsi="StarSymbol" w:cs="StarSymbol"/>
      <w:sz w:val="18"/>
      <w:szCs w:val="18"/>
    </w:rPr>
  </w:style>
  <w:style w:type="character" w:customStyle="1" w:styleId="492">
    <w:name w:val="HTML 地址 Char"/>
    <w:qFormat/>
    <w:uiPriority w:val="0"/>
    <w:rPr>
      <w:i/>
      <w:iCs/>
      <w:sz w:val="21"/>
      <w:szCs w:val="24"/>
    </w:rPr>
  </w:style>
  <w:style w:type="character" w:customStyle="1" w:styleId="493">
    <w:name w:val="WW8Num22z0"/>
    <w:qFormat/>
    <w:uiPriority w:val="0"/>
    <w:rPr>
      <w:rFonts w:ascii="Wingdings" w:hAnsi="Wingdings" w:cs="StarSymbol"/>
      <w:sz w:val="18"/>
      <w:szCs w:val="18"/>
    </w:rPr>
  </w:style>
  <w:style w:type="character" w:customStyle="1" w:styleId="494">
    <w:name w:val="尾注文本 Char1"/>
    <w:qFormat/>
    <w:uiPriority w:val="0"/>
    <w:rPr>
      <w:szCs w:val="24"/>
      <w:lang w:val="zh-CN"/>
    </w:rPr>
  </w:style>
  <w:style w:type="character" w:customStyle="1" w:styleId="495">
    <w:name w:val="WW8Num18z0"/>
    <w:qFormat/>
    <w:uiPriority w:val="0"/>
    <w:rPr>
      <w:rFonts w:ascii="Wingdings" w:hAnsi="Wingdings" w:cs="StarSymbol"/>
      <w:sz w:val="18"/>
      <w:szCs w:val="18"/>
    </w:rPr>
  </w:style>
  <w:style w:type="character" w:customStyle="1" w:styleId="496">
    <w:name w:val="HTML 预设格式 Char"/>
    <w:qFormat/>
    <w:uiPriority w:val="99"/>
    <w:rPr>
      <w:rFonts w:ascii="Courier New" w:hAnsi="Courier New" w:cs="Courier New"/>
    </w:rPr>
  </w:style>
  <w:style w:type="character" w:customStyle="1" w:styleId="497">
    <w:name w:val="WW8Num27z2"/>
    <w:qFormat/>
    <w:uiPriority w:val="0"/>
    <w:rPr>
      <w:rFonts w:ascii="StarSymbol" w:hAnsi="StarSymbol" w:cs="StarSymbol"/>
      <w:sz w:val="18"/>
      <w:szCs w:val="18"/>
    </w:rPr>
  </w:style>
  <w:style w:type="character" w:customStyle="1" w:styleId="498">
    <w:name w:val="正文首行缩进 2 Char"/>
    <w:qFormat/>
    <w:uiPriority w:val="0"/>
    <w:rPr>
      <w:rFonts w:ascii="楷体_GB2312" w:eastAsia="楷体_GB2312"/>
      <w:sz w:val="21"/>
      <w:szCs w:val="24"/>
    </w:rPr>
  </w:style>
  <w:style w:type="character" w:customStyle="1" w:styleId="499">
    <w:name w:val="atitle21"/>
    <w:qFormat/>
    <w:uiPriority w:val="0"/>
    <w:rPr>
      <w:rFonts w:hint="default" w:ascii="Arial" w:hAnsi="Arial" w:cs="Arial"/>
      <w:b/>
      <w:bCs/>
      <w:sz w:val="35"/>
      <w:szCs w:val="35"/>
    </w:rPr>
  </w:style>
  <w:style w:type="character" w:customStyle="1" w:styleId="500">
    <w:name w:val="标题 1 Char2"/>
    <w:qFormat/>
    <w:uiPriority w:val="0"/>
    <w:rPr>
      <w:rFonts w:ascii="Times New Roman" w:hAnsi="Times New Roman" w:eastAsia="宋体" w:cs="Times New Roman"/>
      <w:b/>
      <w:bCs/>
      <w:sz w:val="32"/>
      <w:szCs w:val="28"/>
    </w:rPr>
  </w:style>
  <w:style w:type="character" w:customStyle="1" w:styleId="501">
    <w:name w:val="op_dict3_lineone_result_tip"/>
    <w:qFormat/>
    <w:uiPriority w:val="0"/>
    <w:rPr>
      <w:color w:val="999999"/>
    </w:rPr>
  </w:style>
  <w:style w:type="character" w:customStyle="1" w:styleId="502">
    <w:name w:val="标题 2 Char2"/>
    <w:qFormat/>
    <w:uiPriority w:val="0"/>
    <w:rPr>
      <w:rFonts w:ascii="Times New Roman" w:hAnsi="Times New Roman" w:eastAsia="宋体" w:cs="Times New Roman"/>
      <w:b/>
      <w:bCs/>
      <w:sz w:val="30"/>
      <w:szCs w:val="32"/>
    </w:rPr>
  </w:style>
  <w:style w:type="character" w:customStyle="1" w:styleId="503">
    <w:name w:val="标题 3 Char2"/>
    <w:qFormat/>
    <w:uiPriority w:val="0"/>
    <w:rPr>
      <w:rFonts w:ascii="Times New Roman" w:hAnsi="Times New Roman" w:eastAsia="宋体" w:cs="Times New Roman"/>
      <w:b/>
      <w:bCs/>
      <w:sz w:val="28"/>
      <w:szCs w:val="18"/>
    </w:rPr>
  </w:style>
  <w:style w:type="character" w:customStyle="1" w:styleId="504">
    <w:name w:val="WW8Num9z2"/>
    <w:qFormat/>
    <w:uiPriority w:val="0"/>
    <w:rPr>
      <w:rFonts w:ascii="StarSymbol" w:hAnsi="StarSymbol" w:cs="StarSymbol"/>
      <w:sz w:val="18"/>
      <w:szCs w:val="18"/>
    </w:rPr>
  </w:style>
  <w:style w:type="character" w:customStyle="1" w:styleId="505">
    <w:name w:val="标题 4 Char2"/>
    <w:qFormat/>
    <w:uiPriority w:val="0"/>
    <w:rPr>
      <w:rFonts w:ascii="Times New Roman" w:hAnsi="Times New Roman" w:eastAsia="宋体" w:cs="Times New Roman"/>
      <w:b/>
      <w:bCs/>
      <w:sz w:val="24"/>
      <w:szCs w:val="28"/>
    </w:rPr>
  </w:style>
  <w:style w:type="character" w:customStyle="1" w:styleId="506">
    <w:name w:val="WW8Num13z1"/>
    <w:qFormat/>
    <w:uiPriority w:val="0"/>
    <w:rPr>
      <w:rFonts w:ascii="Wingdings 2" w:hAnsi="Wingdings 2" w:cs="StarSymbol"/>
      <w:sz w:val="18"/>
      <w:szCs w:val="18"/>
    </w:rPr>
  </w:style>
  <w:style w:type="character" w:customStyle="1" w:styleId="507">
    <w:name w:val="标题 5 Char2"/>
    <w:qFormat/>
    <w:uiPriority w:val="0"/>
    <w:rPr>
      <w:rFonts w:ascii="Times New Roman" w:hAnsi="Times New Roman" w:eastAsia="宋体" w:cs="Times New Roman"/>
      <w:b/>
      <w:bCs/>
      <w:sz w:val="21"/>
      <w:szCs w:val="28"/>
      <w:lang w:val="zh-CN"/>
    </w:rPr>
  </w:style>
  <w:style w:type="character" w:customStyle="1" w:styleId="508">
    <w:name w:val="WW8Num15z7"/>
    <w:qFormat/>
    <w:uiPriority w:val="0"/>
    <w:rPr>
      <w:rFonts w:ascii="Wingdings" w:hAnsi="Wingdings"/>
    </w:rPr>
  </w:style>
  <w:style w:type="character" w:customStyle="1" w:styleId="509">
    <w:name w:val="标题 6 Char2"/>
    <w:qFormat/>
    <w:uiPriority w:val="0"/>
    <w:rPr>
      <w:rFonts w:ascii="Cambria" w:hAnsi="Cambria" w:eastAsia="宋体" w:cs="Times New Roman"/>
      <w:b/>
      <w:bCs/>
      <w:sz w:val="24"/>
      <w:szCs w:val="24"/>
      <w:lang w:val="zh-CN"/>
    </w:rPr>
  </w:style>
  <w:style w:type="character" w:customStyle="1" w:styleId="510">
    <w:name w:val="WW8Num26z0"/>
    <w:qFormat/>
    <w:uiPriority w:val="0"/>
    <w:rPr>
      <w:rFonts w:ascii="Wingdings" w:hAnsi="Wingdings" w:cs="StarSymbol"/>
      <w:sz w:val="18"/>
      <w:szCs w:val="18"/>
    </w:rPr>
  </w:style>
  <w:style w:type="character" w:customStyle="1" w:styleId="511">
    <w:name w:val="正文文本缩进 Char3"/>
    <w:qFormat/>
    <w:uiPriority w:val="0"/>
    <w:rPr>
      <w:rFonts w:ascii="Times New Roman" w:hAnsi="Times New Roman" w:eastAsia="宋体" w:cs="Times New Roman"/>
      <w:szCs w:val="24"/>
      <w:lang w:val="zh-CN" w:eastAsia="zh-CN"/>
    </w:rPr>
  </w:style>
  <w:style w:type="character" w:customStyle="1" w:styleId="512">
    <w:name w:val="WW8Num26z2"/>
    <w:qFormat/>
    <w:uiPriority w:val="0"/>
    <w:rPr>
      <w:rFonts w:ascii="StarSymbol" w:hAnsi="StarSymbol" w:cs="StarSymbol"/>
      <w:sz w:val="18"/>
      <w:szCs w:val="18"/>
    </w:rPr>
  </w:style>
  <w:style w:type="character" w:customStyle="1" w:styleId="513">
    <w:name w:val="批注框文本 Char3"/>
    <w:qFormat/>
    <w:uiPriority w:val="99"/>
    <w:rPr>
      <w:rFonts w:ascii="Times New Roman" w:hAnsi="Times New Roman" w:eastAsia="宋体" w:cs="Times New Roman"/>
      <w:sz w:val="18"/>
      <w:szCs w:val="18"/>
    </w:rPr>
  </w:style>
  <w:style w:type="character" w:customStyle="1" w:styleId="514">
    <w:name w:val="bz-content"/>
    <w:qFormat/>
    <w:uiPriority w:val="0"/>
  </w:style>
  <w:style w:type="character" w:customStyle="1" w:styleId="515">
    <w:name w:val="标题 Char2"/>
    <w:qFormat/>
    <w:uiPriority w:val="0"/>
    <w:rPr>
      <w:rFonts w:ascii="Cambria" w:hAnsi="Cambria" w:eastAsia="黑体" w:cs="Times New Roman"/>
      <w:b/>
      <w:bCs/>
      <w:sz w:val="52"/>
      <w:szCs w:val="32"/>
    </w:rPr>
  </w:style>
  <w:style w:type="character" w:customStyle="1" w:styleId="516">
    <w:name w:val="标题 字符1"/>
    <w:qFormat/>
    <w:uiPriority w:val="0"/>
    <w:rPr>
      <w:rFonts w:ascii="宋体" w:hAnsi="宋体" w:eastAsia="方正小标宋_GBK" w:cs="Times New Roman"/>
      <w:color w:val="000000"/>
      <w:sz w:val="52"/>
      <w:szCs w:val="52"/>
    </w:rPr>
  </w:style>
  <w:style w:type="character" w:customStyle="1" w:styleId="517">
    <w:name w:val="正文2 字符"/>
    <w:link w:val="518"/>
    <w:qFormat/>
    <w:uiPriority w:val="0"/>
    <w:rPr>
      <w:szCs w:val="24"/>
    </w:rPr>
  </w:style>
  <w:style w:type="paragraph" w:customStyle="1" w:styleId="518">
    <w:name w:val="正文2"/>
    <w:basedOn w:val="1"/>
    <w:link w:val="517"/>
    <w:qFormat/>
    <w:uiPriority w:val="0"/>
    <w:pPr>
      <w:spacing w:line="360" w:lineRule="auto"/>
      <w:ind w:firstLine="420"/>
    </w:pPr>
    <w:rPr>
      <w:rFonts w:asciiTheme="minorHAnsi" w:hAnsiTheme="minorHAnsi" w:eastAsiaTheme="minorEastAsia" w:cstheme="minorBidi"/>
    </w:rPr>
  </w:style>
  <w:style w:type="character" w:customStyle="1" w:styleId="519">
    <w:name w:val="WW8Num4z2"/>
    <w:qFormat/>
    <w:uiPriority w:val="0"/>
    <w:rPr>
      <w:rFonts w:ascii="StarSymbol" w:hAnsi="StarSymbol" w:cs="StarSymbol"/>
      <w:sz w:val="18"/>
      <w:szCs w:val="18"/>
    </w:rPr>
  </w:style>
  <w:style w:type="character" w:customStyle="1" w:styleId="520">
    <w:name w:val="标题 7 Char2"/>
    <w:qFormat/>
    <w:uiPriority w:val="0"/>
    <w:rPr>
      <w:rFonts w:ascii="Times New Roman" w:hAnsi="Times New Roman" w:eastAsia="宋体" w:cs="Times New Roman"/>
      <w:b/>
      <w:bCs/>
      <w:sz w:val="24"/>
      <w:szCs w:val="24"/>
    </w:rPr>
  </w:style>
  <w:style w:type="character" w:customStyle="1" w:styleId="521">
    <w:name w:val="WW-Absatz-Standardschriftart1"/>
    <w:qFormat/>
    <w:uiPriority w:val="0"/>
  </w:style>
  <w:style w:type="character" w:customStyle="1" w:styleId="522">
    <w:name w:val="标题 9 Char2"/>
    <w:qFormat/>
    <w:uiPriority w:val="0"/>
    <w:rPr>
      <w:rFonts w:ascii="Times New Roman" w:hAnsi="Times New Roman" w:eastAsia="宋体" w:cs="Times New Roman"/>
      <w:b/>
      <w:bCs/>
      <w:sz w:val="30"/>
      <w:szCs w:val="18"/>
    </w:rPr>
  </w:style>
  <w:style w:type="character" w:customStyle="1" w:styleId="523">
    <w:name w:val="WW8Num3z1"/>
    <w:qFormat/>
    <w:uiPriority w:val="0"/>
    <w:rPr>
      <w:rFonts w:ascii="Wingdings 2" w:hAnsi="Wingdings 2" w:cs="StarSymbol"/>
      <w:sz w:val="18"/>
      <w:szCs w:val="18"/>
    </w:rPr>
  </w:style>
  <w:style w:type="character" w:customStyle="1" w:styleId="524">
    <w:name w:val="批注文字 Char3"/>
    <w:qFormat/>
    <w:uiPriority w:val="99"/>
    <w:rPr>
      <w:rFonts w:ascii="Times New Roman" w:hAnsi="Times New Roman" w:eastAsia="宋体" w:cs="Times New Roman"/>
      <w:szCs w:val="24"/>
      <w:lang w:val="zh-CN"/>
    </w:rPr>
  </w:style>
  <w:style w:type="character" w:customStyle="1" w:styleId="525">
    <w:name w:val="WW8Num29z1"/>
    <w:qFormat/>
    <w:uiPriority w:val="0"/>
    <w:rPr>
      <w:rFonts w:ascii="Wingdings 2" w:hAnsi="Wingdings 2" w:cs="StarSymbol"/>
      <w:sz w:val="18"/>
      <w:szCs w:val="18"/>
    </w:rPr>
  </w:style>
  <w:style w:type="character" w:customStyle="1" w:styleId="526">
    <w:name w:val="正文文本 Char3"/>
    <w:qFormat/>
    <w:uiPriority w:val="0"/>
    <w:rPr>
      <w:rFonts w:ascii="Times New Roman" w:hAnsi="Times New Roman" w:eastAsia="宋体" w:cs="Times New Roman"/>
      <w:szCs w:val="24"/>
    </w:rPr>
  </w:style>
  <w:style w:type="character" w:customStyle="1" w:styleId="527">
    <w:name w:val="WW8Num9z1"/>
    <w:qFormat/>
    <w:uiPriority w:val="0"/>
    <w:rPr>
      <w:rFonts w:ascii="Wingdings 2" w:hAnsi="Wingdings 2" w:cs="StarSymbol"/>
      <w:sz w:val="18"/>
      <w:szCs w:val="18"/>
    </w:rPr>
  </w:style>
  <w:style w:type="character" w:customStyle="1" w:styleId="528">
    <w:name w:val="日期 Char3"/>
    <w:qFormat/>
    <w:uiPriority w:val="0"/>
    <w:rPr>
      <w:rFonts w:ascii="Times New Roman" w:hAnsi="Times New Roman" w:eastAsia="宋体" w:cs="Times New Roman"/>
      <w:szCs w:val="24"/>
    </w:rPr>
  </w:style>
  <w:style w:type="character" w:customStyle="1" w:styleId="529">
    <w:name w:val="WW8Num5z1"/>
    <w:qFormat/>
    <w:uiPriority w:val="0"/>
    <w:rPr>
      <w:rFonts w:ascii="Wingdings 2" w:hAnsi="Wingdings 2" w:cs="StarSymbol"/>
      <w:sz w:val="18"/>
      <w:szCs w:val="18"/>
    </w:rPr>
  </w:style>
  <w:style w:type="character" w:customStyle="1" w:styleId="530">
    <w:name w:val="正文首行缩进 Char4"/>
    <w:basedOn w:val="526"/>
    <w:qFormat/>
    <w:uiPriority w:val="0"/>
    <w:rPr>
      <w:rFonts w:ascii="Times New Roman" w:hAnsi="Times New Roman" w:eastAsia="宋体" w:cs="Times New Roman"/>
      <w:szCs w:val="24"/>
    </w:rPr>
  </w:style>
  <w:style w:type="character" w:customStyle="1" w:styleId="531">
    <w:name w:val="标题 4 字符1"/>
    <w:qFormat/>
    <w:uiPriority w:val="9"/>
    <w:rPr>
      <w:rFonts w:ascii="仿宋" w:hAnsi="仿宋" w:eastAsia="仿宋"/>
      <w:b/>
      <w:bCs/>
      <w:sz w:val="32"/>
      <w:szCs w:val="32"/>
    </w:rPr>
  </w:style>
  <w:style w:type="character" w:customStyle="1" w:styleId="532">
    <w:name w:val="正文文本 2 Char2"/>
    <w:qFormat/>
    <w:uiPriority w:val="0"/>
    <w:rPr>
      <w:rFonts w:ascii="Times New Roman" w:hAnsi="Times New Roman" w:eastAsia="宋体" w:cs="Times New Roman"/>
      <w:szCs w:val="24"/>
    </w:rPr>
  </w:style>
  <w:style w:type="character" w:customStyle="1" w:styleId="533">
    <w:name w:val="Bullets"/>
    <w:qFormat/>
    <w:uiPriority w:val="0"/>
    <w:rPr>
      <w:rFonts w:ascii="StarSymbol" w:hAnsi="StarSymbol" w:eastAsia="StarSymbol" w:cs="StarSymbol"/>
      <w:sz w:val="18"/>
      <w:szCs w:val="18"/>
    </w:rPr>
  </w:style>
  <w:style w:type="character" w:customStyle="1" w:styleId="534">
    <w:name w:val="正文文本 3 Char2"/>
    <w:qFormat/>
    <w:uiPriority w:val="0"/>
    <w:rPr>
      <w:rFonts w:ascii="Times New Roman" w:hAnsi="Times New Roman" w:eastAsia="宋体" w:cs="Times New Roman"/>
      <w:sz w:val="16"/>
      <w:szCs w:val="16"/>
    </w:rPr>
  </w:style>
  <w:style w:type="character" w:customStyle="1" w:styleId="535">
    <w:name w:val="WW8Num39z2"/>
    <w:qFormat/>
    <w:uiPriority w:val="0"/>
    <w:rPr>
      <w:rFonts w:ascii="StarSymbol" w:hAnsi="StarSymbol" w:cs="StarSymbol"/>
      <w:sz w:val="18"/>
      <w:szCs w:val="18"/>
    </w:rPr>
  </w:style>
  <w:style w:type="character" w:customStyle="1" w:styleId="536">
    <w:name w:val="正文文本缩进 2 Char3"/>
    <w:qFormat/>
    <w:uiPriority w:val="0"/>
    <w:rPr>
      <w:rFonts w:ascii="Times New Roman" w:hAnsi="Times New Roman" w:eastAsia="楷体_GB2312" w:cs="Times New Roman"/>
      <w:sz w:val="24"/>
      <w:szCs w:val="24"/>
    </w:rPr>
  </w:style>
  <w:style w:type="character" w:customStyle="1" w:styleId="537">
    <w:name w:val="WW8Num11z2"/>
    <w:qFormat/>
    <w:uiPriority w:val="0"/>
    <w:rPr>
      <w:rFonts w:ascii="StarSymbol" w:hAnsi="StarSymbol" w:cs="StarSymbol"/>
      <w:sz w:val="18"/>
      <w:szCs w:val="18"/>
    </w:rPr>
  </w:style>
  <w:style w:type="character" w:customStyle="1" w:styleId="538">
    <w:name w:val="正文文本缩进 3 Char2"/>
    <w:qFormat/>
    <w:uiPriority w:val="0"/>
    <w:rPr>
      <w:rFonts w:ascii="Times New Roman" w:hAnsi="Times New Roman" w:eastAsia="宋体" w:cs="Times New Roman"/>
      <w:sz w:val="16"/>
      <w:szCs w:val="16"/>
    </w:rPr>
  </w:style>
  <w:style w:type="character" w:customStyle="1" w:styleId="539">
    <w:name w:val="WW8Num4z1"/>
    <w:qFormat/>
    <w:uiPriority w:val="0"/>
    <w:rPr>
      <w:rFonts w:ascii="Wingdings" w:hAnsi="Wingdings"/>
    </w:rPr>
  </w:style>
  <w:style w:type="character" w:customStyle="1" w:styleId="540">
    <w:name w:val="方案正文 Char1"/>
    <w:link w:val="541"/>
    <w:qFormat/>
    <w:uiPriority w:val="0"/>
    <w:rPr>
      <w:rFonts w:ascii="宋体" w:hAnsi="宋体" w:cs="宋体"/>
      <w:szCs w:val="28"/>
    </w:rPr>
  </w:style>
  <w:style w:type="paragraph" w:customStyle="1" w:styleId="541">
    <w:name w:val="方案正文"/>
    <w:basedOn w:val="1"/>
    <w:next w:val="1"/>
    <w:link w:val="540"/>
    <w:qFormat/>
    <w:uiPriority w:val="0"/>
    <w:pPr>
      <w:spacing w:line="440" w:lineRule="exact"/>
      <w:ind w:firstLine="200"/>
      <w:jc w:val="left"/>
    </w:pPr>
    <w:rPr>
      <w:rFonts w:ascii="宋体" w:hAnsi="宋体" w:cs="宋体" w:eastAsiaTheme="minorEastAsia"/>
      <w:szCs w:val="28"/>
    </w:rPr>
  </w:style>
  <w:style w:type="character" w:customStyle="1" w:styleId="542">
    <w:name w:val="标题 8 字符1"/>
    <w:qFormat/>
    <w:uiPriority w:val="9"/>
    <w:rPr>
      <w:rFonts w:ascii="Arial" w:hAnsi="Arial" w:eastAsia="黑体" w:cs="Times New Roman"/>
      <w:sz w:val="24"/>
      <w:szCs w:val="24"/>
    </w:rPr>
  </w:style>
  <w:style w:type="character" w:customStyle="1" w:styleId="543">
    <w:name w:val="FA正文 Char"/>
    <w:link w:val="544"/>
    <w:qFormat/>
    <w:uiPriority w:val="0"/>
    <w:rPr>
      <w:rFonts w:ascii="宋体" w:hAnsi="宋体"/>
      <w:spacing w:val="10"/>
      <w:sz w:val="24"/>
      <w:szCs w:val="24"/>
    </w:rPr>
  </w:style>
  <w:style w:type="paragraph" w:customStyle="1" w:styleId="544">
    <w:name w:val="FA正文"/>
    <w:basedOn w:val="1"/>
    <w:link w:val="543"/>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5">
    <w:name w:val="WW8Num18z7"/>
    <w:qFormat/>
    <w:uiPriority w:val="0"/>
    <w:rPr>
      <w:rFonts w:ascii="Wingdings" w:hAnsi="Wingdings"/>
    </w:rPr>
  </w:style>
  <w:style w:type="character" w:customStyle="1" w:styleId="546">
    <w:name w:val="方案正文-样式 小四 行距: 1.5 倍行距 Char"/>
    <w:link w:val="547"/>
    <w:qFormat/>
    <w:uiPriority w:val="0"/>
    <w:rPr>
      <w:sz w:val="24"/>
      <w:lang w:val="zh-CN"/>
    </w:rPr>
  </w:style>
  <w:style w:type="paragraph" w:customStyle="1" w:styleId="547">
    <w:name w:val="方案正文-样式 小四 行距: 1.5 倍行距"/>
    <w:basedOn w:val="1"/>
    <w:link w:val="546"/>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48">
    <w:name w:val="WW8Num36z2"/>
    <w:qFormat/>
    <w:uiPriority w:val="0"/>
    <w:rPr>
      <w:rFonts w:ascii="StarSymbol" w:hAnsi="StarSymbol" w:cs="StarSymbol"/>
      <w:sz w:val="18"/>
      <w:szCs w:val="18"/>
    </w:rPr>
  </w:style>
  <w:style w:type="character" w:customStyle="1" w:styleId="549">
    <w:name w:val="label_list1"/>
    <w:qFormat/>
    <w:uiPriority w:val="0"/>
  </w:style>
  <w:style w:type="character" w:customStyle="1" w:styleId="550">
    <w:name w:val="WW8Num9z0"/>
    <w:qFormat/>
    <w:uiPriority w:val="0"/>
    <w:rPr>
      <w:rFonts w:ascii="Wingdings" w:hAnsi="Wingdings" w:cs="StarSymbol"/>
      <w:sz w:val="18"/>
      <w:szCs w:val="18"/>
    </w:rPr>
  </w:style>
  <w:style w:type="character" w:customStyle="1" w:styleId="551">
    <w:name w:val="p11b1"/>
    <w:qFormat/>
    <w:uiPriority w:val="0"/>
    <w:rPr>
      <w:color w:val="000000"/>
      <w:spacing w:val="320"/>
      <w:sz w:val="20"/>
      <w:szCs w:val="20"/>
      <w:u w:val="none"/>
    </w:rPr>
  </w:style>
  <w:style w:type="character" w:customStyle="1" w:styleId="552">
    <w:name w:val="WW8Num8z1"/>
    <w:qFormat/>
    <w:uiPriority w:val="0"/>
    <w:rPr>
      <w:rFonts w:ascii="Wingdings 2" w:hAnsi="Wingdings 2" w:cs="StarSymbol"/>
      <w:sz w:val="18"/>
      <w:szCs w:val="18"/>
    </w:rPr>
  </w:style>
  <w:style w:type="character" w:customStyle="1" w:styleId="553">
    <w:name w:val="Indent Normal Char"/>
    <w:qFormat/>
    <w:uiPriority w:val="0"/>
    <w:rPr>
      <w:rFonts w:hint="eastAsia" w:ascii="宋体" w:hAnsi="宋体" w:eastAsia="宋体"/>
      <w:sz w:val="21"/>
      <w:szCs w:val="24"/>
      <w:lang w:val="en-US" w:eastAsia="zh-CN" w:bidi="ar-SA"/>
    </w:rPr>
  </w:style>
  <w:style w:type="character" w:customStyle="1" w:styleId="554">
    <w:name w:val="标题 2 字符1"/>
    <w:qFormat/>
    <w:uiPriority w:val="0"/>
    <w:rPr>
      <w:rFonts w:ascii="楷体" w:eastAsia="楷体"/>
      <w:b/>
      <w:bCs/>
      <w:color w:val="000000"/>
      <w:sz w:val="32"/>
      <w:szCs w:val="28"/>
    </w:rPr>
  </w:style>
  <w:style w:type="character" w:customStyle="1" w:styleId="555">
    <w:name w:val="large1"/>
    <w:qFormat/>
    <w:uiPriority w:val="0"/>
    <w:rPr>
      <w:rFonts w:hint="eastAsia" w:ascii="宋体" w:hAnsi="宋体" w:eastAsia="宋体"/>
      <w:sz w:val="22"/>
      <w:szCs w:val="22"/>
    </w:rPr>
  </w:style>
  <w:style w:type="character" w:customStyle="1" w:styleId="556">
    <w:name w:val="WW8Num32z1"/>
    <w:qFormat/>
    <w:uiPriority w:val="0"/>
    <w:rPr>
      <w:rFonts w:ascii="Wingdings 2" w:hAnsi="Wingdings 2" w:cs="StarSymbol"/>
      <w:sz w:val="18"/>
      <w:szCs w:val="18"/>
    </w:rPr>
  </w:style>
  <w:style w:type="character" w:customStyle="1" w:styleId="557">
    <w:name w:val="f141"/>
    <w:qFormat/>
    <w:uiPriority w:val="0"/>
    <w:rPr>
      <w:sz w:val="21"/>
      <w:szCs w:val="21"/>
    </w:rPr>
  </w:style>
  <w:style w:type="character" w:customStyle="1" w:styleId="558">
    <w:name w:val="WW8Num25z2"/>
    <w:qFormat/>
    <w:uiPriority w:val="0"/>
    <w:rPr>
      <w:rFonts w:ascii="StarSymbol" w:hAnsi="StarSymbol" w:cs="StarSymbol"/>
      <w:sz w:val="18"/>
      <w:szCs w:val="18"/>
    </w:rPr>
  </w:style>
  <w:style w:type="character" w:customStyle="1" w:styleId="559">
    <w:name w:val="14_black1"/>
    <w:qFormat/>
    <w:uiPriority w:val="0"/>
    <w:rPr>
      <w:color w:val="000000"/>
      <w:sz w:val="23"/>
      <w:szCs w:val="23"/>
    </w:rPr>
  </w:style>
  <w:style w:type="character" w:customStyle="1" w:styleId="560">
    <w:name w:val="WW8Num20z0"/>
    <w:qFormat/>
    <w:uiPriority w:val="0"/>
    <w:rPr>
      <w:rFonts w:ascii="Wingdings" w:hAnsi="Wingdings"/>
    </w:rPr>
  </w:style>
  <w:style w:type="character" w:customStyle="1" w:styleId="561">
    <w:name w:val="正文2 Char Char"/>
    <w:qFormat/>
    <w:uiPriority w:val="0"/>
    <w:rPr>
      <w:rFonts w:hint="eastAsia" w:ascii="仿宋_GB2312" w:eastAsia="仿宋_GB2312"/>
      <w:sz w:val="24"/>
    </w:rPr>
  </w:style>
  <w:style w:type="character" w:customStyle="1" w:styleId="562">
    <w:name w:val="WW8Num2z0"/>
    <w:qFormat/>
    <w:uiPriority w:val="0"/>
    <w:rPr>
      <w:rFonts w:ascii="Wingdings" w:hAnsi="Wingdings" w:cs="StarSymbol"/>
      <w:sz w:val="18"/>
      <w:szCs w:val="18"/>
    </w:rPr>
  </w:style>
  <w:style w:type="character" w:customStyle="1" w:styleId="563">
    <w:name w:val="mini-tree-nodetext2"/>
    <w:basedOn w:val="72"/>
    <w:qFormat/>
    <w:uiPriority w:val="0"/>
  </w:style>
  <w:style w:type="character" w:customStyle="1" w:styleId="564">
    <w:name w:val="WW8Num8z2"/>
    <w:qFormat/>
    <w:uiPriority w:val="0"/>
    <w:rPr>
      <w:rFonts w:ascii="StarSymbol" w:hAnsi="StarSymbol" w:cs="StarSymbol"/>
      <w:sz w:val="18"/>
      <w:szCs w:val="18"/>
    </w:rPr>
  </w:style>
  <w:style w:type="character" w:customStyle="1" w:styleId="565">
    <w:name w:val="before"/>
    <w:basedOn w:val="72"/>
    <w:qFormat/>
    <w:uiPriority w:val="0"/>
  </w:style>
  <w:style w:type="character" w:customStyle="1" w:styleId="566">
    <w:name w:val="WW8Num39z0"/>
    <w:qFormat/>
    <w:uiPriority w:val="0"/>
    <w:rPr>
      <w:rFonts w:ascii="Wingdings" w:hAnsi="Wingdings" w:cs="StarSymbol"/>
      <w:sz w:val="18"/>
      <w:szCs w:val="18"/>
    </w:rPr>
  </w:style>
  <w:style w:type="character" w:customStyle="1" w:styleId="567">
    <w:name w:val="first-child"/>
    <w:basedOn w:val="72"/>
    <w:qFormat/>
    <w:uiPriority w:val="0"/>
  </w:style>
  <w:style w:type="character" w:customStyle="1" w:styleId="568">
    <w:name w:val="WW8Num6z0"/>
    <w:qFormat/>
    <w:uiPriority w:val="0"/>
    <w:rPr>
      <w:rFonts w:ascii="Wingdings" w:hAnsi="Wingdings" w:cs="StarSymbol"/>
      <w:sz w:val="18"/>
      <w:szCs w:val="18"/>
    </w:rPr>
  </w:style>
  <w:style w:type="character" w:customStyle="1" w:styleId="569">
    <w:name w:val="icon501"/>
    <w:qFormat/>
    <w:uiPriority w:val="0"/>
    <w:rPr>
      <w:color w:val="A6A6A6"/>
      <w:sz w:val="27"/>
      <w:szCs w:val="27"/>
    </w:rPr>
  </w:style>
  <w:style w:type="character" w:customStyle="1" w:styleId="570">
    <w:name w:val="WW8Num36z0"/>
    <w:qFormat/>
    <w:uiPriority w:val="0"/>
    <w:rPr>
      <w:rFonts w:ascii="Wingdings" w:hAnsi="Wingdings" w:cs="StarSymbol"/>
      <w:sz w:val="18"/>
      <w:szCs w:val="18"/>
    </w:rPr>
  </w:style>
  <w:style w:type="character" w:customStyle="1" w:styleId="571">
    <w:name w:val="range-menu-item-main-content"/>
    <w:basedOn w:val="72"/>
    <w:qFormat/>
    <w:uiPriority w:val="0"/>
  </w:style>
  <w:style w:type="character" w:customStyle="1" w:styleId="572">
    <w:name w:val="WW8Num37z2"/>
    <w:qFormat/>
    <w:uiPriority w:val="0"/>
    <w:rPr>
      <w:rFonts w:ascii="StarSymbol" w:hAnsi="StarSymbol" w:cs="StarSymbol"/>
      <w:sz w:val="18"/>
      <w:szCs w:val="18"/>
    </w:rPr>
  </w:style>
  <w:style w:type="character" w:customStyle="1" w:styleId="573">
    <w:name w:val="first-child1"/>
    <w:basedOn w:val="72"/>
    <w:qFormat/>
    <w:uiPriority w:val="0"/>
  </w:style>
  <w:style w:type="character" w:customStyle="1" w:styleId="574">
    <w:name w:val="默认段落字体1"/>
    <w:qFormat/>
    <w:uiPriority w:val="0"/>
  </w:style>
  <w:style w:type="character" w:customStyle="1" w:styleId="575">
    <w:name w:val="active__1oyv"/>
    <w:qFormat/>
    <w:uiPriority w:val="0"/>
    <w:rPr>
      <w:color w:val="383838"/>
    </w:rPr>
  </w:style>
  <w:style w:type="character" w:customStyle="1" w:styleId="576">
    <w:name w:val="WW8Num36z1"/>
    <w:qFormat/>
    <w:uiPriority w:val="0"/>
    <w:rPr>
      <w:rFonts w:ascii="Wingdings 2" w:hAnsi="Wingdings 2" w:cs="StarSymbol"/>
      <w:sz w:val="18"/>
      <w:szCs w:val="18"/>
    </w:rPr>
  </w:style>
  <w:style w:type="character" w:customStyle="1" w:styleId="577">
    <w:name w:val="icon499"/>
    <w:qFormat/>
    <w:uiPriority w:val="0"/>
    <w:rPr>
      <w:color w:val="A6A6A6"/>
      <w:sz w:val="27"/>
      <w:szCs w:val="27"/>
    </w:rPr>
  </w:style>
  <w:style w:type="character" w:customStyle="1" w:styleId="578">
    <w:name w:val="main1"/>
    <w:qFormat/>
    <w:uiPriority w:val="0"/>
    <w:rPr>
      <w:rFonts w:hint="default" w:ascii="ˎ̥" w:hAnsi="ˎ̥" w:eastAsia="宋体"/>
      <w:b/>
      <w:sz w:val="21"/>
      <w:szCs w:val="21"/>
      <w:lang w:val="en-US" w:eastAsia="zh-CN" w:bidi="ar-SA"/>
    </w:rPr>
  </w:style>
  <w:style w:type="character" w:customStyle="1" w:styleId="579">
    <w:name w:val="first-child2"/>
    <w:basedOn w:val="72"/>
    <w:qFormat/>
    <w:uiPriority w:val="0"/>
  </w:style>
  <w:style w:type="character" w:customStyle="1" w:styleId="580">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1">
    <w:name w:val="icon500"/>
    <w:basedOn w:val="72"/>
    <w:qFormat/>
    <w:uiPriority w:val="0"/>
  </w:style>
  <w:style w:type="character" w:customStyle="1" w:styleId="582">
    <w:name w:val="WW8Num15z2"/>
    <w:qFormat/>
    <w:uiPriority w:val="0"/>
    <w:rPr>
      <w:rFonts w:ascii="StarSymbol" w:hAnsi="StarSymbol" w:cs="StarSymbol"/>
      <w:sz w:val="18"/>
      <w:szCs w:val="18"/>
    </w:rPr>
  </w:style>
  <w:style w:type="character" w:customStyle="1" w:styleId="583">
    <w:name w:val="range-menu-item-main-content1"/>
    <w:basedOn w:val="72"/>
    <w:qFormat/>
    <w:uiPriority w:val="0"/>
  </w:style>
  <w:style w:type="character" w:customStyle="1" w:styleId="584">
    <w:name w:val="WW8Num3z0"/>
    <w:qFormat/>
    <w:uiPriority w:val="0"/>
    <w:rPr>
      <w:rFonts w:ascii="Wingdings" w:hAnsi="Wingdings" w:cs="StarSymbol"/>
      <w:sz w:val="18"/>
      <w:szCs w:val="18"/>
    </w:rPr>
  </w:style>
  <w:style w:type="character" w:customStyle="1" w:styleId="585">
    <w:name w:val="overdue"/>
    <w:basedOn w:val="72"/>
    <w:qFormat/>
    <w:uiPriority w:val="0"/>
  </w:style>
  <w:style w:type="character" w:customStyle="1" w:styleId="586">
    <w:name w:val="正文文本 字符1"/>
    <w:semiHidden/>
    <w:qFormat/>
    <w:uiPriority w:val="0"/>
    <w:rPr>
      <w:rFonts w:ascii="Times New Roman" w:hAnsi="Times New Roman" w:eastAsia="方正仿宋_GBK" w:cs="Times New Roman"/>
      <w:sz w:val="24"/>
      <w:szCs w:val="20"/>
    </w:rPr>
  </w:style>
  <w:style w:type="character" w:customStyle="1" w:styleId="587">
    <w:name w:val="overdue2"/>
    <w:basedOn w:val="72"/>
    <w:qFormat/>
    <w:uiPriority w:val="0"/>
  </w:style>
  <w:style w:type="character" w:customStyle="1" w:styleId="588">
    <w:name w:val="表头样式 Char"/>
    <w:qFormat/>
    <w:uiPriority w:val="0"/>
    <w:rPr>
      <w:rFonts w:hint="default" w:ascii="Arial" w:hAnsi="Arial" w:cs="Arial"/>
      <w:b/>
      <w:sz w:val="21"/>
      <w:szCs w:val="21"/>
    </w:rPr>
  </w:style>
  <w:style w:type="character" w:customStyle="1" w:styleId="589">
    <w:name w:val="dls-icon[data-role=icon]"/>
    <w:qFormat/>
    <w:uiPriority w:val="0"/>
    <w:rPr>
      <w:sz w:val="24"/>
      <w:szCs w:val="24"/>
    </w:rPr>
  </w:style>
  <w:style w:type="character" w:customStyle="1" w:styleId="590">
    <w:name w:val="maintext1"/>
    <w:qFormat/>
    <w:uiPriority w:val="0"/>
    <w:rPr>
      <w:rFonts w:hint="default" w:ascii="Arial" w:hAnsi="Arial" w:cs="Arial"/>
      <w:color w:val="000000"/>
      <w:sz w:val="18"/>
      <w:szCs w:val="18"/>
    </w:rPr>
  </w:style>
  <w:style w:type="character" w:customStyle="1" w:styleId="591">
    <w:name w:val="icon502"/>
    <w:qFormat/>
    <w:uiPriority w:val="0"/>
    <w:rPr>
      <w:color w:val="A6A6A6"/>
      <w:sz w:val="27"/>
      <w:szCs w:val="27"/>
    </w:rPr>
  </w:style>
  <w:style w:type="character" w:customStyle="1" w:styleId="592">
    <w:name w:val="tw4winMark"/>
    <w:qFormat/>
    <w:uiPriority w:val="0"/>
    <w:rPr>
      <w:rFonts w:hint="default" w:ascii="Courier New" w:hAnsi="Courier New" w:cs="Courier New"/>
      <w:vanish/>
      <w:color w:val="800080"/>
      <w:vertAlign w:val="subscript"/>
    </w:rPr>
  </w:style>
  <w:style w:type="character" w:customStyle="1" w:styleId="593">
    <w:name w:val="列表段落 字符"/>
    <w:link w:val="594"/>
    <w:qFormat/>
    <w:uiPriority w:val="0"/>
    <w:rPr>
      <w:szCs w:val="24"/>
    </w:rPr>
  </w:style>
  <w:style w:type="paragraph" w:customStyle="1" w:styleId="594">
    <w:name w:val="列表段落1"/>
    <w:basedOn w:val="1"/>
    <w:link w:val="593"/>
    <w:qFormat/>
    <w:uiPriority w:val="0"/>
    <w:pPr>
      <w:ind w:firstLine="420"/>
    </w:pPr>
    <w:rPr>
      <w:rFonts w:asciiTheme="minorHAnsi" w:hAnsiTheme="minorHAnsi" w:eastAsiaTheme="minorEastAsia" w:cstheme="minorBidi"/>
    </w:rPr>
  </w:style>
  <w:style w:type="character" w:customStyle="1" w:styleId="595">
    <w:name w:val="称呼 Char1"/>
    <w:qFormat/>
    <w:uiPriority w:val="0"/>
    <w:rPr>
      <w:sz w:val="21"/>
    </w:rPr>
  </w:style>
  <w:style w:type="character" w:customStyle="1" w:styleId="596">
    <w:name w:val="批注主题 Char3"/>
    <w:qFormat/>
    <w:uiPriority w:val="99"/>
    <w:rPr>
      <w:rFonts w:ascii="Times New Roman" w:hAnsi="Times New Roman" w:eastAsia="宋体" w:cs="Times New Roman"/>
      <w:b/>
      <w:bCs/>
      <w:szCs w:val="24"/>
      <w:lang w:val="zh-CN"/>
    </w:rPr>
  </w:style>
  <w:style w:type="character" w:customStyle="1" w:styleId="597">
    <w:name w:val="正文Normal Char"/>
    <w:qFormat/>
    <w:uiPriority w:val="0"/>
    <w:rPr>
      <w:rFonts w:hint="default" w:ascii="Arial" w:hAnsi="Arial" w:cs="Arial"/>
      <w:sz w:val="24"/>
      <w:szCs w:val="24"/>
    </w:rPr>
  </w:style>
  <w:style w:type="character" w:customStyle="1" w:styleId="598">
    <w:name w:val="定制正文 Arial 小四 首行缩进:  0.74 厘米 行距: 1.5 倍行距1 + 宋体 Char"/>
    <w:link w:val="599"/>
    <w:qFormat/>
    <w:uiPriority w:val="0"/>
    <w:rPr>
      <w:rFonts w:ascii="Arial" w:hAnsi="Arial" w:cs="宋体"/>
      <w:bCs/>
      <w:szCs w:val="21"/>
    </w:rPr>
  </w:style>
  <w:style w:type="paragraph" w:customStyle="1" w:styleId="599">
    <w:name w:val="定制正文 Arial 小四 首行缩进:  0.74 厘米 行距: 1.5 倍行距1 + 宋体"/>
    <w:basedOn w:val="1"/>
    <w:link w:val="598"/>
    <w:qFormat/>
    <w:uiPriority w:val="0"/>
    <w:pPr>
      <w:spacing w:line="360" w:lineRule="auto"/>
      <w:ind w:firstLine="420"/>
    </w:pPr>
    <w:rPr>
      <w:rFonts w:ascii="Arial" w:hAnsi="Arial" w:cs="宋体" w:eastAsiaTheme="minorEastAsia"/>
      <w:bCs/>
      <w:szCs w:val="21"/>
    </w:rPr>
  </w:style>
  <w:style w:type="character" w:customStyle="1" w:styleId="600">
    <w:name w:val="WW8Num16z1"/>
    <w:qFormat/>
    <w:uiPriority w:val="0"/>
    <w:rPr>
      <w:rFonts w:ascii="Wingdings" w:hAnsi="Wingdings"/>
    </w:rPr>
  </w:style>
  <w:style w:type="character" w:customStyle="1" w:styleId="601">
    <w:name w:val="Indent Normal Char1"/>
    <w:link w:val="602"/>
    <w:qFormat/>
    <w:uiPriority w:val="0"/>
    <w:rPr>
      <w:sz w:val="24"/>
      <w:szCs w:val="24"/>
    </w:rPr>
  </w:style>
  <w:style w:type="paragraph" w:customStyle="1" w:styleId="602">
    <w:name w:val="Indent Normal"/>
    <w:basedOn w:val="1"/>
    <w:link w:val="601"/>
    <w:qFormat/>
    <w:uiPriority w:val="0"/>
    <w:pPr>
      <w:spacing w:line="360" w:lineRule="auto"/>
      <w:ind w:firstLine="150"/>
    </w:pPr>
    <w:rPr>
      <w:rFonts w:asciiTheme="minorHAnsi" w:hAnsiTheme="minorHAnsi" w:eastAsiaTheme="minorEastAsia" w:cstheme="minorBidi"/>
      <w:sz w:val="24"/>
    </w:rPr>
  </w:style>
  <w:style w:type="character" w:customStyle="1" w:styleId="603">
    <w:name w:val="WW8Num7z2"/>
    <w:qFormat/>
    <w:uiPriority w:val="0"/>
    <w:rPr>
      <w:rFonts w:ascii="StarSymbol" w:hAnsi="StarSymbol" w:cs="StarSymbol"/>
      <w:sz w:val="18"/>
      <w:szCs w:val="18"/>
    </w:rPr>
  </w:style>
  <w:style w:type="character" w:customStyle="1" w:styleId="604">
    <w:name w:val="正文-new Char"/>
    <w:link w:val="605"/>
    <w:qFormat/>
    <w:uiPriority w:val="0"/>
    <w:rPr>
      <w:rFonts w:ascii="宋体" w:hAnsi="宋体" w:cs="宋体"/>
      <w:szCs w:val="21"/>
    </w:rPr>
  </w:style>
  <w:style w:type="paragraph" w:customStyle="1" w:styleId="605">
    <w:name w:val="正文-new"/>
    <w:basedOn w:val="1"/>
    <w:link w:val="604"/>
    <w:qFormat/>
    <w:uiPriority w:val="0"/>
    <w:pPr>
      <w:spacing w:line="360" w:lineRule="auto"/>
      <w:ind w:firstLine="425"/>
    </w:pPr>
    <w:rPr>
      <w:rFonts w:ascii="宋体" w:hAnsi="宋体" w:cs="宋体" w:eastAsiaTheme="minorEastAsia"/>
      <w:szCs w:val="21"/>
    </w:rPr>
  </w:style>
  <w:style w:type="character" w:customStyle="1" w:styleId="606">
    <w:name w:val="WW8Num24z0"/>
    <w:qFormat/>
    <w:uiPriority w:val="0"/>
    <w:rPr>
      <w:rFonts w:ascii="Wingdings" w:hAnsi="Wingdings" w:cs="StarSymbol"/>
      <w:sz w:val="18"/>
      <w:szCs w:val="18"/>
    </w:rPr>
  </w:style>
  <w:style w:type="character" w:customStyle="1" w:styleId="607">
    <w:name w:val="_正文段落 Char"/>
    <w:qFormat/>
    <w:uiPriority w:val="0"/>
    <w:rPr>
      <w:sz w:val="24"/>
      <w:szCs w:val="24"/>
    </w:rPr>
  </w:style>
  <w:style w:type="character" w:customStyle="1" w:styleId="608">
    <w:name w:val="WW8Num33z2"/>
    <w:qFormat/>
    <w:uiPriority w:val="0"/>
    <w:rPr>
      <w:rFonts w:ascii="StarSymbol" w:hAnsi="StarSymbol" w:cs="StarSymbol"/>
      <w:sz w:val="18"/>
      <w:szCs w:val="18"/>
    </w:rPr>
  </w:style>
  <w:style w:type="character" w:customStyle="1" w:styleId="609">
    <w:name w:val="样式 宋体 小四 段前: 7.8 磅 行距: 1.5 倍行距 Char"/>
    <w:link w:val="610"/>
    <w:qFormat/>
    <w:uiPriority w:val="0"/>
    <w:rPr>
      <w:rFonts w:ascii="宋体" w:hAnsi="宋体"/>
      <w:szCs w:val="21"/>
    </w:rPr>
  </w:style>
  <w:style w:type="paragraph" w:customStyle="1" w:styleId="610">
    <w:name w:val="样式 宋体 小四 段前: 7.8 磅 行距: 1.5 倍行距"/>
    <w:basedOn w:val="1"/>
    <w:link w:val="609"/>
    <w:qFormat/>
    <w:uiPriority w:val="0"/>
    <w:pPr>
      <w:spacing w:line="360" w:lineRule="auto"/>
      <w:ind w:firstLine="420"/>
      <w:jc w:val="left"/>
    </w:pPr>
    <w:rPr>
      <w:rFonts w:ascii="宋体" w:hAnsi="宋体" w:eastAsiaTheme="minorEastAsia" w:cstheme="minorBidi"/>
      <w:szCs w:val="21"/>
    </w:rPr>
  </w:style>
  <w:style w:type="character" w:customStyle="1" w:styleId="611">
    <w:name w:val="WW8Num38z1"/>
    <w:qFormat/>
    <w:uiPriority w:val="0"/>
    <w:rPr>
      <w:rFonts w:ascii="Wingdings 2" w:hAnsi="Wingdings 2" w:cs="StarSymbol"/>
      <w:sz w:val="18"/>
      <w:szCs w:val="18"/>
    </w:rPr>
  </w:style>
  <w:style w:type="character" w:customStyle="1" w:styleId="612">
    <w:name w:val="表格样式 宋体 5号 Char"/>
    <w:link w:val="613"/>
    <w:qFormat/>
    <w:uiPriority w:val="0"/>
    <w:rPr>
      <w:rFonts w:ascii="宋体" w:hAnsi="宋体"/>
      <w:szCs w:val="21"/>
      <w:lang w:val="zh-CN"/>
    </w:rPr>
  </w:style>
  <w:style w:type="paragraph" w:customStyle="1" w:styleId="613">
    <w:name w:val="表格样式 宋体 5号"/>
    <w:basedOn w:val="1"/>
    <w:link w:val="612"/>
    <w:qFormat/>
    <w:uiPriority w:val="0"/>
    <w:pPr>
      <w:jc w:val="left"/>
    </w:pPr>
    <w:rPr>
      <w:rFonts w:ascii="宋体" w:hAnsi="宋体" w:eastAsiaTheme="minorEastAsia" w:cstheme="minorBidi"/>
      <w:szCs w:val="21"/>
      <w:lang w:val="zh-CN"/>
    </w:rPr>
  </w:style>
  <w:style w:type="character" w:customStyle="1" w:styleId="614">
    <w:name w:val="WW8Num7z1"/>
    <w:qFormat/>
    <w:uiPriority w:val="0"/>
    <w:rPr>
      <w:rFonts w:ascii="Wingdings 2" w:hAnsi="Wingdings 2" w:cs="StarSymbol"/>
      <w:sz w:val="18"/>
      <w:szCs w:val="18"/>
    </w:rPr>
  </w:style>
  <w:style w:type="character" w:customStyle="1" w:styleId="615">
    <w:name w:val="样式 宋体 四号"/>
    <w:qFormat/>
    <w:uiPriority w:val="0"/>
    <w:rPr>
      <w:rFonts w:ascii="宋体" w:hAnsi="宋体" w:eastAsia="仿宋_GB2312"/>
      <w:sz w:val="28"/>
    </w:rPr>
  </w:style>
  <w:style w:type="character" w:customStyle="1" w:styleId="616">
    <w:name w:val="WW8Num17z2"/>
    <w:qFormat/>
    <w:uiPriority w:val="0"/>
    <w:rPr>
      <w:rFonts w:ascii="StarSymbol" w:hAnsi="StarSymbol" w:cs="StarSymbol"/>
      <w:sz w:val="18"/>
      <w:szCs w:val="18"/>
    </w:rPr>
  </w:style>
  <w:style w:type="character" w:customStyle="1" w:styleId="617">
    <w:name w:val="我的正文 Char"/>
    <w:link w:val="618"/>
    <w:qFormat/>
    <w:uiPriority w:val="0"/>
    <w:rPr>
      <w:rFonts w:ascii="Arial" w:hAnsi="Arial"/>
      <w:sz w:val="24"/>
      <w:szCs w:val="18"/>
    </w:rPr>
  </w:style>
  <w:style w:type="paragraph" w:customStyle="1" w:styleId="618">
    <w:name w:val="我的正文"/>
    <w:basedOn w:val="1"/>
    <w:link w:val="617"/>
    <w:qFormat/>
    <w:uiPriority w:val="0"/>
    <w:pPr>
      <w:widowControl/>
      <w:spacing w:line="360" w:lineRule="auto"/>
      <w:ind w:firstLine="200"/>
    </w:pPr>
    <w:rPr>
      <w:rFonts w:ascii="Arial" w:hAnsi="Arial" w:eastAsiaTheme="minorEastAsia" w:cstheme="minorBidi"/>
      <w:sz w:val="24"/>
      <w:szCs w:val="18"/>
    </w:rPr>
  </w:style>
  <w:style w:type="character" w:customStyle="1" w:styleId="619">
    <w:name w:val="WW8Num10z1"/>
    <w:qFormat/>
    <w:uiPriority w:val="0"/>
    <w:rPr>
      <w:rFonts w:ascii="Wingdings 2" w:hAnsi="Wingdings 2" w:cs="StarSymbol"/>
      <w:sz w:val="18"/>
      <w:szCs w:val="18"/>
    </w:rPr>
  </w:style>
  <w:style w:type="character" w:customStyle="1" w:styleId="620">
    <w:name w:val="脚注文本 字符"/>
    <w:qFormat/>
    <w:uiPriority w:val="0"/>
    <w:rPr>
      <w:rFonts w:ascii="Times New Roman" w:hAnsi="Times New Roman" w:eastAsia="宋体" w:cs="Times New Roman"/>
      <w:sz w:val="18"/>
      <w:szCs w:val="18"/>
    </w:rPr>
  </w:style>
  <w:style w:type="character" w:customStyle="1" w:styleId="621">
    <w:name w:val="WW8Num27z0"/>
    <w:qFormat/>
    <w:uiPriority w:val="0"/>
    <w:rPr>
      <w:rFonts w:ascii="Wingdings" w:hAnsi="Wingdings" w:cs="StarSymbol"/>
      <w:sz w:val="18"/>
      <w:szCs w:val="18"/>
    </w:rPr>
  </w:style>
  <w:style w:type="character" w:customStyle="1" w:styleId="622">
    <w:name w:val="脚注文本 Char2"/>
    <w:qFormat/>
    <w:uiPriority w:val="0"/>
    <w:rPr>
      <w:rFonts w:ascii="Times New Roman" w:hAnsi="Times New Roman" w:eastAsia="宋体" w:cs="Times New Roman"/>
      <w:sz w:val="18"/>
      <w:szCs w:val="18"/>
    </w:rPr>
  </w:style>
  <w:style w:type="character" w:customStyle="1" w:styleId="623">
    <w:name w:val="WW8Num10z2"/>
    <w:qFormat/>
    <w:uiPriority w:val="0"/>
    <w:rPr>
      <w:rFonts w:ascii="StarSymbol" w:hAnsi="StarSymbol" w:cs="StarSymbol"/>
      <w:sz w:val="18"/>
      <w:szCs w:val="18"/>
    </w:rPr>
  </w:style>
  <w:style w:type="character" w:customStyle="1" w:styleId="624">
    <w:name w:val="HTML 地址 字符"/>
    <w:qFormat/>
    <w:uiPriority w:val="0"/>
    <w:rPr>
      <w:rFonts w:ascii="Times New Roman" w:hAnsi="Times New Roman" w:eastAsia="宋体" w:cs="Times New Roman"/>
      <w:i/>
      <w:iCs/>
      <w:szCs w:val="24"/>
    </w:rPr>
  </w:style>
  <w:style w:type="character" w:customStyle="1" w:styleId="625">
    <w:name w:val="pi1"/>
    <w:qFormat/>
    <w:uiPriority w:val="0"/>
    <w:rPr>
      <w:color w:val="0000FF"/>
    </w:rPr>
  </w:style>
  <w:style w:type="character" w:customStyle="1" w:styleId="626">
    <w:name w:val="HTML 地址 Char2"/>
    <w:qFormat/>
    <w:uiPriority w:val="0"/>
    <w:rPr>
      <w:i/>
      <w:iCs/>
      <w:szCs w:val="24"/>
    </w:rPr>
  </w:style>
  <w:style w:type="character" w:customStyle="1" w:styleId="627">
    <w:name w:val="WW-Absatz-Standardschriftart"/>
    <w:qFormat/>
    <w:uiPriority w:val="0"/>
  </w:style>
  <w:style w:type="character" w:customStyle="1" w:styleId="628">
    <w:name w:val="HTML 预设格式 字符"/>
    <w:qFormat/>
    <w:uiPriority w:val="0"/>
    <w:rPr>
      <w:rFonts w:ascii="Courier New" w:hAnsi="Courier New" w:eastAsia="宋体" w:cs="Courier New"/>
      <w:sz w:val="20"/>
      <w:szCs w:val="20"/>
    </w:rPr>
  </w:style>
  <w:style w:type="character" w:customStyle="1" w:styleId="629">
    <w:name w:val="WW8Num27z1"/>
    <w:qFormat/>
    <w:uiPriority w:val="0"/>
    <w:rPr>
      <w:rFonts w:ascii="Wingdings 2" w:hAnsi="Wingdings 2" w:cs="StarSymbol"/>
      <w:sz w:val="18"/>
      <w:szCs w:val="18"/>
    </w:rPr>
  </w:style>
  <w:style w:type="character" w:customStyle="1" w:styleId="630">
    <w:name w:val="HTML 预设格式 Char2"/>
    <w:qFormat/>
    <w:uiPriority w:val="0"/>
    <w:rPr>
      <w:rFonts w:ascii="Courier New" w:hAnsi="Courier New" w:cs="Courier New"/>
    </w:rPr>
  </w:style>
  <w:style w:type="character" w:customStyle="1" w:styleId="631">
    <w:name w:val="WW8Num20z2"/>
    <w:qFormat/>
    <w:uiPriority w:val="0"/>
    <w:rPr>
      <w:rFonts w:ascii="StarSymbol" w:hAnsi="StarSymbol" w:cs="StarSymbol"/>
      <w:sz w:val="18"/>
      <w:szCs w:val="18"/>
    </w:rPr>
  </w:style>
  <w:style w:type="character" w:customStyle="1" w:styleId="632">
    <w:name w:val="发布"/>
    <w:qFormat/>
    <w:uiPriority w:val="0"/>
    <w:rPr>
      <w:rFonts w:ascii="黑体" w:eastAsia="黑体"/>
      <w:spacing w:val="22"/>
      <w:position w:val="3"/>
      <w:sz w:val="28"/>
    </w:rPr>
  </w:style>
  <w:style w:type="character" w:customStyle="1" w:styleId="633">
    <w:name w:val="WW8Num29z0"/>
    <w:qFormat/>
    <w:uiPriority w:val="0"/>
    <w:rPr>
      <w:rFonts w:ascii="Wingdings" w:hAnsi="Wingdings" w:cs="StarSymbol"/>
      <w:sz w:val="18"/>
      <w:szCs w:val="18"/>
    </w:rPr>
  </w:style>
  <w:style w:type="character" w:customStyle="1" w:styleId="634">
    <w:name w:val="EmailStyle87"/>
    <w:qFormat/>
    <w:uiPriority w:val="0"/>
    <w:rPr>
      <w:rFonts w:ascii="Arial" w:hAnsi="Arial" w:eastAsia="宋体" w:cs="Arial"/>
      <w:color w:val="auto"/>
      <w:sz w:val="20"/>
    </w:rPr>
  </w:style>
  <w:style w:type="character" w:customStyle="1" w:styleId="635">
    <w:name w:val="WW8Num24z2"/>
    <w:qFormat/>
    <w:uiPriority w:val="0"/>
    <w:rPr>
      <w:rFonts w:ascii="StarSymbol" w:hAnsi="StarSymbol" w:cs="StarSymbol"/>
      <w:sz w:val="18"/>
      <w:szCs w:val="18"/>
    </w:rPr>
  </w:style>
  <w:style w:type="character" w:customStyle="1" w:styleId="636">
    <w:name w:val="EmailStyle88"/>
    <w:qFormat/>
    <w:uiPriority w:val="0"/>
    <w:rPr>
      <w:rFonts w:ascii="Arial" w:hAnsi="Arial" w:eastAsia="宋体" w:cs="Arial"/>
      <w:color w:val="auto"/>
      <w:sz w:val="20"/>
    </w:rPr>
  </w:style>
  <w:style w:type="character" w:customStyle="1" w:styleId="637">
    <w:name w:val="称呼 字符1"/>
    <w:qFormat/>
    <w:uiPriority w:val="0"/>
    <w:rPr>
      <w:rFonts w:ascii="Times New Roman" w:hAnsi="Times New Roman" w:eastAsia="宋体" w:cs="Times New Roman"/>
      <w:szCs w:val="24"/>
    </w:rPr>
  </w:style>
  <w:style w:type="character" w:customStyle="1" w:styleId="638">
    <w:name w:val="FA正文 Char Char"/>
    <w:qFormat/>
    <w:uiPriority w:val="0"/>
    <w:rPr>
      <w:rFonts w:hAnsi="宋体" w:cs="宋体"/>
      <w:sz w:val="24"/>
      <w:szCs w:val="21"/>
    </w:rPr>
  </w:style>
  <w:style w:type="character" w:customStyle="1" w:styleId="639">
    <w:name w:val="副标题 字符1"/>
    <w:qFormat/>
    <w:uiPriority w:val="0"/>
    <w:rPr>
      <w:b/>
      <w:bCs/>
      <w:sz w:val="32"/>
      <w:szCs w:val="32"/>
    </w:rPr>
  </w:style>
  <w:style w:type="character" w:customStyle="1" w:styleId="640">
    <w:name w:val="注释标题 字符"/>
    <w:qFormat/>
    <w:uiPriority w:val="0"/>
    <w:rPr>
      <w:rFonts w:ascii="Times New Roman" w:hAnsi="Times New Roman" w:eastAsia="宋体" w:cs="Times New Roman"/>
      <w:szCs w:val="24"/>
    </w:rPr>
  </w:style>
  <w:style w:type="character" w:customStyle="1" w:styleId="641">
    <w:name w:val="正文文本首行缩进 2 字符1"/>
    <w:basedOn w:val="511"/>
    <w:qFormat/>
    <w:uiPriority w:val="0"/>
    <w:rPr>
      <w:rFonts w:ascii="Times New Roman" w:hAnsi="Times New Roman" w:eastAsia="宋体" w:cs="Times New Roman"/>
      <w:szCs w:val="24"/>
      <w:lang w:val="zh-CN" w:eastAsia="zh-CN"/>
    </w:rPr>
  </w:style>
  <w:style w:type="character" w:customStyle="1" w:styleId="642">
    <w:name w:val="注释标题 Char3"/>
    <w:qFormat/>
    <w:uiPriority w:val="0"/>
    <w:rPr>
      <w:szCs w:val="24"/>
    </w:rPr>
  </w:style>
  <w:style w:type="character" w:customStyle="1" w:styleId="643">
    <w:name w:val="Char Char312"/>
    <w:qFormat/>
    <w:uiPriority w:val="0"/>
    <w:rPr>
      <w:rFonts w:eastAsia="宋体"/>
      <w:sz w:val="21"/>
      <w:szCs w:val="24"/>
      <w:lang w:val="en-US" w:eastAsia="zh-CN" w:bidi="ar-SA"/>
    </w:rPr>
  </w:style>
  <w:style w:type="character" w:customStyle="1" w:styleId="644">
    <w:name w:val="EmailStyle127"/>
    <w:qFormat/>
    <w:uiPriority w:val="0"/>
    <w:rPr>
      <w:rFonts w:ascii="Arial" w:hAnsi="Arial" w:eastAsia="宋体" w:cs="Arial"/>
      <w:color w:val="auto"/>
      <w:sz w:val="20"/>
    </w:rPr>
  </w:style>
  <w:style w:type="character" w:customStyle="1" w:styleId="645">
    <w:name w:val="!BECC正文 Char"/>
    <w:link w:val="646"/>
    <w:qFormat/>
    <w:uiPriority w:val="0"/>
    <w:rPr>
      <w:sz w:val="24"/>
      <w:szCs w:val="24"/>
    </w:rPr>
  </w:style>
  <w:style w:type="paragraph" w:customStyle="1" w:styleId="646">
    <w:name w:val="!BECC正文"/>
    <w:basedOn w:val="1"/>
    <w:link w:val="645"/>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7">
    <w:name w:val="EmailStyle128"/>
    <w:qFormat/>
    <w:uiPriority w:val="0"/>
    <w:rPr>
      <w:rFonts w:ascii="Arial" w:hAnsi="Arial" w:eastAsia="宋体" w:cs="Arial"/>
      <w:color w:val="auto"/>
      <w:sz w:val="20"/>
    </w:rPr>
  </w:style>
  <w:style w:type="character" w:customStyle="1" w:styleId="648">
    <w:name w:val="ordinary-span-edit2"/>
    <w:qFormat/>
    <w:uiPriority w:val="0"/>
  </w:style>
  <w:style w:type="character" w:customStyle="1" w:styleId="649">
    <w:name w:val="标题 2 Char1"/>
    <w:qFormat/>
    <w:uiPriority w:val="0"/>
    <w:rPr>
      <w:b/>
      <w:bCs/>
      <w:sz w:val="30"/>
      <w:szCs w:val="32"/>
    </w:rPr>
  </w:style>
  <w:style w:type="character" w:customStyle="1" w:styleId="650">
    <w:name w:val="!RepPar_alt+p Char"/>
    <w:link w:val="651"/>
    <w:qFormat/>
    <w:uiPriority w:val="0"/>
    <w:rPr>
      <w:sz w:val="24"/>
      <w:szCs w:val="24"/>
      <w:lang w:val="zh-CN"/>
    </w:rPr>
  </w:style>
  <w:style w:type="paragraph" w:customStyle="1" w:styleId="651">
    <w:name w:val="!RepPar_alt+p"/>
    <w:basedOn w:val="1"/>
    <w:link w:val="650"/>
    <w:qFormat/>
    <w:uiPriority w:val="0"/>
    <w:pPr>
      <w:spacing w:line="360" w:lineRule="auto"/>
      <w:ind w:firstLine="200"/>
    </w:pPr>
    <w:rPr>
      <w:rFonts w:asciiTheme="minorHAnsi" w:hAnsiTheme="minorHAnsi" w:eastAsiaTheme="minorEastAsia" w:cstheme="minorBidi"/>
      <w:sz w:val="24"/>
      <w:lang w:val="zh-CN"/>
    </w:rPr>
  </w:style>
  <w:style w:type="character" w:customStyle="1" w:styleId="652">
    <w:name w:val="bz-content1"/>
    <w:qFormat/>
    <w:uiPriority w:val="0"/>
    <w:rPr>
      <w:sz w:val="20"/>
      <w:szCs w:val="20"/>
      <w:u w:val="none"/>
    </w:rPr>
  </w:style>
  <w:style w:type="character" w:customStyle="1" w:styleId="653">
    <w:name w:val="highlight1"/>
    <w:qFormat/>
    <w:uiPriority w:val="0"/>
    <w:rPr>
      <w:shd w:val="clear" w:color="auto" w:fill="FFFF00"/>
    </w:rPr>
  </w:style>
  <w:style w:type="character" w:customStyle="1" w:styleId="654">
    <w:name w:val="Char Char3"/>
    <w:qFormat/>
    <w:uiPriority w:val="0"/>
    <w:rPr>
      <w:rFonts w:eastAsia="宋体"/>
      <w:sz w:val="21"/>
      <w:szCs w:val="24"/>
      <w:lang w:val="en-US" w:eastAsia="zh-CN" w:bidi="ar-SA"/>
    </w:rPr>
  </w:style>
  <w:style w:type="character" w:customStyle="1" w:styleId="655">
    <w:name w:val="highlight"/>
    <w:qFormat/>
    <w:uiPriority w:val="0"/>
  </w:style>
  <w:style w:type="character" w:customStyle="1" w:styleId="656">
    <w:name w:val="style12"/>
    <w:qFormat/>
    <w:uiPriority w:val="0"/>
  </w:style>
  <w:style w:type="character" w:customStyle="1" w:styleId="657">
    <w:name w:val="样式1 Char"/>
    <w:link w:val="658"/>
    <w:qFormat/>
    <w:uiPriority w:val="0"/>
    <w:rPr>
      <w:sz w:val="24"/>
      <w:szCs w:val="24"/>
    </w:rPr>
  </w:style>
  <w:style w:type="paragraph" w:customStyle="1" w:styleId="658">
    <w:name w:val="样式1"/>
    <w:basedOn w:val="1"/>
    <w:link w:val="657"/>
    <w:qFormat/>
    <w:uiPriority w:val="0"/>
    <w:pPr>
      <w:spacing w:line="300" w:lineRule="auto"/>
      <w:ind w:firstLine="480"/>
    </w:pPr>
    <w:rPr>
      <w:rFonts w:asciiTheme="minorHAnsi" w:hAnsiTheme="minorHAnsi" w:eastAsiaTheme="minorEastAsia" w:cstheme="minorBidi"/>
      <w:sz w:val="24"/>
    </w:rPr>
  </w:style>
  <w:style w:type="character" w:customStyle="1" w:styleId="659">
    <w:name w:val="font201"/>
    <w:qFormat/>
    <w:uiPriority w:val="0"/>
    <w:rPr>
      <w:spacing w:val="300"/>
    </w:rPr>
  </w:style>
  <w:style w:type="character" w:customStyle="1" w:styleId="660">
    <w:name w:val="明显强调1"/>
    <w:qFormat/>
    <w:uiPriority w:val="0"/>
    <w:rPr>
      <w:i/>
      <w:iCs/>
      <w:color w:val="5B9BD5"/>
    </w:rPr>
  </w:style>
  <w:style w:type="character" w:customStyle="1" w:styleId="661">
    <w:name w:val="lawsitemtext1"/>
    <w:qFormat/>
    <w:uiPriority w:val="0"/>
    <w:rPr>
      <w:color w:val="696969"/>
      <w:spacing w:val="280"/>
      <w:sz w:val="21"/>
      <w:szCs w:val="21"/>
    </w:rPr>
  </w:style>
  <w:style w:type="character" w:customStyle="1" w:styleId="662">
    <w:name w:val="文字 Char Char"/>
    <w:link w:val="663"/>
    <w:qFormat/>
    <w:uiPriority w:val="0"/>
    <w:rPr>
      <w:rFonts w:ascii="楷体_GB2312" w:eastAsia="楷体_GB2312"/>
      <w:sz w:val="28"/>
    </w:rPr>
  </w:style>
  <w:style w:type="paragraph" w:customStyle="1" w:styleId="663">
    <w:name w:val="文字"/>
    <w:basedOn w:val="1"/>
    <w:link w:val="662"/>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4">
    <w:name w:val="l151"/>
    <w:qFormat/>
    <w:uiPriority w:val="0"/>
  </w:style>
  <w:style w:type="character" w:customStyle="1" w:styleId="665">
    <w:name w:val="Char Char31"/>
    <w:qFormat/>
    <w:uiPriority w:val="0"/>
    <w:rPr>
      <w:rFonts w:eastAsia="宋体"/>
      <w:sz w:val="21"/>
      <w:szCs w:val="24"/>
      <w:lang w:val="en-US" w:eastAsia="zh-CN" w:bidi="ar-SA"/>
    </w:rPr>
  </w:style>
  <w:style w:type="character" w:customStyle="1" w:styleId="666">
    <w:name w:val="EmailStyle891"/>
    <w:qFormat/>
    <w:uiPriority w:val="0"/>
    <w:rPr>
      <w:rFonts w:ascii="Arial" w:hAnsi="Arial" w:eastAsia="宋体" w:cs="Arial"/>
      <w:color w:val="auto"/>
      <w:sz w:val="20"/>
    </w:rPr>
  </w:style>
  <w:style w:type="character" w:customStyle="1" w:styleId="667">
    <w:name w:val="一级条标题 Char"/>
    <w:qFormat/>
    <w:uiPriority w:val="0"/>
    <w:rPr>
      <w:rFonts w:ascii="黑体" w:hAnsi="Times New Roman" w:eastAsia="黑体" w:cs="Times New Roman"/>
      <w:szCs w:val="20"/>
    </w:rPr>
  </w:style>
  <w:style w:type="character" w:customStyle="1" w:styleId="668">
    <w:name w:val="EmailStyle901"/>
    <w:qFormat/>
    <w:uiPriority w:val="0"/>
    <w:rPr>
      <w:rFonts w:ascii="Arial" w:hAnsi="Arial" w:eastAsia="宋体" w:cs="Arial"/>
      <w:color w:val="auto"/>
      <w:sz w:val="20"/>
    </w:rPr>
  </w:style>
  <w:style w:type="character" w:customStyle="1" w:styleId="669">
    <w:name w:val="章标题 Char"/>
    <w:link w:val="348"/>
    <w:qFormat/>
    <w:uiPriority w:val="0"/>
    <w:rPr>
      <w:rFonts w:ascii="黑体" w:eastAsia="黑体"/>
    </w:rPr>
  </w:style>
  <w:style w:type="character" w:customStyle="1" w:styleId="670">
    <w:name w:val="small1"/>
    <w:qFormat/>
    <w:uiPriority w:val="0"/>
    <w:rPr>
      <w:rFonts w:hint="default" w:ascii="Verdana" w:hAnsi="Verdana"/>
      <w:sz w:val="18"/>
      <w:szCs w:val="18"/>
    </w:rPr>
  </w:style>
  <w:style w:type="character" w:customStyle="1" w:styleId="671">
    <w:name w:val="二级条标题 Char"/>
    <w:qFormat/>
    <w:uiPriority w:val="0"/>
    <w:rPr>
      <w:rFonts w:ascii="黑体" w:hAnsi="Times New Roman" w:eastAsia="黑体" w:cs="Times New Roman"/>
      <w:szCs w:val="20"/>
    </w:rPr>
  </w:style>
  <w:style w:type="character" w:customStyle="1" w:styleId="672">
    <w:name w:val="fnt1"/>
    <w:qFormat/>
    <w:uiPriority w:val="0"/>
    <w:rPr>
      <w:rFonts w:hint="default" w:ascii="Verdana" w:hAnsi="Verdana"/>
      <w:color w:val="666666"/>
      <w:sz w:val="18"/>
      <w:szCs w:val="18"/>
    </w:rPr>
  </w:style>
  <w:style w:type="character" w:customStyle="1" w:styleId="673">
    <w:name w:val="三级条标题 Char"/>
    <w:link w:val="674"/>
    <w:qFormat/>
    <w:uiPriority w:val="0"/>
    <w:rPr>
      <w:rFonts w:ascii="黑体" w:eastAsia="黑体"/>
    </w:rPr>
  </w:style>
  <w:style w:type="paragraph" w:customStyle="1" w:styleId="674">
    <w:name w:val="三级条标题"/>
    <w:basedOn w:val="346"/>
    <w:next w:val="323"/>
    <w:link w:val="673"/>
    <w:qFormat/>
    <w:uiPriority w:val="0"/>
    <w:pPr>
      <w:tabs>
        <w:tab w:val="left" w:pos="1440"/>
      </w:tabs>
      <w:ind w:left="780" w:hanging="360"/>
      <w:outlineLvl w:val="4"/>
    </w:pPr>
  </w:style>
  <w:style w:type="character" w:customStyle="1" w:styleId="675">
    <w:name w:val="paragraph1 Char"/>
    <w:link w:val="676"/>
    <w:qFormat/>
    <w:uiPriority w:val="0"/>
    <w:rPr>
      <w:rFonts w:ascii="仿宋_GB2312" w:eastAsia="仿宋_GB2312"/>
      <w:sz w:val="28"/>
      <w:szCs w:val="24"/>
    </w:rPr>
  </w:style>
  <w:style w:type="paragraph" w:customStyle="1" w:styleId="676">
    <w:name w:val="paragraph1"/>
    <w:basedOn w:val="1"/>
    <w:link w:val="675"/>
    <w:qFormat/>
    <w:uiPriority w:val="0"/>
    <w:pPr>
      <w:spacing w:line="360" w:lineRule="auto"/>
      <w:ind w:firstLine="200"/>
    </w:pPr>
    <w:rPr>
      <w:rFonts w:ascii="仿宋_GB2312" w:eastAsia="仿宋_GB2312" w:hAnsiTheme="minorHAnsi" w:cstheme="minorBidi"/>
      <w:sz w:val="28"/>
    </w:rPr>
  </w:style>
  <w:style w:type="character" w:customStyle="1" w:styleId="677">
    <w:name w:val="注： Char"/>
    <w:link w:val="678"/>
    <w:qFormat/>
    <w:uiPriority w:val="0"/>
    <w:rPr>
      <w:rFonts w:ascii="宋体"/>
      <w:sz w:val="18"/>
    </w:rPr>
  </w:style>
  <w:style w:type="paragraph" w:customStyle="1" w:styleId="678">
    <w:name w:val="注："/>
    <w:next w:val="323"/>
    <w:link w:val="677"/>
    <w:qFormat/>
    <w:uiPriority w:val="0"/>
    <w:pPr>
      <w:widowControl w:val="0"/>
      <w:tabs>
        <w:tab w:val="left" w:pos="1200"/>
      </w:tabs>
      <w:ind w:left="840" w:hanging="420"/>
      <w:jc w:val="both"/>
    </w:pPr>
    <w:rPr>
      <w:rFonts w:ascii="宋体" w:hAnsiTheme="minorHAnsi" w:eastAsiaTheme="minorEastAsia" w:cstheme="minorBidi"/>
      <w:sz w:val="18"/>
      <w:szCs w:val="22"/>
      <w:lang w:val="en-US" w:eastAsia="zh-CN" w:bidi="ar-SA"/>
    </w:rPr>
  </w:style>
  <w:style w:type="character" w:customStyle="1" w:styleId="679">
    <w:name w:val="EmailStyle1271"/>
    <w:qFormat/>
    <w:uiPriority w:val="0"/>
    <w:rPr>
      <w:rFonts w:ascii="Arial" w:hAnsi="Arial" w:eastAsia="宋体" w:cs="Arial"/>
      <w:color w:val="auto"/>
      <w:sz w:val="20"/>
    </w:rPr>
  </w:style>
  <w:style w:type="character" w:customStyle="1" w:styleId="680">
    <w:name w:val="WW-Absatz-Standardschriftart1111"/>
    <w:qFormat/>
    <w:uiPriority w:val="0"/>
  </w:style>
  <w:style w:type="character" w:customStyle="1" w:styleId="681">
    <w:name w:val="EmailStyle1281"/>
    <w:qFormat/>
    <w:uiPriority w:val="0"/>
    <w:rPr>
      <w:rFonts w:ascii="Arial" w:hAnsi="Arial" w:eastAsia="宋体" w:cs="Arial"/>
      <w:color w:val="auto"/>
      <w:sz w:val="20"/>
    </w:rPr>
  </w:style>
  <w:style w:type="character" w:customStyle="1" w:styleId="682">
    <w:name w:val="WW8Num1z7"/>
    <w:qFormat/>
    <w:uiPriority w:val="0"/>
    <w:rPr>
      <w:rFonts w:ascii="Wingdings" w:hAnsi="Wingdings"/>
    </w:rPr>
  </w:style>
  <w:style w:type="character" w:customStyle="1" w:styleId="683">
    <w:name w:val="EmailStyle170"/>
    <w:qFormat/>
    <w:uiPriority w:val="0"/>
    <w:rPr>
      <w:rFonts w:ascii="Arial" w:hAnsi="Arial" w:eastAsia="宋体" w:cs="Arial"/>
      <w:color w:val="auto"/>
      <w:sz w:val="20"/>
    </w:rPr>
  </w:style>
  <w:style w:type="character" w:customStyle="1" w:styleId="684">
    <w:name w:val="WW8Num19z2"/>
    <w:qFormat/>
    <w:uiPriority w:val="0"/>
    <w:rPr>
      <w:rFonts w:ascii="StarSymbol" w:hAnsi="StarSymbol" w:cs="StarSymbol"/>
      <w:sz w:val="18"/>
      <w:szCs w:val="18"/>
    </w:rPr>
  </w:style>
  <w:style w:type="character" w:customStyle="1" w:styleId="685">
    <w:name w:val="EmailStyle171"/>
    <w:qFormat/>
    <w:uiPriority w:val="0"/>
    <w:rPr>
      <w:rFonts w:ascii="Arial" w:hAnsi="Arial" w:eastAsia="宋体" w:cs="Arial"/>
      <w:color w:val="auto"/>
      <w:sz w:val="20"/>
    </w:rPr>
  </w:style>
  <w:style w:type="character" w:customStyle="1" w:styleId="686">
    <w:name w:val="WW8Num7z0"/>
    <w:qFormat/>
    <w:uiPriority w:val="0"/>
    <w:rPr>
      <w:rFonts w:ascii="Wingdings" w:hAnsi="Wingdings"/>
    </w:rPr>
  </w:style>
  <w:style w:type="character" w:customStyle="1" w:styleId="687">
    <w:name w:val="Char Char311"/>
    <w:qFormat/>
    <w:uiPriority w:val="0"/>
    <w:rPr>
      <w:rFonts w:eastAsia="宋体"/>
      <w:sz w:val="21"/>
      <w:szCs w:val="24"/>
      <w:lang w:val="en-US" w:eastAsia="zh-CN" w:bidi="ar-SA"/>
    </w:rPr>
  </w:style>
  <w:style w:type="character" w:customStyle="1" w:styleId="688">
    <w:name w:val="WW8Num25z1"/>
    <w:qFormat/>
    <w:uiPriority w:val="0"/>
    <w:rPr>
      <w:rFonts w:ascii="Wingdings 2" w:hAnsi="Wingdings 2" w:cs="StarSymbol"/>
      <w:sz w:val="18"/>
      <w:szCs w:val="18"/>
    </w:rPr>
  </w:style>
  <w:style w:type="character" w:customStyle="1" w:styleId="689">
    <w:name w:val="EmailStyle200"/>
    <w:qFormat/>
    <w:uiPriority w:val="0"/>
    <w:rPr>
      <w:rFonts w:ascii="Arial" w:hAnsi="Arial" w:eastAsia="宋体" w:cs="Arial"/>
      <w:color w:val="auto"/>
      <w:sz w:val="20"/>
    </w:rPr>
  </w:style>
  <w:style w:type="character" w:customStyle="1" w:styleId="690">
    <w:name w:val="WW8Num11z0"/>
    <w:qFormat/>
    <w:uiPriority w:val="0"/>
    <w:rPr>
      <w:rFonts w:ascii="Wingdings" w:hAnsi="Wingdings" w:cs="StarSymbol"/>
      <w:sz w:val="18"/>
      <w:szCs w:val="18"/>
    </w:rPr>
  </w:style>
  <w:style w:type="character" w:customStyle="1" w:styleId="691">
    <w:name w:val="EmailStyle201"/>
    <w:qFormat/>
    <w:uiPriority w:val="0"/>
    <w:rPr>
      <w:rFonts w:ascii="Arial" w:hAnsi="Arial" w:eastAsia="宋体" w:cs="Arial"/>
      <w:color w:val="auto"/>
      <w:sz w:val="20"/>
    </w:rPr>
  </w:style>
  <w:style w:type="character" w:customStyle="1" w:styleId="692">
    <w:name w:val="个人撰写风格"/>
    <w:qFormat/>
    <w:uiPriority w:val="0"/>
    <w:rPr>
      <w:rFonts w:ascii="Arial" w:hAnsi="Arial" w:eastAsia="宋体" w:cs="Arial"/>
      <w:color w:val="auto"/>
      <w:sz w:val="20"/>
    </w:rPr>
  </w:style>
  <w:style w:type="character" w:customStyle="1" w:styleId="693">
    <w:name w:val="zn2 Char"/>
    <w:link w:val="694"/>
    <w:qFormat/>
    <w:uiPriority w:val="0"/>
    <w:rPr>
      <w:rFonts w:ascii="华文楷体" w:hAnsi="Cambria" w:eastAsia="仿宋_GB2312"/>
      <w:b/>
      <w:bCs/>
      <w:sz w:val="32"/>
      <w:szCs w:val="32"/>
    </w:rPr>
  </w:style>
  <w:style w:type="paragraph" w:customStyle="1" w:styleId="694">
    <w:name w:val="zn2"/>
    <w:basedOn w:val="5"/>
    <w:link w:val="693"/>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5">
    <w:name w:val="引用 字符1"/>
    <w:qFormat/>
    <w:uiPriority w:val="99"/>
    <w:rPr>
      <w:rFonts w:ascii="Times New Roman" w:hAnsi="Times New Roman" w:eastAsia="宋体" w:cs="Times New Roman"/>
      <w:i/>
      <w:iCs/>
      <w:color w:val="404040"/>
      <w:szCs w:val="24"/>
    </w:rPr>
  </w:style>
  <w:style w:type="character" w:customStyle="1" w:styleId="696">
    <w:name w:val="zn3 Char"/>
    <w:link w:val="697"/>
    <w:qFormat/>
    <w:uiPriority w:val="0"/>
    <w:rPr>
      <w:rFonts w:ascii="仿宋_GB2312" w:hAnsi="仿宋_GB2312" w:eastAsia="仿宋_GB2312"/>
      <w:b/>
      <w:bCs/>
      <w:sz w:val="32"/>
      <w:szCs w:val="32"/>
    </w:rPr>
  </w:style>
  <w:style w:type="paragraph" w:customStyle="1" w:styleId="697">
    <w:name w:val="zn3"/>
    <w:basedOn w:val="6"/>
    <w:next w:val="1"/>
    <w:link w:val="696"/>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698">
    <w:name w:val="明显引用 字符"/>
    <w:link w:val="699"/>
    <w:qFormat/>
    <w:uiPriority w:val="0"/>
    <w:rPr>
      <w:b/>
      <w:bCs/>
      <w:i/>
      <w:iCs/>
      <w:color w:val="4F81BD"/>
      <w:sz w:val="22"/>
      <w:lang w:eastAsia="en-US" w:bidi="en-US"/>
    </w:rPr>
  </w:style>
  <w:style w:type="paragraph" w:customStyle="1" w:styleId="699">
    <w:name w:val="明显引用1"/>
    <w:basedOn w:val="1"/>
    <w:next w:val="1"/>
    <w:link w:val="698"/>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0">
    <w:name w:val="标题 5 Char1"/>
    <w:qFormat/>
    <w:uiPriority w:val="0"/>
    <w:rPr>
      <w:b/>
      <w:bCs/>
      <w:sz w:val="28"/>
      <w:szCs w:val="28"/>
    </w:rPr>
  </w:style>
  <w:style w:type="character" w:customStyle="1" w:styleId="701">
    <w:name w:val="明显引用 字符1"/>
    <w:qFormat/>
    <w:uiPriority w:val="99"/>
    <w:rPr>
      <w:rFonts w:ascii="Times New Roman" w:hAnsi="Times New Roman" w:eastAsia="宋体" w:cs="Times New Roman"/>
      <w:i/>
      <w:iCs/>
      <w:color w:val="4F81BD"/>
      <w:szCs w:val="24"/>
    </w:rPr>
  </w:style>
  <w:style w:type="character" w:customStyle="1" w:styleId="702">
    <w:name w:val="标题 6 Char1"/>
    <w:qFormat/>
    <w:uiPriority w:val="0"/>
    <w:rPr>
      <w:rFonts w:ascii="Calibri Light" w:hAnsi="Calibri Light" w:eastAsia="宋体" w:cs="Times New Roman"/>
      <w:b/>
      <w:bCs/>
      <w:sz w:val="24"/>
      <w:szCs w:val="24"/>
    </w:rPr>
  </w:style>
  <w:style w:type="character" w:customStyle="1" w:styleId="703">
    <w:name w:val="明显引用 Char1"/>
    <w:qFormat/>
    <w:uiPriority w:val="30"/>
    <w:rPr>
      <w:i/>
      <w:iCs/>
      <w:color w:val="5B9BD5"/>
      <w:sz w:val="24"/>
    </w:rPr>
  </w:style>
  <w:style w:type="character" w:customStyle="1" w:styleId="704">
    <w:name w:val="标题 7 Char1"/>
    <w:qFormat/>
    <w:uiPriority w:val="0"/>
    <w:rPr>
      <w:b/>
      <w:bCs/>
      <w:sz w:val="24"/>
      <w:szCs w:val="24"/>
    </w:rPr>
  </w:style>
  <w:style w:type="character" w:customStyle="1" w:styleId="705">
    <w:name w:val="引用 字符"/>
    <w:link w:val="706"/>
    <w:qFormat/>
    <w:uiPriority w:val="0"/>
    <w:rPr>
      <w:i/>
      <w:iCs/>
      <w:color w:val="000000"/>
      <w:sz w:val="22"/>
      <w:lang w:eastAsia="en-US" w:bidi="en-US"/>
    </w:rPr>
  </w:style>
  <w:style w:type="paragraph" w:customStyle="1" w:styleId="706">
    <w:name w:val="引用1"/>
    <w:basedOn w:val="1"/>
    <w:next w:val="1"/>
    <w:link w:val="705"/>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7">
    <w:name w:val="标题 8 Char1"/>
    <w:qFormat/>
    <w:uiPriority w:val="0"/>
    <w:rPr>
      <w:rFonts w:ascii="Calibri Light" w:hAnsi="Calibri Light" w:eastAsia="宋体" w:cs="Times New Roman"/>
      <w:sz w:val="24"/>
      <w:szCs w:val="24"/>
    </w:rPr>
  </w:style>
  <w:style w:type="character" w:customStyle="1" w:styleId="708">
    <w:name w:val="不明显参考1"/>
    <w:qFormat/>
    <w:uiPriority w:val="0"/>
    <w:rPr>
      <w:smallCaps/>
      <w:color w:val="C0504D"/>
      <w:u w:val="single"/>
    </w:rPr>
  </w:style>
  <w:style w:type="character" w:customStyle="1" w:styleId="709">
    <w:name w:val="标题 9 Char1"/>
    <w:qFormat/>
    <w:uiPriority w:val="0"/>
    <w:rPr>
      <w:rFonts w:ascii="Calibri Light" w:hAnsi="Calibri Light" w:eastAsia="宋体" w:cs="Times New Roman"/>
      <w:sz w:val="21"/>
      <w:szCs w:val="21"/>
    </w:rPr>
  </w:style>
  <w:style w:type="character" w:customStyle="1" w:styleId="710">
    <w:name w:val="明显参考1"/>
    <w:qFormat/>
    <w:uiPriority w:val="0"/>
    <w:rPr>
      <w:b/>
      <w:bCs/>
      <w:smallCaps/>
      <w:color w:val="C0504D"/>
      <w:spacing w:val="5"/>
      <w:u w:val="single"/>
    </w:rPr>
  </w:style>
  <w:style w:type="character" w:customStyle="1" w:styleId="711">
    <w:name w:val="脚注文本 Char1"/>
    <w:semiHidden/>
    <w:qFormat/>
    <w:uiPriority w:val="0"/>
    <w:rPr>
      <w:sz w:val="18"/>
      <w:szCs w:val="18"/>
    </w:rPr>
  </w:style>
  <w:style w:type="character" w:customStyle="1" w:styleId="712">
    <w:name w:val="tpc_content1"/>
    <w:qFormat/>
    <w:uiPriority w:val="0"/>
    <w:rPr>
      <w:sz w:val="19"/>
      <w:szCs w:val="19"/>
    </w:rPr>
  </w:style>
  <w:style w:type="character" w:customStyle="1" w:styleId="713">
    <w:name w:val="日期 Char1"/>
    <w:qFormat/>
    <w:uiPriority w:val="0"/>
    <w:rPr>
      <w:sz w:val="21"/>
      <w:szCs w:val="24"/>
    </w:rPr>
  </w:style>
  <w:style w:type="character" w:customStyle="1" w:styleId="714">
    <w:name w:val="书籍标题1"/>
    <w:qFormat/>
    <w:uiPriority w:val="0"/>
    <w:rPr>
      <w:b/>
      <w:bCs/>
      <w:smallCaps/>
      <w:spacing w:val="5"/>
    </w:rPr>
  </w:style>
  <w:style w:type="character" w:customStyle="1" w:styleId="715">
    <w:name w:val="正文文本 2 Char1"/>
    <w:qFormat/>
    <w:uiPriority w:val="99"/>
    <w:rPr>
      <w:sz w:val="21"/>
      <w:szCs w:val="24"/>
    </w:rPr>
  </w:style>
  <w:style w:type="character" w:customStyle="1" w:styleId="716">
    <w:name w:val="short_text1"/>
    <w:qFormat/>
    <w:uiPriority w:val="0"/>
    <w:rPr>
      <w:sz w:val="26"/>
      <w:szCs w:val="26"/>
    </w:rPr>
  </w:style>
  <w:style w:type="character" w:customStyle="1" w:styleId="717">
    <w:name w:val="正文文本 3 Char1"/>
    <w:qFormat/>
    <w:uiPriority w:val="0"/>
    <w:rPr>
      <w:sz w:val="16"/>
      <w:szCs w:val="16"/>
    </w:rPr>
  </w:style>
  <w:style w:type="character" w:customStyle="1" w:styleId="718">
    <w:name w:val="ABC标题下的小点 Char"/>
    <w:link w:val="719"/>
    <w:qFormat/>
    <w:uiPriority w:val="0"/>
    <w:rPr>
      <w:rFonts w:ascii="宋体" w:hAnsi="宋体"/>
    </w:rPr>
  </w:style>
  <w:style w:type="paragraph" w:customStyle="1" w:styleId="719">
    <w:name w:val="ABC标题下的小点"/>
    <w:basedOn w:val="1"/>
    <w:link w:val="718"/>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0">
    <w:name w:val="标题 Char1"/>
    <w:qFormat/>
    <w:uiPriority w:val="0"/>
    <w:rPr>
      <w:rFonts w:ascii="Calibri Light" w:hAnsi="Calibri Light" w:cs="Times New Roman"/>
      <w:b/>
      <w:bCs/>
      <w:sz w:val="32"/>
      <w:szCs w:val="32"/>
    </w:rPr>
  </w:style>
  <w:style w:type="character" w:customStyle="1" w:styleId="721">
    <w:name w:val="style21"/>
    <w:qFormat/>
    <w:uiPriority w:val="0"/>
    <w:rPr>
      <w:color w:val="000080"/>
    </w:rPr>
  </w:style>
  <w:style w:type="character" w:customStyle="1" w:styleId="722">
    <w:name w:val="注释标题 Char1"/>
    <w:qFormat/>
    <w:uiPriority w:val="0"/>
    <w:rPr>
      <w:sz w:val="21"/>
      <w:szCs w:val="24"/>
    </w:rPr>
  </w:style>
  <w:style w:type="character" w:customStyle="1" w:styleId="723">
    <w:name w:val="ns1"/>
    <w:qFormat/>
    <w:uiPriority w:val="0"/>
    <w:rPr>
      <w:color w:val="FF0000"/>
    </w:rPr>
  </w:style>
  <w:style w:type="character" w:customStyle="1" w:styleId="724">
    <w:name w:val="zn1 Char"/>
    <w:link w:val="725"/>
    <w:qFormat/>
    <w:uiPriority w:val="0"/>
    <w:rPr>
      <w:rFonts w:ascii="黑体" w:hAnsi="仿宋_GB2312" w:eastAsia="黑体"/>
      <w:bCs/>
      <w:sz w:val="36"/>
      <w:szCs w:val="32"/>
      <w:lang w:val="zh-CN"/>
    </w:rPr>
  </w:style>
  <w:style w:type="paragraph" w:customStyle="1" w:styleId="725">
    <w:name w:val="zn1"/>
    <w:basedOn w:val="4"/>
    <w:link w:val="724"/>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6">
    <w:name w:val="hilite2"/>
    <w:qFormat/>
    <w:uiPriority w:val="0"/>
  </w:style>
  <w:style w:type="character" w:customStyle="1" w:styleId="727">
    <w:name w:val="WC三级 Char"/>
    <w:link w:val="728"/>
    <w:qFormat/>
    <w:uiPriority w:val="0"/>
    <w:rPr>
      <w:b/>
      <w:sz w:val="32"/>
      <w:lang w:val="zh-CN"/>
    </w:rPr>
  </w:style>
  <w:style w:type="paragraph" w:customStyle="1" w:styleId="728">
    <w:name w:val="WC三级"/>
    <w:basedOn w:val="6"/>
    <w:link w:val="727"/>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29">
    <w:name w:val="个人答复风格"/>
    <w:qFormat/>
    <w:uiPriority w:val="0"/>
    <w:rPr>
      <w:rFonts w:ascii="Arial" w:hAnsi="Arial" w:eastAsia="宋体" w:cs="Arial"/>
      <w:color w:val="auto"/>
      <w:sz w:val="20"/>
    </w:rPr>
  </w:style>
  <w:style w:type="character" w:customStyle="1" w:styleId="730">
    <w:name w:val="WC二级 Char"/>
    <w:link w:val="731"/>
    <w:qFormat/>
    <w:uiPriority w:val="0"/>
    <w:rPr>
      <w:rFonts w:ascii="Arial" w:hAnsi="Arial" w:eastAsia="黑体"/>
      <w:b/>
      <w:sz w:val="32"/>
      <w:lang w:val="zh-CN"/>
    </w:rPr>
  </w:style>
  <w:style w:type="paragraph" w:customStyle="1" w:styleId="731">
    <w:name w:val="WC二级"/>
    <w:basedOn w:val="5"/>
    <w:link w:val="730"/>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2">
    <w:name w:val="b1"/>
    <w:qFormat/>
    <w:uiPriority w:val="0"/>
    <w:rPr>
      <w:rFonts w:hint="default" w:ascii="Courier New" w:hAnsi="Courier New" w:cs="Courier New"/>
      <w:b/>
      <w:bCs/>
      <w:color w:val="FF0000"/>
      <w:u w:val="none"/>
    </w:rPr>
  </w:style>
  <w:style w:type="character" w:customStyle="1" w:styleId="733">
    <w:name w:val="样式sjw Char"/>
    <w:link w:val="734"/>
    <w:qFormat/>
    <w:uiPriority w:val="0"/>
    <w:rPr>
      <w:rFonts w:ascii="宋体" w:hAnsi="宋体"/>
      <w:caps/>
      <w:color w:val="000000"/>
      <w:sz w:val="18"/>
      <w:szCs w:val="18"/>
      <w:shd w:val="pct10" w:color="auto" w:fill="auto"/>
      <w:lang w:val="zh-CN"/>
    </w:rPr>
  </w:style>
  <w:style w:type="paragraph" w:customStyle="1" w:styleId="734">
    <w:name w:val="样式sjw"/>
    <w:basedOn w:val="1"/>
    <w:link w:val="733"/>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5">
    <w:name w:val="myp1111"/>
    <w:qFormat/>
    <w:uiPriority w:val="0"/>
    <w:rPr>
      <w:rFonts w:hint="default" w:ascii="ˎ̥" w:hAnsi="ˎ̥"/>
      <w:color w:val="000000"/>
      <w:sz w:val="20"/>
      <w:szCs w:val="20"/>
      <w:u w:val="none"/>
    </w:rPr>
  </w:style>
  <w:style w:type="character" w:customStyle="1" w:styleId="736">
    <w:name w:val="faqa1"/>
    <w:qFormat/>
    <w:uiPriority w:val="0"/>
    <w:rPr>
      <w:rFonts w:hint="eastAsia" w:ascii="微软雅黑" w:hAnsi="微软雅黑" w:eastAsia="微软雅黑"/>
      <w:b/>
      <w:bCs/>
      <w:sz w:val="27"/>
      <w:szCs w:val="27"/>
    </w:rPr>
  </w:style>
  <w:style w:type="character" w:customStyle="1" w:styleId="737">
    <w:name w:val="表头文字(同正文大小) Char"/>
    <w:link w:val="738"/>
    <w:qFormat/>
    <w:uiPriority w:val="0"/>
    <w:rPr>
      <w:rFonts w:eastAsia="黑体"/>
      <w:lang w:eastAsia="en-US"/>
    </w:rPr>
  </w:style>
  <w:style w:type="paragraph" w:customStyle="1" w:styleId="738">
    <w:name w:val="表头文字(同正文大小)"/>
    <w:basedOn w:val="1"/>
    <w:link w:val="737"/>
    <w:qFormat/>
    <w:uiPriority w:val="0"/>
    <w:pPr>
      <w:spacing w:line="264" w:lineRule="auto"/>
      <w:jc w:val="center"/>
    </w:pPr>
    <w:rPr>
      <w:rFonts w:eastAsia="黑体" w:asciiTheme="minorHAnsi" w:hAnsiTheme="minorHAnsi" w:cstheme="minorBidi"/>
      <w:szCs w:val="22"/>
      <w:lang w:eastAsia="en-US"/>
    </w:rPr>
  </w:style>
  <w:style w:type="character" w:customStyle="1" w:styleId="739">
    <w:name w:val="faqq1"/>
    <w:qFormat/>
    <w:uiPriority w:val="0"/>
    <w:rPr>
      <w:rFonts w:hint="eastAsia" w:ascii="微软雅黑" w:hAnsi="微软雅黑" w:eastAsia="微软雅黑"/>
      <w:sz w:val="24"/>
      <w:szCs w:val="24"/>
    </w:rPr>
  </w:style>
  <w:style w:type="character" w:customStyle="1" w:styleId="740">
    <w:name w:val="表格 Char"/>
    <w:qFormat/>
    <w:uiPriority w:val="0"/>
    <w:rPr>
      <w:rFonts w:ascii="Times New Roman" w:hAnsi="Times New Roman" w:eastAsia="宋体" w:cs="Times New Roman"/>
      <w:sz w:val="24"/>
      <w:szCs w:val="24"/>
    </w:rPr>
  </w:style>
  <w:style w:type="character" w:customStyle="1" w:styleId="741">
    <w:name w:val="题注 Char1"/>
    <w:qFormat/>
    <w:uiPriority w:val="0"/>
    <w:rPr>
      <w:rFonts w:ascii="Arial" w:hAnsi="Arial" w:eastAsia="黑体" w:cs="Arial"/>
      <w:sz w:val="20"/>
      <w:szCs w:val="20"/>
    </w:rPr>
  </w:style>
  <w:style w:type="character" w:customStyle="1" w:styleId="742">
    <w:name w:val="未处理的提及1"/>
    <w:unhideWhenUsed/>
    <w:qFormat/>
    <w:uiPriority w:val="99"/>
    <w:rPr>
      <w:color w:val="605E5C"/>
      <w:shd w:val="clear" w:color="auto" w:fill="E1DFDD"/>
    </w:rPr>
  </w:style>
  <w:style w:type="character" w:customStyle="1" w:styleId="743">
    <w:name w:val="Char Char32"/>
    <w:qFormat/>
    <w:uiPriority w:val="0"/>
    <w:rPr>
      <w:rFonts w:eastAsia="宋体"/>
      <w:sz w:val="21"/>
      <w:szCs w:val="24"/>
      <w:lang w:val="en-US" w:eastAsia="zh-CN" w:bidi="ar-SA"/>
    </w:rPr>
  </w:style>
  <w:style w:type="character" w:customStyle="1" w:styleId="744">
    <w:name w:val="WW8Num22z1"/>
    <w:qFormat/>
    <w:uiPriority w:val="0"/>
    <w:rPr>
      <w:rFonts w:ascii="Wingdings 2" w:hAnsi="Wingdings 2" w:cs="StarSymbol"/>
      <w:sz w:val="18"/>
      <w:szCs w:val="18"/>
    </w:rPr>
  </w:style>
  <w:style w:type="character" w:customStyle="1" w:styleId="745">
    <w:name w:val="正文文本缩进 字符1"/>
    <w:semiHidden/>
    <w:qFormat/>
    <w:uiPriority w:val="0"/>
    <w:rPr>
      <w:rFonts w:ascii="方正仿宋_GBK" w:hAnsi="Times New Roman" w:eastAsia="方正仿宋_GBK" w:cs="Times New Roman"/>
      <w:sz w:val="32"/>
      <w:szCs w:val="20"/>
    </w:rPr>
  </w:style>
  <w:style w:type="character" w:customStyle="1" w:styleId="746">
    <w:name w:val="WW8Num38z2"/>
    <w:qFormat/>
    <w:uiPriority w:val="0"/>
    <w:rPr>
      <w:rFonts w:ascii="StarSymbol" w:hAnsi="StarSymbol" w:cs="StarSymbol"/>
      <w:sz w:val="18"/>
      <w:szCs w:val="18"/>
    </w:rPr>
  </w:style>
  <w:style w:type="character" w:customStyle="1" w:styleId="747">
    <w:name w:val="样式 加粗"/>
    <w:qFormat/>
    <w:uiPriority w:val="0"/>
    <w:rPr>
      <w:rFonts w:hint="eastAsia" w:ascii="宋体" w:hAnsi="宋体" w:eastAsia="宋体"/>
      <w:b/>
      <w:bCs/>
      <w:lang w:val="en-US" w:eastAsia="zh-CN" w:bidi="ar-SA"/>
    </w:rPr>
  </w:style>
  <w:style w:type="character" w:customStyle="1" w:styleId="748">
    <w:name w:val="WW8Num18z2"/>
    <w:qFormat/>
    <w:uiPriority w:val="0"/>
    <w:rPr>
      <w:rFonts w:ascii="StarSymbol" w:hAnsi="StarSymbol" w:cs="StarSymbol"/>
      <w:sz w:val="18"/>
      <w:szCs w:val="18"/>
    </w:rPr>
  </w:style>
  <w:style w:type="character" w:customStyle="1" w:styleId="749">
    <w:name w:val="myp112"/>
    <w:qFormat/>
    <w:uiPriority w:val="0"/>
    <w:rPr>
      <w:rFonts w:hint="default"/>
      <w:color w:val="000000"/>
      <w:sz w:val="22"/>
      <w:szCs w:val="22"/>
      <w:u w:val="none"/>
    </w:rPr>
  </w:style>
  <w:style w:type="character" w:customStyle="1" w:styleId="750">
    <w:name w:val="fontstyle21"/>
    <w:qFormat/>
    <w:uiPriority w:val="0"/>
    <w:rPr>
      <w:rFonts w:hint="default" w:ascii="Arial" w:hAnsi="Arial" w:cs="Arial"/>
      <w:color w:val="000000"/>
      <w:sz w:val="24"/>
      <w:szCs w:val="24"/>
    </w:rPr>
  </w:style>
  <w:style w:type="character" w:customStyle="1" w:styleId="751">
    <w:name w:val="WW8Num2z1"/>
    <w:qFormat/>
    <w:uiPriority w:val="0"/>
    <w:rPr>
      <w:rFonts w:ascii="Wingdings 2" w:hAnsi="Wingdings 2" w:cs="StarSymbol"/>
      <w:sz w:val="18"/>
      <w:szCs w:val="18"/>
    </w:rPr>
  </w:style>
  <w:style w:type="character" w:customStyle="1" w:styleId="752">
    <w:name w:val="日期 字符1"/>
    <w:semiHidden/>
    <w:qFormat/>
    <w:uiPriority w:val="0"/>
    <w:rPr>
      <w:rFonts w:ascii="Times New Roman" w:hAnsi="Times New Roman" w:eastAsia="方正仿宋_GBK" w:cs="Times New Roman"/>
      <w:szCs w:val="20"/>
    </w:rPr>
  </w:style>
  <w:style w:type="character" w:customStyle="1" w:styleId="753">
    <w:name w:val="正文首行缩进 2 Char1"/>
    <w:qFormat/>
    <w:uiPriority w:val="0"/>
    <w:rPr>
      <w:rFonts w:hint="eastAsia" w:ascii="方正仿宋_GBK" w:eastAsia="方正仿宋_GBK"/>
      <w:sz w:val="32"/>
      <w:szCs w:val="28"/>
    </w:rPr>
  </w:style>
  <w:style w:type="character" w:customStyle="1" w:styleId="754">
    <w:name w:val="WW8Num35z0"/>
    <w:qFormat/>
    <w:uiPriority w:val="0"/>
    <w:rPr>
      <w:rFonts w:ascii="Wingdings" w:hAnsi="Wingdings" w:cs="StarSymbol"/>
      <w:sz w:val="18"/>
      <w:szCs w:val="18"/>
    </w:rPr>
  </w:style>
  <w:style w:type="character" w:customStyle="1" w:styleId="755">
    <w:name w:val="WW8Num12z2"/>
    <w:qFormat/>
    <w:uiPriority w:val="0"/>
    <w:rPr>
      <w:rFonts w:ascii="StarSymbol" w:hAnsi="StarSymbol" w:cs="StarSymbol"/>
      <w:sz w:val="18"/>
      <w:szCs w:val="18"/>
    </w:rPr>
  </w:style>
  <w:style w:type="character" w:customStyle="1" w:styleId="756">
    <w:name w:val="WW8Num16z0"/>
    <w:qFormat/>
    <w:uiPriority w:val="0"/>
    <w:rPr>
      <w:rFonts w:ascii="Wingdings" w:hAnsi="Wingdings" w:cs="StarSymbol"/>
      <w:sz w:val="18"/>
      <w:szCs w:val="18"/>
    </w:rPr>
  </w:style>
  <w:style w:type="character" w:customStyle="1" w:styleId="757">
    <w:name w:val="Bid_正文 Char"/>
    <w:qFormat/>
    <w:uiPriority w:val="0"/>
    <w:rPr>
      <w:sz w:val="24"/>
    </w:rPr>
  </w:style>
  <w:style w:type="character" w:customStyle="1" w:styleId="758">
    <w:name w:val="WW8Num13z0"/>
    <w:qFormat/>
    <w:uiPriority w:val="0"/>
    <w:rPr>
      <w:rFonts w:ascii="Wingdings" w:hAnsi="Wingdings" w:cs="StarSymbol"/>
      <w:sz w:val="18"/>
      <w:szCs w:val="18"/>
    </w:rPr>
  </w:style>
  <w:style w:type="character" w:customStyle="1" w:styleId="759">
    <w:name w:val="WW8Num37z0"/>
    <w:qFormat/>
    <w:uiPriority w:val="0"/>
    <w:rPr>
      <w:rFonts w:ascii="Wingdings" w:hAnsi="Wingdings" w:cs="StarSymbol"/>
      <w:sz w:val="18"/>
      <w:szCs w:val="18"/>
    </w:rPr>
  </w:style>
  <w:style w:type="character" w:customStyle="1" w:styleId="760">
    <w:name w:val="WW8Num37z1"/>
    <w:qFormat/>
    <w:uiPriority w:val="0"/>
    <w:rPr>
      <w:rFonts w:ascii="Wingdings 2" w:hAnsi="Wingdings 2" w:cs="StarSymbol"/>
      <w:sz w:val="18"/>
      <w:szCs w:val="18"/>
    </w:rPr>
  </w:style>
  <w:style w:type="character" w:customStyle="1" w:styleId="761">
    <w:name w:val="WW8Num34z0"/>
    <w:qFormat/>
    <w:uiPriority w:val="0"/>
    <w:rPr>
      <w:rFonts w:ascii="Wingdings" w:hAnsi="Wingdings" w:cs="StarSymbol"/>
      <w:sz w:val="18"/>
      <w:szCs w:val="18"/>
    </w:rPr>
  </w:style>
  <w:style w:type="character" w:customStyle="1" w:styleId="762">
    <w:name w:val="WW8Num17z0"/>
    <w:qFormat/>
    <w:uiPriority w:val="0"/>
    <w:rPr>
      <w:rFonts w:ascii="Wingdings" w:hAnsi="Wingdings"/>
    </w:rPr>
  </w:style>
  <w:style w:type="character" w:customStyle="1" w:styleId="763">
    <w:name w:val="WW8Num15z0"/>
    <w:qFormat/>
    <w:uiPriority w:val="0"/>
    <w:rPr>
      <w:rFonts w:ascii="Wingdings" w:hAnsi="Wingdings" w:cs="StarSymbol"/>
      <w:sz w:val="18"/>
      <w:szCs w:val="18"/>
    </w:rPr>
  </w:style>
  <w:style w:type="character" w:customStyle="1" w:styleId="764">
    <w:name w:val="WW8Num28z1"/>
    <w:qFormat/>
    <w:uiPriority w:val="0"/>
    <w:rPr>
      <w:rFonts w:ascii="Wingdings 2" w:hAnsi="Wingdings 2" w:cs="StarSymbol"/>
      <w:sz w:val="18"/>
      <w:szCs w:val="18"/>
    </w:rPr>
  </w:style>
  <w:style w:type="character" w:customStyle="1" w:styleId="765">
    <w:name w:val="WW8Num4z0"/>
    <w:qFormat/>
    <w:uiPriority w:val="0"/>
    <w:rPr>
      <w:rFonts w:ascii="Wingdings" w:hAnsi="Wingdings" w:cs="StarSymbol"/>
      <w:sz w:val="18"/>
      <w:szCs w:val="18"/>
    </w:rPr>
  </w:style>
  <w:style w:type="character" w:customStyle="1" w:styleId="766">
    <w:name w:val="style101"/>
    <w:qFormat/>
    <w:uiPriority w:val="0"/>
    <w:rPr>
      <w:rFonts w:hint="eastAsia" w:ascii="宋体" w:hAnsi="宋体" w:eastAsia="宋体"/>
      <w:b/>
      <w:bCs/>
      <w:color w:val="FFFFFF"/>
      <w:sz w:val="21"/>
      <w:szCs w:val="21"/>
      <w:lang w:val="en-US" w:eastAsia="zh-CN" w:bidi="ar-SA"/>
    </w:rPr>
  </w:style>
  <w:style w:type="character" w:customStyle="1" w:styleId="767">
    <w:name w:val="WW8Num5z0"/>
    <w:qFormat/>
    <w:uiPriority w:val="0"/>
    <w:rPr>
      <w:rFonts w:ascii="Wingdings" w:hAnsi="Wingdings" w:cs="StarSymbol"/>
      <w:sz w:val="18"/>
      <w:szCs w:val="18"/>
    </w:rPr>
  </w:style>
  <w:style w:type="character" w:customStyle="1" w:styleId="768">
    <w:name w:val="无首行缩进正文 Char"/>
    <w:qFormat/>
    <w:uiPriority w:val="0"/>
  </w:style>
  <w:style w:type="character" w:customStyle="1" w:styleId="769">
    <w:name w:val="批注框文本 Char2"/>
    <w:qFormat/>
    <w:uiPriority w:val="0"/>
    <w:rPr>
      <w:rFonts w:ascii="Times New Roman" w:hAnsi="Times New Roman" w:eastAsia="方正仿宋_GBK" w:cs="Times New Roman"/>
      <w:sz w:val="18"/>
      <w:szCs w:val="18"/>
    </w:rPr>
  </w:style>
  <w:style w:type="character" w:customStyle="1" w:styleId="770">
    <w:name w:val="WW8Num29z2"/>
    <w:qFormat/>
    <w:uiPriority w:val="0"/>
    <w:rPr>
      <w:rFonts w:ascii="StarSymbol" w:hAnsi="StarSymbol" w:cs="StarSymbol"/>
      <w:sz w:val="18"/>
      <w:szCs w:val="18"/>
    </w:rPr>
  </w:style>
  <w:style w:type="character" w:customStyle="1" w:styleId="771">
    <w:name w:val="WW8Num23z2"/>
    <w:qFormat/>
    <w:uiPriority w:val="0"/>
    <w:rPr>
      <w:rFonts w:ascii="StarSymbol" w:hAnsi="StarSymbol" w:cs="StarSymbol"/>
      <w:sz w:val="18"/>
      <w:szCs w:val="18"/>
    </w:rPr>
  </w:style>
  <w:style w:type="character" w:customStyle="1" w:styleId="772">
    <w:name w:val="WW8Num19z0"/>
    <w:qFormat/>
    <w:uiPriority w:val="0"/>
    <w:rPr>
      <w:rFonts w:ascii="Wingdings" w:hAnsi="Wingdings" w:cs="StarSymbol"/>
      <w:sz w:val="18"/>
      <w:szCs w:val="18"/>
    </w:rPr>
  </w:style>
  <w:style w:type="character" w:customStyle="1" w:styleId="773">
    <w:name w:val="WW8Num22z2"/>
    <w:qFormat/>
    <w:uiPriority w:val="0"/>
    <w:rPr>
      <w:rFonts w:ascii="StarSymbol" w:hAnsi="StarSymbol" w:cs="StarSymbol"/>
      <w:sz w:val="18"/>
      <w:szCs w:val="18"/>
    </w:rPr>
  </w:style>
  <w:style w:type="character" w:customStyle="1" w:styleId="774">
    <w:name w:val="WW8Num24z1"/>
    <w:qFormat/>
    <w:uiPriority w:val="0"/>
    <w:rPr>
      <w:rFonts w:ascii="Wingdings 2" w:hAnsi="Wingdings 2" w:cs="StarSymbol"/>
      <w:sz w:val="18"/>
      <w:szCs w:val="18"/>
    </w:rPr>
  </w:style>
  <w:style w:type="character" w:customStyle="1" w:styleId="775">
    <w:name w:val="标题 7 字符1"/>
    <w:qFormat/>
    <w:uiPriority w:val="9"/>
    <w:rPr>
      <w:rFonts w:ascii="Times New Roman" w:hAnsi="Times New Roman" w:eastAsia="方正仿宋_GBK" w:cs="Times New Roman"/>
      <w:b/>
      <w:bCs/>
      <w:sz w:val="24"/>
      <w:szCs w:val="24"/>
    </w:rPr>
  </w:style>
  <w:style w:type="character" w:customStyle="1" w:styleId="776">
    <w:name w:val="标题 6 字符1"/>
    <w:qFormat/>
    <w:uiPriority w:val="9"/>
    <w:rPr>
      <w:rFonts w:ascii="仿宋" w:hAnsi="仿宋" w:eastAsia="仿宋"/>
      <w:bCs/>
      <w:sz w:val="32"/>
      <w:szCs w:val="32"/>
    </w:rPr>
  </w:style>
  <w:style w:type="character" w:customStyle="1" w:styleId="777">
    <w:name w:val="WW8Num39z1"/>
    <w:qFormat/>
    <w:uiPriority w:val="0"/>
    <w:rPr>
      <w:rFonts w:ascii="Wingdings 2" w:hAnsi="Wingdings 2" w:cs="StarSymbol"/>
      <w:sz w:val="18"/>
      <w:szCs w:val="18"/>
    </w:rPr>
  </w:style>
  <w:style w:type="character" w:customStyle="1" w:styleId="778">
    <w:name w:val="apple-style-span"/>
    <w:qFormat/>
    <w:uiPriority w:val="0"/>
  </w:style>
  <w:style w:type="character" w:customStyle="1" w:styleId="779">
    <w:name w:val="注×： Char"/>
    <w:link w:val="780"/>
    <w:qFormat/>
    <w:uiPriority w:val="0"/>
    <w:rPr>
      <w:rFonts w:ascii="宋体"/>
      <w:sz w:val="18"/>
    </w:rPr>
  </w:style>
  <w:style w:type="paragraph" w:customStyle="1" w:styleId="780">
    <w:name w:val="注×："/>
    <w:link w:val="779"/>
    <w:qFormat/>
    <w:uiPriority w:val="0"/>
    <w:pPr>
      <w:widowControl w:val="0"/>
      <w:tabs>
        <w:tab w:val="left" w:pos="630"/>
        <w:tab w:val="left" w:pos="900"/>
      </w:tabs>
      <w:ind w:left="900" w:hanging="500"/>
      <w:jc w:val="both"/>
    </w:pPr>
    <w:rPr>
      <w:rFonts w:ascii="宋体" w:hAnsiTheme="minorHAnsi" w:eastAsiaTheme="minorEastAsia" w:cstheme="minorBidi"/>
      <w:sz w:val="18"/>
      <w:szCs w:val="22"/>
      <w:lang w:val="en-US" w:eastAsia="zh-CN" w:bidi="ar-SA"/>
    </w:rPr>
  </w:style>
  <w:style w:type="character" w:customStyle="1" w:styleId="781">
    <w:name w:val="附录公式 Char"/>
    <w:link w:val="782"/>
    <w:qFormat/>
    <w:uiPriority w:val="0"/>
    <w:rPr>
      <w:rFonts w:ascii="宋体"/>
    </w:rPr>
  </w:style>
  <w:style w:type="paragraph" w:customStyle="1" w:styleId="782">
    <w:name w:val="附录公式"/>
    <w:basedOn w:val="323"/>
    <w:next w:val="323"/>
    <w:link w:val="781"/>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3">
    <w:name w:val="附录图标题 Char"/>
    <w:link w:val="784"/>
    <w:qFormat/>
    <w:uiPriority w:val="0"/>
    <w:rPr>
      <w:rFonts w:ascii="黑体" w:eastAsia="黑体"/>
    </w:rPr>
  </w:style>
  <w:style w:type="paragraph" w:customStyle="1" w:styleId="784">
    <w:name w:val="附录图标题"/>
    <w:next w:val="323"/>
    <w:link w:val="783"/>
    <w:qFormat/>
    <w:uiPriority w:val="0"/>
    <w:pPr>
      <w:jc w:val="center"/>
    </w:pPr>
    <w:rPr>
      <w:rFonts w:ascii="黑体" w:eastAsia="黑体" w:hAnsiTheme="minorHAnsi" w:cstheme="minorBidi"/>
      <w:sz w:val="21"/>
      <w:szCs w:val="22"/>
      <w:lang w:val="en-US" w:eastAsia="zh-CN" w:bidi="ar-SA"/>
    </w:rPr>
  </w:style>
  <w:style w:type="character" w:customStyle="1" w:styleId="785">
    <w:name w:val="附录章标题 Char"/>
    <w:link w:val="786"/>
    <w:qFormat/>
    <w:uiPriority w:val="0"/>
    <w:rPr>
      <w:rFonts w:ascii="黑体" w:eastAsia="黑体"/>
    </w:rPr>
  </w:style>
  <w:style w:type="paragraph" w:customStyle="1" w:styleId="786">
    <w:name w:val="附录章标题"/>
    <w:next w:val="323"/>
    <w:link w:val="785"/>
    <w:qFormat/>
    <w:uiPriority w:val="0"/>
    <w:pPr>
      <w:tabs>
        <w:tab w:val="left" w:pos="567"/>
      </w:tabs>
      <w:ind w:left="567" w:hanging="567"/>
      <w:jc w:val="both"/>
      <w:outlineLvl w:val="1"/>
    </w:pPr>
    <w:rPr>
      <w:rFonts w:ascii="黑体" w:eastAsia="黑体" w:hAnsiTheme="minorHAnsi" w:cstheme="minorBidi"/>
      <w:sz w:val="21"/>
      <w:szCs w:val="22"/>
      <w:lang w:val="en-US" w:eastAsia="zh-CN" w:bidi="ar-SA"/>
    </w:rPr>
  </w:style>
  <w:style w:type="character" w:customStyle="1" w:styleId="787">
    <w:name w:val="附录一级条标题 Char"/>
    <w:link w:val="788"/>
    <w:qFormat/>
    <w:uiPriority w:val="0"/>
    <w:rPr>
      <w:rFonts w:ascii="黑体" w:eastAsia="黑体"/>
    </w:rPr>
  </w:style>
  <w:style w:type="paragraph" w:customStyle="1" w:styleId="788">
    <w:name w:val="附录一级条标题"/>
    <w:basedOn w:val="786"/>
    <w:next w:val="323"/>
    <w:link w:val="787"/>
    <w:qFormat/>
    <w:uiPriority w:val="0"/>
    <w:pPr>
      <w:ind w:left="0" w:firstLine="0"/>
      <w:outlineLvl w:val="2"/>
    </w:pPr>
  </w:style>
  <w:style w:type="character" w:customStyle="1" w:styleId="789">
    <w:name w:val="首示例 Char"/>
    <w:link w:val="790"/>
    <w:qFormat/>
    <w:uiPriority w:val="0"/>
    <w:rPr>
      <w:rFonts w:ascii="宋体" w:hAnsi="宋体"/>
      <w:sz w:val="18"/>
      <w:szCs w:val="18"/>
    </w:rPr>
  </w:style>
  <w:style w:type="paragraph" w:customStyle="1" w:styleId="790">
    <w:name w:val="首示例"/>
    <w:next w:val="323"/>
    <w:link w:val="789"/>
    <w:qFormat/>
    <w:uiPriority w:val="0"/>
    <w:pPr>
      <w:tabs>
        <w:tab w:val="left" w:pos="360"/>
      </w:tabs>
      <w:ind w:left="900"/>
    </w:pPr>
    <w:rPr>
      <w:rFonts w:ascii="宋体" w:hAnsi="宋体" w:eastAsiaTheme="minorEastAsia" w:cstheme="minorBidi"/>
      <w:sz w:val="18"/>
      <w:szCs w:val="18"/>
      <w:lang w:val="en-US" w:eastAsia="zh-CN" w:bidi="ar-SA"/>
    </w:rPr>
  </w:style>
  <w:style w:type="character" w:customStyle="1" w:styleId="791">
    <w:name w:val="无间隔 字符"/>
    <w:link w:val="792"/>
    <w:qFormat/>
    <w:uiPriority w:val="0"/>
    <w:rPr>
      <w:rFonts w:ascii="Calibri" w:hAnsi="Calibri"/>
    </w:rPr>
  </w:style>
  <w:style w:type="paragraph" w:customStyle="1" w:styleId="792">
    <w:name w:val="无间隔1"/>
    <w:link w:val="791"/>
    <w:qFormat/>
    <w:uiPriority w:val="0"/>
    <w:pPr>
      <w:widowControl w:val="0"/>
      <w:jc w:val="both"/>
    </w:pPr>
    <w:rPr>
      <w:rFonts w:ascii="Calibri" w:hAnsi="Calibri" w:eastAsiaTheme="minorEastAsia" w:cstheme="minorBidi"/>
      <w:sz w:val="21"/>
      <w:szCs w:val="22"/>
      <w:lang w:val="en-US" w:eastAsia="zh-CN" w:bidi="ar-SA"/>
    </w:rPr>
  </w:style>
  <w:style w:type="character" w:customStyle="1" w:styleId="793">
    <w:name w:val="标题 字符"/>
    <w:basedOn w:val="72"/>
    <w:link w:val="65"/>
    <w:qFormat/>
    <w:uiPriority w:val="10"/>
    <w:rPr>
      <w:rFonts w:eastAsia="宋体" w:asciiTheme="majorHAnsi" w:hAnsiTheme="majorHAnsi" w:cstheme="majorBidi"/>
      <w:b/>
      <w:bCs/>
      <w:sz w:val="32"/>
      <w:szCs w:val="32"/>
    </w:rPr>
  </w:style>
  <w:style w:type="character" w:customStyle="1" w:styleId="794">
    <w:name w:val="文档结构图 字符"/>
    <w:basedOn w:val="72"/>
    <w:link w:val="23"/>
    <w:semiHidden/>
    <w:qFormat/>
    <w:uiPriority w:val="99"/>
    <w:rPr>
      <w:rFonts w:ascii="宋体" w:hAnsi="Times New Roman" w:eastAsia="宋体" w:cs="Times New Roman"/>
      <w:sz w:val="18"/>
      <w:szCs w:val="18"/>
    </w:rPr>
  </w:style>
  <w:style w:type="character" w:customStyle="1" w:styleId="795">
    <w:name w:val="日期 字符"/>
    <w:basedOn w:val="72"/>
    <w:link w:val="42"/>
    <w:semiHidden/>
    <w:qFormat/>
    <w:uiPriority w:val="99"/>
    <w:rPr>
      <w:rFonts w:ascii="Times New Roman" w:hAnsi="Times New Roman" w:eastAsia="宋体" w:cs="Times New Roman"/>
      <w:szCs w:val="24"/>
    </w:rPr>
  </w:style>
  <w:style w:type="character" w:customStyle="1" w:styleId="796">
    <w:name w:val="HTML 地址 字符1"/>
    <w:basedOn w:val="72"/>
    <w:link w:val="34"/>
    <w:semiHidden/>
    <w:qFormat/>
    <w:uiPriority w:val="99"/>
    <w:rPr>
      <w:rFonts w:ascii="Times New Roman" w:hAnsi="Times New Roman" w:eastAsia="宋体" w:cs="Times New Roman"/>
      <w:i/>
      <w:iCs/>
      <w:szCs w:val="24"/>
    </w:rPr>
  </w:style>
  <w:style w:type="character" w:customStyle="1" w:styleId="797">
    <w:name w:val="纯文本 字符"/>
    <w:basedOn w:val="72"/>
    <w:link w:val="38"/>
    <w:qFormat/>
    <w:uiPriority w:val="99"/>
    <w:rPr>
      <w:rFonts w:ascii="宋体" w:hAnsi="Courier New" w:eastAsia="宋体" w:cs="Courier New"/>
      <w:szCs w:val="21"/>
    </w:rPr>
  </w:style>
  <w:style w:type="character" w:customStyle="1" w:styleId="798">
    <w:name w:val="HTML 预设格式 字符1"/>
    <w:basedOn w:val="72"/>
    <w:link w:val="62"/>
    <w:semiHidden/>
    <w:qFormat/>
    <w:uiPriority w:val="99"/>
    <w:rPr>
      <w:rFonts w:ascii="Courier New" w:hAnsi="Courier New" w:eastAsia="宋体" w:cs="Courier New"/>
      <w:sz w:val="20"/>
      <w:szCs w:val="20"/>
    </w:rPr>
  </w:style>
  <w:style w:type="character" w:customStyle="1" w:styleId="799">
    <w:name w:val="脚注文本 字符1"/>
    <w:basedOn w:val="72"/>
    <w:link w:val="53"/>
    <w:semiHidden/>
    <w:qFormat/>
    <w:uiPriority w:val="99"/>
    <w:rPr>
      <w:rFonts w:ascii="Times New Roman" w:hAnsi="Times New Roman" w:eastAsia="宋体" w:cs="Times New Roman"/>
      <w:sz w:val="18"/>
      <w:szCs w:val="18"/>
    </w:rPr>
  </w:style>
  <w:style w:type="character" w:customStyle="1" w:styleId="800">
    <w:name w:val="批注文字 字符"/>
    <w:basedOn w:val="72"/>
    <w:link w:val="24"/>
    <w:qFormat/>
    <w:uiPriority w:val="0"/>
    <w:rPr>
      <w:rFonts w:ascii="Times New Roman" w:hAnsi="Times New Roman" w:eastAsia="宋体" w:cs="Times New Roman"/>
      <w:szCs w:val="24"/>
    </w:rPr>
  </w:style>
  <w:style w:type="character" w:customStyle="1" w:styleId="801">
    <w:name w:val="正文文本缩进 字符"/>
    <w:basedOn w:val="72"/>
    <w:link w:val="29"/>
    <w:semiHidden/>
    <w:qFormat/>
    <w:uiPriority w:val="99"/>
    <w:rPr>
      <w:rFonts w:ascii="Times New Roman" w:hAnsi="Times New Roman" w:eastAsia="宋体" w:cs="Times New Roman"/>
      <w:szCs w:val="24"/>
    </w:rPr>
  </w:style>
  <w:style w:type="character" w:customStyle="1" w:styleId="802">
    <w:name w:val="正文文本 字符"/>
    <w:basedOn w:val="72"/>
    <w:link w:val="2"/>
    <w:semiHidden/>
    <w:qFormat/>
    <w:uiPriority w:val="99"/>
    <w:rPr>
      <w:rFonts w:ascii="Times New Roman" w:hAnsi="Times New Roman" w:eastAsia="宋体" w:cs="Times New Roman"/>
      <w:szCs w:val="24"/>
    </w:rPr>
  </w:style>
  <w:style w:type="character" w:customStyle="1" w:styleId="803">
    <w:name w:val="正文文本缩进 2 字符"/>
    <w:basedOn w:val="72"/>
    <w:link w:val="43"/>
    <w:semiHidden/>
    <w:qFormat/>
    <w:uiPriority w:val="99"/>
    <w:rPr>
      <w:rFonts w:ascii="Times New Roman" w:hAnsi="Times New Roman" w:eastAsia="宋体" w:cs="Times New Roman"/>
      <w:szCs w:val="24"/>
    </w:rPr>
  </w:style>
  <w:style w:type="character" w:customStyle="1" w:styleId="804">
    <w:name w:val="正文文本 3 字符"/>
    <w:basedOn w:val="72"/>
    <w:link w:val="27"/>
    <w:semiHidden/>
    <w:qFormat/>
    <w:uiPriority w:val="99"/>
    <w:rPr>
      <w:rFonts w:ascii="Times New Roman" w:hAnsi="Times New Roman" w:eastAsia="宋体" w:cs="Times New Roman"/>
      <w:sz w:val="16"/>
      <w:szCs w:val="16"/>
    </w:rPr>
  </w:style>
  <w:style w:type="character" w:customStyle="1" w:styleId="805">
    <w:name w:val="正文文本缩进 3 字符"/>
    <w:basedOn w:val="72"/>
    <w:link w:val="55"/>
    <w:semiHidden/>
    <w:qFormat/>
    <w:uiPriority w:val="99"/>
    <w:rPr>
      <w:rFonts w:ascii="Times New Roman" w:hAnsi="Times New Roman" w:eastAsia="宋体" w:cs="Times New Roman"/>
      <w:sz w:val="16"/>
      <w:szCs w:val="16"/>
    </w:rPr>
  </w:style>
  <w:style w:type="character" w:customStyle="1" w:styleId="806">
    <w:name w:val="注释标题 字符1"/>
    <w:basedOn w:val="72"/>
    <w:link w:val="16"/>
    <w:semiHidden/>
    <w:qFormat/>
    <w:uiPriority w:val="99"/>
    <w:rPr>
      <w:rFonts w:ascii="Times New Roman" w:hAnsi="Times New Roman" w:eastAsia="宋体" w:cs="Times New Roman"/>
      <w:szCs w:val="24"/>
    </w:rPr>
  </w:style>
  <w:style w:type="character" w:customStyle="1" w:styleId="807">
    <w:name w:val="批注主题 字符"/>
    <w:basedOn w:val="800"/>
    <w:link w:val="66"/>
    <w:semiHidden/>
    <w:qFormat/>
    <w:uiPriority w:val="99"/>
    <w:rPr>
      <w:rFonts w:ascii="Times New Roman" w:hAnsi="Times New Roman" w:eastAsia="宋体" w:cs="Times New Roman"/>
      <w:b/>
      <w:bCs/>
      <w:szCs w:val="24"/>
    </w:rPr>
  </w:style>
  <w:style w:type="character" w:customStyle="1" w:styleId="808">
    <w:name w:val="批注框文本 字符"/>
    <w:basedOn w:val="72"/>
    <w:link w:val="45"/>
    <w:semiHidden/>
    <w:qFormat/>
    <w:uiPriority w:val="99"/>
    <w:rPr>
      <w:rFonts w:ascii="Times New Roman" w:hAnsi="Times New Roman" w:eastAsia="宋体" w:cs="Times New Roman"/>
      <w:sz w:val="18"/>
      <w:szCs w:val="18"/>
    </w:rPr>
  </w:style>
  <w:style w:type="character" w:customStyle="1" w:styleId="809">
    <w:name w:val="正文文本 2 字符"/>
    <w:basedOn w:val="72"/>
    <w:link w:val="61"/>
    <w:semiHidden/>
    <w:qFormat/>
    <w:uiPriority w:val="99"/>
    <w:rPr>
      <w:rFonts w:ascii="Times New Roman" w:hAnsi="Times New Roman" w:eastAsia="宋体" w:cs="Times New Roman"/>
      <w:szCs w:val="24"/>
    </w:rPr>
  </w:style>
  <w:style w:type="character" w:customStyle="1" w:styleId="810">
    <w:name w:val="称呼 字符"/>
    <w:basedOn w:val="72"/>
    <w:link w:val="26"/>
    <w:semiHidden/>
    <w:qFormat/>
    <w:uiPriority w:val="99"/>
    <w:rPr>
      <w:rFonts w:ascii="Times New Roman" w:hAnsi="Times New Roman" w:eastAsia="宋体" w:cs="Times New Roman"/>
      <w:szCs w:val="24"/>
    </w:rPr>
  </w:style>
  <w:style w:type="character" w:customStyle="1" w:styleId="811">
    <w:name w:val="副标题 字符"/>
    <w:basedOn w:val="72"/>
    <w:link w:val="52"/>
    <w:qFormat/>
    <w:uiPriority w:val="11"/>
    <w:rPr>
      <w:rFonts w:eastAsia="宋体" w:asciiTheme="majorHAnsi" w:hAnsiTheme="majorHAnsi" w:cstheme="majorBidi"/>
      <w:b/>
      <w:bCs/>
      <w:sz w:val="32"/>
      <w:szCs w:val="32"/>
    </w:rPr>
  </w:style>
  <w:style w:type="character" w:customStyle="1" w:styleId="812">
    <w:name w:val="尾注文本 字符"/>
    <w:basedOn w:val="72"/>
    <w:link w:val="44"/>
    <w:semiHidden/>
    <w:qFormat/>
    <w:uiPriority w:val="99"/>
    <w:rPr>
      <w:rFonts w:ascii="Times New Roman" w:hAnsi="Times New Roman" w:eastAsia="宋体" w:cs="Times New Roman"/>
      <w:szCs w:val="24"/>
    </w:rPr>
  </w:style>
  <w:style w:type="paragraph" w:customStyle="1" w:styleId="813">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4">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5">
    <w:name w:val="标准书眉一"/>
    <w:qFormat/>
    <w:uiPriority w:val="0"/>
    <w:pPr>
      <w:jc w:val="both"/>
    </w:pPr>
    <w:rPr>
      <w:rFonts w:ascii="Times New Roman" w:hAnsi="Times New Roman" w:eastAsia="宋体" w:cs="Times New Roman"/>
      <w:lang w:val="en-US" w:eastAsia="zh-CN" w:bidi="ar-SA"/>
    </w:rPr>
  </w:style>
  <w:style w:type="paragraph" w:customStyle="1" w:styleId="816">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7">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18">
    <w:name w:val="标题3"/>
    <w:basedOn w:val="6"/>
    <w:qFormat/>
    <w:uiPriority w:val="0"/>
    <w:pPr>
      <w:keepNext w:val="0"/>
      <w:keepLines w:val="0"/>
      <w:spacing w:before="0" w:after="0" w:line="360" w:lineRule="auto"/>
    </w:pPr>
    <w:rPr>
      <w:rFonts w:eastAsia="仿宋_GB2312"/>
      <w:b w:val="0"/>
      <w:bCs/>
      <w:sz w:val="30"/>
      <w:szCs w:val="32"/>
    </w:rPr>
  </w:style>
  <w:style w:type="paragraph" w:customStyle="1" w:styleId="819">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三级无标题条"/>
    <w:basedOn w:val="1"/>
    <w:qFormat/>
    <w:uiPriority w:val="0"/>
    <w:pPr>
      <w:ind w:hanging="420"/>
    </w:pPr>
  </w:style>
  <w:style w:type="paragraph" w:customStyle="1" w:styleId="821">
    <w:name w:val="列出段落3"/>
    <w:basedOn w:val="1"/>
    <w:qFormat/>
    <w:uiPriority w:val="99"/>
    <w:pPr>
      <w:ind w:firstLine="420"/>
    </w:pPr>
    <w:rPr>
      <w:rFonts w:ascii="Calibri" w:hAnsi="Calibri"/>
      <w:szCs w:val="22"/>
    </w:rPr>
  </w:style>
  <w:style w:type="paragraph" w:customStyle="1" w:styleId="822">
    <w:name w:val="参考文献、索引标题"/>
    <w:basedOn w:val="823"/>
    <w:next w:val="1"/>
    <w:qFormat/>
    <w:uiPriority w:val="0"/>
    <w:pPr>
      <w:tabs>
        <w:tab w:val="left" w:pos="425"/>
      </w:tabs>
      <w:spacing w:after="200"/>
    </w:pPr>
    <w:rPr>
      <w:sz w:val="21"/>
    </w:rPr>
  </w:style>
  <w:style w:type="paragraph" w:customStyle="1" w:styleId="823">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24">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5">
    <w:name w:val="小四缩进"/>
    <w:basedOn w:val="1"/>
    <w:qFormat/>
    <w:uiPriority w:val="0"/>
    <w:pPr>
      <w:spacing w:line="360" w:lineRule="auto"/>
      <w:ind w:firstLine="480"/>
    </w:pPr>
    <w:rPr>
      <w:sz w:val="24"/>
    </w:rPr>
  </w:style>
  <w:style w:type="paragraph" w:customStyle="1" w:styleId="826">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7">
    <w:name w:val="示例"/>
    <w:next w:val="323"/>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28">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29">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0">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1">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2">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3">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4">
    <w:name w:val="正文文本 31"/>
    <w:basedOn w:val="1"/>
    <w:qFormat/>
    <w:uiPriority w:val="0"/>
    <w:rPr>
      <w:rFonts w:ascii="仿宋_GB2312" w:hAnsi="Arial" w:eastAsia="仿宋_GB2312"/>
      <w:sz w:val="32"/>
      <w:szCs w:val="20"/>
    </w:rPr>
  </w:style>
  <w:style w:type="paragraph" w:customStyle="1" w:styleId="835">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实施日期"/>
    <w:basedOn w:val="837"/>
    <w:qFormat/>
    <w:uiPriority w:val="0"/>
    <w:pPr>
      <w:framePr w:hSpace="0" w:wrap="around" w:xAlign="right"/>
      <w:ind w:left="2580" w:hanging="420"/>
      <w:jc w:val="right"/>
    </w:pPr>
  </w:style>
  <w:style w:type="paragraph" w:customStyle="1" w:styleId="837">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38">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39">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0">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1">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2">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3">
    <w:name w:val="无间隔11"/>
    <w:next w:val="792"/>
    <w:qFormat/>
    <w:uiPriority w:val="1"/>
    <w:rPr>
      <w:rFonts w:ascii="Calibri" w:hAnsi="Calibri" w:eastAsia="宋体" w:cs="Times New Roman"/>
      <w:sz w:val="22"/>
      <w:szCs w:val="22"/>
      <w:lang w:val="en-US" w:eastAsia="zh-CN" w:bidi="ar-SA"/>
    </w:rPr>
  </w:style>
  <w:style w:type="paragraph" w:customStyle="1" w:styleId="844">
    <w:name w:val="标准"/>
    <w:basedOn w:val="1"/>
    <w:qFormat/>
    <w:uiPriority w:val="0"/>
    <w:pPr>
      <w:spacing w:line="240" w:lineRule="atLeast"/>
    </w:pPr>
    <w:rPr>
      <w:rFonts w:eastAsia="楷体_GB2312"/>
      <w:sz w:val="24"/>
      <w:szCs w:val="20"/>
    </w:rPr>
  </w:style>
  <w:style w:type="paragraph" w:customStyle="1" w:styleId="845">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6">
    <w:name w:val="四级条标题"/>
    <w:basedOn w:val="674"/>
    <w:next w:val="323"/>
    <w:qFormat/>
    <w:uiPriority w:val="0"/>
    <w:pPr>
      <w:ind w:left="2520" w:hanging="420"/>
      <w:outlineLvl w:val="5"/>
    </w:pPr>
  </w:style>
  <w:style w:type="paragraph" w:customStyle="1" w:styleId="847">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48">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1">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3">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854">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5">
    <w:name w:val="批注主题2"/>
    <w:basedOn w:val="24"/>
    <w:next w:val="24"/>
    <w:qFormat/>
    <w:uiPriority w:val="0"/>
    <w:rPr>
      <w:b/>
      <w:bCs/>
    </w:rPr>
  </w:style>
  <w:style w:type="paragraph" w:customStyle="1" w:styleId="856">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7">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58">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9">
    <w:name w:val="条文脚注"/>
    <w:basedOn w:val="53"/>
    <w:qFormat/>
    <w:uiPriority w:val="0"/>
    <w:pPr>
      <w:ind w:left="780" w:hanging="360"/>
      <w:jc w:val="both"/>
    </w:pPr>
    <w:rPr>
      <w:rFonts w:ascii="宋体" w:hAnsi="Times New Roman"/>
    </w:rPr>
  </w:style>
  <w:style w:type="paragraph" w:customStyle="1" w:styleId="860">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1">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2">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3">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5">
    <w:name w:val="标题4"/>
    <w:basedOn w:val="6"/>
    <w:qFormat/>
    <w:uiPriority w:val="0"/>
    <w:pPr>
      <w:spacing w:before="120" w:after="120" w:line="415" w:lineRule="auto"/>
      <w:jc w:val="center"/>
    </w:pPr>
    <w:rPr>
      <w:rFonts w:eastAsia="仿宋_GB2312"/>
    </w:rPr>
  </w:style>
  <w:style w:type="paragraph" w:customStyle="1" w:styleId="866">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7">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68">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869">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0">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1">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872">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3">
    <w:name w:val="样式4"/>
    <w:basedOn w:val="1"/>
    <w:qFormat/>
    <w:uiPriority w:val="0"/>
    <w:pPr>
      <w:spacing w:line="440" w:lineRule="exact"/>
      <w:ind w:left="-2"/>
    </w:pPr>
    <w:rPr>
      <w:rFonts w:ascii="宋体" w:hAnsi="宋体"/>
      <w:sz w:val="28"/>
    </w:rPr>
  </w:style>
  <w:style w:type="paragraph" w:customStyle="1" w:styleId="874">
    <w:name w:val="Char2"/>
    <w:basedOn w:val="1"/>
    <w:qFormat/>
    <w:uiPriority w:val="0"/>
    <w:pPr>
      <w:tabs>
        <w:tab w:val="left" w:pos="360"/>
      </w:tabs>
    </w:pPr>
    <w:rPr>
      <w:sz w:val="24"/>
    </w:rPr>
  </w:style>
  <w:style w:type="paragraph" w:customStyle="1" w:styleId="875">
    <w:name w:val="正文文本缩进1"/>
    <w:basedOn w:val="1"/>
    <w:qFormat/>
    <w:uiPriority w:val="0"/>
    <w:pPr>
      <w:ind w:firstLine="645"/>
    </w:pPr>
    <w:rPr>
      <w:rFonts w:ascii="楷体_GB2312" w:eastAsia="楷体_GB2312"/>
      <w:sz w:val="32"/>
      <w:szCs w:val="20"/>
    </w:rPr>
  </w:style>
  <w:style w:type="paragraph" w:customStyle="1" w:styleId="876">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7">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8">
    <w:name w:val="列表2"/>
    <w:basedOn w:val="1"/>
    <w:qFormat/>
    <w:uiPriority w:val="0"/>
    <w:pPr>
      <w:ind w:left="200" w:hanging="200"/>
    </w:pPr>
  </w:style>
  <w:style w:type="paragraph" w:customStyle="1" w:styleId="879">
    <w:name w:val="Char Char1 Char Char Char Char Char Char Char Char"/>
    <w:basedOn w:val="1"/>
    <w:qFormat/>
    <w:uiPriority w:val="0"/>
    <w:pPr>
      <w:spacing w:line="360" w:lineRule="auto"/>
    </w:pPr>
  </w:style>
  <w:style w:type="paragraph" w:customStyle="1" w:styleId="880">
    <w:name w:val="正文4"/>
    <w:basedOn w:val="1"/>
    <w:qFormat/>
    <w:uiPriority w:val="0"/>
    <w:pPr>
      <w:spacing w:line="360" w:lineRule="auto"/>
      <w:ind w:firstLine="480"/>
    </w:pPr>
    <w:rPr>
      <w:rFonts w:ascii="楷体_GB2312" w:hAnsi="宋体" w:eastAsia="楷体_GB2312"/>
      <w:sz w:val="24"/>
      <w:szCs w:val="20"/>
    </w:rPr>
  </w:style>
  <w:style w:type="paragraph" w:customStyle="1" w:styleId="881">
    <w:name w:val="封面标准号2"/>
    <w:basedOn w:val="871"/>
    <w:qFormat/>
    <w:uiPriority w:val="0"/>
    <w:pPr>
      <w:framePr w:w="9138" w:h="1244" w:hRule="exact" w:wrap="around" w:vAnchor="page" w:hAnchor="margin" w:y="2908"/>
      <w:spacing w:before="357" w:line="280" w:lineRule="exact"/>
    </w:pPr>
  </w:style>
  <w:style w:type="paragraph" w:customStyle="1" w:styleId="882">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日期3"/>
    <w:basedOn w:val="1"/>
    <w:next w:val="1"/>
    <w:qFormat/>
    <w:uiPriority w:val="0"/>
    <w:pPr>
      <w:ind w:left="100"/>
    </w:pPr>
    <w:rPr>
      <w:rFonts w:ascii="仿宋_GB2312" w:eastAsia="仿宋_GB2312"/>
      <w:b/>
      <w:sz w:val="36"/>
    </w:rPr>
  </w:style>
  <w:style w:type="paragraph" w:customStyle="1" w:styleId="884">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5">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批注主题1"/>
    <w:basedOn w:val="24"/>
    <w:next w:val="24"/>
    <w:qFormat/>
    <w:uiPriority w:val="0"/>
    <w:rPr>
      <w:b/>
      <w:bCs/>
    </w:rPr>
  </w:style>
  <w:style w:type="paragraph" w:customStyle="1" w:styleId="887">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8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89">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0">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列出段落11"/>
    <w:basedOn w:val="1"/>
    <w:qFormat/>
    <w:uiPriority w:val="0"/>
    <w:pPr>
      <w:ind w:firstLine="420"/>
    </w:pPr>
  </w:style>
  <w:style w:type="paragraph" w:customStyle="1" w:styleId="892">
    <w:name w:val="Style Heading 2 节 + Before:  0.35 line After:  0.35 line"/>
    <w:basedOn w:val="893"/>
    <w:qFormat/>
    <w:uiPriority w:val="0"/>
    <w:pPr>
      <w:tabs>
        <w:tab w:val="left" w:pos="576"/>
      </w:tabs>
      <w:ind w:left="0" w:firstLine="0"/>
    </w:pPr>
    <w:rPr>
      <w:szCs w:val="20"/>
    </w:rPr>
  </w:style>
  <w:style w:type="paragraph" w:customStyle="1" w:styleId="893">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4">
    <w:name w:val="正文文本 32"/>
    <w:basedOn w:val="1"/>
    <w:qFormat/>
    <w:uiPriority w:val="0"/>
    <w:rPr>
      <w:rFonts w:ascii="仿宋_GB2312" w:hAnsi="Arial" w:eastAsia="仿宋_GB2312"/>
      <w:sz w:val="32"/>
      <w:szCs w:val="20"/>
    </w:rPr>
  </w:style>
  <w:style w:type="paragraph" w:customStyle="1" w:styleId="895">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6">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898">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9">
    <w:name w:val="TOC 标题11"/>
    <w:basedOn w:val="4"/>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0">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GP正文(首行缩进)"/>
    <w:basedOn w:val="1"/>
    <w:qFormat/>
    <w:uiPriority w:val="0"/>
    <w:pPr>
      <w:spacing w:line="360" w:lineRule="auto"/>
      <w:ind w:firstLine="200"/>
      <w:jc w:val="left"/>
    </w:pPr>
    <w:rPr>
      <w:sz w:val="24"/>
      <w:szCs w:val="21"/>
    </w:rPr>
  </w:style>
  <w:style w:type="paragraph" w:customStyle="1" w:styleId="903">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5">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08">
    <w:name w:val="正文文本 21"/>
    <w:basedOn w:val="1"/>
    <w:qFormat/>
    <w:uiPriority w:val="0"/>
    <w:pPr>
      <w:spacing w:after="120" w:line="480" w:lineRule="auto"/>
    </w:pPr>
  </w:style>
  <w:style w:type="paragraph" w:customStyle="1" w:styleId="909">
    <w:name w:val="五级条标题"/>
    <w:basedOn w:val="846"/>
    <w:next w:val="323"/>
    <w:qFormat/>
    <w:uiPriority w:val="0"/>
    <w:pPr>
      <w:tabs>
        <w:tab w:val="left" w:pos="1800"/>
        <w:tab w:val="clear" w:pos="780"/>
      </w:tabs>
      <w:ind w:left="1276" w:hanging="1276"/>
      <w:outlineLvl w:val="6"/>
    </w:pPr>
  </w:style>
  <w:style w:type="paragraph" w:customStyle="1" w:styleId="910">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1">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2">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3">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4">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5">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7">
    <w:name w:val="封面正文"/>
    <w:qFormat/>
    <w:uiPriority w:val="0"/>
    <w:pPr>
      <w:jc w:val="both"/>
    </w:pPr>
    <w:rPr>
      <w:rFonts w:ascii="Times New Roman" w:hAnsi="Times New Roman" w:eastAsia="宋体" w:cs="Times New Roman"/>
      <w:lang w:val="en-US" w:eastAsia="zh-CN" w:bidi="ar-SA"/>
    </w:rPr>
  </w:style>
  <w:style w:type="paragraph" w:customStyle="1" w:styleId="918">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9">
    <w:name w:val="制作人文字"/>
    <w:basedOn w:val="1"/>
    <w:qFormat/>
    <w:uiPriority w:val="0"/>
    <w:rPr>
      <w:rFonts w:ascii="Arial" w:hAnsi="Arial" w:eastAsia="仿宋_GB2312"/>
      <w:bCs/>
      <w:sz w:val="28"/>
      <w:szCs w:val="20"/>
    </w:rPr>
  </w:style>
  <w:style w:type="paragraph" w:customStyle="1" w:styleId="92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1">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3">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4">
    <w:name w:val="纯文本2"/>
    <w:basedOn w:val="1"/>
    <w:qFormat/>
    <w:uiPriority w:val="0"/>
    <w:rPr>
      <w:rFonts w:ascii="宋体" w:hAnsi="Courier New"/>
      <w:szCs w:val="21"/>
    </w:rPr>
  </w:style>
  <w:style w:type="paragraph" w:customStyle="1" w:styleId="925">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6">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28">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0">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1">
    <w:name w:val="附录标识"/>
    <w:basedOn w:val="823"/>
    <w:qFormat/>
    <w:uiPriority w:val="0"/>
    <w:pPr>
      <w:tabs>
        <w:tab w:val="left" w:pos="780"/>
        <w:tab w:val="left" w:pos="6405"/>
      </w:tabs>
      <w:spacing w:after="200"/>
      <w:ind w:left="780" w:hanging="360"/>
    </w:pPr>
    <w:rPr>
      <w:sz w:val="21"/>
    </w:rPr>
  </w:style>
  <w:style w:type="paragraph" w:customStyle="1" w:styleId="9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3">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5">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6">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8">
    <w:name w:val="_Style 5"/>
    <w:basedOn w:val="1"/>
    <w:qFormat/>
    <w:uiPriority w:val="34"/>
  </w:style>
  <w:style w:type="paragraph" w:customStyle="1" w:styleId="939">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1">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2">
    <w:name w:val="样式1111"/>
    <w:basedOn w:val="1"/>
    <w:qFormat/>
    <w:uiPriority w:val="0"/>
    <w:pPr>
      <w:spacing w:line="360" w:lineRule="auto"/>
      <w:ind w:firstLine="200"/>
      <w:jc w:val="left"/>
    </w:pPr>
    <w:rPr>
      <w:sz w:val="24"/>
    </w:rPr>
  </w:style>
  <w:style w:type="paragraph" w:customStyle="1" w:styleId="9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4">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5">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7">
    <w:name w:val="TOC 标题2"/>
    <w:basedOn w:val="4"/>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48">
    <w:name w:val="样式 样式 标题 3H3Heading 3 - oldh3sect1.2.3BOD 0level_3PIM 3Leve... +..."/>
    <w:basedOn w:val="1"/>
    <w:qFormat/>
    <w:uiPriority w:val="0"/>
    <w:pPr>
      <w:tabs>
        <w:tab w:val="left" w:pos="709"/>
      </w:tabs>
      <w:spacing w:line="300" w:lineRule="auto"/>
      <w:ind w:left="709" w:hanging="709"/>
    </w:pPr>
  </w:style>
  <w:style w:type="paragraph" w:customStyle="1" w:styleId="949">
    <w:name w:val="Char11"/>
    <w:basedOn w:val="1"/>
    <w:qFormat/>
    <w:uiPriority w:val="0"/>
    <w:rPr>
      <w:rFonts w:ascii="Tahoma" w:hAnsi="Tahoma"/>
      <w:sz w:val="24"/>
      <w:szCs w:val="20"/>
    </w:rPr>
  </w:style>
  <w:style w:type="paragraph" w:customStyle="1" w:styleId="950">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1">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2">
    <w:name w:val="我的表格文字"/>
    <w:basedOn w:val="1"/>
    <w:qFormat/>
    <w:uiPriority w:val="0"/>
    <w:pPr>
      <w:widowControl/>
      <w:jc w:val="left"/>
    </w:pPr>
    <w:rPr>
      <w:rFonts w:ascii="Arial" w:hAnsi="Arial" w:cs="Microsoft Sans Serif"/>
      <w:sz w:val="24"/>
      <w:szCs w:val="18"/>
    </w:rPr>
  </w:style>
  <w:style w:type="paragraph" w:customStyle="1" w:styleId="953">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4">
    <w:name w:val="正文文本 22"/>
    <w:basedOn w:val="1"/>
    <w:qFormat/>
    <w:uiPriority w:val="0"/>
    <w:pPr>
      <w:spacing w:after="120" w:line="480" w:lineRule="auto"/>
    </w:pPr>
  </w:style>
  <w:style w:type="paragraph" w:customStyle="1" w:styleId="95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6">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8">
    <w:name w:val="附录二级条标题"/>
    <w:basedOn w:val="788"/>
    <w:next w:val="323"/>
    <w:qFormat/>
    <w:uiPriority w:val="0"/>
    <w:pPr>
      <w:ind w:left="1779" w:hanging="1069"/>
      <w:outlineLvl w:val="3"/>
    </w:pPr>
  </w:style>
  <w:style w:type="paragraph" w:customStyle="1" w:styleId="959">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0">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1">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3">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附录三级条标题"/>
    <w:basedOn w:val="958"/>
    <w:next w:val="323"/>
    <w:qFormat/>
    <w:uiPriority w:val="0"/>
    <w:pPr>
      <w:ind w:left="851" w:hanging="851"/>
      <w:outlineLvl w:val="4"/>
    </w:pPr>
  </w:style>
  <w:style w:type="paragraph" w:customStyle="1" w:styleId="965">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6">
    <w:name w:val="文档结构图2"/>
    <w:basedOn w:val="1"/>
    <w:qFormat/>
    <w:uiPriority w:val="0"/>
    <w:rPr>
      <w:rFonts w:ascii="宋体"/>
      <w:sz w:val="18"/>
      <w:szCs w:val="18"/>
    </w:rPr>
  </w:style>
  <w:style w:type="paragraph" w:customStyle="1" w:styleId="96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68">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69">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1">
    <w:name w:val="附录四级条标题"/>
    <w:basedOn w:val="964"/>
    <w:next w:val="323"/>
    <w:qFormat/>
    <w:uiPriority w:val="0"/>
    <w:pPr>
      <w:ind w:left="992" w:hanging="992"/>
      <w:outlineLvl w:val="5"/>
    </w:pPr>
  </w:style>
  <w:style w:type="paragraph" w:customStyle="1" w:styleId="972">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3">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4">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5">
    <w:name w:val="正文符号编号"/>
    <w:basedOn w:val="1"/>
    <w:qFormat/>
    <w:uiPriority w:val="0"/>
    <w:pPr>
      <w:tabs>
        <w:tab w:val="left" w:pos="1395"/>
      </w:tabs>
      <w:spacing w:line="360" w:lineRule="auto"/>
      <w:ind w:left="1395" w:hanging="600"/>
    </w:pPr>
    <w:rPr>
      <w:sz w:val="24"/>
      <w:szCs w:val="20"/>
    </w:rPr>
  </w:style>
  <w:style w:type="paragraph" w:customStyle="1" w:styleId="976">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7">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正文 + 四号"/>
    <w:basedOn w:val="1"/>
    <w:qFormat/>
    <w:uiPriority w:val="0"/>
    <w:pPr>
      <w:spacing w:line="480" w:lineRule="exact"/>
    </w:pPr>
    <w:rPr>
      <w:sz w:val="28"/>
      <w:szCs w:val="20"/>
    </w:rPr>
  </w:style>
  <w:style w:type="paragraph" w:customStyle="1" w:styleId="979">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0">
    <w:name w:val="Char1 Char Char Char"/>
    <w:basedOn w:val="1"/>
    <w:qFormat/>
    <w:uiPriority w:val="99"/>
    <w:rPr>
      <w:rFonts w:ascii="Tahoma" w:hAnsi="Tahoma"/>
      <w:sz w:val="24"/>
      <w:szCs w:val="20"/>
    </w:rPr>
  </w:style>
  <w:style w:type="paragraph" w:customStyle="1" w:styleId="98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2">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3">
    <w:name w:val="附录五级条标题"/>
    <w:basedOn w:val="971"/>
    <w:next w:val="323"/>
    <w:qFormat/>
    <w:uiPriority w:val="0"/>
    <w:pPr>
      <w:tabs>
        <w:tab w:val="left" w:pos="780"/>
        <w:tab w:val="left" w:pos="1800"/>
      </w:tabs>
      <w:ind w:left="2940" w:hanging="420"/>
      <w:outlineLvl w:val="6"/>
    </w:pPr>
  </w:style>
  <w:style w:type="paragraph" w:customStyle="1" w:styleId="984">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5">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6">
    <w:name w:val="正文首行缩进1"/>
    <w:basedOn w:val="1"/>
    <w:qFormat/>
    <w:uiPriority w:val="0"/>
    <w:pPr>
      <w:spacing w:line="360" w:lineRule="auto"/>
      <w:ind w:firstLine="420"/>
    </w:pPr>
    <w:rPr>
      <w:rFonts w:ascii="Arial" w:hAnsi="Arial"/>
      <w:sz w:val="20"/>
      <w:szCs w:val="21"/>
    </w:rPr>
  </w:style>
  <w:style w:type="paragraph" w:customStyle="1" w:styleId="987">
    <w:name w:val="图表目录1"/>
    <w:basedOn w:val="39"/>
    <w:qFormat/>
    <w:uiPriority w:val="0"/>
    <w:pPr>
      <w:spacing w:after="120" w:line="360" w:lineRule="auto"/>
      <w:jc w:val="center"/>
    </w:pPr>
    <w:rPr>
      <w:rFonts w:ascii="楷体"/>
      <w:sz w:val="28"/>
    </w:rPr>
  </w:style>
  <w:style w:type="paragraph" w:customStyle="1" w:styleId="988">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9">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0">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2">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3">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表格1"/>
    <w:basedOn w:val="1"/>
    <w:qFormat/>
    <w:uiPriority w:val="0"/>
    <w:rPr>
      <w:rFonts w:ascii="宋体"/>
      <w:szCs w:val="21"/>
    </w:rPr>
  </w:style>
  <w:style w:type="paragraph" w:customStyle="1" w:styleId="995">
    <w:name w:val="TOC 51"/>
    <w:basedOn w:val="1"/>
    <w:next w:val="1"/>
    <w:qFormat/>
    <w:uiPriority w:val="39"/>
    <w:pPr>
      <w:ind w:left="1680"/>
    </w:pPr>
    <w:rPr>
      <w:rFonts w:ascii="Calibri" w:hAnsi="Calibri"/>
      <w:szCs w:val="22"/>
    </w:rPr>
  </w:style>
  <w:style w:type="paragraph" w:customStyle="1" w:styleId="996">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7">
    <w:name w:val="Style Heading 3H31.1.1标题 3Level 3 Headlevel_3PIM 3h3sect1.2...."/>
    <w:basedOn w:val="6"/>
    <w:qFormat/>
    <w:uiPriority w:val="0"/>
    <w:pPr>
      <w:spacing w:before="120" w:after="120" w:line="360" w:lineRule="auto"/>
      <w:ind w:left="720" w:hanging="720"/>
    </w:pPr>
    <w:rPr>
      <w:rFonts w:eastAsia="黑体"/>
      <w:bCs/>
      <w:sz w:val="24"/>
    </w:rPr>
  </w:style>
  <w:style w:type="paragraph" w:customStyle="1" w:styleId="998">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0">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1">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02">
    <w:name w:val="Char1"/>
    <w:basedOn w:val="1"/>
    <w:qFormat/>
    <w:uiPriority w:val="0"/>
    <w:pPr>
      <w:tabs>
        <w:tab w:val="left" w:pos="840"/>
      </w:tabs>
      <w:ind w:left="840" w:hanging="420"/>
    </w:pPr>
    <w:rPr>
      <w:sz w:val="24"/>
    </w:rPr>
  </w:style>
  <w:style w:type="paragraph" w:customStyle="1" w:styleId="1003">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4">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6">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7">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8">
    <w:name w:val="TOC 81"/>
    <w:basedOn w:val="1"/>
    <w:next w:val="1"/>
    <w:qFormat/>
    <w:uiPriority w:val="39"/>
    <w:pPr>
      <w:ind w:left="2940"/>
    </w:pPr>
    <w:rPr>
      <w:rFonts w:ascii="Calibri" w:hAnsi="Calibri"/>
      <w:szCs w:val="22"/>
    </w:rPr>
  </w:style>
  <w:style w:type="paragraph" w:customStyle="1" w:styleId="1009">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0">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11">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2">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3">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14">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5">
    <w:name w:val="TOC 标题121"/>
    <w:basedOn w:val="4"/>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6">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17">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文本块2"/>
    <w:basedOn w:val="1"/>
    <w:qFormat/>
    <w:uiPriority w:val="0"/>
    <w:pPr>
      <w:ind w:left="630" w:right="630"/>
      <w:jc w:val="center"/>
    </w:pPr>
    <w:rPr>
      <w:rFonts w:ascii="宋体"/>
      <w:b/>
      <w:sz w:val="32"/>
    </w:rPr>
  </w:style>
  <w:style w:type="paragraph" w:customStyle="1" w:styleId="1019">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0">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1">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2">
    <w:name w:val="TOC 41"/>
    <w:basedOn w:val="1"/>
    <w:next w:val="1"/>
    <w:qFormat/>
    <w:uiPriority w:val="39"/>
    <w:pPr>
      <w:ind w:left="1260"/>
    </w:pPr>
    <w:rPr>
      <w:rFonts w:ascii="Calibri" w:hAnsi="Calibri"/>
      <w:szCs w:val="22"/>
    </w:rPr>
  </w:style>
  <w:style w:type="paragraph" w:customStyle="1" w:styleId="1023">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4">
    <w:name w:val="目次、标准名称标题"/>
    <w:basedOn w:val="823"/>
    <w:next w:val="323"/>
    <w:qFormat/>
    <w:uiPriority w:val="0"/>
    <w:pPr>
      <w:spacing w:line="460" w:lineRule="exact"/>
    </w:pPr>
  </w:style>
  <w:style w:type="paragraph" w:customStyle="1" w:styleId="10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6">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0">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1">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普通正文"/>
    <w:basedOn w:val="1"/>
    <w:qFormat/>
    <w:uiPriority w:val="0"/>
    <w:pPr>
      <w:spacing w:before="120" w:after="120" w:line="360" w:lineRule="auto"/>
      <w:ind w:firstLine="480"/>
      <w:jc w:val="left"/>
    </w:pPr>
    <w:rPr>
      <w:rFonts w:ascii="Arial" w:hAnsi="Arial"/>
      <w:sz w:val="24"/>
    </w:rPr>
  </w:style>
  <w:style w:type="paragraph" w:customStyle="1" w:styleId="1033">
    <w:name w:val="TOC 61"/>
    <w:basedOn w:val="1"/>
    <w:next w:val="1"/>
    <w:qFormat/>
    <w:uiPriority w:val="39"/>
    <w:pPr>
      <w:ind w:left="2100"/>
    </w:pPr>
    <w:rPr>
      <w:rFonts w:ascii="Calibri" w:hAnsi="Calibri"/>
      <w:szCs w:val="22"/>
    </w:rPr>
  </w:style>
  <w:style w:type="paragraph" w:customStyle="1" w:styleId="1034">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6">
    <w:name w:val="样式 标题 2市检方案标题2第一层条h22章标题节标题第一章 标题 2Heading 2 HiddenHead..."/>
    <w:basedOn w:val="5"/>
    <w:qFormat/>
    <w:uiPriority w:val="0"/>
    <w:pPr>
      <w:spacing w:before="120" w:after="120" w:line="264" w:lineRule="auto"/>
      <w:jc w:val="left"/>
    </w:pPr>
    <w:rPr>
      <w:rFonts w:ascii="楷体_GB2312" w:hAnsi="楷体" w:cs="宋体"/>
      <w:color w:val="000000"/>
      <w:sz w:val="28"/>
      <w:szCs w:val="28"/>
    </w:rPr>
  </w:style>
  <w:style w:type="paragraph" w:customStyle="1" w:styleId="1037">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8">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39">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1">
    <w:name w:val="日期2"/>
    <w:basedOn w:val="1"/>
    <w:next w:val="1"/>
    <w:qFormat/>
    <w:uiPriority w:val="0"/>
    <w:pPr>
      <w:ind w:left="100"/>
    </w:pPr>
    <w:rPr>
      <w:rFonts w:ascii="仿宋_GB2312" w:eastAsia="仿宋_GB2312"/>
      <w:b/>
      <w:sz w:val="36"/>
    </w:rPr>
  </w:style>
  <w:style w:type="paragraph" w:customStyle="1" w:styleId="10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3">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5">
    <w:name w:val="样式4 Char"/>
    <w:basedOn w:val="1"/>
    <w:qFormat/>
    <w:uiPriority w:val="0"/>
    <w:pPr>
      <w:widowControl/>
      <w:spacing w:line="360" w:lineRule="auto"/>
      <w:ind w:firstLine="480"/>
      <w:jc w:val="left"/>
    </w:pPr>
    <w:rPr>
      <w:color w:val="000000"/>
      <w:sz w:val="24"/>
    </w:rPr>
  </w:style>
  <w:style w:type="paragraph" w:customStyle="1" w:styleId="1046">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7">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8">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49">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0">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3">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4">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标准书眉_偶数页"/>
    <w:basedOn w:val="1056"/>
    <w:next w:val="1"/>
    <w:qFormat/>
    <w:uiPriority w:val="0"/>
    <w:pPr>
      <w:tabs>
        <w:tab w:val="center" w:pos="4154"/>
        <w:tab w:val="right" w:pos="8306"/>
      </w:tabs>
      <w:jc w:val="left"/>
    </w:pPr>
  </w:style>
  <w:style w:type="paragraph" w:customStyle="1" w:styleId="105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58">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0">
    <w:name w:val="内容标题"/>
    <w:basedOn w:val="1"/>
    <w:qFormat/>
    <w:uiPriority w:val="0"/>
    <w:pPr>
      <w:shd w:val="clear" w:color="auto" w:fill="000080"/>
    </w:pPr>
    <w:rPr>
      <w:rFonts w:ascii="Tahoma" w:hAnsi="Tahoma"/>
      <w:sz w:val="24"/>
      <w:shd w:val="clear" w:color="auto" w:fill="000080"/>
    </w:rPr>
  </w:style>
  <w:style w:type="paragraph" w:customStyle="1" w:styleId="1061">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2">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3">
    <w:name w:val="样式2"/>
    <w:basedOn w:val="1"/>
    <w:qFormat/>
    <w:uiPriority w:val="0"/>
    <w:pPr>
      <w:ind w:left="624" w:hanging="720"/>
    </w:pPr>
    <w:rPr>
      <w:rFonts w:ascii="黑体" w:eastAsia="黑体"/>
      <w:b/>
      <w:sz w:val="30"/>
    </w:rPr>
  </w:style>
  <w:style w:type="paragraph" w:customStyle="1" w:styleId="1064">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7">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8">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69">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表格文字"/>
    <w:basedOn w:val="1"/>
    <w:qFormat/>
    <w:uiPriority w:val="0"/>
    <w:pPr>
      <w:tabs>
        <w:tab w:val="left" w:pos="7740"/>
      </w:tabs>
      <w:jc w:val="center"/>
    </w:pPr>
    <w:rPr>
      <w:rFonts w:ascii="宋体" w:hAnsi="宋体"/>
      <w:sz w:val="24"/>
      <w:szCs w:val="20"/>
    </w:rPr>
  </w:style>
  <w:style w:type="paragraph" w:customStyle="1" w:styleId="1071">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2">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表格文本"/>
    <w:basedOn w:val="1"/>
    <w:qFormat/>
    <w:uiPriority w:val="0"/>
    <w:pPr>
      <w:tabs>
        <w:tab w:val="decimal" w:pos="0"/>
      </w:tabs>
      <w:jc w:val="left"/>
    </w:pPr>
    <w:rPr>
      <w:rFonts w:ascii="Arial" w:hAnsi="Arial"/>
      <w:szCs w:val="21"/>
    </w:rPr>
  </w:style>
  <w:style w:type="paragraph" w:customStyle="1" w:styleId="1074">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5">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076">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7">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78">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9">
    <w:name w:val="Style First line:  2 ch"/>
    <w:basedOn w:val="1"/>
    <w:qFormat/>
    <w:uiPriority w:val="0"/>
    <w:pPr>
      <w:spacing w:line="440" w:lineRule="exact"/>
      <w:ind w:firstLine="200"/>
    </w:pPr>
    <w:rPr>
      <w:sz w:val="24"/>
    </w:rPr>
  </w:style>
  <w:style w:type="paragraph" w:customStyle="1" w:styleId="1080">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正文４"/>
    <w:basedOn w:val="1"/>
    <w:qFormat/>
    <w:uiPriority w:val="0"/>
    <w:pPr>
      <w:spacing w:line="360" w:lineRule="auto"/>
      <w:ind w:firstLine="480"/>
    </w:pPr>
    <w:rPr>
      <w:sz w:val="24"/>
      <w:szCs w:val="20"/>
    </w:rPr>
  </w:style>
  <w:style w:type="paragraph" w:customStyle="1" w:styleId="1082">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3">
    <w:name w:val="图表脚注"/>
    <w:next w:val="323"/>
    <w:qFormat/>
    <w:uiPriority w:val="0"/>
    <w:pPr>
      <w:ind w:left="300" w:hanging="100"/>
      <w:jc w:val="both"/>
    </w:pPr>
    <w:rPr>
      <w:rFonts w:ascii="宋体" w:hAnsi="Times New Roman" w:eastAsia="宋体" w:cs="Times New Roman"/>
      <w:sz w:val="18"/>
      <w:lang w:val="en-US" w:eastAsia="zh-CN" w:bidi="ar-SA"/>
    </w:rPr>
  </w:style>
  <w:style w:type="paragraph" w:customStyle="1" w:styleId="1084">
    <w:name w:val="列出段落1"/>
    <w:basedOn w:val="1"/>
    <w:qFormat/>
    <w:uiPriority w:val="0"/>
    <w:pPr>
      <w:ind w:firstLine="420"/>
    </w:pPr>
  </w:style>
  <w:style w:type="paragraph" w:customStyle="1" w:styleId="1085">
    <w:name w:val="无标题条"/>
    <w:next w:val="323"/>
    <w:qFormat/>
    <w:uiPriority w:val="0"/>
    <w:pPr>
      <w:jc w:val="both"/>
    </w:pPr>
    <w:rPr>
      <w:rFonts w:ascii="Times New Roman" w:hAnsi="Times New Roman" w:eastAsia="宋体" w:cs="Times New Roman"/>
      <w:sz w:val="21"/>
      <w:lang w:val="en-US" w:eastAsia="zh-CN" w:bidi="ar-SA"/>
    </w:rPr>
  </w:style>
  <w:style w:type="paragraph" w:customStyle="1" w:styleId="1086">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7">
    <w:name w:val="注示头"/>
    <w:basedOn w:val="1"/>
    <w:qFormat/>
    <w:uiPriority w:val="0"/>
    <w:pPr>
      <w:pBdr>
        <w:top w:val="single" w:color="000000" w:sz="4" w:space="1"/>
      </w:pBdr>
    </w:pPr>
    <w:rPr>
      <w:rFonts w:ascii="Arial" w:hAnsi="Arial" w:eastAsia="黑体"/>
      <w:sz w:val="18"/>
      <w:szCs w:val="20"/>
    </w:rPr>
  </w:style>
  <w:style w:type="paragraph" w:customStyle="1" w:styleId="1088">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090">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1">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3">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95">
    <w:name w:val="纯文本1"/>
    <w:basedOn w:val="1"/>
    <w:link w:val="1535"/>
    <w:qFormat/>
    <w:uiPriority w:val="0"/>
    <w:rPr>
      <w:rFonts w:ascii="宋体" w:hAnsi="Courier New"/>
      <w:szCs w:val="21"/>
    </w:rPr>
  </w:style>
  <w:style w:type="paragraph" w:customStyle="1" w:styleId="1096">
    <w:name w:val="列出段落2"/>
    <w:basedOn w:val="1"/>
    <w:qFormat/>
    <w:uiPriority w:val="0"/>
    <w:pPr>
      <w:ind w:firstLine="420"/>
    </w:pPr>
    <w:rPr>
      <w:rFonts w:ascii="Calibri" w:hAnsi="Calibri" w:eastAsia="仿宋_GB2312"/>
      <w:sz w:val="24"/>
      <w:szCs w:val="22"/>
    </w:rPr>
  </w:style>
  <w:style w:type="paragraph" w:customStyle="1" w:styleId="1097">
    <w:name w:val="图5"/>
    <w:basedOn w:val="1"/>
    <w:qFormat/>
    <w:uiPriority w:val="0"/>
    <w:pPr>
      <w:spacing w:line="220" w:lineRule="exact"/>
      <w:jc w:val="center"/>
    </w:pPr>
    <w:rPr>
      <w:rFonts w:ascii="仿宋_GB2312" w:eastAsia="仿宋_GB2312"/>
      <w:szCs w:val="20"/>
    </w:rPr>
  </w:style>
  <w:style w:type="paragraph" w:customStyle="1" w:styleId="1098">
    <w:name w:val="无间隔2"/>
    <w:qFormat/>
    <w:uiPriority w:val="0"/>
    <w:pPr>
      <w:widowControl w:val="0"/>
      <w:jc w:val="both"/>
    </w:pPr>
    <w:rPr>
      <w:rFonts w:ascii="Calibri" w:hAnsi="Calibri" w:eastAsia="宋体" w:cs="黑体"/>
      <w:sz w:val="21"/>
      <w:szCs w:val="22"/>
      <w:lang w:val="en-US" w:eastAsia="zh-CN" w:bidi="ar-SA"/>
    </w:rPr>
  </w:style>
  <w:style w:type="paragraph" w:customStyle="1" w:styleId="1099">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0">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1">
    <w:name w:val="正文缩进2"/>
    <w:basedOn w:val="1"/>
    <w:qFormat/>
    <w:uiPriority w:val="0"/>
    <w:pPr>
      <w:ind w:firstLine="420"/>
    </w:pPr>
    <w:rPr>
      <w:szCs w:val="20"/>
    </w:rPr>
  </w:style>
  <w:style w:type="paragraph" w:customStyle="1" w:styleId="1102">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3">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4">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6">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09">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1">
    <w:name w:val="列表1"/>
    <w:basedOn w:val="1"/>
    <w:qFormat/>
    <w:uiPriority w:val="0"/>
    <w:pPr>
      <w:ind w:left="200" w:hanging="200"/>
    </w:pPr>
  </w:style>
  <w:style w:type="paragraph" w:customStyle="1" w:styleId="1112">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4">
    <w:name w:val="Char1 Char Char Char11"/>
    <w:basedOn w:val="1"/>
    <w:qFormat/>
    <w:uiPriority w:val="0"/>
    <w:rPr>
      <w:rFonts w:ascii="Tahoma" w:hAnsi="Tahoma"/>
      <w:sz w:val="24"/>
      <w:szCs w:val="20"/>
    </w:rPr>
  </w:style>
  <w:style w:type="paragraph" w:customStyle="1" w:styleId="1115">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6">
    <w:name w:val="日期1"/>
    <w:basedOn w:val="1"/>
    <w:next w:val="1"/>
    <w:qFormat/>
    <w:uiPriority w:val="0"/>
    <w:pPr>
      <w:spacing w:line="312" w:lineRule="atLeast"/>
      <w:jc w:val="right"/>
    </w:pPr>
    <w:rPr>
      <w:rFonts w:ascii="黑体" w:eastAsia="黑体"/>
      <w:b/>
      <w:sz w:val="32"/>
      <w:szCs w:val="20"/>
    </w:rPr>
  </w:style>
  <w:style w:type="paragraph" w:customStyle="1" w:styleId="1117">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18">
    <w:name w:val="Char"/>
    <w:basedOn w:val="1"/>
    <w:qFormat/>
    <w:uiPriority w:val="99"/>
    <w:pPr>
      <w:spacing w:line="360" w:lineRule="auto"/>
    </w:pPr>
    <w:rPr>
      <w:sz w:val="24"/>
      <w:szCs w:val="20"/>
    </w:rPr>
  </w:style>
  <w:style w:type="paragraph" w:customStyle="1" w:styleId="1119">
    <w:name w:val="文档结构图1"/>
    <w:basedOn w:val="1"/>
    <w:qFormat/>
    <w:uiPriority w:val="0"/>
    <w:rPr>
      <w:rFonts w:ascii="宋体"/>
      <w:sz w:val="18"/>
      <w:szCs w:val="18"/>
    </w:rPr>
  </w:style>
  <w:style w:type="paragraph" w:customStyle="1" w:styleId="1120">
    <w:name w:val="表格正文"/>
    <w:basedOn w:val="1"/>
    <w:qFormat/>
    <w:uiPriority w:val="0"/>
    <w:pPr>
      <w:jc w:val="center"/>
    </w:pPr>
    <w:rPr>
      <w:rFonts w:eastAsia="仿宋_GB2312"/>
    </w:rPr>
  </w:style>
  <w:style w:type="paragraph" w:customStyle="1" w:styleId="112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2">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3">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4">
    <w:name w:val="Birdseed"/>
    <w:basedOn w:val="1"/>
    <w:qFormat/>
    <w:uiPriority w:val="0"/>
    <w:pPr>
      <w:widowControl/>
      <w:jc w:val="left"/>
    </w:pPr>
    <w:rPr>
      <w:rFonts w:ascii="Palatino Linotype" w:hAnsi="Palatino Linotype"/>
      <w:sz w:val="18"/>
      <w:szCs w:val="20"/>
    </w:rPr>
  </w:style>
  <w:style w:type="paragraph" w:customStyle="1" w:styleId="1125">
    <w:name w:val="TOC 91"/>
    <w:basedOn w:val="1"/>
    <w:next w:val="1"/>
    <w:qFormat/>
    <w:uiPriority w:val="39"/>
    <w:pPr>
      <w:ind w:left="3360"/>
    </w:pPr>
    <w:rPr>
      <w:rFonts w:ascii="Calibri" w:hAnsi="Calibri"/>
      <w:szCs w:val="22"/>
    </w:rPr>
  </w:style>
  <w:style w:type="paragraph" w:customStyle="1" w:styleId="1126">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7">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28">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正文--表格内正文"/>
    <w:basedOn w:val="1"/>
    <w:qFormat/>
    <w:uiPriority w:val="0"/>
    <w:pPr>
      <w:spacing w:line="0" w:lineRule="atLeast"/>
      <w:jc w:val="center"/>
    </w:pPr>
    <w:rPr>
      <w:rFonts w:ascii="宋体" w:hAnsi="宋体"/>
      <w:sz w:val="24"/>
    </w:rPr>
  </w:style>
  <w:style w:type="paragraph" w:customStyle="1" w:styleId="1130">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样式 行距: 1.5 倍行距"/>
    <w:basedOn w:val="1"/>
    <w:qFormat/>
    <w:uiPriority w:val="0"/>
    <w:pPr>
      <w:spacing w:line="360" w:lineRule="auto"/>
    </w:pPr>
    <w:rPr>
      <w:rFonts w:ascii="宋体" w:hAnsi="宋体"/>
      <w:bCs/>
      <w:sz w:val="28"/>
      <w:szCs w:val="20"/>
    </w:rPr>
  </w:style>
  <w:style w:type="paragraph" w:customStyle="1" w:styleId="1132">
    <w:name w:val="正文首行缩进2"/>
    <w:basedOn w:val="1"/>
    <w:qFormat/>
    <w:uiPriority w:val="0"/>
    <w:pPr>
      <w:spacing w:line="360" w:lineRule="auto"/>
      <w:ind w:firstLine="420"/>
    </w:pPr>
    <w:rPr>
      <w:rFonts w:ascii="Arial" w:hAnsi="Arial"/>
      <w:sz w:val="20"/>
      <w:szCs w:val="21"/>
    </w:rPr>
  </w:style>
  <w:style w:type="paragraph" w:customStyle="1" w:styleId="1133">
    <w:name w:val="Table Paragraph"/>
    <w:basedOn w:val="1"/>
    <w:qFormat/>
    <w:uiPriority w:val="1"/>
    <w:pPr>
      <w:jc w:val="left"/>
    </w:pPr>
    <w:rPr>
      <w:rFonts w:ascii="Calibri" w:hAnsi="Calibri" w:cs="黑体"/>
      <w:sz w:val="22"/>
      <w:szCs w:val="22"/>
      <w:lang w:eastAsia="en-US"/>
    </w:rPr>
  </w:style>
  <w:style w:type="paragraph" w:customStyle="1" w:styleId="1134">
    <w:name w:val="列出段落4"/>
    <w:basedOn w:val="1"/>
    <w:qFormat/>
    <w:uiPriority w:val="0"/>
    <w:pPr>
      <w:ind w:firstLine="420"/>
    </w:pPr>
    <w:rPr>
      <w:rFonts w:ascii="Calibri" w:hAnsi="Calibri"/>
      <w:szCs w:val="22"/>
    </w:rPr>
  </w:style>
  <w:style w:type="paragraph" w:customStyle="1" w:styleId="1135">
    <w:name w:val="其他发布部门"/>
    <w:basedOn w:val="1136"/>
    <w:qFormat/>
    <w:uiPriority w:val="0"/>
    <w:pPr>
      <w:framePr w:wrap="around"/>
      <w:spacing w:line="0" w:lineRule="atLeast"/>
    </w:pPr>
    <w:rPr>
      <w:rFonts w:ascii="黑体" w:eastAsia="黑体"/>
      <w:b w:val="0"/>
    </w:rPr>
  </w:style>
  <w:style w:type="paragraph" w:customStyle="1" w:styleId="1136">
    <w:name w:val="发布部门"/>
    <w:next w:val="323"/>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38">
    <w:name w:val="二级无标题条"/>
    <w:basedOn w:val="1"/>
    <w:qFormat/>
    <w:uiPriority w:val="0"/>
    <w:pPr>
      <w:ind w:hanging="420"/>
    </w:pPr>
  </w:style>
  <w:style w:type="paragraph" w:customStyle="1" w:styleId="1139">
    <w:name w:val="表格文字1"/>
    <w:basedOn w:val="1"/>
    <w:qFormat/>
    <w:uiPriority w:val="0"/>
    <w:pPr>
      <w:jc w:val="center"/>
    </w:pPr>
    <w:rPr>
      <w:rFonts w:ascii="宋体" w:hAnsi="宋体"/>
      <w:szCs w:val="21"/>
      <w:shd w:val="clear" w:color="auto" w:fill="FFFFFF"/>
    </w:rPr>
  </w:style>
  <w:style w:type="paragraph" w:customStyle="1" w:styleId="1140">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1">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2">
    <w:name w:val="正文文本缩进2"/>
    <w:basedOn w:val="1"/>
    <w:qFormat/>
    <w:uiPriority w:val="0"/>
    <w:pPr>
      <w:ind w:firstLine="645"/>
    </w:pPr>
    <w:rPr>
      <w:rFonts w:ascii="楷体_GB2312" w:eastAsia="楷体_GB2312"/>
      <w:sz w:val="32"/>
      <w:szCs w:val="20"/>
    </w:rPr>
  </w:style>
  <w:style w:type="paragraph" w:customStyle="1" w:styleId="1143">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45">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6">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一级无标题条"/>
    <w:basedOn w:val="1"/>
    <w:qFormat/>
    <w:uiPriority w:val="0"/>
    <w:pPr>
      <w:ind w:left="3420" w:hanging="420"/>
    </w:pPr>
  </w:style>
  <w:style w:type="paragraph" w:customStyle="1" w:styleId="1148">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9">
    <w:name w:val="_Style 6"/>
    <w:basedOn w:val="1"/>
    <w:qFormat/>
    <w:uiPriority w:val="34"/>
    <w:pPr>
      <w:ind w:firstLine="420"/>
    </w:pPr>
  </w:style>
  <w:style w:type="paragraph" w:customStyle="1" w:styleId="1150">
    <w:name w:val="列出段落12"/>
    <w:basedOn w:val="1"/>
    <w:qFormat/>
    <w:uiPriority w:val="0"/>
    <w:pPr>
      <w:ind w:firstLine="420"/>
    </w:pPr>
  </w:style>
  <w:style w:type="paragraph" w:customStyle="1" w:styleId="1151">
    <w:name w:val="样式 首行缩进:  0 字符"/>
    <w:basedOn w:val="1"/>
    <w:qFormat/>
    <w:uiPriority w:val="0"/>
    <w:pPr>
      <w:spacing w:line="360" w:lineRule="auto"/>
      <w:ind w:firstLine="200"/>
    </w:pPr>
    <w:rPr>
      <w:rFonts w:cs="宋体"/>
      <w:sz w:val="24"/>
      <w:szCs w:val="20"/>
    </w:rPr>
  </w:style>
  <w:style w:type="paragraph" w:customStyle="1" w:styleId="1152">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4">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5">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7">
    <w:name w:val="正文段"/>
    <w:basedOn w:val="1"/>
    <w:qFormat/>
    <w:uiPriority w:val="0"/>
    <w:pPr>
      <w:widowControl/>
      <w:spacing w:after="240" w:line="360" w:lineRule="atLeast"/>
      <w:ind w:firstLine="454"/>
    </w:pPr>
    <w:rPr>
      <w:rFonts w:ascii="宋体"/>
      <w:sz w:val="24"/>
      <w:szCs w:val="20"/>
    </w:rPr>
  </w:style>
  <w:style w:type="paragraph" w:customStyle="1" w:styleId="1158">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5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1">
    <w:name w:val="文档正文"/>
    <w:basedOn w:val="1"/>
    <w:qFormat/>
    <w:uiPriority w:val="99"/>
    <w:pPr>
      <w:spacing w:line="312" w:lineRule="atLeast"/>
      <w:ind w:firstLine="567"/>
    </w:pPr>
    <w:rPr>
      <w:rFonts w:ascii="长城仿宋" w:eastAsia="长城仿宋"/>
      <w:sz w:val="28"/>
      <w:szCs w:val="20"/>
    </w:rPr>
  </w:style>
  <w:style w:type="paragraph" w:customStyle="1" w:styleId="1162">
    <w:name w:val="Char Char 字元 字元 字元 Char Char Char Char"/>
    <w:basedOn w:val="1"/>
    <w:unhideWhenUsed/>
    <w:qFormat/>
    <w:uiPriority w:val="99"/>
    <w:pPr>
      <w:spacing w:line="360" w:lineRule="auto"/>
    </w:pPr>
    <w:rPr>
      <w:rFonts w:hint="eastAsia"/>
    </w:rPr>
  </w:style>
  <w:style w:type="paragraph" w:customStyle="1" w:styleId="1163">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4">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6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3">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4">
    <w:name w:val="技术方案正文样式"/>
    <w:basedOn w:val="1"/>
    <w:qFormat/>
    <w:uiPriority w:val="0"/>
    <w:pPr>
      <w:spacing w:line="400" w:lineRule="exact"/>
      <w:ind w:firstLine="480"/>
    </w:pPr>
    <w:rPr>
      <w:rFonts w:ascii="宋体" w:hAnsi="宋体" w:cs="宋体"/>
      <w:sz w:val="24"/>
      <w:szCs w:val="21"/>
    </w:rPr>
  </w:style>
  <w:style w:type="paragraph" w:customStyle="1" w:styleId="1175">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7">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0">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3">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4">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6">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7">
    <w:name w:val="Char Char2 Char"/>
    <w:basedOn w:val="1"/>
    <w:qFormat/>
    <w:uiPriority w:val="0"/>
    <w:pPr>
      <w:keepNext/>
      <w:keepLines/>
      <w:pageBreakBefore/>
      <w:tabs>
        <w:tab w:val="left" w:pos="390"/>
      </w:tabs>
      <w:ind w:left="390" w:hanging="390"/>
    </w:pPr>
    <w:rPr>
      <w:szCs w:val="20"/>
    </w:rPr>
  </w:style>
  <w:style w:type="paragraph" w:customStyle="1" w:styleId="118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0">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3">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4">
    <w:name w:val="样式 首行缩进:  2.25 字符"/>
    <w:basedOn w:val="1"/>
    <w:qFormat/>
    <w:uiPriority w:val="0"/>
    <w:pPr>
      <w:spacing w:line="360" w:lineRule="auto"/>
      <w:ind w:firstLine="225"/>
    </w:pPr>
    <w:rPr>
      <w:rFonts w:cs="宋体"/>
      <w:sz w:val="24"/>
      <w:szCs w:val="20"/>
    </w:rPr>
  </w:style>
  <w:style w:type="paragraph" w:customStyle="1" w:styleId="119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7">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8">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9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0">
    <w:name w:val="一级标题"/>
    <w:basedOn w:val="4"/>
    <w:qFormat/>
    <w:uiPriority w:val="0"/>
    <w:pPr>
      <w:keepNext w:val="0"/>
      <w:spacing w:line="360" w:lineRule="auto"/>
      <w:jc w:val="center"/>
    </w:pPr>
    <w:rPr>
      <w:rFonts w:ascii="宋体" w:hAnsi="宋体" w:eastAsia="宋体"/>
      <w:b/>
      <w:sz w:val="32"/>
      <w:szCs w:val="28"/>
    </w:rPr>
  </w:style>
  <w:style w:type="paragraph" w:customStyle="1" w:styleId="120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3">
    <w:name w:val="二级标题"/>
    <w:basedOn w:val="5"/>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4">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6">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7">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09">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6">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7">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缺省文本"/>
    <w:basedOn w:val="1"/>
    <w:qFormat/>
    <w:uiPriority w:val="0"/>
    <w:pPr>
      <w:spacing w:line="360" w:lineRule="auto"/>
      <w:ind w:firstLine="200"/>
      <w:jc w:val="left"/>
    </w:pPr>
    <w:rPr>
      <w:sz w:val="24"/>
    </w:rPr>
  </w:style>
  <w:style w:type="paragraph" w:customStyle="1" w:styleId="1220">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2">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3">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7">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9">
    <w:name w:val="正文 首行缩进:  2 字符 Char"/>
    <w:basedOn w:val="1"/>
    <w:qFormat/>
    <w:uiPriority w:val="0"/>
    <w:pPr>
      <w:spacing w:line="360" w:lineRule="auto"/>
      <w:ind w:firstLine="480"/>
    </w:pPr>
    <w:rPr>
      <w:rFonts w:cs="宋体"/>
      <w:sz w:val="24"/>
      <w:szCs w:val="20"/>
    </w:rPr>
  </w:style>
  <w:style w:type="paragraph" w:customStyle="1" w:styleId="1230">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2">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4">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5">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7">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3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0">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1">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2">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3">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44">
    <w:name w:val="表头"/>
    <w:basedOn w:val="1"/>
    <w:qFormat/>
    <w:uiPriority w:val="0"/>
    <w:pPr>
      <w:spacing w:line="360" w:lineRule="auto"/>
      <w:jc w:val="center"/>
    </w:pPr>
    <w:rPr>
      <w:rFonts w:ascii="Calibri" w:hAnsi="Calibri" w:cs="宋体"/>
      <w:b/>
      <w:bCs/>
      <w:color w:val="000000"/>
      <w:szCs w:val="20"/>
    </w:rPr>
  </w:style>
  <w:style w:type="paragraph" w:customStyle="1" w:styleId="1245">
    <w:name w:val="样式 标题 2标题 2 Char Char子子系统子系统1子系统2子系统3子系统4子系统11子系统21子系统..."/>
    <w:basedOn w:val="5"/>
    <w:qFormat/>
    <w:uiPriority w:val="0"/>
    <w:pPr>
      <w:tabs>
        <w:tab w:val="left" w:pos="360"/>
      </w:tabs>
      <w:spacing w:before="0" w:after="0" w:line="240" w:lineRule="auto"/>
      <w:ind w:left="786" w:hanging="360"/>
      <w:jc w:val="both"/>
    </w:pPr>
    <w:rPr>
      <w:rFonts w:ascii="Arial" w:eastAsia="黑体"/>
      <w:sz w:val="30"/>
    </w:rPr>
  </w:style>
  <w:style w:type="paragraph" w:customStyle="1" w:styleId="1246">
    <w:name w:val="居中图片"/>
    <w:basedOn w:val="1"/>
    <w:qFormat/>
    <w:uiPriority w:val="0"/>
    <w:pPr>
      <w:jc w:val="center"/>
    </w:pPr>
    <w:rPr>
      <w:rFonts w:ascii="Calibri" w:hAnsi="Calibri" w:eastAsia="仿宋"/>
      <w:sz w:val="28"/>
      <w:szCs w:val="21"/>
    </w:rPr>
  </w:style>
  <w:style w:type="paragraph" w:customStyle="1" w:styleId="1247">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248">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249">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250">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1">
    <w:name w:val="正文文本缩进 32"/>
    <w:basedOn w:val="1"/>
    <w:qFormat/>
    <w:uiPriority w:val="0"/>
    <w:pPr>
      <w:ind w:left="520" w:firstLine="425"/>
      <w:jc w:val="center"/>
    </w:pPr>
    <w:rPr>
      <w:rFonts w:ascii="Arial Unicode MS" w:hAnsi="Arial" w:eastAsia="Arial Unicode MS"/>
      <w:sz w:val="36"/>
      <w:szCs w:val="20"/>
    </w:rPr>
  </w:style>
  <w:style w:type="paragraph" w:customStyle="1" w:styleId="1252">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3">
    <w:name w:val="正文文本缩进 21"/>
    <w:basedOn w:val="1"/>
    <w:qFormat/>
    <w:uiPriority w:val="0"/>
    <w:pPr>
      <w:spacing w:line="520" w:lineRule="exact"/>
      <w:ind w:firstLine="560"/>
    </w:pPr>
    <w:rPr>
      <w:rFonts w:ascii="楷体_GB2312" w:eastAsia="楷体_GB2312"/>
      <w:sz w:val="28"/>
      <w:szCs w:val="28"/>
    </w:rPr>
  </w:style>
  <w:style w:type="paragraph" w:customStyle="1" w:styleId="1254">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5">
    <w:name w:val="目录标题"/>
    <w:next w:val="429"/>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256">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7">
    <w:name w:val="封面标准代替信息"/>
    <w:basedOn w:val="881"/>
    <w:qFormat/>
    <w:uiPriority w:val="0"/>
    <w:pPr>
      <w:framePr w:wrap="around"/>
      <w:spacing w:before="57"/>
    </w:pPr>
    <w:rPr>
      <w:rFonts w:ascii="宋体"/>
      <w:sz w:val="21"/>
    </w:rPr>
  </w:style>
  <w:style w:type="paragraph" w:customStyle="1" w:styleId="1258">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9">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0">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样式 小四 首行缩进:  0.74 厘米"/>
    <w:basedOn w:val="1"/>
    <w:qFormat/>
    <w:uiPriority w:val="0"/>
    <w:pPr>
      <w:spacing w:line="360" w:lineRule="auto"/>
      <w:ind w:firstLine="420"/>
    </w:pPr>
    <w:rPr>
      <w:rFonts w:cs="宋体"/>
      <w:sz w:val="24"/>
      <w:szCs w:val="20"/>
    </w:rPr>
  </w:style>
  <w:style w:type="paragraph" w:customStyle="1" w:styleId="1264">
    <w:name w:val="正文文本缩进 22"/>
    <w:basedOn w:val="1"/>
    <w:qFormat/>
    <w:uiPriority w:val="0"/>
    <w:pPr>
      <w:spacing w:line="520" w:lineRule="exact"/>
      <w:ind w:firstLine="560"/>
    </w:pPr>
    <w:rPr>
      <w:rFonts w:ascii="楷体_GB2312" w:eastAsia="楷体_GB2312"/>
      <w:sz w:val="28"/>
      <w:szCs w:val="28"/>
    </w:rPr>
  </w:style>
  <w:style w:type="paragraph" w:customStyle="1" w:styleId="1265">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6">
    <w:name w:val="正文文本缩进 31"/>
    <w:basedOn w:val="1"/>
    <w:qFormat/>
    <w:uiPriority w:val="0"/>
    <w:pPr>
      <w:ind w:left="520" w:firstLine="425"/>
      <w:jc w:val="center"/>
    </w:pPr>
    <w:rPr>
      <w:rFonts w:ascii="Arial Unicode MS" w:hAnsi="Arial" w:eastAsia="Arial Unicode MS"/>
      <w:sz w:val="36"/>
      <w:szCs w:val="20"/>
    </w:rPr>
  </w:style>
  <w:style w:type="paragraph" w:customStyle="1" w:styleId="1267">
    <w:name w:val="DLP正文"/>
    <w:basedOn w:val="1"/>
    <w:qFormat/>
    <w:uiPriority w:val="0"/>
    <w:pPr>
      <w:ind w:firstLine="473"/>
    </w:pPr>
    <w:rPr>
      <w:rFonts w:hAnsi="宋体"/>
      <w:szCs w:val="22"/>
    </w:rPr>
  </w:style>
  <w:style w:type="paragraph" w:customStyle="1" w:styleId="1268">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69">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71">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3">
    <w:name w:val="正文图标题"/>
    <w:next w:val="323"/>
    <w:qFormat/>
    <w:uiPriority w:val="0"/>
    <w:pPr>
      <w:jc w:val="center"/>
    </w:pPr>
    <w:rPr>
      <w:rFonts w:ascii="黑体" w:hAnsi="Times New Roman" w:eastAsia="黑体" w:cs="Times New Roman"/>
      <w:sz w:val="21"/>
      <w:lang w:val="en-US" w:eastAsia="zh-CN" w:bidi="ar-SA"/>
    </w:rPr>
  </w:style>
  <w:style w:type="paragraph" w:customStyle="1" w:styleId="1274">
    <w:name w:val="文本块1"/>
    <w:basedOn w:val="1"/>
    <w:qFormat/>
    <w:uiPriority w:val="0"/>
    <w:pPr>
      <w:ind w:left="630" w:right="630"/>
      <w:jc w:val="center"/>
    </w:pPr>
    <w:rPr>
      <w:rFonts w:ascii="宋体"/>
      <w:b/>
      <w:sz w:val="32"/>
    </w:rPr>
  </w:style>
  <w:style w:type="paragraph" w:customStyle="1" w:styleId="1275">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6">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7">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8">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9">
    <w:name w:val="_Style 2"/>
    <w:basedOn w:val="1"/>
    <w:qFormat/>
    <w:uiPriority w:val="34"/>
    <w:pPr>
      <w:ind w:firstLine="420"/>
    </w:pPr>
    <w:rPr>
      <w:rFonts w:ascii="Calibri" w:hAnsi="Calibri"/>
      <w:szCs w:val="22"/>
    </w:rPr>
  </w:style>
  <w:style w:type="paragraph" w:customStyle="1" w:styleId="1280">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1">
    <w:name w:val="li_正文"/>
    <w:basedOn w:val="1"/>
    <w:qFormat/>
    <w:uiPriority w:val="0"/>
    <w:pPr>
      <w:spacing w:line="360" w:lineRule="auto"/>
      <w:ind w:firstLine="560"/>
    </w:pPr>
    <w:rPr>
      <w:rFonts w:ascii="仿宋_GB2312" w:eastAsia="仿宋_GB2312"/>
      <w:sz w:val="28"/>
      <w:szCs w:val="28"/>
    </w:rPr>
  </w:style>
  <w:style w:type="paragraph" w:customStyle="1" w:styleId="1282">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3">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4">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5">
    <w:name w:val="附录表标题"/>
    <w:next w:val="323"/>
    <w:qFormat/>
    <w:uiPriority w:val="0"/>
    <w:pPr>
      <w:jc w:val="center"/>
    </w:pPr>
    <w:rPr>
      <w:rFonts w:ascii="黑体" w:hAnsi="Times New Roman" w:eastAsia="黑体" w:cs="Times New Roman"/>
      <w:sz w:val="21"/>
      <w:lang w:val="en-US" w:eastAsia="zh-CN" w:bidi="ar-SA"/>
    </w:rPr>
  </w:style>
  <w:style w:type="paragraph" w:customStyle="1" w:styleId="1286">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89">
    <w:name w:val="正文缩进1"/>
    <w:basedOn w:val="1"/>
    <w:qFormat/>
    <w:uiPriority w:val="0"/>
    <w:pPr>
      <w:ind w:firstLine="420"/>
    </w:pPr>
    <w:rPr>
      <w:szCs w:val="20"/>
    </w:rPr>
  </w:style>
  <w:style w:type="paragraph" w:customStyle="1" w:styleId="1290">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1">
    <w:name w:val="TOC 标题12"/>
    <w:basedOn w:val="4"/>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2">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3">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4">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5">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6">
    <w:name w:val="四号正文"/>
    <w:basedOn w:val="1"/>
    <w:qFormat/>
    <w:uiPriority w:val="0"/>
    <w:pPr>
      <w:spacing w:line="360" w:lineRule="auto"/>
      <w:ind w:firstLine="560"/>
    </w:pPr>
    <w:rPr>
      <w:sz w:val="28"/>
      <w:szCs w:val="28"/>
    </w:rPr>
  </w:style>
  <w:style w:type="paragraph" w:customStyle="1" w:styleId="12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98">
    <w:name w:val="五号字体"/>
    <w:basedOn w:val="1"/>
    <w:qFormat/>
    <w:uiPriority w:val="0"/>
    <w:pPr>
      <w:jc w:val="center"/>
    </w:pPr>
  </w:style>
  <w:style w:type="paragraph" w:customStyle="1" w:styleId="1299">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00">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1">
    <w:name w:val="简单回函地址"/>
    <w:basedOn w:val="1"/>
    <w:qFormat/>
    <w:uiPriority w:val="0"/>
    <w:pPr>
      <w:tabs>
        <w:tab w:val="left" w:pos="1140"/>
      </w:tabs>
    </w:pPr>
  </w:style>
  <w:style w:type="paragraph" w:customStyle="1" w:styleId="1302">
    <w:name w:val="TOC 标题111"/>
    <w:basedOn w:val="4"/>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3">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4">
    <w:name w:val="TOC 71"/>
    <w:basedOn w:val="1"/>
    <w:next w:val="1"/>
    <w:qFormat/>
    <w:uiPriority w:val="39"/>
    <w:pPr>
      <w:ind w:left="2520"/>
    </w:pPr>
    <w:rPr>
      <w:rFonts w:ascii="Calibri" w:hAnsi="Calibri"/>
      <w:szCs w:val="22"/>
    </w:rPr>
  </w:style>
  <w:style w:type="paragraph" w:customStyle="1" w:styleId="1305">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6">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7">
    <w:name w:val="正文无缩进"/>
    <w:basedOn w:val="1"/>
    <w:qFormat/>
    <w:uiPriority w:val="0"/>
    <w:pPr>
      <w:spacing w:line="300" w:lineRule="auto"/>
      <w:jc w:val="center"/>
    </w:pPr>
    <w:rPr>
      <w:rFonts w:ascii="宋体" w:hAnsi="宋体"/>
      <w:sz w:val="24"/>
    </w:rPr>
  </w:style>
  <w:style w:type="paragraph" w:customStyle="1" w:styleId="130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09">
    <w:name w:val="È±Ê¡ÎÄ±¾"/>
    <w:basedOn w:val="1"/>
    <w:qFormat/>
    <w:uiPriority w:val="0"/>
    <w:pPr>
      <w:widowControl/>
      <w:jc w:val="left"/>
    </w:pPr>
    <w:rPr>
      <w:sz w:val="24"/>
      <w:szCs w:val="20"/>
    </w:rPr>
  </w:style>
  <w:style w:type="paragraph" w:customStyle="1" w:styleId="1310">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1">
    <w:name w:val="Char Char Char Char"/>
    <w:basedOn w:val="23"/>
    <w:qFormat/>
    <w:uiPriority w:val="0"/>
    <w:pPr>
      <w:widowControl/>
      <w:shd w:val="clear" w:color="auto" w:fill="000080"/>
      <w:ind w:firstLine="454"/>
      <w:jc w:val="left"/>
    </w:pPr>
    <w:rPr>
      <w:rFonts w:ascii="Tahoma" w:hAnsi="Tahoma" w:cs="宋体"/>
      <w:sz w:val="21"/>
      <w:szCs w:val="20"/>
    </w:rPr>
  </w:style>
  <w:style w:type="paragraph" w:customStyle="1" w:styleId="131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1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14">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15">
    <w:name w:val="四级无标题条"/>
    <w:basedOn w:val="1"/>
    <w:qFormat/>
    <w:uiPriority w:val="0"/>
    <w:pPr>
      <w:ind w:left="2520" w:hanging="420"/>
    </w:pPr>
  </w:style>
  <w:style w:type="paragraph" w:customStyle="1" w:styleId="1316">
    <w:name w:val="五级无标题条"/>
    <w:basedOn w:val="1"/>
    <w:qFormat/>
    <w:uiPriority w:val="0"/>
    <w:pPr>
      <w:ind w:left="2940" w:hanging="420"/>
    </w:pPr>
  </w:style>
  <w:style w:type="paragraph" w:customStyle="1" w:styleId="1317">
    <w:name w:val="正文表标题"/>
    <w:next w:val="323"/>
    <w:qFormat/>
    <w:uiPriority w:val="0"/>
    <w:pPr>
      <w:ind w:left="1740" w:hanging="420"/>
      <w:jc w:val="center"/>
    </w:pPr>
    <w:rPr>
      <w:rFonts w:ascii="黑体" w:hAnsi="Times New Roman" w:eastAsia="黑体" w:cs="Times New Roman"/>
      <w:sz w:val="21"/>
      <w:lang w:val="en-US" w:eastAsia="zh-CN" w:bidi="ar-SA"/>
    </w:rPr>
  </w:style>
  <w:style w:type="paragraph" w:customStyle="1" w:styleId="1318">
    <w:name w:val="我的图片"/>
    <w:basedOn w:val="1"/>
    <w:next w:val="618"/>
    <w:qFormat/>
    <w:uiPriority w:val="0"/>
    <w:pPr>
      <w:widowControl/>
      <w:spacing w:line="360" w:lineRule="auto"/>
      <w:jc w:val="center"/>
    </w:pPr>
    <w:rPr>
      <w:rFonts w:ascii="Arial" w:hAnsi="Arial" w:eastAsia="楷体_GB2312"/>
      <w:sz w:val="24"/>
    </w:rPr>
  </w:style>
  <w:style w:type="paragraph" w:customStyle="1" w:styleId="1319">
    <w:name w:val="1 Char Char Char Char"/>
    <w:basedOn w:val="1"/>
    <w:qFormat/>
    <w:uiPriority w:val="0"/>
    <w:rPr>
      <w:rFonts w:ascii="Tahoma" w:hAnsi="Tahoma"/>
      <w:sz w:val="24"/>
      <w:szCs w:val="20"/>
    </w:rPr>
  </w:style>
  <w:style w:type="paragraph" w:customStyle="1" w:styleId="1320">
    <w:name w:val="NAP Normal"/>
    <w:basedOn w:val="1"/>
    <w:qFormat/>
    <w:uiPriority w:val="0"/>
    <w:pPr>
      <w:spacing w:line="240" w:lineRule="exact"/>
    </w:pPr>
    <w:rPr>
      <w:sz w:val="22"/>
      <w:szCs w:val="20"/>
    </w:rPr>
  </w:style>
  <w:style w:type="paragraph" w:customStyle="1" w:styleId="1321">
    <w:name w:val="样式 标题 2第一章 标题 2Heading 2 HiddenHeading 2 CCBSH2h22nd level..."/>
    <w:basedOn w:val="5"/>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2">
    <w:name w:val="Char Char Char Char Char Char Char Char Char Char"/>
    <w:basedOn w:val="8"/>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3">
    <w:name w:val="zn4"/>
    <w:basedOn w:val="697"/>
    <w:next w:val="7"/>
    <w:qFormat/>
    <w:uiPriority w:val="0"/>
    <w:pPr>
      <w:tabs>
        <w:tab w:val="left" w:pos="1080"/>
        <w:tab w:val="clear" w:pos="780"/>
        <w:tab w:val="clear" w:pos="1069"/>
      </w:tabs>
      <w:ind w:left="851" w:hanging="851"/>
      <w:outlineLvl w:val="3"/>
    </w:pPr>
    <w:rPr>
      <w:lang w:val="zh-CN"/>
    </w:rPr>
  </w:style>
  <w:style w:type="paragraph" w:customStyle="1" w:styleId="1324">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5">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6">
    <w:name w:val="修订1"/>
    <w:semiHidden/>
    <w:qFormat/>
    <w:uiPriority w:val="99"/>
    <w:rPr>
      <w:rFonts w:ascii="Times New Roman" w:hAnsi="Times New Roman" w:eastAsia="仿宋" w:cs="Times New Roman"/>
      <w:sz w:val="28"/>
      <w:szCs w:val="24"/>
      <w:lang w:val="en-US" w:eastAsia="zh-CN" w:bidi="ar-SA"/>
    </w:rPr>
  </w:style>
  <w:style w:type="paragraph" w:customStyle="1" w:styleId="1327">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28">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29">
    <w:name w:val="标题8"/>
    <w:basedOn w:val="10"/>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0">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1">
    <w:name w:val="text-center"/>
    <w:basedOn w:val="1"/>
    <w:qFormat/>
    <w:uiPriority w:val="0"/>
    <w:pPr>
      <w:widowControl/>
      <w:spacing w:after="150"/>
      <w:jc w:val="center"/>
    </w:pPr>
    <w:rPr>
      <w:rFonts w:ascii="宋体" w:hAnsi="宋体" w:cs="宋体"/>
      <w:sz w:val="24"/>
    </w:rPr>
  </w:style>
  <w:style w:type="paragraph" w:customStyle="1" w:styleId="1332">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3">
    <w:name w:val="样式 标题 55l4H5h5Second Subheading + 段前: 0.5 行 段后: 0.5 行 行距:..."/>
    <w:basedOn w:val="8"/>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4">
    <w:name w:val="Test2"/>
    <w:basedOn w:val="5"/>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5">
    <w:name w:val="正文编号项"/>
    <w:basedOn w:val="2"/>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6">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7">
    <w:name w:val="Char21"/>
    <w:basedOn w:val="1"/>
    <w:qFormat/>
    <w:uiPriority w:val="0"/>
    <w:rPr>
      <w:rFonts w:ascii="仿宋_GB2312" w:eastAsia="仿宋_GB2312"/>
      <w:b/>
      <w:sz w:val="32"/>
      <w:szCs w:val="32"/>
    </w:rPr>
  </w:style>
  <w:style w:type="paragraph" w:customStyle="1" w:styleId="1338">
    <w:name w:val="Char1 Char Char Char21"/>
    <w:basedOn w:val="1"/>
    <w:qFormat/>
    <w:uiPriority w:val="0"/>
    <w:rPr>
      <w:rFonts w:ascii="Tahoma" w:hAnsi="Tahoma"/>
      <w:sz w:val="24"/>
      <w:szCs w:val="20"/>
    </w:rPr>
  </w:style>
  <w:style w:type="paragraph" w:customStyle="1" w:styleId="1339">
    <w:name w:val="Char Char12"/>
    <w:basedOn w:val="1"/>
    <w:qFormat/>
    <w:uiPriority w:val="0"/>
    <w:pPr>
      <w:widowControl/>
      <w:spacing w:after="160" w:line="240" w:lineRule="exact"/>
      <w:jc w:val="left"/>
    </w:pPr>
    <w:rPr>
      <w:rFonts w:ascii="Verdana" w:hAnsi="Verdana"/>
      <w:sz w:val="20"/>
      <w:lang w:eastAsia="en-US"/>
    </w:rPr>
  </w:style>
  <w:style w:type="paragraph" w:customStyle="1" w:styleId="1340">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1">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2">
    <w:name w:val="中等深浅底纹 1 - 着色 11"/>
    <w:next w:val="1343"/>
    <w:qFormat/>
    <w:uiPriority w:val="0"/>
    <w:pPr>
      <w:widowControl w:val="0"/>
    </w:pPr>
    <w:rPr>
      <w:rFonts w:ascii="宋体" w:hAnsi="Calibri" w:eastAsia="宋体" w:cs="Times New Roman"/>
      <w:sz w:val="21"/>
      <w:szCs w:val="22"/>
      <w:lang w:val="en-US" w:eastAsia="zh-CN" w:bidi="ar-SA"/>
    </w:rPr>
  </w:style>
  <w:style w:type="paragraph" w:customStyle="1" w:styleId="1343">
    <w:name w:val="D表"/>
    <w:basedOn w:val="1"/>
    <w:next w:val="23"/>
    <w:qFormat/>
    <w:uiPriority w:val="0"/>
    <w:pPr>
      <w:spacing w:line="500" w:lineRule="exact"/>
      <w:ind w:hanging="2"/>
    </w:pPr>
    <w:rPr>
      <w:rFonts w:ascii="Calibri" w:hAnsi="Calibri" w:eastAsia="仿宋"/>
      <w:sz w:val="18"/>
      <w:szCs w:val="18"/>
    </w:rPr>
  </w:style>
  <w:style w:type="paragraph" w:customStyle="1" w:styleId="1344">
    <w:name w:val="金宏发行正文 Char Char"/>
    <w:basedOn w:val="1"/>
    <w:next w:val="1315"/>
    <w:qFormat/>
    <w:uiPriority w:val="0"/>
    <w:pPr>
      <w:spacing w:line="500" w:lineRule="exact"/>
      <w:ind w:firstLine="560"/>
    </w:pPr>
    <w:rPr>
      <w:rFonts w:ascii="Calibri" w:hAnsi="Calibri" w:eastAsia="仿宋_GB2312" w:cs="宋体"/>
      <w:sz w:val="28"/>
      <w:szCs w:val="20"/>
    </w:rPr>
  </w:style>
  <w:style w:type="paragraph" w:customStyle="1" w:styleId="1345">
    <w:name w:val="Char1 Char Char Char2"/>
    <w:basedOn w:val="1"/>
    <w:qFormat/>
    <w:uiPriority w:val="0"/>
    <w:pPr>
      <w:spacing w:line="500" w:lineRule="exact"/>
      <w:ind w:firstLine="560"/>
    </w:pPr>
    <w:rPr>
      <w:rFonts w:ascii="Tahoma" w:hAnsi="Tahoma" w:eastAsia="仿宋"/>
      <w:sz w:val="28"/>
      <w:szCs w:val="20"/>
    </w:rPr>
  </w:style>
  <w:style w:type="paragraph" w:customStyle="1" w:styleId="1346">
    <w:name w:val="Char Char Char Char2"/>
    <w:basedOn w:val="1"/>
    <w:qFormat/>
    <w:uiPriority w:val="0"/>
    <w:pPr>
      <w:spacing w:line="500" w:lineRule="exact"/>
      <w:ind w:firstLine="560"/>
    </w:pPr>
    <w:rPr>
      <w:rFonts w:ascii="Calibri" w:hAnsi="Calibri" w:eastAsia="仿宋"/>
      <w:sz w:val="28"/>
    </w:rPr>
  </w:style>
  <w:style w:type="paragraph" w:customStyle="1" w:styleId="1347">
    <w:name w:val="Heading"/>
    <w:basedOn w:val="1"/>
    <w:next w:val="2"/>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48">
    <w:name w:val="Char Char Char Char1"/>
    <w:basedOn w:val="1"/>
    <w:qFormat/>
    <w:uiPriority w:val="0"/>
    <w:pPr>
      <w:spacing w:line="500" w:lineRule="exact"/>
      <w:ind w:firstLine="560"/>
    </w:pPr>
    <w:rPr>
      <w:rFonts w:ascii="Calibri" w:hAnsi="Calibri" w:eastAsia="仿宋"/>
      <w:sz w:val="28"/>
    </w:rPr>
  </w:style>
  <w:style w:type="paragraph" w:customStyle="1" w:styleId="134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0">
    <w:name w:val="中等深浅网格 1 - 着色 21"/>
    <w:basedOn w:val="1"/>
    <w:qFormat/>
    <w:uiPriority w:val="34"/>
    <w:pPr>
      <w:ind w:firstLine="420"/>
    </w:pPr>
    <w:rPr>
      <w:rFonts w:ascii="Calibri" w:hAnsi="Calibri" w:eastAsia="仿宋"/>
      <w:sz w:val="28"/>
      <w:szCs w:val="22"/>
    </w:rPr>
  </w:style>
  <w:style w:type="paragraph" w:customStyle="1" w:styleId="1351">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2">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353">
    <w:name w:val="无编号标题"/>
    <w:basedOn w:val="1"/>
    <w:next w:val="871"/>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4">
    <w:name w:val="Bid_正文"/>
    <w:basedOn w:val="9"/>
    <w:next w:val="135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5">
    <w:name w:val="p1"/>
    <w:basedOn w:val="1"/>
    <w:next w:val="15"/>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6">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7">
    <w:name w:val="表格内容"/>
    <w:basedOn w:val="1"/>
    <w:next w:val="1136"/>
    <w:qFormat/>
    <w:uiPriority w:val="0"/>
    <w:pPr>
      <w:spacing w:line="360" w:lineRule="auto"/>
      <w:ind w:firstLine="560"/>
      <w:jc w:val="left"/>
    </w:pPr>
    <w:rPr>
      <w:rFonts w:ascii="微软雅黑" w:hAnsi="微软雅黑" w:eastAsia="微软雅黑"/>
      <w:sz w:val="18"/>
      <w:lang w:val="en-GB"/>
    </w:rPr>
  </w:style>
  <w:style w:type="paragraph" w:customStyle="1" w:styleId="1358">
    <w:name w:val="文章正文"/>
    <w:basedOn w:val="1"/>
    <w:next w:val="1359"/>
    <w:qFormat/>
    <w:uiPriority w:val="0"/>
    <w:pPr>
      <w:spacing w:line="360" w:lineRule="auto"/>
      <w:ind w:firstLine="482"/>
    </w:pPr>
    <w:rPr>
      <w:rFonts w:ascii="Calibri" w:hAnsi="Calibri" w:eastAsia="仿宋"/>
    </w:rPr>
  </w:style>
  <w:style w:type="paragraph" w:customStyle="1" w:styleId="1359">
    <w:name w:val="我的图表标题"/>
    <w:basedOn w:val="1"/>
    <w:next w:val="325"/>
    <w:qFormat/>
    <w:uiPriority w:val="0"/>
    <w:pPr>
      <w:spacing w:line="360" w:lineRule="auto"/>
      <w:ind w:firstLine="560"/>
      <w:jc w:val="center"/>
    </w:pPr>
    <w:rPr>
      <w:rFonts w:ascii="Cambria" w:hAnsi="Cambria" w:eastAsia="黑体" w:cs="宋体"/>
      <w:sz w:val="28"/>
      <w:szCs w:val="20"/>
    </w:rPr>
  </w:style>
  <w:style w:type="paragraph" w:customStyle="1" w:styleId="1360">
    <w:name w:val="11111"/>
    <w:basedOn w:val="1"/>
    <w:next w:val="1361"/>
    <w:qFormat/>
    <w:uiPriority w:val="0"/>
    <w:pPr>
      <w:spacing w:after="120" w:line="360" w:lineRule="auto"/>
      <w:ind w:firstLine="200"/>
    </w:pPr>
    <w:rPr>
      <w:rFonts w:ascii="宋体" w:hAnsi="Calibri" w:eastAsia="仿宋" w:cs="宋体"/>
      <w:color w:val="000000"/>
      <w:sz w:val="28"/>
      <w:lang w:val="zh-CN"/>
    </w:rPr>
  </w:style>
  <w:style w:type="paragraph" w:customStyle="1" w:styleId="1361">
    <w:name w:val="Char Char Char Char Char Char Char Char Char Char Char Char Char"/>
    <w:basedOn w:val="1"/>
    <w:next w:val="9"/>
    <w:qFormat/>
    <w:uiPriority w:val="0"/>
    <w:pPr>
      <w:widowControl/>
      <w:spacing w:after="160" w:line="240" w:lineRule="exact"/>
      <w:jc w:val="left"/>
    </w:pPr>
    <w:rPr>
      <w:rFonts w:ascii="Verdana" w:hAnsi="Verdana" w:eastAsia="仿宋_GB2312"/>
      <w:sz w:val="28"/>
      <w:szCs w:val="20"/>
      <w:lang w:eastAsia="en-US"/>
    </w:rPr>
  </w:style>
  <w:style w:type="paragraph" w:customStyle="1" w:styleId="1362">
    <w:name w:val="标题 41"/>
    <w:basedOn w:val="6"/>
    <w:next w:val="2"/>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3">
    <w:name w:val="Char Char Char Char Char Char Char Char Char1 Char Char Char Char Char Char Char Char Char Char"/>
    <w:basedOn w:val="1"/>
    <w:next w:val="1364"/>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4">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5">
    <w:name w:val="正文Normal"/>
    <w:basedOn w:val="1"/>
    <w:next w:val="237"/>
    <w:qFormat/>
    <w:uiPriority w:val="0"/>
    <w:pPr>
      <w:spacing w:after="120" w:line="360" w:lineRule="auto"/>
      <w:ind w:firstLine="480"/>
    </w:pPr>
    <w:rPr>
      <w:rFonts w:ascii="Arial" w:hAnsi="Arial" w:eastAsia="仿宋" w:cs="Arial"/>
      <w:sz w:val="28"/>
    </w:rPr>
  </w:style>
  <w:style w:type="paragraph" w:customStyle="1" w:styleId="1366">
    <w:name w:val="标准正文"/>
    <w:basedOn w:val="1"/>
    <w:next w:val="13"/>
    <w:qFormat/>
    <w:uiPriority w:val="0"/>
    <w:pPr>
      <w:spacing w:line="500" w:lineRule="exact"/>
      <w:ind w:firstLine="560"/>
    </w:pPr>
    <w:rPr>
      <w:rFonts w:ascii="Calibri" w:hAnsi="Calibri" w:eastAsia="仿宋"/>
      <w:sz w:val="28"/>
      <w:lang w:val="en-GB"/>
    </w:rPr>
  </w:style>
  <w:style w:type="paragraph" w:customStyle="1" w:styleId="1367">
    <w:name w:val="_Style 62"/>
    <w:next w:val="60"/>
    <w:qFormat/>
    <w:uiPriority w:val="0"/>
    <w:pPr>
      <w:widowControl w:val="0"/>
      <w:jc w:val="both"/>
    </w:pPr>
    <w:rPr>
      <w:rFonts w:ascii="Calibri" w:hAnsi="Calibri" w:eastAsia="宋体" w:cs="Times New Roman"/>
      <w:sz w:val="21"/>
      <w:szCs w:val="22"/>
      <w:lang w:val="en-US" w:eastAsia="zh-CN" w:bidi="ar-SA"/>
    </w:rPr>
  </w:style>
  <w:style w:type="paragraph" w:customStyle="1" w:styleId="1368">
    <w:name w:val="_Style 54"/>
    <w:next w:val="784"/>
    <w:qFormat/>
    <w:uiPriority w:val="0"/>
    <w:rPr>
      <w:rFonts w:ascii="Calibri" w:hAnsi="Calibri" w:eastAsia="宋体" w:cs="Times New Roman"/>
      <w:sz w:val="24"/>
      <w:szCs w:val="24"/>
      <w:lang w:val="en-US" w:eastAsia="zh-CN" w:bidi="ar-SA"/>
    </w:rPr>
  </w:style>
  <w:style w:type="paragraph" w:customStyle="1" w:styleId="1369">
    <w:name w:val="样式 标题 2 + 行距: 最小值 12 磅"/>
    <w:basedOn w:val="5"/>
    <w:next w:val="13"/>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0">
    <w:name w:val="ABC_正文"/>
    <w:basedOn w:val="1"/>
    <w:qFormat/>
    <w:uiPriority w:val="0"/>
    <w:pPr>
      <w:widowControl/>
      <w:ind w:firstLine="200"/>
    </w:pPr>
    <w:rPr>
      <w:rFonts w:ascii="Calibri" w:hAnsi="宋体" w:eastAsia="Times New Roman"/>
      <w:sz w:val="20"/>
      <w:szCs w:val="20"/>
    </w:rPr>
  </w:style>
  <w:style w:type="paragraph" w:customStyle="1" w:styleId="1371">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2">
    <w:name w:val="样式 标题 3"/>
    <w:basedOn w:val="6"/>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3">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4">
    <w:name w:val="Char Char Char Char Char Char Char Char Char Char Char Char Char Char Char1 Char"/>
    <w:basedOn w:val="1"/>
    <w:next w:val="29"/>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5">
    <w:name w:val="无首行缩进正文"/>
    <w:basedOn w:val="1359"/>
    <w:next w:val="1311"/>
    <w:qFormat/>
    <w:uiPriority w:val="0"/>
    <w:pPr>
      <w:ind w:firstLine="0"/>
      <w:jc w:val="both"/>
    </w:pPr>
    <w:rPr>
      <w:rFonts w:ascii="Calibri" w:hAnsi="Calibri" w:eastAsia="方正仿宋_GBK" w:cs="Times New Roman"/>
      <w:sz w:val="21"/>
      <w:szCs w:val="24"/>
    </w:rPr>
  </w:style>
  <w:style w:type="paragraph" w:customStyle="1" w:styleId="1376">
    <w:name w:val="Plain Text1"/>
    <w:basedOn w:val="1"/>
    <w:next w:val="16"/>
    <w:qFormat/>
    <w:uiPriority w:val="0"/>
    <w:pPr>
      <w:spacing w:line="360" w:lineRule="auto"/>
      <w:ind w:firstLine="560"/>
    </w:pPr>
    <w:rPr>
      <w:rFonts w:ascii="宋体" w:hAnsi="宋体" w:eastAsia="仿宋"/>
      <w:sz w:val="28"/>
      <w:szCs w:val="20"/>
    </w:rPr>
  </w:style>
  <w:style w:type="paragraph" w:customStyle="1" w:styleId="1377">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78">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79">
    <w:name w:val="Subject"/>
    <w:basedOn w:val="1"/>
    <w:qFormat/>
    <w:uiPriority w:val="0"/>
    <w:pPr>
      <w:widowControl/>
      <w:jc w:val="center"/>
    </w:pPr>
    <w:rPr>
      <w:rFonts w:ascii="Calibri" w:hAnsi="Calibri" w:eastAsia="黑体"/>
      <w:b/>
      <w:sz w:val="48"/>
    </w:rPr>
  </w:style>
  <w:style w:type="paragraph" w:customStyle="1" w:styleId="1380">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1">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2">
    <w:name w:val="样式 标题 1 + 行距: 最小值 12 磅"/>
    <w:basedOn w:val="4"/>
    <w:next w:val="137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3">
    <w:name w:val="_Style 224"/>
    <w:basedOn w:val="1"/>
    <w:next w:val="1"/>
    <w:unhideWhenUsed/>
    <w:qFormat/>
    <w:uiPriority w:val="39"/>
    <w:pPr>
      <w:widowControl/>
      <w:ind w:left="2100"/>
      <w:jc w:val="left"/>
    </w:pPr>
    <w:rPr>
      <w:rFonts w:ascii="Calibri" w:hAnsi="Calibri"/>
      <w:szCs w:val="22"/>
    </w:rPr>
  </w:style>
  <w:style w:type="paragraph" w:customStyle="1" w:styleId="1384">
    <w:name w:val="图中文字"/>
    <w:basedOn w:val="1"/>
    <w:next w:val="786"/>
    <w:qFormat/>
    <w:uiPriority w:val="0"/>
    <w:pPr>
      <w:widowControl/>
      <w:spacing w:line="500" w:lineRule="exact"/>
      <w:ind w:firstLine="560"/>
      <w:jc w:val="center"/>
    </w:pPr>
    <w:rPr>
      <w:rFonts w:ascii="Calibri" w:hAnsi="Calibri" w:eastAsia="仿宋_GB2312"/>
      <w:sz w:val="28"/>
      <w:szCs w:val="20"/>
    </w:rPr>
  </w:style>
  <w:style w:type="paragraph" w:customStyle="1" w:styleId="1385">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6">
    <w:name w:val="样式 标题 + 右"/>
    <w:basedOn w:val="19"/>
    <w:next w:val="1273"/>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7">
    <w:name w:val="表号"/>
    <w:basedOn w:val="1"/>
    <w:next w:val="320"/>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88">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89">
    <w:name w:val="评估表"/>
    <w:basedOn w:val="1"/>
    <w:qFormat/>
    <w:uiPriority w:val="0"/>
    <w:pPr>
      <w:spacing w:line="240" w:lineRule="exact"/>
    </w:pPr>
    <w:rPr>
      <w:rFonts w:ascii="方正仿宋_GBK" w:hAnsi="方正仿宋_GBK" w:eastAsia="方正仿宋_GBK"/>
      <w:sz w:val="18"/>
      <w:szCs w:val="18"/>
    </w:rPr>
  </w:style>
  <w:style w:type="paragraph" w:customStyle="1" w:styleId="1390">
    <w:name w:val="Table Contents"/>
    <w:basedOn w:val="1"/>
    <w:qFormat/>
    <w:uiPriority w:val="0"/>
    <w:pPr>
      <w:suppressLineNumbers/>
      <w:spacing w:line="360" w:lineRule="auto"/>
      <w:ind w:firstLine="720"/>
    </w:pPr>
    <w:rPr>
      <w:rFonts w:ascii="仿宋" w:hAnsi="仿宋"/>
      <w:sz w:val="28"/>
      <w:lang w:eastAsia="ar-SA"/>
    </w:rPr>
  </w:style>
  <w:style w:type="paragraph" w:customStyle="1" w:styleId="1391">
    <w:name w:val="Paragraph1"/>
    <w:basedOn w:val="1"/>
    <w:next w:val="1035"/>
    <w:qFormat/>
    <w:uiPriority w:val="0"/>
    <w:pPr>
      <w:spacing w:before="80" w:line="500" w:lineRule="exact"/>
      <w:ind w:firstLine="560"/>
    </w:pPr>
    <w:rPr>
      <w:rFonts w:ascii="宋体" w:hAnsi="Calibri" w:eastAsia="仿宋"/>
      <w:sz w:val="20"/>
      <w:szCs w:val="20"/>
    </w:rPr>
  </w:style>
  <w:style w:type="paragraph" w:customStyle="1" w:styleId="1392">
    <w:name w:val="Tabletext"/>
    <w:basedOn w:val="1"/>
    <w:next w:val="949"/>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3">
    <w:name w:val="编写建议"/>
    <w:basedOn w:val="1"/>
    <w:next w:val="2"/>
    <w:qFormat/>
    <w:uiPriority w:val="0"/>
    <w:pPr>
      <w:spacing w:line="360" w:lineRule="auto"/>
      <w:ind w:firstLine="420"/>
      <w:jc w:val="left"/>
    </w:pPr>
    <w:rPr>
      <w:rFonts w:ascii="Arial" w:hAnsi="Arial" w:cs="宋体"/>
      <w:i/>
      <w:iCs/>
      <w:color w:val="0000FF"/>
      <w:sz w:val="28"/>
      <w:lang w:eastAsia="ar-SA"/>
    </w:rPr>
  </w:style>
  <w:style w:type="paragraph" w:customStyle="1" w:styleId="1394">
    <w:name w:val="引用 Char2"/>
    <w:basedOn w:val="1"/>
    <w:qFormat/>
    <w:uiPriority w:val="0"/>
    <w:pPr>
      <w:spacing w:line="500" w:lineRule="exact"/>
      <w:ind w:firstLine="560"/>
    </w:pPr>
    <w:rPr>
      <w:rFonts w:ascii="Calibri" w:hAnsi="Calibri" w:eastAsia="仿宋"/>
      <w:sz w:val="28"/>
      <w:szCs w:val="20"/>
    </w:rPr>
  </w:style>
  <w:style w:type="paragraph" w:customStyle="1" w:styleId="1395">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6">
    <w:name w:val="explanation"/>
    <w:basedOn w:val="1"/>
    <w:next w:val="1005"/>
    <w:qFormat/>
    <w:uiPriority w:val="0"/>
    <w:pPr>
      <w:spacing w:line="500" w:lineRule="exact"/>
      <w:ind w:firstLine="560"/>
    </w:pPr>
    <w:rPr>
      <w:rFonts w:ascii="Calibri" w:hAnsi="Calibri" w:eastAsia="仿宋"/>
      <w:sz w:val="28"/>
    </w:rPr>
  </w:style>
  <w:style w:type="paragraph" w:customStyle="1" w:styleId="1397">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398">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399">
    <w:name w:val="样式 标题 3 + 非加粗 倾斜"/>
    <w:basedOn w:val="6"/>
    <w:next w:val="140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0">
    <w:name w:val="样式 标题 2 + 五号"/>
    <w:basedOn w:val="5"/>
    <w:next w:val="3"/>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1">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2">
    <w:name w:val="标题G"/>
    <w:basedOn w:val="19"/>
    <w:next w:val="138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3">
    <w:name w:val="标题5"/>
    <w:basedOn w:val="1"/>
    <w:qFormat/>
    <w:uiPriority w:val="0"/>
    <w:pPr>
      <w:spacing w:line="500" w:lineRule="exact"/>
      <w:ind w:firstLine="560"/>
      <w:jc w:val="center"/>
    </w:pPr>
    <w:rPr>
      <w:rFonts w:ascii="宋体" w:hAnsi="宋体" w:eastAsia="仿宋"/>
      <w:b/>
      <w:sz w:val="52"/>
      <w:szCs w:val="22"/>
    </w:rPr>
  </w:style>
  <w:style w:type="paragraph" w:customStyle="1" w:styleId="1404">
    <w:name w:val="修订11"/>
    <w:qFormat/>
    <w:uiPriority w:val="99"/>
    <w:rPr>
      <w:rFonts w:ascii="宋体" w:hAnsi="Calibri" w:eastAsia="宋体" w:cs="Times New Roman"/>
      <w:sz w:val="21"/>
      <w:lang w:val="en-US" w:eastAsia="zh-CN" w:bidi="ar-SA"/>
    </w:rPr>
  </w:style>
  <w:style w:type="paragraph" w:customStyle="1" w:styleId="1405">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06">
    <w:name w:val="目录标题2"/>
    <w:basedOn w:val="4"/>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7">
    <w:name w:val="Char1 Char Char Char1"/>
    <w:basedOn w:val="1"/>
    <w:qFormat/>
    <w:uiPriority w:val="0"/>
    <w:pPr>
      <w:spacing w:line="500" w:lineRule="exact"/>
      <w:ind w:firstLine="560"/>
    </w:pPr>
    <w:rPr>
      <w:rFonts w:ascii="Tahoma" w:hAnsi="Tahoma" w:eastAsia="仿宋"/>
      <w:sz w:val="28"/>
      <w:szCs w:val="20"/>
    </w:rPr>
  </w:style>
  <w:style w:type="paragraph" w:customStyle="1" w:styleId="1408">
    <w:name w:val="Bullet Text"/>
    <w:basedOn w:val="1"/>
    <w:next w:val="1372"/>
    <w:qFormat/>
    <w:uiPriority w:val="0"/>
    <w:pPr>
      <w:spacing w:after="60" w:line="500" w:lineRule="exact"/>
      <w:ind w:left="360" w:hanging="360"/>
      <w:jc w:val="left"/>
    </w:pPr>
    <w:rPr>
      <w:rFonts w:ascii="Arial" w:hAnsi="Arial" w:eastAsia="仿宋"/>
      <w:sz w:val="20"/>
      <w:szCs w:val="20"/>
    </w:rPr>
  </w:style>
  <w:style w:type="paragraph" w:customStyle="1" w:styleId="1409">
    <w:name w:val="_Style 47"/>
    <w:basedOn w:val="1"/>
    <w:next w:val="292"/>
    <w:qFormat/>
    <w:uiPriority w:val="0"/>
    <w:pPr>
      <w:spacing w:line="360" w:lineRule="auto"/>
      <w:ind w:firstLine="420"/>
      <w:jc w:val="left"/>
    </w:pPr>
    <w:rPr>
      <w:rFonts w:ascii="宋体" w:hAnsi="Calibri"/>
      <w:szCs w:val="20"/>
    </w:rPr>
  </w:style>
  <w:style w:type="paragraph" w:customStyle="1" w:styleId="1410">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1">
    <w:name w:val="Contents 10"/>
    <w:basedOn w:val="1412"/>
    <w:qFormat/>
    <w:uiPriority w:val="0"/>
    <w:pPr>
      <w:tabs>
        <w:tab w:val="right" w:leader="dot" w:pos="24919"/>
      </w:tabs>
      <w:ind w:left="2547"/>
    </w:pPr>
  </w:style>
  <w:style w:type="paragraph" w:customStyle="1" w:styleId="1412">
    <w:name w:val="Index"/>
    <w:basedOn w:val="1"/>
    <w:qFormat/>
    <w:uiPriority w:val="0"/>
    <w:pPr>
      <w:suppressLineNumbers/>
      <w:spacing w:line="360" w:lineRule="auto"/>
      <w:ind w:firstLine="720"/>
    </w:pPr>
    <w:rPr>
      <w:rFonts w:ascii="仿宋" w:hAnsi="仿宋"/>
      <w:sz w:val="28"/>
      <w:lang w:eastAsia="ar-SA"/>
    </w:rPr>
  </w:style>
  <w:style w:type="paragraph" w:customStyle="1" w:styleId="1413">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4">
    <w:name w:val="txt"/>
    <w:basedOn w:val="1"/>
    <w:next w:val="917"/>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5">
    <w:name w:val="目录标题1"/>
    <w:basedOn w:val="4"/>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6">
    <w:name w:val="Header Odd"/>
    <w:basedOn w:val="1417"/>
    <w:next w:val="971"/>
    <w:qFormat/>
    <w:uiPriority w:val="0"/>
    <w:pPr>
      <w:widowControl/>
      <w:pBdr>
        <w:bottom w:val="single" w:color="4F81BD" w:sz="4" w:space="1"/>
      </w:pBdr>
      <w:jc w:val="right"/>
    </w:pPr>
    <w:rPr>
      <w:b/>
      <w:bCs/>
      <w:color w:val="1F497D"/>
      <w:sz w:val="20"/>
      <w:szCs w:val="23"/>
    </w:rPr>
  </w:style>
  <w:style w:type="paragraph" w:customStyle="1" w:styleId="1417">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18">
    <w:name w:val="样式 两端对齐"/>
    <w:basedOn w:val="1"/>
    <w:next w:val="1378"/>
    <w:qFormat/>
    <w:uiPriority w:val="0"/>
    <w:pPr>
      <w:spacing w:line="360" w:lineRule="auto"/>
      <w:ind w:firstLine="560"/>
    </w:pPr>
    <w:rPr>
      <w:rFonts w:ascii="宋体" w:hAnsi="Calibri" w:eastAsia="仿宋" w:cs="宋体"/>
      <w:sz w:val="28"/>
      <w:szCs w:val="20"/>
    </w:rPr>
  </w:style>
  <w:style w:type="paragraph" w:customStyle="1" w:styleId="1419">
    <w:name w:val="样式 行距: 固定值 20 磅 首行缩进:  2 字符"/>
    <w:basedOn w:val="1"/>
    <w:next w:val="1353"/>
    <w:qFormat/>
    <w:uiPriority w:val="0"/>
    <w:pPr>
      <w:spacing w:line="360" w:lineRule="auto"/>
      <w:ind w:firstLine="200"/>
      <w:jc w:val="left"/>
    </w:pPr>
    <w:rPr>
      <w:rFonts w:ascii="宋体" w:hAnsi="Calibri" w:eastAsia="仿宋" w:cs="宋体"/>
      <w:sz w:val="28"/>
      <w:szCs w:val="20"/>
    </w:rPr>
  </w:style>
  <w:style w:type="paragraph" w:customStyle="1" w:styleId="1420">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1">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2">
    <w:name w:val="日期 Char2"/>
    <w:basedOn w:val="1"/>
    <w:qFormat/>
    <w:uiPriority w:val="0"/>
    <w:pPr>
      <w:spacing w:line="500" w:lineRule="exact"/>
      <w:ind w:firstLine="560"/>
    </w:pPr>
    <w:rPr>
      <w:rFonts w:ascii="Calibri" w:hAnsi="Calibri" w:eastAsia="仿宋"/>
      <w:sz w:val="28"/>
      <w:szCs w:val="20"/>
    </w:rPr>
  </w:style>
  <w:style w:type="paragraph" w:customStyle="1" w:styleId="1423">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5">
    <w:name w:val="正文3"/>
    <w:basedOn w:val="1"/>
    <w:qFormat/>
    <w:uiPriority w:val="0"/>
    <w:pPr>
      <w:widowControl/>
      <w:spacing w:line="500" w:lineRule="exact"/>
      <w:ind w:firstLine="560"/>
    </w:pPr>
    <w:rPr>
      <w:rFonts w:ascii="Calibri" w:hAnsi="Calibri" w:eastAsia="仿宋"/>
      <w:sz w:val="28"/>
      <w:szCs w:val="20"/>
    </w:rPr>
  </w:style>
  <w:style w:type="paragraph" w:customStyle="1" w:styleId="1426">
    <w:name w:val="正文文本 Char2"/>
    <w:basedOn w:val="1"/>
    <w:qFormat/>
    <w:uiPriority w:val="0"/>
    <w:pPr>
      <w:spacing w:line="500" w:lineRule="exact"/>
      <w:ind w:firstLine="560"/>
    </w:pPr>
    <w:rPr>
      <w:rFonts w:ascii="Calibri" w:hAnsi="Calibri" w:eastAsia="仿宋"/>
      <w:sz w:val="28"/>
      <w:szCs w:val="20"/>
    </w:rPr>
  </w:style>
  <w:style w:type="paragraph" w:customStyle="1" w:styleId="1427">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28">
    <w:name w:val="样式 InfoBlue + 倾斜"/>
    <w:basedOn w:val="1399"/>
    <w:next w:val="1363"/>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29">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0">
    <w:name w:val="样式 正文文本缩进 + 左侧:  2 字符 行距: 固定值 20 磅 首行缩进:  2 字符"/>
    <w:basedOn w:val="24"/>
    <w:next w:val="815"/>
    <w:qFormat/>
    <w:uiPriority w:val="0"/>
    <w:pPr>
      <w:spacing w:line="360" w:lineRule="auto"/>
      <w:ind w:left="400" w:firstLine="400"/>
      <w:jc w:val="both"/>
    </w:pPr>
    <w:rPr>
      <w:rFonts w:cs="宋体"/>
      <w:szCs w:val="20"/>
    </w:rPr>
  </w:style>
  <w:style w:type="paragraph" w:customStyle="1" w:styleId="1431">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2">
    <w:name w:val="Char1 Char Char Char3"/>
    <w:basedOn w:val="1"/>
    <w:qFormat/>
    <w:uiPriority w:val="0"/>
    <w:rPr>
      <w:rFonts w:ascii="Tahoma" w:hAnsi="Tahoma"/>
      <w:sz w:val="24"/>
      <w:szCs w:val="20"/>
    </w:rPr>
  </w:style>
  <w:style w:type="paragraph" w:customStyle="1" w:styleId="1433">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4">
    <w:name w:val="TOC Heading1"/>
    <w:basedOn w:val="4"/>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6">
    <w:name w:val="正文排列"/>
    <w:basedOn w:val="1"/>
    <w:qFormat/>
    <w:uiPriority w:val="0"/>
    <w:pPr>
      <w:tabs>
        <w:tab w:val="left" w:pos="902"/>
      </w:tabs>
      <w:ind w:left="902"/>
    </w:pPr>
    <w:rPr>
      <w:rFonts w:eastAsia="仿宋"/>
      <w:sz w:val="28"/>
      <w:szCs w:val="20"/>
    </w:rPr>
  </w:style>
  <w:style w:type="paragraph" w:customStyle="1" w:styleId="143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38">
    <w:name w:val="number0"/>
    <w:basedOn w:val="2"/>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39">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0">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1">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2">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3">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44">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5">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44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447">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448">
    <w:name w:val="列项◆（三级）"/>
    <w:basedOn w:val="1"/>
    <w:qFormat/>
    <w:uiPriority w:val="0"/>
    <w:pPr>
      <w:ind w:left="1680" w:hanging="420"/>
    </w:pPr>
    <w:rPr>
      <w:rFonts w:ascii="宋体"/>
      <w:szCs w:val="21"/>
    </w:rPr>
  </w:style>
  <w:style w:type="paragraph" w:customStyle="1" w:styleId="1449">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450">
    <w:name w:val="示例×："/>
    <w:basedOn w:val="348"/>
    <w:qFormat/>
    <w:uiPriority w:val="0"/>
    <w:pPr>
      <w:tabs>
        <w:tab w:val="left" w:pos="360"/>
        <w:tab w:val="clear" w:pos="780"/>
      </w:tabs>
      <w:ind w:left="842" w:hanging="420"/>
      <w:outlineLvl w:val="9"/>
    </w:pPr>
    <w:rPr>
      <w:rFonts w:ascii="宋体" w:eastAsia="宋体"/>
      <w:sz w:val="18"/>
      <w:szCs w:val="18"/>
    </w:rPr>
  </w:style>
  <w:style w:type="paragraph" w:customStyle="1" w:styleId="1451">
    <w:name w:val="二级无"/>
    <w:basedOn w:val="346"/>
    <w:qFormat/>
    <w:uiPriority w:val="0"/>
    <w:pPr>
      <w:ind w:left="0" w:firstLine="0"/>
      <w:jc w:val="left"/>
    </w:pPr>
    <w:rPr>
      <w:rFonts w:ascii="宋体" w:eastAsia="宋体"/>
      <w:szCs w:val="21"/>
      <w:lang w:val="zh-CN"/>
    </w:rPr>
  </w:style>
  <w:style w:type="paragraph" w:customStyle="1" w:styleId="1452">
    <w:name w:val="注：（正文）"/>
    <w:basedOn w:val="678"/>
    <w:next w:val="323"/>
    <w:qFormat/>
    <w:uiPriority w:val="0"/>
    <w:pPr>
      <w:tabs>
        <w:tab w:val="left" w:pos="425"/>
        <w:tab w:val="clear" w:pos="1200"/>
      </w:tabs>
      <w:ind w:left="425" w:hanging="425"/>
    </w:pPr>
    <w:rPr>
      <w:szCs w:val="18"/>
    </w:rPr>
  </w:style>
  <w:style w:type="paragraph" w:customStyle="1" w:styleId="1453">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454">
    <w:name w:val="参考文献"/>
    <w:basedOn w:val="1"/>
    <w:next w:val="323"/>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5">
    <w:name w:val="附录标题"/>
    <w:basedOn w:val="323"/>
    <w:next w:val="323"/>
    <w:qFormat/>
    <w:uiPriority w:val="0"/>
    <w:pPr>
      <w:tabs>
        <w:tab w:val="center" w:pos="4201"/>
        <w:tab w:val="right" w:leader="dot" w:pos="9298"/>
      </w:tabs>
      <w:ind w:firstLine="0"/>
      <w:jc w:val="center"/>
    </w:pPr>
    <w:rPr>
      <w:rFonts w:ascii="黑体" w:eastAsia="黑体"/>
    </w:rPr>
  </w:style>
  <w:style w:type="paragraph" w:customStyle="1" w:styleId="1456">
    <w:name w:val="附录表标号"/>
    <w:basedOn w:val="1"/>
    <w:next w:val="323"/>
    <w:qFormat/>
    <w:uiPriority w:val="0"/>
    <w:pPr>
      <w:spacing w:line="14" w:lineRule="exact"/>
      <w:ind w:left="811" w:hanging="448"/>
      <w:jc w:val="center"/>
      <w:outlineLvl w:val="0"/>
    </w:pPr>
    <w:rPr>
      <w:color w:val="FFFFFF"/>
    </w:rPr>
  </w:style>
  <w:style w:type="paragraph" w:customStyle="1" w:styleId="1457">
    <w:name w:val="附录二级无"/>
    <w:basedOn w:val="958"/>
    <w:qFormat/>
    <w:uiPriority w:val="0"/>
    <w:pPr>
      <w:tabs>
        <w:tab w:val="left" w:pos="360"/>
      </w:tabs>
      <w:ind w:left="851" w:hanging="851"/>
    </w:pPr>
    <w:rPr>
      <w:rFonts w:ascii="宋体" w:eastAsia="宋体"/>
      <w:szCs w:val="21"/>
    </w:rPr>
  </w:style>
  <w:style w:type="paragraph" w:customStyle="1" w:styleId="1458">
    <w:name w:val="附录公式编号制表符"/>
    <w:basedOn w:val="1"/>
    <w:next w:val="323"/>
    <w:qFormat/>
    <w:uiPriority w:val="0"/>
    <w:pPr>
      <w:widowControl/>
      <w:tabs>
        <w:tab w:val="center" w:pos="4201"/>
        <w:tab w:val="right" w:leader="dot" w:pos="9298"/>
      </w:tabs>
    </w:pPr>
    <w:rPr>
      <w:rFonts w:ascii="宋体"/>
      <w:szCs w:val="20"/>
    </w:rPr>
  </w:style>
  <w:style w:type="paragraph" w:customStyle="1" w:styleId="1459">
    <w:name w:val="附录三级无"/>
    <w:basedOn w:val="964"/>
    <w:qFormat/>
    <w:uiPriority w:val="0"/>
    <w:pPr>
      <w:tabs>
        <w:tab w:val="left" w:pos="360"/>
      </w:tabs>
      <w:ind w:left="992" w:hanging="992"/>
    </w:pPr>
    <w:rPr>
      <w:rFonts w:ascii="宋体" w:eastAsia="宋体"/>
      <w:szCs w:val="21"/>
    </w:rPr>
  </w:style>
  <w:style w:type="paragraph" w:customStyle="1" w:styleId="1460">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461">
    <w:name w:val="附录四级无"/>
    <w:basedOn w:val="971"/>
    <w:qFormat/>
    <w:uiPriority w:val="0"/>
    <w:pPr>
      <w:tabs>
        <w:tab w:val="left" w:pos="360"/>
      </w:tabs>
      <w:ind w:left="1134" w:hanging="1134"/>
    </w:pPr>
    <w:rPr>
      <w:rFonts w:ascii="宋体" w:eastAsia="宋体"/>
      <w:szCs w:val="21"/>
    </w:rPr>
  </w:style>
  <w:style w:type="paragraph" w:customStyle="1" w:styleId="1462">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3">
    <w:name w:val="附录五级无"/>
    <w:basedOn w:val="983"/>
    <w:qFormat/>
    <w:uiPriority w:val="0"/>
    <w:pPr>
      <w:tabs>
        <w:tab w:val="left" w:pos="360"/>
        <w:tab w:val="clear" w:pos="780"/>
      </w:tabs>
      <w:ind w:left="980"/>
    </w:pPr>
    <w:rPr>
      <w:rFonts w:ascii="宋体" w:eastAsia="宋体"/>
      <w:szCs w:val="21"/>
    </w:rPr>
  </w:style>
  <w:style w:type="paragraph" w:customStyle="1" w:styleId="1464">
    <w:name w:val="附录一级无"/>
    <w:basedOn w:val="788"/>
    <w:qFormat/>
    <w:uiPriority w:val="0"/>
    <w:pPr>
      <w:tabs>
        <w:tab w:val="left" w:pos="360"/>
      </w:tabs>
      <w:ind w:left="1779" w:hanging="1069"/>
    </w:pPr>
    <w:rPr>
      <w:rFonts w:ascii="宋体" w:eastAsia="宋体"/>
      <w:szCs w:val="21"/>
    </w:rPr>
  </w:style>
  <w:style w:type="paragraph" w:customStyle="1" w:styleId="1465">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466">
    <w:name w:val="列项说明"/>
    <w:basedOn w:val="1"/>
    <w:qFormat/>
    <w:uiPriority w:val="0"/>
    <w:pPr>
      <w:spacing w:line="320" w:lineRule="exact"/>
      <w:ind w:left="400" w:hanging="200"/>
      <w:jc w:val="left"/>
    </w:pPr>
    <w:rPr>
      <w:rFonts w:ascii="宋体"/>
      <w:szCs w:val="20"/>
    </w:rPr>
  </w:style>
  <w:style w:type="paragraph" w:customStyle="1" w:styleId="1467">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468">
    <w:name w:val="其他标准标志"/>
    <w:basedOn w:val="1010"/>
    <w:qFormat/>
    <w:uiPriority w:val="0"/>
    <w:pPr>
      <w:framePr w:w="6101" w:h="1389" w:hRule="exact" w:hSpace="181" w:vSpace="181" w:wrap="around" w:vAnchor="page" w:hAnchor="page" w:x="4673" w:y="942"/>
    </w:pPr>
    <w:rPr>
      <w:szCs w:val="96"/>
    </w:rPr>
  </w:style>
  <w:style w:type="paragraph" w:customStyle="1" w:styleId="1469">
    <w:name w:val="三级无"/>
    <w:basedOn w:val="674"/>
    <w:qFormat/>
    <w:uiPriority w:val="0"/>
    <w:pPr>
      <w:jc w:val="left"/>
    </w:pPr>
    <w:rPr>
      <w:rFonts w:ascii="宋体" w:eastAsia="宋体"/>
      <w:szCs w:val="21"/>
      <w:lang w:val="zh-CN"/>
    </w:rPr>
  </w:style>
  <w:style w:type="paragraph" w:customStyle="1" w:styleId="1470">
    <w:name w:val="示例后文字"/>
    <w:basedOn w:val="323"/>
    <w:next w:val="323"/>
    <w:qFormat/>
    <w:uiPriority w:val="0"/>
    <w:pPr>
      <w:tabs>
        <w:tab w:val="center" w:pos="4201"/>
        <w:tab w:val="right" w:leader="dot" w:pos="9298"/>
      </w:tabs>
      <w:ind w:firstLine="360"/>
    </w:pPr>
    <w:rPr>
      <w:sz w:val="18"/>
    </w:rPr>
  </w:style>
  <w:style w:type="paragraph" w:customStyle="1" w:styleId="1471">
    <w:name w:val="四级无"/>
    <w:basedOn w:val="846"/>
    <w:qFormat/>
    <w:uiPriority w:val="0"/>
    <w:pPr>
      <w:jc w:val="left"/>
    </w:pPr>
    <w:rPr>
      <w:rFonts w:ascii="宋体" w:eastAsia="宋体"/>
      <w:szCs w:val="21"/>
      <w:lang w:val="zh-CN"/>
    </w:rPr>
  </w:style>
  <w:style w:type="paragraph" w:customStyle="1" w:styleId="1472">
    <w:name w:val="图标脚注说明"/>
    <w:basedOn w:val="323"/>
    <w:qFormat/>
    <w:uiPriority w:val="0"/>
    <w:pPr>
      <w:tabs>
        <w:tab w:val="center" w:pos="4201"/>
        <w:tab w:val="right" w:leader="dot" w:pos="9298"/>
      </w:tabs>
      <w:ind w:left="840" w:hanging="420"/>
    </w:pPr>
    <w:rPr>
      <w:sz w:val="18"/>
      <w:szCs w:val="18"/>
    </w:rPr>
  </w:style>
  <w:style w:type="paragraph" w:customStyle="1" w:styleId="1473">
    <w:name w:val="图表脚注说明"/>
    <w:basedOn w:val="1"/>
    <w:qFormat/>
    <w:uiPriority w:val="0"/>
    <w:pPr>
      <w:ind w:left="811" w:hanging="448"/>
    </w:pPr>
    <w:rPr>
      <w:rFonts w:ascii="宋体"/>
      <w:sz w:val="18"/>
      <w:szCs w:val="18"/>
    </w:rPr>
  </w:style>
  <w:style w:type="paragraph" w:customStyle="1" w:styleId="1474">
    <w:name w:val="图的脚注"/>
    <w:next w:val="323"/>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475">
    <w:name w:val="五级无"/>
    <w:basedOn w:val="909"/>
    <w:qFormat/>
    <w:uiPriority w:val="0"/>
    <w:pPr>
      <w:jc w:val="left"/>
    </w:pPr>
    <w:rPr>
      <w:rFonts w:ascii="宋体" w:eastAsia="宋体"/>
      <w:szCs w:val="21"/>
      <w:lang w:val="zh-CN"/>
    </w:rPr>
  </w:style>
  <w:style w:type="paragraph" w:customStyle="1" w:styleId="1476">
    <w:name w:val="一级无"/>
    <w:basedOn w:val="347"/>
    <w:qFormat/>
    <w:uiPriority w:val="0"/>
    <w:pPr>
      <w:ind w:left="0" w:firstLine="0"/>
      <w:jc w:val="left"/>
    </w:pPr>
    <w:rPr>
      <w:rFonts w:ascii="宋体" w:eastAsia="宋体"/>
      <w:szCs w:val="21"/>
    </w:rPr>
  </w:style>
  <w:style w:type="paragraph" w:customStyle="1" w:styleId="1477">
    <w:name w:val="正文公式编号制表符"/>
    <w:basedOn w:val="323"/>
    <w:next w:val="323"/>
    <w:qFormat/>
    <w:uiPriority w:val="0"/>
    <w:pPr>
      <w:tabs>
        <w:tab w:val="center" w:pos="4201"/>
        <w:tab w:val="right" w:leader="dot" w:pos="9298"/>
      </w:tabs>
      <w:ind w:firstLine="0"/>
    </w:pPr>
  </w:style>
  <w:style w:type="paragraph" w:customStyle="1" w:styleId="1478">
    <w:name w:val="终结线"/>
    <w:basedOn w:val="1"/>
    <w:qFormat/>
    <w:uiPriority w:val="0"/>
    <w:pPr>
      <w:framePr w:hSpace="181" w:vSpace="181" w:wrap="around" w:vAnchor="text" w:hAnchor="margin" w:xAlign="center" w:y="285"/>
    </w:pPr>
  </w:style>
  <w:style w:type="paragraph" w:customStyle="1" w:styleId="1479">
    <w:name w:val="其他发布日期"/>
    <w:basedOn w:val="837"/>
    <w:qFormat/>
    <w:uiPriority w:val="0"/>
    <w:pPr>
      <w:framePr w:w="3997" w:h="471" w:hRule="exact" w:hSpace="0" w:vSpace="181" w:wrap="around" w:vAnchor="page" w:hAnchor="page" w:x="1419" w:y="14097"/>
    </w:pPr>
  </w:style>
  <w:style w:type="paragraph" w:customStyle="1" w:styleId="1480">
    <w:name w:val="其他实施日期"/>
    <w:basedOn w:val="836"/>
    <w:qFormat/>
    <w:uiPriority w:val="0"/>
    <w:pPr>
      <w:framePr w:w="3997" w:h="471" w:hRule="exact" w:vSpace="181" w:wrap="around" w:vAnchor="page" w:hAnchor="page" w:x="7089" w:y="14097"/>
      <w:ind w:left="0" w:firstLine="0"/>
    </w:pPr>
  </w:style>
  <w:style w:type="paragraph" w:customStyle="1" w:styleId="1481">
    <w:name w:val="封面标准名称2"/>
    <w:basedOn w:val="1089"/>
    <w:qFormat/>
    <w:uiPriority w:val="0"/>
    <w:pPr>
      <w:framePr w:w="9639" w:wrap="around" w:vAnchor="page" w:hAnchor="page" w:y="4469"/>
    </w:pPr>
  </w:style>
  <w:style w:type="paragraph" w:customStyle="1" w:styleId="1482">
    <w:name w:val="封面标准英文名称2"/>
    <w:basedOn w:val="888"/>
    <w:qFormat/>
    <w:uiPriority w:val="0"/>
    <w:pPr>
      <w:framePr w:w="9639" w:h="6917" w:hRule="exact" w:wrap="around" w:vAnchor="page" w:hAnchor="page" w:xAlign="center" w:y="4469"/>
    </w:pPr>
    <w:rPr>
      <w:rFonts w:eastAsia="黑体"/>
      <w:szCs w:val="28"/>
    </w:rPr>
  </w:style>
  <w:style w:type="paragraph" w:customStyle="1" w:styleId="1483">
    <w:name w:val="封面一致性程度标识2"/>
    <w:basedOn w:val="1270"/>
    <w:qFormat/>
    <w:uiPriority w:val="0"/>
    <w:pPr>
      <w:framePr w:w="9639" w:h="6917" w:hRule="exact" w:wrap="around" w:vAnchor="page" w:hAnchor="page" w:xAlign="center" w:y="4469"/>
      <w:widowControl w:val="0"/>
    </w:pPr>
    <w:rPr>
      <w:szCs w:val="28"/>
    </w:rPr>
  </w:style>
  <w:style w:type="paragraph" w:customStyle="1" w:styleId="1484">
    <w:name w:val="封面标准文稿类别2"/>
    <w:basedOn w:val="1144"/>
    <w:qFormat/>
    <w:uiPriority w:val="0"/>
    <w:pPr>
      <w:framePr w:w="9639" w:h="6917" w:hRule="exact" w:wrap="around" w:vAnchor="page" w:hAnchor="page" w:xAlign="center" w:y="4469"/>
      <w:widowControl w:val="0"/>
      <w:spacing w:after="160" w:line="240" w:lineRule="auto"/>
    </w:pPr>
    <w:rPr>
      <w:szCs w:val="28"/>
    </w:rPr>
  </w:style>
  <w:style w:type="paragraph" w:customStyle="1" w:styleId="1485">
    <w:name w:val="封面标准文稿编辑信息2"/>
    <w:basedOn w:val="1312"/>
    <w:qFormat/>
    <w:uiPriority w:val="0"/>
    <w:pPr>
      <w:framePr w:w="9639" w:h="6917" w:hRule="exact" w:wrap="around" w:vAnchor="page" w:hAnchor="page" w:xAlign="center" w:y="4469"/>
      <w:widowControl w:val="0"/>
      <w:spacing w:after="160"/>
    </w:pPr>
    <w:rPr>
      <w:szCs w:val="28"/>
    </w:rPr>
  </w:style>
  <w:style w:type="paragraph" w:customStyle="1" w:styleId="1486">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87">
    <w:name w:val="封面正文内容"/>
    <w:basedOn w:val="1"/>
    <w:next w:val="1"/>
    <w:qFormat/>
    <w:uiPriority w:val="0"/>
    <w:rPr>
      <w:rFonts w:ascii="宋体" w:hAnsi="宋体" w:cs="宋体"/>
      <w:sz w:val="30"/>
      <w:szCs w:val="30"/>
    </w:rPr>
  </w:style>
  <w:style w:type="paragraph" w:customStyle="1" w:styleId="1488">
    <w:name w:val="a"/>
    <w:basedOn w:val="1"/>
    <w:qFormat/>
    <w:uiPriority w:val="0"/>
    <w:pPr>
      <w:widowControl/>
      <w:spacing w:before="100" w:beforeAutospacing="1" w:after="100" w:afterAutospacing="1"/>
      <w:jc w:val="left"/>
    </w:pPr>
    <w:rPr>
      <w:rFonts w:ascii="宋体" w:hAnsi="宋体" w:cs="宋体"/>
      <w:sz w:val="24"/>
    </w:rPr>
  </w:style>
  <w:style w:type="paragraph" w:customStyle="1" w:styleId="1489">
    <w:name w:val="方框下的ABC标题"/>
    <w:basedOn w:val="1"/>
    <w:qFormat/>
    <w:uiPriority w:val="0"/>
    <w:pPr>
      <w:spacing w:line="360" w:lineRule="auto"/>
    </w:pPr>
    <w:rPr>
      <w:rFonts w:hAnsi="宋体"/>
    </w:rPr>
  </w:style>
  <w:style w:type="paragraph" w:customStyle="1" w:styleId="1490">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1">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492">
    <w:name w:val="D标题二"/>
    <w:basedOn w:val="1491"/>
    <w:next w:val="1491"/>
    <w:qFormat/>
    <w:uiPriority w:val="0"/>
    <w:rPr>
      <w:rFonts w:eastAsia="黑体"/>
    </w:rPr>
  </w:style>
  <w:style w:type="paragraph" w:customStyle="1" w:styleId="1493">
    <w:name w:val="点对点应答文字"/>
    <w:basedOn w:val="1"/>
    <w:qFormat/>
    <w:uiPriority w:val="0"/>
    <w:pPr>
      <w:spacing w:line="360" w:lineRule="auto"/>
      <w:jc w:val="left"/>
    </w:pPr>
    <w:rPr>
      <w:i/>
      <w:color w:val="0000FF"/>
      <w:szCs w:val="20"/>
      <w:lang w:eastAsia="en-US"/>
    </w:rPr>
  </w:style>
  <w:style w:type="paragraph" w:customStyle="1" w:styleId="1494">
    <w:name w:val="SUR-方框标题"/>
    <w:basedOn w:val="1"/>
    <w:qFormat/>
    <w:uiPriority w:val="0"/>
    <w:pPr>
      <w:spacing w:line="360" w:lineRule="auto"/>
      <w:jc w:val="left"/>
    </w:pPr>
    <w:rPr>
      <w:szCs w:val="20"/>
      <w:lang w:eastAsia="en-US"/>
    </w:rPr>
  </w:style>
  <w:style w:type="paragraph" w:customStyle="1" w:styleId="1495">
    <w:name w:val="表内文字"/>
    <w:qFormat/>
    <w:uiPriority w:val="0"/>
    <w:rPr>
      <w:rFonts w:ascii="Times New Roman" w:hAnsi="Times New Roman" w:eastAsia="宋体" w:cs="Times New Roman"/>
      <w:sz w:val="21"/>
      <w:lang w:val="en-US" w:eastAsia="zh-CN" w:bidi="ar-SA"/>
    </w:rPr>
  </w:style>
  <w:style w:type="paragraph" w:customStyle="1" w:styleId="1496">
    <w:name w:val="示意图说明"/>
    <w:basedOn w:val="1"/>
    <w:next w:val="9"/>
    <w:qFormat/>
    <w:uiPriority w:val="0"/>
    <w:pPr>
      <w:spacing w:line="360" w:lineRule="auto"/>
      <w:jc w:val="center"/>
    </w:pPr>
    <w:rPr>
      <w:rFonts w:eastAsia="黑体"/>
      <w:szCs w:val="20"/>
      <w:lang w:eastAsia="en-US"/>
    </w:rPr>
  </w:style>
  <w:style w:type="paragraph" w:customStyle="1" w:styleId="1497">
    <w:name w:val="方框标题"/>
    <w:basedOn w:val="1"/>
    <w:next w:val="1"/>
    <w:qFormat/>
    <w:uiPriority w:val="0"/>
    <w:pPr>
      <w:tabs>
        <w:tab w:val="left" w:pos="420"/>
      </w:tabs>
      <w:spacing w:line="360" w:lineRule="auto"/>
      <w:ind w:firstLine="397"/>
    </w:pPr>
    <w:rPr>
      <w:rFonts w:eastAsia="黑体"/>
    </w:rPr>
  </w:style>
  <w:style w:type="paragraph" w:customStyle="1" w:styleId="1498">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499">
    <w:name w:val="MM Topic 1"/>
    <w:basedOn w:val="4"/>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0">
    <w:name w:val="MM Topic 3"/>
    <w:basedOn w:val="6"/>
    <w:qFormat/>
    <w:uiPriority w:val="0"/>
    <w:pPr>
      <w:tabs>
        <w:tab w:val="left" w:pos="0"/>
      </w:tabs>
      <w:ind w:left="420" w:hanging="420"/>
    </w:pPr>
    <w:rPr>
      <w:rFonts w:ascii="Calibri" w:hAnsi="Calibri"/>
      <w:bCs/>
      <w:szCs w:val="32"/>
      <w:lang w:val="zh-CN"/>
    </w:rPr>
  </w:style>
  <w:style w:type="paragraph" w:customStyle="1" w:styleId="1501">
    <w:name w:val="p15"/>
    <w:basedOn w:val="1"/>
    <w:qFormat/>
    <w:uiPriority w:val="0"/>
    <w:pPr>
      <w:widowControl/>
      <w:spacing w:before="156" w:after="156"/>
      <w:jc w:val="left"/>
    </w:pPr>
    <w:rPr>
      <w:rFonts w:ascii="黑体" w:hAnsi="黑体" w:eastAsia="黑体" w:cs="宋体"/>
      <w:szCs w:val="21"/>
    </w:rPr>
  </w:style>
  <w:style w:type="paragraph" w:customStyle="1" w:styleId="1502">
    <w:name w:val="p16"/>
    <w:basedOn w:val="1"/>
    <w:qFormat/>
    <w:uiPriority w:val="0"/>
    <w:pPr>
      <w:widowControl/>
      <w:ind w:firstLine="420"/>
    </w:pPr>
    <w:rPr>
      <w:rFonts w:ascii="宋体" w:hAnsi="宋体" w:cs="宋体"/>
      <w:sz w:val="20"/>
      <w:szCs w:val="20"/>
    </w:rPr>
  </w:style>
  <w:style w:type="paragraph" w:customStyle="1" w:styleId="1503">
    <w:name w:val="p17"/>
    <w:basedOn w:val="1"/>
    <w:qFormat/>
    <w:uiPriority w:val="0"/>
    <w:pPr>
      <w:widowControl/>
      <w:spacing w:before="156" w:after="156"/>
      <w:jc w:val="center"/>
    </w:pPr>
    <w:rPr>
      <w:rFonts w:ascii="黑体" w:hAnsi="黑体" w:eastAsia="黑体" w:cs="宋体"/>
      <w:szCs w:val="21"/>
    </w:rPr>
  </w:style>
  <w:style w:type="paragraph" w:customStyle="1" w:styleId="1504">
    <w:name w:val="0-投标正文"/>
    <w:basedOn w:val="4"/>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5">
    <w:name w:val="网格型1"/>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6">
    <w:name w:val="网格型2"/>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7">
    <w:name w:val="网格型1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2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3"/>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1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2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4"/>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1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2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5"/>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6"/>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1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2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7"/>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8"/>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1">
    <w:name w:val="普通(网站) Char"/>
    <w:qFormat/>
    <w:uiPriority w:val="0"/>
    <w:rPr>
      <w:rFonts w:ascii="宋体" w:hAnsi="宋体" w:cs="宋体"/>
      <w:color w:val="000000"/>
      <w:sz w:val="24"/>
      <w:szCs w:val="24"/>
    </w:rPr>
  </w:style>
  <w:style w:type="character" w:customStyle="1" w:styleId="1522">
    <w:name w:val="正文缩进 Char"/>
    <w:qFormat/>
    <w:uiPriority w:val="0"/>
    <w:rPr>
      <w:rFonts w:eastAsia="宋体"/>
      <w:sz w:val="21"/>
      <w:lang w:val="en-US" w:eastAsia="zh-CN" w:bidi="ar-SA"/>
    </w:rPr>
  </w:style>
  <w:style w:type="character" w:customStyle="1" w:styleId="1523">
    <w:name w:val="正文文本首行缩进 2 字符"/>
    <w:basedOn w:val="801"/>
    <w:link w:val="67"/>
    <w:semiHidden/>
    <w:qFormat/>
    <w:uiPriority w:val="99"/>
    <w:rPr>
      <w:rFonts w:ascii="Times New Roman" w:hAnsi="Times New Roman" w:eastAsia="宋体" w:cs="Times New Roman"/>
      <w:szCs w:val="24"/>
    </w:rPr>
  </w:style>
  <w:style w:type="character" w:customStyle="1" w:styleId="1524">
    <w:name w:val="正文文本首行缩进 字符"/>
    <w:basedOn w:val="802"/>
    <w:link w:val="3"/>
    <w:semiHidden/>
    <w:qFormat/>
    <w:uiPriority w:val="99"/>
    <w:rPr>
      <w:rFonts w:ascii="Times New Roman" w:hAnsi="Times New Roman" w:eastAsia="宋体" w:cs="Times New Roman"/>
      <w:szCs w:val="24"/>
    </w:rPr>
  </w:style>
  <w:style w:type="paragraph" w:customStyle="1" w:styleId="1525">
    <w:name w:val="Andy_正文格式"/>
    <w:basedOn w:val="1"/>
    <w:qFormat/>
    <w:uiPriority w:val="0"/>
    <w:pPr>
      <w:ind w:firstLine="560"/>
      <w:jc w:val="left"/>
    </w:pPr>
    <w:rPr>
      <w:rFonts w:ascii="仿宋_GB2312" w:eastAsia="仿宋_GB2312"/>
      <w:sz w:val="28"/>
      <w:szCs w:val="28"/>
    </w:rPr>
  </w:style>
  <w:style w:type="character" w:customStyle="1" w:styleId="1526">
    <w:name w:val="p141"/>
    <w:qFormat/>
    <w:uiPriority w:val="0"/>
    <w:rPr>
      <w:sz w:val="21"/>
      <w:szCs w:val="21"/>
    </w:rPr>
  </w:style>
  <w:style w:type="character" w:customStyle="1" w:styleId="1527">
    <w:name w:val="标题 3 字符"/>
    <w:qFormat/>
    <w:uiPriority w:val="0"/>
    <w:rPr>
      <w:b/>
      <w:sz w:val="32"/>
    </w:rPr>
  </w:style>
  <w:style w:type="paragraph" w:customStyle="1" w:styleId="1528">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29">
    <w:name w:val="px_10"/>
    <w:basedOn w:val="72"/>
    <w:qFormat/>
    <w:uiPriority w:val="0"/>
  </w:style>
  <w:style w:type="paragraph" w:customStyle="1" w:styleId="1530">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31">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2">
    <w:name w:val="_Style 1379"/>
    <w:basedOn w:val="1"/>
    <w:next w:val="1"/>
    <w:qFormat/>
    <w:uiPriority w:val="0"/>
    <w:pPr>
      <w:pBdr>
        <w:bottom w:val="single" w:color="auto" w:sz="6" w:space="1"/>
      </w:pBdr>
      <w:jc w:val="center"/>
    </w:pPr>
    <w:rPr>
      <w:rFonts w:ascii="Arial"/>
      <w:vanish/>
      <w:sz w:val="16"/>
    </w:rPr>
  </w:style>
  <w:style w:type="paragraph" w:customStyle="1" w:styleId="1533">
    <w:name w:val="_Style 1380"/>
    <w:basedOn w:val="1"/>
    <w:next w:val="1"/>
    <w:qFormat/>
    <w:uiPriority w:val="0"/>
    <w:pPr>
      <w:pBdr>
        <w:top w:val="single" w:color="auto" w:sz="6" w:space="1"/>
      </w:pBdr>
      <w:jc w:val="center"/>
    </w:pPr>
    <w:rPr>
      <w:rFonts w:ascii="Arial"/>
      <w:vanish/>
      <w:sz w:val="16"/>
    </w:rPr>
  </w:style>
  <w:style w:type="paragraph" w:customStyle="1" w:styleId="1534">
    <w:name w:val="Normal_19"/>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5">
    <w:name w:val="纯文本 Char1"/>
    <w:link w:val="1095"/>
    <w:qFormat/>
    <w:uiPriority w:val="0"/>
    <w:rPr>
      <w:rFonts w:ascii="宋体" w:hAnsi="Courier New"/>
      <w:sz w:val="21"/>
      <w:szCs w:val="21"/>
    </w:rPr>
  </w:style>
  <w:style w:type="paragraph" w:customStyle="1" w:styleId="1536">
    <w:name w:val="索引 11"/>
    <w:basedOn w:val="1"/>
    <w:next w:val="1"/>
    <w:qFormat/>
    <w:uiPriority w:val="99"/>
    <w:pPr>
      <w:spacing w:line="360" w:lineRule="auto"/>
    </w:pPr>
    <w:rPr>
      <w:rFonts w:ascii="仿宋_GB2312" w:eastAsia="仿宋_GB2312"/>
      <w:sz w:val="24"/>
      <w:szCs w:val="20"/>
    </w:rPr>
  </w:style>
  <w:style w:type="paragraph" w:customStyle="1" w:styleId="1537">
    <w:name w:val="修订2"/>
    <w:hidden/>
    <w:unhideWhenUsed/>
    <w:qFormat/>
    <w:uiPriority w:val="99"/>
    <w:rPr>
      <w:rFonts w:ascii="Times New Roman" w:hAnsi="Times New Roman" w:eastAsia="宋体" w:cs="Times New Roman"/>
      <w:sz w:val="21"/>
      <w:szCs w:val="24"/>
      <w:lang w:val="en-US" w:eastAsia="zh-CN" w:bidi="ar-SA"/>
    </w:rPr>
  </w:style>
  <w:style w:type="character" w:customStyle="1" w:styleId="1538">
    <w:name w:val="未处理的提及2"/>
    <w:basedOn w:val="72"/>
    <w:semiHidden/>
    <w:unhideWhenUsed/>
    <w:qFormat/>
    <w:uiPriority w:val="99"/>
    <w:rPr>
      <w:color w:val="605E5C"/>
      <w:shd w:val="clear" w:color="auto" w:fill="E1DFDD"/>
    </w:rPr>
  </w:style>
  <w:style w:type="paragraph" w:customStyle="1" w:styleId="1539">
    <w:name w:val="Normal_0"/>
    <w:qFormat/>
    <w:uiPriority w:val="0"/>
    <w:rPr>
      <w:rFonts w:ascii="Times New Roman" w:hAnsi="Times New Roman" w:eastAsia="Times New Roman" w:cs="Times New Roman"/>
      <w:sz w:val="24"/>
      <w:szCs w:val="24"/>
      <w:lang w:val="en-US" w:eastAsia="zh-CN" w:bidi="ar-SA"/>
    </w:rPr>
  </w:style>
  <w:style w:type="paragraph" w:customStyle="1" w:styleId="1540">
    <w:name w:val="Normal_26"/>
    <w:qFormat/>
    <w:uiPriority w:val="0"/>
    <w:rPr>
      <w:rFonts w:ascii="Times New Roman" w:hAnsi="Times New Roman" w:eastAsia="Times New Roman" w:cs="Times New Roman"/>
      <w:sz w:val="24"/>
      <w:szCs w:val="24"/>
      <w:lang w:val="en-US" w:eastAsia="zh-CN" w:bidi="ar-SA"/>
    </w:rPr>
  </w:style>
  <w:style w:type="character" w:customStyle="1" w:styleId="1541">
    <w:name w:val="NormalCharacter"/>
    <w:qFormat/>
    <w:uiPriority w:val="0"/>
    <w:rPr>
      <w:rFonts w:hint="default" w:ascii="Times New Roman" w:hAnsi="Times New Roman" w:eastAsia="宋体" w:cs="Times New Roman"/>
      <w:kern w:val="2"/>
      <w:sz w:val="21"/>
      <w:szCs w:val="22"/>
      <w:lang w:val="en-US" w:eastAsia="zh-CN" w:bidi="ar-SA"/>
    </w:rPr>
  </w:style>
  <w:style w:type="paragraph" w:customStyle="1" w:styleId="154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543">
    <w:name w:val="Normal_6"/>
    <w:qFormat/>
    <w:uiPriority w:val="0"/>
    <w:rPr>
      <w:rFonts w:ascii="Times New Roman" w:hAnsi="Times New Roman" w:eastAsia="Times New Roman" w:cs="Times New Roman"/>
      <w:sz w:val="24"/>
      <w:szCs w:val="24"/>
      <w:lang w:val="en-US" w:eastAsia="zh-CN" w:bidi="ar-SA"/>
    </w:rPr>
  </w:style>
  <w:style w:type="paragraph" w:customStyle="1" w:styleId="1544">
    <w:name w:val="Normal_5"/>
    <w:qFormat/>
    <w:uiPriority w:val="0"/>
    <w:rPr>
      <w:rFonts w:ascii="Times New Roman" w:hAnsi="Times New Roman" w:eastAsia="Times New Roman" w:cs="Times New Roman"/>
      <w:sz w:val="24"/>
      <w:szCs w:val="24"/>
      <w:lang w:val="en-US" w:eastAsia="zh-CN" w:bidi="ar-SA"/>
    </w:rPr>
  </w:style>
  <w:style w:type="paragraph" w:customStyle="1" w:styleId="1545">
    <w:name w:val="Normal_1"/>
    <w:qFormat/>
    <w:uiPriority w:val="0"/>
    <w:rPr>
      <w:rFonts w:ascii="Times New Roman" w:hAnsi="Times New Roman" w:eastAsia="Times New Roman" w:cs="Times New Roman"/>
      <w:sz w:val="24"/>
      <w:szCs w:val="24"/>
      <w:lang w:val="en-US" w:eastAsia="zh-CN" w:bidi="ar-SA"/>
    </w:rPr>
  </w:style>
  <w:style w:type="paragraph" w:customStyle="1" w:styleId="1546">
    <w:name w:val="批注文字1"/>
    <w:basedOn w:val="1"/>
    <w:qFormat/>
    <w:uiPriority w:val="0"/>
  </w:style>
  <w:style w:type="paragraph" w:customStyle="1" w:styleId="1547">
    <w:name w:val="No Spacing1"/>
    <w:qFormat/>
    <w:uiPriority w:val="0"/>
    <w:pPr>
      <w:widowControl w:val="0"/>
      <w:jc w:val="both"/>
    </w:pPr>
    <w:rPr>
      <w:rFonts w:ascii="Calibri" w:hAnsi="Calibri" w:eastAsia="宋体" w:cs="Times New Roman"/>
      <w:sz w:val="21"/>
      <w:szCs w:val="22"/>
      <w:lang w:val="en-US" w:eastAsia="zh-CN" w:bidi="ar-SA"/>
    </w:rPr>
  </w:style>
  <w:style w:type="paragraph" w:customStyle="1" w:styleId="1548">
    <w:name w:val="标题 211"/>
    <w:basedOn w:val="1"/>
    <w:qFormat/>
    <w:uiPriority w:val="0"/>
    <w:pPr>
      <w:outlineLvl w:val="1"/>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296465-2347-4E3C-8152-2AEBF919447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147</Pages>
  <Words>73993</Words>
  <Characters>80517</Characters>
  <Lines>353</Lines>
  <Paragraphs>99</Paragraphs>
  <TotalTime>146</TotalTime>
  <ScaleCrop>false</ScaleCrop>
  <LinksUpToDate>false</LinksUpToDate>
  <CharactersWithSpaces>83423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云中飞絮</cp:lastModifiedBy>
  <cp:lastPrinted>2024-10-12T01:46:00Z</cp:lastPrinted>
  <dcterms:modified xsi:type="dcterms:W3CDTF">2024-10-14T05:47:56Z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EC0E5A9F823C4C469F1E3819649E3FCF_13</vt:lpwstr>
  </property>
</Properties>
</file>