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eastAsia="黑体"/>
          <w:b/>
          <w:bCs/>
          <w:sz w:val="84"/>
        </w:rPr>
      </w:pPr>
      <w:r>
        <w:rPr>
          <w:rFonts w:eastAsia="黑体"/>
          <w:b/>
          <w:bCs/>
          <w:sz w:val="84"/>
        </w:rPr>
      </w:r>
      <w:r/>
    </w:p>
    <w:p>
      <w:pPr>
        <w:pStyle w:val="968"/>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968"/>
        <w:ind w:firstLine="2249"/>
        <w:rPr>
          <w:b/>
          <w:bCs/>
          <w:sz w:val="32"/>
        </w:rPr>
      </w:pPr>
      <w:r>
        <w:rPr>
          <w:b/>
          <w:bCs/>
          <w:sz w:val="32"/>
        </w:rPr>
      </w:r>
      <w:r/>
    </w:p>
    <w:p>
      <w:pPr>
        <w:pStyle w:val="968"/>
        <w:ind w:firstLine="2249"/>
        <w:rPr>
          <w:b/>
          <w:bCs/>
          <w:spacing w:val="-20"/>
          <w:sz w:val="32"/>
        </w:rPr>
      </w:pPr>
      <w:r>
        <w:rPr>
          <w:b/>
          <w:bCs/>
          <w:spacing w:val="-20"/>
          <w:sz w:val="32"/>
        </w:rPr>
      </w:r>
      <w:r/>
    </w:p>
    <w:p>
      <w:pPr>
        <w:pStyle w:val="968"/>
        <w:ind w:firstLine="2249"/>
        <w:rPr>
          <w:b/>
          <w:bCs/>
          <w:spacing w:val="-20"/>
          <w:sz w:val="32"/>
        </w:rPr>
      </w:pPr>
      <w:r>
        <w:rPr>
          <w:b/>
          <w:bCs/>
          <w:spacing w:val="-20"/>
          <w:sz w:val="32"/>
        </w:rPr>
      </w:r>
      <w:r/>
    </w:p>
    <w:p>
      <w:pPr>
        <w:pStyle w:val="968"/>
        <w:ind w:firstLine="2249"/>
        <w:rPr>
          <w:b/>
          <w:bCs/>
          <w:spacing w:val="-20"/>
          <w:sz w:val="32"/>
        </w:rPr>
      </w:pPr>
      <w:r>
        <w:rPr>
          <w:b/>
          <w:bCs/>
          <w:spacing w:val="-20"/>
          <w:sz w:val="32"/>
        </w:rPr>
      </w:r>
      <w:r/>
    </w:p>
    <w:p>
      <w:pPr>
        <w:pStyle w:val="968"/>
        <w:ind w:firstLine="2249"/>
        <w:rPr>
          <w:b/>
          <w:bCs/>
          <w:spacing w:val="-20"/>
          <w:sz w:val="32"/>
        </w:rPr>
      </w:pPr>
      <w:r>
        <w:rPr>
          <w:b/>
          <w:bCs/>
          <w:spacing w:val="-20"/>
          <w:sz w:val="32"/>
        </w:rPr>
      </w:r>
      <w:r/>
    </w:p>
    <w:p>
      <w:pPr>
        <w:pStyle w:val="968"/>
        <w:ind w:firstLine="2249"/>
        <w:rPr>
          <w:b/>
          <w:bCs/>
          <w:spacing w:val="-20"/>
          <w:sz w:val="32"/>
        </w:rPr>
      </w:pPr>
      <w:r>
        <w:rPr>
          <w:b/>
          <w:bCs/>
          <w:spacing w:val="-20"/>
          <w:sz w:val="32"/>
        </w:rPr>
      </w:r>
      <w:r/>
    </w:p>
    <w:p>
      <w:pPr>
        <w:pStyle w:val="968"/>
        <w:ind w:firstLine="2249"/>
        <w:rPr>
          <w:b/>
          <w:bCs/>
          <w:spacing w:val="-20"/>
          <w:sz w:val="32"/>
        </w:rPr>
      </w:pPr>
      <w:r>
        <w:rPr>
          <w:b/>
          <w:bCs/>
          <w:spacing w:val="-20"/>
          <w:sz w:val="32"/>
        </w:rPr>
      </w:r>
      <w:r/>
    </w:p>
    <w:p>
      <w:pPr>
        <w:pStyle w:val="968"/>
        <w:ind w:firstLine="643"/>
        <w:rPr>
          <w:b/>
          <w:bCs/>
          <w:spacing w:val="-2"/>
          <w:sz w:val="32"/>
        </w:rPr>
      </w:pPr>
      <w:r>
        <w:rPr>
          <w:rFonts w:hint="eastAsia"/>
          <w:b/>
          <w:bCs/>
          <w:sz w:val="32"/>
        </w:rPr>
        <w:t xml:space="preserve">项目名称：</w:t>
      </w:r>
      <w:r>
        <w:rPr>
          <w:rFonts w:hint="eastAsia"/>
          <w:b/>
          <w:bCs/>
          <w:spacing w:val="-2"/>
          <w:sz w:val="32"/>
        </w:rPr>
        <w:t xml:space="preserve">扬州市职业大学高邮湖校区师范学院智慧化教室建设项目</w:t>
      </w:r>
      <w:r>
        <w:rPr>
          <w:b/>
          <w:bCs/>
          <w:spacing w:val="-2"/>
          <w:sz w:val="32"/>
        </w:rPr>
      </w:r>
      <w:r/>
    </w:p>
    <w:p>
      <w:pPr>
        <w:pStyle w:val="653"/>
        <w:ind w:firstLine="643"/>
        <w:rPr>
          <w:rFonts w:ascii="Arial" w:hAnsi="Arial"/>
          <w:b/>
          <w:bCs/>
          <w:sz w:val="32"/>
          <w:szCs w:val="24"/>
        </w:rPr>
      </w:pPr>
      <w:r>
        <w:rPr>
          <w:rFonts w:hint="eastAsia" w:ascii="Arial" w:hAnsi="Arial"/>
          <w:b/>
          <w:bCs/>
          <w:sz w:val="32"/>
          <w:szCs w:val="24"/>
        </w:rPr>
        <w:t xml:space="preserve">项目编号：JSZC-321000-JZCG-G2024-0098   </w:t>
      </w:r>
      <w:r>
        <w:rPr>
          <w:rFonts w:ascii="Arial" w:hAnsi="Arial"/>
          <w:b/>
          <w:bCs/>
          <w:sz w:val="32"/>
          <w:szCs w:val="24"/>
        </w:rPr>
        <w:t xml:space="preserve">   </w:t>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jc w:val="center"/>
        <w:rPr>
          <w:b/>
          <w:bCs/>
          <w:sz w:val="32"/>
        </w:rPr>
      </w:pPr>
      <w:r>
        <w:rPr>
          <w:rFonts w:hint="eastAsia"/>
          <w:b/>
          <w:bCs/>
          <w:sz w:val="32"/>
        </w:rPr>
        <w:t xml:space="preserve">扬州市公共资源交易中心</w:t>
      </w:r>
      <w:r>
        <w:rPr>
          <w:b/>
          <w:bCs/>
          <w:sz w:val="32"/>
        </w:rPr>
      </w:r>
      <w:r/>
    </w:p>
    <w:p>
      <w:pPr>
        <w:pStyle w:val="968"/>
        <w:ind w:firstLine="0"/>
        <w:jc w:val="center"/>
        <w:rPr>
          <w:b/>
          <w:bCs/>
          <w:sz w:val="32"/>
        </w:rPr>
      </w:pPr>
      <w:r>
        <w:rPr>
          <w:rFonts w:hint="eastAsia"/>
          <w:b/>
          <w:bCs/>
          <w:sz w:val="32"/>
        </w:rPr>
        <w:t xml:space="preserve">2</w:t>
      </w:r>
      <w:r>
        <w:rPr>
          <w:b/>
          <w:bCs/>
          <w:sz w:val="32"/>
        </w:rPr>
        <w:t xml:space="preserve">024</w:t>
      </w:r>
      <w:r>
        <w:rPr>
          <w:rFonts w:hint="eastAsia"/>
          <w:b/>
          <w:bCs/>
          <w:sz w:val="32"/>
        </w:rPr>
        <w:t xml:space="preserve">年</w:t>
      </w:r>
      <w:r>
        <w:rPr>
          <w:b/>
          <w:bCs/>
          <w:sz w:val="32"/>
        </w:rPr>
        <w:t xml:space="preserve">0</w:t>
      </w:r>
      <w:r>
        <w:rPr>
          <w:rFonts w:hint="eastAsia"/>
          <w:b/>
          <w:bCs/>
          <w:sz w:val="32"/>
        </w:rPr>
        <w:t xml:space="preserve">7月</w:t>
      </w:r>
      <w:r>
        <w:rPr>
          <w:b/>
          <w:bCs/>
          <w:sz w:val="32"/>
        </w:rPr>
      </w:r>
      <w:r/>
    </w:p>
    <w:p>
      <w:pPr>
        <w:pStyle w:val="968"/>
        <w:ind w:firstLine="0"/>
        <w:jc w:val="center"/>
        <w:rPr>
          <w:rFonts w:ascii="黑体" w:eastAsia="黑体"/>
          <w:b/>
          <w:sz w:val="44"/>
        </w:rPr>
      </w:pPr>
      <w: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b/>
          <w:bCs/>
          <w:sz w:val="40"/>
          <w:szCs w:val="40"/>
        </w:rPr>
        <w:t xml:space="preserve">总  目  录</w:t>
      </w:r>
      <w:r>
        <w:rPr>
          <w:rFonts w:ascii="黑体" w:eastAsia="黑体"/>
          <w:b/>
          <w:sz w:val="44"/>
        </w:rPr>
      </w:r>
      <w:r/>
    </w:p>
    <w:p>
      <w:pPr>
        <w:pStyle w:val="653"/>
        <w:spacing w:line="480" w:lineRule="auto"/>
        <w:rPr>
          <w:rFonts w:ascii="仿宋_GB2312" w:hAnsi="Arial" w:eastAsia="仿宋_GB2312"/>
          <w:b/>
          <w:sz w:val="28"/>
        </w:rPr>
      </w:pPr>
      <w:r>
        <w:rPr>
          <w:rFonts w:ascii="仿宋_GB2312" w:hAnsi="Arial" w:eastAsia="仿宋_GB2312"/>
          <w:b/>
          <w:sz w:val="28"/>
        </w:rPr>
      </w:r>
      <w:r/>
    </w:p>
    <w:p>
      <w:pPr>
        <w:pStyle w:val="699"/>
        <w:tabs>
          <w:tab w:val="right" w:pos="8953" w:leader="dot"/>
        </w:tabs>
      </w:pPr>
      <w:r>
        <w:fldChar w:fldCharType="begin"/>
      </w:r>
      <w:r>
        <w:instrText xml:space="preserve">TOC \o "1-1" \h \u </w:instrText>
      </w:r>
      <w:r>
        <w:fldChar w:fldCharType="separate"/>
        <w:fldChar w:fldCharType="begin"/>
      </w:r>
      <w:r>
        <w:instrText xml:space="preserve"> HYPERLINK \l "_Toc13351" </w:instrText>
      </w:r>
      <w:r>
        <w:fldChar w:fldCharType="separate"/>
      </w:r>
      <w:r>
        <w:rPr>
          <w:rFonts w:hint="eastAsia"/>
        </w:rPr>
        <w:t xml:space="preserve">第一章  投标邀请</w:t>
      </w:r>
      <w:r>
        <w:tab/>
      </w:r>
      <w:r>
        <w:fldChar w:fldCharType="end"/>
      </w:r>
      <w:r>
        <w:rPr>
          <w:rFonts w:hint="eastAsia"/>
        </w:rPr>
        <w:t xml:space="preserve">3</w:t>
      </w:r>
      <w:r/>
    </w:p>
    <w:p>
      <w:pPr>
        <w:pStyle w:val="699"/>
        <w:tabs>
          <w:tab w:val="right" w:pos="8953" w:leader="dot"/>
        </w:tabs>
      </w:pPr>
      <w:r>
        <w:fldChar w:fldCharType="begin"/>
      </w:r>
      <w:r>
        <w:instrText xml:space="preserve"> HYPERLINK \l "_Toc16753" </w:instrText>
      </w:r>
      <w:r>
        <w:fldChar w:fldCharType="separate"/>
      </w:r>
      <w:r>
        <w:rPr>
          <w:rFonts w:hint="eastAsia"/>
        </w:rPr>
        <w:t xml:space="preserve">第二章  投标人须知</w:t>
      </w:r>
      <w:r>
        <w:tab/>
      </w:r>
      <w:r>
        <w:fldChar w:fldCharType="end"/>
      </w:r>
      <w:r>
        <w:rPr>
          <w:rFonts w:hint="eastAsia"/>
        </w:rPr>
        <w:t xml:space="preserve">6</w:t>
      </w:r>
      <w:r/>
    </w:p>
    <w:p>
      <w:pPr>
        <w:pStyle w:val="699"/>
        <w:tabs>
          <w:tab w:val="right" w:pos="8953" w:leader="dot"/>
        </w:tabs>
      </w:pPr>
      <w:r>
        <w:fldChar w:fldCharType="begin"/>
      </w:r>
      <w:r>
        <w:instrText xml:space="preserve"> HYPERLINK \l "_Toc17306" </w:instrText>
      </w:r>
      <w:r>
        <w:fldChar w:fldCharType="separate"/>
      </w:r>
      <w:r>
        <w:rPr>
          <w:rFonts w:hint="eastAsia"/>
        </w:rPr>
        <w:t xml:space="preserve">第三章  合同文本</w:t>
      </w:r>
      <w:r>
        <w:tab/>
      </w:r>
      <w:r>
        <w:fldChar w:fldCharType="end"/>
      </w:r>
      <w:r>
        <w:rPr>
          <w:rFonts w:hint="eastAsia"/>
        </w:rPr>
        <w:t xml:space="preserve">1</w:t>
      </w:r>
      <w:r>
        <w:rPr>
          <w:rFonts w:hint="eastAsia"/>
        </w:rPr>
        <w:t xml:space="preserve">7</w:t>
      </w:r>
      <w:r/>
    </w:p>
    <w:p>
      <w:pPr>
        <w:pStyle w:val="699"/>
        <w:tabs>
          <w:tab w:val="right" w:pos="8953" w:leader="dot"/>
        </w:tabs>
      </w:pPr>
      <w:r>
        <w:fldChar w:fldCharType="begin"/>
      </w:r>
      <w:r>
        <w:instrText xml:space="preserve"> HYPERLINK \l "_Toc24312" </w:instrText>
      </w:r>
      <w:r>
        <w:fldChar w:fldCharType="separate"/>
      </w:r>
      <w:r>
        <w:rPr>
          <w:rFonts w:hint="eastAsia"/>
        </w:rPr>
        <w:t xml:space="preserve">第四章 采购需求</w:t>
      </w:r>
      <w:r>
        <w:tab/>
      </w:r>
      <w:r>
        <w:fldChar w:fldCharType="end"/>
      </w:r>
      <w:r>
        <w:rPr>
          <w:rFonts w:hint="eastAsia"/>
        </w:rPr>
        <w:t xml:space="preserve">21</w:t>
      </w:r>
      <w:r/>
    </w:p>
    <w:p>
      <w:pPr>
        <w:pStyle w:val="699"/>
        <w:tabs>
          <w:tab w:val="right" w:pos="8953" w:leader="dot"/>
        </w:tabs>
      </w:pPr>
      <w:r>
        <w:fldChar w:fldCharType="begin"/>
      </w:r>
      <w:r>
        <w:instrText xml:space="preserve"> HYPERLINK \l "_Toc1918" </w:instrText>
      </w:r>
      <w:r>
        <w:fldChar w:fldCharType="separate"/>
      </w:r>
      <w:r>
        <w:rPr>
          <w:rFonts w:hint="eastAsia" w:ascii="Arial" w:hAnsi="Arial"/>
        </w:rPr>
        <w:t xml:space="preserve">第五章  评标方法与评标标准</w:t>
      </w:r>
      <w:r>
        <w:tab/>
      </w:r>
      <w:r>
        <w:fldChar w:fldCharType="end"/>
      </w:r>
      <w:r>
        <w:rPr>
          <w:rFonts w:hint="eastAsia"/>
        </w:rPr>
        <w:t xml:space="preserve">60</w:t>
      </w:r>
      <w:r/>
    </w:p>
    <w:p>
      <w:pPr>
        <w:pStyle w:val="699"/>
        <w:tabs>
          <w:tab w:val="right" w:pos="8953" w:leader="dot"/>
        </w:tabs>
      </w:pPr>
      <w:r>
        <w:fldChar w:fldCharType="begin"/>
      </w:r>
      <w:r>
        <w:instrText xml:space="preserve"> HYPERLINK \l "_Toc15738" </w:instrText>
      </w:r>
      <w:r>
        <w:fldChar w:fldCharType="separate"/>
      </w:r>
      <w:r>
        <w:rPr>
          <w:rFonts w:hint="eastAsia" w:ascii="Arial" w:hAnsi="Arial"/>
        </w:rPr>
        <w:t xml:space="preserve">第六章  投标文件格式</w:t>
      </w:r>
      <w:r>
        <w:tab/>
      </w:r>
      <w:r>
        <w:fldChar w:fldCharType="end"/>
      </w:r>
      <w:r>
        <w:rPr>
          <w:rFonts w:hint="eastAsia"/>
        </w:rPr>
        <w:t xml:space="preserve">64</w:t>
      </w:r>
      <w:r/>
    </w:p>
    <w:p>
      <w:pPr>
        <w:pStyle w:val="653"/>
      </w:pPr>
      <w:r>
        <w:fldChar w:fldCharType="end"/>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pPr>
      <w:r/>
      <w:r/>
    </w:p>
    <w:p>
      <w:pPr>
        <w:pStyle w:val="653"/>
        <w:rPr>
          <w:rFonts w:ascii="黑体" w:eastAsia="黑体"/>
          <w:sz w:val="44"/>
          <w:szCs w:val="44"/>
        </w:rPr>
      </w:pPr>
      <w:r>
        <w:rPr>
          <w:rFonts w:hint="eastAsia" w:ascii="黑体" w:eastAsia="黑体"/>
          <w:sz w:val="44"/>
          <w:szCs w:val="44"/>
        </w:rPr>
        <w:br w:type="page" w:clear="all"/>
      </w:r>
      <w:r>
        <w:rPr>
          <w:rFonts w:ascii="黑体" w:eastAsia="黑体"/>
          <w:sz w:val="44"/>
          <w:szCs w:val="44"/>
        </w:rPr>
      </w:r>
      <w:r/>
    </w:p>
    <w:p>
      <w:pPr>
        <w:pStyle w:val="654"/>
        <w:jc w:val="center"/>
      </w:pPr>
      <w:r/>
      <w:bookmarkStart w:id="6" w:name="_Toc13351"/>
      <w:r>
        <w:rPr>
          <w:rFonts w:hint="eastAsia"/>
        </w:rPr>
        <w:t xml:space="preserve">第一章  </w:t>
      </w:r>
      <w:bookmarkEnd w:id="0"/>
      <w:r>
        <w:rPr>
          <w:rFonts w:hint="eastAsia"/>
        </w:rPr>
        <w:t xml:space="preserve">投标邀请</w:t>
      </w:r>
      <w:bookmarkEnd w:id="6"/>
      <w:r/>
      <w:r/>
    </w:p>
    <w:p>
      <w:pPr>
        <w:pStyle w:val="653"/>
        <w:ind w:firstLine="480"/>
        <w:rPr>
          <w:rFonts w:ascii="宋体" w:hAnsi="宋体"/>
          <w:sz w:val="24"/>
          <w:szCs w:val="24"/>
        </w:rPr>
      </w:pPr>
      <w:r>
        <w:rPr>
          <w:rFonts w:hint="eastAsia" w:ascii="宋体" w:hAnsi="宋体"/>
          <w:sz w:val="24"/>
          <w:szCs w:val="24"/>
        </w:rPr>
        <w:t xml:space="preserve">受[扬州市职业大学]的委托，扬州市公共资源交易中心就[扬州市职业大学高邮湖校区师范学院智慧化教室建设项目](</w:t>
      </w:r>
      <w:r>
        <w:t xml:space="preserve"> </w:t>
      </w:r>
      <w:r>
        <w:rPr>
          <w:rFonts w:ascii="宋体" w:hAnsi="宋体"/>
          <w:sz w:val="24"/>
          <w:szCs w:val="24"/>
        </w:rPr>
        <w:t xml:space="preserve">JSZC-321000-JZCG-G2024-0098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53"/>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rPr>
          <w:rFonts w:ascii="宋体" w:hAnsi="宋体"/>
          <w:sz w:val="24"/>
          <w:szCs w:val="24"/>
        </w:rPr>
      </w:r>
      <w:r/>
    </w:p>
    <w:p>
      <w:pPr>
        <w:pStyle w:val="653"/>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rPr>
        <w:t xml:space="preserve">扬州市职业大学高邮湖校区师范学院智慧化教室建设项目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ascii="宋体" w:hAnsi="宋体"/>
          <w:color w:val="ff0000"/>
          <w:sz w:val="24"/>
          <w:szCs w:val="24"/>
          <w:u w:val="single"/>
        </w:rPr>
        <w:t xml:space="preserve">2024</w:t>
      </w:r>
      <w:r>
        <w:rPr>
          <w:rFonts w:hint="eastAsia" w:ascii="宋体" w:hAnsi="宋体"/>
          <w:bCs/>
          <w:color w:val="ff0000"/>
          <w:sz w:val="24"/>
          <w:szCs w:val="24"/>
          <w:u w:val="single"/>
        </w:rPr>
        <w:t xml:space="preserve">年</w:t>
      </w:r>
      <w:r>
        <w:rPr>
          <w:rFonts w:ascii="宋体" w:hAnsi="宋体"/>
          <w:bCs/>
          <w:color w:val="ff0000"/>
          <w:sz w:val="24"/>
          <w:szCs w:val="24"/>
          <w:u w:val="single"/>
        </w:rPr>
        <w:t xml:space="preserve">0</w:t>
      </w:r>
      <w:r>
        <w:rPr>
          <w:rFonts w:hint="eastAsia" w:ascii="宋体" w:hAnsi="宋体"/>
          <w:bCs/>
          <w:color w:val="ff0000"/>
          <w:sz w:val="24"/>
          <w:szCs w:val="24"/>
          <w:u w:val="single"/>
        </w:rPr>
        <w:t xml:space="preserve">8</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16</w:t>
      </w:r>
      <w:r>
        <w:rPr>
          <w:rFonts w:hint="eastAsia" w:ascii="宋体" w:hAnsi="宋体"/>
          <w:bCs/>
          <w:color w:val="ff0000"/>
          <w:sz w:val="24"/>
          <w:szCs w:val="24"/>
          <w:u w:val="single"/>
        </w:rPr>
        <w:t xml:space="preserve">日9点30分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6"/>
        <w:ind w:firstLine="498"/>
        <w:spacing w:before="145" w:after="145" w:line="360" w:lineRule="auto"/>
      </w:pPr>
      <w:r/>
      <w:bookmarkStart w:id="7" w:name="_Toc35393790"/>
      <w:r/>
      <w:bookmarkStart w:id="8" w:name="_Toc28359002"/>
      <w:r/>
      <w:bookmarkStart w:id="9" w:name="_Toc28359079"/>
      <w:r/>
      <w:bookmarkStart w:id="10" w:name="_Toc35393621"/>
      <w:r/>
      <w:bookmarkStart w:id="11" w:name="_Toc38985263"/>
      <w:r/>
      <w:bookmarkStart w:id="12" w:name="_Hlk24379207"/>
      <w:r>
        <w:rPr>
          <w:rFonts w:hint="eastAsia"/>
        </w:rPr>
        <w:t xml:space="preserve">一、项目基本情况</w:t>
      </w:r>
      <w:bookmarkEnd w:id="7"/>
      <w:r/>
      <w:bookmarkEnd w:id="8"/>
      <w:r/>
      <w:bookmarkEnd w:id="9"/>
      <w:r/>
      <w:bookmarkEnd w:id="10"/>
      <w:r/>
      <w:bookmarkEnd w:id="11"/>
      <w:r/>
      <w:r/>
    </w:p>
    <w:p>
      <w:pPr>
        <w:pStyle w:val="653"/>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JSZC-321000-JZCG-G2024-0098</w:t>
      </w:r>
      <w:r/>
    </w:p>
    <w:p>
      <w:pPr>
        <w:pStyle w:val="653"/>
        <w:ind w:firstLine="480"/>
        <w:rPr>
          <w:rFonts w:ascii="宋体" w:hAnsi="宋体"/>
          <w:sz w:val="24"/>
          <w:szCs w:val="24"/>
        </w:rPr>
      </w:pPr>
      <w:r>
        <w:rPr>
          <w:rFonts w:hint="eastAsia" w:ascii="宋体" w:hAnsi="宋体"/>
          <w:sz w:val="24"/>
          <w:szCs w:val="24"/>
        </w:rPr>
        <w:t xml:space="preserve">2.项目名称：</w:t>
      </w:r>
      <w:bookmarkEnd w:id="12"/>
      <w:r>
        <w:rPr>
          <w:rFonts w:hint="eastAsia" w:ascii="宋体" w:hAnsi="宋体"/>
          <w:sz w:val="24"/>
          <w:szCs w:val="24"/>
        </w:rPr>
        <w:t xml:space="preserve">扬州市职业大学高邮湖校区师范学院智慧化教室建设项目</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color w:val="000000"/>
          <w:sz w:val="24"/>
          <w:szCs w:val="24"/>
        </w:rPr>
        <w:t xml:space="preserve"> 68.59万</w:t>
      </w:r>
      <w:r>
        <w:rPr>
          <w:rFonts w:ascii="宋体" w:hAnsi="宋体"/>
          <w:sz w:val="24"/>
          <w:szCs w:val="24"/>
        </w:rPr>
      </w:r>
      <w:r/>
    </w:p>
    <w:p>
      <w:pPr>
        <w:pStyle w:val="653"/>
        <w:ind w:firstLine="480"/>
        <w:rPr>
          <w:rFonts w:ascii="宋体" w:hAnsi="宋体" w:cs="宋体"/>
          <w:color w:val="000000"/>
          <w:sz w:val="24"/>
          <w:szCs w:val="24"/>
          <w:highlight w:val="yellow"/>
        </w:rPr>
      </w:pPr>
      <w:r>
        <w:rPr>
          <w:rFonts w:hint="eastAsia" w:ascii="宋体" w:hAnsi="宋体"/>
          <w:sz w:val="24"/>
          <w:szCs w:val="24"/>
        </w:rPr>
        <w:t xml:space="preserve">4.本项目设定最高限价，最高限价为</w:t>
      </w:r>
      <w:r>
        <w:rPr>
          <w:rFonts w:hint="eastAsia" w:ascii="宋体" w:hAnsi="宋体"/>
          <w:color w:val="ff0000"/>
          <w:sz w:val="24"/>
          <w:szCs w:val="24"/>
        </w:rPr>
        <w:t xml:space="preserve">68.59</w:t>
      </w:r>
      <w:r>
        <w:rPr>
          <w:rFonts w:hint="eastAsia" w:ascii="宋体" w:hAnsi="宋体"/>
          <w:sz w:val="24"/>
          <w:szCs w:val="24"/>
        </w:rPr>
        <w:t xml:space="preserve">万元</w:t>
      </w:r>
      <w:r>
        <w:rPr>
          <w:rFonts w:ascii="宋体" w:hAnsi="宋体" w:cs="宋体"/>
          <w:color w:val="000000"/>
          <w:sz w:val="24"/>
          <w:szCs w:val="24"/>
          <w:highlight w:val="yellow"/>
        </w:rPr>
      </w:r>
      <w:r/>
    </w:p>
    <w:p>
      <w:pPr>
        <w:pStyle w:val="653"/>
        <w:ind w:firstLine="480"/>
        <w:rPr>
          <w:rFonts w:ascii="宋体" w:hAnsi="宋体"/>
          <w:sz w:val="24"/>
          <w:szCs w:val="24"/>
        </w:rPr>
      </w:pPr>
      <w:r>
        <w:rPr>
          <w:rFonts w:hint="eastAsia" w:ascii="宋体" w:hAnsi="宋体"/>
          <w:sz w:val="24"/>
          <w:szCs w:val="24"/>
        </w:rPr>
        <w:t xml:space="preserve">5.采购需求（简介）：本项目包括智慧教室（1大、</w:t>
      </w:r>
      <w:r>
        <w:rPr>
          <w:rFonts w:ascii="宋体" w:hAnsi="宋体"/>
          <w:sz w:val="24"/>
          <w:szCs w:val="24"/>
        </w:rPr>
        <w:t xml:space="preserve">1</w:t>
      </w:r>
      <w:r>
        <w:rPr>
          <w:rFonts w:hint="eastAsia" w:ascii="宋体" w:hAnsi="宋体"/>
          <w:sz w:val="24"/>
          <w:szCs w:val="24"/>
        </w:rPr>
        <w:t xml:space="preserve">小共2间）、婴幼儿行为观察室两个功能实训室建设方案。智慧教室中应配的智慧黑板（9</w:t>
      </w:r>
      <w:r>
        <w:rPr>
          <w:rFonts w:ascii="宋体" w:hAnsi="宋体"/>
          <w:sz w:val="24"/>
          <w:szCs w:val="24"/>
        </w:rPr>
        <w:t xml:space="preserve">8</w:t>
      </w:r>
      <w:r>
        <w:rPr>
          <w:rFonts w:hint="eastAsia" w:ascii="宋体" w:hAnsi="宋体"/>
          <w:sz w:val="24"/>
          <w:szCs w:val="24"/>
        </w:rPr>
        <w:t xml:space="preserve">英寸和86英寸各1块）由学校其他部门统一采购。投标单位应从实训室功能完整的角度，把本项目采购的设备与智慧黑板加以功能整合，安装相应的软硬件。详细内容见本招标文件第四章。</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6.合同履行期限：详细内容见本招标文件第四章。</w:t>
      </w:r>
      <w:r>
        <w:rPr>
          <w:rFonts w:ascii="宋体" w:hAnsi="宋体"/>
          <w:sz w:val="24"/>
          <w:szCs w:val="24"/>
        </w:rPr>
      </w:r>
      <w:r/>
    </w:p>
    <w:p>
      <w:pPr>
        <w:pStyle w:val="876"/>
        <w:ind w:firstLine="498"/>
        <w:spacing w:before="145" w:after="145" w:line="360" w:lineRule="auto"/>
      </w:pPr>
      <w:r/>
      <w:bookmarkStart w:id="13" w:name="_Toc28359080"/>
      <w:r/>
      <w:bookmarkStart w:id="14" w:name="_Toc35393791"/>
      <w:r/>
      <w:bookmarkStart w:id="15" w:name="_Toc35393622"/>
      <w:r/>
      <w:bookmarkStart w:id="16" w:name="_Toc38985264"/>
      <w:r/>
      <w:bookmarkStart w:id="17" w:name="_Toc28359003"/>
      <w:r>
        <w:rPr>
          <w:rFonts w:hint="eastAsia"/>
        </w:rPr>
        <w:t xml:space="preserve">二、申请人的资格要求：</w:t>
      </w:r>
      <w:bookmarkEnd w:id="13"/>
      <w:r/>
      <w:bookmarkEnd w:id="14"/>
      <w:r/>
      <w:bookmarkEnd w:id="15"/>
      <w:r/>
      <w:bookmarkEnd w:id="16"/>
      <w:r/>
      <w:bookmarkEnd w:id="17"/>
      <w:r/>
      <w:r/>
    </w:p>
    <w:p>
      <w:pPr>
        <w:pStyle w:val="653"/>
        <w:ind w:firstLine="480"/>
        <w:rPr>
          <w:rFonts w:ascii="宋体" w:hAnsi="宋体"/>
          <w:sz w:val="24"/>
          <w:szCs w:val="24"/>
        </w:rPr>
      </w:pPr>
      <w:r/>
      <w:bookmarkStart w:id="18" w:name="_Toc38985265"/>
      <w:r/>
      <w:bookmarkStart w:id="19" w:name="_Toc35393623"/>
      <w:r/>
      <w:bookmarkStart w:id="20" w:name="_Toc28359004"/>
      <w:r/>
      <w:bookmarkStart w:id="21" w:name="_Toc35393792"/>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pStyle w:val="653"/>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w:t>
      </w:r>
      <w:r>
        <w:rPr>
          <w:rFonts w:hint="eastAsia" w:ascii="宋体" w:hAnsi="宋体"/>
          <w:b/>
          <w:color w:val="ff0000"/>
          <w:sz w:val="24"/>
          <w:szCs w:val="24"/>
        </w:rPr>
        <w:t xml:space="preserve">任意</w:t>
      </w:r>
      <w:r>
        <w:rPr>
          <w:rFonts w:hint="eastAsia" w:ascii="宋体" w:hAnsi="宋体"/>
          <w:sz w:val="24"/>
          <w:szCs w:val="24"/>
        </w:rPr>
        <w:t xml:space="preserve">一个月依法缴纳税收及缴纳社会保障资金的证明材料。投标人依法享受缓缴、免缴税收、社会保障资金的提供证明材料。）；</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1.6供应商信用承诺函；</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sz w:val="24"/>
          <w:szCs w:val="24"/>
        </w:rPr>
      </w:r>
      <w:r/>
    </w:p>
    <w:p>
      <w:pPr>
        <w:pStyle w:val="653"/>
        <w:ind w:firstLine="480"/>
        <w:rPr>
          <w:rFonts w:ascii="宋体" w:hAnsi="宋体"/>
          <w:b/>
          <w:bCs/>
          <w:color w:val="ff0000"/>
          <w:sz w:val="24"/>
          <w:szCs w:val="24"/>
        </w:rPr>
      </w:pPr>
      <w:r>
        <w:rPr>
          <w:rFonts w:hint="eastAsia" w:ascii="宋体" w:hAnsi="宋体"/>
          <w:sz w:val="24"/>
          <w:szCs w:val="24"/>
        </w:rPr>
        <w:t xml:space="preserve">3.落实政府采购政策需满足的资格要求</w:t>
      </w:r>
      <w:r>
        <w:rPr>
          <w:rFonts w:hint="eastAsia" w:ascii="宋体" w:hAnsi="宋体"/>
          <w:color w:val="000000"/>
          <w:sz w:val="24"/>
          <w:szCs w:val="24"/>
        </w:rPr>
        <w:t xml:space="preserve">：无</w:t>
      </w:r>
      <w:r>
        <w:rPr>
          <w:rFonts w:ascii="宋体" w:hAnsi="宋体"/>
          <w:b/>
          <w:bCs/>
          <w:color w:val="ff0000"/>
          <w:sz w:val="24"/>
          <w:szCs w:val="24"/>
        </w:rPr>
      </w:r>
      <w:r/>
    </w:p>
    <w:p>
      <w:pPr>
        <w:pStyle w:val="653"/>
        <w:ind w:firstLine="480"/>
        <w:rPr>
          <w:rFonts w:ascii="宋体" w:hAnsi="宋体"/>
          <w:sz w:val="24"/>
          <w:szCs w:val="24"/>
          <w:highlight w:val="yellow"/>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sz w:val="24"/>
          <w:szCs w:val="24"/>
        </w:rPr>
        <w:t xml:space="preserve"> </w:t>
      </w:r>
      <w:r>
        <w:rPr>
          <w:rFonts w:ascii="宋体" w:hAnsi="宋体"/>
          <w:sz w:val="24"/>
          <w:szCs w:val="24"/>
          <w:highlight w:val="yellow"/>
        </w:rPr>
      </w:r>
      <w:r/>
    </w:p>
    <w:p>
      <w:pPr>
        <w:pStyle w:val="653"/>
        <w:ind w:firstLine="480"/>
        <w:spacing w:line="360" w:lineRule="auto"/>
        <w:rPr>
          <w:rFonts w:ascii="宋体" w:hAnsi="宋体"/>
          <w:sz w:val="24"/>
          <w:szCs w:val="24"/>
        </w:rPr>
      </w:pPr>
      <w:r>
        <w:rPr>
          <w:rFonts w:hint="eastAsia" w:ascii="宋体" w:hAnsi="宋体"/>
          <w:sz w:val="24"/>
          <w:szCs w:val="24"/>
        </w:rPr>
        <w:t xml:space="preserve">5.本项目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876"/>
        <w:ind w:firstLine="498"/>
        <w:spacing w:before="145" w:after="145" w:line="360" w:lineRule="auto"/>
      </w:pPr>
      <w:r>
        <w:rPr>
          <w:rFonts w:hint="eastAsia"/>
        </w:rPr>
        <w:t xml:space="preserve">三、获取招标文件</w:t>
      </w:r>
      <w:bookmarkEnd w:id="18"/>
      <w:r/>
      <w:bookmarkEnd w:id="19"/>
      <w:r/>
      <w:bookmarkEnd w:id="20"/>
      <w:r/>
      <w:bookmarkEnd w:id="21"/>
      <w:r/>
      <w:bookmarkEnd w:id="22"/>
      <w:r/>
      <w:r/>
    </w:p>
    <w:p>
      <w:pPr>
        <w:pStyle w:val="653"/>
        <w:ind w:firstLine="540"/>
        <w:spacing w:line="360" w:lineRule="auto"/>
        <w:rPr>
          <w:rFonts w:ascii="宋体" w:hAnsi="宋体" w:cs="宋体"/>
          <w:sz w:val="24"/>
          <w:szCs w:val="24"/>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sz w:val="24"/>
          <w:szCs w:val="24"/>
        </w:rPr>
        <w:t xml:space="preserve">1.时间：</w:t>
      </w:r>
      <w:r>
        <w:rPr>
          <w:rFonts w:hint="eastAsia" w:ascii="宋体" w:hAnsi="宋体" w:cs="宋体"/>
          <w:color w:val="ff0000"/>
          <w:sz w:val="24"/>
          <w:szCs w:val="24"/>
        </w:rPr>
        <w:t xml:space="preserve">2024年</w:t>
      </w:r>
      <w:r>
        <w:rPr>
          <w:rFonts w:ascii="宋体" w:hAnsi="宋体" w:cs="宋体"/>
          <w:color w:val="ff0000"/>
          <w:sz w:val="24"/>
          <w:szCs w:val="24"/>
        </w:rPr>
        <w:t xml:space="preserve">0</w:t>
      </w:r>
      <w:r>
        <w:rPr>
          <w:rFonts w:hint="eastAsia" w:ascii="宋体" w:hAnsi="宋体" w:cs="宋体"/>
          <w:color w:val="ff0000"/>
          <w:sz w:val="24"/>
          <w:szCs w:val="24"/>
        </w:rPr>
        <w:t xml:space="preserve">7月</w:t>
      </w:r>
      <w:r>
        <w:rPr>
          <w:rFonts w:hint="eastAsia" w:ascii="宋体" w:hAnsi="宋体" w:cs="宋体"/>
          <w:color w:val="ff0000"/>
          <w:sz w:val="24"/>
          <w:szCs w:val="24"/>
        </w:rPr>
        <w:t xml:space="preserve">26</w:t>
      </w:r>
      <w:r>
        <w:rPr>
          <w:rFonts w:hint="eastAsia" w:ascii="宋体" w:hAnsi="宋体" w:cs="宋体"/>
          <w:color w:val="ff0000"/>
          <w:sz w:val="24"/>
          <w:szCs w:val="24"/>
        </w:rPr>
        <w:t xml:space="preserve">日至2024年</w:t>
      </w:r>
      <w:r>
        <w:rPr>
          <w:rFonts w:hint="eastAsia" w:ascii="宋体" w:hAnsi="宋体" w:cs="宋体"/>
          <w:color w:val="ff0000"/>
          <w:sz w:val="24"/>
          <w:szCs w:val="24"/>
        </w:rPr>
        <w:t xml:space="preserve">08</w:t>
      </w:r>
      <w:r>
        <w:rPr>
          <w:rFonts w:hint="eastAsia" w:ascii="宋体" w:hAnsi="宋体" w:cs="宋体"/>
          <w:color w:val="ff0000"/>
          <w:sz w:val="24"/>
          <w:szCs w:val="24"/>
        </w:rPr>
        <w:t xml:space="preserve">月</w:t>
      </w:r>
      <w:r>
        <w:rPr>
          <w:rFonts w:hint="eastAsia" w:ascii="宋体" w:hAnsi="宋体" w:cs="宋体"/>
          <w:color w:val="ff0000"/>
          <w:sz w:val="24"/>
          <w:szCs w:val="24"/>
        </w:rPr>
        <w:t xml:space="preserve">16</w:t>
      </w:r>
      <w:r>
        <w:rPr>
          <w:rFonts w:hint="eastAsia" w:ascii="宋体" w:hAnsi="宋体" w:cs="宋体"/>
          <w:color w:val="ff0000"/>
          <w:sz w:val="24"/>
          <w:szCs w:val="24"/>
        </w:rPr>
        <w:t xml:space="preserve">日</w:t>
      </w:r>
      <w:r>
        <w:rPr>
          <w:rFonts w:hint="eastAsia" w:ascii="宋体" w:hAnsi="宋体" w:cs="宋体"/>
          <w:sz w:val="24"/>
          <w:szCs w:val="24"/>
        </w:rPr>
        <w:t xml:space="preserve">，每日上午00:00-12:00，下午12:00-23:59（北京时间，法定节假日除外）</w:t>
      </w:r>
      <w:r>
        <w:rPr>
          <w:rFonts w:ascii="宋体" w:hAnsi="宋体" w:cs="宋体"/>
          <w:sz w:val="24"/>
          <w:szCs w:val="24"/>
        </w:rPr>
      </w:r>
      <w:r/>
    </w:p>
    <w:p>
      <w:pPr>
        <w:pStyle w:val="653"/>
        <w:ind w:firstLine="540"/>
        <w:spacing w:line="360" w:lineRule="auto"/>
        <w:rPr>
          <w:rFonts w:ascii="宋体" w:hAnsi="宋体" w:cs="宋体"/>
          <w:sz w:val="24"/>
          <w:szCs w:val="24"/>
        </w:rPr>
      </w:pPr>
      <w:r>
        <w:rPr>
          <w:rFonts w:hint="eastAsia" w:ascii="宋体" w:hAnsi="宋体" w:cs="宋体"/>
          <w:sz w:val="24"/>
          <w:szCs w:val="24"/>
        </w:rPr>
        <w:t xml:space="preserve">2.地点：扬州市政府采购网，江苏省政府采购网</w:t>
      </w:r>
      <w:r>
        <w:rPr>
          <w:rFonts w:ascii="宋体" w:hAnsi="宋体" w:cs="宋体"/>
          <w:sz w:val="24"/>
          <w:szCs w:val="24"/>
        </w:rPr>
      </w:r>
      <w:r/>
    </w:p>
    <w:p>
      <w:pPr>
        <w:pStyle w:val="653"/>
        <w:ind w:firstLine="540"/>
        <w:spacing w:line="360" w:lineRule="auto"/>
        <w:rPr>
          <w:rFonts w:ascii="宋体" w:hAnsi="宋体" w:cs="宋体"/>
          <w:sz w:val="24"/>
          <w:szCs w:val="24"/>
        </w:rPr>
      </w:pPr>
      <w:r>
        <w:rPr>
          <w:rFonts w:hint="eastAsia" w:ascii="宋体" w:hAnsi="宋体" w:cs="宋体"/>
          <w:sz w:val="24"/>
          <w:szCs w:val="24"/>
        </w:rPr>
        <w:t xml:space="preserve">3:方式：网上获取</w:t>
      </w:r>
      <w:r>
        <w:rPr>
          <w:rFonts w:ascii="宋体" w:hAnsi="宋体" w:cs="宋体"/>
          <w:sz w:val="24"/>
          <w:szCs w:val="24"/>
        </w:rPr>
      </w:r>
      <w:r/>
    </w:p>
    <w:p>
      <w:pPr>
        <w:pStyle w:val="653"/>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rPr>
          <w:rFonts w:ascii="宋体" w:hAnsi="宋体" w:cs="宋体"/>
          <w:sz w:val="24"/>
          <w:szCs w:val="24"/>
          <w:u w:val="single"/>
        </w:rPr>
      </w:r>
      <w:r/>
    </w:p>
    <w:p>
      <w:pPr>
        <w:pStyle w:val="876"/>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pStyle w:val="653"/>
        <w:ind w:firstLine="480"/>
        <w:rPr>
          <w:rFonts w:ascii="宋体" w:hAnsi="宋体"/>
          <w:color w:val="000000"/>
          <w:sz w:val="24"/>
          <w:szCs w:val="24"/>
        </w:rPr>
      </w:pPr>
      <w:r>
        <w:rPr>
          <w:rFonts w:hint="eastAsia" w:ascii="宋体" w:hAnsi="宋体"/>
          <w:bCs/>
          <w:color w:val="000000"/>
          <w:sz w:val="24"/>
          <w:szCs w:val="24"/>
          <w:u w:val="single"/>
        </w:rPr>
        <w:t xml:space="preserve">1.</w:t>
      </w:r>
      <w:r>
        <w:rPr>
          <w:rFonts w:ascii="宋体" w:hAnsi="宋体"/>
          <w:bCs/>
          <w:color w:val="ff0000"/>
          <w:sz w:val="24"/>
          <w:szCs w:val="24"/>
          <w:u w:val="single"/>
        </w:rPr>
        <w:t xml:space="preserve">2024</w:t>
      </w:r>
      <w:r>
        <w:rPr>
          <w:rFonts w:hint="eastAsia" w:ascii="宋体" w:hAnsi="宋体"/>
          <w:bCs/>
          <w:color w:val="ff0000"/>
          <w:sz w:val="24"/>
          <w:szCs w:val="24"/>
          <w:u w:val="single"/>
        </w:rPr>
        <w:t xml:space="preserve">年</w:t>
      </w:r>
      <w:r>
        <w:rPr>
          <w:rFonts w:hint="eastAsia" w:ascii="宋体" w:hAnsi="宋体"/>
          <w:bCs/>
          <w:color w:val="ff0000"/>
          <w:sz w:val="24"/>
          <w:szCs w:val="24"/>
          <w:u w:val="single"/>
        </w:rPr>
        <w:t xml:space="preserve">08</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16</w:t>
      </w:r>
      <w:r>
        <w:rPr>
          <w:rFonts w:hint="eastAsia" w:ascii="宋体" w:hAnsi="宋体"/>
          <w:bCs/>
          <w:color w:val="ff0000"/>
          <w:sz w:val="24"/>
          <w:szCs w:val="24"/>
          <w:u w:val="single"/>
        </w:rPr>
        <w:t xml:space="preserve">日</w:t>
      </w:r>
      <w:r>
        <w:rPr>
          <w:rFonts w:ascii="宋体" w:hAnsi="宋体"/>
          <w:bCs/>
          <w:color w:val="ff0000"/>
          <w:sz w:val="24"/>
          <w:szCs w:val="24"/>
          <w:u w:val="single"/>
        </w:rPr>
        <w:t xml:space="preserve">09</w:t>
      </w:r>
      <w:r>
        <w:rPr>
          <w:rFonts w:hint="eastAsia" w:ascii="宋体" w:hAnsi="宋体"/>
          <w:bCs/>
          <w:color w:val="ff0000"/>
          <w:sz w:val="24"/>
          <w:szCs w:val="24"/>
          <w:u w:val="single"/>
        </w:rPr>
        <w:t xml:space="preserve">点</w:t>
      </w:r>
      <w:r>
        <w:rPr>
          <w:rFonts w:ascii="宋体" w:hAnsi="宋体"/>
          <w:bCs/>
          <w:color w:val="ff0000"/>
          <w:sz w:val="24"/>
          <w:szCs w:val="24"/>
          <w:u w:val="single"/>
        </w:rPr>
        <w:t xml:space="preserve">30</w:t>
      </w:r>
      <w:r>
        <w:rPr>
          <w:rFonts w:hint="eastAsia" w:ascii="宋体" w:hAnsi="宋体"/>
          <w:bCs/>
          <w:color w:val="ff0000"/>
          <w:sz w:val="24"/>
          <w:szCs w:val="24"/>
          <w:u w:val="single"/>
        </w:rPr>
        <w:t xml:space="preserve">分</w:t>
      </w:r>
      <w:r>
        <w:rPr>
          <w:rFonts w:hint="eastAsia" w:ascii="宋体" w:hAnsi="宋体"/>
          <w:bCs/>
          <w:color w:val="000000"/>
          <w:sz w:val="24"/>
          <w:szCs w:val="24"/>
        </w:rPr>
        <w:t xml:space="preserve">（北京时间）</w:t>
      </w:r>
      <w:r>
        <w:rPr>
          <w:rFonts w:ascii="宋体" w:hAnsi="宋体"/>
          <w:color w:val="000000"/>
          <w:sz w:val="24"/>
          <w:szCs w:val="24"/>
        </w:rPr>
      </w:r>
      <w:r/>
    </w:p>
    <w:p>
      <w:pPr>
        <w:pStyle w:val="653"/>
        <w:ind w:firstLine="480"/>
        <w:rPr>
          <w:rFonts w:ascii="宋体" w:hAnsi="宋体"/>
          <w:color w:val="000000"/>
          <w:sz w:val="24"/>
          <w:szCs w:val="24"/>
        </w:rPr>
      </w:pPr>
      <w:r>
        <w:rPr>
          <w:rFonts w:ascii="宋体" w:hAnsi="宋体"/>
          <w:color w:val="000000"/>
          <w:sz w:val="24"/>
          <w:szCs w:val="24"/>
        </w:rPr>
      </w:r>
      <w:r/>
    </w:p>
    <w:p>
      <w:pPr>
        <w:pStyle w:val="653"/>
        <w:ind w:firstLine="480"/>
        <w:rPr>
          <w:rFonts w:ascii="宋体" w:hAnsi="宋体"/>
          <w:color w:val="000000"/>
          <w:sz w:val="24"/>
          <w:szCs w:val="24"/>
        </w:rPr>
      </w:pPr>
      <w:r>
        <w:rPr>
          <w:rFonts w:hint="eastAsia" w:ascii="宋体" w:hAnsi="宋体"/>
          <w:color w:val="000000"/>
          <w:sz w:val="24"/>
          <w:szCs w:val="24"/>
        </w:rPr>
        <w:t xml:space="preserve">2.地点：“苏采云”平台。</w:t>
      </w:r>
      <w:r>
        <w:rPr>
          <w:rFonts w:ascii="宋体" w:hAnsi="宋体"/>
          <w:color w:val="000000"/>
          <w:sz w:val="24"/>
          <w:szCs w:val="24"/>
        </w:rPr>
      </w:r>
      <w:r/>
    </w:p>
    <w:p>
      <w:pPr>
        <w:pStyle w:val="876"/>
        <w:ind w:firstLine="498"/>
        <w:spacing w:before="145" w:after="145" w:line="360" w:lineRule="auto"/>
      </w:pPr>
      <w:r/>
      <w:bookmarkStart w:id="28" w:name="_Toc38985267"/>
      <w:r/>
      <w:bookmarkStart w:id="29" w:name="_Toc35393794"/>
      <w:r/>
      <w:bookmarkStart w:id="30" w:name="_Toc28359007"/>
      <w:r/>
      <w:bookmarkStart w:id="31" w:name="_Toc35393625"/>
      <w:r/>
      <w:bookmarkStart w:id="32" w:name="_Toc28359084"/>
      <w:r>
        <w:rPr>
          <w:rFonts w:hint="eastAsia"/>
        </w:rPr>
        <w:t xml:space="preserve">五、公告期限</w:t>
      </w:r>
      <w:bookmarkEnd w:id="28"/>
      <w:r/>
      <w:bookmarkEnd w:id="29"/>
      <w:r/>
      <w:bookmarkEnd w:id="30"/>
      <w:r/>
      <w:bookmarkEnd w:id="31"/>
      <w:r/>
      <w:bookmarkEnd w:id="32"/>
      <w:r/>
      <w:r/>
    </w:p>
    <w:p>
      <w:pPr>
        <w:pStyle w:val="653"/>
        <w:ind w:firstLine="480"/>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自本公告发布之日起5个工作日。</w:t>
      </w:r>
      <w:r>
        <w:rPr>
          <w:rFonts w:ascii="宋体" w:hAnsi="宋体" w:cs="宋体"/>
          <w:sz w:val="24"/>
          <w:szCs w:val="24"/>
        </w:rPr>
      </w:r>
      <w:r/>
    </w:p>
    <w:p>
      <w:pPr>
        <w:pStyle w:val="876"/>
        <w:ind w:firstLine="498"/>
        <w:spacing w:before="145" w:after="145" w:line="360" w:lineRule="auto"/>
      </w:pPr>
      <w:r>
        <w:rPr>
          <w:rFonts w:hint="eastAsia"/>
        </w:rPr>
        <w:t xml:space="preserve">六、其他补充事宜</w:t>
      </w:r>
      <w:bookmarkEnd w:id="33"/>
      <w:r/>
      <w:bookmarkEnd w:id="34"/>
      <w:r/>
      <w:bookmarkEnd w:id="35"/>
      <w:r/>
      <w:r/>
    </w:p>
    <w:p>
      <w:pPr>
        <w:pStyle w:val="65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6"/>
        <w:ind w:firstLine="498"/>
        <w:spacing w:before="145" w:after="145" w:line="360" w:lineRule="auto"/>
      </w:pPr>
      <w:r/>
      <w:bookmarkStart w:id="36" w:name="_Toc35393796"/>
      <w:r/>
      <w:bookmarkStart w:id="37" w:name="_Toc28359085"/>
      <w:r/>
      <w:bookmarkStart w:id="38" w:name="_Toc35393627"/>
      <w:r/>
      <w:bookmarkStart w:id="39" w:name="_Toc28359008"/>
      <w:r/>
      <w:bookmarkStart w:id="40" w:name="_Toc38985269"/>
      <w:r>
        <w:rPr>
          <w:rFonts w:hint="eastAsia"/>
        </w:rPr>
        <w:t xml:space="preserve">七、本次招标联系方式</w:t>
      </w:r>
      <w:bookmarkEnd w:id="36"/>
      <w:r/>
      <w:bookmarkEnd w:id="37"/>
      <w:r/>
      <w:bookmarkEnd w:id="38"/>
      <w:r/>
      <w:bookmarkEnd w:id="39"/>
      <w:r/>
      <w:bookmarkEnd w:id="40"/>
      <w:r/>
      <w:r/>
    </w:p>
    <w:p>
      <w:pPr>
        <w:pStyle w:val="65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3"/>
        <w:ind w:left="1079" w:hanging="300"/>
        <w:jc w:val="left"/>
        <w:spacing w:line="360" w:lineRule="auto"/>
        <w:rPr>
          <w:rFonts w:ascii="宋体" w:hAnsi="宋体"/>
          <w:sz w:val="24"/>
          <w:szCs w:val="24"/>
        </w:rPr>
      </w:pPr>
      <w:r>
        <w:rPr>
          <w:rFonts w:hint="eastAsia" w:ascii="宋体" w:hAnsi="宋体"/>
          <w:sz w:val="24"/>
          <w:szCs w:val="24"/>
        </w:rPr>
        <w:t xml:space="preserve">名称：扬州市职业大学</w:t>
      </w:r>
      <w:r>
        <w:rPr>
          <w:rFonts w:ascii="宋体" w:hAnsi="宋体"/>
          <w:sz w:val="24"/>
          <w:szCs w:val="24"/>
        </w:rPr>
      </w:r>
      <w:r/>
    </w:p>
    <w:p>
      <w:pPr>
        <w:pStyle w:val="653"/>
        <w:ind w:left="1079" w:hanging="300"/>
        <w:jc w:val="left"/>
        <w:spacing w:line="360" w:lineRule="auto"/>
        <w:rPr>
          <w:rFonts w:ascii="宋体" w:hAnsi="宋体"/>
          <w:sz w:val="24"/>
          <w:szCs w:val="24"/>
        </w:rPr>
      </w:pPr>
      <w:r>
        <w:rPr>
          <w:rFonts w:hint="eastAsia" w:ascii="宋体" w:hAnsi="宋体"/>
          <w:sz w:val="24"/>
          <w:szCs w:val="24"/>
        </w:rPr>
        <w:t xml:space="preserve">地址：扬州市文昌西路458号</w:t>
      </w:r>
      <w:r>
        <w:rPr>
          <w:rFonts w:ascii="宋体" w:hAnsi="宋体"/>
          <w:sz w:val="24"/>
          <w:szCs w:val="24"/>
        </w:rPr>
      </w:r>
      <w:r/>
    </w:p>
    <w:p>
      <w:pPr>
        <w:pStyle w:val="653"/>
        <w:ind w:left="1079" w:hanging="300"/>
        <w:jc w:val="left"/>
        <w:spacing w:line="360" w:lineRule="auto"/>
        <w:rPr>
          <w:rFonts w:ascii="宋体" w:hAnsi="宋体"/>
          <w:sz w:val="24"/>
          <w:szCs w:val="24"/>
        </w:rPr>
      </w:pPr>
      <w:r>
        <w:rPr>
          <w:rFonts w:hint="eastAsia" w:ascii="宋体" w:hAnsi="宋体"/>
          <w:sz w:val="24"/>
          <w:szCs w:val="24"/>
        </w:rPr>
        <w:t xml:space="preserve">联系人：孔富新</w:t>
      </w:r>
      <w:r>
        <w:rPr>
          <w:rFonts w:ascii="宋体" w:hAnsi="宋体"/>
          <w:sz w:val="24"/>
          <w:szCs w:val="24"/>
        </w:rPr>
      </w:r>
      <w:r/>
    </w:p>
    <w:p>
      <w:pPr>
        <w:pStyle w:val="653"/>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41" w:name="_Toc28359009"/>
      <w:r/>
      <w:bookmarkStart w:id="42" w:name="_Toc28359086"/>
      <w:r>
        <w:rPr>
          <w:rFonts w:ascii="宋体" w:hAnsi="宋体"/>
          <w:sz w:val="24"/>
          <w:szCs w:val="24"/>
        </w:rPr>
        <w:t xml:space="preserve">0514－87697823</w:t>
      </w:r>
      <w:r/>
    </w:p>
    <w:p>
      <w:pPr>
        <w:pStyle w:val="653"/>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bookmarkEnd w:id="41"/>
      <w:r/>
      <w:bookmarkEnd w:id="42"/>
      <w:r>
        <w:rPr>
          <w:rFonts w:ascii="宋体" w:hAnsi="宋体"/>
          <w:sz w:val="24"/>
          <w:szCs w:val="24"/>
        </w:rPr>
      </w:r>
      <w:r/>
    </w:p>
    <w:p>
      <w:pPr>
        <w:pStyle w:val="653"/>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扬州市文昌东路9号广陵新城市民中心1号楼5楼1527室</w:t>
      </w:r>
      <w:r>
        <w:rPr>
          <w:rFonts w:ascii="宋体" w:hAnsi="宋体"/>
          <w:sz w:val="24"/>
          <w:szCs w:val="24"/>
          <w:u w:val="single"/>
        </w:rPr>
      </w:r>
      <w:r/>
    </w:p>
    <w:p>
      <w:pPr>
        <w:pStyle w:val="653"/>
        <w:ind w:firstLine="720"/>
        <w:spacing w:line="360" w:lineRule="auto"/>
        <w:rPr>
          <w:rFonts w:ascii="宋体" w:hAnsi="宋体"/>
          <w:sz w:val="24"/>
          <w:szCs w:val="24"/>
        </w:rPr>
      </w:pPr>
      <w:r>
        <w:rPr>
          <w:rFonts w:hint="eastAsia" w:ascii="宋体" w:hAnsi="宋体"/>
          <w:sz w:val="24"/>
          <w:szCs w:val="24"/>
        </w:rPr>
        <w:t xml:space="preserve">联系人：姜涛</w:t>
      </w:r>
      <w:r>
        <w:rPr>
          <w:rFonts w:ascii="宋体" w:hAnsi="宋体"/>
          <w:sz w:val="24"/>
          <w:szCs w:val="24"/>
        </w:rPr>
      </w:r>
      <w:r/>
    </w:p>
    <w:p>
      <w:pPr>
        <w:pStyle w:val="653"/>
        <w:ind w:firstLine="720"/>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514-82087195</w:t>
      </w:r>
      <w:r/>
    </w:p>
    <w:p>
      <w:pPr>
        <w:pStyle w:val="876"/>
        <w:numPr>
          <w:ilvl w:val="0"/>
          <w:numId w:val="5"/>
        </w:numPr>
        <w:ind w:firstLine="498"/>
        <w:spacing w:before="145" w:after="145" w:line="360" w:lineRule="auto"/>
      </w:pPr>
      <w:r>
        <w:rPr>
          <w:rFonts w:hint="eastAsia"/>
        </w:rPr>
        <w:t xml:space="preserve">其他</w:t>
      </w:r>
      <w:r/>
    </w:p>
    <w:p>
      <w:pPr>
        <w:pStyle w:val="653"/>
        <w:ind w:firstLine="420"/>
        <w:rPr>
          <w:rFonts w:ascii="宋体" w:hAnsi="宋体" w:cs="宋体"/>
          <w:b/>
          <w:bCs/>
          <w:sz w:val="24"/>
          <w:szCs w:val="24"/>
        </w:rPr>
      </w:pPr>
      <w:r>
        <w:rPr>
          <w:rFonts w:hint="eastAsia" w:ascii="宋体" w:hAnsi="宋体" w:cs="宋体"/>
          <w:b/>
          <w:bCs/>
          <w:sz w:val="24"/>
          <w:szCs w:val="24"/>
        </w:rPr>
        <w:t xml:space="preserve">1. 根据省财政厅《关于更换全省政府采购交易系统CA数字证书和电</w:t>
      </w:r>
      <w:r>
        <w:rPr>
          <w:rFonts w:hint="eastAsia" w:ascii="宋体" w:hAnsi="宋体" w:cs="宋体"/>
          <w:b/>
          <w:bCs/>
          <w:sz w:val="24"/>
          <w:szCs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rPr>
          <w:rFonts w:ascii="宋体" w:hAnsi="宋体" w:cs="宋体"/>
          <w:b/>
          <w:bCs/>
          <w:sz w:val="24"/>
          <w:szCs w:val="24"/>
        </w:rPr>
      </w:r>
      <w:r/>
    </w:p>
    <w:p>
      <w:pPr>
        <w:pStyle w:val="653"/>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rPr>
          <w:rFonts w:ascii="宋体" w:hAnsi="宋体"/>
          <w:bCs/>
          <w:sz w:val="24"/>
          <w:szCs w:val="24"/>
        </w:rPr>
      </w:r>
      <w:r/>
    </w:p>
    <w:p>
      <w:pPr>
        <w:pStyle w:val="653"/>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rPr>
          <w:rFonts w:ascii="宋体" w:hAnsi="宋体"/>
          <w:bCs/>
          <w:sz w:val="24"/>
          <w:szCs w:val="24"/>
        </w:rPr>
      </w:r>
      <w:r/>
    </w:p>
    <w:p>
      <w:pPr>
        <w:pStyle w:val="653"/>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653"/>
        <w:ind w:firstLine="480"/>
        <w:spacing w:line="560" w:lineRule="exact"/>
        <w:rPr>
          <w:rFonts w:ascii="宋体" w:hAnsi="宋体"/>
          <w:sz w:val="24"/>
        </w:rPr>
      </w:pPr>
      <w:r>
        <w:rPr>
          <w:rFonts w:ascii="宋体" w:hAnsi="宋体"/>
          <w:sz w:val="24"/>
        </w:rPr>
      </w:r>
      <w:r/>
    </w:p>
    <w:p>
      <w:pPr>
        <w:pStyle w:val="653"/>
        <w:ind w:right="840"/>
        <w:rPr>
          <w:rFonts w:ascii="宋体" w:hAnsi="宋体"/>
          <w:sz w:val="24"/>
          <w:szCs w:val="24"/>
        </w:rPr>
      </w:pPr>
      <w:r>
        <w:rPr>
          <w:rFonts w:ascii="宋体" w:hAnsi="宋体"/>
          <w:sz w:val="24"/>
          <w:szCs w:val="24"/>
        </w:rPr>
        <w:br w:type="page" w:clear="all"/>
      </w:r>
      <w:r>
        <w:rPr>
          <w:rFonts w:ascii="宋体" w:hAnsi="宋体"/>
          <w:sz w:val="24"/>
          <w:szCs w:val="24"/>
        </w:rPr>
      </w:r>
      <w:r/>
    </w:p>
    <w:p>
      <w:pPr>
        <w:pStyle w:val="654"/>
        <w:jc w:val="center"/>
      </w:pPr>
      <w:r/>
      <w:bookmarkStart w:id="43" w:name="_Toc120614211"/>
      <w:r/>
      <w:bookmarkStart w:id="44" w:name="_Toc16753"/>
      <w:r>
        <w:rPr>
          <w:rFonts w:hint="eastAsia"/>
        </w:rPr>
        <w:t xml:space="preserve">第二章  </w:t>
      </w:r>
      <w:bookmarkEnd w:id="1"/>
      <w:r/>
      <w:bookmarkEnd w:id="2"/>
      <w:r/>
      <w:bookmarkEnd w:id="3"/>
      <w:r/>
      <w:bookmarkEnd w:id="4"/>
      <w:r/>
      <w:bookmarkEnd w:id="5"/>
      <w:r/>
      <w:bookmarkEnd w:id="43"/>
      <w:r/>
      <w:bookmarkStart w:id="45" w:name="_Toc120614213"/>
      <w:r/>
      <w:bookmarkStart w:id="46" w:name="_Toc16938518"/>
      <w:r/>
      <w:bookmarkStart w:id="47" w:name="_Toc513029202"/>
      <w:r/>
      <w:bookmarkStart w:id="48" w:name="_Toc20823274"/>
      <w:r>
        <w:rPr>
          <w:rFonts w:hint="eastAsia"/>
        </w:rPr>
        <w:t xml:space="preserve">投标人须知</w:t>
      </w:r>
      <w:bookmarkEnd w:id="44"/>
      <w:r/>
      <w:bookmarkEnd w:id="45"/>
      <w:r/>
      <w:bookmarkEnd w:id="46"/>
      <w:r/>
      <w:bookmarkEnd w:id="47"/>
      <w:r/>
      <w:bookmarkEnd w:id="48"/>
      <w:r/>
      <w:r/>
    </w:p>
    <w:p>
      <w:pPr>
        <w:pStyle w:val="876"/>
        <w:ind w:firstLine="498"/>
        <w:spacing w:before="145" w:after="145" w:line="360" w:lineRule="auto"/>
      </w:pPr>
      <w:r/>
      <w:bookmarkStart w:id="49" w:name="_Toc120614221"/>
      <w:r/>
      <w:bookmarkStart w:id="50" w:name="_Toc479757207"/>
      <w:r/>
      <w:bookmarkStart w:id="51" w:name="_Toc513029242"/>
      <w:r/>
      <w:bookmarkStart w:id="52" w:name="_Toc16938558"/>
      <w:r/>
      <w:bookmarkStart w:id="53" w:name="_Toc20823314"/>
      <w:r>
        <w:rPr>
          <w:rFonts w:hint="eastAsia"/>
        </w:rPr>
        <w:t xml:space="preserve">一、总则</w:t>
      </w:r>
      <w:r/>
    </w:p>
    <w:p>
      <w:pPr>
        <w:pStyle w:val="878"/>
        <w:ind w:firstLine="420"/>
        <w:spacing w:before="0" w:after="0" w:line="240" w:lineRule="auto"/>
        <w:rPr>
          <w:b w:val="0"/>
          <w:bCs w:val="0"/>
        </w:rPr>
      </w:pPr>
      <w:r>
        <w:rPr>
          <w:rFonts w:hint="eastAsia"/>
          <w:b w:val="0"/>
          <w:bCs w:val="0"/>
        </w:rPr>
        <w:t xml:space="preserve">1、招标方式</w:t>
      </w:r>
      <w:r>
        <w:rPr>
          <w:b w:val="0"/>
          <w:bCs w:val="0"/>
        </w:rPr>
      </w:r>
      <w:r/>
    </w:p>
    <w:p>
      <w:pPr>
        <w:pStyle w:val="653"/>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78"/>
        <w:ind w:firstLine="420"/>
        <w:spacing w:before="0" w:after="0" w:line="240" w:lineRule="auto"/>
        <w:rPr>
          <w:b w:val="0"/>
          <w:bCs w:val="0"/>
        </w:rPr>
      </w:pPr>
      <w:r>
        <w:rPr>
          <w:rFonts w:hint="eastAsia"/>
          <w:b w:val="0"/>
          <w:bCs w:val="0"/>
        </w:rPr>
        <w:t xml:space="preserve">2、合格的投标人</w:t>
      </w:r>
      <w:r>
        <w:rPr>
          <w:b w:val="0"/>
          <w:bCs w:val="0"/>
        </w:rPr>
      </w:r>
      <w:r/>
    </w:p>
    <w:p>
      <w:pPr>
        <w:pStyle w:val="653"/>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878"/>
        <w:ind w:firstLine="420"/>
        <w:spacing w:before="0" w:after="0" w:line="240" w:lineRule="auto"/>
        <w:rPr>
          <w:b w:val="0"/>
          <w:bCs w:val="0"/>
        </w:rPr>
      </w:pPr>
      <w:r>
        <w:rPr>
          <w:rFonts w:hint="eastAsia"/>
          <w:b w:val="0"/>
          <w:bCs w:val="0"/>
        </w:rPr>
        <w:t xml:space="preserve">3、适用法律</w:t>
      </w:r>
      <w:r>
        <w:rPr>
          <w:b w:val="0"/>
          <w:bCs w:val="0"/>
        </w:rPr>
      </w:r>
      <w:r/>
    </w:p>
    <w:p>
      <w:pPr>
        <w:pStyle w:val="653"/>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8"/>
        <w:ind w:firstLine="420"/>
        <w:spacing w:before="0" w:after="0" w:line="240" w:lineRule="auto"/>
        <w:rPr>
          <w:b w:val="0"/>
          <w:bCs w:val="0"/>
        </w:rPr>
      </w:pPr>
      <w:r>
        <w:rPr>
          <w:rFonts w:hint="eastAsia"/>
          <w:b w:val="0"/>
          <w:bCs w:val="0"/>
        </w:rPr>
        <w:t xml:space="preserve">4、投标费用</w:t>
      </w:r>
      <w:r>
        <w:rPr>
          <w:b w:val="0"/>
          <w:bCs w:val="0"/>
        </w:rPr>
      </w:r>
      <w:r/>
    </w:p>
    <w:p>
      <w:pPr>
        <w:pStyle w:val="653"/>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rPr>
          <w:rFonts w:ascii="宋体" w:hAnsi="宋体"/>
          <w:sz w:val="24"/>
        </w:rPr>
      </w:r>
      <w:r/>
    </w:p>
    <w:p>
      <w:pPr>
        <w:pStyle w:val="653"/>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rPr>
          <w:rFonts w:ascii="宋体" w:hAnsi="宋体"/>
          <w:sz w:val="24"/>
        </w:rPr>
      </w:r>
      <w:r/>
    </w:p>
    <w:p>
      <w:pPr>
        <w:pStyle w:val="878"/>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ascii="黑体" w:hAnsi="宋体"/>
          <w:b w:val="0"/>
          <w:bCs w:val="0"/>
        </w:rPr>
      </w:r>
      <w:r/>
    </w:p>
    <w:p>
      <w:pPr>
        <w:pStyle w:val="653"/>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ascii="宋体" w:hAnsi="宋体"/>
          <w:sz w:val="24"/>
          <w:szCs w:val="24"/>
        </w:rPr>
      </w:r>
      <w:r/>
    </w:p>
    <w:p>
      <w:pPr>
        <w:pStyle w:val="876"/>
        <w:ind w:firstLine="321"/>
        <w:spacing w:before="145" w:after="145" w:line="360" w:lineRule="auto"/>
      </w:pPr>
      <w:r>
        <w:rPr>
          <w:rFonts w:hint="eastAsia"/>
        </w:rPr>
        <w:t xml:space="preserve">二、招标文件</w:t>
      </w:r>
      <w:r/>
    </w:p>
    <w:p>
      <w:pPr>
        <w:pStyle w:val="878"/>
        <w:ind w:firstLine="420"/>
        <w:spacing w:before="0" w:after="0" w:line="240" w:lineRule="auto"/>
        <w:rPr>
          <w:b w:val="0"/>
          <w:bCs w:val="0"/>
        </w:rPr>
      </w:pPr>
      <w:r>
        <w:rPr>
          <w:rFonts w:hint="eastAsia"/>
          <w:b w:val="0"/>
          <w:bCs w:val="0"/>
        </w:rPr>
        <w:t xml:space="preserve">6、招标文件构成</w:t>
      </w:r>
      <w:r>
        <w:rPr>
          <w:b w:val="0"/>
          <w:bCs w:val="0"/>
        </w:rPr>
      </w:r>
      <w:r/>
    </w:p>
    <w:p>
      <w:pPr>
        <w:pStyle w:val="653"/>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653"/>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pStyle w:val="653"/>
        <w:ind w:firstLine="360"/>
        <w:spacing w:line="4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653"/>
        <w:ind w:firstLine="360"/>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653"/>
        <w:ind w:firstLine="360"/>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653"/>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653"/>
        <w:ind w:firstLine="360"/>
        <w:spacing w:line="4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653"/>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rPr>
          <w:rFonts w:ascii="宋体" w:hAnsi="宋体"/>
          <w:sz w:val="24"/>
        </w:rPr>
      </w:r>
      <w:r/>
    </w:p>
    <w:p>
      <w:pPr>
        <w:pStyle w:val="653"/>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78"/>
        <w:ind w:firstLine="560"/>
        <w:spacing w:before="0" w:after="0" w:line="240" w:lineRule="auto"/>
        <w:rPr>
          <w:b w:val="0"/>
          <w:bCs w:val="0"/>
        </w:rPr>
      </w:pPr>
      <w:r>
        <w:rPr>
          <w:rFonts w:hint="eastAsia"/>
          <w:b w:val="0"/>
          <w:bCs w:val="0"/>
        </w:rPr>
        <w:t xml:space="preserve">7、招标文件的澄清</w:t>
      </w:r>
      <w:r>
        <w:rPr>
          <w:b w:val="0"/>
          <w:bCs w:val="0"/>
        </w:rPr>
      </w:r>
      <w:r/>
    </w:p>
    <w:p>
      <w:pPr>
        <w:pStyle w:val="653"/>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rPr>
          <w:rFonts w:ascii="宋体" w:hAnsi="宋体"/>
          <w:sz w:val="24"/>
          <w:szCs w:val="24"/>
        </w:rPr>
      </w:r>
      <w:r/>
    </w:p>
    <w:p>
      <w:pPr>
        <w:pStyle w:val="878"/>
        <w:ind w:firstLine="560"/>
        <w:spacing w:before="0" w:after="0" w:line="240" w:lineRule="auto"/>
        <w:rPr>
          <w:b w:val="0"/>
          <w:bCs w:val="0"/>
        </w:rPr>
      </w:pPr>
      <w:r>
        <w:rPr>
          <w:rFonts w:hint="eastAsia"/>
          <w:b w:val="0"/>
          <w:bCs w:val="0"/>
        </w:rPr>
        <w:t xml:space="preserve">8、招标文件的修改</w:t>
      </w:r>
      <w:r>
        <w:rPr>
          <w:b w:val="0"/>
          <w:bCs w:val="0"/>
        </w:rPr>
      </w:r>
      <w:r/>
    </w:p>
    <w:p>
      <w:pPr>
        <w:pStyle w:val="653"/>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rPr>
          <w:rFonts w:ascii="宋体" w:hAnsi="宋体"/>
          <w:sz w:val="24"/>
        </w:rPr>
      </w:r>
      <w:r/>
    </w:p>
    <w:p>
      <w:pPr>
        <w:pStyle w:val="653"/>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653"/>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876"/>
        <w:ind w:firstLine="482"/>
        <w:spacing w:before="145" w:after="145" w:line="360" w:lineRule="auto"/>
      </w:pPr>
      <w:r>
        <w:rPr>
          <w:rFonts w:hint="eastAsia"/>
        </w:rPr>
        <w:t xml:space="preserve">三、投标文件的编制</w:t>
      </w:r>
      <w:r/>
    </w:p>
    <w:p>
      <w:pPr>
        <w:pStyle w:val="878"/>
        <w:ind w:firstLine="560"/>
        <w:spacing w:before="0" w:after="0" w:line="240" w:lineRule="auto"/>
        <w:rPr>
          <w:bCs w:val="0"/>
        </w:rPr>
      </w:pPr>
      <w:r>
        <w:rPr>
          <w:rFonts w:hint="eastAsia"/>
          <w:b w:val="0"/>
          <w:bCs w:val="0"/>
        </w:rPr>
        <w:t xml:space="preserve">9、投标文件的语言及度量衡单位</w:t>
      </w:r>
      <w:r>
        <w:rPr>
          <w:bCs w:val="0"/>
        </w:rPr>
      </w:r>
      <w:r/>
    </w:p>
    <w:p>
      <w:pPr>
        <w:pStyle w:val="653"/>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653"/>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78"/>
        <w:ind w:firstLine="420"/>
        <w:spacing w:before="0" w:after="0" w:line="240" w:lineRule="auto"/>
        <w:rPr>
          <w:b w:val="0"/>
          <w:bCs w:val="0"/>
        </w:rPr>
      </w:pPr>
      <w:r>
        <w:rPr>
          <w:rFonts w:hint="eastAsia"/>
          <w:b w:val="0"/>
          <w:bCs w:val="0"/>
        </w:rPr>
        <w:t xml:space="preserve">10、投标文件构成</w:t>
      </w:r>
      <w:r>
        <w:rPr>
          <w:b w:val="0"/>
          <w:bCs w:val="0"/>
        </w:rPr>
      </w:r>
      <w:r/>
    </w:p>
    <w:p>
      <w:pPr>
        <w:pStyle w:val="653"/>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sz w:val="24"/>
        </w:rPr>
      </w:r>
      <w:r/>
    </w:p>
    <w:p>
      <w:pPr>
        <w:pStyle w:val="653"/>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ascii="宋体" w:hAnsi="宋体"/>
          <w:sz w:val="24"/>
        </w:rPr>
      </w:r>
      <w:r/>
    </w:p>
    <w:p>
      <w:pPr>
        <w:pStyle w:val="878"/>
        <w:ind w:firstLine="420"/>
        <w:spacing w:before="0" w:after="0" w:line="240" w:lineRule="auto"/>
        <w:rPr>
          <w:b w:val="0"/>
          <w:bCs w:val="0"/>
        </w:rPr>
      </w:pPr>
      <w:r>
        <w:rPr>
          <w:rFonts w:hint="eastAsia"/>
          <w:b w:val="0"/>
          <w:bCs w:val="0"/>
        </w:rPr>
        <w:t xml:space="preserve">11、证明投标人及投标标的符合招标文件规定的文件</w:t>
      </w:r>
      <w:r>
        <w:rPr>
          <w:b w:val="0"/>
          <w:bCs w:val="0"/>
        </w:rPr>
      </w:r>
      <w:r/>
    </w:p>
    <w:p>
      <w:pPr>
        <w:pStyle w:val="653"/>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878"/>
        <w:ind w:firstLine="420"/>
        <w:spacing w:before="0" w:after="0" w:line="240" w:lineRule="auto"/>
        <w:rPr>
          <w:b w:val="0"/>
          <w:bCs w:val="0"/>
        </w:rPr>
      </w:pPr>
      <w:r>
        <w:rPr>
          <w:rFonts w:hint="eastAsia"/>
          <w:b w:val="0"/>
          <w:bCs w:val="0"/>
        </w:rPr>
        <w:t xml:space="preserve">12、投标分项报价表</w:t>
      </w:r>
      <w:r>
        <w:rPr>
          <w:b w:val="0"/>
          <w:bCs w:val="0"/>
        </w:rPr>
      </w:r>
      <w:r/>
    </w:p>
    <w:p>
      <w:pPr>
        <w:pStyle w:val="653"/>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rPr>
          <w:rFonts w:ascii="宋体" w:hAnsi="宋体"/>
          <w:bCs/>
          <w:sz w:val="24"/>
        </w:rPr>
      </w:r>
      <w:r/>
    </w:p>
    <w:p>
      <w:pPr>
        <w:pStyle w:val="653"/>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878"/>
        <w:ind w:firstLine="420"/>
        <w:spacing w:before="0" w:after="0" w:line="240" w:lineRule="auto"/>
        <w:rPr>
          <w:b w:val="0"/>
          <w:bCs w:val="0"/>
        </w:rPr>
      </w:pPr>
      <w:r>
        <w:rPr>
          <w:rFonts w:hint="eastAsia"/>
          <w:b w:val="0"/>
          <w:bCs w:val="0"/>
        </w:rPr>
        <w:t xml:space="preserve">13、技术要求响应及偏离表、商务要求响应及偏离表</w:t>
      </w:r>
      <w:r>
        <w:rPr>
          <w:b w:val="0"/>
          <w:bCs w:val="0"/>
        </w:rPr>
      </w:r>
      <w:r/>
    </w:p>
    <w:p>
      <w:pPr>
        <w:pStyle w:val="653"/>
        <w:ind w:firstLine="480"/>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rPr>
      </w:r>
      <w:r/>
    </w:p>
    <w:p>
      <w:pPr>
        <w:pStyle w:val="65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53"/>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ascii="Arial" w:hAnsi="Arial" w:eastAsia="黑体" w:cs="Arial"/>
          <w:color w:val="000000"/>
          <w:sz w:val="28"/>
          <w:szCs w:val="28"/>
        </w:rPr>
      </w:r>
      <w:r/>
    </w:p>
    <w:p>
      <w:pPr>
        <w:pStyle w:val="653"/>
        <w:ind w:firstLine="480"/>
        <w:spacing w:line="480" w:lineRule="exact"/>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653"/>
        <w:ind w:firstLine="480"/>
        <w:spacing w:line="480" w:lineRule="exact"/>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ascii="宋体" w:hAnsi="宋体"/>
          <w:color w:val="000000"/>
          <w:sz w:val="24"/>
          <w:szCs w:val="24"/>
        </w:rPr>
      </w:r>
      <w:r/>
    </w:p>
    <w:p>
      <w:pPr>
        <w:pStyle w:val="653"/>
        <w:ind w:firstLine="480"/>
        <w:spacing w:line="480" w:lineRule="exact"/>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878"/>
        <w:ind w:firstLine="420"/>
        <w:spacing w:before="0" w:after="0" w:line="240" w:lineRule="auto"/>
        <w:rPr>
          <w:b w:val="0"/>
          <w:bCs w:val="0"/>
        </w:rPr>
      </w:pPr>
      <w:r>
        <w:rPr>
          <w:rFonts w:hint="eastAsia"/>
          <w:b w:val="0"/>
          <w:bCs w:val="0"/>
        </w:rPr>
        <w:t xml:space="preserve">15、投标函和开标一览表</w:t>
      </w:r>
      <w:r>
        <w:rPr>
          <w:b w:val="0"/>
          <w:bCs w:val="0"/>
        </w:rPr>
      </w:r>
      <w:r/>
    </w:p>
    <w:p>
      <w:pPr>
        <w:pStyle w:val="653"/>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653"/>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878"/>
        <w:ind w:firstLine="420"/>
        <w:spacing w:before="0" w:after="0" w:line="240" w:lineRule="auto"/>
        <w:rPr>
          <w:b w:val="0"/>
          <w:bCs w:val="0"/>
        </w:rPr>
      </w:pPr>
      <w:r>
        <w:rPr>
          <w:rFonts w:hint="eastAsia"/>
          <w:b w:val="0"/>
          <w:bCs w:val="0"/>
        </w:rPr>
        <w:t xml:space="preserve">16、投标有效期</w:t>
      </w:r>
      <w:r>
        <w:rPr>
          <w:b w:val="0"/>
          <w:bCs w:val="0"/>
        </w:rPr>
      </w:r>
      <w:r/>
    </w:p>
    <w:p>
      <w:pPr>
        <w:pStyle w:val="653"/>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878"/>
        <w:ind w:firstLine="420"/>
        <w:spacing w:before="0" w:after="0" w:line="240" w:lineRule="auto"/>
        <w:rPr>
          <w:b w:val="0"/>
          <w:bCs w:val="0"/>
        </w:rPr>
      </w:pPr>
      <w:r>
        <w:rPr>
          <w:rFonts w:hint="eastAsia"/>
          <w:b w:val="0"/>
          <w:bCs w:val="0"/>
        </w:rPr>
        <w:t xml:space="preserve">17、投标有效期的延长</w:t>
      </w:r>
      <w:r>
        <w:rPr>
          <w:b w:val="0"/>
          <w:bCs w:val="0"/>
        </w:rPr>
      </w:r>
      <w:r/>
    </w:p>
    <w:p>
      <w:pPr>
        <w:pStyle w:val="653"/>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76"/>
        <w:ind w:firstLine="482"/>
        <w:spacing w:before="145" w:after="145" w:line="360" w:lineRule="auto"/>
      </w:pPr>
      <w:r>
        <w:rPr>
          <w:rFonts w:hint="eastAsia"/>
        </w:rPr>
        <w:t xml:space="preserve">四、投标文件的递交</w:t>
      </w:r>
      <w:r/>
    </w:p>
    <w:p>
      <w:pPr>
        <w:pStyle w:val="878"/>
        <w:ind w:firstLine="560"/>
        <w:spacing w:before="0" w:after="0" w:line="240" w:lineRule="auto"/>
        <w:rPr>
          <w:rFonts w:ascii="黑体"/>
          <w:b w:val="0"/>
          <w:bCs w:val="0"/>
        </w:rPr>
      </w:pPr>
      <w:r>
        <w:rPr>
          <w:rFonts w:hint="eastAsia"/>
          <w:b w:val="0"/>
          <w:bCs w:val="0"/>
        </w:rPr>
        <w:t xml:space="preserve">18、</w:t>
      </w:r>
      <w:r>
        <w:rPr>
          <w:rFonts w:hint="eastAsia" w:ascii="黑体"/>
          <w:b w:val="0"/>
          <w:bCs w:val="0"/>
        </w:rPr>
        <w:t xml:space="preserve">投标文件的递交</w:t>
      </w:r>
      <w:r>
        <w:rPr>
          <w:rFonts w:ascii="黑体"/>
          <w:b w:val="0"/>
          <w:bCs w:val="0"/>
        </w:rPr>
      </w:r>
      <w:r/>
    </w:p>
    <w:p>
      <w:pPr>
        <w:pStyle w:val="653"/>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rPr>
          <w:rFonts w:ascii="宋体" w:hAnsi="宋体"/>
          <w:bCs/>
          <w:sz w:val="24"/>
        </w:rPr>
      </w:r>
      <w:r/>
    </w:p>
    <w:p>
      <w:pPr>
        <w:pStyle w:val="943"/>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rPr>
          <w:rFonts w:ascii="宋体" w:hAnsi="宋体"/>
          <w:bCs/>
          <w:sz w:val="24"/>
        </w:rPr>
      </w:r>
      <w:r/>
    </w:p>
    <w:p>
      <w:pPr>
        <w:pStyle w:val="878"/>
        <w:ind w:firstLine="420"/>
        <w:rPr>
          <w:b w:val="0"/>
        </w:rPr>
      </w:pPr>
      <w:r>
        <w:rPr>
          <w:rFonts w:hint="eastAsia"/>
          <w:b w:val="0"/>
        </w:rPr>
        <w:t xml:space="preserve">19、投标截止时间</w:t>
      </w:r>
      <w:r>
        <w:rPr>
          <w:b w:val="0"/>
        </w:rPr>
      </w:r>
      <w:r/>
    </w:p>
    <w:p>
      <w:pPr>
        <w:pStyle w:val="653"/>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rPr>
          <w:rFonts w:ascii="宋体" w:hAnsi="宋体"/>
          <w:bCs/>
          <w:i/>
          <w:sz w:val="24"/>
          <w:u w:val="single"/>
        </w:rPr>
      </w:r>
      <w:r/>
    </w:p>
    <w:p>
      <w:pPr>
        <w:pStyle w:val="653"/>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sz w:val="24"/>
        </w:rPr>
      </w:r>
      <w:r/>
    </w:p>
    <w:p>
      <w:pPr>
        <w:pStyle w:val="653"/>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878"/>
        <w:ind w:firstLine="420"/>
        <w:spacing w:before="0" w:after="0" w:line="240" w:lineRule="auto"/>
        <w:rPr>
          <w:b w:val="0"/>
          <w:bCs w:val="0"/>
        </w:rPr>
      </w:pPr>
      <w:r>
        <w:rPr>
          <w:rFonts w:hint="eastAsia"/>
          <w:b w:val="0"/>
          <w:bCs w:val="0"/>
        </w:rPr>
        <w:t xml:space="preserve">20、投标文件的拒收</w:t>
      </w:r>
      <w:r>
        <w:rPr>
          <w:b w:val="0"/>
          <w:bCs w:val="0"/>
        </w:rPr>
      </w:r>
      <w:r/>
    </w:p>
    <w:p>
      <w:pPr>
        <w:pStyle w:val="653"/>
        <w:ind w:firstLine="480"/>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交易中心拒绝接收在其规定的投标截止时间后上传的任何投标文件。</w:t>
      </w:r>
      <w:r>
        <w:rPr>
          <w:rFonts w:ascii="宋体" w:hAnsi="宋体"/>
          <w:bCs/>
          <w:sz w:val="24"/>
        </w:rPr>
      </w:r>
      <w:r/>
    </w:p>
    <w:p>
      <w:pPr>
        <w:pStyle w:val="878"/>
        <w:ind w:firstLine="420"/>
        <w:spacing w:before="0" w:after="0" w:line="240" w:lineRule="auto"/>
        <w:rPr>
          <w:b w:val="0"/>
          <w:bCs w:val="0"/>
        </w:rPr>
      </w:pPr>
      <w:r>
        <w:rPr>
          <w:rFonts w:hint="eastAsia"/>
          <w:b w:val="0"/>
          <w:bCs w:val="0"/>
        </w:rPr>
        <w:t xml:space="preserve">21、投标文件的撤回和修改</w:t>
      </w:r>
      <w:r>
        <w:rPr>
          <w:b w:val="0"/>
          <w:bCs w:val="0"/>
        </w:rPr>
      </w:r>
      <w:r/>
    </w:p>
    <w:p>
      <w:pPr>
        <w:pStyle w:val="653"/>
        <w:ind w:firstLine="480"/>
        <w:spacing w:line="480" w:lineRule="exact"/>
        <w:rPr>
          <w:rFonts w:ascii="宋体" w:hAnsi="宋体"/>
          <w:sz w:val="24"/>
        </w:rPr>
      </w:pPr>
      <w:r>
        <w:rPr>
          <w:rFonts w:hint="eastAsia" w:ascii="宋体" w:hAnsi="宋体"/>
          <w:sz w:val="24"/>
        </w:rPr>
        <w:t xml:space="preserve">21.1 投标文件的撤回</w:t>
      </w:r>
      <w:r>
        <w:rPr>
          <w:rFonts w:ascii="宋体" w:hAnsi="宋体"/>
          <w:sz w:val="24"/>
        </w:rPr>
      </w:r>
      <w:r/>
    </w:p>
    <w:p>
      <w:pPr>
        <w:pStyle w:val="653"/>
        <w:ind w:firstLine="480"/>
        <w:spacing w:line="480" w:lineRule="exact"/>
        <w:rPr>
          <w:rFonts w:ascii="宋体" w:hAnsi="宋体"/>
          <w:sz w:val="24"/>
        </w:rPr>
      </w:pPr>
      <w:r>
        <w:rPr>
          <w:rFonts w:hint="eastAsia" w:ascii="宋体" w:hAnsi="宋体"/>
          <w:sz w:val="24"/>
        </w:rPr>
        <w:t xml:space="preserve">21.1.1 电子投标文件的撤回</w:t>
      </w:r>
      <w:r>
        <w:rPr>
          <w:rFonts w:ascii="宋体" w:hAnsi="宋体"/>
          <w:sz w:val="24"/>
        </w:rPr>
      </w:r>
      <w:r/>
    </w:p>
    <w:p>
      <w:pPr>
        <w:pStyle w:val="653"/>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653"/>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21.2 投标文件的修改</w:t>
      </w:r>
      <w:r>
        <w:rPr>
          <w:rFonts w:ascii="宋体" w:hAnsi="宋体"/>
          <w:sz w:val="24"/>
          <w:szCs w:val="24"/>
        </w:rPr>
      </w:r>
      <w:r/>
    </w:p>
    <w:p>
      <w:pPr>
        <w:pStyle w:val="653"/>
        <w:ind w:firstLine="480"/>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rPr>
          <w:rFonts w:ascii="宋体" w:hAnsi="宋体"/>
          <w:sz w:val="24"/>
        </w:rPr>
      </w:r>
      <w:r/>
    </w:p>
    <w:p>
      <w:pPr>
        <w:pStyle w:val="653"/>
        <w:ind w:firstLine="480"/>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653"/>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876"/>
        <w:ind w:firstLine="482"/>
        <w:spacing w:before="145" w:after="145" w:line="360" w:lineRule="auto"/>
      </w:pPr>
      <w:r>
        <w:rPr>
          <w:rFonts w:hint="eastAsia"/>
        </w:rPr>
        <w:t xml:space="preserve">五、开标与评标</w:t>
      </w:r>
      <w:r/>
    </w:p>
    <w:p>
      <w:pPr>
        <w:pStyle w:val="878"/>
        <w:ind w:firstLine="420"/>
        <w:spacing w:before="0" w:after="0" w:line="240" w:lineRule="auto"/>
        <w:rPr>
          <w:b w:val="0"/>
          <w:bCs w:val="0"/>
        </w:rPr>
      </w:pPr>
      <w:r>
        <w:rPr>
          <w:rFonts w:hint="eastAsia"/>
          <w:b w:val="0"/>
          <w:bCs w:val="0"/>
        </w:rPr>
        <w:t xml:space="preserve">22、开标</w:t>
      </w:r>
      <w:r>
        <w:rPr>
          <w:b w:val="0"/>
          <w:bCs w:val="0"/>
        </w:rPr>
      </w:r>
      <w:r/>
    </w:p>
    <w:p>
      <w:pPr>
        <w:pStyle w:val="653"/>
        <w:ind w:firstLine="360"/>
      </w:pPr>
      <w:r>
        <w:rPr>
          <w:rFonts w:hint="eastAsia" w:ascii="宋体" w:hAnsi="宋体"/>
          <w:sz w:val="24"/>
        </w:rPr>
        <w:t xml:space="preserve">22.1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653"/>
        <w:ind w:firstLine="480"/>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653"/>
        <w:ind w:firstLine="480"/>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rPr>
          <w:rFonts w:ascii="宋体" w:hAnsi="宋体"/>
          <w:sz w:val="24"/>
          <w:szCs w:val="24"/>
        </w:rPr>
      </w:r>
      <w:r/>
    </w:p>
    <w:p>
      <w:pPr>
        <w:pStyle w:val="653"/>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78"/>
        <w:ind w:firstLine="420"/>
        <w:spacing w:before="0" w:after="0" w:line="240" w:lineRule="auto"/>
        <w:rPr>
          <w:b w:val="0"/>
          <w:bCs w:val="0"/>
        </w:rPr>
      </w:pPr>
      <w:r>
        <w:rPr>
          <w:rFonts w:hint="eastAsia"/>
          <w:b w:val="0"/>
          <w:bCs w:val="0"/>
        </w:rPr>
        <w:t xml:space="preserve">23、评标委员会</w:t>
      </w:r>
      <w:r>
        <w:rPr>
          <w:b w:val="0"/>
          <w:bCs w:val="0"/>
        </w:rPr>
      </w:r>
      <w:r/>
    </w:p>
    <w:p>
      <w:pPr>
        <w:pStyle w:val="653"/>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ascii="宋体" w:hAnsi="宋体"/>
          <w:b/>
          <w:sz w:val="24"/>
          <w:szCs w:val="24"/>
        </w:rPr>
      </w:r>
      <w:r/>
    </w:p>
    <w:p>
      <w:pPr>
        <w:pStyle w:val="653"/>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rPr>
          <w:rFonts w:ascii="宋体" w:hAnsi="宋体"/>
          <w:sz w:val="24"/>
          <w:szCs w:val="24"/>
        </w:rPr>
      </w:r>
      <w:r/>
    </w:p>
    <w:p>
      <w:pPr>
        <w:pStyle w:val="653"/>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rPr>
          <w:rFonts w:ascii="宋体" w:hAnsi="宋体"/>
          <w:sz w:val="24"/>
          <w:szCs w:val="24"/>
        </w:rPr>
      </w:r>
      <w:r/>
    </w:p>
    <w:p>
      <w:pPr>
        <w:pStyle w:val="878"/>
        <w:ind w:firstLine="420"/>
        <w:spacing w:before="0" w:after="0" w:line="240" w:lineRule="auto"/>
        <w:rPr>
          <w:rFonts w:ascii="黑体"/>
          <w:b w:val="0"/>
          <w:bCs w:val="0"/>
        </w:rPr>
      </w:pPr>
      <w:r>
        <w:rPr>
          <w:rFonts w:hint="eastAsia" w:ascii="黑体"/>
          <w:b w:val="0"/>
          <w:bCs w:val="0"/>
        </w:rPr>
        <w:t xml:space="preserve">24、评标过程的保密与公正</w:t>
      </w:r>
      <w:r>
        <w:rPr>
          <w:rFonts w:ascii="黑体"/>
          <w:b w:val="0"/>
          <w:bCs w:val="0"/>
        </w:rPr>
      </w:r>
      <w:r/>
    </w:p>
    <w:p>
      <w:pPr>
        <w:pStyle w:val="653"/>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ascii="宋体" w:hAnsi="宋体"/>
          <w:bCs/>
          <w:sz w:val="24"/>
        </w:rPr>
      </w:r>
      <w:r/>
    </w:p>
    <w:p>
      <w:pPr>
        <w:pStyle w:val="653"/>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rPr>
          <w:rFonts w:ascii="宋体" w:hAnsi="宋体"/>
          <w:sz w:val="24"/>
          <w:szCs w:val="24"/>
        </w:rPr>
      </w:r>
      <w:r/>
    </w:p>
    <w:p>
      <w:pPr>
        <w:pStyle w:val="878"/>
        <w:ind w:firstLine="420"/>
        <w:spacing w:before="0" w:after="0" w:line="240" w:lineRule="auto"/>
        <w:rPr>
          <w:b w:val="0"/>
          <w:bCs w:val="0"/>
        </w:rPr>
      </w:pPr>
      <w:r>
        <w:rPr>
          <w:rFonts w:hint="eastAsia"/>
          <w:b w:val="0"/>
          <w:bCs w:val="0"/>
        </w:rPr>
        <w:t xml:space="preserve">25、投标文件的澄清</w:t>
      </w:r>
      <w:r>
        <w:rPr>
          <w:b w:val="0"/>
          <w:bCs w:val="0"/>
        </w:rPr>
      </w:r>
      <w:r/>
    </w:p>
    <w:p>
      <w:pPr>
        <w:pStyle w:val="65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53"/>
        <w:spacing w:line="480" w:lineRule="exact"/>
        <w:rPr>
          <w:rFonts w:ascii="宋体" w:hAnsi="宋体"/>
          <w:sz w:val="24"/>
          <w:szCs w:val="24"/>
        </w:rPr>
      </w:pPr>
      <w:r>
        <w:rPr>
          <w:rFonts w:hint="eastAsia" w:ascii="宋体" w:hAnsi="宋体"/>
          <w:sz w:val="24"/>
          <w:szCs w:val="24"/>
        </w:rPr>
        <w:t xml:space="preserve">    25.3 接到评委会澄清、说明和补正要求的投标人如未按规定做出澄清、说明和补正，其风险由投标人自行承担。</w:t>
      </w:r>
      <w:r>
        <w:rPr>
          <w:rFonts w:ascii="宋体" w:hAnsi="宋体"/>
          <w:sz w:val="24"/>
          <w:szCs w:val="24"/>
        </w:rPr>
      </w:r>
      <w:r/>
    </w:p>
    <w:p>
      <w:pPr>
        <w:pStyle w:val="878"/>
        <w:ind w:firstLine="420"/>
        <w:spacing w:before="0" w:after="0" w:line="240" w:lineRule="auto"/>
        <w:rPr>
          <w:b w:val="0"/>
          <w:bCs w:val="0"/>
        </w:rPr>
      </w:pPr>
      <w:r>
        <w:rPr>
          <w:rFonts w:hint="eastAsia"/>
          <w:b w:val="0"/>
          <w:bCs w:val="0"/>
        </w:rPr>
        <w:t xml:space="preserve">26、对投标文件的初审</w:t>
      </w:r>
      <w:r>
        <w:rPr>
          <w:b w:val="0"/>
          <w:bCs w:val="0"/>
        </w:rPr>
      </w:r>
      <w:r/>
    </w:p>
    <w:p>
      <w:pPr>
        <w:pStyle w:val="653"/>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pStyle w:val="653"/>
        <w:ind w:firstLine="480"/>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653"/>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653"/>
        <w:ind w:firstLine="480"/>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53"/>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653"/>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653"/>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53"/>
        <w:ind w:firstLine="420"/>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rPr>
          <w:rFonts w:ascii="宋体" w:hAnsi="宋体"/>
          <w:sz w:val="24"/>
        </w:rPr>
      </w:r>
      <w:r/>
    </w:p>
    <w:p>
      <w:pPr>
        <w:pStyle w:val="878"/>
        <w:ind w:firstLine="420"/>
        <w:spacing w:before="0" w:after="0" w:line="240" w:lineRule="auto"/>
        <w:rPr>
          <w:b w:val="0"/>
          <w:bCs w:val="0"/>
        </w:rPr>
      </w:pPr>
      <w:r>
        <w:rPr>
          <w:rFonts w:hint="eastAsia"/>
          <w:b w:val="0"/>
          <w:bCs w:val="0"/>
        </w:rPr>
        <w:t xml:space="preserve">27、无效投标条款和废标条款</w:t>
      </w:r>
      <w:r>
        <w:rPr>
          <w:b w:val="0"/>
          <w:bCs w:val="0"/>
        </w:rPr>
      </w:r>
      <w:r/>
    </w:p>
    <w:p>
      <w:pPr>
        <w:pStyle w:val="653"/>
        <w:ind w:left="479"/>
        <w:spacing w:line="440" w:lineRule="exact"/>
        <w:rPr>
          <w:rFonts w:ascii="宋体" w:hAnsi="宋体"/>
          <w:bCs/>
          <w:sz w:val="24"/>
        </w:rPr>
      </w:pPr>
      <w:r>
        <w:rPr>
          <w:rFonts w:hint="eastAsia" w:ascii="宋体" w:hAnsi="宋体"/>
          <w:bCs/>
          <w:sz w:val="24"/>
        </w:rPr>
        <w:t xml:space="preserve">27.1无效投标条款</w:t>
      </w:r>
      <w:r>
        <w:rPr>
          <w:rFonts w:ascii="宋体" w:hAnsi="宋体"/>
          <w:bCs/>
          <w:sz w:val="24"/>
        </w:rPr>
      </w:r>
      <w:r/>
    </w:p>
    <w:p>
      <w:pPr>
        <w:pStyle w:val="653"/>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pStyle w:val="653"/>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27.1.4投标人不具备招标文件中规定资格要求的。</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rPr>
          <w:rFonts w:ascii="宋体" w:hAnsi="宋体"/>
          <w:bCs/>
          <w:sz w:val="24"/>
        </w:rPr>
      </w:r>
      <w:r/>
    </w:p>
    <w:p>
      <w:pPr>
        <w:pStyle w:val="653"/>
        <w:ind w:firstLine="480"/>
        <w:spacing w:line="440" w:lineRule="exact"/>
        <w:rPr>
          <w:rFonts w:ascii="宋体" w:hAnsi="宋体"/>
          <w:bCs/>
          <w:i/>
          <w:sz w:val="24"/>
          <w:u w:val="single"/>
        </w:rPr>
      </w:pPr>
      <w:r>
        <w:rPr>
          <w:rFonts w:hint="eastAsia" w:ascii="宋体" w:hAnsi="宋体"/>
          <w:bCs/>
          <w:sz w:val="24"/>
        </w:rPr>
        <w:t xml:space="preserve">27.1.6未通过符合性审查的。</w:t>
      </w:r>
      <w:r>
        <w:rPr>
          <w:rFonts w:ascii="宋体" w:hAnsi="宋体"/>
          <w:bCs/>
          <w:i/>
          <w:sz w:val="24"/>
          <w:u w:val="single"/>
        </w:rPr>
      </w:r>
      <w:r/>
    </w:p>
    <w:p>
      <w:pPr>
        <w:pStyle w:val="653"/>
        <w:ind w:firstLine="360"/>
        <w:spacing w:line="440" w:lineRule="exact"/>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rPr>
          <w:rFonts w:ascii="宋体" w:hAnsi="宋体"/>
          <w:bCs/>
          <w:i/>
          <w:sz w:val="24"/>
          <w:u w:val="single"/>
        </w:rPr>
      </w:r>
      <w:r/>
    </w:p>
    <w:p>
      <w:pPr>
        <w:pStyle w:val="653"/>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27.1.12其他法律、法规及本招标文件规定的属无效投标的情形。</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27.2废标条款</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27.2.3因重大变故，采购任务取消的。</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rPr>
          <w:rFonts w:ascii="宋体" w:hAnsi="宋体"/>
          <w:bCs/>
          <w:sz w:val="24"/>
        </w:rPr>
      </w:r>
      <w:r/>
    </w:p>
    <w:p>
      <w:pPr>
        <w:pStyle w:val="653"/>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pStyle w:val="653"/>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rPr>
          <w:rFonts w:ascii="宋体" w:hAnsi="宋体"/>
          <w:bCs/>
          <w:sz w:val="24"/>
        </w:rPr>
      </w:r>
      <w:r/>
    </w:p>
    <w:p>
      <w:pPr>
        <w:pStyle w:val="876"/>
        <w:ind w:firstLine="482"/>
        <w:spacing w:before="145" w:after="145" w:line="360" w:lineRule="auto"/>
      </w:pPr>
      <w:r>
        <w:rPr>
          <w:rFonts w:hint="eastAsia"/>
        </w:rPr>
        <w:t xml:space="preserve">六、定标</w:t>
      </w:r>
      <w:r/>
    </w:p>
    <w:p>
      <w:pPr>
        <w:pStyle w:val="878"/>
        <w:ind w:firstLine="600"/>
        <w:spacing w:before="0" w:after="0" w:line="240" w:lineRule="auto"/>
        <w:rPr>
          <w:rFonts w:ascii="黑体" w:hAnsi="宋体"/>
          <w:b w:val="0"/>
          <w:sz w:val="30"/>
          <w:szCs w:val="30"/>
        </w:rPr>
      </w:pPr>
      <w:r>
        <w:rPr>
          <w:rFonts w:hint="eastAsia" w:ascii="黑体" w:hAnsi="宋体"/>
          <w:b w:val="0"/>
          <w:sz w:val="30"/>
          <w:szCs w:val="30"/>
        </w:rPr>
        <w:t xml:space="preserve">28、确定中标单位</w:t>
      </w:r>
      <w:r>
        <w:rPr>
          <w:rFonts w:ascii="黑体" w:hAnsi="宋体"/>
          <w:b w:val="0"/>
          <w:sz w:val="30"/>
          <w:szCs w:val="30"/>
        </w:rPr>
      </w:r>
      <w:r/>
    </w:p>
    <w:p>
      <w:pPr>
        <w:pStyle w:val="653"/>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rPr>
          <w:rFonts w:ascii="宋体" w:hAnsi="宋体"/>
          <w:bCs/>
          <w:sz w:val="24"/>
        </w:rPr>
      </w:r>
      <w:r/>
    </w:p>
    <w:p>
      <w:pPr>
        <w:pStyle w:val="653"/>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rPr>
          <w:rFonts w:ascii="宋体" w:hAnsi="宋体"/>
          <w:bCs/>
          <w:sz w:val="24"/>
        </w:rPr>
      </w:r>
      <w:r/>
    </w:p>
    <w:p>
      <w:pPr>
        <w:pStyle w:val="653"/>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交易中心将在“江苏政府采购网”、“扬州市政府采购网”发布中标公告，公告期限为1个工作日。</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28.4.1提供虚假材料谋取中标的。</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rPr>
          <w:rFonts w:ascii="宋体" w:hAnsi="宋体"/>
          <w:sz w:val="24"/>
          <w:szCs w:val="24"/>
        </w:rPr>
      </w:r>
      <w:r/>
    </w:p>
    <w:p>
      <w:pPr>
        <w:pStyle w:val="878"/>
        <w:ind w:firstLine="600"/>
        <w:spacing w:before="0" w:after="0" w:line="240" w:lineRule="auto"/>
        <w:rPr>
          <w:rFonts w:ascii="黑体" w:hAnsi="宋体"/>
          <w:b w:val="0"/>
          <w:sz w:val="30"/>
          <w:szCs w:val="30"/>
        </w:rPr>
      </w:pPr>
      <w:r>
        <w:rPr>
          <w:rFonts w:hint="eastAsia" w:ascii="黑体" w:hAnsi="宋体"/>
          <w:b w:val="0"/>
          <w:sz w:val="30"/>
          <w:szCs w:val="30"/>
        </w:rPr>
        <w:t xml:space="preserve">29、质疑处理</w:t>
      </w:r>
      <w:r>
        <w:rPr>
          <w:rFonts w:ascii="黑体" w:hAnsi="宋体"/>
          <w:b w:val="0"/>
          <w:sz w:val="30"/>
          <w:szCs w:val="30"/>
        </w:rPr>
      </w:r>
      <w:r/>
    </w:p>
    <w:p>
      <w:pPr>
        <w:pStyle w:val="653"/>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ascii="宋体" w:hAnsi="宋体"/>
          <w:sz w:val="24"/>
          <w:szCs w:val="24"/>
        </w:rPr>
      </w:r>
      <w:r/>
    </w:p>
    <w:p>
      <w:pPr>
        <w:pStyle w:val="653"/>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pStyle w:val="653"/>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pStyle w:val="653"/>
        <w:ind w:firstLine="480"/>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pStyle w:val="653"/>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653"/>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ascii="宋体" w:hAnsi="宋体"/>
          <w:b/>
          <w:color w:val="000000"/>
          <w:sz w:val="24"/>
          <w:szCs w:val="24"/>
        </w:rPr>
      </w:r>
      <w:r/>
    </w:p>
    <w:p>
      <w:pPr>
        <w:pStyle w:val="653"/>
        <w:ind w:firstLine="480"/>
        <w:spacing w:line="48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rPr>
          <w:rFonts w:ascii="宋体" w:hAnsi="宋体"/>
          <w:color w:val="000000"/>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29.5 以下情形的质疑不予受理</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rPr>
          <w:rFonts w:ascii="宋体" w:hAnsi="宋体"/>
          <w:sz w:val="24"/>
          <w:szCs w:val="24"/>
        </w:rPr>
      </w:r>
      <w:r/>
    </w:p>
    <w:p>
      <w:pPr>
        <w:pStyle w:val="653"/>
        <w:ind w:firstLine="468"/>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ascii="宋体" w:hAnsi="宋体"/>
          <w:sz w:val="24"/>
          <w:szCs w:val="24"/>
        </w:rPr>
      </w:r>
      <w:r/>
    </w:p>
    <w:p>
      <w:pPr>
        <w:pStyle w:val="878"/>
        <w:ind w:firstLine="600"/>
        <w:spacing w:before="0" w:after="0" w:line="240" w:lineRule="auto"/>
        <w:rPr>
          <w:rFonts w:ascii="黑体" w:hAnsi="宋体"/>
          <w:b w:val="0"/>
          <w:sz w:val="30"/>
          <w:szCs w:val="30"/>
        </w:rPr>
      </w:pPr>
      <w:r>
        <w:rPr>
          <w:rFonts w:hint="eastAsia" w:ascii="黑体" w:hAnsi="宋体"/>
          <w:b w:val="0"/>
          <w:sz w:val="30"/>
          <w:szCs w:val="30"/>
        </w:rPr>
        <w:t xml:space="preserve">30、中标通知书</w:t>
      </w:r>
      <w:r>
        <w:rPr>
          <w:rFonts w:ascii="黑体" w:hAnsi="宋体"/>
          <w:b w:val="0"/>
          <w:sz w:val="30"/>
          <w:szCs w:val="30"/>
        </w:rPr>
      </w:r>
      <w:r/>
    </w:p>
    <w:p>
      <w:pPr>
        <w:pStyle w:val="653"/>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653"/>
        <w:ind w:firstLine="600"/>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876"/>
        <w:spacing w:before="145" w:after="145" w:line="360" w:lineRule="auto"/>
      </w:pPr>
      <w:r>
        <w:rPr>
          <w:rFonts w:hint="eastAsia"/>
        </w:rPr>
        <w:t xml:space="preserve">七、授予合同</w:t>
      </w:r>
      <w:r/>
    </w:p>
    <w:p>
      <w:pPr>
        <w:pStyle w:val="878"/>
        <w:ind w:firstLine="600"/>
        <w:spacing w:before="0" w:after="0" w:line="240" w:lineRule="auto"/>
        <w:rPr>
          <w:rFonts w:ascii="黑体" w:hAnsi="宋体"/>
          <w:b w:val="0"/>
          <w:sz w:val="30"/>
          <w:szCs w:val="30"/>
        </w:rPr>
      </w:pPr>
      <w:r>
        <w:rPr>
          <w:rFonts w:hint="eastAsia" w:ascii="黑体" w:hAnsi="宋体"/>
          <w:b w:val="0"/>
          <w:sz w:val="30"/>
          <w:szCs w:val="30"/>
        </w:rPr>
        <w:t xml:space="preserve">31. 签订合同</w:t>
      </w:r>
      <w:r>
        <w:rPr>
          <w:rFonts w:ascii="黑体" w:hAnsi="宋体"/>
          <w:b w:val="0"/>
          <w:sz w:val="30"/>
          <w:szCs w:val="30"/>
        </w:rPr>
      </w:r>
      <w:r/>
    </w:p>
    <w:p>
      <w:pPr>
        <w:pStyle w:val="653"/>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.l中标人应当在中标通知书发出之日起三十日内，按照招标文件确定的事项与采购人签订政府采购合同。</w:t>
      </w:r>
      <w:r>
        <w:rPr>
          <w:rFonts w:ascii="宋体" w:hAnsi="宋体"/>
          <w:sz w:val="24"/>
          <w:szCs w:val="24"/>
        </w:rPr>
      </w:r>
      <w:r/>
    </w:p>
    <w:p>
      <w:pPr>
        <w:pStyle w:val="653"/>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653"/>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sz w:val="24"/>
          <w:szCs w:val="24"/>
        </w:rPr>
      </w:r>
      <w:r/>
    </w:p>
    <w:p>
      <w:pPr>
        <w:pStyle w:val="878"/>
        <w:ind w:firstLine="600"/>
        <w:spacing w:before="0" w:after="0" w:line="240" w:lineRule="auto"/>
        <w:rPr>
          <w:rFonts w:ascii="黑体" w:hAnsi="宋体"/>
          <w:b w:val="0"/>
          <w:sz w:val="30"/>
          <w:szCs w:val="30"/>
        </w:rPr>
      </w:pPr>
      <w:r>
        <w:rPr>
          <w:rFonts w:hint="eastAsia" w:ascii="黑体" w:hAnsi="宋体"/>
          <w:b w:val="0"/>
          <w:sz w:val="30"/>
          <w:szCs w:val="30"/>
        </w:rPr>
        <w:t xml:space="preserve">32、政府采购履约资金扶持政策</w:t>
      </w:r>
      <w:r>
        <w:rPr>
          <w:rFonts w:ascii="黑体" w:hAnsi="宋体"/>
          <w:b w:val="0"/>
          <w:sz w:val="30"/>
          <w:szCs w:val="30"/>
        </w:rPr>
      </w:r>
      <w:r/>
    </w:p>
    <w:p>
      <w:pPr>
        <w:pStyle w:val="880"/>
      </w:pPr>
      <w:r>
        <w:rPr>
          <w:rFonts w:hint="eastAsia" w:ascii="宋体" w:hAnsi="宋体"/>
          <w:bCs/>
          <w:sz w:val="24"/>
        </w:rPr>
        <w:t xml:space="preserve">中标人可凭政府采购合同办理融资贷款，详情请见江苏政府采购网、扬州市政府采购网“政采贷”专栏。</w:t>
      </w:r>
      <w:r/>
    </w:p>
    <w:p>
      <w:pPr>
        <w:pStyle w:val="653"/>
      </w:pPr>
      <w:r/>
      <w:r/>
    </w:p>
    <w:p>
      <w:pPr>
        <w:pStyle w:val="653"/>
      </w:pPr>
      <w:r/>
      <w:r/>
    </w:p>
    <w:p>
      <w:pPr>
        <w:pStyle w:val="653"/>
      </w:pPr>
      <w:r/>
      <w:r/>
    </w:p>
    <w:p>
      <w:pPr>
        <w:pStyle w:val="653"/>
      </w:pPr>
      <w:r/>
      <w:bookmarkEnd w:id="49"/>
      <w:r/>
      <w:bookmarkEnd w:id="50"/>
      <w:r/>
      <w:bookmarkEnd w:id="51"/>
      <w:r/>
      <w:bookmarkEnd w:id="52"/>
      <w:r/>
      <w:bookmarkEnd w:id="53"/>
      <w:r/>
      <w:r/>
    </w:p>
    <w:p>
      <w:pPr>
        <w:pStyle w:val="653"/>
      </w:pPr>
      <w:r/>
      <w:r/>
    </w:p>
    <w:p>
      <w:pPr>
        <w:pStyle w:val="653"/>
      </w:pPr>
      <w:r/>
      <w:bookmarkStart w:id="54" w:name="_Hlt16619350"/>
      <w:r/>
      <w:bookmarkStart w:id="55" w:name="_Toc20823346"/>
      <w:r/>
      <w:bookmarkStart w:id="56" w:name="_Toc16938590"/>
      <w:r/>
      <w:bookmarkStart w:id="57" w:name="_Toc120614244"/>
      <w:r/>
      <w:bookmarkStart w:id="58" w:name="_Toc479757211"/>
      <w:r/>
      <w:bookmarkStart w:id="59" w:name="_Toc462564139"/>
      <w:r/>
      <w:r/>
    </w:p>
    <w:p>
      <w:pPr>
        <w:pStyle w:val="653"/>
      </w:pPr>
      <w:r>
        <w:rPr>
          <w:rFonts w:hint="eastAsia"/>
        </w:rPr>
        <w:br w:type="page" w:clear="all"/>
      </w:r>
      <w:r/>
    </w:p>
    <w:p>
      <w:pPr>
        <w:pStyle w:val="654"/>
        <w:jc w:val="center"/>
      </w:pPr>
      <w:r/>
      <w:bookmarkStart w:id="60" w:name="_Toc17306"/>
      <w:r>
        <w:rPr>
          <w:rFonts w:hint="eastAsia"/>
        </w:rPr>
        <w:t xml:space="preserve">第三章  合同文本</w:t>
      </w:r>
      <w:bookmarkEnd w:id="60"/>
      <w:r/>
      <w:r/>
    </w:p>
    <w:p>
      <w:pPr>
        <w:pStyle w:val="653"/>
        <w:ind w:firstLine="480"/>
        <w:spacing w:line="500" w:lineRule="exact"/>
        <w:rPr>
          <w:rFonts w:ascii="宋体" w:hAnsi="宋体"/>
          <w:bCs/>
          <w:sz w:val="24"/>
          <w:szCs w:val="22"/>
        </w:rPr>
      </w:pPr>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r>
        <w:rPr>
          <w:rFonts w:ascii="宋体" w:hAnsi="宋体"/>
          <w:bCs/>
          <w:sz w:val="24"/>
          <w:szCs w:val="22"/>
        </w:rPr>
      </w:r>
      <w:r/>
    </w:p>
    <w:p>
      <w:pPr>
        <w:pStyle w:val="653"/>
        <w:jc w:val="center"/>
        <w:rPr>
          <w:b/>
          <w:bCs/>
          <w:sz w:val="30"/>
          <w:szCs w:val="30"/>
        </w:rPr>
      </w:pPr>
      <w:r>
        <w:rPr>
          <w:b/>
          <w:bCs/>
          <w:sz w:val="30"/>
          <w:szCs w:val="30"/>
        </w:rPr>
      </w:r>
      <w:r/>
    </w:p>
    <w:p>
      <w:pPr>
        <w:pStyle w:val="653"/>
        <w:jc w:val="center"/>
        <w:rPr>
          <w:b/>
          <w:bCs/>
          <w:sz w:val="30"/>
          <w:szCs w:val="30"/>
        </w:rPr>
      </w:pPr>
      <w:r>
        <w:rPr>
          <w:rFonts w:hint="eastAsia"/>
          <w:b/>
          <w:bCs/>
          <w:sz w:val="30"/>
          <w:szCs w:val="30"/>
        </w:rPr>
        <w:t xml:space="preserve">江苏省政府采购合同（货物）（合同编号）</w:t>
      </w:r>
      <w:r>
        <w:rPr>
          <w:b/>
          <w:bCs/>
          <w:sz w:val="30"/>
          <w:szCs w:val="30"/>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项目名称：</w:t>
      </w:r>
      <w:r>
        <w:rPr>
          <w:rFonts w:eastAsia="Times New Roman"/>
          <w:color w:val="000000"/>
          <w:sz w:val="24"/>
          <w:szCs w:val="22"/>
        </w:rPr>
        <w:t xml:space="preserve">_____</w:t>
      </w:r>
      <w:r>
        <w:rPr>
          <w:rFonts w:hint="eastAsia"/>
          <w:color w:val="000000"/>
          <w:sz w:val="24"/>
          <w:szCs w:val="22"/>
        </w:rPr>
        <w:t xml:space="preserve">  </w:t>
      </w:r>
      <w:r>
        <w:rPr>
          <w:rFonts w:eastAsia="Times New Roman"/>
          <w:color w:val="000000"/>
          <w:sz w:val="24"/>
          <w:szCs w:val="22"/>
        </w:rPr>
        <w:t xml:space="preserve">                                     </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项目编号：</w:t>
      </w:r>
      <w:r>
        <w:rPr>
          <w:rFonts w:eastAsia="Times New Roman"/>
          <w:color w:val="000000"/>
          <w:sz w:val="24"/>
          <w:szCs w:val="22"/>
        </w:rPr>
        <w:t xml:space="preserve">_____</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甲方：（买方）</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乙方：（卖方）</w:t>
      </w:r>
      <w:r>
        <w:rPr>
          <w:rFonts w:eastAsia="Times New Roman"/>
          <w:color w:val="000000"/>
          <w:sz w:val="24"/>
          <w:szCs w:val="22"/>
        </w:rPr>
        <w:t xml:space="preserve">_________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甲、乙双方根据</w:t>
      </w:r>
      <w:r>
        <w:rPr>
          <w:rFonts w:hint="eastAsia" w:ascii="宋体" w:hAnsi="宋体" w:cs="宋体"/>
          <w:color w:val="000000"/>
          <w:sz w:val="24"/>
          <w:szCs w:val="22"/>
        </w:rPr>
        <w:t xml:space="preserve">扬州市公共资源交易中心</w:t>
      </w:r>
      <w:r>
        <w:rPr>
          <w:rFonts w:eastAsia="Times New Roman"/>
          <w:color w:val="000000"/>
          <w:sz w:val="24"/>
          <w:szCs w:val="22"/>
          <w:u w:val="single"/>
        </w:rPr>
        <w:t xml:space="preserve">         </w:t>
      </w:r>
      <w:r>
        <w:rPr>
          <w:rFonts w:ascii="宋体" w:hAnsi="宋体" w:cs="宋体"/>
          <w:color w:val="000000"/>
          <w:sz w:val="24"/>
          <w:szCs w:val="22"/>
        </w:rPr>
        <w:t xml:space="preserve">项目公开招标的结果，签署本合同。</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一、合同内容</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 </w:t>
      </w:r>
      <w:r>
        <w:rPr>
          <w:rFonts w:ascii="宋体" w:hAnsi="宋体" w:cs="宋体"/>
          <w:color w:val="000000"/>
          <w:sz w:val="24"/>
          <w:szCs w:val="22"/>
        </w:rPr>
        <w:t xml:space="preserve">标的名称：</w:t>
      </w:r>
      <w:r>
        <w:rPr>
          <w:rFonts w:eastAsia="Times New Roman"/>
          <w:color w:val="000000"/>
          <w:sz w:val="24"/>
          <w:szCs w:val="22"/>
        </w:rPr>
        <w:t xml:space="preserve">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 </w:t>
      </w:r>
      <w:r>
        <w:rPr>
          <w:rFonts w:ascii="宋体" w:hAnsi="宋体" w:cs="宋体"/>
          <w:color w:val="000000"/>
          <w:sz w:val="24"/>
          <w:szCs w:val="22"/>
        </w:rPr>
        <w:t xml:space="preserve">标的质量：</w:t>
      </w:r>
      <w:r>
        <w:rPr>
          <w:rFonts w:eastAsia="Times New Roman"/>
          <w:color w:val="000000"/>
          <w:sz w:val="24"/>
          <w:szCs w:val="22"/>
        </w:rPr>
        <w:t xml:space="preserve">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 </w:t>
      </w:r>
      <w:r>
        <w:rPr>
          <w:rFonts w:ascii="宋体" w:hAnsi="宋体" w:cs="宋体"/>
          <w:color w:val="000000"/>
          <w:sz w:val="24"/>
          <w:szCs w:val="22"/>
        </w:rPr>
        <w:t xml:space="preserve">标的数量（规模）：</w:t>
      </w:r>
      <w:r>
        <w:rPr>
          <w:rFonts w:eastAsia="Times New Roman"/>
          <w:color w:val="000000"/>
          <w:sz w:val="24"/>
          <w:szCs w:val="22"/>
        </w:rPr>
        <w:t xml:space="preserve">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 </w:t>
      </w:r>
      <w:r>
        <w:rPr>
          <w:rFonts w:ascii="宋体" w:hAnsi="宋体" w:cs="宋体"/>
          <w:color w:val="000000"/>
          <w:sz w:val="24"/>
          <w:szCs w:val="22"/>
        </w:rPr>
        <w:t xml:space="preserve">履行时间（期限）：</w:t>
      </w:r>
      <w:r>
        <w:rPr>
          <w:rFonts w:eastAsia="Times New Roman"/>
          <w:color w:val="000000"/>
          <w:sz w:val="24"/>
          <w:szCs w:val="22"/>
        </w:rPr>
        <w:t xml:space="preserve">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 </w:t>
      </w:r>
      <w:r>
        <w:rPr>
          <w:rFonts w:ascii="宋体" w:hAnsi="宋体" w:cs="宋体"/>
          <w:color w:val="000000"/>
          <w:sz w:val="24"/>
          <w:szCs w:val="22"/>
        </w:rPr>
        <w:t xml:space="preserve">履行地点：</w:t>
      </w:r>
      <w:r>
        <w:rPr>
          <w:rFonts w:eastAsia="Times New Roman"/>
          <w:color w:val="000000"/>
          <w:sz w:val="24"/>
          <w:szCs w:val="22"/>
        </w:rPr>
        <w:t xml:space="preserve">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 </w:t>
      </w:r>
      <w:r>
        <w:rPr>
          <w:rFonts w:ascii="宋体" w:hAnsi="宋体" w:cs="宋体"/>
          <w:color w:val="000000"/>
          <w:sz w:val="24"/>
          <w:szCs w:val="22"/>
        </w:rPr>
        <w:t xml:space="preserve">履行方式：</w:t>
      </w:r>
      <w:r>
        <w:rPr>
          <w:rFonts w:eastAsia="Times New Roman"/>
          <w:color w:val="000000"/>
          <w:sz w:val="24"/>
          <w:szCs w:val="22"/>
        </w:rPr>
        <w:t xml:space="preserve">______</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 </w:t>
      </w:r>
      <w:r>
        <w:rPr>
          <w:rFonts w:ascii="宋体" w:hAnsi="宋体" w:cs="宋体"/>
          <w:color w:val="000000"/>
          <w:sz w:val="24"/>
          <w:szCs w:val="22"/>
        </w:rPr>
        <w:t xml:space="preserve">包装方式：</w:t>
      </w:r>
      <w:r>
        <w:rPr>
          <w:rFonts w:eastAsia="Times New Roman"/>
          <w:color w:val="000000"/>
          <w:sz w:val="24"/>
          <w:szCs w:val="22"/>
        </w:rPr>
        <w:t xml:space="preserve">______</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二、合同金额</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2.1 </w:t>
      </w:r>
      <w:r>
        <w:rPr>
          <w:rFonts w:ascii="宋体" w:hAnsi="宋体" w:cs="宋体"/>
          <w:color w:val="000000"/>
          <w:sz w:val="24"/>
          <w:szCs w:val="22"/>
        </w:rPr>
        <w:t xml:space="preserve">本合同金额为（大写）：</w:t>
      </w:r>
      <w:r>
        <w:rPr>
          <w:rFonts w:eastAsia="Times New Roman"/>
          <w:color w:val="000000"/>
          <w:sz w:val="24"/>
          <w:szCs w:val="22"/>
        </w:rPr>
        <w:t xml:space="preserve">_______</w:t>
      </w:r>
      <w:r>
        <w:rPr>
          <w:rFonts w:ascii="宋体" w:hAnsi="宋体" w:cs="宋体"/>
          <w:color w:val="000000"/>
          <w:sz w:val="24"/>
          <w:szCs w:val="22"/>
        </w:rPr>
        <w:t xml:space="preserve">圆（</w:t>
      </w:r>
      <w:r>
        <w:rPr>
          <w:rFonts w:eastAsia="Times New Roman"/>
          <w:color w:val="000000"/>
          <w:sz w:val="24"/>
          <w:szCs w:val="22"/>
        </w:rPr>
        <w:t xml:space="preserve">___</w:t>
      </w:r>
      <w:r>
        <w:rPr>
          <w:rFonts w:ascii="宋体" w:hAnsi="宋体" w:cs="宋体"/>
          <w:color w:val="000000"/>
          <w:sz w:val="24"/>
          <w:szCs w:val="22"/>
        </w:rPr>
        <w:t xml:space="preserve">元）人民币或其他币种。</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三、技术资料</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3.1</w:t>
      </w:r>
      <w:r>
        <w:rPr>
          <w:rFonts w:ascii="宋体" w:hAnsi="宋体" w:cs="宋体"/>
          <w:color w:val="000000"/>
          <w:sz w:val="24"/>
          <w:szCs w:val="22"/>
        </w:rPr>
        <w:t xml:space="preserve">乙方应按招标文件规定的时间向甲方提供使用货物</w:t>
      </w:r>
      <w:r>
        <w:rPr>
          <w:rFonts w:eastAsia="Times New Roman"/>
          <w:color w:val="000000"/>
          <w:sz w:val="24"/>
          <w:szCs w:val="22"/>
        </w:rPr>
        <w:t xml:space="preserve">(</w:t>
      </w:r>
      <w:r>
        <w:rPr>
          <w:rFonts w:ascii="宋体" w:hAnsi="宋体" w:cs="宋体"/>
          <w:color w:val="000000"/>
          <w:sz w:val="24"/>
          <w:szCs w:val="22"/>
        </w:rPr>
        <w:t xml:space="preserve">包含与货物相关的服务</w:t>
      </w:r>
      <w:r>
        <w:rPr>
          <w:rFonts w:eastAsia="Times New Roman"/>
          <w:color w:val="000000"/>
          <w:sz w:val="24"/>
          <w:szCs w:val="22"/>
        </w:rPr>
        <w:t xml:space="preserve">)</w:t>
      </w:r>
      <w:r>
        <w:rPr>
          <w:rFonts w:ascii="宋体" w:hAnsi="宋体" w:cs="宋体"/>
          <w:color w:val="000000"/>
          <w:sz w:val="24"/>
          <w:szCs w:val="22"/>
        </w:rPr>
        <w:t xml:space="preserve">的有关技术资料。</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3.2 </w:t>
      </w:r>
      <w:r>
        <w:rPr>
          <w:rFonts w:ascii="宋体" w:hAnsi="宋体" w:cs="宋体"/>
          <w:color w:val="000000"/>
          <w:sz w:val="24"/>
          <w:szCs w:val="2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四、知识产权</w:t>
      </w:r>
      <w:r>
        <w:rPr>
          <w:rFonts w:ascii="Calibri" w:hAnsi="Calibri"/>
          <w:szCs w:val="22"/>
        </w:rPr>
      </w:r>
      <w:r/>
    </w:p>
    <w:p>
      <w:pPr>
        <w:pStyle w:val="653"/>
        <w:ind w:firstLine="48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4.1</w:t>
      </w:r>
      <w:r>
        <w:rPr>
          <w:rFonts w:ascii="宋体" w:hAnsi="宋体" w:cs="宋体"/>
          <w:color w:val="000000"/>
          <w:sz w:val="24"/>
          <w:szCs w:val="22"/>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rPr>
        <w:t xml:space="preserve">     </w:t>
      </w:r>
      <w:r/>
    </w:p>
    <w:p>
      <w:pPr>
        <w:pStyle w:val="653"/>
        <w:ind w:firstLine="24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宋体" w:hAnsi="宋体" w:cs="宋体"/>
          <w:b/>
          <w:color w:val="000000"/>
          <w:sz w:val="24"/>
          <w:szCs w:val="22"/>
        </w:rPr>
        <w:t xml:space="preserve">五、产权担保</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5.1 </w:t>
      </w:r>
      <w:r>
        <w:rPr>
          <w:rFonts w:ascii="宋体" w:hAnsi="宋体" w:cs="宋体"/>
          <w:color w:val="000000"/>
          <w:sz w:val="24"/>
          <w:szCs w:val="22"/>
        </w:rPr>
        <w:t xml:space="preserve">乙方保证所交付的货物（包含与货物相关的服务）的所有权完全属于乙方且无任何抵押、查封等产权瑕疵。</w:t>
      </w:r>
      <w:r>
        <w:rPr>
          <w:rFonts w:ascii="Calibri" w:hAnsi="Calibri"/>
          <w:szCs w:val="22"/>
        </w:rPr>
      </w:r>
      <w:r/>
    </w:p>
    <w:p>
      <w:pPr>
        <w:pStyle w:val="653"/>
        <w:ind w:firstLine="482"/>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六、履约保证金</w:t>
      </w:r>
      <w:r/>
    </w:p>
    <w:p>
      <w:pPr>
        <w:pStyle w:val="653"/>
        <w:ind w:firstLine="480"/>
        <w:spacing w:before="120" w:after="120"/>
        <w:rPr>
          <w:rFonts w:ascii="宋体" w:hAnsi="宋体" w:cs="Courier New"/>
          <w:color w:val="000000"/>
          <w:sz w:val="24"/>
          <w:szCs w:val="24"/>
        </w:rPr>
      </w:pPr>
      <w:r>
        <w:rPr>
          <w:rFonts w:ascii="宋体" w:hAnsi="宋体" w:cs="Courier New"/>
          <w:color w:val="000000"/>
          <w:sz w:val="24"/>
          <w:szCs w:val="24"/>
        </w:rPr>
        <w:t xml:space="preserve">6.1 乙方交纳人民币零元作为本合同的履约保证金。</w:t>
      </w:r>
      <w:r/>
    </w:p>
    <w:p>
      <w:pPr>
        <w:pStyle w:val="65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ascii="宋体" w:hAnsi="宋体" w:cs="Courier New"/>
          <w:color w:val="000000"/>
          <w:sz w:val="24"/>
          <w:szCs w:val="24"/>
        </w:rPr>
      </w:r>
      <w:r/>
    </w:p>
    <w:p>
      <w:pPr>
        <w:pStyle w:val="65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6.2.1履约保证金退还方式：无</w:t>
      </w:r>
      <w:r>
        <w:rPr>
          <w:rFonts w:ascii="宋体" w:hAnsi="宋体" w:cs="Courier New"/>
          <w:color w:val="000000"/>
          <w:sz w:val="24"/>
          <w:szCs w:val="24"/>
        </w:rPr>
      </w:r>
      <w:r/>
    </w:p>
    <w:p>
      <w:pPr>
        <w:pStyle w:val="65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6.2.2履约保证金退还时间：无</w:t>
      </w:r>
      <w:r>
        <w:rPr>
          <w:rFonts w:ascii="宋体" w:hAnsi="宋体" w:cs="Courier New"/>
          <w:color w:val="000000"/>
          <w:sz w:val="24"/>
          <w:szCs w:val="24"/>
        </w:rPr>
      </w:r>
      <w:r/>
    </w:p>
    <w:p>
      <w:pPr>
        <w:pStyle w:val="65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6.2.3履约保证金退还条件：无</w:t>
      </w:r>
      <w:r>
        <w:rPr>
          <w:rFonts w:ascii="宋体" w:hAnsi="宋体" w:cs="Courier New"/>
          <w:color w:val="000000"/>
          <w:sz w:val="24"/>
          <w:szCs w:val="24"/>
        </w:rPr>
      </w:r>
      <w:r/>
    </w:p>
    <w:p>
      <w:pPr>
        <w:pStyle w:val="653"/>
        <w:ind w:firstLine="480"/>
        <w:spacing w:before="120" w:after="120"/>
      </w:pPr>
      <w:r>
        <w:rPr>
          <w:rFonts w:hint="eastAsia" w:ascii="宋体" w:hAnsi="宋体" w:cs="Courier New"/>
          <w:color w:val="000000"/>
          <w:sz w:val="24"/>
          <w:szCs w:val="24"/>
        </w:rPr>
        <w:t xml:space="preserve">6.2.4履约保证金不予退还的情形：无</w:t>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七、质保期</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质保期</w:t>
      </w:r>
      <w:r>
        <w:rPr>
          <w:rFonts w:eastAsia="Times New Roman"/>
          <w:color w:val="000000"/>
          <w:sz w:val="24"/>
          <w:szCs w:val="22"/>
          <w:u w:val="single"/>
        </w:rPr>
        <w:t xml:space="preserve">   </w:t>
      </w:r>
      <w:r>
        <w:rPr>
          <w:rFonts w:eastAsia="Times New Roman"/>
          <w:color w:val="000000"/>
          <w:sz w:val="24"/>
          <w:szCs w:val="22"/>
          <w:u w:val="single"/>
        </w:rPr>
        <w:t xml:space="preserve">3</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八、合同转包或分包</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8.1</w:t>
      </w:r>
      <w:r>
        <w:rPr>
          <w:rFonts w:ascii="宋体" w:hAnsi="宋体" w:cs="宋体"/>
          <w:color w:val="000000"/>
          <w:sz w:val="24"/>
          <w:szCs w:val="22"/>
        </w:rPr>
        <w:t xml:space="preserve">乙方不得将合同标的转包给他人履行。</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8.2</w:t>
      </w:r>
      <w:r>
        <w:rPr>
          <w:rFonts w:ascii="宋体" w:hAnsi="宋体" w:cs="宋体"/>
          <w:color w:val="000000"/>
          <w:sz w:val="24"/>
          <w:szCs w:val="22"/>
        </w:rPr>
        <w:t xml:space="preserve">乙方不得将合同标的分包给他人履行。</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8.3</w:t>
      </w:r>
      <w:r>
        <w:rPr>
          <w:rFonts w:ascii="宋体" w:hAnsi="宋体" w:cs="宋体"/>
          <w:color w:val="000000"/>
          <w:sz w:val="24"/>
          <w:szCs w:val="22"/>
        </w:rPr>
        <w:t xml:space="preserve">乙方如有转包或未经甲方同意的分包行为，甲方有权给予终止合同。</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九、合同款项支付</w:t>
      </w:r>
      <w:r>
        <w:rPr>
          <w:rFonts w:ascii="Calibri" w:hAnsi="Calibri"/>
          <w:szCs w:val="22"/>
        </w:rPr>
      </w:r>
      <w:r/>
    </w:p>
    <w:p>
      <w:pPr>
        <w:pStyle w:val="653"/>
        <w:ind w:firstLine="480"/>
        <w:spacing w:before="120" w:after="120"/>
        <w:rPr>
          <w:rFonts w:ascii="宋体" w:hAnsi="宋体" w:cs="Courier New"/>
          <w:b/>
          <w:color w:val="000000"/>
          <w:sz w:val="24"/>
          <w:szCs w:val="24"/>
        </w:rPr>
      </w:pPr>
      <w:r>
        <w:rPr>
          <w:rFonts w:hint="eastAsia" w:ascii="宋体" w:hAnsi="宋体" w:cs="Courier New"/>
          <w:b/>
          <w:color w:val="ff0000"/>
          <w:sz w:val="24"/>
          <w:szCs w:val="24"/>
        </w:rPr>
        <w:t xml:space="preserve">合同签订后，乙方向甲方开具发票，甲方自收到发票之日起10个工作日内支付合同总价30%的预付款；项目完成设备安装、调试和试运行后，乙方向甲方开具发票，甲方自收到发票之日起10个工作日内支付合同总价的60%；项目完成验收后，乙方向甲方开具发票，甲方自收到发票之日起10个工作日内支付余款。</w:t>
      </w:r>
      <w:r>
        <w:rPr>
          <w:rFonts w:ascii="宋体" w:hAnsi="宋体" w:cs="Courier New"/>
          <w:b/>
          <w:color w:val="000000"/>
          <w:sz w:val="24"/>
          <w:szCs w:val="24"/>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十、税费</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10.1</w:t>
      </w:r>
      <w:r>
        <w:rPr>
          <w:rFonts w:ascii="宋体" w:hAnsi="宋体" w:cs="宋体"/>
          <w:color w:val="000000"/>
          <w:sz w:val="24"/>
          <w:szCs w:val="22"/>
        </w:rPr>
        <w:t xml:space="preserve">本合同执行中相关的一切税费均由乙方负担。</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十一、质量保修范围和保修期及售后服务</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11.1 </w:t>
      </w:r>
      <w:r>
        <w:rPr>
          <w:rFonts w:ascii="宋体" w:hAnsi="宋体" w:cs="宋体"/>
          <w:color w:val="000000"/>
          <w:sz w:val="24"/>
          <w:szCs w:val="22"/>
        </w:rPr>
        <w:t xml:space="preserve">乙方应按招标文件规定的货物性能、技术要求、质量标准向甲方提供未经使用的全新产品。</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11.2 </w:t>
      </w:r>
      <w:r>
        <w:rPr>
          <w:rFonts w:ascii="宋体" w:hAnsi="宋体" w:cs="宋体"/>
          <w:color w:val="000000"/>
          <w:sz w:val="24"/>
          <w:szCs w:val="22"/>
        </w:rPr>
        <w:t xml:space="preserve">乙方提供的货物在质量期内因货物本身的质量问题发生故障，乙方应负责免费更换。对达不到技术要求者，根据实际情况，经双方协商，可按以下办法处理：</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⑴更换：由乙方承担所发生的全部费用。</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⑵贬值处理：由甲乙双方合议定价。</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⑶退货处理：乙方应退还甲方支付的合同款，同时应承担该货物的直接费用（运输、保险、检验、货款利息及银行手续费等）。</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11.3 </w:t>
      </w:r>
      <w:r>
        <w:rPr>
          <w:rFonts w:ascii="宋体" w:hAnsi="宋体" w:cs="宋体"/>
          <w:color w:val="000000"/>
          <w:sz w:val="24"/>
          <w:szCs w:val="22"/>
        </w:rPr>
        <w:t xml:space="preserve">如在使用过程中发生质量问题，乙方在接到甲方通知后在</w:t>
      </w:r>
      <w:r>
        <w:rPr>
          <w:rFonts w:eastAsia="Times New Roman"/>
          <w:color w:val="000000"/>
          <w:sz w:val="24"/>
          <w:szCs w:val="22"/>
        </w:rPr>
        <w:t xml:space="preserve">_________</w:t>
      </w:r>
      <w:r>
        <w:rPr>
          <w:rFonts w:ascii="宋体" w:hAnsi="宋体" w:cs="宋体"/>
          <w:color w:val="000000"/>
          <w:sz w:val="24"/>
          <w:szCs w:val="22"/>
        </w:rPr>
        <w:t xml:space="preserve">小时内到达甲方现场。</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11.4 </w:t>
      </w:r>
      <w:r>
        <w:rPr>
          <w:rFonts w:ascii="宋体" w:hAnsi="宋体" w:cs="宋体"/>
          <w:color w:val="000000"/>
          <w:sz w:val="24"/>
          <w:szCs w:val="22"/>
        </w:rPr>
        <w:t xml:space="preserve">在质保期内，乙方应对货物出现的质量及安全问题负责处理解决并承担一切费用。</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11.5</w:t>
      </w:r>
      <w:r>
        <w:rPr>
          <w:rFonts w:ascii="宋体" w:hAnsi="宋体" w:cs="宋体"/>
          <w:color w:val="000000"/>
          <w:sz w:val="24"/>
          <w:szCs w:val="22"/>
        </w:rPr>
        <w:t xml:space="preserve">上述的货物免费保修期为</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年（自交货验收合格之日起计），因人为因素出现的故障不在免费保修范围内。超过保修期的机器设备，终生维修，维修时只收部件成本费。</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十二、项目验收</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12.1 </w:t>
      </w:r>
      <w:r>
        <w:rPr>
          <w:rFonts w:ascii="宋体" w:hAnsi="宋体" w:cs="宋体"/>
          <w:color w:val="000000"/>
          <w:sz w:val="24"/>
          <w:szCs w:val="22"/>
        </w:rPr>
        <w:t xml:space="preserve">甲方依法组织履约验收工作。</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12.2 </w:t>
      </w:r>
      <w:r>
        <w:rPr>
          <w:rFonts w:ascii="宋体" w:hAnsi="宋体" w:cs="宋体"/>
          <w:color w:val="000000"/>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12.3 </w:t>
      </w:r>
      <w:r>
        <w:rPr>
          <w:rFonts w:ascii="宋体" w:hAnsi="宋体" w:cs="宋体"/>
          <w:color w:val="000000"/>
          <w:sz w:val="24"/>
          <w:szCs w:val="22"/>
        </w:rPr>
        <w:t xml:space="preserve">对于实际使用人和甲方分离的项目，甲方邀请实际使用人参与验收。</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12.4 </w:t>
      </w:r>
      <w:r>
        <w:rPr>
          <w:rFonts w:ascii="宋体" w:hAnsi="宋体" w:cs="宋体"/>
          <w:color w:val="000000"/>
          <w:sz w:val="24"/>
          <w:szCs w:val="22"/>
        </w:rPr>
        <w:t xml:space="preserve">如有必要，甲方邀请参加本项目的其他供应商或第三方专业机构及专家参与验收，相关意见将作为验收书的参考资料。</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12.5 </w:t>
      </w:r>
      <w:r>
        <w:rPr>
          <w:rFonts w:ascii="宋体" w:hAnsi="宋体" w:cs="宋体"/>
          <w:color w:val="000000"/>
          <w:sz w:val="24"/>
          <w:szCs w:val="22"/>
        </w:rPr>
        <w:t xml:space="preserve">甲方成立验收小组，按照采购合同的约定对乙方的履约情况进行验收。验收时间、验收标准见招标文件验收内容。验收时</w:t>
      </w:r>
      <w:r>
        <w:rPr>
          <w:rFonts w:eastAsia="Times New Roman"/>
          <w:color w:val="000000"/>
          <w:sz w:val="24"/>
          <w:szCs w:val="22"/>
        </w:rPr>
        <w:t xml:space="preserve">,</w:t>
      </w:r>
      <w:r>
        <w:rPr>
          <w:rFonts w:ascii="宋体" w:hAnsi="宋体" w:cs="宋体"/>
          <w:color w:val="000000"/>
          <w:sz w:val="24"/>
          <w:szCs w:val="22"/>
        </w:rPr>
        <w:t xml:space="preserve">甲方按照采购合同的约定对每一项技术、商务要求的履约情况进行确认。验收结束后</w:t>
      </w:r>
      <w:r>
        <w:rPr>
          <w:rFonts w:eastAsia="Times New Roman"/>
          <w:color w:val="000000"/>
          <w:sz w:val="24"/>
          <w:szCs w:val="22"/>
        </w:rPr>
        <w:t xml:space="preserve">,</w:t>
      </w:r>
      <w:r>
        <w:rPr>
          <w:rFonts w:ascii="宋体" w:hAnsi="宋体" w:cs="宋体"/>
          <w:color w:val="000000"/>
          <w:sz w:val="24"/>
          <w:szCs w:val="22"/>
        </w:rPr>
        <w:t xml:space="preserve">验收小组出具验收书</w:t>
      </w:r>
      <w:r>
        <w:rPr>
          <w:rFonts w:eastAsia="Times New Roman"/>
          <w:color w:val="000000"/>
          <w:sz w:val="24"/>
          <w:szCs w:val="22"/>
        </w:rPr>
        <w:t xml:space="preserve">,</w:t>
      </w:r>
      <w:r>
        <w:rPr>
          <w:rFonts w:ascii="宋体" w:hAnsi="宋体" w:cs="宋体"/>
          <w:color w:val="000000"/>
          <w:sz w:val="24"/>
          <w:szCs w:val="22"/>
        </w:rPr>
        <w:t xml:space="preserve">列明各项标准的验收情况及项目总体评价</w:t>
      </w:r>
      <w:r>
        <w:rPr>
          <w:rFonts w:eastAsia="Times New Roman"/>
          <w:color w:val="000000"/>
          <w:sz w:val="24"/>
          <w:szCs w:val="22"/>
        </w:rPr>
        <w:t xml:space="preserve">,</w:t>
      </w:r>
      <w:r>
        <w:rPr>
          <w:rFonts w:ascii="宋体" w:hAnsi="宋体" w:cs="宋体"/>
          <w:color w:val="000000"/>
          <w:sz w:val="24"/>
          <w:szCs w:val="22"/>
        </w:rPr>
        <w:t xml:space="preserve">由验收双方共同签署。验收结果与采购合同约定的资金支付及履约保证金返还条件挂钩。履约验收的各项资料存档备查。</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12.6 </w:t>
      </w:r>
      <w:r>
        <w:rPr>
          <w:rFonts w:ascii="宋体" w:hAnsi="宋体" w:cs="宋体"/>
          <w:color w:val="000000"/>
          <w:sz w:val="24"/>
          <w:szCs w:val="22"/>
        </w:rPr>
        <w:t xml:space="preserve">验收合格的项目</w:t>
      </w:r>
      <w:r>
        <w:rPr>
          <w:rFonts w:eastAsia="Times New Roman"/>
          <w:color w:val="000000"/>
          <w:sz w:val="24"/>
          <w:szCs w:val="22"/>
        </w:rPr>
        <w:t xml:space="preserve">,</w:t>
      </w:r>
      <w:r>
        <w:rPr>
          <w:rFonts w:ascii="宋体" w:hAnsi="宋体" w:cs="宋体"/>
          <w:color w:val="000000"/>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 xml:space="preserve">,</w:t>
      </w:r>
      <w:r>
        <w:rPr>
          <w:rFonts w:ascii="宋体" w:hAnsi="宋体" w:cs="宋体"/>
          <w:color w:val="000000"/>
          <w:sz w:val="24"/>
          <w:szCs w:val="22"/>
        </w:rPr>
        <w:t xml:space="preserve">甲方将及时报告本级财政部门。</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十三、货物的包装、发运及运输</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13.1 </w:t>
      </w:r>
      <w:r>
        <w:rPr>
          <w:rFonts w:ascii="宋体" w:hAnsi="宋体" w:cs="宋体"/>
          <w:color w:val="000000"/>
          <w:sz w:val="24"/>
          <w:szCs w:val="22"/>
        </w:rPr>
        <w:t xml:space="preserve">乙方应在货物发运前对其进行满足运输距离、防潮、防震、防锈和防破损装卸等要求包装，以保证货物安全运达甲方指定地点。</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13.2 </w:t>
      </w:r>
      <w:r>
        <w:rPr>
          <w:rFonts w:ascii="宋体" w:hAnsi="宋体" w:cs="宋体"/>
          <w:color w:val="000000"/>
          <w:sz w:val="24"/>
          <w:szCs w:val="22"/>
        </w:rPr>
        <w:t xml:space="preserve">使用说明书、质量检验证明书、随配附件和工具以及清单一并附于货物内。</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13.3 </w:t>
      </w:r>
      <w:r>
        <w:rPr>
          <w:rFonts w:ascii="宋体" w:hAnsi="宋体" w:cs="宋体"/>
          <w:color w:val="000000"/>
          <w:sz w:val="24"/>
          <w:szCs w:val="22"/>
        </w:rPr>
        <w:t xml:space="preserve">乙方在货物发运手续办理完毕后</w:t>
      </w:r>
      <w:r>
        <w:rPr>
          <w:rFonts w:eastAsia="Times New Roman"/>
          <w:color w:val="000000"/>
          <w:sz w:val="24"/>
          <w:szCs w:val="22"/>
        </w:rPr>
        <w:t xml:space="preserve">24</w:t>
      </w:r>
      <w:r>
        <w:rPr>
          <w:rFonts w:ascii="宋体" w:hAnsi="宋体" w:cs="宋体"/>
          <w:color w:val="000000"/>
          <w:sz w:val="24"/>
          <w:szCs w:val="22"/>
        </w:rPr>
        <w:t xml:space="preserve">小时内或货到甲方</w:t>
      </w:r>
      <w:r>
        <w:rPr>
          <w:rFonts w:eastAsia="Times New Roman"/>
          <w:color w:val="000000"/>
          <w:sz w:val="24"/>
          <w:szCs w:val="22"/>
        </w:rPr>
        <w:t xml:space="preserve">48</w:t>
      </w:r>
      <w:r>
        <w:rPr>
          <w:rFonts w:ascii="宋体" w:hAnsi="宋体" w:cs="宋体"/>
          <w:color w:val="000000"/>
          <w:sz w:val="24"/>
          <w:szCs w:val="22"/>
        </w:rPr>
        <w:t xml:space="preserve">小时前通知甲方，以准备接货。</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13.4 </w:t>
      </w:r>
      <w:r>
        <w:rPr>
          <w:rFonts w:ascii="宋体" w:hAnsi="宋体" w:cs="宋体"/>
          <w:color w:val="000000"/>
          <w:sz w:val="24"/>
          <w:szCs w:val="22"/>
        </w:rPr>
        <w:t xml:space="preserve">货物在交付甲方前发生的风险均由乙方负责。</w:t>
      </w:r>
      <w:r>
        <w:rPr>
          <w:rFonts w:ascii="Calibri" w:hAnsi="Calibri"/>
          <w:szCs w:val="22"/>
        </w:rPr>
      </w:r>
      <w:r/>
    </w:p>
    <w:p>
      <w:pPr>
        <w:pStyle w:val="653"/>
        <w:ind w:firstLine="480"/>
        <w:spacing w:before="156" w:after="156"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13.5 </w:t>
      </w:r>
      <w:r>
        <w:rPr>
          <w:rFonts w:ascii="宋体" w:hAnsi="宋体" w:cs="宋体"/>
          <w:color w:val="000000"/>
          <w:sz w:val="24"/>
          <w:szCs w:val="22"/>
        </w:rPr>
        <w:t xml:space="preserve">货物在规定的交付期限内由乙方送达甲方指定的地点视为交付，乙方同时需通知甲方货物已送达。</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十四、违约责任</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14.1 </w:t>
      </w:r>
      <w:r>
        <w:rPr>
          <w:rFonts w:ascii="宋体" w:hAnsi="宋体" w:cs="宋体"/>
          <w:color w:val="000000"/>
          <w:sz w:val="24"/>
          <w:szCs w:val="22"/>
        </w:rPr>
        <w:t xml:space="preserve">甲方无正当理由拒收货物的，甲方向乙方偿付拒收货款总值</w:t>
      </w:r>
      <w:r>
        <w:rPr>
          <w:rFonts w:eastAsia="Times New Roman"/>
          <w:color w:val="000000"/>
          <w:sz w:val="24"/>
          <w:szCs w:val="22"/>
          <w:u w:val="single"/>
        </w:rPr>
        <w:t xml:space="preserve">     </w:t>
      </w:r>
      <w:r>
        <w:rPr>
          <w:rFonts w:ascii="宋体" w:hAnsi="宋体" w:cs="宋体"/>
          <w:color w:val="000000"/>
          <w:sz w:val="24"/>
          <w:szCs w:val="22"/>
        </w:rPr>
        <w:t xml:space="preserve">的违约金。</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14.2 </w:t>
      </w:r>
      <w:r>
        <w:rPr>
          <w:rFonts w:ascii="宋体" w:hAnsi="宋体" w:cs="宋体"/>
          <w:color w:val="000000"/>
          <w:sz w:val="24"/>
          <w:szCs w:val="22"/>
        </w:rPr>
        <w:t xml:space="preserve">甲方无故逾期验收和办理货款支付手续的</w:t>
      </w:r>
      <w:r>
        <w:rPr>
          <w:rFonts w:eastAsia="Times New Roman"/>
          <w:color w:val="000000"/>
          <w:sz w:val="24"/>
          <w:szCs w:val="22"/>
        </w:rPr>
        <w:t xml:space="preserve">,</w:t>
      </w:r>
      <w:r>
        <w:rPr>
          <w:rFonts w:ascii="宋体" w:hAnsi="宋体" w:cs="宋体"/>
          <w:color w:val="000000"/>
          <w:sz w:val="24"/>
          <w:szCs w:val="22"/>
        </w:rPr>
        <w:t xml:space="preserve">甲方应按逾期付款总额每日</w:t>
      </w:r>
      <w:r>
        <w:rPr>
          <w:rFonts w:eastAsia="Times New Roman"/>
          <w:color w:val="000000"/>
          <w:sz w:val="24"/>
          <w:szCs w:val="22"/>
        </w:rPr>
        <w:t xml:space="preserve">       </w:t>
      </w:r>
      <w:r>
        <w:rPr>
          <w:rFonts w:ascii="宋体" w:hAnsi="宋体" w:cs="宋体"/>
          <w:color w:val="000000"/>
          <w:sz w:val="24"/>
          <w:szCs w:val="22"/>
        </w:rPr>
        <w:t xml:space="preserve">向乙方支付违约金。</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14.3 </w:t>
      </w:r>
      <w:r>
        <w:rPr>
          <w:rFonts w:ascii="宋体" w:hAnsi="宋体" w:cs="宋体"/>
          <w:color w:val="000000"/>
          <w:sz w:val="24"/>
          <w:szCs w:val="22"/>
        </w:rPr>
        <w:t xml:space="preserve">乙方逾期交付货物的，乙方应按逾期交货总额每日</w:t>
      </w:r>
      <w:r>
        <w:rPr>
          <w:rFonts w:eastAsia="Times New Roman"/>
          <w:color w:val="000000"/>
          <w:sz w:val="24"/>
          <w:szCs w:val="22"/>
          <w:u w:val="single"/>
        </w:rPr>
        <w:t xml:space="preserve">     </w:t>
      </w:r>
      <w:r>
        <w:rPr>
          <w:rFonts w:hint="eastAsia"/>
          <w:color w:val="000000"/>
          <w:sz w:val="24"/>
          <w:szCs w:val="22"/>
          <w:u w:val="single"/>
        </w:rPr>
        <w:t xml:space="preserve"> </w:t>
      </w:r>
      <w:r>
        <w:rPr>
          <w:rFonts w:ascii="宋体" w:hAnsi="宋体" w:cs="宋体"/>
          <w:color w:val="000000"/>
          <w:sz w:val="24"/>
          <w:szCs w:val="22"/>
        </w:rPr>
        <w:t xml:space="preserve">向甲方支付违约金，由甲方从待付货款中扣除。逾期超过约定日期</w:t>
      </w:r>
      <w:r>
        <w:rPr>
          <w:rFonts w:eastAsia="Times New Roman"/>
          <w:color w:val="000000"/>
          <w:sz w:val="24"/>
          <w:szCs w:val="22"/>
        </w:rPr>
        <w:t xml:space="preserve">10</w:t>
      </w:r>
      <w:r>
        <w:rPr>
          <w:rFonts w:ascii="宋体" w:hAnsi="宋体" w:cs="宋体"/>
          <w:color w:val="000000"/>
          <w:sz w:val="24"/>
          <w:szCs w:val="22"/>
        </w:rPr>
        <w:t xml:space="preserve">个工作日不能交货的，甲方可解除本合同。乙方因逾期交货或因其他违约行为导致甲方解除合同的，乙方应向甲方支付合同总值</w:t>
      </w:r>
      <w:r>
        <w:rPr>
          <w:rFonts w:eastAsia="Times New Roman"/>
          <w:color w:val="000000"/>
          <w:sz w:val="24"/>
          <w:szCs w:val="22"/>
          <w:u w:val="single"/>
        </w:rPr>
        <w:t xml:space="preserve">    </w:t>
      </w:r>
      <w:r>
        <w:rPr>
          <w:rFonts w:ascii="宋体" w:hAnsi="宋体" w:cs="宋体"/>
          <w:color w:val="000000"/>
          <w:sz w:val="24"/>
          <w:szCs w:val="22"/>
        </w:rPr>
        <w:t xml:space="preserve">的违约金，如造成甲方损失超过违约金的，超出部分由乙方继续承担赔偿责任。</w:t>
      </w:r>
      <w:r>
        <w:rPr>
          <w:rFonts w:eastAsia="Times New Roman"/>
          <w:color w:val="000000"/>
          <w:sz w:val="24"/>
          <w:szCs w:val="22"/>
        </w:rPr>
        <w:t xml:space="preserve"> </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14.4 </w:t>
      </w:r>
      <w:r>
        <w:rPr>
          <w:rFonts w:ascii="宋体" w:hAnsi="宋体" w:cs="宋体"/>
          <w:color w:val="000000"/>
          <w:sz w:val="24"/>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十五、不可抗力事件处理</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15.1 </w:t>
      </w:r>
      <w:r>
        <w:rPr>
          <w:rFonts w:ascii="宋体" w:hAnsi="宋体" w:cs="宋体"/>
          <w:color w:val="000000"/>
          <w:sz w:val="24"/>
          <w:szCs w:val="22"/>
        </w:rPr>
        <w:t xml:space="preserve">在合同有效期内，任何一方因不可抗力事件导致不能履行合同，则合同履行期可延长，其延长期与不可抗力影响期相同。</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15.2 </w:t>
      </w:r>
      <w:r>
        <w:rPr>
          <w:rFonts w:ascii="宋体" w:hAnsi="宋体" w:cs="宋体"/>
          <w:color w:val="000000"/>
          <w:sz w:val="24"/>
          <w:szCs w:val="22"/>
        </w:rPr>
        <w:t xml:space="preserve">不可抗力事件发生后，应立即通知对方，并寄送有关权威机构出具的证明。</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15.3 </w:t>
      </w:r>
      <w:r>
        <w:rPr>
          <w:rFonts w:ascii="宋体" w:hAnsi="宋体" w:cs="宋体"/>
          <w:color w:val="000000"/>
          <w:sz w:val="24"/>
          <w:szCs w:val="22"/>
        </w:rPr>
        <w:t xml:space="preserve">不可抗力事件延续</w:t>
      </w:r>
      <w:r>
        <w:rPr>
          <w:rFonts w:eastAsia="Times New Roman"/>
          <w:color w:val="000000"/>
          <w:sz w:val="24"/>
          <w:szCs w:val="22"/>
        </w:rPr>
        <w:t xml:space="preserve">120</w:t>
      </w:r>
      <w:r>
        <w:rPr>
          <w:rFonts w:ascii="宋体" w:hAnsi="宋体" w:cs="宋体"/>
          <w:color w:val="000000"/>
          <w:sz w:val="24"/>
          <w:szCs w:val="22"/>
        </w:rPr>
        <w:t xml:space="preserve">天以上，双方应通过友好协商，确定是否继续履行合同。</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十六、解决争议的方法</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16.1</w:t>
      </w:r>
      <w:r>
        <w:rPr>
          <w:rFonts w:ascii="宋体" w:hAnsi="宋体" w:cs="宋体"/>
          <w:color w:val="000000"/>
          <w:sz w:val="24"/>
          <w:szCs w:val="22"/>
        </w:rPr>
        <w:t xml:space="preserve">甲乙双方因合同签订、履行而发生的一切争议，应通过友好协商解决。如协商不成由甲方住所地人民法院管辖。</w:t>
      </w:r>
      <w:r>
        <w:rPr>
          <w:rFonts w:ascii="Calibri" w:hAnsi="Calibri"/>
          <w:szCs w:val="22"/>
        </w:rPr>
      </w:r>
      <w:r/>
    </w:p>
    <w:p>
      <w:pPr>
        <w:pStyle w:val="65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十七、合同生效及其它</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17.1 </w:t>
      </w:r>
      <w:r>
        <w:rPr>
          <w:rFonts w:ascii="宋体" w:hAnsi="宋体" w:cs="宋体"/>
          <w:color w:val="000000"/>
          <w:sz w:val="24"/>
          <w:szCs w:val="22"/>
        </w:rPr>
        <w:t xml:space="preserve">合同经双方法定代表人或授权委托代表人签字并加盖单位公章后生效。</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17.2</w:t>
      </w:r>
      <w:r>
        <w:rPr>
          <w:rFonts w:ascii="宋体" w:hAnsi="宋体" w:cs="宋体"/>
          <w:color w:val="000000"/>
          <w:sz w:val="24"/>
          <w:szCs w:val="22"/>
        </w:rPr>
        <w:t xml:space="preserve">本合同未尽事宜，遵照《中华人民共和国民法典》《中华人民共和国政府采购法》有关条文执行。</w:t>
      </w:r>
      <w:r>
        <w:rPr>
          <w:rFonts w:ascii="Calibri" w:hAnsi="Calibri"/>
          <w:szCs w:val="22"/>
        </w:rPr>
      </w:r>
      <w:r/>
    </w:p>
    <w:p>
      <w:pPr>
        <w:pStyle w:val="65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17.3 </w:t>
      </w:r>
      <w:r>
        <w:rPr>
          <w:rFonts w:ascii="宋体" w:hAnsi="宋体" w:cs="宋体"/>
          <w:color w:val="000000"/>
          <w:sz w:val="24"/>
          <w:szCs w:val="22"/>
        </w:rPr>
        <w:t xml:space="preserve">本合同正本一式</w:t>
      </w:r>
      <w:r>
        <w:rPr>
          <w:rFonts w:eastAsia="Times New Roman"/>
          <w:color w:val="000000"/>
          <w:sz w:val="24"/>
          <w:szCs w:val="22"/>
        </w:rPr>
        <w:t xml:space="preserve">___</w:t>
      </w:r>
      <w:r>
        <w:rPr>
          <w:rFonts w:ascii="宋体" w:hAnsi="宋体" w:cs="宋体"/>
          <w:color w:val="000000"/>
          <w:sz w:val="24"/>
          <w:szCs w:val="22"/>
        </w:rPr>
        <w:t xml:space="preserve">份，具有同等法律效力，甲方、乙方及财政监管部门各执一份。</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甲方（盖章）：</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乙方（盖章）：</w:t>
      </w:r>
      <w:r>
        <w:rPr>
          <w:rFonts w:eastAsia="Times New Roman"/>
          <w:color w:val="000000"/>
          <w:sz w:val="24"/>
          <w:szCs w:val="22"/>
        </w:rPr>
        <w:t xml:space="preserve"> </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地址：</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地址：</w:t>
      </w:r>
      <w:r>
        <w:rPr>
          <w:rFonts w:eastAsia="Times New Roman"/>
          <w:color w:val="000000"/>
          <w:sz w:val="24"/>
          <w:szCs w:val="22"/>
        </w:rPr>
        <w:t xml:space="preserve"> </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法定代表人或授权代表：</w:t>
      </w:r>
      <w:r>
        <w:rPr>
          <w:rFonts w:eastAsia="Times New Roman"/>
          <w:color w:val="000000"/>
          <w:sz w:val="24"/>
          <w:szCs w:val="22"/>
        </w:rPr>
        <w:t xml:space="preserve">                  </w:t>
      </w:r>
      <w:r>
        <w:rPr>
          <w:rFonts w:ascii="宋体" w:hAnsi="宋体" w:cs="宋体"/>
          <w:color w:val="000000"/>
          <w:sz w:val="24"/>
          <w:szCs w:val="22"/>
        </w:rPr>
        <w:t xml:space="preserve">法定代表人或授权代表：</w:t>
      </w:r>
      <w:r>
        <w:rPr>
          <w:rFonts w:ascii="Calibri" w:hAnsi="Calibri"/>
          <w:szCs w:val="22"/>
        </w:rPr>
      </w:r>
      <w:r/>
    </w:p>
    <w:p>
      <w:pPr>
        <w:pStyle w:val="65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联系电话：</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联系电话：</w:t>
      </w:r>
      <w:r>
        <w:rPr>
          <w:rFonts w:eastAsia="Times New Roman"/>
          <w:color w:val="000000"/>
          <w:sz w:val="24"/>
          <w:szCs w:val="22"/>
        </w:rPr>
        <w:t xml:space="preserve">          </w:t>
      </w:r>
      <w:r>
        <w:rPr>
          <w:rFonts w:ascii="Calibri" w:hAnsi="Calibri"/>
          <w:szCs w:val="22"/>
        </w:rPr>
      </w:r>
      <w:r/>
    </w:p>
    <w:p>
      <w:pPr>
        <w:pStyle w:val="653"/>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Calibri" w:hAnsi="Calibri"/>
          <w:szCs w:val="22"/>
        </w:rPr>
      </w:r>
      <w:r/>
    </w:p>
    <w:p>
      <w:pPr>
        <w:pStyle w:val="653"/>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Calibri" w:hAnsi="Calibri"/>
          <w:szCs w:val="22"/>
        </w:rPr>
      </w:r>
      <w:r/>
    </w:p>
    <w:p>
      <w:pPr>
        <w:pStyle w:val="653"/>
        <w:rPr>
          <w:rFonts w:ascii="Calibri" w:hAnsi="宋体"/>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签订日期：</w:t>
      </w:r>
      <w:r>
        <w:rPr>
          <w:rFonts w:eastAsia="Times New Roman"/>
          <w:color w:val="000000"/>
          <w:sz w:val="24"/>
          <w:szCs w:val="22"/>
        </w:rPr>
        <w:t xml:space="preserve">      </w:t>
      </w:r>
      <w:r>
        <w:rPr>
          <w:rFonts w:ascii="宋体" w:hAnsi="宋体" w:cs="宋体"/>
          <w:color w:val="000000"/>
          <w:sz w:val="24"/>
          <w:szCs w:val="22"/>
        </w:rPr>
        <w:t xml:space="preserve">年</w:t>
      </w:r>
      <w:r>
        <w:rPr>
          <w:rFonts w:eastAsia="Times New Roman"/>
          <w:color w:val="000000"/>
          <w:sz w:val="24"/>
          <w:szCs w:val="22"/>
        </w:rPr>
        <w:t xml:space="preserve">    </w:t>
      </w:r>
      <w:r>
        <w:rPr>
          <w:rFonts w:ascii="宋体" w:hAnsi="宋体" w:cs="宋体"/>
          <w:color w:val="000000"/>
          <w:sz w:val="24"/>
          <w:szCs w:val="22"/>
        </w:rPr>
        <w:t xml:space="preserve">月</w:t>
      </w:r>
      <w:r>
        <w:rPr>
          <w:rFonts w:eastAsia="Times New Roman"/>
          <w:color w:val="000000"/>
          <w:sz w:val="24"/>
          <w:szCs w:val="22"/>
        </w:rPr>
        <w:t xml:space="preserve">   </w:t>
      </w:r>
      <w:r>
        <w:rPr>
          <w:rFonts w:ascii="宋体" w:hAnsi="宋体" w:cs="宋体"/>
          <w:color w:val="000000"/>
          <w:sz w:val="24"/>
          <w:szCs w:val="22"/>
        </w:rPr>
        <w:t xml:space="preserve">日</w:t>
      </w:r>
      <w:r>
        <w:rPr>
          <w:rFonts w:ascii="Calibri" w:hAnsi="宋体"/>
          <w:sz w:val="24"/>
          <w:szCs w:val="24"/>
        </w:rPr>
      </w:r>
      <w:r/>
    </w:p>
    <w:p>
      <w:pPr>
        <w:pStyle w:val="927"/>
        <w:spacing w:before="120" w:after="120" w:line="0" w:lineRule="atLeast"/>
        <w:rPr>
          <w:rFonts w:ascii="黑体" w:eastAsia="黑体"/>
          <w:bCs/>
          <w:sz w:val="44"/>
        </w:rPr>
      </w:pPr>
      <w:r>
        <w:rPr>
          <w:rFonts w:ascii="黑体" w:eastAsia="黑体"/>
          <w:bCs/>
          <w:sz w:val="44"/>
        </w:rPr>
      </w:r>
      <w:r/>
    </w:p>
    <w:p>
      <w:pPr>
        <w:pStyle w:val="927"/>
        <w:jc w:val="center"/>
        <w:spacing w:before="120" w:after="120" w:line="0" w:lineRule="atLeast"/>
        <w:rPr>
          <w:rFonts w:ascii="黑体" w:eastAsia="黑体"/>
          <w:bCs/>
          <w:sz w:val="44"/>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pPr>
      <w:r>
        <w:rPr>
          <w:rFonts w:ascii="黑体" w:eastAsia="黑体"/>
          <w:bCs/>
          <w:sz w:val="44"/>
        </w:rPr>
      </w:r>
      <w:r/>
    </w:p>
    <w:p>
      <w:pPr>
        <w:pStyle w:val="654"/>
        <w:jc w:val="center"/>
      </w:pPr>
      <w:r/>
      <w:bookmarkStart w:id="61" w:name="_Toc24312"/>
      <w:r>
        <w:rPr>
          <w:rFonts w:hint="eastAsia"/>
        </w:rPr>
        <w:t xml:space="preserve">第</w:t>
      </w:r>
      <w:bookmarkEnd w:id="54"/>
      <w:r>
        <w:rPr>
          <w:rFonts w:hint="eastAsia"/>
        </w:rPr>
        <w:t xml:space="preserve">四章 采购需求</w:t>
      </w:r>
      <w:bookmarkEnd w:id="55"/>
      <w:r/>
      <w:bookmarkEnd w:id="56"/>
      <w:r/>
      <w:bookmarkEnd w:id="57"/>
      <w:r/>
      <w:bookmarkEnd w:id="61"/>
      <w:r/>
      <w:r/>
    </w:p>
    <w:p>
      <w:pPr>
        <w:pStyle w:val="653"/>
        <w:spacing w:line="360" w:lineRule="auto"/>
        <w:rPr>
          <w:rFonts w:ascii="宋体" w:hAnsi="宋体"/>
          <w:bCs/>
          <w:sz w:val="24"/>
          <w:szCs w:val="24"/>
        </w:rPr>
      </w:pPr>
      <w:r/>
      <w:bookmarkStart w:id="62" w:name="_Toc47940211"/>
      <w:r/>
      <w:bookmarkStart w:id="63" w:name="_Toc136347705"/>
      <w:r/>
      <w:bookmarkStart w:id="64" w:name="_Toc26554093"/>
      <w:r/>
      <w:bookmarkStart w:id="65" w:name="_Toc49090575"/>
      <w:r>
        <w:rPr>
          <w:rFonts w:hint="eastAsia" w:ascii="宋体" w:hAnsi="宋体"/>
          <w:sz w:val="24"/>
          <w:szCs w:val="24"/>
        </w:rPr>
        <w:t xml:space="preserve">项目属性:货物类项目。</w:t>
      </w:r>
      <w:r>
        <w:rPr>
          <w:rFonts w:ascii="宋体" w:hAnsi="宋体"/>
          <w:bCs/>
          <w:sz w:val="24"/>
          <w:szCs w:val="24"/>
        </w:rPr>
      </w:r>
      <w:r/>
    </w:p>
    <w:p>
      <w:pPr>
        <w:pStyle w:val="653"/>
        <w:ind w:firstLine="480"/>
        <w:spacing w:line="360" w:lineRule="auto"/>
        <w:rPr>
          <w:bCs/>
          <w:iCs/>
          <w:sz w:val="24"/>
          <w:szCs w:val="24"/>
        </w:rPr>
      </w:pPr>
      <w:r>
        <w:rPr>
          <w:rFonts w:hint="eastAsia"/>
          <w:bCs/>
          <w:iCs/>
          <w:sz w:val="24"/>
          <w:szCs w:val="24"/>
        </w:rPr>
        <w:t xml:space="preserve">其他要求</w:t>
      </w:r>
      <w:r>
        <w:rPr>
          <w:bCs/>
          <w:iCs/>
          <w:sz w:val="24"/>
          <w:szCs w:val="24"/>
        </w:rPr>
      </w:r>
      <w:r/>
    </w:p>
    <w:p>
      <w:pPr>
        <w:pStyle w:val="653"/>
        <w:spacing w:line="240" w:lineRule="exact"/>
        <w:widowControl/>
        <w:rPr>
          <w:rFonts w:ascii="宋体" w:hAnsi="宋体" w:cs="宋体"/>
          <w:sz w:val="28"/>
          <w:szCs w:val="28"/>
        </w:rPr>
      </w:pPr>
      <w:r>
        <w:rPr>
          <w:rFonts w:hint="eastAsia"/>
          <w:bCs/>
          <w:iCs/>
          <w:sz w:val="24"/>
          <w:szCs w:val="24"/>
        </w:rPr>
        <w:t xml:space="preserve">1.严格执行政府采购关于支持</w:t>
      </w:r>
      <w:r>
        <w:rPr>
          <w:rFonts w:hint="eastAsia"/>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
          <w:bCs/>
          <w:iCs/>
          <w:color w:val="ff0000"/>
          <w:sz w:val="24"/>
          <w:szCs w:val="24"/>
        </w:rPr>
        <w:t xml:space="preserve">（</w:t>
      </w:r>
      <w:r>
        <w:rPr>
          <w:rFonts w:hint="eastAsia"/>
          <w:b/>
          <w:bCs/>
          <w:i/>
          <w:iCs/>
          <w:color w:val="ff0000"/>
          <w:sz w:val="24"/>
          <w:szCs w:val="24"/>
          <w:u w:val="single"/>
        </w:rPr>
        <w:t xml:space="preserve">政府</w:t>
      </w:r>
      <w:r>
        <w:rPr>
          <w:rFonts w:hint="eastAsia"/>
          <w:b/>
          <w:bCs/>
          <w:i/>
          <w:color w:val="ff0000"/>
          <w:sz w:val="24"/>
          <w:szCs w:val="24"/>
          <w:u w:val="single"/>
        </w:rPr>
        <w:t xml:space="preserve">强制节能产品有：</w:t>
      </w:r>
      <w:r>
        <w:rPr>
          <w:rFonts w:hint="eastAsia"/>
          <w:b/>
          <w:bCs/>
          <w:i/>
          <w:color w:val="ff0000"/>
          <w:sz w:val="24"/>
          <w:szCs w:val="24"/>
          <w:u w:val="single"/>
        </w:rPr>
        <w:t xml:space="preserve">导播主机</w:t>
      </w:r>
      <w:r>
        <w:rPr>
          <w:rFonts w:hint="eastAsia"/>
          <w:b/>
          <w:bCs/>
          <w:i/>
          <w:color w:val="ff0000"/>
          <w:sz w:val="24"/>
          <w:szCs w:val="24"/>
          <w:u w:val="single"/>
        </w:rPr>
        <w:t xml:space="preserve">、</w:t>
      </w:r>
      <w:r>
        <w:rPr>
          <w:rFonts w:hint="eastAsia"/>
          <w:b/>
          <w:bCs/>
          <w:i/>
          <w:color w:val="ff0000"/>
          <w:sz w:val="24"/>
          <w:szCs w:val="24"/>
          <w:u w:val="single"/>
        </w:rPr>
        <w:t xml:space="preserve">8</w:t>
      </w:r>
      <w:r>
        <w:rPr>
          <w:b/>
          <w:bCs/>
          <w:i/>
          <w:color w:val="ff0000"/>
          <w:sz w:val="24"/>
          <w:szCs w:val="24"/>
          <w:u w:val="single"/>
        </w:rPr>
        <w:t xml:space="preserve">6寸</w:t>
      </w:r>
      <w:r>
        <w:rPr>
          <w:b/>
          <w:bCs/>
          <w:i/>
          <w:color w:val="ff0000"/>
          <w:sz w:val="24"/>
          <w:szCs w:val="24"/>
          <w:u w:val="single"/>
        </w:rPr>
        <w:t xml:space="preserve">智能</w:t>
      </w:r>
      <w:r>
        <w:rPr>
          <w:b/>
          <w:bCs/>
          <w:i/>
          <w:color w:val="ff0000"/>
          <w:sz w:val="24"/>
          <w:szCs w:val="24"/>
          <w:u w:val="single"/>
        </w:rPr>
        <w:t xml:space="preserve">交互平板</w:t>
      </w:r>
      <w:r>
        <w:rPr>
          <w:rFonts w:hint="eastAsia"/>
          <w:b/>
          <w:bCs/>
          <w:i/>
          <w:color w:val="ff0000"/>
          <w:sz w:val="24"/>
          <w:szCs w:val="24"/>
          <w:u w:val="single"/>
        </w:rPr>
        <w:t xml:space="preserve">、</w:t>
      </w:r>
      <w:r>
        <w:rPr>
          <w:rFonts w:hint="eastAsia"/>
          <w:b/>
          <w:bCs/>
          <w:i/>
          <w:color w:val="ff0000"/>
          <w:sz w:val="24"/>
          <w:szCs w:val="24"/>
          <w:u w:val="single"/>
        </w:rPr>
        <w:t xml:space="preserve">分组讨论终端（</w:t>
      </w:r>
      <w:r>
        <w:rPr>
          <w:rFonts w:hint="eastAsia"/>
          <w:b/>
          <w:bCs/>
          <w:i/>
          <w:color w:val="ff0000"/>
          <w:sz w:val="24"/>
          <w:szCs w:val="24"/>
          <w:u w:val="single"/>
        </w:rPr>
        <w:t xml:space="preserve">65寸</w:t>
      </w:r>
      <w:r>
        <w:rPr>
          <w:rFonts w:hint="eastAsia"/>
          <w:b/>
          <w:bCs/>
          <w:i/>
          <w:color w:val="ff0000"/>
          <w:sz w:val="24"/>
          <w:szCs w:val="24"/>
          <w:u w:val="single"/>
        </w:rPr>
        <w:t xml:space="preserve">智能交互平板）</w:t>
      </w:r>
      <w:r>
        <w:rPr>
          <w:rFonts w:hint="eastAsia"/>
          <w:b/>
          <w:bCs/>
          <w:i/>
          <w:color w:val="ff0000"/>
          <w:sz w:val="24"/>
          <w:szCs w:val="24"/>
          <w:u w:val="single"/>
        </w:rPr>
        <w:t xml:space="preserve">、</w:t>
      </w:r>
      <w:r>
        <w:rPr>
          <w:rFonts w:hint="eastAsia"/>
          <w:b/>
          <w:bCs/>
          <w:i/>
          <w:color w:val="ff0000"/>
          <w:sz w:val="24"/>
          <w:szCs w:val="24"/>
          <w:u w:val="single"/>
        </w:rPr>
        <w:t xml:space="preserve">预监</w:t>
      </w:r>
      <w:r>
        <w:rPr>
          <w:rFonts w:hint="eastAsia"/>
          <w:b/>
          <w:bCs/>
          <w:i/>
          <w:color w:val="ff0000"/>
          <w:sz w:val="24"/>
          <w:szCs w:val="24"/>
          <w:u w:val="single"/>
        </w:rPr>
        <w:t xml:space="preserve">电视</w:t>
      </w:r>
      <w:r>
        <w:rPr>
          <w:rFonts w:hint="eastAsia"/>
          <w:b/>
          <w:bCs/>
          <w:i/>
          <w:color w:val="ff0000"/>
          <w:sz w:val="24"/>
          <w:szCs w:val="24"/>
          <w:u w:val="single"/>
        </w:rPr>
        <w:t xml:space="preserve">，投标人须提供所投产品有效期内的节能产品认证证书原件</w:t>
      </w:r>
      <w:r>
        <w:rPr>
          <w:rFonts w:hint="eastAsia" w:ascii="宋体" w:hAnsi="宋体"/>
          <w:b/>
          <w:bCs/>
          <w:i/>
          <w:color w:val="ff0000"/>
          <w:sz w:val="24"/>
          <w:szCs w:val="24"/>
          <w:u w:val="single"/>
        </w:rPr>
        <w:t xml:space="preserve">，扫描上传。</w:t>
      </w:r>
      <w:r>
        <w:rPr>
          <w:rFonts w:hint="eastAsia"/>
          <w:b/>
          <w:bCs/>
          <w:iCs/>
          <w:color w:val="ff0000"/>
          <w:sz w:val="24"/>
          <w:szCs w:val="24"/>
        </w:rPr>
        <w:t xml:space="preserve">）</w:t>
      </w:r>
      <w:r>
        <w:rPr>
          <w:rFonts w:ascii="宋体" w:hAnsi="宋体" w:cs="宋体"/>
          <w:sz w:val="28"/>
          <w:szCs w:val="28"/>
        </w:rPr>
      </w:r>
      <w:r/>
    </w:p>
    <w:p>
      <w:pPr>
        <w:pStyle w:val="653"/>
        <w:ind w:firstLine="480"/>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rPr>
          <w:bCs/>
          <w:iCs/>
          <w:sz w:val="24"/>
          <w:szCs w:val="24"/>
        </w:rPr>
      </w:r>
      <w:r/>
    </w:p>
    <w:p>
      <w:pPr>
        <w:pStyle w:val="653"/>
        <w:rPr>
          <w:rFonts w:ascii="宋体" w:hAnsi="宋体"/>
          <w:b/>
          <w:color w:val="ff0000"/>
          <w:sz w:val="24"/>
          <w:szCs w:val="24"/>
        </w:rPr>
      </w:pPr>
      <w:r>
        <w:rPr>
          <w:rFonts w:hint="eastAsia" w:ascii="宋体" w:hAnsi="宋体"/>
          <w:b/>
          <w:bCs/>
          <w:color w:val="ff0000"/>
          <w:sz w:val="24"/>
          <w:szCs w:val="24"/>
        </w:rPr>
        <w:t xml:space="preserve">核心产品：</w:t>
      </w:r>
      <w:bookmarkEnd w:id="62"/>
      <w:r/>
      <w:bookmarkEnd w:id="63"/>
      <w:r>
        <w:rPr>
          <w:rFonts w:ascii="宋体" w:hAnsi="宋体"/>
          <w:b/>
          <w:color w:val="ff0000"/>
          <w:sz w:val="24"/>
          <w:szCs w:val="24"/>
        </w:rPr>
        <w:t xml:space="preserve"> 分组讨论终端</w:t>
      </w:r>
      <w:r/>
    </w:p>
    <w:p>
      <w:pPr>
        <w:pStyle w:val="653"/>
        <w:rPr>
          <w:b/>
          <w:bCs/>
          <w:sz w:val="28"/>
          <w:szCs w:val="28"/>
        </w:rPr>
      </w:pPr>
      <w:r>
        <w:rPr>
          <w:b/>
          <w:bCs/>
          <w:sz w:val="28"/>
          <w:szCs w:val="28"/>
        </w:rPr>
      </w:r>
      <w:r/>
    </w:p>
    <w:p>
      <w:pPr>
        <w:pStyle w:val="653"/>
        <w:spacing w:line="500" w:lineRule="exact"/>
        <w:rPr>
          <w:rFonts w:ascii="宋体" w:hAnsi="宋体"/>
          <w:b/>
          <w:bCs/>
          <w:sz w:val="24"/>
          <w:szCs w:val="24"/>
        </w:rPr>
      </w:pPr>
      <w:r>
        <w:rPr>
          <w:rFonts w:hint="eastAsia" w:ascii="宋体" w:hAnsi="宋体"/>
          <w:b/>
          <w:bCs/>
          <w:sz w:val="24"/>
          <w:szCs w:val="24"/>
        </w:rPr>
        <w:t xml:space="preserve">采购标的对应的中小企业划分标准所属行业一览表</w:t>
      </w:r>
      <w:r>
        <w:rPr>
          <w:rFonts w:ascii="宋体" w:hAnsi="宋体"/>
          <w:b/>
          <w:bCs/>
          <w:sz w:val="24"/>
          <w:szCs w:val="24"/>
        </w:rPr>
      </w:r>
      <w:r/>
    </w:p>
    <w:p>
      <w:pPr>
        <w:pStyle w:val="653"/>
        <w:spacing w:line="500" w:lineRule="exact"/>
        <w:rPr>
          <w:rFonts w:ascii="宋体" w:hAnsi="宋体"/>
          <w:sz w:val="24"/>
          <w:szCs w:val="24"/>
        </w:rPr>
      </w:pPr>
      <w:r>
        <w:rPr>
          <w:rFonts w:ascii="宋体" w:hAnsi="宋体"/>
          <w:sz w:val="24"/>
          <w:szCs w:val="24"/>
        </w:rPr>
      </w:r>
      <w:r/>
    </w:p>
    <w:tbl>
      <w:tblPr>
        <w:tblW w:w="82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382"/>
        <w:gridCol w:w="3907"/>
      </w:tblGrid>
      <w:tr>
        <w:trPr>
          <w:cantSplit/>
        </w:trPr>
        <w:tc>
          <w:tcPr>
            <w:tcW w:w="928"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382"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907"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928" w:type="dxa"/>
            <w:vAlign w:val="top"/>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382" w:type="dxa"/>
            <w:vAlign w:val="top"/>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师范学院智慧化教室设备</w:t>
            </w:r>
            <w:r>
              <w:rPr>
                <w:rFonts w:ascii="宋体" w:hAnsi="宋体"/>
                <w:sz w:val="24"/>
                <w:szCs w:val="24"/>
              </w:rPr>
            </w:r>
            <w:r/>
          </w:p>
        </w:tc>
        <w:tc>
          <w:tcPr>
            <w:tcW w:w="3907" w:type="dxa"/>
            <w:vAlign w:val="top"/>
            <w:textDirection w:val="lrTb"/>
            <w:noWrap w:val="false"/>
          </w:tcPr>
          <w:p>
            <w:pPr>
              <w:pStyle w:val="653"/>
              <w:jc w:val="center"/>
              <w:spacing w:line="0" w:lineRule="atLeast"/>
              <w:rPr>
                <w:rFonts w:ascii="宋体" w:hAnsi="宋体"/>
                <w:sz w:val="24"/>
                <w:szCs w:val="24"/>
              </w:rPr>
            </w:pPr>
            <w:r>
              <w:rPr>
                <w:rFonts w:ascii="宋体" w:hAnsi="宋体"/>
                <w:sz w:val="24"/>
                <w:szCs w:val="24"/>
              </w:rPr>
              <w:t xml:space="preserve">工业</w:t>
            </w:r>
            <w:r/>
          </w:p>
        </w:tc>
      </w:tr>
    </w:tbl>
    <w:p>
      <w:pPr>
        <w:pStyle w:val="653"/>
        <w:spacing w:line="360" w:lineRule="auto"/>
        <w:rPr>
          <w:rFonts w:ascii="宋体" w:hAnsi="宋体" w:cs="宋体"/>
          <w:sz w:val="24"/>
          <w:szCs w:val="24"/>
        </w:rPr>
      </w:pPr>
      <w:r/>
      <w:bookmarkStart w:id="66" w:name="_Toc1918"/>
      <w:r/>
      <w:bookmarkStart w:id="67" w:name="_Toc120614281"/>
      <w:r>
        <w:rPr>
          <w:rFonts w:ascii="宋体" w:hAnsi="宋体" w:cs="宋体"/>
          <w:sz w:val="24"/>
          <w:szCs w:val="24"/>
        </w:rPr>
      </w:r>
      <w:r/>
    </w:p>
    <w:p>
      <w:pPr>
        <w:pStyle w:val="653"/>
        <w:ind w:firstLine="480"/>
        <w:spacing w:line="360" w:lineRule="auto"/>
        <w:rPr>
          <w:rFonts w:ascii="宋体" w:hAnsi="宋体" w:cs="宋体"/>
          <w:sz w:val="24"/>
          <w:szCs w:val="24"/>
        </w:rPr>
      </w:pPr>
      <w:r>
        <w:rPr>
          <w:rFonts w:hint="eastAsia" w:ascii="宋体" w:hAnsi="宋体" w:cs="宋体"/>
          <w:sz w:val="24"/>
          <w:szCs w:val="24"/>
        </w:rPr>
        <w:t xml:space="preserve">本项目包括</w:t>
      </w:r>
      <w:r>
        <w:rPr>
          <w:rFonts w:hint="eastAsia" w:ascii="宋体" w:hAnsi="宋体" w:cs="宋体"/>
          <w:b/>
          <w:bCs/>
          <w:sz w:val="24"/>
          <w:szCs w:val="24"/>
        </w:rPr>
        <w:t xml:space="preserve">智慧教室（1大、</w:t>
      </w:r>
      <w:r>
        <w:rPr>
          <w:rFonts w:ascii="宋体" w:hAnsi="宋体" w:cs="宋体"/>
          <w:b/>
          <w:bCs/>
          <w:sz w:val="24"/>
          <w:szCs w:val="24"/>
        </w:rPr>
        <w:t xml:space="preserve">1</w:t>
      </w:r>
      <w:r>
        <w:rPr>
          <w:rFonts w:hint="eastAsia" w:ascii="宋体" w:hAnsi="宋体" w:cs="宋体"/>
          <w:b/>
          <w:bCs/>
          <w:sz w:val="24"/>
          <w:szCs w:val="24"/>
        </w:rPr>
        <w:t xml:space="preserve">小共2</w:t>
      </w:r>
      <w:r>
        <w:rPr>
          <w:rFonts w:hint="eastAsia" w:ascii="宋体" w:hAnsi="宋体" w:cs="宋体"/>
          <w:b/>
          <w:bCs/>
          <w:sz w:val="24"/>
          <w:szCs w:val="24"/>
        </w:rPr>
        <w:t xml:space="preserve">间）、婴幼儿行为观察室</w:t>
      </w:r>
      <w:r>
        <w:rPr>
          <w:rFonts w:hint="eastAsia" w:ascii="宋体" w:hAnsi="宋体" w:cs="宋体"/>
          <w:sz w:val="24"/>
          <w:szCs w:val="24"/>
        </w:rPr>
        <w:t xml:space="preserve">两个功能实训室建设方案</w:t>
      </w:r>
      <w:r>
        <w:rPr>
          <w:rFonts w:hint="eastAsia" w:ascii="宋体" w:hAnsi="宋体" w:cs="宋体"/>
          <w:sz w:val="24"/>
          <w:szCs w:val="24"/>
        </w:rPr>
        <w:t xml:space="preserve">。智慧教室中应配的</w:t>
      </w:r>
      <w:r>
        <w:rPr>
          <w:rFonts w:hint="eastAsia" w:ascii="宋体" w:hAnsi="宋体" w:cs="宋体"/>
          <w:b/>
          <w:bCs/>
          <w:sz w:val="24"/>
          <w:szCs w:val="24"/>
        </w:rPr>
        <w:t xml:space="preserve">智慧黑板（9</w:t>
      </w:r>
      <w:r>
        <w:rPr>
          <w:rFonts w:ascii="宋体" w:hAnsi="宋体" w:cs="宋体"/>
          <w:b/>
          <w:bCs/>
          <w:sz w:val="24"/>
          <w:szCs w:val="24"/>
        </w:rPr>
        <w:t xml:space="preserve">8</w:t>
      </w:r>
      <w:r>
        <w:rPr>
          <w:rFonts w:hint="eastAsia" w:ascii="宋体" w:hAnsi="宋体" w:cs="宋体"/>
          <w:b/>
          <w:bCs/>
          <w:sz w:val="24"/>
          <w:szCs w:val="24"/>
        </w:rPr>
        <w:t xml:space="preserve">英寸和86英寸各1块）</w:t>
      </w:r>
      <w:r>
        <w:rPr>
          <w:rFonts w:hint="eastAsia" w:ascii="宋体" w:hAnsi="宋体" w:cs="宋体"/>
          <w:sz w:val="24"/>
          <w:szCs w:val="24"/>
        </w:rPr>
        <w:t xml:space="preserve">由学校其他部门统一采购。投标单位应从实训室功能完整的角度，把本项目采购的设备与智慧黑板加以功能整合，安装相应的软硬件。</w:t>
      </w:r>
      <w:r>
        <w:rPr>
          <w:rFonts w:ascii="宋体" w:hAnsi="宋体" w:cs="宋体"/>
          <w:sz w:val="24"/>
          <w:szCs w:val="24"/>
        </w:rPr>
      </w:r>
      <w:r/>
    </w:p>
    <w:p>
      <w:pPr>
        <w:pStyle w:val="653"/>
        <w:ind w:firstLine="480"/>
        <w:spacing w:line="360" w:lineRule="auto"/>
        <w:rPr>
          <w:rFonts w:ascii="宋体" w:hAnsi="宋体" w:cs="宋体"/>
          <w:sz w:val="24"/>
          <w:szCs w:val="24"/>
        </w:rPr>
      </w:pPr>
      <w:r>
        <w:rPr>
          <w:rFonts w:hint="eastAsia" w:ascii="宋体" w:hAnsi="宋体" w:cs="宋体"/>
          <w:sz w:val="24"/>
          <w:szCs w:val="24"/>
        </w:rPr>
        <w:t xml:space="preserve">两个实训室的功能需求及建设要求分述如下：</w:t>
      </w:r>
      <w:r>
        <w:rPr>
          <w:rFonts w:ascii="宋体" w:hAnsi="宋体" w:cs="宋体"/>
          <w:sz w:val="24"/>
          <w:szCs w:val="24"/>
        </w:rPr>
      </w:r>
      <w:r/>
    </w:p>
    <w:p>
      <w:pPr>
        <w:pStyle w:val="653"/>
        <w:ind w:firstLine="482"/>
        <w:spacing w:line="360" w:lineRule="auto"/>
        <w:rPr>
          <w:rFonts w:ascii="宋体" w:hAnsi="宋体" w:cs="宋体"/>
          <w:b/>
          <w:bCs/>
          <w:sz w:val="24"/>
          <w:szCs w:val="24"/>
        </w:rPr>
      </w:pPr>
      <w:r>
        <w:rPr>
          <w:rFonts w:hint="eastAsia" w:ascii="宋体" w:hAnsi="宋体" w:cs="宋体"/>
          <w:b/>
          <w:bCs/>
          <w:sz w:val="24"/>
          <w:szCs w:val="24"/>
        </w:rPr>
        <w:t xml:space="preserve">1、智慧教室（1大间+小1间）</w:t>
      </w:r>
      <w:r>
        <w:rPr>
          <w:rFonts w:ascii="宋体" w:hAnsi="宋体" w:cs="宋体"/>
          <w:b/>
          <w:bCs/>
          <w:sz w:val="24"/>
          <w:szCs w:val="24"/>
        </w:rPr>
      </w:r>
      <w:r/>
    </w:p>
    <w:p>
      <w:pPr>
        <w:pStyle w:val="653"/>
        <w:ind w:firstLine="480"/>
        <w:spacing w:line="360" w:lineRule="auto"/>
        <w:rPr>
          <w:rFonts w:ascii="宋体" w:hAnsi="宋体" w:cs="宋体"/>
          <w:sz w:val="24"/>
          <w:szCs w:val="24"/>
        </w:rPr>
      </w:pPr>
      <w:r>
        <w:rPr>
          <w:rFonts w:hint="eastAsia" w:ascii="宋体" w:hAnsi="宋体" w:cs="宋体"/>
          <w:sz w:val="24"/>
          <w:szCs w:val="24"/>
        </w:rPr>
        <w:t xml:space="preserve">智慧教室的建设旨在通过科技手段，为现代教育提供一个更为互动、智能和高效的环境。它融合了先进的技术装备与教育教学的理念，从而创造出一个人性化、智能化的教学空间。以下是智慧教室应具备的核心功能：</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（1）教学内容辅助呈现：</w:t>
      </w:r>
      <w:r>
        <w:rPr>
          <w:rFonts w:hint="eastAsia" w:ascii="宋体" w:hAnsi="宋体" w:cs="宋体"/>
          <w:sz w:val="24"/>
          <w:szCs w:val="24"/>
        </w:rPr>
        <w:t xml:space="preserve">利用高清大屏、交互式白板、多媒体投影等设备，使教学内容的展示更加生动、形象，有助于学生更好地理解和吸收知识。</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（2）学习资源即时获取：</w:t>
      </w:r>
      <w:r>
        <w:rPr>
          <w:rFonts w:hint="eastAsia" w:ascii="宋体" w:hAnsi="宋体" w:cs="宋体"/>
          <w:sz w:val="24"/>
          <w:szCs w:val="24"/>
        </w:rPr>
        <w:t xml:space="preserve">教室内应提供便捷的网络接入，使学生能够随时访问在线学习资源，如电子图书、教学视频、在线数据库等，丰富学习内容和方式。</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（3）课堂交互增强：</w:t>
      </w:r>
      <w:r>
        <w:rPr>
          <w:rFonts w:hint="eastAsia" w:ascii="宋体" w:hAnsi="宋体" w:cs="宋体"/>
          <w:sz w:val="24"/>
          <w:szCs w:val="24"/>
        </w:rPr>
        <w:t xml:space="preserve">借助智能交互系统，实现师生之间、学生与学生之间的高效互动，包括提问、讨论、在线测试等功能，提升课堂活跃度和学生的参与度。</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（4）情境感知与环境管理：</w:t>
      </w:r>
      <w:r>
        <w:rPr>
          <w:rFonts w:hint="eastAsia" w:ascii="宋体" w:hAnsi="宋体" w:cs="宋体"/>
          <w:sz w:val="24"/>
          <w:szCs w:val="24"/>
        </w:rPr>
        <w:t xml:space="preserve">通过物联网技术，实时监测教室内的环境数据（如温度、湿度、光线等），并自动调节至最佳学习状态。同时，能够感知学生的学习状态和需求，为教师提供实时反馈。</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（5）物理与数字空间融合：</w:t>
      </w:r>
      <w:r>
        <w:rPr>
          <w:rFonts w:hint="eastAsia" w:ascii="宋体" w:hAnsi="宋体" w:cs="宋体"/>
          <w:sz w:val="24"/>
          <w:szCs w:val="24"/>
        </w:rPr>
        <w:t xml:space="preserve">结合实体教室与数字技术，打破传统的教学边界，使学生能够无缝切换本地学习与远程学习，拓展学习的时间和空间。</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（6）自然人机交互：</w:t>
      </w:r>
      <w:r>
        <w:rPr>
          <w:rFonts w:hint="eastAsia" w:ascii="宋体" w:hAnsi="宋体" w:cs="宋体"/>
          <w:sz w:val="24"/>
          <w:szCs w:val="24"/>
        </w:rPr>
        <w:t xml:space="preserve">通过触控设备、语音识别等技术，实现人与学习环境的自然交互，提升学习体验和效果。</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（7）个性化、开放式与泛在学习支持：</w:t>
      </w:r>
      <w:r>
        <w:rPr>
          <w:rFonts w:hint="eastAsia" w:ascii="宋体" w:hAnsi="宋体" w:cs="宋体"/>
          <w:sz w:val="24"/>
          <w:szCs w:val="24"/>
        </w:rPr>
        <w:t xml:space="preserve">系统能记录学生的学习进度和偏好，推荐个性化的学习资源，支持学生在任何时间、任何地点进行学习。</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（8）智能分析与学情统计：</w:t>
      </w:r>
      <w:r>
        <w:rPr>
          <w:rFonts w:hint="eastAsia" w:ascii="宋体" w:hAnsi="宋体" w:cs="宋体"/>
          <w:sz w:val="24"/>
          <w:szCs w:val="24"/>
        </w:rPr>
        <w:t xml:space="preserve">通过大数据分析和人工智能技术，实时收集学生的学习数据，为教师提供精准的教学分析和学情统计，帮助教师更好地调整教学策略。</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（9）分组与跨校区教学：</w:t>
      </w:r>
      <w:r>
        <w:rPr>
          <w:rFonts w:hint="eastAsia" w:ascii="宋体" w:hAnsi="宋体" w:cs="宋体"/>
          <w:sz w:val="24"/>
          <w:szCs w:val="24"/>
        </w:rPr>
        <w:t xml:space="preserve">支持灵活的分组教学，同时能实现不同校区间的远程同步教学，拓宽教学资源的共享范围。</w:t>
      </w:r>
      <w:r>
        <w:rPr>
          <w:rFonts w:ascii="宋体" w:hAnsi="宋体" w:cs="宋体"/>
          <w:sz w:val="24"/>
          <w:szCs w:val="24"/>
        </w:rPr>
      </w:r>
      <w:r/>
    </w:p>
    <w:p>
      <w:pPr>
        <w:pStyle w:val="653"/>
        <w:ind w:firstLine="482"/>
        <w:spacing w:line="360" w:lineRule="auto"/>
        <w:rPr>
          <w:rFonts w:ascii="宋体" w:hAnsi="宋体" w:cs="宋体"/>
          <w:sz w:val="24"/>
          <w:szCs w:val="24"/>
        </w:rPr>
      </w:pPr>
      <w:r>
        <w:rPr>
          <w:rFonts w:hint="eastAsia" w:ascii="宋体" w:hAnsi="宋体" w:cs="宋体"/>
          <w:b/>
          <w:bCs/>
          <w:sz w:val="24"/>
          <w:szCs w:val="24"/>
        </w:rPr>
        <w:t xml:space="preserve">（1</w:t>
      </w:r>
      <w:r>
        <w:rPr>
          <w:rFonts w:ascii="宋体" w:hAnsi="宋体" w:cs="宋体"/>
          <w:b/>
          <w:bCs/>
          <w:sz w:val="24"/>
          <w:szCs w:val="24"/>
        </w:rPr>
        <w:t xml:space="preserve">0</w:t>
      </w:r>
      <w:r>
        <w:rPr>
          <w:rFonts w:hint="eastAsia" w:ascii="宋体" w:hAnsi="宋体" w:cs="宋体"/>
          <w:b/>
          <w:bCs/>
          <w:sz w:val="24"/>
          <w:szCs w:val="24"/>
        </w:rPr>
        <w:t xml:space="preserve">）高清教学录播：</w:t>
      </w:r>
      <w:r>
        <w:rPr>
          <w:rFonts w:hint="eastAsia" w:ascii="宋体" w:hAnsi="宋体" w:cs="宋体"/>
          <w:sz w:val="24"/>
          <w:szCs w:val="24"/>
        </w:rPr>
        <w:t xml:space="preserve">配备自动录播系统，完整记录教学过程，便于学生回顾复习和教师进行教学反思。</w:t>
      </w:r>
      <w:r>
        <w:rPr>
          <w:rFonts w:ascii="宋体" w:hAnsi="宋体" w:cs="宋体"/>
          <w:sz w:val="24"/>
          <w:szCs w:val="24"/>
        </w:rPr>
      </w:r>
      <w:r/>
    </w:p>
    <w:p>
      <w:pPr>
        <w:pStyle w:val="653"/>
        <w:ind w:firstLine="482"/>
        <w:spacing w:line="360" w:lineRule="auto"/>
        <w:rPr>
          <w:rFonts w:ascii="宋体" w:hAnsi="宋体" w:cs="宋体"/>
          <w:b/>
          <w:bCs/>
          <w:sz w:val="24"/>
          <w:szCs w:val="24"/>
        </w:rPr>
      </w:pPr>
      <w:r>
        <w:rPr>
          <w:rFonts w:hint="eastAsia" w:ascii="宋体" w:hAnsi="宋体" w:cs="宋体"/>
          <w:b/>
          <w:bCs/>
          <w:sz w:val="24"/>
          <w:szCs w:val="24"/>
        </w:rPr>
        <w:t xml:space="preserve">2、婴幼儿行为观察实训室</w:t>
      </w:r>
      <w:r>
        <w:rPr>
          <w:rFonts w:ascii="宋体" w:hAnsi="宋体" w:cs="宋体"/>
          <w:b/>
          <w:bCs/>
          <w:sz w:val="24"/>
          <w:szCs w:val="24"/>
        </w:rPr>
      </w:r>
      <w:r/>
    </w:p>
    <w:p>
      <w:pPr>
        <w:pStyle w:val="653"/>
        <w:ind w:firstLine="480"/>
        <w:spacing w:line="360" w:lineRule="auto"/>
        <w:rPr>
          <w:rFonts w:ascii="宋体" w:hAnsi="宋体" w:cs="宋体"/>
          <w:sz w:val="24"/>
          <w:szCs w:val="24"/>
        </w:rPr>
      </w:pPr>
      <w:r>
        <w:rPr>
          <w:rFonts w:hint="eastAsia" w:ascii="宋体" w:hAnsi="宋体" w:cs="宋体"/>
          <w:sz w:val="24"/>
          <w:szCs w:val="24"/>
        </w:rPr>
        <w:t xml:space="preserve">婴幼儿行为观察实训室应具备实时观察与记录、行为分析、模拟实景教学、咨询与评估服务以及科研与学术交流等多重功能，以满足托育服务和学前教育专业教学、科研和实践的多方面需求。需要采购移动式智慧交互平板、教学扩声设备、音视频采集系统、培训桌椅、婴幼儿行为分析系统、儿童玩教具及设施等。</w:t>
      </w:r>
      <w:r>
        <w:rPr>
          <w:rFonts w:ascii="宋体" w:hAnsi="宋体" w:cs="宋体"/>
          <w:sz w:val="24"/>
          <w:szCs w:val="24"/>
        </w:rPr>
      </w:r>
      <w:r/>
    </w:p>
    <w:p>
      <w:pPr>
        <w:pStyle w:val="653"/>
        <w:jc w:val="center"/>
        <w:spacing w:line="500" w:lineRule="exact"/>
        <w:rPr>
          <w:rFonts w:ascii="宋体" w:hAnsi="宋体" w:cs="宋体"/>
          <w:b/>
          <w:color w:val="000000"/>
          <w:sz w:val="24"/>
          <w:szCs w:val="24"/>
        </w:rPr>
      </w:pPr>
      <w:r>
        <w:rPr>
          <w:rFonts w:ascii="宋体" w:hAnsi="宋体" w:cs="宋体"/>
          <w:b/>
          <w:color w:val="000000"/>
          <w:sz w:val="24"/>
          <w:szCs w:val="24"/>
        </w:rPr>
      </w:r>
      <w:r/>
    </w:p>
    <w:p>
      <w:pPr>
        <w:pStyle w:val="653"/>
        <w:jc w:val="center"/>
        <w:spacing w:line="50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pStyle w:val="653"/>
        <w:spacing w:line="360" w:lineRule="auto"/>
        <w:rPr>
          <w:rFonts w:ascii="宋体" w:hAnsi="宋体" w:cs="宋体"/>
          <w:sz w:val="24"/>
          <w:szCs w:val="24"/>
        </w:rPr>
      </w:pPr>
      <w:r>
        <w:rPr>
          <w:rFonts w:ascii="宋体" w:hAnsi="宋体" w:cs="宋体"/>
          <w:sz w:val="24"/>
          <w:szCs w:val="24"/>
        </w:rPr>
        <w:br w:type="page" w:clear="all"/>
      </w:r>
      <w:r/>
    </w:p>
    <w:p>
      <w:pPr>
        <w:pStyle w:val="876"/>
        <w:spacing w:before="0" w:after="0" w:line="360" w:lineRule="auto"/>
      </w:pPr>
      <w:r>
        <w:rPr>
          <w:rFonts w:hint="eastAsia"/>
        </w:rPr>
        <w:t xml:space="preserve">一、采购</w:t>
      </w:r>
      <w:r>
        <w:rPr>
          <w:rFonts w:hint="eastAsia"/>
        </w:rPr>
        <w:t xml:space="preserve">清单：</w:t>
      </w:r>
      <w:r/>
    </w:p>
    <w:p>
      <w:pPr>
        <w:pStyle w:val="653"/>
        <w:spacing w:line="360" w:lineRule="auto"/>
        <w:rPr>
          <w:rFonts w:ascii="宋体" w:hAnsi="宋体" w:cs="宋体"/>
          <w:b/>
          <w:bCs/>
          <w:sz w:val="24"/>
          <w:szCs w:val="24"/>
        </w:rPr>
      </w:pPr>
      <w:r>
        <w:rPr>
          <w:rFonts w:ascii="宋体" w:hAnsi="宋体" w:cs="宋体"/>
          <w:b/>
          <w:bCs/>
          <w:sz w:val="24"/>
          <w:szCs w:val="24"/>
        </w:rPr>
        <w:t xml:space="preserve">（一）智慧教室（大）</w:t>
      </w:r>
      <w:r/>
    </w:p>
    <w:tbl>
      <w:tblPr>
        <w:tblW w:w="835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5109"/>
        <w:gridCol w:w="992"/>
        <w:gridCol w:w="1418"/>
      </w:tblGrid>
      <w:tr>
        <w:trPr>
          <w:cantSplit/>
          <w:trHeight w:val="311"/>
        </w:trPr>
        <w:tc>
          <w:tcPr>
            <w:tcW w:w="840" w:type="dxa"/>
            <w:vAlign w:val="center"/>
            <w:vMerge w:val="restart"/>
            <w:textDirection w:val="lrTb"/>
            <w:noWrap w:val="false"/>
          </w:tcPr>
          <w:p>
            <w:pPr>
              <w:pStyle w:val="653"/>
              <w:jc w:val="center"/>
              <w:widowControl/>
              <w:rPr>
                <w:rFonts w:ascii="宋体" w:hAnsi="宋体" w:cs="宋体"/>
                <w:bCs/>
                <w:sz w:val="24"/>
                <w:szCs w:val="24"/>
              </w:rPr>
            </w:pPr>
            <w:r>
              <w:rPr>
                <w:rFonts w:hint="eastAsia" w:ascii="宋体" w:hAnsi="宋体" w:cs="宋体"/>
                <w:bCs/>
                <w:sz w:val="24"/>
                <w:szCs w:val="24"/>
              </w:rPr>
              <w:t xml:space="preserve">序号</w:t>
            </w:r>
            <w:r>
              <w:rPr>
                <w:rFonts w:ascii="宋体" w:hAnsi="宋体" w:cs="宋体"/>
                <w:bCs/>
                <w:sz w:val="24"/>
                <w:szCs w:val="24"/>
              </w:rPr>
            </w:r>
            <w:r/>
          </w:p>
        </w:tc>
        <w:tc>
          <w:tcPr>
            <w:tcW w:w="5109" w:type="dxa"/>
            <w:vAlign w:val="center"/>
            <w:vMerge w:val="restart"/>
            <w:textDirection w:val="lrTb"/>
            <w:noWrap w:val="false"/>
          </w:tcPr>
          <w:p>
            <w:pPr>
              <w:pStyle w:val="653"/>
              <w:jc w:val="center"/>
              <w:widowControl/>
              <w:rPr>
                <w:rFonts w:ascii="宋体" w:hAnsi="宋体" w:cs="宋体"/>
                <w:bCs/>
                <w:sz w:val="24"/>
                <w:szCs w:val="24"/>
              </w:rPr>
            </w:pPr>
            <w:r>
              <w:rPr>
                <w:rFonts w:hint="eastAsia" w:ascii="宋体" w:hAnsi="宋体" w:cs="宋体"/>
                <w:bCs/>
                <w:sz w:val="24"/>
                <w:szCs w:val="24"/>
              </w:rPr>
              <w:t xml:space="preserve">品名</w:t>
            </w:r>
            <w:r>
              <w:rPr>
                <w:rFonts w:ascii="宋体" w:hAnsi="宋体" w:cs="宋体"/>
                <w:bCs/>
                <w:sz w:val="24"/>
                <w:szCs w:val="24"/>
              </w:rPr>
            </w:r>
            <w:r/>
          </w:p>
        </w:tc>
        <w:tc>
          <w:tcPr>
            <w:tcW w:w="992" w:type="dxa"/>
            <w:vAlign w:val="center"/>
            <w:vMerge w:val="restart"/>
            <w:textDirection w:val="lrTb"/>
            <w:noWrap w:val="false"/>
          </w:tcPr>
          <w:p>
            <w:pPr>
              <w:pStyle w:val="653"/>
              <w:jc w:val="center"/>
              <w:widowControl/>
              <w:rPr>
                <w:rFonts w:ascii="宋体" w:hAnsi="宋体" w:cs="宋体"/>
                <w:bCs/>
                <w:sz w:val="24"/>
                <w:szCs w:val="24"/>
              </w:rPr>
            </w:pPr>
            <w:r>
              <w:rPr>
                <w:rFonts w:hint="eastAsia" w:ascii="宋体" w:hAnsi="宋体" w:cs="宋体"/>
                <w:bCs/>
                <w:sz w:val="24"/>
                <w:szCs w:val="24"/>
              </w:rPr>
              <w:t xml:space="preserve">数量</w:t>
            </w:r>
            <w:r>
              <w:rPr>
                <w:rFonts w:ascii="宋体" w:hAnsi="宋体" w:cs="宋体"/>
                <w:bCs/>
                <w:sz w:val="24"/>
                <w:szCs w:val="24"/>
              </w:rPr>
            </w:r>
            <w:r/>
          </w:p>
        </w:tc>
        <w:tc>
          <w:tcPr>
            <w:tcW w:w="1418" w:type="dxa"/>
            <w:vAlign w:val="center"/>
            <w:vMerge w:val="restart"/>
            <w:textDirection w:val="lrTb"/>
            <w:noWrap w:val="false"/>
          </w:tcPr>
          <w:p>
            <w:pPr>
              <w:pStyle w:val="653"/>
              <w:jc w:val="center"/>
              <w:widowControl/>
              <w:rPr>
                <w:rFonts w:ascii="宋体" w:hAnsi="宋体" w:cs="宋体"/>
                <w:bCs/>
                <w:sz w:val="24"/>
                <w:szCs w:val="24"/>
              </w:rPr>
            </w:pPr>
            <w:r>
              <w:rPr>
                <w:rFonts w:hint="eastAsia" w:ascii="宋体" w:hAnsi="宋体" w:cs="宋体"/>
                <w:bCs/>
                <w:sz w:val="24"/>
                <w:szCs w:val="24"/>
              </w:rPr>
              <w:t xml:space="preserve">单位</w:t>
            </w:r>
            <w:r>
              <w:rPr>
                <w:rFonts w:ascii="宋体" w:hAnsi="宋体" w:cs="宋体"/>
                <w:bCs/>
                <w:sz w:val="24"/>
                <w:szCs w:val="24"/>
              </w:rPr>
            </w:r>
            <w:r/>
          </w:p>
        </w:tc>
      </w:tr>
      <w:tr>
        <w:trPr/>
        <w:tc>
          <w:tcPr>
            <w:tcW w:w="840" w:type="dxa"/>
            <w:vAlign w:val="center"/>
            <w:textDirection w:val="lrTb"/>
            <w:noWrap w:val="false"/>
          </w:tcPr>
          <w:p>
            <w:pPr>
              <w:pStyle w:val="653"/>
              <w:jc w:val="center"/>
              <w:widowControl/>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研讨桌</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教师椅</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研讨椅</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椅子</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中控室操作台</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4K 录播一体机</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高清云台摄像机(特写)</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高清云台摄像机（全景）</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LED 时钟</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千兆交换机（24 口全千兆机架） </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导播主机</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嵌入式录播系统</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图像跟踪系统</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预监电视</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时序电源控制器</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跟踪半球</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功放</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多媒体讲台（智能讲台）</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19</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交互式智能书写屏(电容单屏)</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20</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桌面式触摸面板</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无线话筒（带领夹）</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指向性话筒</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中控室监听音箱</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对</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音箱</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数字音频矩阵</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小组智能云盒</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主讲端智能云盒</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图像跟踪一体机</w:t>
            </w:r>
            <w:r>
              <w:rPr>
                <w:rFonts w:ascii="宋体" w:hAnsi="宋体" w:cs="宋体"/>
                <w:color w:val="000000"/>
                <w:sz w:val="24"/>
                <w:szCs w:val="24"/>
              </w:rPr>
            </w:r>
            <w:r/>
          </w:p>
        </w:tc>
        <w:tc>
          <w:tcPr>
            <w:tcW w:w="992"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18" w:type="dxa"/>
            <w:vAlign w:val="center"/>
            <w:textDirection w:val="lrTb"/>
            <w:noWrap w:val="false"/>
          </w:tcPr>
          <w:p>
            <w:pPr>
              <w:pStyle w:val="653"/>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29</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分组讨论终端</w:t>
            </w:r>
            <w:r>
              <w:rPr>
                <w:rFonts w:hint="eastAsia" w:ascii="宋体" w:hAnsi="宋体" w:cs="宋体"/>
                <w:sz w:val="24"/>
                <w:szCs w:val="24"/>
              </w:rPr>
              <w:t xml:space="preserve">（</w:t>
            </w:r>
            <w:r>
              <w:rPr>
                <w:rFonts w:hint="eastAsia" w:ascii="宋体" w:hAnsi="宋体" w:cs="宋体"/>
                <w:sz w:val="24"/>
                <w:szCs w:val="24"/>
              </w:rPr>
              <w:t xml:space="preserve">65寸</w:t>
            </w:r>
            <w:r>
              <w:rPr>
                <w:rFonts w:hint="eastAsia" w:ascii="宋体" w:hAnsi="宋体" w:cs="宋体"/>
                <w:sz w:val="24"/>
                <w:szCs w:val="24"/>
              </w:rPr>
              <w:t xml:space="preserve">智能交互平板）</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30</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智慧教室融合终端</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智能手写数位板</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22U 标准机柜</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系统集成(含线材)</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34</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小组端交互系统软件</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35</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主讲端交互系统软件</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bl>
    <w:p>
      <w:pPr>
        <w:pStyle w:val="653"/>
        <w:spacing w:line="360" w:lineRule="auto"/>
        <w:rPr>
          <w:rFonts w:ascii="宋体" w:hAnsi="宋体" w:cs="宋体"/>
          <w:b/>
          <w:bCs/>
          <w:sz w:val="24"/>
          <w:szCs w:val="24"/>
        </w:rPr>
      </w:pPr>
      <w:r>
        <w:rPr>
          <w:rFonts w:ascii="宋体" w:hAnsi="宋体" w:cs="宋体"/>
          <w:b/>
          <w:bCs/>
          <w:sz w:val="24"/>
          <w:szCs w:val="24"/>
        </w:rPr>
      </w:r>
      <w:r/>
    </w:p>
    <w:p>
      <w:pPr>
        <w:pStyle w:val="653"/>
        <w:spacing w:line="360" w:lineRule="auto"/>
        <w:rPr>
          <w:rFonts w:ascii="宋体" w:hAnsi="宋体" w:cs="宋体"/>
          <w:b/>
          <w:bCs/>
          <w:sz w:val="24"/>
          <w:szCs w:val="24"/>
        </w:rPr>
      </w:pPr>
      <w:r>
        <w:rPr>
          <w:rFonts w:ascii="宋体" w:hAnsi="宋体" w:cs="宋体"/>
          <w:b/>
          <w:bCs/>
          <w:sz w:val="24"/>
          <w:szCs w:val="24"/>
        </w:rPr>
        <w:br w:type="page" w:clear="all"/>
      </w:r>
      <w:r/>
    </w:p>
    <w:p>
      <w:pPr>
        <w:pStyle w:val="653"/>
        <w:spacing w:line="360" w:lineRule="auto"/>
        <w:rPr>
          <w:rFonts w:ascii="宋体" w:hAnsi="宋体" w:cs="宋体"/>
          <w:b/>
          <w:bCs/>
          <w:sz w:val="24"/>
          <w:szCs w:val="24"/>
        </w:rPr>
      </w:pPr>
      <w:r>
        <w:rPr>
          <w:rFonts w:ascii="宋体" w:hAnsi="宋体" w:cs="宋体"/>
          <w:b/>
          <w:bCs/>
          <w:sz w:val="24"/>
          <w:szCs w:val="24"/>
        </w:rPr>
        <w:t xml:space="preserve">（二）智慧教室（小）</w:t>
      </w:r>
      <w:r/>
    </w:p>
    <w:tbl>
      <w:tblPr>
        <w:tblW w:w="835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5109"/>
        <w:gridCol w:w="992"/>
        <w:gridCol w:w="1418"/>
      </w:tblGrid>
      <w:tr>
        <w:trPr>
          <w:cantSplit/>
          <w:trHeight w:val="311"/>
        </w:trPr>
        <w:tc>
          <w:tcPr>
            <w:tcW w:w="840"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5109"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品名</w:t>
            </w:r>
            <w:r>
              <w:rPr>
                <w:rFonts w:ascii="宋体" w:hAnsi="宋体" w:cs="宋体"/>
                <w:b/>
                <w:bCs/>
                <w:sz w:val="24"/>
                <w:szCs w:val="24"/>
              </w:rPr>
            </w:r>
            <w:r/>
          </w:p>
        </w:tc>
        <w:tc>
          <w:tcPr>
            <w:tcW w:w="992"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1418"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教师椅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 </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研讨椅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 </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常态化录播一体机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教师定位电子云镜摄像机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学生定位电子云镜摄像机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合并式功率放大器</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一拖二无线麦克风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千兆交换机（24 口全千兆机架）</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常态化录播互动系统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多媒体讲台（智能讲台）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交互式智能书写屏(电容单屏)</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指向性话筒</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专业音箱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智慧教室融合终端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22U 标准机柜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系统集成(含线材)</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研讨桌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 </w:t>
            </w:r>
            <w:r>
              <w:rPr>
                <w:rFonts w:ascii="宋体" w:hAnsi="宋体" w:cs="宋体"/>
                <w:sz w:val="24"/>
                <w:szCs w:val="24"/>
              </w:rPr>
            </w:r>
            <w:r/>
          </w:p>
        </w:tc>
      </w:tr>
    </w:tbl>
    <w:p>
      <w:pPr>
        <w:pStyle w:val="653"/>
        <w:rPr>
          <w:rFonts w:ascii="宋体" w:hAnsi="宋体"/>
          <w:sz w:val="24"/>
          <w:szCs w:val="24"/>
        </w:rPr>
      </w:pPr>
      <w:r>
        <w:rPr>
          <w:rFonts w:ascii="宋体" w:hAnsi="宋体"/>
          <w:sz w:val="24"/>
          <w:szCs w:val="24"/>
        </w:rPr>
      </w:r>
      <w:r/>
    </w:p>
    <w:p>
      <w:pPr>
        <w:pStyle w:val="653"/>
        <w:spacing w:line="360" w:lineRule="auto"/>
        <w:rPr>
          <w:rFonts w:ascii="宋体" w:hAnsi="宋体" w:cs="宋体"/>
          <w:b/>
          <w:bCs/>
          <w:sz w:val="24"/>
          <w:szCs w:val="24"/>
        </w:rPr>
      </w:pPr>
      <w:r>
        <w:rPr>
          <w:rFonts w:ascii="宋体" w:hAnsi="宋体" w:cs="宋体"/>
          <w:b/>
          <w:bCs/>
          <w:sz w:val="24"/>
          <w:szCs w:val="24"/>
        </w:rPr>
        <w:t xml:space="preserve">（三）</w:t>
      </w:r>
      <w:r>
        <w:rPr>
          <w:rFonts w:hint="eastAsia" w:ascii="宋体" w:hAnsi="宋体" w:cs="宋体"/>
          <w:b/>
          <w:bCs/>
          <w:sz w:val="24"/>
          <w:szCs w:val="24"/>
        </w:rPr>
        <w:t xml:space="preserve">婴幼儿行为观察室</w:t>
      </w:r>
      <w:r>
        <w:rPr>
          <w:rFonts w:ascii="宋体" w:hAnsi="宋体" w:cs="宋体"/>
          <w:b/>
          <w:bCs/>
          <w:sz w:val="24"/>
          <w:szCs w:val="24"/>
        </w:rPr>
      </w:r>
      <w:r/>
    </w:p>
    <w:tbl>
      <w:tblPr>
        <w:tblW w:w="835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5109"/>
        <w:gridCol w:w="992"/>
        <w:gridCol w:w="1418"/>
      </w:tblGrid>
      <w:tr>
        <w:trPr>
          <w:cantSplit/>
          <w:trHeight w:val="311"/>
        </w:trPr>
        <w:tc>
          <w:tcPr>
            <w:tcW w:w="840"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5109"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品名</w:t>
            </w:r>
            <w:r>
              <w:rPr>
                <w:rFonts w:ascii="宋体" w:hAnsi="宋体" w:cs="宋体"/>
                <w:b/>
                <w:bCs/>
                <w:sz w:val="24"/>
                <w:szCs w:val="24"/>
              </w:rPr>
            </w:r>
            <w:r/>
          </w:p>
        </w:tc>
        <w:tc>
          <w:tcPr>
            <w:tcW w:w="992"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1418" w:type="dxa"/>
            <w:vAlign w:val="center"/>
            <w:vMerge w:val="restart"/>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儿童布艺沙发</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儿童小茶几</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观察桌</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儿童桌椅</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培训椅</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文件柜</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玩具柜</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儿童寝具</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9</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单向玻璃</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面</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10</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86 寸</w:t>
            </w:r>
            <w:r>
              <w:rPr>
                <w:rFonts w:hint="eastAsia" w:ascii="宋体" w:hAnsi="宋体" w:cs="宋体"/>
                <w:sz w:val="24"/>
                <w:szCs w:val="24"/>
              </w:rPr>
              <w:t xml:space="preserve">智能</w:t>
            </w:r>
            <w:r>
              <w:rPr>
                <w:rFonts w:ascii="宋体" w:hAnsi="宋体" w:cs="宋体"/>
                <w:sz w:val="24"/>
                <w:szCs w:val="24"/>
              </w:rPr>
              <w:t xml:space="preserve">交互平板</w:t>
            </w:r>
            <w:r>
              <w:rPr>
                <w:rFonts w:hint="eastAsia" w:ascii="宋体" w:hAnsi="宋体" w:cs="宋体"/>
                <w:sz w:val="24"/>
                <w:szCs w:val="24"/>
              </w:rPr>
              <w:t xml:space="preserve">（含 PC 模块、移动支架）</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合并式功率放大器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12</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一拖二无线麦克风</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13</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千兆交换机（8 口全千兆）</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14</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婴幼儿行为分析系统</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15</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控制键盘</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16</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多媒体讲台（智能讲台）</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17</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硬盘</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硬盘录像机</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19</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交互式智能书写屏(电容单屏)</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20</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专业音箱 </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学生特写球</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22</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创新思维教具（5-6）</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创新思维教具（4-5）</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24</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创新思维教具（2-3）</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25</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宣泄柱</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26</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心理沙盘</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tcPr>
          <w:p>
            <w:pPr>
              <w:pStyle w:val="653"/>
              <w:jc w:val="center"/>
              <w:rPr>
                <w:rFonts w:ascii="宋体" w:hAnsi="宋体"/>
                <w:bCs/>
                <w:sz w:val="24"/>
                <w:szCs w:val="24"/>
              </w:rPr>
            </w:pPr>
            <w:r>
              <w:rPr>
                <w:rFonts w:hint="eastAsia" w:ascii="宋体" w:hAnsi="宋体"/>
                <w:bCs/>
                <w:sz w:val="24"/>
                <w:szCs w:val="24"/>
              </w:rPr>
              <w:t xml:space="preserve">27</w:t>
            </w:r>
            <w:r>
              <w:rPr>
                <w:rFonts w:ascii="宋体" w:hAnsi="宋体"/>
                <w:bCs/>
                <w:sz w:val="24"/>
                <w:szCs w:val="24"/>
              </w:rPr>
            </w:r>
            <w:r/>
          </w:p>
        </w:tc>
        <w:tc>
          <w:tcPr>
            <w:tcW w:w="5109"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河内塔</w:t>
            </w:r>
            <w:r>
              <w:rPr>
                <w:rFonts w:ascii="宋体" w:hAnsi="宋体" w:cs="宋体"/>
                <w:sz w:val="24"/>
                <w:szCs w:val="24"/>
              </w:rPr>
            </w:r>
            <w:r/>
          </w:p>
        </w:tc>
        <w:tc>
          <w:tcPr>
            <w:tcW w:w="992"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8" w:type="dxa"/>
            <w:vAlign w:val="center"/>
            <w:textDirection w:val="lrTb"/>
            <w:noWrap/>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c>
          <w:tcPr>
            <w:tcW w:w="840" w:type="dxa"/>
            <w:vAlign w:val="center"/>
            <w:textDirection w:val="lrTb"/>
            <w:noWrap w:val="false"/>
          </w:tcPr>
          <w:p>
            <w:pPr>
              <w:pStyle w:val="653"/>
              <w:jc w:val="center"/>
              <w:rPr>
                <w:rFonts w:ascii="宋体" w:hAnsi="宋体"/>
                <w:bCs/>
                <w:sz w:val="24"/>
                <w:szCs w:val="24"/>
              </w:rPr>
            </w:pPr>
            <w:r>
              <w:rPr>
                <w:rFonts w:hint="eastAsia" w:ascii="宋体" w:hAnsi="宋体"/>
                <w:bCs/>
                <w:sz w:val="24"/>
                <w:szCs w:val="24"/>
              </w:rPr>
              <w:t xml:space="preserve">28</w:t>
            </w:r>
            <w:r>
              <w:rPr>
                <w:rFonts w:ascii="宋体" w:hAnsi="宋体"/>
                <w:bCs/>
                <w:sz w:val="24"/>
                <w:szCs w:val="24"/>
              </w:rPr>
            </w:r>
            <w:r/>
          </w:p>
        </w:tc>
        <w:tc>
          <w:tcPr>
            <w:tcW w:w="5109"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情绪类绘本</w:t>
            </w:r>
            <w:r>
              <w:rPr>
                <w:rFonts w:ascii="宋体" w:hAnsi="宋体" w:cs="宋体"/>
                <w:sz w:val="24"/>
                <w:szCs w:val="24"/>
              </w:rPr>
            </w:r>
            <w:r/>
          </w:p>
        </w:tc>
        <w:tc>
          <w:tcPr>
            <w:tcW w:w="992"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1418"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册</w:t>
            </w:r>
            <w:r>
              <w:rPr>
                <w:rFonts w:ascii="宋体" w:hAnsi="宋体" w:cs="宋体"/>
                <w:sz w:val="24"/>
                <w:szCs w:val="24"/>
              </w:rPr>
            </w:r>
            <w:r/>
          </w:p>
        </w:tc>
      </w:tr>
    </w:tbl>
    <w:p>
      <w:pPr>
        <w:pStyle w:val="653"/>
        <w:rPr>
          <w:rFonts w:ascii="宋体" w:hAnsi="宋体"/>
          <w:sz w:val="24"/>
          <w:szCs w:val="24"/>
        </w:rPr>
      </w:pPr>
      <w:r>
        <w:rPr>
          <w:rFonts w:ascii="宋体" w:hAnsi="宋体"/>
          <w:sz w:val="24"/>
          <w:szCs w:val="24"/>
        </w:rPr>
      </w:r>
      <w:r/>
    </w:p>
    <w:p>
      <w:pPr>
        <w:pStyle w:val="876"/>
        <w:spacing w:before="0" w:after="0" w:line="360" w:lineRule="auto"/>
      </w:pPr>
      <w:r>
        <w:rPr>
          <w:rFonts w:hint="eastAsia"/>
        </w:rPr>
        <w:t xml:space="preserve">二、技术参数和性能要求：</w:t>
      </w:r>
      <w:r/>
    </w:p>
    <w:p>
      <w:pPr>
        <w:pStyle w:val="653"/>
        <w:spacing w:line="360" w:lineRule="auto"/>
        <w:rPr>
          <w:rFonts w:ascii="宋体" w:hAnsi="宋体" w:cs="宋体"/>
          <w:b/>
          <w:bCs/>
          <w:sz w:val="24"/>
          <w:szCs w:val="24"/>
        </w:rPr>
      </w:pPr>
      <w:r>
        <w:rPr>
          <w:rFonts w:hint="eastAsia" w:ascii="宋体" w:hAnsi="宋体" w:cs="宋体"/>
          <w:b/>
          <w:bCs/>
          <w:sz w:val="24"/>
          <w:szCs w:val="24"/>
        </w:rPr>
        <w:t xml:space="preserve">（一）智慧教室（大）</w:t>
      </w:r>
      <w:r>
        <w:rPr>
          <w:rFonts w:ascii="宋体" w:hAnsi="宋体" w:cs="宋体"/>
          <w:b/>
          <w:bCs/>
          <w:sz w:val="24"/>
          <w:szCs w:val="24"/>
        </w:rPr>
      </w:r>
      <w:r/>
    </w:p>
    <w:tbl>
      <w:tblPr>
        <w:tblW w:w="910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12"/>
        <w:gridCol w:w="6663"/>
        <w:gridCol w:w="706"/>
        <w:gridCol w:w="567"/>
      </w:tblGrid>
      <w:tr>
        <w:trPr>
          <w:trHeight w:val="660"/>
        </w:trPr>
        <w:tc>
          <w:tcPr>
            <w:tcW w:w="457"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712"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品名</w:t>
            </w:r>
            <w:r>
              <w:rPr>
                <w:rFonts w:ascii="宋体" w:hAnsi="宋体" w:cs="宋体"/>
                <w:b/>
                <w:bCs/>
                <w:sz w:val="24"/>
                <w:szCs w:val="24"/>
              </w:rPr>
            </w:r>
            <w:r/>
          </w:p>
        </w:tc>
        <w:tc>
          <w:tcPr>
            <w:tcW w:w="6663"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技术参数</w:t>
            </w:r>
            <w:r>
              <w:rPr>
                <w:rFonts w:ascii="宋体" w:hAnsi="宋体" w:cs="宋体"/>
                <w:b/>
                <w:bCs/>
                <w:sz w:val="24"/>
                <w:szCs w:val="24"/>
              </w:rPr>
            </w:r>
            <w:r/>
          </w:p>
        </w:tc>
        <w:tc>
          <w:tcPr>
            <w:tcW w:w="706"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567"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r>
      <w:tr>
        <w:trPr>
          <w:trHeight w:val="660"/>
        </w:trPr>
        <w:tc>
          <w:tcPr>
            <w:tcW w:w="457" w:type="dxa"/>
            <w:vAlign w:val="center"/>
            <w:textDirection w:val="lrTb"/>
            <w:noWrap w:val="false"/>
          </w:tcPr>
          <w:p>
            <w:pPr>
              <w:pStyle w:val="653"/>
              <w:jc w:val="center"/>
              <w:widowControl/>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研讨桌</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单个为扇型桌8张可拼成一个直径</w:t>
            </w:r>
            <w:r>
              <w:rPr>
                <w:rFonts w:hint="eastAsia" w:ascii="宋体" w:hAnsi="宋体" w:cs="宋体"/>
                <w:sz w:val="24"/>
                <w:szCs w:val="24"/>
              </w:rPr>
              <w:t xml:space="preserve">1800mm</w:t>
            </w:r>
            <w:r>
              <w:rPr>
                <w:rFonts w:hint="eastAsia" w:ascii="宋体" w:hAnsi="宋体" w:cs="宋体"/>
                <w:sz w:val="24"/>
                <w:szCs w:val="24"/>
              </w:rPr>
              <w:t xml:space="preserve">的圆 </w:t>
              <w:br w:type="textWrapping" w:clear="all"/>
              <w:t xml:space="preserve">1</w:t>
            </w:r>
            <w:r>
              <w:rPr>
                <w:rFonts w:hint="eastAsia" w:ascii="宋体" w:hAnsi="宋体" w:cs="宋体"/>
                <w:sz w:val="24"/>
                <w:szCs w:val="24"/>
              </w:rPr>
              <w:t xml:space="preserve">.</w:t>
            </w:r>
            <w:r>
              <w:rPr>
                <w:rFonts w:hint="eastAsia" w:ascii="宋体" w:hAnsi="宋体" w:cs="宋体"/>
                <w:sz w:val="24"/>
                <w:szCs w:val="24"/>
              </w:rPr>
              <w:t xml:space="preserve">台面板：采用优质高密度刨花板（三聚氰胺板），符合国家E1级板材标准，台面厚度25mm，挡板厚度15mm,面粘三聚氰胺胶面，PVC胶边，耐磨防污。</w:t>
              <w:br w:type="textWrapping" w:clear="all"/>
            </w:r>
            <w:r>
              <w:rPr>
                <w:rFonts w:hint="eastAsia" w:ascii="宋体" w:hAnsi="宋体" w:cs="宋体"/>
                <w:sz w:val="24"/>
                <w:szCs w:val="24"/>
              </w:rPr>
              <w:t xml:space="preserve">2.</w:t>
            </w:r>
            <w:r>
              <w:rPr>
                <w:rFonts w:hint="eastAsia" w:ascii="宋体" w:hAnsi="宋体" w:cs="宋体"/>
                <w:sz w:val="24"/>
                <w:szCs w:val="24"/>
              </w:rPr>
              <w:t xml:space="preserve">台面托架：采用优质冷轧钢板经冲压折弯工艺一体而成，长</w:t>
            </w:r>
            <w:r>
              <w:rPr>
                <w:rFonts w:hint="eastAsia" w:ascii="宋体" w:hAnsi="宋体" w:cs="宋体"/>
                <w:sz w:val="24"/>
                <w:szCs w:val="24"/>
              </w:rPr>
              <w:t xml:space="preserve">280mm</w:t>
            </w:r>
            <w:r>
              <w:rPr>
                <w:rFonts w:hint="eastAsia" w:ascii="宋体" w:hAnsi="宋体" w:cs="宋体"/>
                <w:sz w:val="24"/>
                <w:szCs w:val="24"/>
              </w:rPr>
              <w:t xml:space="preserve">*宽</w:t>
            </w:r>
            <w:r>
              <w:rPr>
                <w:rFonts w:hint="eastAsia" w:ascii="宋体" w:hAnsi="宋体" w:cs="宋体"/>
                <w:sz w:val="24"/>
                <w:szCs w:val="24"/>
              </w:rPr>
              <w:t xml:space="preserve">30mm</w:t>
            </w:r>
            <w:r>
              <w:rPr>
                <w:rFonts w:hint="eastAsia" w:ascii="宋体" w:hAnsi="宋体" w:cs="宋体"/>
                <w:sz w:val="24"/>
                <w:szCs w:val="24"/>
              </w:rPr>
              <w:t xml:space="preserve">材料壁厚</w:t>
            </w:r>
            <w:r>
              <w:rPr>
                <w:rFonts w:hint="eastAsia" w:ascii="宋体" w:hAnsi="宋体" w:cs="宋体"/>
                <w:sz w:val="24"/>
                <w:szCs w:val="24"/>
              </w:rPr>
              <w:t xml:space="preserve">3.0mm</w:t>
            </w:r>
            <w:r>
              <w:rPr>
                <w:rFonts w:hint="eastAsia" w:ascii="宋体" w:hAnsi="宋体" w:cs="宋体"/>
                <w:sz w:val="24"/>
                <w:szCs w:val="24"/>
              </w:rPr>
              <w:t xml:space="preserve">。</w:t>
              <w:br w:type="textWrapping" w:clear="all"/>
            </w:r>
            <w:r>
              <w:rPr>
                <w:rFonts w:hint="eastAsia" w:ascii="宋体" w:hAnsi="宋体" w:cs="宋体"/>
                <w:sz w:val="24"/>
                <w:szCs w:val="24"/>
              </w:rPr>
              <w:t xml:space="preserve">3.</w:t>
            </w:r>
            <w:r>
              <w:rPr>
                <w:rFonts w:hint="eastAsia" w:ascii="宋体" w:hAnsi="宋体" w:cs="宋体"/>
                <w:sz w:val="24"/>
                <w:szCs w:val="24"/>
              </w:rPr>
              <w:t xml:space="preserve">侧脚</w:t>
            </w:r>
            <w:r>
              <w:rPr>
                <w:rFonts w:hint="eastAsia" w:ascii="宋体" w:hAnsi="宋体" w:cs="宋体"/>
                <w:sz w:val="24"/>
                <w:szCs w:val="24"/>
              </w:rPr>
              <w:t xml:space="preserve">:</w:t>
            </w:r>
            <w:r>
              <w:rPr>
                <w:rFonts w:hint="eastAsia" w:ascii="宋体" w:hAnsi="宋体" w:cs="宋体"/>
                <w:sz w:val="24"/>
                <w:szCs w:val="24"/>
              </w:rPr>
              <w:t xml:space="preserve">前脚管采用</w:t>
            </w:r>
            <w:r>
              <w:rPr>
                <w:rFonts w:hint="eastAsia" w:ascii="宋体" w:hAnsi="宋体" w:cs="宋体"/>
                <w:sz w:val="24"/>
                <w:szCs w:val="24"/>
              </w:rPr>
              <w:t xml:space="preserve">25</w:t>
            </w:r>
            <w:r>
              <w:rPr>
                <w:rFonts w:hint="eastAsia" w:ascii="宋体" w:hAnsi="宋体" w:cs="宋体"/>
                <w:sz w:val="24"/>
                <w:szCs w:val="24"/>
              </w:rPr>
              <w:t xml:space="preserve">mm</w:t>
            </w:r>
            <w:r>
              <w:rPr>
                <w:rFonts w:hint="eastAsia" w:ascii="宋体" w:hAnsi="宋体" w:cs="宋体"/>
                <w:sz w:val="24"/>
                <w:szCs w:val="24"/>
              </w:rPr>
              <w:t xml:space="preserve">*50mm</w:t>
            </w:r>
            <w:r>
              <w:rPr>
                <w:rFonts w:hint="eastAsia" w:ascii="宋体" w:hAnsi="宋体" w:cs="宋体"/>
                <w:sz w:val="24"/>
                <w:szCs w:val="24"/>
              </w:rPr>
              <w:t xml:space="preserve">优质冷轧钢管，后脚管采用</w:t>
            </w:r>
            <w:r>
              <w:rPr>
                <w:rFonts w:hint="eastAsia" w:ascii="宋体" w:hAnsi="宋体" w:cs="宋体"/>
                <w:sz w:val="24"/>
                <w:szCs w:val="24"/>
              </w:rPr>
              <w:t xml:space="preserve">25mm*50mm</w:t>
            </w:r>
            <w:r>
              <w:rPr>
                <w:rFonts w:hint="eastAsia" w:ascii="宋体" w:hAnsi="宋体" w:cs="宋体"/>
                <w:sz w:val="24"/>
                <w:szCs w:val="24"/>
              </w:rPr>
              <w:t xml:space="preserve">优质冷轧钢管，前后脚跨度</w:t>
            </w:r>
            <w:r>
              <w:rPr>
                <w:rFonts w:hint="eastAsia" w:ascii="宋体" w:hAnsi="宋体" w:cs="宋体"/>
                <w:sz w:val="24"/>
                <w:szCs w:val="24"/>
              </w:rPr>
              <w:t xml:space="preserve">540mm</w:t>
            </w:r>
            <w:r>
              <w:rPr>
                <w:rFonts w:hint="eastAsia" w:ascii="宋体" w:hAnsi="宋体" w:cs="宋体"/>
                <w:sz w:val="24"/>
                <w:szCs w:val="24"/>
              </w:rPr>
              <w:t xml:space="preserve">,壁厚1.2</w:t>
            </w:r>
            <w:r>
              <w:rPr>
                <w:rFonts w:hint="eastAsia" w:ascii="宋体" w:hAnsi="宋体" w:cs="宋体"/>
                <w:sz w:val="24"/>
                <w:szCs w:val="24"/>
              </w:rPr>
              <w:t xml:space="preserve">mm</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外观设计:架子经防锈防静电喷涂处理，台架有旋钮折叠装置，脚轮采用φ</w:t>
            </w:r>
            <w:r>
              <w:rPr>
                <w:rFonts w:hint="eastAsia" w:ascii="宋体" w:hAnsi="宋体" w:cs="宋体"/>
                <w:sz w:val="24"/>
                <w:szCs w:val="24"/>
              </w:rPr>
              <w:t xml:space="preserve">60mm</w:t>
            </w:r>
            <w:r>
              <w:rPr>
                <w:rFonts w:hint="eastAsia" w:ascii="宋体" w:hAnsi="宋体" w:cs="宋体"/>
                <w:sz w:val="24"/>
                <w:szCs w:val="24"/>
              </w:rPr>
              <w:t xml:space="preserve"> </w:t>
            </w:r>
            <w:r>
              <w:rPr>
                <w:rFonts w:hint="eastAsia" w:ascii="宋体" w:hAnsi="宋体" w:cs="宋体"/>
                <w:sz w:val="24"/>
                <w:szCs w:val="24"/>
              </w:rPr>
              <w:t xml:space="preserve">PU万向脚轮带刹车，造型美观大方，有现代特色。</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教师椅</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.靠背:</w:t>
            </w:r>
            <w:r>
              <w:rPr>
                <w:rFonts w:hint="eastAsia" w:ascii="宋体" w:hAnsi="宋体" w:cs="宋体"/>
                <w:sz w:val="24"/>
                <w:szCs w:val="24"/>
              </w:rPr>
              <w:t xml:space="preserve">采用一体成型全新PA尼龙+23%</w:t>
            </w:r>
            <w:r>
              <w:rPr>
                <w:rFonts w:hint="eastAsia" w:ascii="宋体" w:hAnsi="宋体" w:cs="宋体"/>
                <w:sz w:val="24"/>
                <w:szCs w:val="24"/>
              </w:rPr>
              <w:t xml:space="preserve">玻纤混合塑料背框；</w:t>
            </w:r>
            <w:r>
              <w:rPr>
                <w:rFonts w:hint="eastAsia" w:ascii="宋体" w:hAnsi="宋体" w:cs="宋体"/>
                <w:sz w:val="24"/>
                <w:szCs w:val="24"/>
              </w:rPr>
              <w:t xml:space="preserve">椅背顶腰部长</w:t>
            </w:r>
            <w:r>
              <w:rPr>
                <w:rFonts w:hint="eastAsia" w:ascii="宋体" w:hAnsi="宋体" w:cs="宋体"/>
                <w:sz w:val="24"/>
                <w:szCs w:val="24"/>
              </w:rPr>
              <w:t xml:space="preserve">410mm</w:t>
            </w:r>
            <w:r>
              <w:rPr>
                <w:rFonts w:hint="eastAsia" w:ascii="宋体" w:hAnsi="宋体" w:cs="宋体"/>
                <w:sz w:val="24"/>
                <w:szCs w:val="24"/>
              </w:rPr>
              <w:t xml:space="preserve">,高度</w:t>
            </w:r>
            <w:r>
              <w:rPr>
                <w:rFonts w:hint="eastAsia" w:ascii="宋体" w:hAnsi="宋体" w:cs="宋体"/>
                <w:sz w:val="24"/>
                <w:szCs w:val="24"/>
              </w:rPr>
              <w:t xml:space="preserve">270mm</w:t>
            </w:r>
            <w:r>
              <w:rPr>
                <w:rFonts w:hint="eastAsia" w:ascii="宋体" w:hAnsi="宋体" w:cs="宋体"/>
                <w:sz w:val="24"/>
                <w:szCs w:val="24"/>
              </w:rPr>
              <w:t xml:space="preserve">,带腰扣3档任意上下</w:t>
            </w:r>
            <w:r>
              <w:rPr>
                <w:rFonts w:hint="eastAsia" w:ascii="宋体" w:hAnsi="宋体" w:cs="宋体"/>
                <w:sz w:val="24"/>
                <w:szCs w:val="24"/>
              </w:rPr>
              <w:t xml:space="preserve">40mm</w:t>
            </w:r>
            <w:r>
              <w:rPr>
                <w:rFonts w:hint="eastAsia" w:ascii="宋体" w:hAnsi="宋体" w:cs="宋体"/>
                <w:sz w:val="24"/>
                <w:szCs w:val="24"/>
              </w:rPr>
              <w:t xml:space="preserve">幅度调节,腰条宽度为</w:t>
            </w:r>
            <w:r>
              <w:rPr>
                <w:rFonts w:hint="eastAsia" w:ascii="宋体" w:hAnsi="宋体" w:cs="宋体"/>
                <w:sz w:val="24"/>
                <w:szCs w:val="24"/>
              </w:rPr>
              <w:t xml:space="preserve">85mm</w:t>
            </w:r>
            <w:r>
              <w:rPr>
                <w:rFonts w:hint="eastAsia" w:ascii="宋体" w:hAnsi="宋体" w:cs="宋体"/>
                <w:sz w:val="24"/>
                <w:szCs w:val="24"/>
              </w:rPr>
              <w:t xml:space="preserve">整体贴合人体脊柱骨背部；</w:t>
            </w:r>
            <w:r>
              <w:rPr>
                <w:rFonts w:hint="eastAsia"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座包为</w:t>
            </w:r>
            <w:r>
              <w:rPr>
                <w:rFonts w:hint="eastAsia" w:ascii="宋体" w:hAnsi="宋体" w:cs="宋体"/>
                <w:sz w:val="24"/>
                <w:szCs w:val="24"/>
              </w:rPr>
              <w:t xml:space="preserve">484*480*80mm</w:t>
            </w:r>
            <w:r>
              <w:rPr>
                <w:rFonts w:hint="eastAsia" w:ascii="宋体" w:hAnsi="宋体" w:cs="宋体"/>
                <w:sz w:val="24"/>
                <w:szCs w:val="24"/>
              </w:rPr>
              <w:t xml:space="preserve">尺寸大小，内为一次性定型70KG/M3#高密度、高回弹性、定型海绵，带全新PA尼龙座壳长时间外力作用下不易变形，美观。</w:t>
              <w:br w:type="textWrapping" w:clear="all"/>
              <w:t xml:space="preserve">3</w:t>
            </w:r>
            <w:r>
              <w:rPr>
                <w:rFonts w:hint="eastAsia" w:ascii="宋体" w:hAnsi="宋体" w:cs="宋体"/>
                <w:sz w:val="24"/>
                <w:szCs w:val="24"/>
              </w:rPr>
              <w:t xml:space="preserve">.</w:t>
            </w:r>
            <w:r>
              <w:rPr>
                <w:rFonts w:hint="eastAsia" w:ascii="宋体" w:hAnsi="宋体" w:cs="宋体"/>
                <w:sz w:val="24"/>
                <w:szCs w:val="24"/>
              </w:rPr>
              <w:t xml:space="preserve">面料：配优质环保网布，柔软弹性大，透气性强  背网采用超透气单层网布，韧性强，耐磨度高，耐脏。</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研讨椅</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背架</w:t>
            </w:r>
            <w:r>
              <w:rPr>
                <w:rFonts w:hint="eastAsia" w:ascii="宋体" w:hAnsi="宋体" w:cs="宋体"/>
                <w:sz w:val="24"/>
                <w:szCs w:val="24"/>
              </w:rPr>
              <w:t xml:space="preserve">:</w:t>
            </w:r>
            <w:r>
              <w:rPr>
                <w:rFonts w:hint="eastAsia" w:ascii="宋体" w:hAnsi="宋体" w:cs="宋体"/>
                <w:sz w:val="24"/>
                <w:szCs w:val="24"/>
              </w:rPr>
              <w:t xml:space="preserve">全新进口PA+玻纤，一体注塑成型，环保防火</w:t>
              <w:br w:type="textWrapping" w:clear="all"/>
              <w:t xml:space="preserve">舒适透气特网，美观耐用</w:t>
              <w:br w:type="textWrapping" w:clear="all"/>
            </w:r>
            <w:r>
              <w:rPr>
                <w:rFonts w:hint="eastAsia" w:ascii="宋体" w:hAnsi="宋体" w:cs="宋体"/>
                <w:sz w:val="24"/>
                <w:szCs w:val="24"/>
              </w:rPr>
              <w:t xml:space="preserve">2.</w:t>
            </w:r>
            <w:r>
              <w:rPr>
                <w:rFonts w:hint="eastAsia" w:ascii="宋体" w:hAnsi="宋体" w:cs="宋体"/>
                <w:sz w:val="24"/>
                <w:szCs w:val="24"/>
              </w:rPr>
              <w:t xml:space="preserve">靠背</w:t>
            </w:r>
            <w:r>
              <w:rPr>
                <w:rFonts w:hint="eastAsia" w:ascii="宋体" w:hAnsi="宋体" w:cs="宋体"/>
                <w:sz w:val="24"/>
                <w:szCs w:val="24"/>
              </w:rPr>
              <w:t xml:space="preserve">:倾仰机构设计,</w:t>
            </w:r>
            <w:r>
              <w:rPr>
                <w:rFonts w:hint="eastAsia" w:ascii="宋体" w:hAnsi="宋体" w:cs="宋体"/>
                <w:sz w:val="24"/>
                <w:szCs w:val="24"/>
              </w:rPr>
              <w:t xml:space="preserve">有效缓解疲劳</w:t>
              <w:br w:type="textWrapping" w:clear="all"/>
            </w:r>
            <w:r>
              <w:rPr>
                <w:rFonts w:hint="eastAsia" w:ascii="宋体" w:hAnsi="宋体" w:cs="宋体"/>
                <w:sz w:val="24"/>
                <w:szCs w:val="24"/>
              </w:rPr>
              <w:t xml:space="preserve">3.</w:t>
            </w:r>
            <w:r>
              <w:rPr>
                <w:rFonts w:hint="eastAsia" w:ascii="宋体" w:hAnsi="宋体" w:cs="宋体"/>
                <w:sz w:val="24"/>
                <w:szCs w:val="24"/>
              </w:rPr>
              <w:t xml:space="preserve">座垫</w:t>
            </w:r>
            <w:r>
              <w:rPr>
                <w:rFonts w:hint="eastAsia" w:ascii="宋体" w:hAnsi="宋体" w:cs="宋体"/>
                <w:sz w:val="24"/>
                <w:szCs w:val="24"/>
              </w:rPr>
              <w:t xml:space="preserve">:</w:t>
            </w:r>
            <w:r>
              <w:rPr>
                <w:rFonts w:hint="eastAsia" w:ascii="宋体" w:hAnsi="宋体" w:cs="宋体"/>
                <w:sz w:val="24"/>
                <w:szCs w:val="24"/>
              </w:rPr>
              <w:t xml:space="preserve">采用防阻燃定型海绵，舒适透气 </w:t>
              <w:br w:type="textWrapping" w:clear="all"/>
            </w:r>
            <w:r>
              <w:rPr>
                <w:rFonts w:hint="eastAsia" w:ascii="宋体" w:hAnsi="宋体" w:cs="宋体"/>
                <w:sz w:val="24"/>
                <w:szCs w:val="24"/>
              </w:rPr>
              <w:t xml:space="preserve">4.</w:t>
            </w:r>
            <w:r>
              <w:rPr>
                <w:rFonts w:hint="eastAsia" w:ascii="宋体" w:hAnsi="宋体" w:cs="宋体"/>
                <w:sz w:val="24"/>
                <w:szCs w:val="24"/>
              </w:rPr>
              <w:t xml:space="preserve">T1.5mm定制异型管，喷涂支架，金属质感，稳固性强，可折叠收纳，PA固定脚垫</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rHeight w:val="274"/>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椅子</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1.背架:全新进口PA+玻纤，一体注塑成型，环保防火</w:t>
              <w:br w:type="textWrapping" w:clear="all"/>
              <w:t xml:space="preserve">舒适透气特网，美观耐用</w:t>
              <w:br w:type="textWrapping" w:clear="all"/>
              <w:t xml:space="preserve">2.靠背:倾仰机构设计,有效缓解疲劳</w:t>
              <w:br w:type="textWrapping" w:clear="all"/>
              <w:t xml:space="preserve">3.座垫:采用防阻燃定型海绵，舒适透气 </w:t>
              <w:br w:type="textWrapping" w:clear="all"/>
              <w:t xml:space="preserve">4.T1.5mm定制异型管，喷涂支架，金属质感，稳固性强，可折叠收纳，PA固定脚垫</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中控室操作台</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框架结构:</w:t>
            </w:r>
            <w:r>
              <w:rPr>
                <w:rFonts w:hint="eastAsia" w:ascii="宋体" w:hAnsi="宋体" w:cs="宋体"/>
                <w:sz w:val="24"/>
                <w:szCs w:val="24"/>
              </w:rPr>
              <w:t xml:space="preserve">内部主框架1.5mm，冷轧钢板，立柱1.5mm，激光切割成型，数控设备制作，做工精良，采用无磷静电粉末喷涂。</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2.前后门板：优质冷轧钢板，静电喷塑，1.0mm厚,门上有通风散热孔。</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3.配有4组键盘抽屉和托盘，台面50mm走线孔</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4.柜体机采用可调节层板设计，可根据需求上下调节高度，前后双开门。内置可调节托盘。</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4K 录播一体机</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1.要求录播</w:t>
            </w:r>
            <w:r>
              <w:rPr>
                <w:rFonts w:hint="eastAsia" w:ascii="宋体" w:hAnsi="宋体" w:cs="宋体"/>
                <w:sz w:val="24"/>
                <w:szCs w:val="24"/>
              </w:rPr>
              <w:t xml:space="preserve">主机采用一体化嵌入式硬件设计架构，≤24V供电，支持7*24小时工作。</w:t>
              <w:br/>
              <w:t xml:space="preserve">2.内置嵌入式Linux操作系统，满足录制、直播、点播、互动、导播管理、存储、切换、视音频编码等功能，支持远程互动教学，实现远程互动网络课堂。</w:t>
              <w:br/>
              <w:t xml:space="preserve">▲3.视频输入接口：要求支持≥9路本地高清信号采集接口，至少包括5路SDI（5路SDI接口均支持POC供电及信号检测指示灯，支持自动检测到POC摄像机后指示灯亮）、2路HDMI、1路VGA、1路YPBPR。(投标时须提供检测报告原件扫描上传及报告编号在全国认证认可信息公共服务平台的查询截图上传)</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视频输出接口:</w:t>
            </w:r>
            <w:r>
              <w:rPr>
                <w:rFonts w:hint="eastAsia" w:ascii="宋体" w:hAnsi="宋体" w:cs="宋体"/>
                <w:sz w:val="24"/>
                <w:szCs w:val="24"/>
              </w:rPr>
              <w:t xml:space="preserve">要求支持≥3路本地视频输出接口，接口类型为≥2路HDMI高清数字接口（支持4K合成HDMI输出），≥1路VGA接口。</w:t>
              <w:br w:type="textWrapping" w:clear="all"/>
              <w:t xml:space="preserve">5.音频接口：为保证教室内音频采集，支持≥4路本地音频信号采集接口，接口分别为≥2路吊麦,≥3路立体声音频输入接口，其中≥2路吊麦支持48V供电，支持≥4路立体声音频输出接口，其中≥1路为3.5mm本地耳机监听接口。</w:t>
              <w:br w:type="textWrapping" w:clear="all"/>
              <w:t xml:space="preserve">6.要求支持≥1路100/1000Mbps自适应网口，≥8路RJ45控制接口（兼容RS232、RS422控制协议，支持接入控制面板、硬件导播台、LED计时器等外部设备）。</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7.要求具备≥4路USB接口，支持连接鼠标、键盘进行导播控制以及主机连接U盘进行课程视频的录制、下载，其中至少支持2路USB 2.0和2路USB3.0接口。</w:t>
              <w:br w:type="textWrapping" w:clear="all"/>
              <w:t xml:space="preserve">8.要求主机前面板配置≥2.1英寸液晶显示屏和≥6个操作按键。</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．存储容量:</w:t>
            </w:r>
            <w:r>
              <w:rPr>
                <w:rFonts w:hint="eastAsia" w:ascii="宋体" w:hAnsi="宋体" w:cs="宋体"/>
                <w:sz w:val="24"/>
                <w:szCs w:val="24"/>
              </w:rPr>
              <w:t xml:space="preserve">要求配置≥2T硬盘。</w:t>
              <w:br w:type="textWrapping" w:clear="all"/>
              <w:t xml:space="preserve">▲10.整机采用耐腐蚀技术处理，需通过符合标准的盐雾试验，试验时间不少于60小时。要求产品通过GB/T 2423.17-2008盐雾实验。(投标时须提供检测报告原件扫描上传及报告编号在全国认证认可信息公共服务平台的查询截图上传)</w:t>
              <w:br w:type="textWrapping" w:clear="all"/>
              <w:t xml:space="preserve">▲11.为避免运输过程中出现碰撞导致设备损坏或内部松动，要求产品通过GB/T 2423.5-2019冲击实验。(投标时须提供检测报告原件扫描上传及报告编号在全国认证认可信息公共服务平台的查询截图上传)</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高清云台摄像机(特写)</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硬件部分：</w:t>
              <w:br w:type="textWrapping" w:clear="all"/>
              <w:t xml:space="preserve">1.图像传感器： 采用≥1/2.8英寸，≥207万有效像素，HD CMOS传感器。</w:t>
              <w:br w:type="textWrapping" w:clear="all"/>
              <w:t xml:space="preserve">2.视频编码标准: 不少于H.264/MJEPG；视频码率：不少于128Kbps ～  8192Kbps。</w:t>
              <w:br w:type="textWrapping" w:clear="all"/>
              <w:t xml:space="preserve">3.</w:t>
            </w:r>
            <w:r>
              <w:rPr>
                <w:rFonts w:hint="eastAsia" w:ascii="宋体" w:hAnsi="宋体" w:cs="宋体"/>
                <w:sz w:val="24"/>
                <w:szCs w:val="24"/>
              </w:rPr>
              <w:t xml:space="preserve">音频压缩标准：AAC；音频码率不少于96Kbps, 128Kbps, 256Kbps。</w:t>
              <w:br/>
              <w:t xml:space="preserve">4.超高帧率：1080P下输出帧频可达60fps。 </w:t>
              <w:br/>
              <w:t xml:space="preserve">5.信号系统不少于1080P60，1080P50，1080P30，1080P25，720P60，720P50。</w:t>
              <w:br/>
              <w:t xml:space="preserve">6. 光学变焦：≥20X; 镜头不少于 f4.42mm ～  88.5mm, F1.8 ～ F2.8。数字变焦：≥16X.</w:t>
              <w:br/>
              <w:t xml:space="preserve">7.信噪比: ≥55dB。</w:t>
              <w:br/>
              <w:t xml:space="preserve">8. 水平视场角: 不低于60.7°～ 3.36°;垂直视场角: 不低于34.1°～ 1.89°。</w:t>
              <w:br/>
              <w:t xml:space="preserve">9.转</w:t>
            </w:r>
            <w:r>
              <w:rPr>
                <w:rFonts w:hint="eastAsia" w:ascii="宋体" w:hAnsi="宋体" w:cs="宋体"/>
                <w:sz w:val="24"/>
                <w:szCs w:val="24"/>
              </w:rPr>
              <w:t xml:space="preserve">动范围：水平转动范围不低于±170°，垂直转动范围不低于-30°～+90°，水平转动速度范围不低于1.7°～ 100°/s，垂直转动速度范围不低于1.7°～69°/s。</w:t>
              <w:br/>
              <w:t xml:space="preserve">10.快门: 不低于1/30s～1/10000s。</w:t>
              <w:br/>
              <w:t xml:space="preserve">11.图像冻结: 支持。</w:t>
              <w:br/>
              <w:t xml:space="preserve">12.供电: ≤DC12V、PoE。</w:t>
              <w:br/>
              <w:t xml:space="preserve">13.预置位数量: ≥255个。</w:t>
              <w:br/>
              <w:t xml:space="preserve">14.视频码流: 支持主码流、辅码流。</w:t>
              <w:br/>
              <w:t xml:space="preserve">15.产品亮度分解力（水平）≥1000电视线。</w:t>
              <w:br/>
              <w:t xml:space="preserve">▲16.在监视或录像状态下，监视画面无明显缺损，物体移动时画面边缘无明显锯齿、拉毛现象。(投标时须提供检</w:t>
            </w:r>
            <w:r>
              <w:rPr>
                <w:rFonts w:hint="eastAsia" w:ascii="宋体" w:hAnsi="宋体" w:cs="宋体"/>
                <w:sz w:val="24"/>
                <w:szCs w:val="24"/>
              </w:rPr>
              <w:t xml:space="preserve">测报告原件扫描上传及报告编号在全国认证认可信息公共服务平台的查询截图上传)</w:t>
              <w:br/>
              <w:t xml:space="preserve">17.集合定点看全景、动点看细节的优势，达到既能看全又能看清的效果，适用于教室学生人脸点名及学生行为分析。</w:t>
              <w:br/>
              <w:t xml:space="preserve">18.高清输出: ≥1路HDMI, ≥1路3G-SDI。 </w:t>
              <w:br/>
              <w:t xml:space="preserve">19.网络接口： ≥1路RJ45。 </w:t>
              <w:br/>
              <w:t xml:space="preserve">20.其它接口： ≥1路3.5mm Line In音频接口； ≥1路USB 2.0接口；≥1路RS232 In ；≥1路RS232 Out；≥1路RS485。</w:t>
              <w:br/>
              <w:t xml:space="preserve">21.功耗：最大功率≤12W。</w:t>
              <w:br/>
              <w:t xml:space="preserve">▲22.要求产品采用耐腐蚀技术处理，需</w:t>
            </w:r>
            <w:r>
              <w:rPr>
                <w:rFonts w:hint="eastAsia" w:ascii="宋体" w:hAnsi="宋体" w:cs="宋体"/>
                <w:sz w:val="24"/>
                <w:szCs w:val="24"/>
              </w:rPr>
              <w:t xml:space="preserve">CMA</w:t>
            </w:r>
            <w:r>
              <w:rPr>
                <w:rFonts w:hint="eastAsia" w:ascii="宋体" w:hAnsi="宋体" w:cs="宋体"/>
                <w:sz w:val="24"/>
                <w:szCs w:val="24"/>
              </w:rPr>
              <w:t xml:space="preserve">机构认可的实验室出具的盐雾检测报告为佐证，检测时间不小于48小时，产品外观、各金属件都应无锈蚀痕迹。(投标时须提供检测报告原件扫描上传及报告编号在全国认证认可信息公共服务平台的查询截图上传)</w:t>
              <w:br w:type="textWrapping" w:clear="all"/>
              <w:t xml:space="preserve">▲23.为确保产品耐高低温性能，能承受低温-10℃～高温40℃环境下工作，需有检测报告为佐证，检测时间不小于8小时。(投标时须提供检测报告原件扫描上传及报告编号在全国认证认可信息公共服务平台的查询截图上传)</w:t>
              <w:br w:type="textWrapping" w:clear="all"/>
              <w:t xml:space="preserve">24.为保证系统稳定性及兼容</w:t>
            </w:r>
            <w:r>
              <w:rPr>
                <w:rFonts w:hint="eastAsia" w:ascii="宋体" w:hAnsi="宋体" w:cs="宋体"/>
                <w:sz w:val="24"/>
                <w:szCs w:val="24"/>
              </w:rPr>
              <w:t xml:space="preserve">性，要求与4K录播一体机为同一品牌。</w:t>
              <w:br/>
              <w:t xml:space="preserve">软件部分：</w:t>
              <w:br/>
              <w:t xml:space="preserve">1.要求采用B/S架构，支持通用浏览器直接访问进行管理。</w:t>
              <w:br/>
              <w:t xml:space="preserve">2.要求支持网络参数设置与修改，支持一键恢复默认参数。</w:t>
              <w:br/>
              <w:t xml:space="preserve">3.要求支持曝光模式设置功能，包括自动、手动。</w:t>
              <w:br/>
              <w:t xml:space="preserve">4.要求支持抗闪烁频率、动态范围、光圈、快门参数设置。</w:t>
              <w:br/>
              <w:t xml:space="preserve">5.要求支持自动白平衡设置功能，红、蓝增益可调。</w:t>
              <w:br/>
              <w:t xml:space="preserve">6.要求支持噪声抑制设置功能，支持2D、3D降噪。</w:t>
              <w:br/>
              <w:t xml:space="preserve">7.要求支持摄像机图像质量调节功能，包括亮度、对比度、色调、饱和度。</w:t>
              <w:br/>
              <w:t xml:space="preserve">8.要求支持摄像机控制功能，包括云台控制、预置位设置与调用、焦距调节等。</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高清云台摄像机（全景）</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硬件部分：</w:t>
              <w:br w:type="textWrapping" w:clear="all"/>
              <w:t xml:space="preserve">1.图像传感器：采用≥1/2.8英寸，≥207万有效像素，HD CMOS传感器。</w:t>
              <w:br w:type="textWrapping" w:clear="all"/>
              <w:t xml:space="preserve">2.视频编码标准: 不少于H.264/MJEPG；视频码率：不少于128Kbps ～  8192Kbps。</w:t>
              <w:br w:type="textWrapping" w:clear="all"/>
              <w:t xml:space="preserve">3.音频压缩标准：AAC；音频码率不少于96Kbps, 128Kbps, 256Kbps。</w:t>
              <w:br w:type="textWrapping" w:clear="all"/>
              <w:t xml:space="preserve">4.超高帧率：1080P下输出帧频可达60fps。 </w:t>
              <w:br w:type="textWrapping" w:clear="all"/>
              <w:t xml:space="preserve">5.信号系统不少于1080P60，1080P50，1080P30</w:t>
            </w:r>
            <w:r>
              <w:rPr>
                <w:rFonts w:hint="eastAsia" w:ascii="宋体" w:hAnsi="宋体" w:cs="宋体"/>
                <w:sz w:val="24"/>
                <w:szCs w:val="24"/>
              </w:rPr>
              <w:t xml:space="preserve">，1080P25，720P60，720P50。</w:t>
              <w:br/>
              <w:t xml:space="preserve">6. 光学变焦：≥20X; 镜头不少于 f4.42mm ～  88.5mm, F1.8 ～ F2.8。数字变焦：≥16X.</w:t>
              <w:br/>
              <w:t xml:space="preserve">7.信噪比: ≥55dB。</w:t>
              <w:br/>
              <w:t xml:space="preserve">8.水平视场角: 不低于60.7°～ 3.36°;垂直视场角: 不低于34.1°～ 1.89°。</w:t>
              <w:br/>
              <w:t xml:space="preserve">9.转动范围：水平转动范围不低于±170°，垂直转动范围不低于-30°～+90°，水平转动速度范围不低于1.7°～ 100°/s，垂直转动速度范围不低于1.7°～69°/s。</w:t>
              <w:br/>
              <w:t xml:space="preserve">10.快门: 不低于1/30s～1/1</w:t>
            </w:r>
            <w:r>
              <w:rPr>
                <w:rFonts w:hint="eastAsia" w:ascii="宋体" w:hAnsi="宋体" w:cs="宋体"/>
                <w:sz w:val="24"/>
                <w:szCs w:val="24"/>
              </w:rPr>
              <w:t xml:space="preserve">0000s。</w:t>
              <w:br/>
              <w:t xml:space="preserve">11.图像冻结: 支持。</w:t>
              <w:br/>
              <w:t xml:space="preserve">12.供电: ≤DC12V、PoE。</w:t>
              <w:br/>
              <w:t xml:space="preserve">13.预置位数量: ≥255个。</w:t>
              <w:br/>
              <w:t xml:space="preserve">14.视频码流: 支持主码流、辅码流。</w:t>
              <w:br/>
              <w:t xml:space="preserve">15.产品亮度分解力（水平）≥1000电视线。</w:t>
              <w:br/>
              <w:t xml:space="preserve">16.高清输出: ≥1路HDMI, ≥1路3G-SDI。 </w:t>
              <w:br/>
              <w:t xml:space="preserve">17.网络接口：≥1路RJ45。 </w:t>
              <w:br/>
              <w:t xml:space="preserve">18.其它接口：≥1路3.5mm Line In音频接口； ≥1路USB 2.0接口；≥1路RS232 In：≥1路RS232 Out；≥1路RS485。</w:t>
              <w:br/>
              <w:t xml:space="preserve">19.功耗：最大功率≤12W。</w:t>
              <w:br/>
              <w:t xml:space="preserve">20.为保证系统稳定性及兼容</w:t>
            </w:r>
            <w:r>
              <w:rPr>
                <w:rFonts w:hint="eastAsia" w:ascii="宋体" w:hAnsi="宋体" w:cs="宋体"/>
                <w:sz w:val="24"/>
                <w:szCs w:val="24"/>
              </w:rPr>
              <w:t xml:space="preserve">性，要求与4K录播一体机为同一品牌。</w:t>
              <w:br/>
              <w:t xml:space="preserve">软件部分：</w:t>
              <w:br/>
              <w:t xml:space="preserve">1.要求采用B/S架构，支持通用浏览器直接访问进行管理。</w:t>
              <w:br/>
              <w:t xml:space="preserve">2.要求支持网络参数设置与修改，支持一键恢复默认参数。</w:t>
              <w:br/>
              <w:t xml:space="preserve">3.要求支持曝光模式设置功能，包括自动、手动。</w:t>
              <w:br/>
              <w:t xml:space="preserve">4.要求支持抗闪烁频率、动态范围、光圈、快门参数设置。</w:t>
              <w:br/>
              <w:t xml:space="preserve">5.要求支持自动白平衡设置功能，红、蓝增益可调。</w:t>
              <w:br/>
              <w:t xml:space="preserve">6.要求支持噪声抑制设置功能，支持2D、3D降噪。</w:t>
              <w:br/>
              <w:t xml:space="preserve">7.要求支持摄像机图像质量调节功能，包括亮度、对比度、色调、饱和度。</w:t>
              <w:br/>
              <w:t xml:space="preserve">8.要求支持摄像机控制功能，包括云台控制、预置位设置与调用、焦距调节等。</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LED 时钟</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1.要求配备超薄LED屏。</w:t>
              <w:br w:type="textWrapping" w:clear="all"/>
              <w:t xml:space="preserve">2.要求与录播一体机、桌面式触摸面板相结合，当老师按中控上开始录制键时，时钟从0开始计时，提醒录制时间。</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4口全</w:t>
            </w:r>
            <w:r>
              <w:rPr>
                <w:rFonts w:hint="eastAsia" w:ascii="宋体" w:hAnsi="宋体" w:cs="宋体"/>
                <w:sz w:val="24"/>
                <w:szCs w:val="24"/>
              </w:rPr>
              <w:t xml:space="preserve">千兆交换机（机架） </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二层非网管交换机，交换容量≥52Gbps，包转发率≥38.69Mpps，24口10/100/1000Mbps自适应电门交换机支持POE/POE+，POE功率180W)，固化2个SFP千兆光口，支持云端发现，云端查看设备状态。</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导播主机</w:t>
            </w:r>
            <w:r>
              <w:rPr>
                <w:rFonts w:ascii="宋体" w:hAnsi="宋体" w:cs="宋体"/>
                <w:sz w:val="24"/>
                <w:szCs w:val="24"/>
              </w:rPr>
            </w:r>
            <w:r/>
          </w:p>
        </w:tc>
        <w:tc>
          <w:tcPr>
            <w:tcW w:w="6663" w:type="dxa"/>
            <w:vAlign w:val="center"/>
            <w:textDirection w:val="lrTb"/>
            <w:noWrap w:val="false"/>
          </w:tcPr>
          <w:p>
            <w:pPr>
              <w:pStyle w:val="653"/>
              <w:numPr>
                <w:ilvl w:val="0"/>
                <w:numId w:val="9"/>
              </w:numPr>
              <w:jc w:val="left"/>
              <w:spacing w:line="240" w:lineRule="exact"/>
              <w:widowControl/>
              <w:rPr>
                <w:rFonts w:ascii="宋体" w:hAnsi="宋体" w:cs="宋体"/>
                <w:i/>
                <w:sz w:val="24"/>
                <w:szCs w:val="24"/>
                <w:u w:val="single"/>
              </w:rPr>
            </w:pPr>
            <w:r>
              <w:rPr>
                <w:rFonts w:hint="eastAsia" w:ascii="宋体" w:hAnsi="宋体" w:cs="宋体"/>
                <w:i/>
                <w:sz w:val="24"/>
                <w:szCs w:val="24"/>
                <w:u w:val="single"/>
              </w:rPr>
              <w:t xml:space="preserve">CPU规格：采用国产海光C86-3G处理器，CPU物理核心数≥8核，主频≥3.0GHz，末级缓存缓存容量≥16MB，典型功耗≤65W；</w:t>
            </w:r>
            <w:r>
              <w:rPr>
                <w:rFonts w:ascii="宋体" w:hAnsi="宋体" w:cs="宋体"/>
                <w:i/>
                <w:sz w:val="24"/>
                <w:szCs w:val="24"/>
                <w:u w:val="single"/>
              </w:rPr>
            </w:r>
            <w:r/>
          </w:p>
          <w:p>
            <w:pPr>
              <w:pStyle w:val="666"/>
              <w:numPr>
                <w:ilvl w:val="0"/>
                <w:numId w:val="9"/>
              </w:numPr>
              <w:spacing w:line="240" w:lineRule="exact"/>
              <w:rPr>
                <w:rFonts w:hAnsi="宋体"/>
                <w:i/>
                <w:color w:val="000000"/>
                <w:u w:val="single"/>
              </w:rPr>
            </w:pPr>
            <w:r>
              <w:rPr>
                <w:rFonts w:hint="eastAsia" w:hAnsi="宋体"/>
                <w:i/>
                <w:color w:val="000000"/>
                <w:u w:val="single"/>
              </w:rPr>
              <w:t xml:space="preserve">内存：配置≥8GB DDR4内存，内存读写速率≥3200MT/s，单内存插槽最大支持容量≥32GB，内存插槽满配时提供的最高内存容量≥128GB；</w:t>
            </w:r>
            <w:r>
              <w:rPr>
                <w:rFonts w:hAnsi="宋体"/>
                <w:i/>
                <w:color w:val="000000"/>
                <w:u w:val="single"/>
              </w:rPr>
            </w:r>
            <w:r/>
          </w:p>
          <w:p>
            <w:pPr>
              <w:pStyle w:val="653"/>
              <w:numPr>
                <w:ilvl w:val="0"/>
                <w:numId w:val="9"/>
              </w:numPr>
              <w:spacing w:line="240" w:lineRule="exact"/>
              <w:rPr>
                <w:rFonts w:ascii="宋体" w:hAnsi="宋体" w:cs="宋体"/>
                <w:i/>
                <w:sz w:val="24"/>
                <w:szCs w:val="24"/>
                <w:u w:val="single"/>
              </w:rPr>
            </w:pPr>
            <w:r>
              <w:rPr>
                <w:rFonts w:hint="eastAsia" w:ascii="宋体" w:hAnsi="宋体" w:cs="宋体"/>
                <w:i/>
                <w:sz w:val="24"/>
                <w:szCs w:val="24"/>
                <w:u w:val="single"/>
              </w:rPr>
              <w:t xml:space="preserve">存储设备规格：配置≥1*256GB M.2  固态硬盘 。</w:t>
            </w:r>
            <w:r>
              <w:rPr>
                <w:rFonts w:ascii="宋体" w:hAnsi="宋体" w:cs="宋体"/>
                <w:i/>
                <w:sz w:val="24"/>
                <w:szCs w:val="24"/>
                <w:u w:val="single"/>
              </w:rPr>
            </w:r>
            <w:r/>
          </w:p>
          <w:p>
            <w:pPr>
              <w:pStyle w:val="666"/>
              <w:numPr>
                <w:ilvl w:val="0"/>
                <w:numId w:val="9"/>
              </w:numPr>
              <w:spacing w:line="240" w:lineRule="exact"/>
              <w:rPr>
                <w:rFonts w:hAnsi="宋体"/>
                <w:i/>
                <w:color w:val="000000"/>
                <w:u w:val="single"/>
              </w:rPr>
            </w:pPr>
            <w:r>
              <w:rPr>
                <w:rFonts w:hint="eastAsia" w:hAnsi="宋体"/>
                <w:i/>
                <w:color w:val="000000"/>
                <w:u w:val="single"/>
              </w:rPr>
              <w:t xml:space="preserve">显卡规格：配置独立显卡，显存容量≥2GB ，显存位宽≥64bit，至少支持 VGA、HDMI、DVI、DP、 Type-C 中 2种显示接口，并与显示器接口相匹配；</w:t>
            </w:r>
            <w:r>
              <w:rPr>
                <w:rFonts w:hAnsi="宋体"/>
                <w:i/>
                <w:color w:val="000000"/>
                <w:u w:val="single"/>
              </w:rPr>
            </w:r>
            <w:r/>
          </w:p>
          <w:p>
            <w:pPr>
              <w:pStyle w:val="653"/>
              <w:numPr>
                <w:ilvl w:val="0"/>
                <w:numId w:val="9"/>
              </w:numPr>
              <w:spacing w:line="240" w:lineRule="exact"/>
              <w:rPr>
                <w:rFonts w:ascii="宋体" w:hAnsi="宋体" w:cs="宋体"/>
                <w:sz w:val="24"/>
                <w:szCs w:val="24"/>
              </w:rPr>
            </w:pPr>
            <w:r>
              <w:rPr>
                <w:rFonts w:hint="eastAsia" w:ascii="宋体" w:hAnsi="宋体" w:cs="宋体"/>
                <w:sz w:val="24"/>
                <w:szCs w:val="24"/>
              </w:rPr>
              <w:t xml:space="preserve">音频：集成声卡，支持5.1声道；</w:t>
            </w:r>
            <w:r>
              <w:rPr>
                <w:rFonts w:ascii="宋体" w:hAnsi="宋体" w:cs="宋体"/>
                <w:sz w:val="24"/>
                <w:szCs w:val="24"/>
              </w:rPr>
            </w:r>
            <w:r/>
          </w:p>
          <w:p>
            <w:pPr>
              <w:pStyle w:val="666"/>
              <w:numPr>
                <w:ilvl w:val="0"/>
                <w:numId w:val="9"/>
              </w:numPr>
              <w:spacing w:line="240" w:lineRule="exact"/>
              <w:rPr>
                <w:rFonts w:hAnsi="宋体"/>
                <w:i/>
                <w:color w:val="000000"/>
                <w:u w:val="single"/>
              </w:rPr>
            </w:pPr>
            <w:r>
              <w:rPr>
                <w:rFonts w:hint="eastAsia" w:hAnsi="宋体"/>
                <w:i/>
                <w:color w:val="000000"/>
                <w:u w:val="single"/>
              </w:rPr>
              <w:t xml:space="preserve">网卡规格：配置≥1个千兆自适应有线网卡；</w:t>
            </w:r>
            <w:r>
              <w:rPr>
                <w:rFonts w:hAnsi="宋体"/>
                <w:i/>
                <w:color w:val="000000"/>
                <w:u w:val="single"/>
              </w:rPr>
            </w:r>
            <w:r/>
          </w:p>
          <w:p>
            <w:pPr>
              <w:pStyle w:val="653"/>
              <w:numPr>
                <w:ilvl w:val="0"/>
                <w:numId w:val="9"/>
              </w:numPr>
              <w:spacing w:line="240" w:lineRule="exact"/>
              <w:rPr>
                <w:rFonts w:ascii="宋体" w:hAnsi="宋体" w:cs="宋体"/>
                <w:i/>
                <w:sz w:val="24"/>
                <w:szCs w:val="24"/>
                <w:u w:val="single"/>
              </w:rPr>
            </w:pPr>
            <w:r>
              <w:rPr>
                <w:rFonts w:hint="eastAsia" w:ascii="宋体" w:hAnsi="宋体" w:cs="宋体"/>
                <w:i/>
                <w:sz w:val="24"/>
                <w:szCs w:val="24"/>
                <w:u w:val="single"/>
              </w:rPr>
              <w:t xml:space="preserve">主板扩展槽：配置≥2个PCIe x16, ≥1个PCIe x8, ≥1个PCIe x1；</w:t>
            </w:r>
            <w:r>
              <w:rPr>
                <w:rFonts w:ascii="宋体" w:hAnsi="宋体" w:cs="宋体"/>
                <w:i/>
                <w:sz w:val="24"/>
                <w:szCs w:val="24"/>
                <w:u w:val="single"/>
              </w:rPr>
            </w:r>
            <w:r/>
          </w:p>
          <w:p>
            <w:pPr>
              <w:pStyle w:val="666"/>
              <w:numPr>
                <w:ilvl w:val="0"/>
                <w:numId w:val="9"/>
              </w:numPr>
              <w:spacing w:line="240" w:lineRule="exact"/>
              <w:rPr>
                <w:rFonts w:hAnsi="宋体"/>
                <w:i/>
                <w:color w:val="000000"/>
                <w:u w:val="single"/>
              </w:rPr>
            </w:pPr>
            <w:r>
              <w:rPr>
                <w:rFonts w:hint="eastAsia" w:hAnsi="宋体"/>
                <w:i/>
                <w:color w:val="000000"/>
                <w:u w:val="single"/>
              </w:rPr>
              <w:t xml:space="preserve">主板其他内置接口：配置USB总数≥11个，其中USB3.0接口≥9个，≥1个M.2接口 PCIE4.0协议</w:t>
            </w:r>
            <w:r>
              <w:rPr>
                <w:rFonts w:hAnsi="宋体"/>
                <w:i/>
                <w:color w:val="000000"/>
                <w:u w:val="single"/>
              </w:rPr>
            </w:r>
            <w:r/>
          </w:p>
          <w:p>
            <w:pPr>
              <w:pStyle w:val="653"/>
              <w:numPr>
                <w:ilvl w:val="0"/>
                <w:numId w:val="9"/>
              </w:numPr>
              <w:spacing w:line="240" w:lineRule="exact"/>
              <w:rPr>
                <w:rFonts w:ascii="宋体" w:hAnsi="宋体" w:cs="宋体"/>
                <w:i/>
                <w:sz w:val="24"/>
                <w:szCs w:val="24"/>
                <w:u w:val="single"/>
              </w:rPr>
            </w:pPr>
            <w:r>
              <w:rPr>
                <w:rFonts w:hint="eastAsia" w:ascii="宋体" w:hAnsi="宋体" w:cs="宋体"/>
                <w:i/>
                <w:sz w:val="24"/>
                <w:szCs w:val="24"/>
                <w:u w:val="single"/>
              </w:rPr>
              <w:t xml:space="preserve">键盘鼠标:配置1套USB接口有线键盘鼠标；</w:t>
            </w:r>
            <w:r>
              <w:rPr>
                <w:rFonts w:ascii="宋体" w:hAnsi="宋体" w:cs="宋体"/>
                <w:i/>
                <w:sz w:val="24"/>
                <w:szCs w:val="24"/>
                <w:u w:val="single"/>
              </w:rPr>
            </w:r>
            <w:r/>
          </w:p>
          <w:p>
            <w:pPr>
              <w:pStyle w:val="666"/>
              <w:numPr>
                <w:ilvl w:val="0"/>
                <w:numId w:val="9"/>
              </w:numPr>
              <w:spacing w:line="240" w:lineRule="exact"/>
              <w:rPr>
                <w:rFonts w:hAnsi="宋体"/>
                <w:color w:val="000000"/>
              </w:rPr>
            </w:pPr>
            <w:r>
              <w:rPr>
                <w:rFonts w:hint="eastAsia" w:hAnsi="宋体"/>
                <w:color w:val="000000"/>
              </w:rPr>
              <w:t xml:space="preserve">电源:≥200W电源；</w:t>
            </w:r>
            <w:r>
              <w:rPr>
                <w:rFonts w:hAnsi="宋体"/>
                <w:color w:val="000000"/>
              </w:rPr>
            </w:r>
            <w:r/>
          </w:p>
          <w:p>
            <w:pPr>
              <w:pStyle w:val="653"/>
              <w:numPr>
                <w:ilvl w:val="0"/>
                <w:numId w:val="9"/>
              </w:numPr>
              <w:spacing w:line="240" w:lineRule="exact"/>
              <w:rPr>
                <w:rFonts w:ascii="宋体" w:hAnsi="宋体" w:cs="宋体"/>
                <w:sz w:val="24"/>
                <w:szCs w:val="24"/>
              </w:rPr>
            </w:pPr>
            <w:r>
              <w:rPr>
                <w:rFonts w:hint="eastAsia" w:ascii="宋体" w:hAnsi="宋体" w:cs="宋体"/>
                <w:i/>
                <w:sz w:val="24"/>
                <w:szCs w:val="24"/>
                <w:u w:val="single"/>
              </w:rPr>
              <w:t xml:space="preserve">机箱尺寸容量：机箱体积≥15L</w:t>
            </w:r>
            <w:r>
              <w:rPr>
                <w:rFonts w:hint="eastAsia" w:ascii="宋体" w:hAnsi="宋体" w:cs="宋体"/>
                <w:sz w:val="24"/>
                <w:szCs w:val="24"/>
              </w:rPr>
              <w:t xml:space="preserve">；</w:t>
            </w:r>
            <w:r>
              <w:rPr>
                <w:rFonts w:ascii="宋体" w:hAnsi="宋体" w:cs="宋体"/>
                <w:sz w:val="24"/>
                <w:szCs w:val="24"/>
              </w:rPr>
            </w:r>
            <w:r/>
          </w:p>
          <w:p>
            <w:pPr>
              <w:pStyle w:val="666"/>
              <w:numPr>
                <w:ilvl w:val="0"/>
                <w:numId w:val="9"/>
              </w:numPr>
              <w:spacing w:line="240" w:lineRule="exact"/>
              <w:rPr>
                <w:rFonts w:hAnsi="宋体"/>
                <w:color w:val="000000"/>
              </w:rPr>
            </w:pPr>
            <w:r>
              <w:rPr>
                <w:rFonts w:hint="eastAsia" w:hAnsi="宋体"/>
                <w:i/>
                <w:color w:val="000000"/>
                <w:u w:val="single"/>
              </w:rPr>
              <w:t xml:space="preserve">操作系统备份还原功能：支持操作系统备份及还原功能，当操作系统分区损坏的情况下，支持操作系统还原到出厂状态（非系统自带功能）</w:t>
            </w:r>
            <w:r>
              <w:rPr>
                <w:rFonts w:hint="eastAsia" w:hAnsi="宋体"/>
                <w:color w:val="000000"/>
              </w:rPr>
              <w:t xml:space="preserve">；</w:t>
            </w:r>
            <w:r>
              <w:rPr>
                <w:rFonts w:hAnsi="宋体"/>
                <w:color w:val="000000"/>
              </w:rPr>
            </w:r>
            <w:r/>
          </w:p>
          <w:p>
            <w:pPr>
              <w:pStyle w:val="653"/>
              <w:numPr>
                <w:ilvl w:val="0"/>
                <w:numId w:val="9"/>
              </w:numPr>
              <w:spacing w:line="240" w:lineRule="exact"/>
              <w:rPr>
                <w:rFonts w:ascii="宋体" w:hAnsi="宋体" w:cs="宋体"/>
                <w:i/>
                <w:sz w:val="24"/>
                <w:szCs w:val="24"/>
                <w:u w:val="single"/>
              </w:rPr>
            </w:pPr>
            <w:r>
              <w:rPr>
                <w:rFonts w:hint="eastAsia" w:ascii="宋体" w:hAnsi="宋体" w:cs="宋体"/>
                <w:i/>
                <w:sz w:val="24"/>
                <w:szCs w:val="24"/>
                <w:u w:val="single"/>
              </w:rPr>
              <w:t xml:space="preserve">保修期限（年）：免费服务周期（含换件和维修）≥3年。</w:t>
            </w:r>
            <w:r>
              <w:rPr>
                <w:rFonts w:ascii="宋体" w:hAnsi="宋体" w:cs="宋体"/>
                <w:i/>
                <w:sz w:val="24"/>
                <w:szCs w:val="24"/>
                <w:u w:val="single"/>
              </w:rPr>
            </w:r>
            <w:r/>
          </w:p>
          <w:p>
            <w:pPr>
              <w:pStyle w:val="666"/>
              <w:numPr>
                <w:ilvl w:val="0"/>
                <w:numId w:val="9"/>
              </w:numPr>
              <w:spacing w:line="240" w:lineRule="exact"/>
              <w:rPr>
                <w:rFonts w:hAnsi="宋体"/>
                <w:i/>
                <w:color w:val="000000"/>
                <w:u w:val="single"/>
              </w:rPr>
            </w:pPr>
            <w:r>
              <w:rPr>
                <w:rFonts w:hint="eastAsia" w:hAnsi="宋体"/>
                <w:i/>
                <w:color w:val="000000"/>
                <w:u w:val="single"/>
              </w:rPr>
              <w:t xml:space="preserve">产品部件保障：供应商保障产品主要部件，提供 6 年的备件服务能力（自购买之日起），或提供可兼容原设备的升级换代产品。</w:t>
            </w:r>
            <w:r>
              <w:rPr>
                <w:rFonts w:hAnsi="宋体"/>
                <w:i/>
                <w:color w:val="000000"/>
                <w:u w:val="single"/>
              </w:rPr>
            </w:r>
            <w:r/>
          </w:p>
          <w:p>
            <w:pPr>
              <w:pStyle w:val="653"/>
              <w:numPr>
                <w:ilvl w:val="0"/>
                <w:numId w:val="9"/>
              </w:numPr>
              <w:spacing w:line="240" w:lineRule="exact"/>
              <w:rPr>
                <w:rFonts w:ascii="宋体" w:hAnsi="宋体" w:cs="宋体"/>
                <w:i/>
                <w:sz w:val="24"/>
                <w:szCs w:val="24"/>
                <w:u w:val="single"/>
              </w:rPr>
            </w:pPr>
            <w:r>
              <w:rPr>
                <w:rFonts w:hint="eastAsia" w:ascii="宋体" w:hAnsi="宋体" w:cs="宋体"/>
                <w:i/>
                <w:sz w:val="24"/>
                <w:szCs w:val="24"/>
                <w:u w:val="single"/>
              </w:rPr>
              <w:t xml:space="preserve">整机噪音：产品工作在空闲状态下，产品的声功率级应≤3.0  Bel；</w:t>
            </w:r>
            <w:r>
              <w:rPr>
                <w:rFonts w:ascii="宋体" w:hAnsi="宋体" w:cs="宋体"/>
                <w:i/>
                <w:sz w:val="24"/>
                <w:szCs w:val="24"/>
                <w:u w:val="single"/>
              </w:rPr>
            </w:r>
            <w:r/>
          </w:p>
          <w:p>
            <w:pPr>
              <w:pStyle w:val="666"/>
              <w:numPr>
                <w:ilvl w:val="0"/>
                <w:numId w:val="9"/>
              </w:numPr>
              <w:spacing w:line="240" w:lineRule="exact"/>
              <w:rPr>
                <w:rFonts w:hAnsi="宋体"/>
                <w:i/>
                <w:color w:val="000000"/>
                <w:u w:val="single"/>
              </w:rPr>
            </w:pPr>
            <w:r>
              <w:rPr>
                <w:rFonts w:hint="eastAsia" w:hAnsi="宋体"/>
                <w:i/>
                <w:color w:val="000000"/>
                <w:u w:val="single"/>
              </w:rPr>
              <w:t xml:space="preserve">整机可靠性要求：具有产品可靠性检验证书，MTBF≥50万小时</w:t>
            </w:r>
            <w:r>
              <w:rPr>
                <w:rFonts w:hAnsi="宋体"/>
                <w:i/>
                <w:color w:val="000000"/>
                <w:u w:val="single"/>
              </w:rPr>
            </w:r>
            <w:r/>
          </w:p>
          <w:p>
            <w:pPr>
              <w:pStyle w:val="653"/>
              <w:numPr>
                <w:ilvl w:val="0"/>
                <w:numId w:val="9"/>
              </w:numPr>
              <w:spacing w:line="240" w:lineRule="exact"/>
              <w:rPr>
                <w:rFonts w:hint="eastAsia" w:ascii="宋体" w:hAnsi="宋体" w:cs="宋体"/>
                <w:sz w:val="24"/>
                <w:szCs w:val="24"/>
              </w:rPr>
            </w:pPr>
            <w:r>
              <w:rPr>
                <w:rFonts w:hint="eastAsia" w:ascii="宋体" w:hAnsi="宋体" w:cs="宋体"/>
                <w:sz w:val="24"/>
                <w:szCs w:val="24"/>
              </w:rPr>
              <w:t xml:space="preserve">关键部件安全要求：CPU和操作系统等关键部件应当符合安全可靠测评要求；</w:t>
            </w:r>
            <w:r/>
          </w:p>
          <w:p>
            <w:pPr>
              <w:pStyle w:val="666"/>
            </w:pPr>
            <w:r>
              <w:rPr>
                <w:rFonts w:hint="eastAsia"/>
              </w:rPr>
              <w:t xml:space="preserve">18.</w:t>
            </w:r>
            <w:r>
              <w:rPr>
                <w:rFonts w:hint="eastAsia"/>
                <w:i/>
                <w:u w:val="single"/>
              </w:rPr>
              <w:t xml:space="preserve">整机必须满足【苏财购〔2023〕22号】财政部 工业和信息化部关于印发《台式计算机政府采购需求标准（2023年版）》的台式计算机政府采购需求标准；【投标人需按技术参数要求内容填写《技术参数响应及偏离表》并提供承诺函，扫描上传】</w:t>
            </w:r>
            <w:r>
              <w:rPr>
                <w:rFonts w:hint="eastAsia"/>
                <w:i/>
                <w:u w:val="single"/>
              </w:rPr>
              <w:t xml:space="preserve">CPU、操作系统符合安全可靠测评要求</w:t>
            </w:r>
            <w:r>
              <w:rPr>
                <w:rFonts w:hint="eastAsia"/>
                <w:i/>
                <w:u w:val="single"/>
              </w:rPr>
              <w:t xml:space="preserve">。</w:t>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嵌入式录播系统</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1.要求支持B/S架构设计，能够方便教师使用IE、360等主流浏览器通过网络直接访问录播主机进行导播和管理。主界面可以显示录制信息，包括录制时间、视频信息、地址及硬盘容量等。</w:t>
              <w:br w:type="textWrapping" w:clear="all"/>
              <w:t xml:space="preserve">2.为保证教室内教学场景拍摄录制及教学相关设备信号接入，要求具备9路信号的加载预监功能，能根</w:t>
            </w:r>
            <w:r>
              <w:rPr>
                <w:rFonts w:hint="eastAsia" w:ascii="宋体" w:hAnsi="宋体" w:cs="宋体"/>
                <w:sz w:val="24"/>
                <w:szCs w:val="24"/>
              </w:rPr>
              <w:t xml:space="preserve">据课堂教学进程，对教师、学生、VGA等画面进行智能切换。</w:t>
              <w:br/>
              <w:t xml:space="preserve">3.视频采集：要求支持高清摄像机信号接入进行画面采集和编码录制，要求支持多路信号以资源模式与导播后的电影模式同时录制，支持对视频文件进行点播回放以及拖拽播放进度条播放。</w:t>
              <w:br/>
              <w:t xml:space="preserve">▲4.视频编码：要求支持H.264/H.265视频编码，录制视频格式支持MP4,支持自定义录制分辨率、帧率和码流，视频编码码流应支持32Kbps至16Mbps可设，视频编码码流支持≥19档调节。(投标时须提供检测报告原件扫描上传及报告编号在全国认证认可信息公共服务平台的查询截图上传)</w:t>
            </w:r>
            <w:r>
              <w:rPr>
                <w:rFonts w:ascii="宋体" w:hAnsi="宋体" w:cs="宋体"/>
                <w:sz w:val="24"/>
                <w:szCs w:val="24"/>
              </w:rPr>
            </w:r>
            <w:r/>
          </w:p>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5.音频编码：要求支</w:t>
            </w:r>
            <w:r>
              <w:rPr>
                <w:rFonts w:hint="eastAsia" w:ascii="宋体" w:hAnsi="宋体" w:cs="宋体"/>
                <w:sz w:val="24"/>
                <w:szCs w:val="24"/>
              </w:rPr>
              <w:t xml:space="preserve">持AAC音频编码，音频采样率应支持8KHz、16KHz、32KHz、48KHz等。</w:t>
              <w:br/>
              <w:t xml:space="preserve">6.直播推送：支持自定义直播分辨率和码率，以适应不同网络环境下保持直播的流畅性。支持RTMP和RTSP视频传输协议，支持对接资源管理平台/第三方平台实现实时直播、录制视频文件自动上传等功能。</w:t>
              <w:br/>
              <w:t xml:space="preserve">7.支持恢复出厂设置，能够实时初始化系统状态。</w:t>
              <w:br/>
              <w:t xml:space="preserve">8.分段录制：支持录制单个文件和限时自动分割录制功能，支持自定义限时自动分割时长。</w:t>
              <w:br/>
              <w:t xml:space="preserve">9.要求支持手动、自动导播的无缝切换，既支持手动录制，又支持录播系统与全自动跟踪系统的无缝对接。</w:t>
              <w:br/>
              <w:t xml:space="preserve">10.</w:t>
            </w:r>
            <w:r>
              <w:rPr>
                <w:rFonts w:hint="eastAsia" w:ascii="宋体" w:hAnsi="宋体" w:cs="宋体"/>
                <w:sz w:val="24"/>
                <w:szCs w:val="24"/>
              </w:rPr>
              <w:t xml:space="preserve">要求支持切换策略可编辑功能。可以在老师特写、学生特写、教师全景、学生全景、板书特写和老师电脑图像等机位之间进行自动切换，图像切换平滑，没有“跳动”现象，正常情况下出现老师画面，老师使用电脑时能自动切换到电脑画面，学生回答问题时能够自动切换到学生特写画面，老师离开讲台并走到学生中间，摄像机又能切换到学生全景。支持VGA锁定功能。</w:t>
              <w:br/>
              <w:t xml:space="preserve">11.要求支持多种画面布局设置，提供双分屏、三分屏、四分屏以及自定义画面布局，支持多个视频图层自由叠加组合。本地导播界面下可直接通过鼠标拖动通道画面即可实现多分屏布局显示画面的替换。</w:t>
            </w:r>
            <w:r/>
          </w:p>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12.要求支持渐变、淡入淡出、开门、关门、睁眼、闭眼、划像等≥12路切换特效。</w:t>
              <w:br w:type="textWrapping" w:clear="all"/>
              <w:t xml:space="preserve">13.摄像机控制：要求每个云台摄像机支持≥8个预置位功能，支持在画面调整完成之后手动点击鼠标拖动画面到预置位数字按钮处实现预置位保存。</w:t>
            </w:r>
            <w:r/>
          </w:p>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14.要求支持自定义台标显示位置，支持设置≥8条预设字幕，本地导播界面下支持通过鼠标拖拽设置台标、字幕显示位置。系统界面提供虚拟软键盘，无需外接键盘即可进行中英文输入。</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15.课堂互动：要求支持主讲端在互动过程中对其余互动参与者的发言权限进行控制，支持单人禁言/开启以及全场禁言/开启的控制方式。</w:t>
              <w:br w:type="textWrapping" w:clear="all"/>
              <w:t xml:space="preserve">▲16.支持板书同步互动功能，授课过程中支持用户调用白板工具，在大屏上进行板书，板书内容将在听课端实时同步；且支持听课端在大屏上板书，反向实时同步至授课端及其他听课端，真正实现教师在A教室的板书出题，学生在B教室的板书上答题，并将双方在不同地方协同书写的板书内容实时加入互动场景。(投标时须提供检测报告原件扫描上传及报告编号在全国认证认可信息公共服务平台的查询截图上传)</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图像跟踪系统</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1.要求支持智能图像分析，结合具体的场景能够实现多个活动过程的跟踪识别，并对现场视频图像进行分析，实现常态化教学下的老师、学生多人跟踪识别。</w:t>
              <w:br w:type="textWrapping" w:clear="all"/>
              <w:t xml:space="preserve">2.可快速设定教学有效区域的，光线、场景完全自适应，无论人的正面和侧面都会被准确识别，并能够通过后台查看到多人识别效果。</w:t>
              <w:br w:type="textWrapping" w:clear="all"/>
              <w:t xml:space="preserve">3.要求具备身高自适应功能，无论老师、学生挥手，左右晃动，前后仰俯晃动等都不会被误判。</w:t>
              <w:br w:type="textWrapping" w:clear="all"/>
            </w:r>
            <w:r>
              <w:rPr>
                <w:rFonts w:hint="eastAsia" w:ascii="宋体" w:hAnsi="宋体" w:cs="宋体"/>
                <w:sz w:val="24"/>
                <w:szCs w:val="24"/>
              </w:rPr>
              <w:t xml:space="preserve">4.要求具备较强的抗干扰能力，采用领先的防抖动特征跟踪算法，图像识别系统不受外在环境影响。</w:t>
              <w:br/>
              <w:t xml:space="preserve">5.要求系统结构设计合理，设置简单，可以实现全自动跟踪识别；支持实时定位，可以自动识别目标位置、实时控制摄像头精确定位，实现特写拍摄。</w:t>
              <w:br/>
              <w:t xml:space="preserve">6.要求系统支持web界面访问，支持预览视频分析状态，可远程操控图像跟踪系统。</w:t>
              <w:br/>
              <w:t xml:space="preserve">7.要求系统支持摄像机自动跟踪，摄像机自动定位学生起立和教师移动，教师走进学生区域时，实时切换成教室全景画面。</w:t>
              <w:br/>
              <w:t xml:space="preserve">8.要求系统支持区域聚焦功能，可通过浏览器在监视画面框选出聚焦区域，以该区域作为聚焦参考区域</w:t>
            </w:r>
            <w:r>
              <w:rPr>
                <w:rFonts w:hint="eastAsia" w:ascii="宋体" w:hAnsi="宋体" w:cs="宋体"/>
                <w:sz w:val="24"/>
                <w:szCs w:val="24"/>
              </w:rPr>
              <w:t xml:space="preserve">。系统对讲台区域监视画面框选时，聚焦区域包括教师跟踪、黑板跟踪等，确保智能跟踪分析的准确性。</w:t>
              <w:br/>
              <w:t xml:space="preserve">▲9.要求系统支持焦距守望功能，可通过浏览器对监视画面设置守望点，可同时设置不少于4个守望点相连实现智能跟踪。(投标时须提供检测报告原件扫描上传及报告编号在全国认证认可信息公共服务平台的查询截图上传)</w:t>
              <w:br/>
              <w:t xml:space="preserve">10.要求系统具备跟踪拍摄和切换拍摄两种模式，两种模式之间支持一键切换。</w:t>
              <w:br/>
              <w:t xml:space="preserve">11.要求系统智能识别教师身体朝向。当教师面朝学生时，智能切换至教师特写；当教师面向黑板时，智能切换至板书特写。板书特写采用伴随跟踪拍摄方式。</w:t>
            </w:r>
            <w:r/>
          </w:p>
          <w:p>
            <w:pPr>
              <w:pStyle w:val="653"/>
              <w:numPr>
                <w:ilvl w:val="0"/>
                <w:numId w:val="7"/>
              </w:numPr>
              <w:jc w:val="left"/>
              <w:spacing w:line="240" w:lineRule="exact"/>
              <w:widowControl/>
              <w:rPr>
                <w:rFonts w:hint="eastAsia" w:ascii="宋体" w:hAnsi="宋体" w:cs="宋体"/>
                <w:sz w:val="24"/>
                <w:szCs w:val="24"/>
              </w:rPr>
            </w:pPr>
            <w:r>
              <w:rPr>
                <w:rFonts w:hint="eastAsia" w:ascii="宋体" w:hAnsi="宋体" w:cs="宋体"/>
                <w:sz w:val="24"/>
                <w:szCs w:val="24"/>
              </w:rPr>
              <w:t xml:space="preserve">要求支持手势识别功能，可一键开启或关闭此功能。教师可以通过手势控制学生摄像机的拍摄。</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13.要求系统支持TCP、UDP两种传输协议，可以同时获取≥4路IP视频流进行智能图像分析，可对教师全景、板书全景、学生全景、学生巡视等景位进行设置。</w:t>
              <w:br w:type="textWrapping" w:clear="all"/>
              <w:t xml:space="preserve">14.要求支持两种</w:t>
            </w:r>
            <w:r>
              <w:rPr>
                <w:rFonts w:hint="eastAsia" w:ascii="宋体" w:hAnsi="宋体" w:cs="宋体"/>
                <w:sz w:val="24"/>
                <w:szCs w:val="24"/>
              </w:rPr>
              <w:t xml:space="preserve">跟踪模式：伴随式模式、“特写”与“全景”切换跟踪模式。</w:t>
              <w:br/>
              <w:t xml:space="preserve">15.具有“模糊防抖”功能，避免人员小幅度活动时引起的摄像机画面抖动现象。</w:t>
              <w:br/>
              <w:t xml:space="preserve">16.要求支持学生起立跟踪功能，支持当学生起立时学生特写摄像机跟踪拍摄，支持多个学生起立切换为学生全景拍摄。</w:t>
              <w:br/>
              <w:t xml:space="preserve">▲17.要求系统支持切换规则定制，可以精确调整切换时间，设置云台速度，速度系数不少于0～99可调。(投标时须提供检测报告原件扫描上传及报告编号在全国认证认可信息公共服务平台的查询截图上传)</w:t>
              <w:br/>
              <w:t xml:space="preserve">18.要求系统可设置变焦速度，速度系数不少于1～7可调,实现焦距拉伸时间的调节。</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预监</w:t>
            </w:r>
            <w:r>
              <w:rPr>
                <w:rFonts w:hint="eastAsia" w:ascii="宋体" w:hAnsi="宋体" w:cs="宋体"/>
                <w:sz w:val="24"/>
                <w:szCs w:val="24"/>
              </w:rPr>
              <w:t xml:space="preserve">电视</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国产品牌，不小于42寸液晶，含吊装支架</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时序电源控制器</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1.单路功率≥15A 220V/AC。</w:t>
              <w:br w:type="textWrapping" w:clear="all"/>
              <w:t xml:space="preserve">2.最大功率≥30A。</w:t>
              <w:br w:type="textWrapping" w:clear="all"/>
              <w:t xml:space="preserve">3.电源接口：要求具有≥8路万能电源插座，独立继电器控制，每路均带供电源状态指示灯。要求≥1路LOOP OUT, ≥1路INPUT。</w:t>
              <w:br w:type="textWrapping" w:clear="all"/>
              <w:t xml:space="preserve">4.要求支持≥3种开关方式，包括手动开关、RS232等。</w:t>
              <w:br w:type="textWrapping" w:clear="all"/>
              <w:t xml:space="preserve">5.采用金属外壳，机架式安装。</w:t>
              <w:br w:type="textWrapping" w:clear="all"/>
              <w:t xml:space="preserve">6.为保证系统稳定性及兼容性，要求与录播一体机为同一品牌。</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跟踪半球</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1.要求传感器类型不小于 1/2.8英寸CMOS </w:t>
              <w:br w:type="textWrapping" w:clear="all"/>
              <w:t xml:space="preserve">2.要求像素 ≥200万 ，最大分辨率 1920×1080 </w:t>
              <w:br w:type="textWrapping" w:clear="all"/>
              <w:t xml:space="preserve">3.扫描方式 逐行扫描 </w:t>
              <w:br w:type="textWrapping" w:clear="all"/>
              <w:t xml:space="preserve">4.信噪比 ＞56dB </w:t>
              <w:br w:type="textWrapping" w:clear="all"/>
              <w:t xml:space="preserve">5.镜头类型 定焦 ，镜头焦距 2.8mm ，镜头光圈 F2.0 ，光圈控制 固定光圈 。</w:t>
              <w:br w:type="textWrapping" w:clear="all"/>
              <w:t xml:space="preserve">6.要求视场角 ≥水平106°×垂直55°×对</w:t>
            </w:r>
            <w:r>
              <w:rPr>
                <w:rFonts w:hint="eastAsia" w:ascii="宋体" w:hAnsi="宋体" w:cs="宋体"/>
                <w:sz w:val="24"/>
                <w:szCs w:val="24"/>
              </w:rPr>
              <w:t xml:space="preserve">角126° </w:t>
              <w:br/>
              <w:t xml:space="preserve">7.视频压缩标准 H.265;H.264;H.264H;H.264B</w:t>
              <w:br/>
              <w:t xml:space="preserve">视频帧率 50Hz：主码流(1920×1080@25fps),辅码流(704×576@25fps);60Hz：主码流(1920×1080@30fps),辅码流(704×480@30fps) </w:t>
              <w:br/>
              <w:t xml:space="preserve">视频码率 H.264：32Kbps～6144Kbps; H.265：12Kbps～6144Kbps </w:t>
              <w:br/>
              <w:t xml:space="preserve">8.支持宽动态  </w:t>
              <w:br/>
              <w:t xml:space="preserve">9. 要求网络接口≥1个（RJ-45网口,支持10M/100M 网络数据） </w:t>
              <w:br/>
              <w:t xml:space="preserve">10.供电方式 DC12V/POE。</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功放</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额定功率：≥立体声2×60W/8Ω </w:t>
              <w:br w:type="textWrapping" w:clear="all"/>
              <w:t xml:space="preserve">2</w:t>
            </w:r>
            <w:r>
              <w:rPr>
                <w:rFonts w:hint="eastAsia" w:ascii="宋体" w:hAnsi="宋体" w:cs="宋体"/>
                <w:sz w:val="24"/>
                <w:szCs w:val="24"/>
              </w:rPr>
              <w:t xml:space="preserve">.</w:t>
            </w:r>
            <w:r>
              <w:rPr>
                <w:rFonts w:hint="eastAsia" w:ascii="宋体" w:hAnsi="宋体" w:cs="宋体"/>
                <w:sz w:val="24"/>
                <w:szCs w:val="24"/>
              </w:rPr>
              <w:t xml:space="preserve">频率响应：20Hz-20KHz  +1/-3dB </w:t>
              <w:br w:type="textWrapping" w:clear="all"/>
              <w:t xml:space="preserve">3</w:t>
            </w:r>
            <w:r>
              <w:rPr>
                <w:rFonts w:hint="eastAsia" w:ascii="宋体" w:hAnsi="宋体" w:cs="宋体"/>
                <w:sz w:val="24"/>
                <w:szCs w:val="24"/>
              </w:rPr>
              <w:t xml:space="preserve">.</w:t>
            </w:r>
            <w:r>
              <w:rPr>
                <w:rFonts w:hint="eastAsia" w:ascii="宋体" w:hAnsi="宋体" w:cs="宋体"/>
                <w:sz w:val="24"/>
                <w:szCs w:val="24"/>
              </w:rPr>
              <w:t xml:space="preserve">额定输入灵敏度：线路 -12dB±</w:t>
            </w:r>
            <w:r>
              <w:rPr>
                <w:rFonts w:hint="eastAsia" w:ascii="宋体" w:hAnsi="宋体" w:cs="宋体"/>
                <w:sz w:val="24"/>
                <w:szCs w:val="24"/>
              </w:rPr>
              <w:t xml:space="preserve">1dB </w:t>
            </w:r>
            <w:r>
              <w:rPr>
                <w:rFonts w:hint="eastAsia" w:ascii="宋体" w:hAnsi="宋体" w:cs="宋体"/>
                <w:sz w:val="24"/>
                <w:szCs w:val="24"/>
              </w:rPr>
              <w:t xml:space="preserve">话筒 -34dB±1dB </w:t>
              <w:br w:type="textWrapping" w:clear="all"/>
              <w:t xml:space="preserve">4</w:t>
            </w:r>
            <w:r>
              <w:rPr>
                <w:rFonts w:hint="eastAsia" w:ascii="宋体" w:hAnsi="宋体" w:cs="宋体"/>
                <w:sz w:val="24"/>
                <w:szCs w:val="24"/>
              </w:rPr>
              <w:t xml:space="preserve">.</w:t>
            </w:r>
            <w:r>
              <w:rPr>
                <w:rFonts w:hint="eastAsia" w:ascii="宋体" w:hAnsi="宋体" w:cs="宋体"/>
                <w:sz w:val="24"/>
                <w:szCs w:val="24"/>
              </w:rPr>
              <w:t xml:space="preserve">失真度：≤0.5%</w:t>
              <w:br w:type="textWrapping" w:clear="all"/>
              <w:t xml:space="preserve">5</w:t>
            </w:r>
            <w:r>
              <w:rPr>
                <w:rFonts w:hint="eastAsia" w:ascii="宋体" w:hAnsi="宋体" w:cs="宋体"/>
                <w:sz w:val="24"/>
                <w:szCs w:val="24"/>
              </w:rPr>
              <w:t xml:space="preserve">.</w:t>
            </w:r>
            <w:r>
              <w:rPr>
                <w:rFonts w:hint="eastAsia" w:ascii="宋体" w:hAnsi="宋体" w:cs="宋体"/>
                <w:sz w:val="24"/>
                <w:szCs w:val="24"/>
              </w:rPr>
              <w:t xml:space="preserve">信噪比（话筒关闭、音调平直）：≥80dB</w:t>
              <w:br w:type="textWrapping" w:clear="all"/>
              <w:t xml:space="preserve">6</w:t>
            </w:r>
            <w:r>
              <w:rPr>
                <w:rFonts w:hint="eastAsia" w:ascii="宋体" w:hAnsi="宋体" w:cs="宋体"/>
                <w:sz w:val="24"/>
                <w:szCs w:val="24"/>
              </w:rPr>
              <w:t xml:space="preserve">.</w:t>
            </w:r>
            <w:r>
              <w:rPr>
                <w:rFonts w:hint="eastAsia" w:ascii="宋体" w:hAnsi="宋体" w:cs="宋体"/>
                <w:sz w:val="24"/>
                <w:szCs w:val="24"/>
              </w:rPr>
              <w:t xml:space="preserve">额定电源电压：交流220V /50Hz</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18</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多媒体讲台（智能讲台）</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1、钢木结合，主体采用1.0-2.0mm冷轧钢材，保证产品耐固性；桌面及背面采用25mm双拼色三聚氰胺板材料；4个桌角采用圆弧化设计，保证安全性，圆弧半径大于100mm，整体更加圆润、大气。</w:t>
              <w:br w:type="textWrapping" w:clear="all"/>
              <w:t xml:space="preserve">2、整体尺寸：L*W*H：1000*720*1082mm；其中操作台面高度：850mm。</w:t>
              <w:br w:type="textWrapping" w:clear="all"/>
              <w:t xml:space="preserve">3、整体通过碰撞、冲击试验系统基本功能正常，结构外观正常。</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4、桌面分为显示区域和操作台面两部分；倾斜式设计，可配置显示器设备；显示器底部具有全尺寸键盘收纳空间，便于使用和维护。</w:t>
              <w:br w:type="textWrapping" w:clear="all"/>
              <w:t xml:space="preserve">5、前挡板采用整体木饰面设计，可以整体拆卸，方便机柜背部维护。整体外形为封闭式设计；侧面具有抬手抓孔。</w:t>
              <w:br w:type="textWrapping" w:clear="all"/>
              <w:t xml:space="preserve">6、桌面左侧可嵌入21.5吋触摸显示器，嵌入讲桌后无明显缝隙，仰角大于23°，与教室触摸一体机同步显示及互动；右侧</w:t>
            </w:r>
            <w:r>
              <w:rPr>
                <w:rFonts w:hint="eastAsia" w:ascii="宋体" w:hAnsi="宋体" w:cs="宋体"/>
                <w:sz w:val="24"/>
                <w:szCs w:val="24"/>
              </w:rPr>
              <w:t xml:space="preserve">具有中控安装区域，支持中控面板定制开孔。</w:t>
              <w:br/>
              <w:t xml:space="preserve">7、桌面右下立面处，安装笔记本模块，供输入接口：不低于USB3.0 x2、Type-C x1、HDMIx1、网线接口x1；其中HDMI和网线采用抽线式设计，方便笔记本连接。</w:t>
              <w:br/>
              <w:t xml:space="preserve">8、桌面左侧具有隐藏式水杯架1套，右侧上方配置可回弹挂钩1个。</w:t>
              <w:br/>
              <w:t xml:space="preserve">9、桌面下方配置两个抽屉，抽屉可通过机械锁手动开关，标准1U储物空间。</w:t>
              <w:br/>
              <w:t xml:space="preserve">10、桌下内部具有10U机柜和主机放置空间，主机空间大小（深*宽*高）不小于450*250*450mm。机柜可接入第三方设备，机柜内部配置层板均为可滑动式设计。</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rHeight w:val="274"/>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19</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交互式智能书写屏(电容单屏)</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1、书写屏的显示尺寸需≥21.5寸；分辨率需≥1920*1080；触摸点数需≥10点；屏幕亮度需≥250</w:t>
            </w:r>
            <w:r>
              <w:rPr>
                <w:rFonts w:hint="eastAsia" w:ascii="宋体" w:hAnsi="宋体" w:cs="宋体"/>
                <w:sz w:val="24"/>
                <w:szCs w:val="24"/>
              </w:rPr>
              <w:t xml:space="preserve">cd/㎡。</w:t>
              <w:br/>
              <w:t xml:space="preserve">2、书写屏在高、低温工作试验触摸面板操作功能不存在反应慢，错误定位，部分区域触摸板没有功能等问题。</w:t>
              <w:br/>
              <w:t xml:space="preserve">3、书写屏的边框需采用铝合金进行整体包边；表面钢化玻璃需经过防眩光处理，并与屏幕通过全贴合或更好的贴合工艺进行贴合，不得使用框贴工艺，避免后期粉尘、水汽进入屏幕内部影响设备寿命。</w:t>
              <w:br/>
              <w:t xml:space="preserve">4、书写屏在高、低温贮存和恒定湿热试验屏幕显示不存在显示不均匀点，亮点、漏光等问题。</w:t>
              <w:br/>
              <w:t xml:space="preserve">5、书写屏背部需采用优质冷轧钢材进行封装，表面静电喷塑（黑色），不得有任何直接裸露的电路板器件。</w:t>
              <w:br/>
              <w:t xml:space="preserve">6、书写屏背部需至少具备1路电源接口</w:t>
            </w:r>
            <w:r>
              <w:rPr>
                <w:rFonts w:hint="eastAsia" w:ascii="宋体" w:hAnsi="宋体" w:cs="宋体"/>
                <w:sz w:val="24"/>
                <w:szCs w:val="24"/>
              </w:rPr>
              <w:t xml:space="preserve">，1路HDMI输入接口，1路Touch输出口，且Touch输出口需符合传统触屏类产品的规范，统一采用USB-B型母口的形式。</w:t>
              <w:br/>
              <w:t xml:space="preserve">7、书写屏需配置至少1支屏幕书写笔，该书写笔需具备防盗绳设计，可与书写屏或者讲桌桌体进行连接，避免产品使用过程中书写笔错拿和遗失。</w:t>
              <w:br/>
              <w:t xml:space="preserve">8、书写屏需支持抬笔批注功能，支持在电脑桌面状态下，无须点击任何软件按钮，实现抬笔即可进行电子批注的功能，且笔身上需具备橡皮擦按键，按下后自动切换至橡皮擦状态，并对产生的电子批注进行擦除。</w:t>
              <w:br/>
              <w:t xml:space="preserve">9、书写屏需支持手笔分离功能，支持在电脑桌面状态下，书写笔进行批</w:t>
            </w:r>
            <w:r>
              <w:rPr>
                <w:rFonts w:hint="eastAsia" w:ascii="宋体" w:hAnsi="宋体" w:cs="宋体"/>
                <w:sz w:val="24"/>
                <w:szCs w:val="24"/>
              </w:rPr>
              <w:t xml:space="preserve">注或者擦除动作后，无须点击任何软件按钮，实现通过手指直接进行触控操作；当手指操作完毕后，又可通过书写笔直接进行电子批注或擦除，这个过程中无须点击任何软件按钮，教师无须学习任何软件功能，零门槛使用。</w:t>
              <w:br/>
              <w:t xml:space="preserve">10、书写屏需具备各资源窗口的手势切换功能，在电脑桌面状态下，可通过五指左右横扫动作，实现导航窗口内各个资源前后两个方向的快速循环切换。</w:t>
              <w:br/>
              <w:t xml:space="preserve">11、书写屏需支持通过手指手动点击屏幕侧边栏的工具按钮，自由设置手指在触控、批注、擦除3个模式内进行切换，实现在书写笔遗失或未使用的情况下，通过手指进行屏幕批注和批注擦除功能。</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20</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桌面式触摸面板</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1.采用≥7英寸触摸式控制面板，一键式控制，与录播和时序电源控制器配套使用。</w:t>
              <w:br w:type="textWrapping" w:clear="all"/>
              <w:t xml:space="preserve">2.支持控制录播系统的录制、暂停、停止、VGA锁定、手自动切换等操作。</w:t>
              <w:br w:type="textWrapping" w:clear="all"/>
              <w:t xml:space="preserve">3.支持对录播系统进行台标与字幕的显示控制。</w:t>
              <w:br w:type="textWrapping" w:clear="all"/>
              <w:t xml:space="preserve">4.支持预览通道选择，以及画面布局切换，通过中控即可进行师生对话、三分屏等画面布局的选择。</w:t>
              <w:br w:type="textWrapping" w:clear="all"/>
              <w:t xml:space="preserve">5.支持一键开启，与一键关闭的操作。</w:t>
              <w:br w:type="textWrapping" w:clear="all"/>
              <w:t xml:space="preserve">6.支持对摄像机进行预置位选择。</w:t>
              <w:br w:type="textWrapping" w:clear="all"/>
              <w:t xml:space="preserve">7.为保证系统稳定性及兼容性，要求与录播一体机为同一品牌。</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无线话筒（带领夹）</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1、接收机</w:t>
              <w:br w:type="textWrapping" w:clear="all"/>
              <w:t xml:space="preserve">工作频率：UHF 640-690MHz</w:t>
              <w:br w:type="textWrapping" w:clear="all"/>
              <w:t xml:space="preserve">信道数量：200</w:t>
              <w:br w:type="textWrapping" w:clear="all"/>
              <w:t xml:space="preserve">调制方式：FM</w:t>
              <w:br w:type="textWrapping" w:clear="all"/>
              <w:t xml:space="preserve">频率生成方式：PLL锁相环频率合成</w:t>
              <w:br w:type="textWrapping" w:clear="all"/>
              <w:t xml:space="preserve">接收方式：超外差二次变频</w:t>
              <w:br w:type="textWrapping" w:clear="all"/>
              <w:t xml:space="preserve">导频方式：数字导频</w:t>
              <w:br w:type="textWrapping" w:clear="all"/>
              <w:t xml:space="preserve">接收灵敏度：-96dBm</w:t>
              <w:br w:type="textWrapping" w:clear="all"/>
              <w:t xml:space="preserve">音频响应：30Hz-18KHz</w:t>
              <w:br w:type="textWrapping" w:clear="all"/>
              <w:t xml:space="preserve">谐波失真：≤0.5%</w:t>
              <w:br w:type="textWrapping" w:clear="all"/>
              <w:t xml:space="preserve">音频输出方式：平衡、非平衡</w:t>
              <w:br w:type="textWrapping" w:clear="all"/>
              <w:t xml:space="preserve">音频输出阻抗：600Ω±10%</w:t>
              <w:br w:type="textWrapping" w:clear="all"/>
              <w:t xml:space="preserve">综合失真度：＜0.5% @1KHz</w:t>
              <w:br w:type="textWrapping" w:clear="all"/>
              <w:t xml:space="preserve">工作电源：DC 12V/1A</w:t>
              <w:br w:type="textWrapping" w:clear="all"/>
              <w:t xml:space="preserve">功耗：≤10W</w:t>
              <w:br w:type="textWrapping" w:clear="all"/>
              <w:t xml:space="preserve">2、</w:t>
            </w:r>
            <w:r>
              <w:rPr>
                <w:rFonts w:hint="eastAsia" w:ascii="宋体" w:hAnsi="宋体" w:cs="宋体"/>
                <w:sz w:val="24"/>
                <w:szCs w:val="24"/>
              </w:rPr>
              <w:t xml:space="preserve">发射机</w:t>
              <w:br/>
              <w:t xml:space="preserve">工作电源：2 * AA（1.2V或1.5V）</w:t>
              <w:br/>
              <w:t xml:space="preserve">工作频率：640-690MHz</w:t>
              <w:br/>
              <w:t xml:space="preserve">频率稳定度：±1 ppm</w:t>
              <w:br/>
              <w:t xml:space="preserve">最大发射功率：10dBm</w:t>
              <w:br/>
              <w:t xml:space="preserve">调制方式：FM</w:t>
              <w:br/>
              <w:t xml:space="preserve">频率生成方式：PLL锁相环频率合成</w:t>
              <w:br/>
              <w:t xml:space="preserve">话筒类型：高保真动圈式</w:t>
              <w:br/>
              <w:t xml:space="preserve">话筒灵敏度：-53dB @ 1KHz</w:t>
              <w:br/>
              <w:t xml:space="preserve">频率响应：30Hz-18KHz</w:t>
              <w:br/>
              <w:t xml:space="preserve">拾音极性：心型指向性</w:t>
              <w:br/>
              <w:t xml:space="preserve">拾音方式：动圈式</w:t>
              <w:br/>
              <w:t xml:space="preserve">工作电流：100mA</w:t>
              <w:br/>
              <w:t xml:space="preserve">3、腰包</w:t>
              <w:br/>
              <w:t xml:space="preserve">工作电源：两节AA电池或镍氢充电电池</w:t>
              <w:br/>
              <w:t xml:space="preserve">电池使用时间：8小时</w:t>
              <w:br/>
              <w:t xml:space="preserve">工作频率：640-690MHz</w:t>
              <w:br/>
              <w:t xml:space="preserve">最大发射功率：10 dBm</w:t>
              <w:br/>
              <w:t xml:space="preserve">音频频率响应：60 ~ 20 KHz</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22</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指向性话筒</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1.单体:背极式驻极体。</w:t>
              <w:br w:type="textWrapping" w:clear="all"/>
              <w:t xml:space="preserve">2.指向性:心型指向/超心型指向。</w:t>
              <w:br w:type="textWrapping" w:clear="all"/>
              <w:t xml:space="preserve">3.频率响应:50Hz-16kHz。</w:t>
              <w:br w:type="textWrapping" w:clear="all"/>
              <w:t xml:space="preserve">4.灵敏度:-45dB±2dB(0dB=1V/Pa at 1kHz)灵敏度高，失真小，动态范围大。</w:t>
              <w:br w:type="textWrapping" w:clear="all"/>
              <w:t xml:space="preserve">5.输出阻抗:不少于500Ω/1600Ω±30%(at 1kHz)。</w:t>
              <w:br w:type="textWrapping" w:clear="all"/>
              <w:t xml:space="preserve">6.负载阻抗:≥1000Ω。</w:t>
              <w:br w:type="textWrapping" w:clear="all"/>
              <w:t xml:space="preserve">7.使用电压:48V幻象电源。</w:t>
              <w:br w:type="textWrapping" w:clear="all"/>
              <w:t xml:space="preserve">8.清晰的人声拾音。</w:t>
              <w:br w:type="textWrapping" w:clear="all"/>
              <w:t xml:space="preserve">9.幻象电源供电方式。</w:t>
              <w:br w:type="textWrapping" w:clear="all"/>
              <w:t xml:space="preserve">10.内置晶体管放大器。</w:t>
              <w:br w:type="textWrapping" w:clear="all"/>
              <w:t xml:space="preserve">11.配弹簧传输线。</w:t>
              <w:br w:type="textWrapping" w:clear="all"/>
              <w:t xml:space="preserve">12.连接端：XLR三针公卡侬。</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23</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中控室监听音箱</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木质有源2.0音箱</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对</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音箱</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1.额定/峰值功率：≥60W/120W             </w:t>
              <w:br w:type="textWrapping" w:clear="all"/>
              <w:t xml:space="preserve">2.额定阻抗：≥8Ω                                                                                                              </w:t>
            </w:r>
            <w:r>
              <w:rPr>
                <w:rFonts w:hint="eastAsia" w:ascii="宋体" w:hAnsi="宋体" w:cs="宋体"/>
                <w:sz w:val="24"/>
                <w:szCs w:val="24"/>
              </w:rPr>
              <w:t xml:space="preserve"> </w:t>
              <w:br/>
              <w:t xml:space="preserve">3.特性灵敏度：≥88dB /w/m </w:t>
              <w:br/>
              <w:t xml:space="preserve">4.输出声压级：≥113dB/W/m(Continues)， ≥120dB/W/m(Peak) </w:t>
              <w:br/>
              <w:t xml:space="preserve">5.额定频率范围（-3dB）：≥ 80Hz－18KHz                                                                                                             6.辐射角度（H×V）：≥90°×50° </w:t>
              <w:br/>
              <w:t xml:space="preserve">7.扬声器单元：LF：≥6.5"×1，HF：≥2"×1</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25</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数字音频矩阵</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音频矩阵集成了语音激励、动态自适应噪声消除以及自适应反馈消除等功能,采用语音信号处理专用的高速浮点</w:t>
            </w:r>
            <w:r>
              <w:rPr>
                <w:rFonts w:hint="eastAsia" w:ascii="宋体" w:hAnsi="宋体" w:cs="宋体"/>
                <w:sz w:val="24"/>
                <w:szCs w:val="24"/>
              </w:rPr>
              <w:t xml:space="preserve">DSP处理芯片和业界领先的智能算法,能同时接入≥8个麦克风, 并为麦克风提供48V幻象供电,采用PC软件通过网络对设备参数进行调节。</w:t>
              <w:br/>
              <w:t xml:space="preserve">1.自带操作软件，直观、图形化软件控制界面。</w:t>
              <w:br/>
              <w:t xml:space="preserve">2.音频输入：支持≥8路话筒/线路输入，≥4路立体声输入。</w:t>
              <w:br/>
              <w:t xml:space="preserve">3.音频输出：≥4路线路输出。</w:t>
              <w:br/>
              <w:t xml:space="preserve">4.采样率：48kHz，A/D、D/A转换。</w:t>
              <w:br/>
              <w:t xml:space="preserve">5.采用高速DSP处理芯片。</w:t>
              <w:br/>
              <w:t xml:space="preserve">6.智能自动增益控制（AGC）：自动提升和压缩话筒音量，使之以恒定的电平输出。</w:t>
              <w:br/>
              <w:t xml:space="preserve">7.全功能矩阵混音功能。</w:t>
              <w:br/>
              <w:t xml:space="preserve">8.为保证系统稳定性及兼容性，要求与录播一体机为同一品牌。</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26</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小组智能云盒</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软件遥控器：投屏控制系统无需硬件遥控器或USB切换器，用户只</w:t>
            </w:r>
            <w:r>
              <w:rPr>
                <w:rFonts w:hint="eastAsia" w:ascii="宋体" w:hAnsi="宋体" w:cs="宋体"/>
                <w:sz w:val="24"/>
                <w:szCs w:val="24"/>
              </w:rPr>
              <w:t xml:space="preserve">需扫码下载遥控器APP即可将移动终端作为控制端，可以对已投屏的设备进行设备切换操作，遥控器支持Windows、Android、iOS系统安装控制端软件。</w:t>
              <w:br/>
              <w:t xml:space="preserve">2.屏幕工具条：主要用来对设备进行控制操作的功能按钮区域，用户可直接在触控显示屏上触控操作，也可在系统设备上连接USB鼠标点击工具条上的功能来控制，具有截屏、录制、广播、切屏、布局、批注等功能按钮，并可以看到时间、设备状态等信息。支持用户自主选择工具条显示或隐藏，工具条隐藏后支持一键点击隐藏按钮再次显示工具条，且无操作10秒钟后，工具条可再次自动隐藏。</w:t>
              <w:br/>
              <w:t xml:space="preserve">3</w:t>
            </w:r>
            <w:r>
              <w:rPr>
                <w:rFonts w:hint="eastAsia" w:ascii="宋体" w:hAnsi="宋体" w:cs="宋体"/>
                <w:sz w:val="24"/>
                <w:szCs w:val="24"/>
              </w:rPr>
              <w:t xml:space="preserve">.</w:t>
            </w:r>
            <w:r>
              <w:rPr>
                <w:rFonts w:hint="eastAsia" w:ascii="宋体" w:hAnsi="宋体" w:cs="宋体"/>
                <w:sz w:val="24"/>
                <w:szCs w:val="24"/>
              </w:rPr>
              <w:t xml:space="preserve">支持16路投屏终端同步显示：支持4K高清视频播放，能够在显示终端上不少于8屏画面同时投屏展示，并可自由拖动交换画面位置。支持对投屏终端单个或者全体音频音量控制；多屏画面布局下，支持对单一显示画面静音、翻转、全屏或移出操作。</w:t>
              <w:br w:type="textWrapping" w:clear="all"/>
              <w:t xml:space="preserve">4</w:t>
            </w:r>
            <w:r>
              <w:rPr>
                <w:rFonts w:hint="eastAsia" w:ascii="宋体" w:hAnsi="宋体" w:cs="宋体"/>
                <w:sz w:val="24"/>
                <w:szCs w:val="24"/>
              </w:rPr>
              <w:t xml:space="preserve">.</w:t>
            </w:r>
            <w:r>
              <w:rPr>
                <w:rFonts w:hint="eastAsia" w:ascii="宋体" w:hAnsi="宋体" w:cs="宋体"/>
                <w:sz w:val="24"/>
                <w:szCs w:val="24"/>
              </w:rPr>
              <w:t xml:space="preserve">支持三大类公有传输协议投屏：支持Air Play、Miracast、WIDI投射协议投屏，能够将iOS设备、macOS设备、Android设备、Windows设备不安装任何APP或者插件的前提下直接无线接入智能盒子进行投屏。通过外接USB发射器、扫码、安装App等方式投屏，均不符合要求。</w:t>
              <w:br w:type="textWrapping" w:clear="all"/>
              <w:t xml:space="preserve">5</w:t>
            </w:r>
            <w:r>
              <w:rPr>
                <w:rFonts w:hint="eastAsia" w:ascii="宋体" w:hAnsi="宋体" w:cs="宋体"/>
                <w:sz w:val="24"/>
                <w:szCs w:val="24"/>
              </w:rPr>
              <w:t xml:space="preserve">.</w:t>
            </w:r>
            <w:r>
              <w:rPr>
                <w:rFonts w:hint="eastAsia" w:ascii="宋体" w:hAnsi="宋体" w:cs="宋体"/>
                <w:sz w:val="24"/>
                <w:szCs w:val="24"/>
              </w:rPr>
              <w:t xml:space="preserve">支持设备的有线接入：HDMI输入接口支持电脑、摄像头、实物展台等外部设备的有线接入，HDMI输出接口支持连接显示终端设备，可通过USB口直接接入摄像头用采集环境画面，支持通过USB口进行鼠标键盘的接入，支持选择U盘中的文档、图片、视频等资料直接打开播放，也可对存储至U盘的资源进行预览、删除。</w:t>
              <w:br w:type="textWrapping" w:clear="all"/>
              <w:t xml:space="preserve">6</w:t>
            </w:r>
            <w:r>
              <w:rPr>
                <w:rFonts w:hint="eastAsia" w:ascii="宋体" w:hAnsi="宋体" w:cs="宋体"/>
                <w:sz w:val="24"/>
                <w:szCs w:val="24"/>
              </w:rPr>
              <w:t xml:space="preserve">.</w:t>
            </w:r>
            <w:r>
              <w:rPr>
                <w:rFonts w:hint="eastAsia" w:ascii="宋体" w:hAnsi="宋体" w:cs="宋体"/>
                <w:sz w:val="24"/>
                <w:szCs w:val="24"/>
              </w:rPr>
              <w:t xml:space="preserve">多种画面布局显示：支持不少于16个投屏设备同时接入智能盒子，不少于同时8个画面显示，且支持1画面、2画面、3画面、4画面、6画面、8画面切换模式，不少于10种默认画面布局方式，画面支持多种对比模式（如均分屏幕、一大一小、一大两小、一大三小、悬浮等）；只需一键点击，即可选择相应的布局。</w:t>
              <w:br w:type="textWrapping" w:clear="all"/>
              <w:t xml:space="preserve">7</w:t>
            </w:r>
            <w:r>
              <w:rPr>
                <w:rFonts w:hint="eastAsia" w:ascii="宋体" w:hAnsi="宋体" w:cs="宋体"/>
                <w:sz w:val="24"/>
                <w:szCs w:val="24"/>
              </w:rPr>
              <w:t xml:space="preserve">.</w:t>
            </w:r>
            <w:r>
              <w:rPr>
                <w:rFonts w:hint="eastAsia" w:ascii="宋体" w:hAnsi="宋体" w:cs="宋体"/>
                <w:sz w:val="24"/>
                <w:szCs w:val="24"/>
              </w:rPr>
              <w:t xml:space="preserve">投屏终端选择与切换：系统自动对有线接入设备和网络摄像机、无线接入设备、各小组的系统设备、U盘等、手写板等设备分类。投屏控制系统支持拖拽移动投屏设备的画面，支持对已连接投屏控制系统的终端强行从列表中移除，并可设置常用设备置顶显示模式。布局内显示的投屏设备具有设备画面记忆功能，切换后各布局内的设备画面不会自动更改。                   8</w:t>
            </w:r>
            <w:r>
              <w:rPr>
                <w:rFonts w:hint="eastAsia" w:ascii="宋体" w:hAnsi="宋体" w:cs="宋体"/>
                <w:sz w:val="24"/>
                <w:szCs w:val="24"/>
              </w:rPr>
              <w:t xml:space="preserve">.</w:t>
            </w:r>
            <w:r>
              <w:rPr>
                <w:rFonts w:hint="eastAsia" w:ascii="宋体" w:hAnsi="宋体" w:cs="宋体"/>
                <w:sz w:val="24"/>
                <w:szCs w:val="24"/>
              </w:rPr>
              <w:t xml:space="preserve">音频输入输出接口：设备支持3.5mm音频输入和3.5mm音频输出功能，可实现无线或有线3.5mm音频输入到设备中，通过3.5mm输出给功放、音响等设备。</w:t>
              <w:br w:type="textWrapping" w:clear="all"/>
              <w:t xml:space="preserve">9</w:t>
            </w:r>
            <w:r>
              <w:rPr>
                <w:rFonts w:hint="eastAsia" w:ascii="宋体" w:hAnsi="宋体" w:cs="宋体"/>
                <w:sz w:val="24"/>
                <w:szCs w:val="24"/>
              </w:rPr>
              <w:t xml:space="preserve">.</w:t>
            </w:r>
            <w:r>
              <w:rPr>
                <w:rFonts w:hint="eastAsia" w:ascii="宋体" w:hAnsi="宋体" w:cs="宋体"/>
                <w:sz w:val="24"/>
                <w:szCs w:val="24"/>
              </w:rPr>
              <w:t xml:space="preserve">支持对显示终端进行全屏缩放：通过遥控器APP或屏幕工具栏可控制显示终端的投屏画面缩放显示，达到对文字或重点画面逐步放大的效果，能够对单屏或多屏画面进行最大400%放大。</w:t>
              <w:br w:type="textWrapping" w:clear="all"/>
              <w:t xml:space="preserve">10</w:t>
            </w:r>
            <w:r>
              <w:rPr>
                <w:rFonts w:hint="eastAsia" w:ascii="宋体" w:hAnsi="宋体" w:cs="宋体"/>
                <w:sz w:val="24"/>
                <w:szCs w:val="24"/>
              </w:rPr>
              <w:t xml:space="preserve">.</w:t>
            </w:r>
            <w:r>
              <w:rPr>
                <w:rFonts w:hint="eastAsia" w:ascii="宋体" w:hAnsi="宋体" w:cs="宋体"/>
                <w:sz w:val="24"/>
                <w:szCs w:val="24"/>
              </w:rPr>
              <w:t xml:space="preserve">支持批注功能：支持对当前屏幕的批注，系统提供画笔、荧光笔、激光笔进行标注，支持新建空白白板批注书写，空白白板和当前教学内容可一键进行切换。支持批注内容的撤销、自动清除和一键全部清除功能。</w:t>
              <w:br w:type="textWrapping" w:clear="all"/>
              <w:t xml:space="preserve">11.存储与图库：存储为用于投屏设备的截屏和录制内容的保存，存储支持U盘和配套的无线网络云盘；图库为用于直接打开浏览截屏的图片和录制的视频内容。</w:t>
              <w:br w:type="textWrapping" w:clear="all"/>
              <w:t xml:space="preserve">12</w:t>
            </w:r>
            <w:r>
              <w:rPr>
                <w:rFonts w:hint="eastAsia" w:ascii="宋体" w:hAnsi="宋体" w:cs="宋体"/>
                <w:sz w:val="24"/>
                <w:szCs w:val="24"/>
              </w:rPr>
              <w:t xml:space="preserve">.</w:t>
            </w:r>
            <w:r>
              <w:rPr>
                <w:rFonts w:hint="eastAsia" w:ascii="宋体" w:hAnsi="宋体" w:cs="宋体"/>
                <w:sz w:val="24"/>
                <w:szCs w:val="24"/>
              </w:rPr>
              <w:t xml:space="preserve">支持画面截屏：通过截屏功能，可一键截取当前投屏显示内容画面，通过微信、微博、QQ等第三方应用程序分享发送，并支持存储在</w:t>
            </w:r>
            <w:r>
              <w:rPr>
                <w:rFonts w:hint="eastAsia" w:ascii="宋体" w:hAnsi="宋体" w:cs="宋体"/>
                <w:sz w:val="24"/>
                <w:szCs w:val="24"/>
              </w:rPr>
              <w:t xml:space="preserve">U盘或局域网云盘中。</w:t>
              <w:br/>
              <w:t xml:space="preserve">13．一键微课录制：设备支持通过硬件设备上的“录课”按键一键开始录课，也支持通过遥控器APP“录课”按钮一键录课；微课录制支持多画面和外接无线麦克风声音同步录入，支持720P和1080P格式，录课视频可保存在智能盒子的外接U盘中或通过无线存储到匹配的无线设备硬盘中，支持录制存储空间不足时文字的提醒功能。</w:t>
              <w:br/>
              <w:t xml:space="preserve">14.小组讨论：小组屏通过输入验证码，加入到教师指定的合作组里。小组内的成员，可以把自己的移动终端投射到小组屏上进行展示讲解，可以支持多人设备同时投屏对比讲解，支持同时批注操作。</w:t>
              <w:br/>
              <w:t xml:space="preserve">15</w:t>
            </w:r>
            <w:r>
              <w:rPr>
                <w:rFonts w:hint="eastAsia" w:ascii="宋体" w:hAnsi="宋体" w:cs="宋体"/>
                <w:sz w:val="24"/>
                <w:szCs w:val="24"/>
              </w:rPr>
              <w:t xml:space="preserve">.</w:t>
            </w:r>
            <w:r>
              <w:rPr>
                <w:rFonts w:hint="eastAsia" w:ascii="宋体" w:hAnsi="宋体" w:cs="宋体"/>
                <w:sz w:val="24"/>
                <w:szCs w:val="24"/>
              </w:rPr>
              <w:t xml:space="preserve">支持UIBC回控操作：支持对HDMI有线接入的电脑、无线投屏的Android、Windows设备进行UIBC回控操作，具有选择开启或关闭功能按钮，可在显示终端大屏触摸回控或通过智能盒子外接鼠标回控。</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27</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主讲端智能云盒</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1.操作系统：Android；</w:t>
              <w:br w:type="textWrapping" w:clear="all"/>
              <w:t xml:space="preserve">2.CPU：双核心、双线程、1.8GHZ、三级缓存 2MB；</w:t>
              <w:br w:type="textWrapping" w:clear="all"/>
              <w:t xml:space="preserve">3.RAM：≥8G；</w:t>
              <w:br w:type="textWrapping" w:clear="all"/>
              <w:t xml:space="preserve">4.内置存储：≥128G，可扩充到3TB。</w:t>
              <w:br w:type="textWrapping" w:clear="all"/>
              <w:t xml:space="preserve">5.影音接口：≥1路HDMI输入接</w:t>
            </w:r>
            <w:r>
              <w:rPr>
                <w:rFonts w:hint="eastAsia" w:ascii="宋体" w:hAnsi="宋体" w:cs="宋体"/>
                <w:sz w:val="24"/>
                <w:szCs w:val="24"/>
              </w:rPr>
              <w:t xml:space="preserve">口、1路HDMI输出接口、LineIn*1、 LineOut*1。</w:t>
              <w:br/>
              <w:t xml:space="preserve">6.I/O接口：3个USB接口并支持扩展，3个10/100/1000Mbps以太网RJ45接口；</w:t>
              <w:br/>
              <w:t xml:space="preserve">7.视频输出：最大支持4K高清视频，支持30FPS帧率。</w:t>
              <w:br/>
              <w:t xml:space="preserve">8.扩展：具有“录制”按钮，可一键式录制课程。</w:t>
              <w:br/>
              <w:t xml:space="preserve">9.内置无线AP功能/WiFi支持：智能云盒内置无线AP模块，工作频段：支持2.4G和5G。 支持协议： 802.11 a/b/g/n/ac多种协议模式。最大工作速率： 1300Mbps。网络工作模式支持：无线路由器、无线交换机、终端模式。</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28</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图像跟踪一体机</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1.要求主机采用标准19英寸机架式安装，前面板采用单键式极简设计，简约实用。</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▲2.要求主机采用不大于DC12V安全电压供电，低功耗无风扇设计,工作噪音≤21db(A)。(投标时须提供检测报告原件扫</w:t>
            </w:r>
            <w:r>
              <w:rPr>
                <w:rFonts w:hint="eastAsia" w:ascii="宋体" w:hAnsi="宋体" w:cs="宋体"/>
                <w:sz w:val="24"/>
                <w:szCs w:val="24"/>
              </w:rPr>
              <w:t xml:space="preserve">描上传及报告编号在全国认证认可信息公共服务平台的查询截图上传)</w:t>
              <w:br/>
              <w:t xml:space="preserve">▲3.要求采用嵌入式架构，内置AIoT智能芯片，支持AI图像跟踪技术，能够达到5TOPS标准或以上的算力。(投标时须提供检测报告原件扫描上传及报告编号在全国认证认可信息公共服务平台的查询截图上传)</w:t>
              <w:br/>
              <w:t xml:space="preserve">4.集教师跟踪、学生定位、板书定位、学生巡视等导播切换策略于一体。</w:t>
              <w:br/>
              <w:t xml:space="preserve">5.要求具备≥4路USB接口，支持接入I/O设备，要求具备≥1路HDMI OUT。</w:t>
              <w:br/>
              <w:t xml:space="preserve">6.要求具备≥1路LAN网络接口，支持网络传输高清视频，对云台摄像机、录播设备的控制采用网络通讯。</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29</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分组讨论终端（智能交互平板）</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1.智能交互平板显示尺寸≧65英寸，分辨率：3840*2160 ，采用红外触控技术，在双系统下均支持20点同时触控及书写</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2.交互平板表面玻璃采用高强度钢化玻璃，硬度可达莫氏7级，高于石墨1-9H硬度；</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3.智能交互平板显示部分需采用高色域覆盖技术，NTSC色域标准下覆盖率不低于85%</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4.为方便外接信号源的输入，设备至少1路前置HDMI接口（非转接），3路前置USB3.0接口</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5.为方便用户外接拓展设备，整机标配VGA输入接口≥1路</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6.交互平板具有通屏笔槽结构，可放置书写笔、粉笔、水性笔等（须提供CMA或CNAS认证测机构出具的检测报告与证明照片并加盖公章）</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7.为方便用户进行各类设置和操作，设备前置按键不少于8个，可实现音量加减、窗口关闭、触控开关等功能，且每个按键不少于两种以上功能。</w:t>
            </w:r>
            <w:r>
              <w:rPr>
                <w:rFonts w:ascii="宋体" w:hAnsi="宋体" w:cs="宋体"/>
                <w:sz w:val="24"/>
                <w:szCs w:val="24"/>
              </w:rPr>
            </w:r>
            <w:r/>
          </w:p>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8.前面板具有标识的天线模块，包含 2.4G 、5G双频 Wifi及蓝牙接发装置，保证信号使用稳定性</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9.无需打开智能平板背板，前置接口面板和前置按键面板支持单独前拆</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10.前置U盘接口采用隐藏式设计，具有翻转式防护盖板，高度不少于4cm</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11.2.0声道音箱，采用针孔阵列发声设计，2个前置15W中高音音箱，且为保证高人声还原度，谐振频率低于300Hz；</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12.采用物理减滤蓝光设计，无需其他操作即可实现防蓝光，且设备具备智能护眼组合功能，通过扫描设备自带的二维码可获取检测机构的认证证书。</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13.为满足教学场景使用需求，支持不少于3种方式进行屏幕下移，屏幕下移后仍可进行触控、书写等操作 </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14.智能交互平板 Android 主板具备四核CPU， 内存不小于2G，Android 系统不低于11.0，主页提供不少于5 个应用程序，也可替代其他应用程序; </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15.通过多指滑动屏幕，可快速实现Windows与教学系统界面的切换</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16.智能平板左右两侧可提供与教学应用密切相关的快捷键，数量各不少于15个，可以双侧同时显示，该快捷键至少具有关闭窗口 ，展台，桌面、多屏互动等常教学常用按键。</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17.智能交互平板具有悬浮菜单，两指可快速移动悬浮菜单至按压位置，悬浮菜单可进行自定义分组，可添加 AI 互动软件等不少于 30 个应用；</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18.整机可一键进行硬件自检，包括对系统内存、存储、触控系统、光感系统、内置电脑、屏体信息、主板型号、CPU型号、CPU使用率、设备名称等进行状态提示、及故障提示。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19.智能平板具备前置电脑还原按键，不需专业人员即可轻松解决电脑系统故障，为避免误碰按键采用针孔式设计，并有配有中文标识；</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20.本地安卓白板软件具备面积识别功能，通过接触交互设备的面积大小实现智能擦除、粗细笔迹书写</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21.智能节电，在无操作或无信号输入15分钟时,出现关机提示倒计时；在无操作或无信号输入30分钟时, 自动关机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22.通过五指抓取屏幕任意位置可调出多任务处理窗口，并对正在运行的应用进行浏览、快速切换或结束进程</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23.交互平板处于关机通电状态，外接电脑、机顶盒等设备接入交互平板时，交互平板可识别到外接设备的输入信号后自动开机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24.在任意信号源下，从屏幕下方任意位置向上滑动，可调用快捷设置菜单；无需切换系统，可快速调节Windows 和Android 的设置</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26.内置1300万像素摄像头。</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27.内置电脑</w:t>
            </w:r>
            <w:r>
              <w:rPr>
                <w:rFonts w:hint="eastAsia" w:ascii="宋体" w:hAnsi="宋体" w:cs="宋体"/>
                <w:sz w:val="24"/>
                <w:szCs w:val="24"/>
              </w:rPr>
              <w:t xml:space="preserve">模块</w:t>
            </w:r>
            <w:r>
              <w:rPr>
                <w:rFonts w:hint="eastAsia" w:ascii="宋体" w:hAnsi="宋体" w:cs="宋体"/>
                <w:sz w:val="24"/>
                <w:szCs w:val="24"/>
              </w:rPr>
              <w:t xml:space="preserve">:</w:t>
            </w:r>
            <w:r>
              <w:rPr>
                <w:rFonts w:hint="eastAsia"/>
              </w:rPr>
              <w:t xml:space="preserve"> </w:t>
            </w:r>
            <w:r>
              <w:rPr>
                <w:rFonts w:hint="eastAsia" w:ascii="宋体" w:hAnsi="宋体" w:cs="宋体"/>
                <w:sz w:val="24"/>
                <w:szCs w:val="24"/>
              </w:rPr>
              <w:t xml:space="preserve">处理器不低于4核8线程；配置要求：内存≥8GB DDR4 ，存储≥256GB SSD硬盘；接口要求：≥1路HDMI，≥3路USB。</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30</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智慧教室融合终端</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hint="eastAsia" w:ascii="宋体" w:hAnsi="宋体" w:cs="宋体"/>
                <w:b/>
                <w:sz w:val="24"/>
                <w:szCs w:val="24"/>
              </w:rPr>
            </w:pPr>
            <w:r>
              <w:rPr>
                <w:rFonts w:hint="eastAsia" w:ascii="宋体" w:hAnsi="宋体" w:cs="宋体"/>
                <w:b/>
                <w:sz w:val="24"/>
                <w:szCs w:val="24"/>
              </w:rPr>
              <w:t xml:space="preserve">整机结构：</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1.显示屏采用电容感应式触摸屏设计，屏幕尺寸≥10.1英寸，分辨率≥1280*800。</w:t>
              <w:br w:type="textWrapping" w:clear="all"/>
              <w:t xml:space="preserve">2.面板需内置读卡器、扬声器（功率≥2*4W）、 拾音器等功能模块， 且外观为一体化设计。</w:t>
              <w:br w:type="textWrapping" w:clear="all"/>
            </w:r>
            <w:r>
              <w:rPr>
                <w:rFonts w:hint="eastAsia" w:ascii="宋体" w:hAnsi="宋体" w:cs="宋体"/>
                <w:b/>
                <w:sz w:val="24"/>
                <w:szCs w:val="24"/>
              </w:rPr>
              <w:t xml:space="preserve">整机功能</w:t>
            </w:r>
            <w:r>
              <w:rPr>
                <w:rFonts w:hint="eastAsia" w:ascii="宋体" w:hAnsi="宋体" w:cs="宋体"/>
                <w:sz w:val="24"/>
                <w:szCs w:val="24"/>
              </w:rPr>
              <w:br w:type="textWrapping" w:clear="all"/>
              <w:t xml:space="preserve">1.面板需内置 Android10 及以上的系统，运行 内存≥2G，EMMC≥16G，主频≥1.6GHz。</w:t>
              <w:br w:type="textWrapping" w:clear="all"/>
              <w:t xml:space="preserve">2.面板具备刷卡开机功能，支持教师刷卡后，经过权限判定， 直接进入操作界面，并自动打开所有已接入的各类多媒体设备，如教师机电 脑、投影机、幕布等。</w:t>
              <w:br w:type="textWrapping" w:clear="all"/>
              <w:t xml:space="preserve">3.面板本身至少需具备的接口： RS232≥2 路、 USB≥1 路、 RJ45 网络≥1 路。</w:t>
              <w:br w:type="textWrapping" w:clear="all"/>
              <w:t xml:space="preserve">讲桌设置有安卓触控屏为副屏幕，支持显示控制界面，当对接有录播系统，方便老师快速控制。</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4.安卓触控屏支持与物联网中控主机对接，实现对教室内的智慧黑板，交互智能平板，录播系统，灯光，窗帘，空调，电视的控制，具备上课，下课或其他教学场景功能，支持每个系统的独立控制功能，并支持微信小程序控制。</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5.安卓中控屏的屏幕尺寸≥10英寸，内存≥2GB，存储≥16GB支持分辨率≥800*1280，具备接口≥1个USB接口、≥1个RJ45网口 、1个DC接口。</w:t>
            </w:r>
            <w:r>
              <w:rPr>
                <w:rFonts w:ascii="宋体" w:hAnsi="宋体" w:cs="宋体"/>
                <w:sz w:val="24"/>
                <w:szCs w:val="24"/>
              </w:rPr>
            </w:r>
            <w:r/>
          </w:p>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安卓控制屏设置有录播控制菜单，支持控制录播系统的录制、暂停、停止、手自动切换等操作，支持台标与字幕的显示控制，支持预览通道选择，以及画面布局切换，可进行师生对话、三分屏等画面布局的选择，支持一键开启，与一键关闭的操作。</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7.面板支持对控制界面内的信号源数量和信号源名称进行自定义编辑；对不同品牌和类型的设备进行控制码和发码端口的自定义设置；支持新增自定义按键，每个按键可配置多个端口组合发码、中控主机受控电源通断等多命令的组合设置，对每个发码命令的执行间隔时长和执行顺序可设置。（提供软件功能截图扫描上传）</w:t>
              <w:br w:type="textWrapping" w:clear="all"/>
              <w:t xml:space="preserve">8</w:t>
            </w:r>
            <w:r>
              <w:rPr>
                <w:rFonts w:hint="eastAsia" w:ascii="宋体" w:hAnsi="宋体" w:cs="宋体"/>
                <w:sz w:val="24"/>
                <w:szCs w:val="24"/>
              </w:rPr>
              <w:t xml:space="preserve">.讲桌桌面内置弹射式接口面板，包含≥1个HDMI接口、≥1个VGA接口、≥1个USB口、≥1个网络接口、≥1个音频接口等，不使用时，可按下与桌面平齐，避免受到撞击，支持笔记本电脑接入。</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.支持外接PC电脑，可以将PC电脑内容显示在23.8英寸主屏上，支持1路HDMI OUT输出，可外接投影、显示器等多媒体设备。</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.讲桌柜体左侧预留电脑主机观察窗口，无需打开柜体的情况下也能正常开关电脑主机。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讲台设置有2个220V五口电源接口，方便老师接入笔记本电脑等设备。</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讲桌设置有键盘抽屉，可放置黑板擦、书写笔、键盘和鼠标等，抽屉内预留≥4路USB快速充电接口，即使讲桌不开机，依然可以持续充电，可连接键盘鼠标使用,方便教师操作，讲桌桌面留有足够空间放置笔记本、教案等物品。</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.柜体下方设置有19英寸设备安装机柜，高度≥10U。</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.柜体下方预留多处散热孔，可以有效保证讲桌内设备的热量及时散出。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.讲桌支持安装地脚，选配增高底座，预留增高底座安装孔位。</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31</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智能手写数位板</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智能手写数位板</w:t>
              <w:br w:type="textWrapping" w:clear="all"/>
              <w:t xml:space="preserve">整机尺寸：364.27mm x239.83mm x 12.02 mm</w:t>
              <w:br w:type="textWrapping" w:clear="all"/>
              <w:t xml:space="preserve">有效区域：297mm*210mm</w:t>
              <w:br w:type="textWrapping" w:clear="all"/>
              <w:t xml:space="preserve">重量：776g</w:t>
              <w:br w:type="textWrapping" w:clear="all"/>
              <w:t xml:space="preserve">感应方式：电磁压感 无源无线</w:t>
              <w:br w:type="textWrapping" w:clear="all"/>
              <w:t xml:space="preserve">压感等级：2048 levels</w:t>
              <w:br w:type="textWrapping" w:clear="all"/>
              <w:t xml:space="preserve">传输方式：Wifi双</w:t>
            </w:r>
            <w:r>
              <w:rPr>
                <w:rFonts w:hint="eastAsia" w:ascii="宋体" w:hAnsi="宋体" w:cs="宋体"/>
                <w:sz w:val="24"/>
                <w:szCs w:val="24"/>
              </w:rPr>
              <w:t xml:space="preserve">频、蓝牙</w:t>
              <w:br/>
              <w:t xml:space="preserve">感应精度：正负00.254mm</w:t>
              <w:br/>
              <w:t xml:space="preserve">显示：0.96 寸 OLED 显示屏 128*64 ，显示设备及状态信息</w:t>
              <w:br/>
              <w:t xml:space="preserve">内存：内置离线存储，支持离线书写并存储笔迹数据，可存储不低于100页书写内容。</w:t>
              <w:br/>
              <w:t xml:space="preserve">电池容量：3.7V/4400mAh</w:t>
              <w:br/>
              <w:t xml:space="preserve">续航时间：存储实时模式连接不间断书写时间 不低于20个小时</w:t>
              <w:br/>
              <w:t xml:space="preserve">兼容系统：Windows, Mac, IOS, Android</w:t>
              <w:br/>
              <w:t xml:space="preserve">数字出水笔</w:t>
              <w:br/>
              <w:t xml:space="preserve">尺寸：11.7mm x 154mm</w:t>
              <w:br/>
              <w:t xml:space="preserve">重量：12.8g</w:t>
              <w:br/>
              <w:t xml:space="preserve">压感灵敏度：2048 级</w:t>
              <w:br/>
              <w:t xml:space="preserve">圆珠笔芯或触控笔芯</w:t>
              <w:br/>
              <w:t xml:space="preserve">铜制外壳，长度：68mm</w:t>
              <w:br/>
              <w:t xml:space="preserve">感应方式：电磁感应</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32</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22U 标准机柜</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标准服务器机柜，SPCC优质冷轧钢板，脱脂、磷化、静电喷涂，支持脚轮移动，托盘*1，散热风扇*1,机架式6口电源插座，容量22U，承重800Kg。</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33</w:t>
            </w:r>
            <w:r>
              <w:rPr>
                <w:rFonts w:ascii="宋体" w:hAnsi="宋体"/>
                <w:sz w:val="24"/>
                <w:szCs w:val="24"/>
              </w:rPr>
            </w:r>
            <w:r/>
          </w:p>
        </w:tc>
        <w:tc>
          <w:tcPr>
            <w:tcW w:w="712"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系统集成(含线材)</w:t>
            </w:r>
            <w:r>
              <w:rPr>
                <w:rFonts w:ascii="宋体" w:hAnsi="宋体" w:cs="宋体"/>
                <w:sz w:val="24"/>
                <w:szCs w:val="24"/>
              </w:rPr>
            </w:r>
            <w:r/>
          </w:p>
        </w:tc>
        <w:tc>
          <w:tcPr>
            <w:tcW w:w="666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包含设备的安装、调试、测试及使用培训等。</w:t>
            </w:r>
            <w:r>
              <w:rPr>
                <w:rFonts w:hint="eastAsia" w:ascii="宋体" w:hAnsi="宋体" w:cs="宋体"/>
                <w:sz w:val="24"/>
                <w:szCs w:val="24"/>
              </w:rPr>
              <w:t xml:space="preserve">主要指</w:t>
            </w:r>
            <w:r>
              <w:rPr>
                <w:rFonts w:hint="eastAsia" w:ascii="宋体" w:hAnsi="宋体" w:cs="宋体"/>
                <w:sz w:val="24"/>
                <w:szCs w:val="24"/>
              </w:rPr>
              <w:t xml:space="preserve">智慧黑板、多媒体讲台、</w:t>
            </w:r>
            <w:r>
              <w:rPr>
                <w:rFonts w:hint="eastAsia" w:ascii="宋体" w:hAnsi="宋体" w:cs="宋体"/>
                <w:sz w:val="24"/>
                <w:szCs w:val="24"/>
              </w:rPr>
              <w:t xml:space="preserve">桌椅</w:t>
            </w:r>
            <w:r>
              <w:rPr>
                <w:rFonts w:hint="eastAsia" w:ascii="宋体" w:hAnsi="宋体" w:cs="宋体"/>
                <w:sz w:val="24"/>
                <w:szCs w:val="24"/>
              </w:rPr>
              <w:t xml:space="preserve">、分组讨论系统</w:t>
            </w:r>
            <w:r>
              <w:rPr>
                <w:rFonts w:hint="eastAsia" w:ascii="宋体" w:hAnsi="宋体" w:cs="宋体"/>
                <w:sz w:val="24"/>
                <w:szCs w:val="24"/>
              </w:rPr>
              <w:t xml:space="preserve">的</w:t>
            </w:r>
            <w:r>
              <w:rPr>
                <w:rFonts w:hint="eastAsia" w:ascii="宋体" w:hAnsi="宋体" w:cs="宋体"/>
                <w:sz w:val="24"/>
                <w:szCs w:val="24"/>
              </w:rPr>
              <w:t xml:space="preserve">布线，摄像机、音响，吊麦</w:t>
            </w:r>
            <w:r>
              <w:rPr>
                <w:rFonts w:hint="eastAsia" w:ascii="宋体" w:hAnsi="宋体" w:cs="宋体"/>
                <w:sz w:val="24"/>
                <w:szCs w:val="24"/>
              </w:rPr>
              <w:t xml:space="preserve">等</w:t>
            </w:r>
            <w:r>
              <w:rPr>
                <w:rFonts w:hint="eastAsia" w:ascii="宋体" w:hAnsi="宋体" w:cs="宋体"/>
                <w:sz w:val="24"/>
                <w:szCs w:val="24"/>
              </w:rPr>
              <w:t xml:space="preserve">录播设备的安装。</w:t>
            </w:r>
            <w:r>
              <w:rPr>
                <w:rFonts w:ascii="宋体" w:hAnsi="宋体" w:cs="宋体"/>
                <w:sz w:val="24"/>
                <w:szCs w:val="24"/>
              </w:rPr>
            </w:r>
            <w:r/>
          </w:p>
        </w:tc>
        <w:tc>
          <w:tcPr>
            <w:tcW w:w="706"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34</w:t>
            </w:r>
            <w:r>
              <w:rPr>
                <w:rFonts w:ascii="宋体" w:hAnsi="宋体"/>
                <w:sz w:val="24"/>
                <w:szCs w:val="24"/>
              </w:rPr>
            </w:r>
            <w:r/>
          </w:p>
        </w:tc>
        <w:tc>
          <w:tcPr>
            <w:tcW w:w="712"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小组端交互系统软件</w:t>
            </w:r>
            <w:r>
              <w:rPr>
                <w:rFonts w:ascii="宋体" w:hAnsi="宋体" w:cs="宋体"/>
                <w:sz w:val="24"/>
                <w:szCs w:val="24"/>
              </w:rPr>
            </w:r>
            <w:r/>
          </w:p>
        </w:tc>
        <w:tc>
          <w:tcPr>
            <w:tcW w:w="6663"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软件遥控器：投屏控制系统无需硬件遥控器或USB切换器，用户只需扫码下载遥控器APP即可将移动终端作为控制端，可以对已投屏的设备进行设备切换操作，遥控器支持Windows、Android、iOS系统安装控制端软件。</w:t>
              <w:br w:type="textWrapping" w:clear="all"/>
              <w:t xml:space="preserve">2.屏幕工具条：主要用来对设备进行控制操作的功能按钮区域，用户可直接在触控显示屏上触控操作，也可在系统设备上连接USB鼠标点击工具条上的功能来控制，具有截屏、录制、广播、切屏、布局、批注等功能按钮，并可以看到时间、设</w:t>
            </w:r>
            <w:r>
              <w:rPr>
                <w:rFonts w:hint="eastAsia" w:ascii="宋体" w:hAnsi="宋体" w:cs="宋体"/>
                <w:sz w:val="24"/>
                <w:szCs w:val="24"/>
              </w:rPr>
              <w:t xml:space="preserve">备状态等信息。支持用户自主选择工具条显示或隐藏，工具条隐藏后支持一键点击隐藏按钮再次显示工具条，且无操作10秒钟后，工具条可再次自动隐藏。</w:t>
              <w:br/>
              <w:t xml:space="preserve">3．支持16路投屏终端同步显示：支持4K高清视频播放，能够在显示终端上不少于8屏画面同时投屏展示，并可自由拖动交换画面位置。支持对投屏终端单个或者全体音频音量控制；多屏画面布局下，支持对单一显示画面静音、翻转、全屏或移出操作。</w:t>
              <w:br/>
              <w:t xml:space="preserve">4．持三大类公有传输协议投屏：支持Air Play、Miracast、WIDI投射协议投屏，能够将iOS设备、macOS设备、Android设备</w:t>
            </w:r>
            <w:r>
              <w:rPr>
                <w:rFonts w:hint="eastAsia" w:ascii="宋体" w:hAnsi="宋体" w:cs="宋体"/>
                <w:sz w:val="24"/>
                <w:szCs w:val="24"/>
              </w:rPr>
              <w:t xml:space="preserve">、Windows设备不安装任何APP或者插件的前提下直接无线接入智能盒子进行投屏。通过外接USB发射器、扫码、安装App等方式投屏，均不符合要求。</w:t>
              <w:br/>
              <w:t xml:space="preserve">5．支持设备的有线接入：HDMI输入接口支持电脑、摄像头、实物展台等外部设备的有线接入，HDMI输出接口支持连接显示终端设备，可通过USB口直接接入摄像头用采集环境画面，支持通过USB口进行鼠标键盘的接入，支持选择U盘中的文档、图片、视频等资料直接打开播放，也可对存储至U盘的资源进行预览、删除。</w:t>
              <w:br/>
              <w:t xml:space="preserve">6．多种画面布局显示：支持不少于16个投屏设备同时接入智能盒子，不</w:t>
            </w:r>
            <w:r>
              <w:rPr>
                <w:rFonts w:hint="eastAsia" w:ascii="宋体" w:hAnsi="宋体" w:cs="宋体"/>
                <w:sz w:val="24"/>
                <w:szCs w:val="24"/>
              </w:rPr>
              <w:t xml:space="preserve">少于同时8个画面显示，且支持1画面、2画面、3画面、4画面、6画面、8画面切换模式，不少于10种默认画面布局方式，画面支持多种对比模式（如均分屏幕、一大一小、一大两小、一大三小、悬浮等）；只需一键点击，即可选择相应的布局。</w:t>
              <w:br/>
              <w:t xml:space="preserve">7．投屏终端选择与切换：系统自动对有线接入设备和网络摄像机、无线接入设备、各小组的系统设备、U盘等、手写板等设备分类。投屏控制系统支持拖拽移动投屏设备的画面，支持对已连接投屏控制系统的终端强行从列表中移除，并可设置常用设备置顶显示模式。布局内显示的投屏设备具有设备画面记忆功能，切换后各布</w:t>
            </w:r>
            <w:r>
              <w:rPr>
                <w:rFonts w:hint="eastAsia" w:ascii="宋体" w:hAnsi="宋体" w:cs="宋体"/>
                <w:sz w:val="24"/>
                <w:szCs w:val="24"/>
              </w:rPr>
              <w:t xml:space="preserve">局内的设备画面不会自动更改。8．音频输入输出接口：设备支持3.5mm音频输入和3.5mm音频输出功能，可实现无线或有线3.5mm音频输入到设备中，通过3.5mm输出给功放、音响等设备。</w:t>
              <w:br/>
              <w:t xml:space="preserve">9．支持对显示终端进行全屏缩放：通过遥控器APP或屏幕工具栏可控制显示终端的投屏画面缩放显示，达到对文字或重点画面逐步放大的效果，能够对单屏或多屏画面进行最大400%放大。</w:t>
              <w:br/>
              <w:t xml:space="preserve">10．支持批注功能：支持对当前屏幕的批注，系统提供画笔、荧光笔、激光笔进行标注，支持新建空白白板批注书写，空白白板和当前教学内容可一键进行切换。支持批注</w:t>
            </w:r>
            <w:r>
              <w:rPr>
                <w:rFonts w:hint="eastAsia" w:ascii="宋体" w:hAnsi="宋体" w:cs="宋体"/>
                <w:sz w:val="24"/>
                <w:szCs w:val="24"/>
              </w:rPr>
              <w:t xml:space="preserve">内容的撤销、自动清除和一键全部清除功能。</w:t>
              <w:br/>
              <w:t xml:space="preserve">11.存储与图库：存储为用于投屏设备的截屏和录制内容的保存，存储支持U盘和配套的无线网络云盘；图库为用于直接打开浏览截屏的图片和录制的视频内容。</w:t>
              <w:br/>
              <w:t xml:space="preserve">12．支持画面截屏：通过截屏功能，可一键截取当前投屏显示内容画面，通过微信、微博、QQ等第三方应用程序分享发送，并支持存储在U盘或局域网云盘中。</w:t>
              <w:br/>
              <w:t xml:space="preserve">13．一键微课录制：设备支持通过硬件设备上的“录课”按键一键开始录课，也支持通过遥控器APP“录课”按钮一键录课；微课录制支持多画面和外接无线麦克风声音同步录入，支持720P和1</w:t>
            </w:r>
            <w:r>
              <w:rPr>
                <w:rFonts w:hint="eastAsia" w:ascii="宋体" w:hAnsi="宋体" w:cs="宋体"/>
                <w:sz w:val="24"/>
                <w:szCs w:val="24"/>
              </w:rPr>
              <w:t xml:space="preserve">080P格式，录课视频可保存在智能盒子的外接U盘中或通过无线存储到匹配的无线设备硬盘中，支持录制存储空间不足时文字的提醒功能。</w:t>
              <w:br/>
              <w:t xml:space="preserve">14.小组讨论：小组屏通过输入验证码，加入到教师指定的合作组里。小组内的成员，可以把自己的移动终端投射到小组屏上进行展示讲解，可以支持多人设备同时投屏对比讲解，支持同时批注操作。</w:t>
              <w:br/>
              <w:t xml:space="preserve">15．支持UIBC回控操作：支持对HDMI有线接入的电脑、无线投屏的Android、Windows设备进行UIBC回控操作，具有选择开启或关闭功能按钮，可在显示终端大屏触摸回控或通过智能盒子外接鼠标回控。</w:t>
            </w:r>
            <w:r>
              <w:rPr>
                <w:rFonts w:ascii="宋体" w:hAnsi="宋体" w:cs="宋体"/>
                <w:sz w:val="24"/>
                <w:szCs w:val="24"/>
              </w:rPr>
            </w:r>
            <w:r/>
          </w:p>
        </w:tc>
        <w:tc>
          <w:tcPr>
            <w:tcW w:w="706"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457"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35</w:t>
            </w:r>
            <w:r>
              <w:rPr>
                <w:rFonts w:ascii="宋体" w:hAnsi="宋体"/>
                <w:sz w:val="24"/>
                <w:szCs w:val="24"/>
              </w:rPr>
            </w:r>
            <w:r/>
          </w:p>
        </w:tc>
        <w:tc>
          <w:tcPr>
            <w:tcW w:w="712"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主讲端交互系统软件</w:t>
            </w:r>
            <w:r>
              <w:rPr>
                <w:rFonts w:ascii="宋体" w:hAnsi="宋体" w:cs="宋体"/>
                <w:sz w:val="24"/>
                <w:szCs w:val="24"/>
              </w:rPr>
            </w:r>
            <w:r/>
          </w:p>
        </w:tc>
        <w:tc>
          <w:tcPr>
            <w:tcW w:w="6663" w:type="dxa"/>
            <w:vAlign w:val="center"/>
            <w:textDirection w:val="lrTb"/>
            <w:noWrap/>
          </w:tcPr>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1.中英文切换：系统支持简体中文和英文两种语言模式，可快速进行中英文的切换，满足双语教学的要求。</w:t>
              <w:br w:type="textWrapping" w:clear="all"/>
              <w:t xml:space="preserve">▲2.软件遥控器：互动</w:t>
            </w:r>
            <w:r>
              <w:rPr>
                <w:rFonts w:hint="eastAsia" w:ascii="宋体" w:hAnsi="宋体" w:cs="宋体"/>
                <w:sz w:val="24"/>
                <w:szCs w:val="24"/>
              </w:rPr>
              <w:t xml:space="preserve">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16张照片或录制多达16段短视频上传至屏幕显示，亦可将遥控器（手机/平板/电脑端）本地的多达16个文件，上传至屏幕分屏显示。（要求提供产品功能截图上传）</w:t>
              <w:br/>
              <w:t xml:space="preserve">3.屏幕工具条：主要是指对设备进行控制操作的功能按钮区域，用户可直接在触控显示屏上触控操作，也可在设备上连接U</w:t>
            </w:r>
            <w:r>
              <w:rPr>
                <w:rFonts w:hint="eastAsia" w:ascii="宋体" w:hAnsi="宋体" w:cs="宋体"/>
                <w:sz w:val="24"/>
                <w:szCs w:val="24"/>
              </w:rPr>
              <w:t xml:space="preserve">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支持工具条按钮自定义，可以根据自己的教学需求，选择常用的功能按钮显示在工具条上；亦可添加自定义按钮，将某一路信号源显示在工具条上。工具条支持在大屏的左边和右边显示，满足不同习惯的老师教学使用。工具条具有下拉功能，可灵活调整按钮的高度。</w:t>
              <w:br/>
              <w:t xml:space="preserve">4.支持设备的有线接入：</w:t>
            </w:r>
            <w:r>
              <w:rPr>
                <w:rFonts w:hint="eastAsia" w:ascii="宋体" w:hAnsi="宋体" w:cs="宋体"/>
                <w:sz w:val="24"/>
                <w:szCs w:val="24"/>
              </w:rPr>
              <w:t xml:space="preserve">设备具有1路HDMI输入接口，支持电脑、摄像机、</w:t>
            </w:r>
            <w:r>
              <w:rPr>
                <w:rFonts w:hint="eastAsia" w:ascii="宋体" w:hAnsi="宋体" w:cs="宋体"/>
                <w:sz w:val="24"/>
                <w:szCs w:val="24"/>
              </w:rPr>
              <w:t xml:space="preserve">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w:t>
              <w:br/>
              <w:t xml:space="preserve">5.支持三大类公有传输协议投屏：支持Air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w:t>
            </w:r>
            <w:r>
              <w:rPr>
                <w:rFonts w:hint="eastAsia" w:ascii="宋体" w:hAnsi="宋体" w:cs="宋体"/>
                <w:sz w:val="24"/>
                <w:szCs w:val="24"/>
              </w:rPr>
              <w:t xml:space="preserve">要求。</w:t>
              <w:br/>
              <w:t xml:space="preserve">▲6.手写板：支持手写板通过Wifi网络连接到智能云盒，手写板书写笔迹可实时通过智能云盒展示。支持不同手写板的对比模式，1屏、2屏、3屏、4屏、6屏、8屏、9屏、16屏等不同对比模式，允许教师自主选择不同学生手写板上屏展示，支持将已上屏的手写板画面截图保存至U盘或本地硬盘。支持手写板投屏画面旋转、全屏放大、从显示屏幕端直接移除当前学生手写板等操作。支持教师端对学生手写板清除笔迹，学生也可通过书写板上的“清除”按钮，一键清除手写板笔迹。（要求提供产品功能截图上传）</w:t>
              <w:br/>
              <w:t xml:space="preserve">7.音频输入输出接口：设备支持3.5</w:t>
            </w:r>
            <w:r>
              <w:rPr>
                <w:rFonts w:hint="eastAsia" w:ascii="宋体" w:hAnsi="宋体" w:cs="宋体"/>
                <w:sz w:val="24"/>
                <w:szCs w:val="24"/>
              </w:rPr>
              <w:t xml:space="preserve">mm音频输入和3.5mm音频输出功能，可实现无线或有线3.5mm音频输入到设备中，通过3.5mm输出给功放、音响等设备。</w:t>
              <w:br/>
              <w:t xml:space="preserve">▲8.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要求提供产品功能截图上传）</w:t>
              <w:br/>
              <w:t xml:space="preserve">9.多种画面布局显示：支持不少于16个投屏设备同时接入智能云盒，不少于同时16个画面显示，且支持Auto（自适应）画面</w:t>
            </w:r>
            <w:r>
              <w:rPr>
                <w:rFonts w:hint="eastAsia" w:ascii="宋体" w:hAnsi="宋体" w:cs="宋体"/>
                <w:sz w:val="24"/>
                <w:szCs w:val="24"/>
              </w:rPr>
              <w:t xml:space="preserve">、1画面、2画面、3画面、4画面、6画面、8画面、9画面、16画面切换模式，不少于13种默认画面布局方式，画面支持多种对比模式（如均分屏幕、一大一小、一大两小、一大三小、画中画等）；只需一键点击，即可选择相应的布局。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10.投屏终端选择与切换：系统自动对有线接入设备和网络摄像机、无线接入设备、各小组的系统设备、U盘、手写板等设备分类。支持拖拽选择投屏设备的画面，支持对</w:t>
            </w:r>
            <w:r>
              <w:rPr>
                <w:rFonts w:hint="eastAsia" w:ascii="宋体" w:hAnsi="宋体" w:cs="宋体"/>
                <w:sz w:val="24"/>
                <w:szCs w:val="24"/>
              </w:rPr>
              <w:t xml:space="preserve">已连接的设备强行从列表中移除、重命名，并可设置常用设备置顶显示模式。</w:t>
              <w:br/>
              <w:t xml:space="preserve">11.支持对显示画面进行全屏缩放：通过遥控器APP或屏幕工具栏可控制显示终端的投屏画面缩放显示，达到对文字或重点画面逐步放大的效果，能够对单屏或多屏画面进行最大400%放大。</w:t>
              <w:br/>
              <w:t xml:space="preserve">12.批注白板：批注提供选择画笔、激光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w:t>
            </w:r>
            <w:r>
              <w:rPr>
                <w:rFonts w:hint="eastAsia" w:ascii="宋体" w:hAnsi="宋体" w:cs="宋体"/>
                <w:sz w:val="24"/>
                <w:szCs w:val="24"/>
              </w:rPr>
              <w:t xml:space="preserve">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br/>
              <w:t xml:space="preserve">13.支持画面截屏：通过截屏功能，可一键截取当前显示的内容画面，支持通过遥控器APP分享到微信、微博、QQ等第三方应用程序，并支持存储在U盘或本地硬盘上。</w:t>
              <w:br/>
              <w:t xml:space="preserve">14.存储与图库：存储为用于显示内容的截屏和录制视频的保存，存储支持保存在U盘或本地硬盘；图库中可直接浏览截屏的图片和录制的视频内容。</w:t>
              <w:br/>
              <w:t xml:space="preserve">▲15.课堂互动：支</w:t>
            </w:r>
            <w:r>
              <w:rPr>
                <w:rFonts w:hint="eastAsia" w:ascii="宋体" w:hAnsi="宋体" w:cs="宋体"/>
                <w:sz w:val="24"/>
                <w:szCs w:val="24"/>
              </w:rPr>
              <w:t xml:space="preserve">持学生使用手写板、反馈器、微信小程序参与课堂答题互动，手写板与反馈器需要在后台绑定教师授课班级信息，设备与学生学号姓名绑定，便于答题数据的统计。学生可通过微信扫码签到，输入课程ID号，加入教师创建的班级。对于迟到的学生，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w:t>
            </w:r>
            <w:r>
              <w:rPr>
                <w:rFonts w:hint="eastAsia" w:ascii="宋体" w:hAnsi="宋体" w:cs="宋体"/>
                <w:sz w:val="24"/>
                <w:szCs w:val="24"/>
              </w:rPr>
              <w:t xml:space="preserve">之后，答题统计结果以图表形式实时展示。教师可不设置正确答案，让学生再次作答，两次作答结果可进行对比，便于教师了解学生对知识点的掌握情况。可统计整节课的课堂互动数据，生成报告，点击下课。（要求提供产品功能截图上传）</w:t>
              <w:br/>
              <w:t xml:space="preserve">▲16.分组教学：教师上课前，通过创建合作组，并随即生成一个入组验证码；小组屏通过输入验证码，加入到教师指定的合作组里；任何小组屏都可以作为教师端，进行创建和解散合作组。教师可以通过广播功能，把教师端显示内容同步到指定的单个或多个小组屏上。通过切屏功能，可以抓取多个小组屏内容到教师端，进行对比教学</w:t>
            </w:r>
            <w:r>
              <w:rPr>
                <w:rFonts w:hint="eastAsia" w:ascii="宋体" w:hAnsi="宋体" w:cs="宋体"/>
                <w:sz w:val="24"/>
                <w:szCs w:val="24"/>
              </w:rPr>
              <w:t xml:space="preserve">。还可以把任何一个小组屏幕内容，演示到其他指定的单个或多个小组屏上。同时支持教师选择文件资料发送到全部分组或指定的单个或多个分组，实现多样化的分组讨论场景。以上多屏小组互动，支持同时批注操作。支持教师端对分组设备进行管控，包括控制小组屏录制、息屏、唤醒、关机重启、音量调节等操作。（要求提供产品功能截图上传）</w:t>
              <w:br/>
              <w:t xml:space="preserve">17.一键课程录制：设备支持通过硬件设备上的“录制”按键或软件工具栏中的“录制”按钮一键开始录课；课程录制支持多画面和外接麦克风声音同步录入，支持720P和1080P格式，录课视频可保存在智能云盒的外接</w:t>
            </w:r>
            <w:r>
              <w:rPr>
                <w:rFonts w:hint="eastAsia" w:ascii="宋体" w:hAnsi="宋体" w:cs="宋体"/>
                <w:sz w:val="24"/>
                <w:szCs w:val="24"/>
              </w:rPr>
              <w:t xml:space="preserve">U盘或本地硬盘中，支持录制存储空间不足时文字的提醒功能，录制过程中可随时暂停、停止。</w:t>
              <w:br/>
              <w:t xml:space="preserve">18.校园电视台：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br/>
              <w:t xml:space="preserve">19.支持反向控制操作：支持对HDMI有线接入的电脑、无线投屏的</w:t>
            </w:r>
            <w:r>
              <w:rPr>
                <w:rFonts w:hint="eastAsia" w:ascii="宋体" w:hAnsi="宋体" w:cs="宋体"/>
                <w:sz w:val="24"/>
                <w:szCs w:val="24"/>
              </w:rPr>
              <w:t xml:space="preserve">Android、Windows设备进行反向控制操作，具有选择开启或关闭功能按钮，可在显示终端大屏触摸或通过智能云盒外接鼠标以及遥控器软件进行回控。</w:t>
              <w:br/>
              <w:t xml:space="preserve">20.应用程序：支持将第三方应用程序预装到智能云盒，直接在教学主界面即可打开软件运行，通过快捷按钮可完成教学主界面和应用程序主界面的一键切换。</w:t>
              <w:br/>
              <w:t xml:space="preserve">21.推拉流：支持RTMP协议推流，可实时将教学互动终端的画面、声音通过互联网直播，最多可完成16路投屏设备画面同步直播到互联网；同时还可支持拉流观看直播，将远端服务器已有的直播内容，通过教学互动终端进行拉流播放；用户可</w:t>
            </w:r>
            <w:r>
              <w:rPr>
                <w:rFonts w:hint="eastAsia" w:ascii="宋体" w:hAnsi="宋体" w:cs="宋体"/>
                <w:sz w:val="24"/>
                <w:szCs w:val="24"/>
              </w:rPr>
              <w:t xml:space="preserve">预置多个推流、拉流地址。</w:t>
              <w:br/>
              <w:t xml:space="preserve">22.书签：支持添加多个教学平台网页链接保存为书签；课堂中，教师可任意选择一个书签，快速打开平台网页，直接调用网页资源进行授课，可在屏幕端同时展示多达16个书签。</w:t>
              <w:br/>
              <w:t xml:space="preserve">23.扩展屏：支持android和windows系统的移动终端设备安装扩展屏软件，并与智能云盒绑定，即可将智能云盒的视频流画面实时同步到移动终端上。智能云盒可设置选择接收视频流画面，支持:大屏画面、录制直播画面、同步课堂画面等。</w:t>
              <w:br/>
              <w:t xml:space="preserve">24.安全策略：支持设置随机PIN码和固定PIN码，移动端设备无线投屏或使用遥控器APP时均</w:t>
            </w:r>
            <w:r>
              <w:rPr>
                <w:rFonts w:hint="eastAsia" w:ascii="宋体" w:hAnsi="宋体" w:cs="宋体"/>
                <w:sz w:val="24"/>
                <w:szCs w:val="24"/>
              </w:rPr>
              <w:t xml:space="preserve">需输入对应的PIN码；还可支持设置管理员密码和密码提示信息，每次进入“设置”界面均需要输入管理员密码。</w:t>
              <w:br/>
              <w:t xml:space="preserve">25.欢迎主题：智能云盒支持用户自定义添加欢迎主题、欢迎词功能模块。可更换背景、添加文字、图片、分割线、背景音乐等，系统默认提供不小于10种设计模板供便捷选用，个性化的欢迎主题，让教学、会议更加高效便捷。</w:t>
              <w:br/>
              <w:t xml:space="preserve">26.为确保产品的操作便携性、易用性，以上功能参数要求必须为一个产品实现，不得通过多个产品组合拼凑。且系统支持连网自动检查更新，本地升级。</w:t>
              <w:br/>
              <w:t xml:space="preserve">27.“课堂教学互动系统”具有软件产品证书和软件著作权登记证书</w:t>
            </w:r>
            <w:r>
              <w:rPr>
                <w:rFonts w:ascii="宋体" w:hAnsi="宋体" w:cs="宋体"/>
                <w:sz w:val="24"/>
                <w:szCs w:val="24"/>
              </w:rPr>
            </w:r>
            <w:r/>
          </w:p>
        </w:tc>
        <w:tc>
          <w:tcPr>
            <w:tcW w:w="706"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bl>
    <w:p>
      <w:pPr>
        <w:pStyle w:val="653"/>
        <w:spacing w:line="360" w:lineRule="auto"/>
        <w:rPr>
          <w:rFonts w:ascii="宋体" w:hAnsi="宋体" w:cs="宋体"/>
          <w:b/>
          <w:bCs/>
          <w:sz w:val="24"/>
          <w:szCs w:val="24"/>
        </w:rPr>
      </w:pPr>
      <w:r>
        <w:rPr>
          <w:rFonts w:ascii="宋体" w:hAnsi="宋体" w:cs="宋体"/>
          <w:b/>
          <w:bCs/>
          <w:sz w:val="24"/>
          <w:szCs w:val="24"/>
        </w:rPr>
      </w:r>
      <w:r/>
    </w:p>
    <w:p>
      <w:pPr>
        <w:pStyle w:val="653"/>
        <w:spacing w:line="360" w:lineRule="auto"/>
        <w:rPr>
          <w:rFonts w:ascii="宋体" w:hAnsi="宋体" w:cs="宋体"/>
          <w:b/>
          <w:bCs/>
          <w:sz w:val="24"/>
          <w:szCs w:val="24"/>
        </w:rPr>
      </w:pPr>
      <w:r>
        <w:rPr>
          <w:rFonts w:hint="eastAsia" w:ascii="宋体" w:hAnsi="宋体" w:cs="宋体"/>
          <w:b/>
          <w:bCs/>
          <w:sz w:val="24"/>
          <w:szCs w:val="24"/>
        </w:rPr>
        <w:t xml:space="preserve">（二）智慧教室（小）</w:t>
      </w:r>
      <w:r>
        <w:rPr>
          <w:rFonts w:ascii="宋体" w:hAnsi="宋体" w:cs="宋体"/>
          <w:b/>
          <w:bCs/>
          <w:sz w:val="24"/>
          <w:szCs w:val="24"/>
        </w:rPr>
      </w:r>
      <w:r/>
    </w:p>
    <w:tbl>
      <w:tblPr>
        <w:tblW w:w="907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080"/>
        <w:gridCol w:w="6413"/>
        <w:gridCol w:w="457"/>
        <w:gridCol w:w="567"/>
      </w:tblGrid>
      <w:tr>
        <w:trPr>
          <w:trHeight w:val="660"/>
        </w:trPr>
        <w:tc>
          <w:tcPr>
            <w:tcW w:w="562" w:type="dxa"/>
            <w:vAlign w:val="center"/>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080" w:type="dxa"/>
            <w:vAlign w:val="center"/>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品名</w:t>
            </w:r>
            <w:r>
              <w:rPr>
                <w:rFonts w:ascii="宋体" w:hAnsi="宋体" w:cs="宋体"/>
                <w:b/>
                <w:bCs/>
                <w:sz w:val="24"/>
                <w:szCs w:val="24"/>
              </w:rPr>
            </w:r>
            <w:r/>
          </w:p>
        </w:tc>
        <w:tc>
          <w:tcPr>
            <w:tcW w:w="6413" w:type="dxa"/>
            <w:vAlign w:val="center"/>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技术参数</w:t>
            </w:r>
            <w:r>
              <w:rPr>
                <w:rFonts w:ascii="宋体" w:hAnsi="宋体" w:cs="宋体"/>
                <w:b/>
                <w:bCs/>
                <w:sz w:val="24"/>
                <w:szCs w:val="24"/>
              </w:rPr>
            </w:r>
            <w:r/>
          </w:p>
        </w:tc>
        <w:tc>
          <w:tcPr>
            <w:tcW w:w="457" w:type="dxa"/>
            <w:vAlign w:val="center"/>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567" w:type="dxa"/>
            <w:vAlign w:val="center"/>
            <w:textDirection w:val="lrTb"/>
            <w:noWrap w:val="false"/>
          </w:tcPr>
          <w:p>
            <w:pPr>
              <w:pStyle w:val="653"/>
              <w:jc w:val="center"/>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r>
      <w:tr>
        <w:trPr>
          <w:trHeight w:val="660"/>
        </w:trPr>
        <w:tc>
          <w:tcPr>
            <w:tcW w:w="562" w:type="dxa"/>
            <w:vAlign w:val="center"/>
            <w:textDirection w:val="lrTb"/>
            <w:noWrap w:val="false"/>
          </w:tcPr>
          <w:p>
            <w:pPr>
              <w:pStyle w:val="653"/>
              <w:jc w:val="center"/>
              <w:widowControl/>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教师椅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1.靠背:采用一体成型全新PA尼龙+23%玻纤混合塑料背框；椅背顶腰部长410mm,高度270mm,带腰扣3档任意上下40mm幅度调节,腰条宽度为85mm整体贴合人体脊柱骨背部；</w:t>
            </w:r>
            <w:r/>
          </w:p>
          <w:p>
            <w:pPr>
              <w:pStyle w:val="653"/>
              <w:jc w:val="left"/>
              <w:spacing w:line="240" w:lineRule="exact"/>
              <w:widowControl/>
              <w:rPr>
                <w:rFonts w:ascii="宋体" w:hAnsi="宋体"/>
                <w:sz w:val="24"/>
                <w:szCs w:val="24"/>
              </w:rPr>
            </w:pPr>
            <w:r>
              <w:rPr>
                <w:rFonts w:hint="eastAsia" w:ascii="宋体" w:hAnsi="宋体" w:cs="宋体"/>
                <w:sz w:val="24"/>
                <w:szCs w:val="24"/>
              </w:rPr>
              <w:t xml:space="preserve">2.座包为484*480*80mm尺寸大小，内为一次性定型70KG/M3#高密度、高回弹性、定型海绵，带全新PA尼龙座壳长时间外力作用下不易变形，美观。</w:t>
              <w:br w:type="textWrapping" w:clear="all"/>
              <w:t xml:space="preserve">3.面料：配优质环保网布，柔软弹性大，透气性强  背网采用超透气单层网布，韧性强，耐磨度高，耐脏。</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 </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研讨椅 </w:t>
            </w:r>
            <w:r>
              <w:rPr>
                <w:rFonts w:ascii="宋体" w:hAnsi="宋体" w:cs="宋体"/>
                <w:sz w:val="24"/>
                <w:szCs w:val="24"/>
              </w:rPr>
            </w:r>
            <w:r/>
          </w:p>
        </w:tc>
        <w:tc>
          <w:tcPr>
            <w:tcW w:w="6413" w:type="dxa"/>
            <w:vAlign w:val="center"/>
            <w:textDirection w:val="lrTb"/>
            <w:noWrap w:val="false"/>
          </w:tcPr>
          <w:p>
            <w:pPr>
              <w:pStyle w:val="653"/>
              <w:jc w:val="left"/>
              <w:spacing w:line="240" w:lineRule="exact"/>
              <w:rPr>
                <w:rFonts w:ascii="宋体" w:hAnsi="宋体"/>
                <w:sz w:val="24"/>
                <w:szCs w:val="24"/>
              </w:rPr>
            </w:pPr>
            <w:r>
              <w:rPr>
                <w:rFonts w:hint="eastAsia" w:ascii="宋体" w:hAnsi="宋体"/>
                <w:sz w:val="24"/>
                <w:szCs w:val="24"/>
              </w:rPr>
              <w:t xml:space="preserve">背架全新进口PA+玻纤，一体注塑成型，环保防火</w:t>
              <w:br w:type="textWrapping" w:clear="all"/>
              <w:t xml:space="preserve">舒适透气特网，美观耐用</w:t>
              <w:br w:type="textWrapping" w:clear="all"/>
              <w:t xml:space="preserve">靠背倾仰机构设计，有效缓解疲劳</w:t>
              <w:br w:type="textWrapping" w:clear="all"/>
              <w:t xml:space="preserve">座垫采用防阻燃定型海绵，舒适透气 </w:t>
              <w:br w:type="textWrapping" w:clear="all"/>
              <w:t xml:space="preserve">T1.5mm定制异型管，喷涂支架，金属质感，稳固性强，可折叠收纳，PA固定脚垫</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把 </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常态化录播一体机 </w:t>
            </w:r>
            <w:r>
              <w:rPr>
                <w:rFonts w:ascii="宋体" w:hAnsi="宋体" w:cs="宋体"/>
                <w:sz w:val="24"/>
                <w:szCs w:val="24"/>
              </w:rPr>
            </w:r>
            <w:r/>
          </w:p>
        </w:tc>
        <w:tc>
          <w:tcPr>
            <w:tcW w:w="6413" w:type="dxa"/>
            <w:vAlign w:val="center"/>
            <w:textDirection w:val="lrTb"/>
            <w:noWrap w:val="false"/>
          </w:tcPr>
          <w:p>
            <w:pPr>
              <w:pStyle w:val="653"/>
              <w:jc w:val="left"/>
              <w:spacing w:line="240" w:lineRule="exact"/>
              <w:rPr>
                <w:rFonts w:ascii="宋体" w:hAnsi="宋体"/>
                <w:sz w:val="24"/>
                <w:szCs w:val="24"/>
              </w:rPr>
            </w:pPr>
            <w:r>
              <w:rPr>
                <w:rFonts w:hint="eastAsia" w:ascii="宋体" w:hAnsi="宋体"/>
                <w:sz w:val="24"/>
                <w:szCs w:val="24"/>
              </w:rPr>
              <w:t xml:space="preserve">1.要求录播主机采用嵌入式DSP硬件架构设计，支持壁挂式安装，具有可拆卸束线盒；配置ARM双核处理器、Linux系统、≥1TB存储硬盘，支持7*24小时工作。</w:t>
              <w:br w:type="textWrapping" w:clear="all"/>
              <w:t xml:space="preserve">2.要求整机高度一体化，至少支持音视频采集、音视频编码、视频处理、音频处理、直播、录制、互动、参数设置等功能。</w:t>
              <w:br w:type="textWrapping" w:clear="all"/>
              <w:t xml:space="preserve">3.要求配置≥17英寸电容触控液晶屏。</w:t>
            </w:r>
            <w:r>
              <w:rPr>
                <w:rFonts w:ascii="宋体" w:hAnsi="宋体"/>
                <w:sz w:val="24"/>
                <w:szCs w:val="24"/>
              </w:rPr>
            </w:r>
            <w:r/>
          </w:p>
          <w:p>
            <w:pPr>
              <w:pStyle w:val="653"/>
              <w:jc w:val="left"/>
              <w:spacing w:line="240" w:lineRule="exact"/>
              <w:rPr>
                <w:rFonts w:hint="eastAsia" w:ascii="宋体" w:hAnsi="宋体"/>
                <w:sz w:val="24"/>
                <w:szCs w:val="24"/>
              </w:rPr>
            </w:pPr>
            <w:r>
              <w:rPr>
                <w:rFonts w:hint="eastAsia" w:ascii="宋体" w:hAnsi="宋体"/>
                <w:sz w:val="24"/>
                <w:szCs w:val="24"/>
              </w:rPr>
              <w:t xml:space="preserve">▲4.具有五指智能手势识别息屏功能，操作者可在触摸屏任意位置，通过五指按压屏幕实现对屏幕背光的关闭。支持用户设置休眠时间，休眠后触控屏幕可快速唤醒；可选择立即休眠、</w:t>
            </w:r>
            <w:r>
              <w:rPr>
                <w:rFonts w:hint="eastAsia" w:ascii="宋体" w:hAnsi="宋体"/>
                <w:sz w:val="24"/>
                <w:szCs w:val="24"/>
              </w:rPr>
              <w:t xml:space="preserve">一直开启、30秒、1分钟、5分钟、20分钟、50分钟、1小时等。（投标时须提供检测报告原件扫描上传及报告编号在全国认证认可信息公共服务平台的查询截图上传）</w:t>
              <w:br/>
              <w:t xml:space="preserve">5.要求支持≥1路HDMI输入接口，支持≥2路HDMI输出接口，≥1路输出本地画面，≥1路输出合成画面。支持≥4路MIC输入支持幻象供电，≥3路线性输入，≥3路线性输出。支持≥1路凤凰端子RS232控制接口，≥1路debug调试接口。具备≥2路USB3.0接口，支持连接U盘进行课程视频的下载。</w:t>
              <w:br/>
              <w:t xml:space="preserve">6.要求支持5路RJ45网口，其中4路POE网口，集供电、控</w:t>
            </w:r>
            <w:r>
              <w:rPr>
                <w:rFonts w:hint="eastAsia" w:ascii="宋体" w:hAnsi="宋体"/>
                <w:sz w:val="24"/>
                <w:szCs w:val="24"/>
              </w:rPr>
              <w:t xml:space="preserve">制、视频传输于一体。支持摄像机智能组网，摄像机即插即用。</w:t>
              <w:br/>
              <w:t xml:space="preserve">7.视频编码：要求支持H.265和H.264两种视频编码协议，实现更高效率和更好质量的编码技术。</w:t>
              <w:br/>
              <w:t xml:space="preserve">8.要求支持IPV4、IPV6链路地址、IPV6外网地址三个网络地址配置，支持启用DHCP自动获取IP地址。9.无须外接显示设备，用户可直接通过主机查看已录制的视频，支持在主机上直接播放查看录制效果，并可使用U盘拷贝。</w:t>
              <w:br/>
              <w:t xml:space="preserve">10.整机采用耐腐蚀技术处理，需通过符合标准的盐雾试验，试验时间不少于60小时。要求产品通过GB/T 2423.17-2008盐雾实验。</w:t>
            </w:r>
            <w:r/>
          </w:p>
          <w:p>
            <w:pPr>
              <w:pStyle w:val="653"/>
              <w:jc w:val="left"/>
              <w:spacing w:line="240" w:lineRule="exact"/>
              <w:rPr>
                <w:rFonts w:ascii="宋体" w:hAnsi="宋体"/>
                <w:sz w:val="24"/>
                <w:szCs w:val="24"/>
              </w:rPr>
            </w:pPr>
            <w:r>
              <w:rPr>
                <w:rFonts w:hint="eastAsia" w:ascii="宋体" w:hAnsi="宋体"/>
                <w:sz w:val="24"/>
                <w:szCs w:val="24"/>
              </w:rPr>
              <w:t xml:space="preserve">▲11.为避免运输过程中出现碰撞导致设备损坏或内部松动，要求产品通过GB/T 2423.5-2019冲击实验。（投标时须提供检测报告原件扫描上传及报告编号在全国认证认可信息公共服务平台的查询截图上传）</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272"/>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教师定位电子云镜摄像机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硬件部分：</w:t>
              <w:br w:type="textWrapping" w:clear="all"/>
              <w:t xml:space="preserve">1.支持≥830万像素，采用1/2.8英寸CMOS传感器。</w:t>
              <w:br w:type="textWrapping" w:clear="all"/>
              <w:t xml:space="preserve">2.配置4K Sensor和4K镜头,实现高清电子云台效果。</w:t>
              <w:br w:type="textWrapping" w:clear="all"/>
              <w:t xml:space="preserve">3.支持智</w:t>
            </w:r>
            <w:r>
              <w:rPr>
                <w:rFonts w:hint="eastAsia" w:ascii="宋体" w:hAnsi="宋体" w:cs="宋体"/>
                <w:sz w:val="24"/>
                <w:szCs w:val="24"/>
              </w:rPr>
              <w:t xml:space="preserve">能教学跟踪，内置领先的图像识别和跟踪算法，无需任何辅助定位摄像机或跟踪主机即可实现平滑自然的跟踪效果。</w:t>
              <w:br/>
              <w:t xml:space="preserve">4.AF镜头自动对焦无畸变镜头，焦距: f≥8.2mm，水平视场角: ≥40°，数字变焦≥8x。</w:t>
              <w:br/>
              <w:t xml:space="preserve">5.最低照度： 0.5 Lux</w:t>
              <w:br/>
              <w:t xml:space="preserve">6.视频编码：H.265/H.264/MJPEG；视频码率：32Kbps～16384Kbps。</w:t>
              <w:br/>
              <w:t xml:space="preserve">7.音频压缩：AAC/G711A；音频码率：96Kbps、128Kbps。</w:t>
              <w:br/>
              <w:t xml:space="preserve">8.支持四路码流。</w:t>
              <w:br/>
              <w:t xml:space="preserve">▲9.在监视或录像状态下，监视画面无明显缺损，物体移动时画面边缘无明显锯齿、拉毛现象。</w:t>
            </w:r>
            <w:r>
              <w:rPr>
                <w:rFonts w:hint="eastAsia" w:ascii="宋体" w:hAnsi="宋体"/>
                <w:sz w:val="24"/>
                <w:szCs w:val="24"/>
              </w:rPr>
              <w:t xml:space="preserve">（投标时须提供检测报告原件扫描上传及报告编号在全国认证认可信息公共服务平台的查询截图上传）</w:t>
            </w:r>
            <w:r>
              <w:rPr>
                <w:rFonts w:hint="eastAsia" w:ascii="宋体" w:hAnsi="宋体" w:cs="宋体"/>
                <w:sz w:val="24"/>
                <w:szCs w:val="24"/>
              </w:rPr>
              <w:br w:type="textWrapping" w:clear="all"/>
              <w:t xml:space="preserve">▲10.人脸检测功能检验：可对监视画面中出现的人脸进行检测。</w:t>
            </w:r>
            <w:r>
              <w:rPr>
                <w:rFonts w:hint="eastAsia" w:ascii="宋体" w:hAnsi="宋体"/>
                <w:sz w:val="24"/>
                <w:szCs w:val="24"/>
              </w:rPr>
              <w:t xml:space="preserve">（投标时须提供检测报告原件扫描上传及报告编号在全国认证认可信息公共服务平台的查询截图上传）</w:t>
            </w:r>
            <w:r>
              <w:rPr>
                <w:rFonts w:hint="eastAsia" w:ascii="宋体" w:hAnsi="宋体" w:cs="宋体"/>
                <w:sz w:val="24"/>
                <w:szCs w:val="24"/>
              </w:rPr>
              <w:br w:type="textWrapping" w:clear="all"/>
              <w:t xml:space="preserve">11.电子快门：1/30s ~ 1/10000s。</w:t>
              <w:br w:type="textWrapping" w:clear="all"/>
              <w:t xml:space="preserve">12.白平衡：支持自</w:t>
            </w:r>
            <w:r>
              <w:rPr>
                <w:rFonts w:hint="eastAsia" w:ascii="宋体" w:hAnsi="宋体" w:cs="宋体"/>
                <w:sz w:val="24"/>
                <w:szCs w:val="24"/>
              </w:rPr>
              <w:t xml:space="preserve">动、室内、室外、 一键式、手动、指定色温设置。</w:t>
              <w:br/>
              <w:t xml:space="preserve">13.数字降噪：2D, 3D数字降噪</w:t>
              <w:br/>
              <w:t xml:space="preserve">14.支持背光补偿。</w:t>
              <w:br/>
              <w:t xml:space="preserve">15.供电：DC12V、POE、POC。</w:t>
              <w:br/>
              <w:t xml:space="preserve">16.接口：1*3G-SDI，1*USB2.0接口，1*RJ45接口，1*Line in 3芯凤凰口，1路RS485 2芯凤凰口。</w:t>
              <w:br/>
              <w:t xml:space="preserve">▲17.设备采用耐高低温技术处理，通过根据GB/T 2423.1-2008和GB/T 2423.2-2008标准条件和方法下，承受低温-10℃～高温40℃环境，试验时间不少于8小时，设备无异常，确保产品使用的持久性和耐高低温性能。</w:t>
            </w:r>
            <w:r>
              <w:rPr>
                <w:rFonts w:hint="eastAsia" w:ascii="宋体" w:hAnsi="宋体"/>
                <w:sz w:val="24"/>
                <w:szCs w:val="24"/>
              </w:rPr>
              <w:t xml:space="preserve">（投标时须提供检测报告原件扫描上传及报告编号在全国认证认可信息公共服务平台的查询截图上传）</w:t>
            </w:r>
            <w:r>
              <w:rPr>
                <w:rFonts w:hint="eastAsia" w:ascii="宋体" w:hAnsi="宋体" w:cs="宋体"/>
                <w:sz w:val="24"/>
                <w:szCs w:val="24"/>
              </w:rPr>
              <w:br w:type="textWrapping" w:clear="all"/>
              <w:t xml:space="preserve"> 18. 为保证系统兼容性，要求教师定位电子云镜摄像机与常态化录播互动一体机同一品牌。</w:t>
              <w:br w:type="textWrapping" w:clear="all"/>
              <w:t xml:space="preserve">软件部分：</w:t>
            </w:r>
            <w:r>
              <w:rPr>
                <w:rFonts w:hint="eastAsia" w:ascii="宋体" w:hAnsi="宋体" w:cs="宋体"/>
                <w:sz w:val="24"/>
                <w:szCs w:val="24"/>
              </w:rPr>
              <w:br/>
              <w:t xml:space="preserve">1.摄像机管理软件采用B/S架构，支持通用浏览器直接访问进行管理。</w:t>
              <w:br/>
              <w:t xml:space="preserve">2.摄像机内置电子云镜功能，无需其他跟踪辅助设备，通过一台摄像机即可实现教师全景与教师特写的拍摄。</w:t>
              <w:br/>
              <w:t xml:space="preserve">3.全景画面与特写画面采用相同图像传感器和图像处理器，确保两者图像输出亮度、颜色、风格等保持一致。</w:t>
              <w:br/>
              <w:t xml:space="preserve">4.全景景别视频和特写景别视频之间可配置为自动切换模式。</w:t>
              <w:br/>
              <w:t xml:space="preserve">5.支持网络参数设置与修改，支持一键恢复默认参数。</w:t>
              <w:br/>
              <w:t xml:space="preserve">6.支持摄像机图像质量调节功能，包括亮度、对比度、色调、饱和度。</w:t>
              <w:br/>
              <w:t xml:space="preserve">▲7.支持摄像机控制功能，包括电子云台控制、焦距调节、速度控制等。</w:t>
            </w:r>
            <w:r>
              <w:rPr>
                <w:rFonts w:hint="eastAsia" w:ascii="宋体" w:hAnsi="宋体"/>
                <w:sz w:val="24"/>
                <w:szCs w:val="24"/>
              </w:rPr>
              <w:t xml:space="preserve">（投标时须提供检测报告原件扫描上传及报告编号在全国认证认可信息公共服务平台的查询截图上传）</w:t>
            </w:r>
            <w:r>
              <w:rPr>
                <w:rFonts w:hint="eastAsia" w:ascii="宋体" w:hAnsi="宋体" w:cs="宋体"/>
                <w:sz w:val="24"/>
                <w:szCs w:val="24"/>
              </w:rPr>
              <w:br w:type="textWrapping" w:clear="all"/>
              <w:t xml:space="preserve">8.支持交织模式，可实现单摄像头单SDI接口同时输出全景和特写信号。</w:t>
              <w:br w:type="textWrapping" w:clear="all"/>
              <w:t xml:space="preserve">9.支持老师跟踪，单摄像机同时实现全景景别和跟踪特写景别拍摄。</w:t>
              <w:br w:type="textWrapping" w:clear="all"/>
              <w:t xml:space="preserve">10.支持对教师行为的精准检测定位；支持教师行为检测功能；当检测区域内有教师走动，支持对运动中的教师人脸进行检测、跟踪、抓拍。</w:t>
              <w:br w:type="textWrapping" w:clear="all"/>
              <w:t xml:space="preserve">11.全景画面支持畸变矫正功能。</w:t>
              <w:br w:type="textWrapping" w:clear="all"/>
              <w:t xml:space="preserve">▲12.支持人脸检测：支持跟踪；支持背光补偿、宽动态、增益控制、2D/3D降噪等；</w:t>
            </w:r>
            <w:r>
              <w:rPr>
                <w:rFonts w:hint="eastAsia" w:ascii="宋体" w:hAnsi="宋体"/>
                <w:sz w:val="24"/>
                <w:szCs w:val="24"/>
              </w:rPr>
              <w:t xml:space="preserve">（投标时须提供检测报告原件扫描上传及报告编号在全国认证认可信息公共服务平台的查询截图上传）</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学生定位电子云镜摄像机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硬件部分：</w:t>
              <w:br w:type="textWrapping" w:clear="all"/>
              <w:t xml:space="preserve">1.支持≥840万像素，采用1/2.8英寸CMOS传感器。</w:t>
              <w:br w:type="textWrapping" w:clear="all"/>
              <w:t xml:space="preserve">2.配置4K Sensor和4K镜头,实现高清电子云台效果。</w:t>
              <w:br w:type="textWrapping" w:clear="all"/>
              <w:t xml:space="preserve">3.支持智能教学跟踪，内置领先的图像识别和跟踪算法，无需任何辅助定位摄像机或跟踪主机即可实现平滑自然的跟踪效果。</w:t>
              <w:br w:type="textWrapping" w:clear="all"/>
              <w:t xml:space="preserve">4.AF镜头自动对焦无畸变镜头，f≥2.8mm，水平视场角:≥84°，数字变焦≥8x。</w:t>
              <w:br w:type="textWrapping" w:clear="all"/>
              <w:t xml:space="preserve">5.最低照度：不大于0.5 Lux</w:t>
              <w:br w:type="textWrapping" w:clear="all"/>
              <w:t xml:space="preserve">6.视频编码：H.265/H.264/M</w:t>
            </w:r>
            <w:r>
              <w:rPr>
                <w:rFonts w:hint="eastAsia" w:ascii="宋体" w:hAnsi="宋体" w:cs="宋体"/>
                <w:sz w:val="24"/>
                <w:szCs w:val="24"/>
              </w:rPr>
              <w:t xml:space="preserve">JPEG；视频码率：32Kbps～16384Kbps。</w:t>
              <w:br/>
              <w:t xml:space="preserve">7.音频压缩：AAC/G711A；音频码率：96Kbps、128Kbps。</w:t>
              <w:br/>
              <w:t xml:space="preserve">8.支持四路码流。</w:t>
              <w:br/>
              <w:t xml:space="preserve">9.在监视或录像状态下，监视画面无明显缺损，物体移动时画面边缘无明显锯齿、拉毛现象。</w:t>
              <w:br/>
              <w:t xml:space="preserve">10.人脸检测功能检验：可对监视画面中出现的人脸进行检测，进行人脸小图抓拍及上传。</w:t>
              <w:br/>
              <w:t xml:space="preserve">11.电子快门：1/30s ~ 1/10000s。</w:t>
              <w:br/>
              <w:t xml:space="preserve">12.白平衡：支持自动、室内、室外、 一键式、手动、指定色温设置。</w:t>
              <w:br/>
              <w:t xml:space="preserve">13.数字降噪：2D、3D数字降噪</w:t>
              <w:br/>
              <w:t xml:space="preserve">14.要求支持背光补偿。</w:t>
              <w:br/>
              <w:t xml:space="preserve">15.供</w:t>
            </w:r>
            <w:r>
              <w:rPr>
                <w:rFonts w:hint="eastAsia" w:ascii="宋体" w:hAnsi="宋体" w:cs="宋体"/>
                <w:sz w:val="24"/>
                <w:szCs w:val="24"/>
              </w:rPr>
              <w:t xml:space="preserve">电：DC12V、POE、POC。</w:t>
              <w:br/>
              <w:t xml:space="preserve">16.接口：≥1*3G-SDI，≥1*USB2.0接口，≥1*RJ45接口，≥1*Line in 3芯凤凰口，≥1路RS485 2芯凤凰口。 </w:t>
              <w:br/>
              <w:t xml:space="preserve">17.为保证系统兼容性，要求与常态化录播互动一体机同一品牌。</w:t>
              <w:br/>
              <w:t xml:space="preserve">软件部分：</w:t>
              <w:br/>
              <w:t xml:space="preserve">1.摄像机管理软件采用B/S架构，支持通用浏览器直接访问进行管理。</w:t>
              <w:br/>
              <w:t xml:space="preserve">2.摄像机内置电子云镜功能，无需其他跟踪辅助设备，通过一台摄像机即可实现教师全景与教师特写的拍摄。</w:t>
              <w:br/>
              <w:t xml:space="preserve">3.全景景别和特写景别颜色、亮度等保持一致。</w:t>
              <w:br/>
              <w:t xml:space="preserve">4.全景景别视频和特写景别视频之间可配置为自动</w:t>
            </w:r>
            <w:r>
              <w:rPr>
                <w:rFonts w:hint="eastAsia" w:ascii="宋体" w:hAnsi="宋体" w:cs="宋体"/>
                <w:sz w:val="24"/>
                <w:szCs w:val="24"/>
              </w:rPr>
              <w:t xml:space="preserve">切换模式。</w:t>
              <w:br/>
              <w:t xml:space="preserve">5.支持网络参数设置与修改，支持一键恢复默认参数。</w:t>
              <w:br/>
              <w:t xml:space="preserve">6.支持摄像机图像质量调节功能，包括亮度、对比度、色调、饱和度。</w:t>
              <w:br/>
              <w:t xml:space="preserve">7.支持摄像机控制功能，包括电子云台控制、焦距调节等。</w:t>
              <w:br/>
              <w:t xml:space="preserve">8.支持多速度等级的电子云台控制。</w:t>
              <w:br/>
              <w:t xml:space="preserve">9.支持交织模式，可实现单摄像头单SDI接口同时输出全景和特写信号。</w:t>
              <w:br/>
              <w:t xml:space="preserve">10.根据学生远近自动变焦，始终保持合适大小。</w:t>
              <w:br/>
              <w:t xml:space="preserve">11.智能识别单人或者多人起立和坐下动作，并给出单人或者多人的特写定位镜头。</w:t>
              <w:br/>
              <w:t xml:space="preserve">12.可识别站立后的离座走开动作。</w:t>
              <w:br/>
              <w:t xml:space="preserve">13.学生起立、坐下等切换码可通过参数设置界面任意自定义。</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合并式功率放大器</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1、带U盘播放和蓝牙播放，带LCD液晶显示屏，四路音源切换按键（带记忆功能），对线路1/线路2/线路3/（蓝牙/U盘）进行切换；</w:t>
              <w:br w:type="textWrapping" w:clear="all"/>
              <w:t xml:space="preserve">2、带2路有线话筒输入（6.35话筒口，+48V幻像电源可切换）、2路无线话筒输入（1路3.5三芯+1路USB，USB可用于2.4G无线话筒供电）、2组立体声线路输入（RCA*4莲花接口）、1路线路平衡输入（凤凰接口）；</w:t>
              <w:br w:type="textWrapping" w:clear="all"/>
              <w:t xml:space="preserve">3、带2组立体声线路输出（RCA*4莲花接口）、1路线路平衡输出（凤凰接口）；</w:t>
              <w:br w:type="textWrapping" w:clear="all"/>
              <w:t xml:space="preserve">4、带1路RS232控制接口、1路一键静音</w:t>
            </w:r>
            <w:r>
              <w:rPr>
                <w:rFonts w:hint="eastAsia" w:ascii="宋体" w:hAnsi="宋体" w:cs="宋体"/>
                <w:sz w:val="24"/>
                <w:szCs w:val="24"/>
              </w:rPr>
              <w:t xml:space="preserve">控制接口；</w:t>
              <w:br/>
              <w:t xml:space="preserve">5、话筒和线路音量、高/低音独立可调，</w:t>
              <w:br/>
              <w:t xml:space="preserve">6、额定功率(RMS)：≥2×200W  8Ω,≥2×300W  4Ω；</w:t>
              <w:br/>
              <w:t xml:space="preserve">7、总谐波失真：≤1%；</w:t>
              <w:br/>
              <w:t xml:space="preserve">8、线路频率响应：20Hz～20KHz  ±3dB，话筒频率响应：80Hz～16KHz  ±3dB；</w:t>
              <w:br/>
              <w:t xml:space="preserve">9、输入灵敏度：300±30mV线路，60±6mV有线话筒，200±20mV无线话筒；</w:t>
              <w:br/>
              <w:t xml:space="preserve">10、信噪比：≥82dB；</w:t>
              <w:br/>
              <w:t xml:space="preserve">11、电压适应范围：～180V-242V。</w:t>
              <w:br/>
              <w:t xml:space="preserve">12、具备电网电路识别通断保护装置；</w:t>
              <w:br/>
              <w:t xml:space="preserve">13、具备数字式短路保护装置；</w:t>
              <w:br/>
              <w:t xml:space="preserve">14、具备动态限幅保护装置；</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一拖二无线麦克风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1、采用金属机箱，具有坚固的结构、散热及隔离谐波干扰极佳的专业质量。 </w:t>
              <w:br w:type="textWrapping" w:clear="all"/>
              <w:t xml:space="preserve">2、采用天线分集式接收及数字导音，杂音锁定双重静音控制，接收距离远，消除接收断音及不稳的缺失。 </w:t>
              <w:br w:type="textWrapping" w:clear="all"/>
              <w:t xml:space="preserve">3、黑色金属面板，LED段码显示器，可同时显示群组、频率、电池电量、静音位准、电子音量等相关信息；LED灯柱显示RF/AF强度 。</w:t>
              <w:br w:type="textWrapping" w:clear="all"/>
              <w:t xml:space="preserve">4、采用飞梭旋钮</w:t>
            </w:r>
            <w:r>
              <w:rPr>
                <w:rFonts w:hint="eastAsia" w:ascii="宋体" w:hAnsi="宋体" w:cs="宋体"/>
                <w:sz w:val="24"/>
                <w:szCs w:val="24"/>
              </w:rPr>
              <w:t xml:space="preserve">取代传统复杂的按键，操作快速方便。</w:t>
              <w:br/>
              <w:t xml:space="preserve">5、天线座提供强波器偏压，可以连接天线系统，增加接收距离及稳定的接收效果。 </w:t>
              <w:br/>
              <w:t xml:space="preserve">6、载波频段: UHF530-690.000MHZ</w:t>
              <w:br/>
              <w:t xml:space="preserve">7、单机频带宽度 :50 MHz </w:t>
              <w:br/>
              <w:t xml:space="preserve">8、单机频道数量：2000个</w:t>
              <w:br/>
              <w:t xml:space="preserve">9、频率间隔：25KHz</w:t>
              <w:br/>
              <w:t xml:space="preserve">10、灵敏度: -48±3dB</w:t>
              <w:br/>
              <w:t xml:space="preserve">11、综合S/N比 : &gt;100dB(A)</w:t>
              <w:br/>
              <w:t xml:space="preserve">12、指向性频响曲线：300-2000Hz≤-8dB </w:t>
              <w:br/>
              <w:t xml:space="preserve">13、综合T.H.D. :&lt;0.5%@1kHz </w:t>
              <w:br/>
              <w:t xml:space="preserve">14、频率响应 : 65Hz-15kHz  </w:t>
              <w:br/>
              <w:t xml:space="preserve">15、发射器拾音头：动圈式</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千兆交换机（24 口全千兆机架）</w:t>
            </w:r>
            <w:r>
              <w:rPr>
                <w:rFonts w:ascii="宋体" w:hAnsi="宋体" w:cs="宋体"/>
                <w:sz w:val="24"/>
                <w:szCs w:val="24"/>
              </w:rPr>
            </w:r>
            <w:r/>
          </w:p>
        </w:tc>
        <w:tc>
          <w:tcPr>
            <w:tcW w:w="6413" w:type="dxa"/>
            <w:vAlign w:val="center"/>
            <w:textDirection w:val="lrTb"/>
            <w:noWrap w:val="false"/>
          </w:tcPr>
          <w:p>
            <w:pPr>
              <w:pStyle w:val="653"/>
              <w:spacing w:line="240" w:lineRule="exact"/>
              <w:rPr>
                <w:rFonts w:ascii="宋体" w:hAnsi="宋体"/>
                <w:sz w:val="24"/>
                <w:szCs w:val="24"/>
              </w:rPr>
            </w:pPr>
            <w:r>
              <w:rPr>
                <w:rFonts w:hint="eastAsia" w:ascii="宋体" w:hAnsi="宋体"/>
                <w:sz w:val="24"/>
                <w:szCs w:val="24"/>
              </w:rPr>
              <w:t xml:space="preserve">二层非网管交换机，交换容量52Gbps，包转发率38.69Mpps，24口10/100/1000Mbps自适应电门交换机支持POE/POE+，POE功率180W)，固化2个SFP千兆光口，支持云端发现，云端查看设备状态。</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常态化录播互动系统 </w:t>
            </w:r>
            <w:r>
              <w:rPr>
                <w:rFonts w:ascii="宋体" w:hAnsi="宋体" w:cs="宋体"/>
                <w:sz w:val="24"/>
                <w:szCs w:val="24"/>
              </w:rPr>
            </w:r>
            <w:r/>
          </w:p>
        </w:tc>
        <w:tc>
          <w:tcPr>
            <w:tcW w:w="6413" w:type="dxa"/>
            <w:vAlign w:val="center"/>
            <w:textDirection w:val="lrTb"/>
            <w:noWrap w:val="false"/>
          </w:tcPr>
          <w:p>
            <w:pPr>
              <w:pStyle w:val="653"/>
              <w:numPr>
                <w:ilvl w:val="0"/>
                <w:numId w:val="8"/>
              </w:numPr>
              <w:jc w:val="left"/>
              <w:spacing w:line="240" w:lineRule="exact"/>
              <w:widowControl/>
              <w:rPr>
                <w:rFonts w:hint="eastAsia" w:ascii="宋体" w:hAnsi="宋体" w:cs="宋体"/>
                <w:sz w:val="24"/>
                <w:szCs w:val="24"/>
              </w:rPr>
            </w:pPr>
            <w:r>
              <w:rPr>
                <w:rFonts w:hint="eastAsia" w:ascii="宋体" w:hAnsi="宋体" w:cs="宋体"/>
                <w:sz w:val="24"/>
                <w:szCs w:val="24"/>
              </w:rPr>
              <w:t xml:space="preserve">录制模式支持电影模式、资源模式两种，能同时支持1路电影模式加2路资源备份。录制格式支持MP4/FLV/TS。</w:t>
              <w:br w:type="textWrapping" w:clear="all"/>
              <w:t xml:space="preserve">2.支持手指点控模式；导播模式支持视频预览、直播输出监视、视频切换、音频调整等功能。</w:t>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3.支持添加字幕，支持包括系统时间在内的九种预设字幕的设置。可直接通过拖拽实现自定义字幕显示位置。支持设置8种字体大小、6种字体颜色。系统界面自带虚拟软键盘，无需外接USB键盘，即可进行中英文输入及相关操作功能。</w:t>
              <w:br w:type="textWrapping" w:clear="all"/>
              <w:t xml:space="preserve">4.支持查看</w:t>
            </w:r>
            <w:r>
              <w:rPr>
                <w:rFonts w:hint="eastAsia" w:ascii="宋体" w:hAnsi="宋体" w:cs="宋体"/>
                <w:sz w:val="24"/>
                <w:szCs w:val="24"/>
              </w:rPr>
              <w:t xml:space="preserve">软件版本，设备型号，硬件版本，设备编号。</w:t>
              <w:br/>
              <w:t xml:space="preserve">5.提供多种画面布局模式，支持视频画面叠加与组合，包括单画面、双分屏画面、三分屏画面、四分屏画面显示，可直接通过手指触控拖动通道画面实现多分屏布局显示画面的替换。</w:t>
              <w:br/>
              <w:t xml:space="preserve">6.支持片头片尾添加，可以设置插入片头片尾的时间。</w:t>
              <w:br/>
              <w:t xml:space="preserve">7.台标支持4个固定位置，分别为左上、右上、左下、右下，支持手动拖拽移动台标，实现界面任意位置的台标设置。</w:t>
              <w:br/>
              <w:t xml:space="preserve">8.支持上切、下切、左切、右切、渐变等多种切换特效，支持自定义选择≥8种特效切换速度。</w:t>
              <w:br/>
              <w:t xml:space="preserve">9.系统支持摄像机云台控制，可以对摄像机进行变焦、聚焦、上</w:t>
            </w:r>
            <w:r>
              <w:rPr>
                <w:rFonts w:hint="eastAsia" w:ascii="宋体" w:hAnsi="宋体" w:cs="宋体"/>
                <w:sz w:val="24"/>
                <w:szCs w:val="24"/>
              </w:rPr>
              <w:t xml:space="preserve">下左右位置调整以及≥8个预置位的设置，整个过程支持手指触控操作。</w:t>
              <w:br/>
              <w:t xml:space="preserve">10.系统可以进行音量设置，可以采用手指拖动方式控制设备输入输出的音量大小。</w:t>
              <w:br/>
              <w:t xml:space="preserve">11.系统支持循环记录功能，在硬盘存储空间为0时，仍可进行录制，将最早录制的视频文件删除。</w:t>
              <w:br/>
              <w:t xml:space="preserve">12.系统具有推送公网直播功能，并可在设备上自动生成直播二维码，扫描即可观看直播。</w:t>
              <w:br/>
              <w:t xml:space="preserve">▲13.内置互动系统，支持互动列表，列表中可以显示所有与会者的信息；支持互动画面布局的显示，布局支持单分屏，双分屏，三分屏，四分屏显示。互动界面支持显示互动时间、双流、静音、全屏、退出等功能。</w:t>
            </w:r>
            <w:r>
              <w:rPr>
                <w:rFonts w:hint="eastAsia" w:ascii="宋体" w:hAnsi="宋体"/>
                <w:sz w:val="24"/>
                <w:szCs w:val="24"/>
              </w:rPr>
              <w:t xml:space="preserve">（投标时须提供检测报告原件扫描上传及报告编号在全国认证认可信息公共服务平台的查询截图上传）</w:t>
            </w:r>
            <w:r>
              <w:rPr>
                <w:rFonts w:hint="eastAsia" w:ascii="宋体" w:hAnsi="宋体" w:cs="宋体"/>
                <w:sz w:val="24"/>
                <w:szCs w:val="24"/>
              </w:rPr>
              <w:br w:type="textWrapping" w:clear="all"/>
              <w:t xml:space="preserve">14.支持对每个互动房间自动分配短号，可以通过短号直接</w:t>
            </w:r>
            <w:r>
              <w:rPr>
                <w:rFonts w:hint="eastAsia" w:ascii="宋体" w:hAnsi="宋体" w:cs="宋体"/>
                <w:sz w:val="24"/>
                <w:szCs w:val="24"/>
              </w:rPr>
              <w:t xml:space="preserve">实现多个设备间的互动，支持房间加密。</w:t>
              <w:br/>
              <w:t xml:space="preserve">15.授课预监：授课过程中，录播主机屏幕将实时显示授课教室和参与互动的听课教室画面，用户可实时查看授课教室的拍摄效果，及互动教室的听课状态。</w:t>
              <w:br/>
              <w:t xml:space="preserve">▲16.录播系统支持板书同步互动功能，授课过程中支持用户调起白板工具，在大屏上进行板书，板书内容将在听课端实时同步；且支持听课端在大屏上板书，反向实时同步至授课端及其他听课端，实现不同课堂间多方板书的同屏互动书写和显示，真正实现教师在A教室的板书出题，学生在B教室的板书上答题，并将双方在不同地方协同书写的板书内容实时加入互动场景。</w:t>
            </w:r>
            <w:r>
              <w:rPr>
                <w:rFonts w:hint="eastAsia" w:ascii="宋体" w:hAnsi="宋体"/>
                <w:sz w:val="24"/>
                <w:szCs w:val="24"/>
              </w:rPr>
              <w:t xml:space="preserve">（投标时须提供检测报告原件扫描上传及报告编号在全国认证认可信息公共服务平台的查询截图上传）</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多媒体讲台（智能讲台）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1、钢木结合，主体采用1.0-2.0mm冷轧钢材，保证产品耐固性；桌面及背面采用25mm双拼色三聚氰胺板材料；4个桌角采用圆弧化设计，保证安全性，圆弧半径大于100mm</w:t>
            </w:r>
            <w:r>
              <w:rPr>
                <w:rFonts w:hint="eastAsia" w:ascii="宋体" w:hAnsi="宋体" w:cs="宋体"/>
                <w:sz w:val="24"/>
                <w:szCs w:val="24"/>
              </w:rPr>
              <w:t xml:space="preserve">，整体更加圆润、大气。</w:t>
              <w:br/>
              <w:t xml:space="preserve">2、整体尺寸：L*W*H：1000*720*1082mm；其中操作台面高度：850mm。</w:t>
              <w:br/>
              <w:t xml:space="preserve">3、整体通过碰撞、冲击试验系统基本功能正常，结构外观正常。</w:t>
              <w:br/>
              <w:t xml:space="preserve">4、桌面分为显示区域和操作台面两部分；倾斜式设计，可配置显示器设备；显示器底部具有全尺寸键盘收纳空间，便于使用和维护。</w:t>
              <w:br/>
              <w:t xml:space="preserve">5、前挡板采用整体木饰面设计，可以整体拆卸，方便机柜背部维护。整体外形为封闭式设计；侧面具有抬手抓孔。</w:t>
              <w:br/>
              <w:t xml:space="preserve">6、桌面左侧可嵌入21.5吋触摸显示器，嵌入讲桌后无明显缝隙，仰角大于23°，与教室触摸一体机同步显示及互动；右侧</w:t>
            </w:r>
            <w:r>
              <w:rPr>
                <w:rFonts w:hint="eastAsia" w:ascii="宋体" w:hAnsi="宋体" w:cs="宋体"/>
                <w:sz w:val="24"/>
                <w:szCs w:val="24"/>
              </w:rPr>
              <w:t xml:space="preserve">具有中控安装区域，支持中控面板定制开孔。</w:t>
              <w:br/>
              <w:t xml:space="preserve">7、桌面右下立面处，安装笔记本模块，供输入接口：不低于USB3.0 x2、Type-C x1、HDMIx1、网线接口x1；其中HDMI和网线采用抽线式设计，方便笔记本连接。</w:t>
              <w:br/>
              <w:t xml:space="preserve">8、桌面左侧具有隐藏式水杯架1套，右侧上方配置可回弹挂钩1个。</w:t>
              <w:br/>
              <w:t xml:space="preserve">9、桌面下方配置两个抽屉，抽屉可通过机械锁手动开关，标准1U储物空间。</w:t>
              <w:br/>
              <w:t xml:space="preserve">10、桌下内部具有10U机柜和主机放置空间，主机空间大小（深*宽*高）不小于450*250*450mm。机柜可接入第三方设备，机柜内部配置层板均为可滑动式设计。</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交互式智能书写屏(电容单屏)</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1、书写屏的显示尺寸需≥21.5寸；分辨率需≥1920*1080；触摸点数需≥10点；屏幕亮度需≥250cd/㎡。</w:t>
              <w:br w:type="textWrapping" w:clear="all"/>
              <w:t xml:space="preserve">2、书写屏的边框需采用铝合金进行整体包边；表面钢化玻璃需经过防眩光处理，并与屏幕通过全贴合或更好的贴合工艺进行贴合，不得使用框贴工艺，避免后期粉尘、水汽进入屏幕内部影响设备寿命。</w:t>
              <w:br w:type="textWrapping" w:clear="all"/>
              <w:t xml:space="preserve">3、书写屏在高、低温贮存和恒定湿热试验屏幕显示不存在显示不均匀点，亮点、漏光等问题。</w:t>
              <w:br w:type="textWrapping" w:clear="all"/>
              <w:t xml:space="preserve">4、书写屏背部需采用优质冷轧钢材进行封装，表面静电喷塑（黑色），不得有任何直接裸露的电路板器件。</w:t>
              <w:br w:type="textWrapping" w:clear="all"/>
              <w:t xml:space="preserve">5、</w:t>
            </w:r>
            <w:r>
              <w:rPr>
                <w:rFonts w:hint="eastAsia" w:ascii="宋体" w:hAnsi="宋体" w:cs="宋体"/>
                <w:sz w:val="24"/>
                <w:szCs w:val="24"/>
              </w:rPr>
              <w:t xml:space="preserve">书写屏背部需至少具备1路电源接口，1路HDMI输入接口，1路Touch输出口，且Touch输出口需符合传统触屏类产品的规范，统一采用USB-B型母口的形式。</w:t>
              <w:br/>
              <w:t xml:space="preserve">6、书写屏需配置至少1支屏幕书写笔，该书写笔需具备防盗绳设计，可与书写屏或者讲桌桌体进行连接，避免产品使用过程中书写笔错拿和遗失。</w:t>
              <w:br/>
              <w:t xml:space="preserve">7、书写屏需支持抬笔批注功能，支持在电脑桌面状态下，无须点击任何软件按钮，实现抬笔即可进行电子批注的功能，且笔身上需具备橡皮擦按键，按下后自动切换至橡皮擦状态，并对产生的电子批注进行擦除。</w:t>
              <w:br/>
              <w:t xml:space="preserve">8、书写屏需支持手笔分离功能，支</w:t>
            </w:r>
            <w:r>
              <w:rPr>
                <w:rFonts w:hint="eastAsia" w:ascii="宋体" w:hAnsi="宋体" w:cs="宋体"/>
                <w:sz w:val="24"/>
                <w:szCs w:val="24"/>
              </w:rPr>
              <w:t xml:space="preserve">持在电脑桌面状态下，书写笔进行批注或者擦除动作后，无须点击任何软件按钮，实现通过手指直接进行触控操作；当手指操作完毕后，又可通过书写笔直接进行电子批注或擦除，这个过程中无须点击任何软件按钮，教师无须学习任何软件功能，零门槛使用。</w:t>
              <w:br/>
              <w:t xml:space="preserve">9、书写屏需具备Windows窗口导航功能，在导航界面需支持收录和显示Windows系统内当前打开的各类软件和系统窗口的缩略图，至少需包括PPT、EXCEL、Word、图片、视频、视频展台等。教师可在导航窗口内通过点击缩略图即可实现各类资源在屏幕内的快速切换与显示。</w:t>
              <w:br/>
              <w:t xml:space="preserve">10、书写屏需</w:t>
            </w:r>
            <w:r>
              <w:rPr>
                <w:rFonts w:hint="eastAsia" w:ascii="宋体" w:hAnsi="宋体" w:cs="宋体"/>
                <w:sz w:val="24"/>
                <w:szCs w:val="24"/>
              </w:rPr>
              <w:t xml:space="preserve">具备各资源窗口的手势切换功能，在电脑桌面状态下，可通过五指左右横扫动作，实现导航窗口内各个资源前后两个方向的快速循环切换。</w:t>
              <w:br/>
              <w:t xml:space="preserve">11、书写屏需具备虚拟白板功能，支持在导航窗口内一键创建虚拟白板窗口，教师可在虚拟白板窗口直接通过书写笔进行任意书写和圈画操作，且书写完毕后，支持无须点击任何软件按钮，直接通过手指对白板画布进行缩放和漫游操作。</w:t>
              <w:br/>
              <w:t xml:space="preserve">12、书写屏需支持通过手指手动点击屏幕侧边栏的工具按钮，自由设置手指在触控、批注、擦除3个模式内进行切换，实现在书写笔遗失或未使用的情况下，通过手指进行屏幕批注和批注擦除功能。</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指向性话筒</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1.单体:背极式驻极体。</w:t>
              <w:br w:type="textWrapping" w:clear="all"/>
              <w:t xml:space="preserve">2.指向性:心型指向/超心型指向。</w:t>
              <w:br w:type="textWrapping" w:clear="all"/>
              <w:t xml:space="preserve">3.频率响应:50Hz-16kHz。</w:t>
              <w:br w:type="textWrapping" w:clear="all"/>
              <w:t xml:space="preserve">4.灵敏度:-45dB±2dB(0dB=1V/Pa at 1kHz)灵敏度高，失真小，动态范围大。</w:t>
              <w:br w:type="textWrapping" w:clear="all"/>
              <w:t xml:space="preserve">5.输出阻抗:不少于500Ω/1600Ω±30%(at 1kHz)。</w:t>
              <w:br w:type="textWrapping" w:clear="all"/>
              <w:t xml:space="preserve">6.负载阻抗:≥1000Ω。</w:t>
              <w:br w:type="textWrapping" w:clear="all"/>
              <w:t xml:space="preserve">7.使用电压:48V幻象电源。</w:t>
              <w:br w:type="textWrapping" w:clear="all"/>
              <w:t xml:space="preserve">8.清晰的人声拾音。</w:t>
              <w:br w:type="textWrapping" w:clear="all"/>
              <w:t xml:space="preserve">9.幻象电源供电方式。</w:t>
              <w:br w:type="textWrapping" w:clear="all"/>
              <w:t xml:space="preserve">10.内置晶体管放大器。</w:t>
              <w:br w:type="textWrapping" w:clear="all"/>
              <w:t xml:space="preserve">11.配弹簧传输线。</w:t>
              <w:br w:type="textWrapping" w:clear="all"/>
              <w:t xml:space="preserve">12.连接端：XLR三针公卡侬。</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专业音箱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1、额定/峰值功率：≥80W /320 W ； </w:t>
              <w:br w:type="textWrapping" w:clear="all"/>
              <w:t xml:space="preserve">2、额定阻抗：8 Ω；</w:t>
              <w:br w:type="textWrapping" w:clear="all"/>
              <w:t xml:space="preserve">3、特性灵敏度：≥91dB/W/m；</w:t>
              <w:br w:type="textWrapping" w:clear="all"/>
              <w:t xml:space="preserve">4、输出声压级：</w:t>
              <w:br w:type="textWrapping" w:clear="all"/>
              <w:t xml:space="preserve">≥110dB/W/m(Continues)；</w:t>
              <w:br w:type="textWrapping" w:clear="all"/>
              <w:t xml:space="preserve">≥116 dB/W/m(Peak)；</w:t>
              <w:br w:type="textWrapping" w:clear="all"/>
              <w:t xml:space="preserve">5、额定频率范围: 65 - 20000Hz；</w:t>
              <w:br w:type="textWrapping" w:clear="all"/>
              <w:t xml:space="preserve">6、覆盖角度H×V：90 º×90 º；</w:t>
              <w:br w:type="textWrapping" w:clear="all"/>
              <w:t xml:space="preserve">7、扬声器单元：LF:6.5 英寸 ； HF: 1英寸丝膜高音；</w:t>
              <w:br w:type="textWrapping" w:clear="all"/>
              <w:t xml:space="preserve">8、箱体材料：12mm中密度纤维板 ； </w:t>
              <w:br w:type="textWrapping" w:clear="all"/>
              <w:t xml:space="preserve">9、输入接口：压缩式接插座 ； </w:t>
              <w:br w:type="textWrapping" w:clear="all"/>
              <w:t xml:space="preserve">10、吊挂方式： 壁挂安装；</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智慧教室融合终端 </w:t>
            </w:r>
            <w:r>
              <w:rPr>
                <w:rFonts w:ascii="宋体" w:hAnsi="宋体" w:cs="宋体"/>
                <w:sz w:val="24"/>
                <w:szCs w:val="24"/>
              </w:rPr>
            </w:r>
            <w:r/>
          </w:p>
        </w:tc>
        <w:tc>
          <w:tcPr>
            <w:tcW w:w="6413"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1.显示屏采用电容感应式触摸屏设计，屏幕尺寸≥10.1 英寸， 分辨率≥1280*8</w:t>
            </w:r>
            <w:r>
              <w:rPr>
                <w:rFonts w:hint="eastAsia" w:ascii="宋体" w:hAnsi="宋体" w:cs="宋体"/>
                <w:sz w:val="24"/>
                <w:szCs w:val="24"/>
              </w:rPr>
              <w:t xml:space="preserve">00。</w:t>
              <w:br/>
              <w:t xml:space="preserve">2.面板需内置读卡器、扬声器（功率≥2*4W）、 拾音器等功能模块， 且外观为一体化设计。</w:t>
              <w:br/>
              <w:t xml:space="preserve">整机功能</w:t>
              <w:br/>
              <w:t xml:space="preserve">1.面板需内置 Android10 及以上的系统，运行 内存≥2G，EMMC≥16G，主频≥1.6GHz。</w:t>
              <w:br/>
              <w:t xml:space="preserve">2.面板具备刷卡开机功能，支持教师刷卡后，经过权限判定， 直接进入操作界面，并自动打开所有已接入的各类多媒体设备，如教师机电 脑、投影机、幕布等。</w:t>
              <w:br/>
              <w:t xml:space="preserve">3.面板本身至少需具备的接口： RS232≥2 路、 USB≥1 路、 RJ45 网络≥1 路。</w:t>
              <w:br/>
              <w:t xml:space="preserve">4.面板需支持脱离中控主机独立使用，支持单面板即</w:t>
            </w:r>
            <w:r>
              <w:rPr>
                <w:rFonts w:hint="eastAsia" w:ascii="宋体" w:hAnsi="宋体" w:cs="宋体"/>
                <w:sz w:val="24"/>
                <w:szCs w:val="24"/>
              </w:rPr>
              <w:t xml:space="preserve">可直接对投影机、 一体机、教师电脑等 外部设备进行统一控制。</w:t>
              <w:br/>
              <w:t xml:space="preserve">5.面板需具备电脑显示屏内的资源窗口界面， 支持教师通过在中控屏内点击窗口缩略图实现对电脑窗口的快捷切换。</w:t>
              <w:br/>
              <w:t xml:space="preserve">6.面板可自定义信号切换界面上输入输出信号源的名称和数量，并支持选择不用信号源分 别在主副屏上显示，方便用户根据教室实际场 景进行配置。</w:t>
              <w:br/>
              <w:t xml:space="preserve">7.面板支持对控制界面内的信号源数量和信号源名称进行自定义编辑；对不同品牌和类型 的设备进行控制码和发码端口的自定义设置； 支持新增自定义按键，每个按键可配置多个端 口组合发码、中控主机受控电源通断等多命</w:t>
            </w:r>
            <w:r>
              <w:rPr>
                <w:rFonts w:hint="eastAsia" w:ascii="宋体" w:hAnsi="宋体" w:cs="宋体"/>
                <w:sz w:val="24"/>
                <w:szCs w:val="24"/>
              </w:rPr>
              <w:t xml:space="preserve">令的组合设置，对每个发码命令的执行间隔时长和执行顺序可设置。</w:t>
              <w:br/>
              <w:t xml:space="preserve">8.面板的交互界面内需具备视频呼叫按键，并支持在未进行上课开机时仍可一键呼叫至教室管理员，并显示管理员的摄像头画面。</w:t>
              <w:br/>
              <w:t xml:space="preserve">9.支持管理员在校外使用笔记本电脑通过互联网接听管辖教室内各面板发起的视频呼叫请求。</w:t>
              <w:br/>
              <w:t xml:space="preserve">10.面板支持设置长时间无操作自动熄屏，支持对自动熄屏时长进行设置；并且支持设置每 日指定时间段屏幕常亮。</w:t>
              <w:br/>
              <w:t xml:space="preserve">11.面板界面内需具备学校 LOGO 的自定义显示和更换功能。</w:t>
              <w:br/>
              <w:t xml:space="preserve">12.面板支持显示教室内的录播设备的导播画面，并可实现一键开启录播、直播。</w:t>
            </w:r>
            <w:r>
              <w:rPr>
                <w:rFonts w:ascii="宋体" w:hAnsi="宋体" w:cs="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22U 标准机柜 </w:t>
            </w:r>
            <w:r>
              <w:rPr>
                <w:rFonts w:ascii="宋体" w:hAnsi="宋体" w:cs="宋体"/>
                <w:sz w:val="24"/>
                <w:szCs w:val="24"/>
              </w:rPr>
            </w:r>
            <w:r/>
          </w:p>
        </w:tc>
        <w:tc>
          <w:tcPr>
            <w:tcW w:w="6413" w:type="dxa"/>
            <w:vAlign w:val="center"/>
            <w:textDirection w:val="lrTb"/>
            <w:noWrap w:val="false"/>
          </w:tcPr>
          <w:p>
            <w:pPr>
              <w:pStyle w:val="653"/>
              <w:spacing w:line="240" w:lineRule="exact"/>
              <w:rPr>
                <w:rFonts w:ascii="宋体" w:hAnsi="宋体"/>
                <w:sz w:val="24"/>
                <w:szCs w:val="24"/>
              </w:rPr>
            </w:pPr>
            <w:r>
              <w:rPr>
                <w:rFonts w:hint="eastAsia" w:ascii="宋体" w:hAnsi="宋体"/>
                <w:sz w:val="24"/>
                <w:szCs w:val="24"/>
              </w:rPr>
              <w:t xml:space="preserve">标准服务器机柜，SPCC优质冷轧钢板，脱脂、磷化、静电喷涂，支持脚轮移动，托盘*1，散热风扇*1,机架式6口电源插座，容量22U，承重800Kg。</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系统集成(含线材)</w:t>
            </w:r>
            <w:r>
              <w:rPr>
                <w:rFonts w:ascii="宋体" w:hAnsi="宋体" w:cs="宋体"/>
                <w:sz w:val="24"/>
                <w:szCs w:val="24"/>
              </w:rPr>
            </w:r>
            <w:r/>
          </w:p>
        </w:tc>
        <w:tc>
          <w:tcPr>
            <w:tcW w:w="6413" w:type="dxa"/>
            <w:vAlign w:val="center"/>
            <w:textDirection w:val="lrTb"/>
            <w:noWrap w:val="false"/>
          </w:tcPr>
          <w:p>
            <w:pPr>
              <w:pStyle w:val="653"/>
              <w:spacing w:line="240" w:lineRule="exact"/>
              <w:rPr>
                <w:rFonts w:ascii="宋体" w:hAnsi="宋体"/>
                <w:sz w:val="24"/>
                <w:szCs w:val="24"/>
              </w:rPr>
            </w:pPr>
            <w:r>
              <w:rPr>
                <w:rFonts w:hint="eastAsia" w:ascii="宋体" w:hAnsi="宋体"/>
                <w:sz w:val="24"/>
                <w:szCs w:val="24"/>
              </w:rPr>
              <w:t xml:space="preserve">包含设备的安装、调试、测试及使用培训等，主要指大屏，黑板，讲台，桌椅，录播设备的线槽，布线，摄像头，音响，吊麦，红外接收器等设备的安装，强电布线和弱点布线，LED灯的安装，调试。后期整体使用的培训。</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r>
      <w:tr>
        <w:trPr>
          <w:trHeight w:val="660"/>
        </w:trPr>
        <w:tc>
          <w:tcPr>
            <w:tcW w:w="56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W w:w="1080"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研讨桌 </w:t>
            </w:r>
            <w:r>
              <w:rPr>
                <w:rFonts w:ascii="宋体" w:hAnsi="宋体" w:cs="宋体"/>
                <w:sz w:val="24"/>
                <w:szCs w:val="24"/>
              </w:rPr>
            </w:r>
            <w:r/>
          </w:p>
        </w:tc>
        <w:tc>
          <w:tcPr>
            <w:tcW w:w="6413" w:type="dxa"/>
            <w:vAlign w:val="center"/>
            <w:textDirection w:val="lrTb"/>
            <w:noWrap w:val="false"/>
          </w:tcPr>
          <w:p>
            <w:pPr>
              <w:pStyle w:val="653"/>
              <w:spacing w:line="240" w:lineRule="exact"/>
              <w:rPr>
                <w:rFonts w:ascii="宋体" w:hAnsi="宋体"/>
                <w:sz w:val="24"/>
                <w:szCs w:val="24"/>
              </w:rPr>
            </w:pPr>
            <w:r>
              <w:rPr>
                <w:rFonts w:hint="eastAsia" w:ascii="宋体" w:hAnsi="宋体" w:cs="宋体"/>
                <w:sz w:val="24"/>
                <w:szCs w:val="24"/>
              </w:rPr>
              <w:t xml:space="preserve">尺寸：外边1500</w:t>
            </w:r>
            <w:r>
              <w:rPr>
                <w:rFonts w:hint="eastAsia" w:ascii="宋体" w:hAnsi="宋体" w:cs="宋体"/>
                <w:sz w:val="24"/>
                <w:szCs w:val="24"/>
              </w:rPr>
              <w:t xml:space="preserve">m</w:t>
            </w:r>
            <w:r>
              <w:rPr>
                <w:rFonts w:hint="eastAsia" w:ascii="宋体" w:hAnsi="宋体" w:cs="宋体"/>
                <w:sz w:val="24"/>
                <w:szCs w:val="24"/>
              </w:rPr>
              <w:t xml:space="preserve">m</w:t>
            </w:r>
            <w:r>
              <w:rPr>
                <w:rFonts w:hint="eastAsia" w:ascii="宋体" w:hAnsi="宋体" w:cs="宋体"/>
                <w:sz w:val="24"/>
                <w:szCs w:val="24"/>
              </w:rPr>
              <w:t xml:space="preserve">，宽650mm，总长1890</w:t>
              <w:br w:type="textWrapping" w:clear="all"/>
              <w:t xml:space="preserve">材质说明： 1、桌面：用厚25mm不低于E1刨花板，表面贴三聚氰胺，侧边封边工艺，25mm厚板用1.0mm*30mm黑色封边条封边； 2、桌架：1.5mm厚冷轧钢，激光、折边、焊接打磨而成，表面高温静电喷涂 ； 3、桌腿：φ60圆管1.5mm厚冷轧钢立柱，焊接打磨而成，表面高温静电喷涂； 4、材质颜色：饰面颜色白色，型材颜色白色5、配件：桌腿配防滑垫；</w:t>
            </w:r>
            <w:r>
              <w:rPr>
                <w:rFonts w:ascii="宋体" w:hAnsi="宋体"/>
                <w:sz w:val="24"/>
                <w:szCs w:val="24"/>
              </w:rPr>
            </w:r>
            <w:r/>
          </w:p>
        </w:tc>
        <w:tc>
          <w:tcPr>
            <w:tcW w:w="45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W w:w="567" w:type="dxa"/>
            <w:vAlign w:val="center"/>
            <w:textDirection w:val="lrTb"/>
            <w:noWrap w:val="false"/>
          </w:tcPr>
          <w:p>
            <w:pPr>
              <w:pStyle w:val="653"/>
              <w:jc w:val="center"/>
              <w:widowControl/>
              <w:rPr>
                <w:rFonts w:ascii="宋体" w:hAnsi="宋体" w:cs="宋体"/>
                <w:sz w:val="24"/>
                <w:szCs w:val="24"/>
              </w:rPr>
            </w:pPr>
            <w:r>
              <w:rPr>
                <w:rFonts w:hint="eastAsia" w:ascii="宋体" w:hAnsi="宋体" w:cs="宋体"/>
                <w:sz w:val="24"/>
                <w:szCs w:val="24"/>
              </w:rPr>
              <w:t xml:space="preserve">张 </w:t>
            </w:r>
            <w:r>
              <w:rPr>
                <w:rFonts w:ascii="宋体" w:hAnsi="宋体" w:cs="宋体"/>
                <w:sz w:val="24"/>
                <w:szCs w:val="24"/>
              </w:rPr>
            </w:r>
            <w:r/>
          </w:p>
        </w:tc>
      </w:tr>
    </w:tbl>
    <w:p>
      <w:pPr>
        <w:pStyle w:val="653"/>
        <w:spacing w:line="360" w:lineRule="auto"/>
        <w:rPr>
          <w:rFonts w:hint="eastAsia" w:ascii="宋体" w:hAnsi="宋体" w:cs="宋体"/>
          <w:b/>
          <w:bCs/>
          <w:sz w:val="24"/>
          <w:szCs w:val="24"/>
        </w:rPr>
      </w:pPr>
      <w:r>
        <w:rPr>
          <w:rFonts w:hint="eastAsia" w:ascii="宋体" w:hAnsi="宋体" w:cs="宋体"/>
          <w:b/>
          <w:bCs/>
          <w:sz w:val="24"/>
          <w:szCs w:val="24"/>
        </w:rPr>
      </w:r>
      <w:r/>
    </w:p>
    <w:p>
      <w:pPr>
        <w:pStyle w:val="666"/>
        <w:rPr>
          <w:rFonts w:hint="eastAsia"/>
        </w:rPr>
      </w:pPr>
      <w:r>
        <w:rPr>
          <w:rFonts w:hint="eastAsia"/>
        </w:rPr>
      </w:r>
      <w:r/>
    </w:p>
    <w:p>
      <w:pPr>
        <w:pStyle w:val="653"/>
      </w:pPr>
      <w:r/>
      <w:r/>
    </w:p>
    <w:p>
      <w:pPr>
        <w:pStyle w:val="653"/>
        <w:spacing w:line="360" w:lineRule="auto"/>
        <w:rPr>
          <w:rFonts w:ascii="宋体" w:hAnsi="宋体" w:cs="宋体"/>
          <w:b/>
          <w:bCs/>
          <w:sz w:val="24"/>
          <w:szCs w:val="24"/>
        </w:rPr>
      </w:pPr>
      <w:r>
        <w:rPr>
          <w:rFonts w:hint="eastAsia" w:ascii="宋体" w:hAnsi="宋体" w:cs="宋体"/>
          <w:b/>
          <w:bCs/>
          <w:sz w:val="24"/>
          <w:szCs w:val="24"/>
        </w:rPr>
        <w:t xml:space="preserve">（三）婴幼儿行为观察室</w:t>
      </w:r>
      <w:r>
        <w:rPr>
          <w:rFonts w:ascii="宋体" w:hAnsi="宋体" w:cs="宋体"/>
          <w:b/>
          <w:bCs/>
          <w:sz w:val="24"/>
          <w:szCs w:val="24"/>
        </w:rPr>
      </w:r>
      <w:r/>
    </w:p>
    <w:tbl>
      <w:tblPr>
        <w:tblW w:w="9067" w:type="dxa"/>
        <w:tblInd w:w="113" w:type="dxa"/>
        <w:tblLayout w:type="fixed"/>
        <w:tblCellMar>
          <w:left w:w="108" w:type="dxa"/>
          <w:top w:w="0" w:type="dxa"/>
          <w:right w:w="108" w:type="dxa"/>
          <w:bottom w:w="0" w:type="dxa"/>
        </w:tblCellMar>
        <w:tblLook w:val="04A0" w:firstRow="1" w:lastRow="0" w:firstColumn="1" w:lastColumn="0" w:noHBand="0" w:noVBand="1"/>
      </w:tblPr>
      <w:tblGrid>
        <w:gridCol w:w="562"/>
        <w:gridCol w:w="1180"/>
        <w:gridCol w:w="6191"/>
        <w:gridCol w:w="567"/>
        <w:gridCol w:w="567"/>
      </w:tblGrid>
      <w:tr>
        <w:trPr>
          <w:trHeight w:val="660"/>
        </w:trPr>
        <w:tc>
          <w:tcPr>
            <w:tcBorders>
              <w:top w:val="single" w:color="000000" w:sz="4" w:space="0"/>
              <w:left w:val="single" w:color="000000" w:sz="4" w:space="0"/>
              <w:bottom w:val="none" w:color="000000" w:sz="4" w:space="0"/>
              <w:right w:val="single" w:color="000000" w:sz="4" w:space="0"/>
            </w:tcBorders>
            <w:tcW w:w="562"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Borders>
              <w:top w:val="single" w:color="000000" w:sz="4" w:space="0"/>
              <w:left w:val="none" w:color="000000" w:sz="4" w:space="0"/>
              <w:bottom w:val="non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品名</w:t>
            </w:r>
            <w:r>
              <w:rPr>
                <w:rFonts w:ascii="宋体" w:hAnsi="宋体" w:cs="宋体"/>
                <w:b/>
                <w:bCs/>
                <w:sz w:val="24"/>
                <w:szCs w:val="24"/>
              </w:rPr>
            </w:r>
            <w:r/>
          </w:p>
        </w:tc>
        <w:tc>
          <w:tcPr>
            <w:tcBorders>
              <w:top w:val="single" w:color="000000" w:sz="4" w:space="0"/>
              <w:left w:val="none" w:color="000000" w:sz="4" w:space="0"/>
              <w:bottom w:val="none" w:color="000000" w:sz="4" w:space="0"/>
              <w:right w:val="single" w:color="000000" w:sz="4" w:space="0"/>
            </w:tcBorders>
            <w:tcW w:w="6191"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技术参数</w:t>
            </w:r>
            <w:r>
              <w:rPr>
                <w:rFonts w:ascii="宋体" w:hAnsi="宋体" w:cs="宋体"/>
                <w:b/>
                <w:bCs/>
                <w:sz w:val="24"/>
                <w:szCs w:val="24"/>
              </w:rPr>
            </w:r>
            <w:r/>
          </w:p>
        </w:tc>
        <w:tc>
          <w:tcPr>
            <w:tcBorders>
              <w:top w:val="single" w:color="000000" w:sz="4" w:space="0"/>
              <w:left w:val="none" w:color="000000" w:sz="4" w:space="0"/>
              <w:bottom w:val="non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Borders>
              <w:top w:val="single" w:color="000000" w:sz="4" w:space="0"/>
              <w:left w:val="none" w:color="000000" w:sz="4" w:space="0"/>
              <w:bottom w:val="non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r>
      <w:tr>
        <w:trPr>
          <w:trHeight w:val="66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儿童布艺沙发</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一套为4个、实木框架、外围尺寸≥61*36*56cm，内部填充为中密度环保海绵沙发</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儿童小茶几</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颜色白，复合板材，尺寸≥45*45*43cm</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观察桌</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尺寸：1300*50*750mm</w:t>
              <w:br w:type="textWrapping" w:clear="all"/>
              <w:t xml:space="preserve">1）台面板 采用优质高密度刨花板（三聚氰胺板），符合国家E1级板材标准，台面厚度25mm，挡板厚度15mm,面粘三聚氰胺胶面，PVC胶边，耐磨防污。</w:t>
              <w:br w:type="textWrapping" w:clear="all"/>
              <w:t xml:space="preserve">2)台面托架: 采用优质冷轧钢板经冲压折弯工艺一体而成，长280</w:t>
            </w:r>
            <w:r>
              <w:rPr>
                <w:rFonts w:hint="eastAsia" w:ascii="宋体" w:hAnsi="宋体" w:cs="宋体"/>
                <w:sz w:val="24"/>
                <w:szCs w:val="24"/>
              </w:rPr>
              <w:t xml:space="preserve">mm</w:t>
            </w:r>
            <w:r>
              <w:rPr>
                <w:rFonts w:hint="eastAsia" w:ascii="宋体" w:hAnsi="宋体" w:cs="宋体"/>
                <w:sz w:val="24"/>
                <w:szCs w:val="24"/>
              </w:rPr>
              <w:t xml:space="preserve">*宽30</w:t>
            </w:r>
            <w:r>
              <w:rPr>
                <w:rFonts w:hint="eastAsia" w:ascii="宋体" w:hAnsi="宋体" w:cs="宋体"/>
                <w:sz w:val="24"/>
                <w:szCs w:val="24"/>
              </w:rPr>
              <w:t xml:space="preserve">mm</w:t>
            </w:r>
            <w:r>
              <w:rPr>
                <w:rFonts w:hint="eastAsia" w:ascii="宋体" w:hAnsi="宋体" w:cs="宋体"/>
                <w:sz w:val="24"/>
                <w:szCs w:val="24"/>
              </w:rPr>
              <w:t xml:space="preserve">材料壁厚3.0</w:t>
            </w:r>
            <w:r>
              <w:rPr>
                <w:rFonts w:hint="eastAsia" w:ascii="宋体" w:hAnsi="宋体" w:cs="宋体"/>
                <w:sz w:val="24"/>
                <w:szCs w:val="24"/>
              </w:rPr>
              <w:t xml:space="preserve">mm</w:t>
            </w:r>
            <w:r>
              <w:rPr>
                <w:rFonts w:hint="eastAsia" w:ascii="宋体" w:hAnsi="宋体" w:cs="宋体"/>
                <w:sz w:val="24"/>
                <w:szCs w:val="24"/>
              </w:rPr>
              <w:t xml:space="preserve">。</w:t>
              <w:br w:type="textWrapping" w:clear="all"/>
              <w:t xml:space="preserve">3) 侧脚 前脚管采用25MM*50MM</w:t>
            </w:r>
            <w:r>
              <w:rPr>
                <w:rFonts w:hint="eastAsia" w:ascii="宋体" w:hAnsi="宋体" w:cs="宋体"/>
                <w:sz w:val="24"/>
                <w:szCs w:val="24"/>
              </w:rPr>
              <w:t xml:space="preserve">优质冷轧钢管</w:t>
            </w:r>
            <w:r>
              <w:rPr>
                <w:rFonts w:hint="eastAsia" w:ascii="宋体" w:hAnsi="宋体" w:cs="宋体"/>
                <w:sz w:val="24"/>
                <w:szCs w:val="24"/>
              </w:rPr>
              <w:t xml:space="preserve">，后脚管采用25</w:t>
            </w:r>
            <w:r>
              <w:rPr>
                <w:rFonts w:hint="eastAsia" w:ascii="宋体" w:hAnsi="宋体" w:cs="宋体"/>
                <w:sz w:val="24"/>
                <w:szCs w:val="24"/>
              </w:rPr>
              <w:t xml:space="preserve">mm</w:t>
            </w:r>
            <w:r>
              <w:rPr>
                <w:rFonts w:hint="eastAsia" w:ascii="宋体" w:hAnsi="宋体" w:cs="宋体"/>
                <w:sz w:val="24"/>
                <w:szCs w:val="24"/>
              </w:rPr>
              <w:t xml:space="preserve">*50</w:t>
            </w:r>
            <w:r>
              <w:rPr>
                <w:rFonts w:hint="eastAsia" w:ascii="宋体" w:hAnsi="宋体" w:cs="宋体"/>
                <w:sz w:val="24"/>
                <w:szCs w:val="24"/>
              </w:rPr>
              <w:t xml:space="preserve">mm</w:t>
            </w:r>
            <w:r>
              <w:rPr>
                <w:rFonts w:hint="eastAsia" w:ascii="宋体" w:hAnsi="宋体" w:cs="宋体"/>
                <w:sz w:val="24"/>
                <w:szCs w:val="24"/>
              </w:rPr>
              <w:t xml:space="preserve">优质冷轧钢管，前后脚跨度540</w:t>
            </w:r>
            <w:r>
              <w:rPr>
                <w:rFonts w:hint="eastAsia" w:ascii="宋体" w:hAnsi="宋体" w:cs="宋体"/>
                <w:sz w:val="24"/>
                <w:szCs w:val="24"/>
              </w:rPr>
              <w:t xml:space="preserve">mm</w:t>
            </w:r>
            <w:r>
              <w:rPr>
                <w:rFonts w:hint="eastAsia" w:ascii="宋体" w:hAnsi="宋体" w:cs="宋体"/>
                <w:sz w:val="24"/>
                <w:szCs w:val="24"/>
              </w:rPr>
              <w:t xml:space="preserve">,壁厚1.2</w:t>
            </w:r>
            <w:r>
              <w:rPr>
                <w:rFonts w:hint="eastAsia" w:ascii="宋体" w:hAnsi="宋体" w:cs="宋体"/>
                <w:sz w:val="24"/>
                <w:szCs w:val="24"/>
              </w:rPr>
              <w:t xml:space="preserve">mm</w:t>
            </w:r>
            <w:r>
              <w:rPr>
                <w:rFonts w:hint="eastAsia" w:ascii="宋体" w:hAnsi="宋体" w:cs="宋体"/>
                <w:sz w:val="24"/>
                <w:szCs w:val="24"/>
              </w:rPr>
              <w:t xml:space="preserve">。</w:t>
              <w:br w:type="textWrapping" w:clear="all"/>
              <w:t xml:space="preserve">4)横梁 采用优质φ50</w:t>
            </w:r>
            <w:r>
              <w:rPr>
                <w:rFonts w:hint="eastAsia" w:ascii="宋体" w:hAnsi="宋体" w:cs="宋体"/>
                <w:sz w:val="24"/>
                <w:szCs w:val="24"/>
              </w:rPr>
              <w:t xml:space="preserve">mm</w:t>
            </w:r>
            <w:r>
              <w:rPr>
                <w:rFonts w:hint="eastAsia" w:ascii="宋体" w:hAnsi="宋体" w:cs="宋体"/>
                <w:sz w:val="24"/>
                <w:szCs w:val="24"/>
              </w:rPr>
              <w:t xml:space="preserve">圆形冷轧钢管，壁厚1.2</w:t>
            </w:r>
            <w:r>
              <w:rPr>
                <w:rFonts w:hint="eastAsia" w:ascii="宋体" w:hAnsi="宋体" w:cs="宋体"/>
                <w:sz w:val="24"/>
                <w:szCs w:val="24"/>
              </w:rPr>
              <w:t xml:space="preserve">mm</w:t>
            </w:r>
            <w:r>
              <w:rPr>
                <w:rFonts w:hint="eastAsia" w:ascii="宋体" w:hAnsi="宋体" w:cs="宋体"/>
                <w:sz w:val="24"/>
                <w:szCs w:val="24"/>
              </w:rPr>
              <w:t xml:space="preserve">。</w:t>
              <w:br w:type="textWrapping" w:clear="all"/>
              <w:t xml:space="preserve">5）书网: 采用优质φ14</w:t>
            </w:r>
            <w:r>
              <w:rPr>
                <w:rFonts w:hint="eastAsia" w:ascii="宋体" w:hAnsi="宋体" w:cs="宋体"/>
                <w:sz w:val="24"/>
                <w:szCs w:val="24"/>
              </w:rPr>
              <w:t xml:space="preserve">mm</w:t>
            </w:r>
            <w:r>
              <w:rPr>
                <w:rFonts w:hint="eastAsia" w:ascii="宋体" w:hAnsi="宋体" w:cs="宋体"/>
                <w:sz w:val="24"/>
                <w:szCs w:val="24"/>
              </w:rPr>
              <w:t xml:space="preserve">圆管 厚度为（0.8mm)经塑料件与圆管组合成型。</w:t>
              <w:br w:type="textWrapping" w:clear="all"/>
              <w:t xml:space="preserve">6)外观设计:架子经防锈防静电喷涂处理，台架有旋钮折叠装置，脚轮采用φ60</w:t>
            </w:r>
            <w:r>
              <w:rPr>
                <w:rFonts w:hint="eastAsia" w:ascii="宋体" w:hAnsi="宋体" w:cs="宋体"/>
                <w:sz w:val="24"/>
                <w:szCs w:val="24"/>
              </w:rPr>
              <w:t xml:space="preserve">mm</w:t>
            </w:r>
            <w:r>
              <w:rPr>
                <w:rFonts w:hint="eastAsia" w:ascii="宋体" w:hAnsi="宋体" w:cs="宋体"/>
                <w:sz w:val="24"/>
                <w:szCs w:val="24"/>
              </w:rPr>
              <w:t xml:space="preserve"> PU万向脚轮带刹车，造型美观大方，有现代特色</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儿童桌椅</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桌子：产品规格：1200mm*600mm*550mm（长×宽×高），椅子高28cm；2、技术执行标准：按照GB/T3326-2016木家具标准执行；3、产品材质：松木木质；4、结构榫卯结构；5</w:t>
            </w:r>
            <w:r>
              <w:rPr>
                <w:rFonts w:hint="eastAsia" w:ascii="宋体" w:hAnsi="宋体" w:cs="宋体"/>
                <w:sz w:val="24"/>
                <w:szCs w:val="24"/>
              </w:rPr>
              <w:t xml:space="preserve">、</w:t>
            </w:r>
            <w:r>
              <w:rPr>
                <w:rFonts w:hint="eastAsia" w:ascii="宋体" w:hAnsi="宋体" w:cs="宋体"/>
                <w:sz w:val="24"/>
                <w:szCs w:val="24"/>
              </w:rPr>
              <w:t xml:space="preserve">粘接剂；无异味表面涂层不退色，不易刮伤；6、油漆参数：采用优质环保聚酯漆，漆膜光泽均匀。7、3底2面油饰工艺；10、棱角打磨光滑。1桌6椅。</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培训椅</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可折叠，钢制脚，用于观摩</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48</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把</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文件柜</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规格：880W*400D*1800H</w:t>
            </w:r>
            <w:r>
              <w:rPr>
                <w:rFonts w:hint="eastAsia" w:ascii="宋体" w:hAnsi="宋体" w:cs="宋体"/>
                <w:sz w:val="24"/>
                <w:szCs w:val="24"/>
              </w:rPr>
              <w:t xml:space="preserve">；采用冷轧钢，钢板厚</w:t>
            </w:r>
            <w:r>
              <w:rPr>
                <w:rFonts w:hint="eastAsia" w:ascii="宋体" w:hAnsi="宋体" w:cs="宋体"/>
                <w:sz w:val="24"/>
                <w:szCs w:val="24"/>
              </w:rPr>
              <w:t xml:space="preserve">0.6</w:t>
            </w:r>
            <w:r>
              <w:rPr>
                <w:rFonts w:hint="eastAsia" w:ascii="宋体" w:hAnsi="宋体" w:cs="宋体"/>
                <w:sz w:val="24"/>
                <w:szCs w:val="24"/>
              </w:rPr>
              <w:t xml:space="preserve">mm</w:t>
            </w:r>
            <w:r>
              <w:rPr>
                <w:rFonts w:hint="eastAsia" w:ascii="宋体" w:hAnsi="宋体" w:cs="宋体"/>
                <w:sz w:val="24"/>
                <w:szCs w:val="24"/>
              </w:rPr>
              <w:t xml:space="preserve">；</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玩具柜</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规格：≧88*40*180cm；采用木质板材，根据现场定制,含书架、玩具柜</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儿童寝具</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尺寸：四层床从高到低尺寸分别为：</w:t>
              <w:br w:type="textWrapping" w:clear="all"/>
              <w:t xml:space="preserve">150*65*112cm</w:t>
              <w:br w:type="textWrapping" w:clear="all"/>
              <w:t xml:space="preserve">13</w:t>
            </w:r>
            <w:r>
              <w:rPr>
                <w:rFonts w:hint="eastAsia" w:ascii="宋体" w:hAnsi="宋体" w:cs="宋体"/>
                <w:sz w:val="24"/>
                <w:szCs w:val="24"/>
              </w:rPr>
              <w:t xml:space="preserve">8*63*85cm</w:t>
              <w:br/>
              <w:t xml:space="preserve">127*63*57cm</w:t>
              <w:br/>
              <w:t xml:space="preserve">116*63*30cm</w:t>
              <w:br/>
              <w:t xml:space="preserve">1.立柱采用优质无结巴50*40mm橡胶木，四周床侧使用16mm厚度 别橡胶木实木板，床板采用9mm多层板。表面枫木纹饰面耐磨、耐污、耐划伤、易清洁。边缘使用环保木蜡油两底两面处理</w:t>
              <w:br/>
              <w:t xml:space="preserve">2. 五金件选用环保五金、安全无毒。当床拉出使用，床与床之间设置有插销装置，用于床体之间的固定；每层抽屉床的底部均配以4个TPE材质滑轮，方便移动及固定。</w:t>
              <w:br/>
              <w:t xml:space="preserve">3.整体边角安全防撞设计，对所有外露面、外露角进行弧状倒角设计，避免锐角产生，最大程度的避免儿童碰撞伤害</w:t>
              <w:br/>
            </w:r>
            <w:r>
              <w:rPr>
                <w:rFonts w:hint="eastAsia" w:ascii="宋体" w:hAnsi="宋体" w:cs="宋体"/>
                <w:sz w:val="24"/>
                <w:szCs w:val="24"/>
              </w:rPr>
              <w:t xml:space="preserve">4.</w:t>
            </w:r>
            <w:r>
              <w:rPr>
                <w:rFonts w:hint="eastAsia" w:ascii="宋体" w:hAnsi="宋体" w:cs="宋体"/>
                <w:sz w:val="24"/>
                <w:szCs w:val="24"/>
              </w:rPr>
              <w:t xml:space="preserve">整体甲醛释放量符合</w:t>
            </w:r>
            <w:r>
              <w:rPr>
                <w:rFonts w:hint="eastAsia" w:ascii="宋体" w:hAnsi="宋体" w:cs="宋体"/>
                <w:sz w:val="24"/>
                <w:szCs w:val="24"/>
              </w:rPr>
              <w:t xml:space="preserve">GB18584-2001《室内装饰装修材料 木家具中有害物质限量》的要求</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单向玻璃</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≥L6000mm×H1200mm×10mm单向透视钢化玻璃，双层隔音处理，提升隔音效果</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面</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color w:val="000000"/>
                <w:sz w:val="24"/>
                <w:szCs w:val="24"/>
              </w:rPr>
              <w:t xml:space="preserve">86 寸</w:t>
            </w:r>
            <w:r>
              <w:rPr>
                <w:rFonts w:hint="eastAsia" w:ascii="宋体" w:hAnsi="宋体" w:cs="宋体"/>
                <w:color w:val="000000"/>
                <w:sz w:val="24"/>
                <w:szCs w:val="24"/>
              </w:rPr>
              <w:t xml:space="preserve">智能</w:t>
            </w:r>
            <w:r>
              <w:rPr>
                <w:rFonts w:ascii="宋体" w:hAnsi="宋体" w:cs="宋体"/>
                <w:color w:val="000000"/>
                <w:sz w:val="24"/>
                <w:szCs w:val="24"/>
              </w:rPr>
              <w:t xml:space="preserve">交互平板</w:t>
            </w:r>
            <w:r>
              <w:rPr>
                <w:rFonts w:hint="eastAsia" w:ascii="宋体" w:hAnsi="宋体" w:cs="宋体"/>
                <w:color w:val="000000"/>
                <w:sz w:val="24"/>
                <w:szCs w:val="24"/>
              </w:rPr>
              <w:t xml:space="preserve">（含 PC 模块、移动支架</w:t>
            </w:r>
            <w:r>
              <w:rPr>
                <w:rFonts w:hint="eastAsia" w:ascii="宋体" w:hAnsi="宋体" w:cs="宋体"/>
                <w:sz w:val="24"/>
                <w:szCs w:val="24"/>
              </w:rPr>
              <w:t xml:space="preserve">）</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1.智能交互平板显示尺寸≧85英寸，分辨率：3840*2160 ，采用红外触控技术，在双系统下均支持20点同时触控及书写</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2.交互平板表面玻璃采用高强度钢化玻璃，硬度可达莫氏7级，高于石墨1-9H硬度；</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3.智能交互平板显示部分需采用高色域覆盖技术，NTSC色域标准下覆盖率不低于85%</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4.为方便外接信号源的输入，设备至少1路前置HDMI接口（非转接），3路前置USB3.0接口</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5.为方便用户外接拓展设备，整机标配VGA输入接口≥1路</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6.交互平板具有通屏笔槽结构，可放置书写笔、粉笔、水性笔等（须提供检测报告原件扫描上传）</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7.为方便用户进行各类设置和操作，设备前置按键不少于8个，可实现音量加减、窗口关闭、触控开关等功能，且每个按键不少于两种以上功能。</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8.前面板具有标识的天线模块，包含 2.4G 、5G双频 Wifi及蓝牙接发装置，保证信号使用稳定性（须提供检测报告原件扫描上传）</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9.无需打开智能平板背板，前置接口面板和前置按键面板支持单独前拆</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10.前置U盘接口采用隐藏式设计，具有翻转式防护盖板，高度不少于4cm</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11.2.0声道音箱，采用针孔阵列发声设计，2个前置15W中高音音箱，且为保证高人声还原度，谐振频率低于300Hz；</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12.采用物理减滤蓝光设计，无需其他操作即可实现防蓝光，且设备具备智能护眼组合功能，通过扫描设备自带的二维码可获取检测机构的认证证书。</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13.为满足教学场景使用需求，支持不少于3种方式进行屏幕下移，屏幕下移后仍可进行触控、书写等操作 </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14.智能交互平板 Android 主板具备四核CPU， 内存不小于2G，Android 系统不低于11.0，主页提供不少于5 个应用程序，也可替代其他应用程序; </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15.通过多指滑动屏幕，可快速实现Windows与教学系统界面的切换</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16.智能平板左右两侧可提供与教学应用密切相关的快捷键，数量各不少于15个，可以双侧同时显示，该快捷键至少具有关闭窗口 ，展台，桌面、多屏互动等常教学常用按键。</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17.智能交互平板具有悬浮菜单，两指可快速移动悬浮菜单至按压位置，悬浮菜单可进行自定义分组，可添加 AI 互动软件等不少于 30 个应用；(须提供检测报告原件扫描上传)</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18.整机可一键进行硬件自检，包括对系统内存、存储、触控系统、光感系统、内置电脑、屏体信息、主板型号、CPU型号、CPU使用率、设备名称等进行状态提示、及故障提示。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19.智能平板具备前置电脑还原按键，不需专业人员即可轻松解决电脑系统故障，为避免误碰按键采用针孔式设计，并有配有中文标识；</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20.本地安卓白板软件具备面积识别功能，通过接触交互设备的面积大小实现智能擦除、粗细笔迹书写</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21.智能节电，在无操作或无信号输入15分钟时,出现关机提示倒计时；在无操作或无信号输入30分钟时, 自动关机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22.通过五指抓取屏幕任意位置可调出多任务处理窗口，并对正在运行的应用进行浏览、快速切换或结束进程</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23.交互平板处于关机通电状态，外接电脑、机顶盒等设备接入交互平板时，交互平板可识别到外接设备的输入信号后自动开机</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24.在任意信号源下，从屏幕下方任意位置向上滑动，可调用快捷设置菜单；无需切换系统，可快速调节Windows 和Android 的设置</w:t>
            </w:r>
            <w:r>
              <w:rPr>
                <w:rFonts w:ascii="宋体" w:hAnsi="宋体" w:cs="宋体"/>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26.内置1300万像素摄像头。</w:t>
            </w:r>
            <w:r>
              <w:rPr>
                <w:rFonts w:ascii="宋体" w:hAnsi="宋体" w:cs="宋体"/>
                <w:sz w:val="24"/>
                <w:szCs w:val="24"/>
              </w:rPr>
            </w:r>
            <w:r/>
          </w:p>
          <w:p>
            <w:pPr>
              <w:pStyle w:val="653"/>
              <w:jc w:val="left"/>
              <w:spacing w:line="240" w:lineRule="exact"/>
              <w:widowControl/>
              <w:rPr>
                <w:rFonts w:hint="eastAsia"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 内置电脑</w:t>
            </w:r>
            <w:r>
              <w:rPr>
                <w:rFonts w:hint="eastAsia" w:ascii="宋体" w:hAnsi="宋体" w:cs="宋体"/>
                <w:sz w:val="24"/>
                <w:szCs w:val="24"/>
              </w:rPr>
              <w:t xml:space="preserve">模块</w:t>
            </w:r>
            <w:r>
              <w:rPr>
                <w:rFonts w:hint="eastAsia" w:ascii="宋体" w:hAnsi="宋体" w:cs="宋体"/>
                <w:sz w:val="24"/>
                <w:szCs w:val="24"/>
              </w:rPr>
              <w:t xml:space="preserve">:</w:t>
            </w:r>
            <w:r>
              <w:rPr>
                <w:rFonts w:hint="eastAsia"/>
              </w:rPr>
              <w:t xml:space="preserve"> </w:t>
            </w:r>
            <w:r>
              <w:rPr>
                <w:rFonts w:hint="eastAsia" w:ascii="宋体" w:hAnsi="宋体" w:cs="宋体"/>
                <w:sz w:val="24"/>
                <w:szCs w:val="24"/>
              </w:rPr>
              <w:t xml:space="preserve">处理器不低于4核8线程；配置要求：内存≥8GB DDR4 ，存储≥256GB SSD硬盘；接口要求：≥1路HDMI，≥3路USB。</w:t>
            </w:r>
            <w:r>
              <w:rPr>
                <w:rFonts w:hint="eastAsia" w:ascii="宋体" w:hAnsi="宋体" w:cs="宋体"/>
                <w:sz w:val="24"/>
                <w:szCs w:val="24"/>
              </w:rPr>
            </w:r>
            <w:r/>
          </w:p>
          <w:p>
            <w:pPr>
              <w:pStyle w:val="666"/>
            </w:pPr>
            <w:r>
              <w:rPr>
                <w:rFonts w:hint="eastAsia"/>
              </w:rPr>
              <w:t xml:space="preserve">28. </w:t>
            </w:r>
            <w:r>
              <w:rPr>
                <w:rFonts w:hint="eastAsia"/>
              </w:rPr>
              <w:t xml:space="preserve">智能交互平板具有平均无故障时间MTBF≥10万小时。</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合并式功率放大器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1、带U盘播放和蓝牙播放，带LCD液晶显示屏，四路音源切换按键（带记忆功能），</w:t>
            </w:r>
            <w:r>
              <w:rPr>
                <w:rFonts w:hint="eastAsia" w:ascii="宋体" w:hAnsi="宋体" w:cs="宋体"/>
                <w:sz w:val="24"/>
                <w:szCs w:val="24"/>
              </w:rPr>
              <w:t xml:space="preserve">对线路1/线路2/线路3/（蓝牙/U盘）进行切换；</w:t>
              <w:br/>
              <w:t xml:space="preserve">2、带2路有线话筒输入（6.35话筒口，+48V幻像电源可切换）、2路无线话筒输入（1路3.5三芯+1路USB，USB可用于2.4G无线话筒供电）、2组立体声线路输入（RCA*4莲花接口）、1路线路平衡输入（凤凰接口）；</w:t>
              <w:br/>
              <w:t xml:space="preserve">3、带2组立体声线路输出（RCA*4莲花接口）、1路线路平衡输出（凤凰接口）；</w:t>
              <w:br/>
              <w:t xml:space="preserve">4、带1路RS232控制接口、1路一键静音控制接口；</w:t>
              <w:br/>
              <w:t xml:space="preserve">5、话筒和线路音量、高/低音独立可调，</w:t>
              <w:br/>
              <w:t xml:space="preserve">6、额定功率(RMS)：≥2×200W  8Ω,≥2×300W </w:t>
            </w:r>
            <w:r>
              <w:rPr>
                <w:rFonts w:hint="eastAsia" w:ascii="宋体" w:hAnsi="宋体" w:cs="宋体"/>
                <w:sz w:val="24"/>
                <w:szCs w:val="24"/>
              </w:rPr>
              <w:t xml:space="preserve"> 4Ω；                              </w:t>
              <w:br/>
              <w:t xml:space="preserve">7、总谐波失真：≤1%；</w:t>
              <w:br/>
              <w:t xml:space="preserve">8、线路频率响应：20Hz～20KHz  ±3dB，话筒频率响应：80Hz～16KHz  ±3dB；</w:t>
              <w:br/>
              <w:t xml:space="preserve">9、输入灵敏度：300±30mV线路，60±6mV有线话筒，200±20mV无线话筒；</w:t>
              <w:br/>
              <w:t xml:space="preserve">10、信噪比：≥82dB；                            </w:t>
              <w:br/>
              <w:t xml:space="preserve">11、电压适应范围：～180V-242V。</w:t>
              <w:br/>
              <w:t xml:space="preserve">12、具备电网电路识别通断保护装置；</w:t>
              <w:br/>
              <w:t xml:space="preserve">13、具备数字式短路保护装置；</w:t>
              <w:br/>
              <w:t xml:space="preserve">14、具备动态限幅保护装置；</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一拖二无线麦克风</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1、采用金属机箱，具有坚固的结构、散热及隔离谐波干扰极佳的专业质量。 </w:t>
              <w:br w:type="textWrapping" w:clear="all"/>
              <w:t xml:space="preserve">2、采用天线分集式接收及数字导音，杂音锁定双重静音控制，接收距离远，消除接收断音及不稳的缺失。 </w:t>
              <w:br w:type="textWrapping" w:clear="all"/>
              <w:t xml:space="preserve">3、黑色金属面板，LED段码显示器，可同时显示群组、频率、电池电量、静音位准、电子音量等相关信息；LED灯柱显示RF/AF强度 。</w:t>
              <w:br w:type="textWrapping" w:clear="all"/>
              <w:t xml:space="preserve">4、采用飞梭旋钮</w:t>
            </w:r>
            <w:r>
              <w:rPr>
                <w:rFonts w:hint="eastAsia" w:ascii="宋体" w:hAnsi="宋体" w:cs="宋体"/>
                <w:sz w:val="24"/>
                <w:szCs w:val="24"/>
              </w:rPr>
              <w:t xml:space="preserve">取代传统复杂的按键，操作快速方便。</w:t>
              <w:br/>
              <w:t xml:space="preserve">5、天线座提供强波器偏压，可以连接天线系统，增加接收距离及稳定的接收效果。 </w:t>
              <w:br/>
              <w:t xml:space="preserve">6、载波频段: UHF530-690.000MHZ</w:t>
              <w:br/>
              <w:t xml:space="preserve">7、单机频带宽度 :50 MHz </w:t>
              <w:br/>
              <w:t xml:space="preserve">8、单机频道数量：2000个</w:t>
              <w:br/>
              <w:t xml:space="preserve">9、频率间隔：25KHz</w:t>
              <w:br/>
              <w:t xml:space="preserve">10、灵敏度: -48±3dB</w:t>
              <w:br/>
              <w:t xml:space="preserve">11、综合S/N比 : &gt;100dB(A)</w:t>
              <w:br/>
              <w:t xml:space="preserve">12、指向性频响曲线：300-2000Hz≤-8dB </w:t>
              <w:br/>
              <w:t xml:space="preserve">13、综合T.H.D. :&lt;0.5%@1kHz </w:t>
              <w:br/>
              <w:t xml:space="preserve">14、频率响应 : 65Hz-15kHz  </w:t>
              <w:br/>
              <w:t xml:space="preserve">15、发射器拾音头：动圈式</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千兆交换机（8 口全千兆）</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8口全千兆</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婴幼儿行为分析系统</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b/>
                <w:sz w:val="24"/>
                <w:szCs w:val="24"/>
              </w:rPr>
            </w:pPr>
            <w:r>
              <w:rPr>
                <w:rFonts w:hint="eastAsia" w:ascii="宋体" w:hAnsi="宋体" w:cs="宋体"/>
                <w:sz w:val="24"/>
                <w:szCs w:val="24"/>
              </w:rPr>
              <w:t xml:space="preserve">1、系统是通过行为编码体系（coding scheme）来实现行为观察的结构化和系统化，是完整的收集数据、分析数据和管理数据的完整系统；</w:t>
              <w:br w:type="textWrapping" w:clear="all"/>
              <w:t xml:space="preserve">2、可实现在线视频的编码与离线视频的编码，可同时播放2路视频和/或2路音频的播放；</w:t>
              <w:br w:type="textWrapping" w:clear="all"/>
              <w:t xml:space="preserve">3、在一个项目中支持最多100个独立变量，可利用独立变量进行数据的筛选</w:t>
              <w:br w:type="textWrapping" w:clear="all"/>
              <w:t xml:space="preserve">4、系统观察时长最多可达500个小时，观察对象最多可达250个，行为最多250个，组合的观察对象*行为最多5000个；</w:t>
              <w:br w:type="textWrapping" w:clear="all"/>
              <w:t xml:space="preserve">5、系统可用1个、2个或3个字母进行编码，扩充了编码的数量；</w:t>
            </w:r>
            <w:r>
              <w:rPr>
                <w:rFonts w:hint="eastAsia" w:ascii="宋体" w:hAnsi="宋体" w:cs="宋体"/>
                <w:b/>
                <w:sz w:val="24"/>
                <w:szCs w:val="24"/>
              </w:rPr>
              <w:t xml:space="preserve">（按要求提供演示）</w:t>
              <w:br w:type="textWrapping" w:clear="all"/>
            </w:r>
            <w:r>
              <w:rPr>
                <w:rFonts w:hint="eastAsia" w:ascii="宋体" w:hAnsi="宋体" w:cs="宋体"/>
                <w:sz w:val="24"/>
                <w:szCs w:val="24"/>
              </w:rPr>
              <w:t xml:space="preserve">6、系统支持两种不同的观察方法：连续性观察和瞬时采样，两种方法也可以结合使用；</w:t>
              <w:br w:type="textWrapping" w:clear="all"/>
              <w:t xml:space="preserve">7、系统分类两种行为：同时发生或不能同时发生的行为、持续时间的行为或瞬时的行为；</w:t>
              <w:br w:type="textWrapping" w:clear="all"/>
              <w:t xml:space="preserve">8、系统可对行为进行修饰，用来补充行为的外部信息，最多可在一个coding scheme里对行为进行250个添加信息的补充；</w:t>
              <w:br w:type="textWrapping" w:clear="all"/>
              <w:t xml:space="preserve">9、系统可对视频进行暂停、慢放和快进，视频文件速度可调1/25到16倍原速度（1/25 1/5 1/2 1 2 4 8 16），音频文件可调1/2 1 2倍速度。</w:t>
            </w:r>
            <w:r>
              <w:rPr>
                <w:rFonts w:hint="eastAsia" w:ascii="宋体" w:hAnsi="宋体" w:cs="宋体"/>
                <w:b/>
                <w:sz w:val="24"/>
                <w:szCs w:val="24"/>
              </w:rPr>
              <w:t xml:space="preserve">（按要求提供演示）</w:t>
            </w:r>
            <w:r>
              <w:rPr>
                <w:rFonts w:ascii="宋体" w:hAnsi="宋体" w:cs="宋体"/>
                <w:b/>
                <w:sz w:val="24"/>
                <w:szCs w:val="24"/>
              </w:rPr>
            </w:r>
            <w:r/>
          </w:p>
          <w:p>
            <w:pPr>
              <w:pStyle w:val="653"/>
              <w:jc w:val="left"/>
              <w:spacing w:line="240" w:lineRule="exact"/>
              <w:widowControl/>
              <w:rPr>
                <w:rFonts w:ascii="宋体" w:hAnsi="宋体" w:cs="宋体"/>
                <w:b/>
                <w:sz w:val="24"/>
                <w:szCs w:val="24"/>
              </w:rPr>
            </w:pPr>
            <w:r>
              <w:rPr>
                <w:rFonts w:hint="eastAsia" w:ascii="宋体" w:hAnsi="宋体" w:cs="宋体"/>
                <w:sz w:val="24"/>
                <w:szCs w:val="24"/>
              </w:rPr>
              <w:t xml:space="preserve">10、系统可进行视频片段选择，基于数据选择可制定特定的视频片段</w:t>
              <w:br w:type="textWrapping" w:clear="all"/>
              <w:t xml:space="preserve">11、可分析以下参数：最小持续时间、最长持续时间、平均持续时间、总持续时间、标准偏差、标准误、标准差、每分钟次数、总次数、百分比、潜伏期、下四分位数、中位数、上四分位数。</w:t>
            </w:r>
            <w:r>
              <w:rPr>
                <w:rFonts w:hint="eastAsia" w:ascii="宋体" w:hAnsi="宋体" w:cs="宋体"/>
                <w:b/>
                <w:sz w:val="24"/>
                <w:szCs w:val="24"/>
              </w:rPr>
              <w:t xml:space="preserve">（按要求提供演示）</w:t>
            </w:r>
            <w:r>
              <w:rPr>
                <w:rFonts w:ascii="宋体" w:hAnsi="宋体" w:cs="宋体"/>
                <w:b/>
                <w:sz w:val="24"/>
                <w:szCs w:val="24"/>
              </w:rPr>
            </w:r>
            <w:r/>
          </w:p>
          <w:p>
            <w:pPr>
              <w:pStyle w:val="653"/>
              <w:jc w:val="left"/>
              <w:spacing w:line="240" w:lineRule="exact"/>
              <w:widowControl/>
              <w:rPr>
                <w:rFonts w:ascii="宋体" w:hAnsi="宋体" w:cs="宋体"/>
                <w:b/>
                <w:sz w:val="24"/>
                <w:szCs w:val="24"/>
              </w:rPr>
            </w:pPr>
            <w:r>
              <w:rPr>
                <w:rFonts w:hint="eastAsia" w:ascii="宋体" w:hAnsi="宋体" w:cs="宋体"/>
                <w:sz w:val="24"/>
                <w:szCs w:val="24"/>
              </w:rPr>
              <w:t xml:space="preserve">12、支持ASCII和Unicode，可使用中文、英文、日文、西里尔字母等进行编码；</w:t>
              <w:br w:type="textWrapping" w:clear="all"/>
              <w:t xml:space="preserve">13、支持各种主流视频格式：QuickTime (mov)、MP4、H.264 DivX、MPEG-4 D</w:t>
            </w:r>
            <w:r>
              <w:rPr>
                <w:rFonts w:hint="eastAsia" w:ascii="宋体" w:hAnsi="宋体" w:cs="宋体"/>
                <w:sz w:val="24"/>
                <w:szCs w:val="24"/>
              </w:rPr>
              <w:t xml:space="preserve">ivX、MPEG-1、MPEG-2、DV-AVI 、(uncompressed) AVI 和各种主流音频格式：MP3、WMA、WAV；</w:t>
              <w:br/>
              <w:t xml:space="preserve">14、可同时播放4路视频和/或4路音频的播放，在定制版本里可扩展为20或更多；</w:t>
              <w:br/>
              <w:t xml:space="preserve">15、系统自带可靠性分析用以质量控制和观察确认；</w:t>
              <w:br/>
              <w:t xml:space="preserve">17、系统自带滞后序列分析用以序列分析和寻找因果关系；</w:t>
              <w:br/>
              <w:t xml:space="preserve">16、可靠性分析基于四种：基于频率、基于持续时间、基于频率/顺序、基于时间/顺序；</w:t>
              <w:br/>
              <w:t xml:space="preserve">17、可靠性分析可分析一致性指数、百分比一致性、Cohen Kappa、Pearson Rho等统计分析。</w:t>
            </w:r>
            <w:r>
              <w:rPr>
                <w:rFonts w:hint="eastAsia" w:ascii="宋体" w:hAnsi="宋体" w:cs="宋体"/>
                <w:b/>
                <w:sz w:val="24"/>
                <w:szCs w:val="24"/>
              </w:rPr>
              <w:t xml:space="preserve">（按要求提供演示）</w:t>
            </w:r>
            <w:r>
              <w:rPr>
                <w:rFonts w:ascii="宋体" w:hAnsi="宋体" w:cs="宋体"/>
                <w:b/>
                <w:sz w:val="24"/>
                <w:szCs w:val="24"/>
              </w:rPr>
            </w:r>
            <w:r/>
          </w:p>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18、滞后序列分析可进行过渡矩阵分析，比如A事件发生后B发生的次数。</w:t>
            </w:r>
            <w:r>
              <w:rPr>
                <w:rFonts w:hint="eastAsia" w:ascii="宋体" w:hAnsi="宋体" w:cs="宋体"/>
                <w:b/>
                <w:sz w:val="24"/>
                <w:szCs w:val="24"/>
              </w:rPr>
              <w:t xml:space="preserve">（按要求提供演示）</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控制键盘</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1、10.1 英寸电容触</w:t>
            </w:r>
            <w:r>
              <w:rPr>
                <w:rFonts w:hint="eastAsia" w:ascii="宋体" w:hAnsi="宋体" w:cs="宋体"/>
                <w:sz w:val="24"/>
                <w:szCs w:val="24"/>
              </w:rPr>
              <w:t xml:space="preserve">摸屏</w:t>
              <w:br/>
              <w:t xml:space="preserve">2、支持Android6.0操作系统支持H.265/H.264/解码，最大1画面分割 H.265最高</w:t>
              <w:br/>
              <w:t xml:space="preserve">3、支持1路4K@30fps; H.264最高</w:t>
              <w:br/>
              <w:t xml:space="preserve">2、支持1路1080P@60fps </w:t>
              <w:br/>
              <w:t xml:space="preserve">4、支持在触屏观看图像或通过HDMI将图像投到显示屏上</w:t>
              <w:br/>
              <w:t xml:space="preserve">5、支持网络方式接入球机、NVR设备</w:t>
              <w:br/>
              <w:t xml:space="preserve">6、支持云台控制，预置点、巡航的设置与调用支持ONVIF协议接入设备</w:t>
              <w:br/>
              <w:t xml:space="preserve">7、支持最多1024台设备添加支持四维摇杆控制，控制云台上下左右转动，聚焦变倍等操作支持通过U盘升级支持设置按键音开启/关闭</w:t>
              <w:br/>
              <w:t xml:space="preserve">8、支持定时重启设备自带电源</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16</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多媒体讲台（智能讲台）</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1、钢木结合，主体采用1.0-2.0mm冷轧钢材，保证产品耐固性；桌面及背面采用25mm双拼色三聚氰胺板材料；4个桌角采用圆弧化设计，保证安全性，圆弧半径大于100mm</w:t>
            </w:r>
            <w:r>
              <w:rPr>
                <w:rFonts w:hint="eastAsia" w:ascii="宋体" w:hAnsi="宋体" w:cs="宋体"/>
                <w:sz w:val="24"/>
                <w:szCs w:val="24"/>
              </w:rPr>
              <w:t xml:space="preserve">，整体更加圆润、大气。</w:t>
              <w:br/>
              <w:t xml:space="preserve">2、整体尺寸：L*W*H：1000*720*1082mm；其中操作台面高度：850mm。</w:t>
              <w:br/>
              <w:t xml:space="preserve">3、整体通过碰撞、冲击试验系统基本功能正常，结构外观正常。</w:t>
              <w:br/>
              <w:t xml:space="preserve">4、桌面分为显示区域和操作台面两部分；倾斜式设计，可配置显示器设备；显示器底部具有全尺寸键盘收纳空间，便于使用和维护。</w:t>
              <w:br/>
              <w:t xml:space="preserve">5、前挡板采用整体木饰面设计，可以整体拆卸，方便机柜背部维护。整体外形为封闭式设计；侧面具有抬手抓孔。</w:t>
              <w:br/>
              <w:t xml:space="preserve">6、桌面左侧可嵌入21.5吋触摸显示器，嵌入讲桌后无明显缝隙，仰角大于23°，与教室触摸一体机同步显示及互动；右侧</w:t>
            </w:r>
            <w:r>
              <w:rPr>
                <w:rFonts w:hint="eastAsia" w:ascii="宋体" w:hAnsi="宋体" w:cs="宋体"/>
                <w:sz w:val="24"/>
                <w:szCs w:val="24"/>
              </w:rPr>
              <w:t xml:space="preserve">具有中控安装区域，支持中控面板定制开孔。</w:t>
              <w:br/>
              <w:t xml:space="preserve">7、桌面右下立面处，安装笔记本模块，供输入接口：不低于USB3.0 x2、Type-C x1、HDMIx1、网线接口x1；其中HDMI和网线采用抽线式设计，方便笔记本连接。</w:t>
              <w:br/>
              <w:t xml:space="preserve">8、桌面左侧具有隐藏式水杯架1套，右侧上方配置可回弹挂钩1个。</w:t>
              <w:br/>
              <w:t xml:space="preserve">9、桌面下方配置两个抽屉，抽屉可通过机械锁手动开关，标准1U储物空间。</w:t>
              <w:br/>
              <w:t xml:space="preserve">10、桌下内部具有10U机柜和主机放置空间，主机空间大小（深*宽*高）不小于450*250*450mm。机柜可接入第三方设备，机柜内部配置层板均为可滑动式设计。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张</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17</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硬盘</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6T监控硬盘</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18</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硬盘录像机</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1、支持IPC分辨率12MP/8MP/6MP/5MP/4MP/3MP/1080P/UXGA/720P/VGA/4CIF/DCIF/2CIF/CIF/QCIF</w:t>
              <w:br w:type="textWrapping" w:clear="all"/>
              <w:t xml:space="preserve">2、支持最大20路高清IPC网络视频接入</w:t>
              <w:br w:type="textWrapping" w:clear="all"/>
              <w:t xml:space="preserve">3、支持最大2路4K/4路4MP/8路1080P/16路720P/20路4CIF同时预览</w:t>
              <w:br w:type="textWrapping" w:clear="all"/>
              <w:t xml:space="preserve">4、支持最大2路4K/4路4MP/8路1080P/16路720P同步回放，1/16到512倍速</w:t>
              <w:br w:type="textWrapping" w:clear="all"/>
              <w:t xml:space="preserve">5、支持1/2/3/4/5/6/7/8/9/10/12/13/16/20A/20B画面预览</w:t>
              <w:br w:type="textWrapping" w:clear="all"/>
              <w:t xml:space="preserve">6、支持4个</w:t>
            </w:r>
            <w:r>
              <w:rPr>
                <w:rFonts w:hint="eastAsia" w:ascii="宋体" w:hAnsi="宋体" w:cs="宋体"/>
                <w:sz w:val="24"/>
                <w:szCs w:val="24"/>
              </w:rPr>
              <w:t xml:space="preserve">硬盘接口，单块最大10TB </w:t>
              <w:br/>
              <w:t xml:space="preserve">7、支持2个100M/1000M以太网接口支持1个HDMI/1个VGA视频输出（同源），HDMI最高分辨率可达4K </w:t>
              <w:br/>
              <w:t xml:space="preserve">8、支持S+265、H.265、H.264压缩标准带宽：接入带宽160Mbps；转发带宽48Mbps；存储带宽128Mbps </w:t>
              <w:br/>
              <w:t xml:space="preserve">9、支持接入热像测温枪进行测温管理支持客流量统计，</w:t>
              <w:br/>
              <w:t xml:space="preserve">10、支持多台客流量相机组成区域内统计支持驳接Onvif、RTSP协议网络前端、GB/T28181标准对接平台、GA/T1400对接平台</w:t>
              <w:br/>
              <w:t xml:space="preserve">11、支持H.265 Onvif 功率≤40W</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19</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交互式智能书写屏(电容单屏)</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1、书写屏的显示尺寸需≥21.5寸；分辨率需≥1920*1080；触摸点数需≥10点；屏幕亮度需≥250cd/㎡。</w:t>
              <w:br w:type="textWrapping" w:clear="all"/>
              <w:t xml:space="preserve">2、书写屏在高、低温工作试验触摸面板操作功能不存在反应慢，错误定位，部分区域触摸板没有功能等问题。</w:t>
              <w:br w:type="textWrapping" w:clear="all"/>
              <w:t xml:space="preserve">3、书写屏的边框需采用铝合金进行整体包边；表面钢化玻璃需经过防眩光处理，并与屏幕通过全贴合或更好的贴合工艺进行贴合，不得使用框贴工艺，避免后期粉尘、水汽进入屏幕内部影响设备寿命。</w:t>
              <w:br w:type="textWrapping" w:clear="all"/>
              <w:t xml:space="preserve">4、书写屏在</w:t>
            </w:r>
            <w:r>
              <w:rPr>
                <w:rFonts w:hint="eastAsia" w:ascii="宋体" w:hAnsi="宋体" w:cs="宋体"/>
                <w:sz w:val="24"/>
                <w:szCs w:val="24"/>
              </w:rPr>
              <w:t xml:space="preserve">高、低温贮存和恒定湿热试验屏幕显示不存在显示不均匀点，亮点、漏光等问题。</w:t>
              <w:br/>
              <w:t xml:space="preserve">5、书写屏背部需采用优质冷轧钢材进行封装，表面静电喷塑（黑色），不得有任何直接裸露的电路板器件。</w:t>
              <w:br/>
              <w:t xml:space="preserve">6、书写屏背部需至少具备1路电源接口，1路HDMI输入接口，1路Touch输出口，且Touch输出口需符合传统触屏类产品的规范，统一采用USB-B型母口的形式。</w:t>
              <w:br/>
              <w:t xml:space="preserve">7、书写屏需配置至少1支屏幕书写笔，该书写笔需具备防盗绳设计，可与书写屏或者讲桌桌体进行连接，避免产品使用过程中书写笔错拿和遗失。</w:t>
              <w:br/>
              <w:t xml:space="preserve">8、书写屏需支持抬笔批注功能，支持在电脑桌面状</w:t>
            </w:r>
            <w:r>
              <w:rPr>
                <w:rFonts w:hint="eastAsia" w:ascii="宋体" w:hAnsi="宋体" w:cs="宋体"/>
                <w:sz w:val="24"/>
                <w:szCs w:val="24"/>
              </w:rPr>
              <w:t xml:space="preserve">态下，无须点击任何软件按钮，实现抬笔即可进行电子批注的功能，且笔身上需具备橡皮擦按键，按下后自动切换至橡皮擦状态，并对产生的电子批注进行擦除。</w:t>
              <w:br/>
              <w:t xml:space="preserve">9、书写屏需支持手笔分离功能，支持在电脑桌面状态下，书写笔进行批注或者擦除动作后，无须点击任何软件按钮，实现通过手指直接进行触控操作；当手指操作完毕后，又可通过书写笔直接进行电子批注或擦除，这个过程中无须点击任何软件按钮，教师无须学习任何软件功能，零门槛使用。</w:t>
              <w:br/>
              <w:t xml:space="preserve">10、书写屏需具备Windows窗口导航功能，在导航界面需支持收录和显示Windows系统内当前打开的各类</w:t>
            </w:r>
            <w:r>
              <w:rPr>
                <w:rFonts w:hint="eastAsia" w:ascii="宋体" w:hAnsi="宋体" w:cs="宋体"/>
                <w:sz w:val="24"/>
                <w:szCs w:val="24"/>
              </w:rPr>
              <w:t xml:space="preserve">软件和系统窗口的缩略图，至少需包括PPT、EXCEL、Word、图片、视频、视频展台等。教师可在导航窗口内通过点击缩略图即可实现各类资源在屏幕内的快速切换与显示。</w:t>
              <w:br/>
              <w:t xml:space="preserve">11、书写屏需具备各资源窗口的手势切换功能，在电脑桌面状态下，可通过五指左右横扫动作，实现导航窗口内各个资源前后两个方向的快速循环切换。</w:t>
              <w:br/>
              <w:t xml:space="preserve">12、书写屏需具备虚拟白板功能，支持在导航窗口内一键创建虚拟白板窗口，教师可在虚拟白板窗口直接通过书写笔进行任意书写和圈画操作，且书写完毕后，支持无须点击任何软件按钮，直接通过手指对白板画布进行缩放和漫游操作。</w:t>
            </w:r>
            <w:r>
              <w:rPr>
                <w:rFonts w:hint="eastAsia" w:ascii="宋体" w:hAnsi="宋体" w:cs="宋体"/>
                <w:sz w:val="24"/>
                <w:szCs w:val="24"/>
              </w:rPr>
              <w:br w:type="textWrapping" w:clear="all"/>
              <w:t xml:space="preserve">1</w:t>
            </w:r>
            <w:r>
              <w:rPr>
                <w:rFonts w:hint="eastAsia" w:ascii="宋体" w:hAnsi="宋体" w:cs="宋体"/>
                <w:sz w:val="24"/>
                <w:szCs w:val="24"/>
              </w:rPr>
              <w:t xml:space="preserve">3、书写屏需支持通过手指手动点击屏幕侧边栏的工具按钮，自由设置手指在触控、批注、擦除3个模式内进行切换，实现在书写笔遗失或未使用的情况下，通过手指进行屏幕批注和批注擦除功能。</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272"/>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20</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专业音箱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1、额定/峰值功率：≥80W /320 W ； </w:t>
              <w:br w:type="textWrapping" w:clear="all"/>
              <w:t xml:space="preserve">2、额定阻抗：8 Ω；</w:t>
              <w:br w:type="textWrapping" w:clear="all"/>
              <w:t xml:space="preserve">3、特性灵敏度：≥91dB/W/m；</w:t>
              <w:br w:type="textWrapping" w:clear="all"/>
              <w:t xml:space="preserve">4、输出声压级：</w:t>
              <w:br w:type="textWrapping" w:clear="all"/>
              <w:t xml:space="preserve">≥110dB/W/m(Continues)；</w:t>
              <w:br w:type="textWrapping" w:clear="all"/>
              <w:t xml:space="preserve">≥116 dB/W/m(Peak)；</w:t>
              <w:br w:type="textWrapping" w:clear="all"/>
              <w:t xml:space="preserve">5、额定频率范围: 65 - 20000Hz；</w:t>
              <w:br w:type="textWrapping" w:clear="all"/>
              <w:t xml:space="preserve">6、覆盖角度H×V：90 º×90 º；</w:t>
              <w:br w:type="textWrapping" w:clear="all"/>
              <w:t xml:space="preserve">7、扬声器单元：LF:6.5 英寸 ； HF: 1英寸丝膜高音；</w:t>
              <w:br w:type="textWrapping" w:clear="all"/>
              <w:t xml:space="preserve">8、箱体材料：12mm中密度纤维板 ； </w:t>
              <w:br w:type="textWrapping" w:clear="all"/>
              <w:t xml:space="preserve">9、输入接口：压缩式接插座 ； </w:t>
              <w:br w:type="textWrapping" w:clear="all"/>
              <w:t xml:space="preserve">10、吊挂方式： 壁挂安装；</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学生特写球</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1、1/2.7英寸超低照度传感器音频1（Line in/Mic in）入1出（内置双扬声器/外置音源/</w:t>
            </w:r>
            <w:r>
              <w:rPr>
                <w:rFonts w:hint="eastAsia" w:ascii="宋体" w:hAnsi="宋体" w:cs="宋体"/>
                <w:sz w:val="24"/>
                <w:szCs w:val="24"/>
              </w:rPr>
              <w:t xml:space="preserve">关闭）报警支持2入1出支持插入TF卡，最大512G，</w:t>
              <w:br/>
              <w:t xml:space="preserve">2、支持RS485接口支持通过RS485对接温湿度传感器，实现数据接收，叠加温湿度信息</w:t>
              <w:br/>
              <w:t xml:space="preserve">3、支持DC12V供电支持25倍光学变倍，16倍数字变倍 6颗红外补光灯，2近4远，补光距离20m 精密电机驱动，反应灵敏，运转平稳，预置位精度偏差少于0.1度</w:t>
              <w:br/>
              <w:t xml:space="preserve">4、支持H.265、H.264、M-JPEG视频编码方式，默认H.265 支持PAL/NTSC制式切换，默认PAL，具有良好的地区适用性支持3D定位功能，可实现点击定位和放大支持掉电记忆水平手控转速：0.1～</w:t>
            </w:r>
            <w:r>
              <w:rPr>
                <w:rFonts w:hint="eastAsia" w:ascii="宋体" w:hAnsi="宋体" w:cs="宋体"/>
                <w:sz w:val="24"/>
                <w:szCs w:val="24"/>
              </w:rPr>
              <w:t xml:space="preserve">180°/s，垂直手控转速：0.1～120°/s 支持三码流同时输出，主码流最高分辨率5MP（2880×1620）25fps </w:t>
              <w:br/>
              <w:t xml:space="preserve">5、支持人脸抓拍，且抓拍率≥98%（测试可达100%）智能监控模式，支持人车分离、绊线、周界、双绊线、物品遗留、物品丢失、热度图、徘徊、奔跑、停车、人数统计、人群聚集、智能跟踪、值岗检测、移动报警、遮挡报警、视频诊断、音频异常等</w:t>
              <w:br/>
              <w:t xml:space="preserve">6、支持机械宽动态、强光抑制、3D降噪、SmartIR 支持电子透雾设置支持区域曝光、背光补偿区域可选图片叠加、心跳、黑白名单等智能监控模式下支持人员跟踪</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tcPr>
          <w:p>
            <w:pPr>
              <w:pStyle w:val="653"/>
              <w:jc w:val="center"/>
              <w:spacing w:line="240" w:lineRule="exact"/>
              <w:rPr>
                <w:rFonts w:ascii="宋体" w:hAnsi="宋体"/>
                <w:sz w:val="24"/>
                <w:szCs w:val="24"/>
              </w:rPr>
            </w:pPr>
            <w:r>
              <w:rPr>
                <w:rFonts w:hint="eastAsia" w:ascii="宋体" w:hAnsi="宋体"/>
                <w:sz w:val="24"/>
                <w:szCs w:val="24"/>
              </w:rPr>
              <w:t xml:space="preserve">22</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创新思维教具（5-6）</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1.疯狂对对碰：规格：≥20*20*9.5cm，数量：3套</w:t>
              <w:br w:type="textWrapping" w:clear="all"/>
              <w:t xml:space="preserve">2.天才的编剧：规格：≥28.2*21*3.5cm，数量：2套</w:t>
              <w:br w:type="textWrapping" w:clear="all"/>
              <w:t xml:space="preserve">3.酷拉米：规格：≥24.8*24.8*5.5cm数量：4套</w:t>
              <w:br w:type="textWrapping" w:clear="all"/>
              <w:t xml:space="preserve">4.狼和羊：规格：≥28.2*21*3.5cm，数量：2套</w:t>
              <w:br w:type="textWrapping" w:clear="all"/>
              <w:t xml:space="preserve">5.猫和老鼠：规格：≥28.2*21*3.5cm，数量：4套</w:t>
              <w:br w:type="textWrapping" w:clear="all"/>
              <w:t xml:space="preserve">6.精灵快快跑：规格：≥16*16*5.5cm，数量：2套</w:t>
              <w:br w:type="textWrapping" w:clear="all"/>
              <w:t xml:space="preserve">7.创客迷宫：规格：≥38.5*29.5*5cm，数量：2套</w:t>
              <w:br w:type="textWrapping" w:clear="all"/>
              <w:t xml:space="preserve">8.未来海底城市：规格：≥27.8*21*3.5cm，数量：4套</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tcPr>
          <w:p>
            <w:pPr>
              <w:pStyle w:val="653"/>
              <w:jc w:val="center"/>
              <w:spacing w:line="240" w:lineRule="exact"/>
              <w:rPr>
                <w:rFonts w:ascii="宋体" w:hAnsi="宋体"/>
                <w:sz w:val="24"/>
                <w:szCs w:val="24"/>
              </w:rPr>
            </w:pPr>
            <w:r>
              <w:rPr>
                <w:rFonts w:hint="eastAsia" w:ascii="宋体" w:hAnsi="宋体"/>
                <w:sz w:val="24"/>
                <w:szCs w:val="24"/>
              </w:rPr>
              <w:t xml:space="preserve">23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创新思维教具（4-5）</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1.智兽：规格：≥28.2*21*3.5cm数量：2套</w:t>
              <w:br w:type="textWrapping" w:clear="all"/>
              <w:t xml:space="preserve">2.大竞赛：规格：≥28.2*21*3.5cm，数量：2套</w:t>
              <w:br w:type="textWrapping" w:clear="all"/>
              <w:t xml:space="preserve">3.酷拉米：规格：≥24.8*24.8*5.5cm；数量：4套</w:t>
              <w:br w:type="textWrapping" w:clear="all"/>
              <w:t xml:space="preserve">4.雪森林：规格：≥21*21*3.5cm，数量：套2</w:t>
              <w:br w:type="textWrapping" w:clear="all"/>
              <w:t xml:space="preserve">5.星际动物城：规格：≥25*14*2.5cm，数量：4套</w:t>
              <w:br w:type="textWrapping" w:clear="all"/>
              <w:t xml:space="preserve">6.快快快：规格：≥28*28*5cm，数量：2套</w:t>
              <w:br w:type="textWrapping" w:clear="all"/>
              <w:t xml:space="preserve">7.图形大作战：规格：≥28.2*21*3.5cm，数量：2套</w:t>
              <w:br w:type="textWrapping" w:clear="all"/>
              <w:t xml:space="preserve">8.塔米诺：规格：≥28*22.8*4cm，数量：4套</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tcPr>
          <w:p>
            <w:pPr>
              <w:pStyle w:val="653"/>
              <w:jc w:val="center"/>
              <w:spacing w:line="240" w:lineRule="exact"/>
              <w:rPr>
                <w:rFonts w:ascii="宋体" w:hAnsi="宋体"/>
                <w:sz w:val="24"/>
                <w:szCs w:val="24"/>
              </w:rPr>
            </w:pPr>
            <w:r>
              <w:rPr>
                <w:rFonts w:hint="eastAsia" w:ascii="宋体" w:hAnsi="宋体"/>
                <w:sz w:val="24"/>
                <w:szCs w:val="24"/>
              </w:rPr>
              <w:t xml:space="preserve">24</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创新思维教具（2-3）</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1.大侦探：规格：≥11*11*4cm数量：4套</w:t>
              <w:br w:type="textWrapping" w:clear="all"/>
              <w:t xml:space="preserve">2.魔法乐园：规格：≥28*21.2*4.6cm数量：4套</w:t>
              <w:br w:type="textWrapping" w:clear="all"/>
              <w:t xml:space="preserve">3.甜甜糖果屋：规格：≥20*15*5cm数量：3套</w:t>
              <w:br w:type="textWrapping" w:clear="all"/>
              <w:t xml:space="preserve">4.小小消防员：规格：≥28*21.2*4.6cm数量：2套</w:t>
              <w:br w:type="textWrapping" w:clear="all"/>
              <w:t xml:space="preserve">5.动物翻翻乐：规格：≥28*21.2*4.6cm数量：2套</w:t>
              <w:br w:type="textWrapping" w:clear="all"/>
              <w:t xml:space="preserve">6.把它们围起来：规格：≥28.2*21*3.5cm数量：4套</w:t>
              <w:br w:type="textWrapping" w:clear="all"/>
              <w:t xml:space="preserve">7.图形拼拼乐：规格：≥22*16*6.5cm数量：4套</w:t>
              <w:br w:type="textWrapping" w:clear="all"/>
              <w:t xml:space="preserve">8.3D像素：规格：≥28*28*5cm数量：4套</w:t>
              <w:br w:type="textWrapping" w:clear="all"/>
              <w:t xml:space="preserve">材质：塑胶、纸等复合材料</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tcPr>
          <w:p>
            <w:pPr>
              <w:pStyle w:val="653"/>
              <w:jc w:val="center"/>
              <w:spacing w:line="240" w:lineRule="exact"/>
              <w:rPr>
                <w:rFonts w:ascii="宋体" w:hAnsi="宋体"/>
                <w:sz w:val="24"/>
                <w:szCs w:val="24"/>
              </w:rPr>
            </w:pPr>
            <w:r>
              <w:rPr>
                <w:rFonts w:hint="eastAsia" w:ascii="宋体" w:hAnsi="宋体"/>
                <w:sz w:val="24"/>
                <w:szCs w:val="24"/>
              </w:rPr>
              <w:t xml:space="preserve">25</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宣泄柱</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材质：外层为优质皮革、内层为抗打击海绵尺寸高175cm/直径35cm底座灌沙/水</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个</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tcPr>
          <w:p>
            <w:pPr>
              <w:pStyle w:val="653"/>
              <w:jc w:val="center"/>
              <w:spacing w:line="240" w:lineRule="exact"/>
              <w:rPr>
                <w:rFonts w:ascii="宋体" w:hAnsi="宋体"/>
                <w:sz w:val="24"/>
                <w:szCs w:val="24"/>
              </w:rPr>
            </w:pPr>
            <w:r>
              <w:rPr>
                <w:rFonts w:hint="eastAsia" w:ascii="宋体" w:hAnsi="宋体"/>
                <w:sz w:val="24"/>
                <w:szCs w:val="24"/>
              </w:rPr>
              <w:t xml:space="preserve">26</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心理沙盘</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标准心理沙盘：配置2个：遵循国际标</w:t>
            </w:r>
            <w:r>
              <w:rPr>
                <w:rFonts w:hint="eastAsia" w:ascii="宋体" w:hAnsi="宋体" w:cs="宋体"/>
                <w:sz w:val="24"/>
                <w:szCs w:val="24"/>
              </w:rPr>
              <w:t xml:space="preserve">准规格配置大小为≧54*46*10cm，实木喷漆，底部为海蓝色，实木制作；</w:t>
              <w:br/>
              <w:t xml:space="preserve">沙箱架：沙箱架2个：实木制作。</w:t>
              <w:br/>
              <w:t xml:space="preserve">陈列架：配置2个：≧100*60*30cm，实木材质，多层式设计，保证放置在最上层的物品，也可以方便取放。</w:t>
              <w:br/>
              <w:t xml:space="preserve">沙：20公斤，环保安全的专用水洗沙；</w:t>
              <w:br/>
              <w:t xml:space="preserve">沙具：包括1200个沙具,9大类32小类，包括人物类、动物类、植物类、建筑类、家具与用品类、交通运输类、食物果实类、石头贝壳类和其他等。材质分陶瓷、树脂、木质、塑料、塑胶、泥质等。可满足不同偏好来访者的需要。</w:t>
              <w:br/>
              <w:t xml:space="preserve">配件：沙耙1把；沙刷1把；沙盘操作手册1本。</w:t>
              <w:br/>
              <w:t xml:space="preserve">▲</w:t>
            </w:r>
            <w:r>
              <w:rPr>
                <w:rFonts w:ascii="宋体" w:hAnsi="宋体" w:cs="宋体"/>
                <w:sz w:val="24"/>
                <w:szCs w:val="24"/>
              </w:rPr>
              <w:t xml:space="preserve">为确保产品安全性，所投产品的“沙具架”、“沙盘”、“沙盘架”及“沙具架用板”，甲醛释放量需符合国家标准要求，检测标准依据国家标准“ GB 18584-2001”。（</w:t>
            </w:r>
            <w:r>
              <w:rPr>
                <w:rFonts w:hint="eastAsia" w:ascii="宋体" w:hAnsi="宋体" w:cs="宋体"/>
                <w:sz w:val="24"/>
                <w:szCs w:val="24"/>
              </w:rPr>
              <w:t xml:space="preserve">须提供检测报告原件扫描上传</w:t>
            </w:r>
            <w:r>
              <w:rPr>
                <w:rFonts w:ascii="宋体" w:hAnsi="宋体" w:cs="宋体"/>
                <w:sz w:val="24"/>
                <w:szCs w:val="24"/>
              </w:rPr>
              <w:t xml:space="preserve">）</w:t>
              <w:br w:type="textWrapping" w:clear="all"/>
            </w:r>
            <w:r>
              <w:rPr>
                <w:rFonts w:hint="eastAsia" w:ascii="宋体" w:hAnsi="宋体" w:cs="宋体"/>
                <w:sz w:val="24"/>
                <w:szCs w:val="24"/>
              </w:rPr>
              <w:t xml:space="preserve">▲</w:t>
            </w:r>
            <w:r>
              <w:rPr>
                <w:rFonts w:ascii="宋体" w:hAnsi="宋体" w:cs="宋体"/>
                <w:sz w:val="24"/>
                <w:szCs w:val="24"/>
              </w:rPr>
              <w:t xml:space="preserve">为确保产品安全性，所投产品需具有室内空气检测报告（检测项目为：苯、甲醛、氨、TVOC）（</w:t>
            </w:r>
            <w:r>
              <w:rPr>
                <w:rFonts w:hint="eastAsia" w:ascii="宋体" w:hAnsi="宋体" w:cs="宋体"/>
                <w:sz w:val="24"/>
                <w:szCs w:val="24"/>
              </w:rPr>
              <w:t xml:space="preserve">须提供检测报告原件扫描上传</w:t>
            </w:r>
            <w:r>
              <w:rPr>
                <w:rFonts w:ascii="宋体" w:hAnsi="宋体" w:cs="宋体"/>
                <w:sz w:val="24"/>
                <w:szCs w:val="24"/>
              </w:rPr>
              <w:t xml:space="preserve">）</w:t>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66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tcPr>
          <w:p>
            <w:pPr>
              <w:pStyle w:val="653"/>
              <w:jc w:val="center"/>
              <w:spacing w:line="240" w:lineRule="exact"/>
              <w:rPr>
                <w:rFonts w:ascii="宋体" w:hAnsi="宋体"/>
                <w:sz w:val="24"/>
                <w:szCs w:val="24"/>
              </w:rPr>
            </w:pPr>
            <w:r>
              <w:rPr>
                <w:rFonts w:hint="eastAsia" w:ascii="宋体" w:hAnsi="宋体"/>
                <w:sz w:val="24"/>
                <w:szCs w:val="24"/>
              </w:rPr>
              <w:t xml:space="preserve">27</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河内塔</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191" w:type="dxa"/>
            <w:vAlign w:val="center"/>
            <w:textDirection w:val="lrTb"/>
            <w:noWrap/>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一、仪器说明：</w:t>
              <w:br w:type="textWrapping" w:clear="all"/>
              <w:t xml:space="preserve">本仪器采用三根立柱和一些大小不同的圆盘为测试材料，将圆盘按规则在立柱间搬移来考察学生创造性思维解决问题的能力。在起始柱</w:t>
            </w:r>
            <w:r>
              <w:rPr>
                <w:rFonts w:hint="eastAsia" w:ascii="宋体" w:hAnsi="宋体" w:cs="宋体"/>
                <w:sz w:val="24"/>
                <w:szCs w:val="24"/>
              </w:rPr>
              <w:t xml:space="preserve">上，圆盘是按从大到小的顺序叠放成金字塔型，要求被试尽可能快且以最少步序将这些圆盘移动到目标柱上，且目标柱上圆盘叠放顺序与起始状态相同。河内塔问题的解决过程不但体现出个体问题解决的思维策略和能力，还具有思维训练的作用，对提高学生解决问题的能力会有很大帮助。</w:t>
              <w:br/>
              <w:t xml:space="preserve">二、主要技术指标：</w:t>
              <w:br/>
              <w:t xml:space="preserve">1.由八个不同直径的圆盘与三个直立的小柱组成。圆盘从大到小依次放在左侧的一个柱上，似塔形。</w:t>
              <w:br/>
              <w:t xml:space="preserve">2、实验要求圆盘移到右侧的小柱上。</w:t>
              <w:br/>
              <w:t xml:space="preserve">3、移动过程中，只有顶部的一个圆盘可以移动，并且要求总是大圆盘</w:t>
              <w:br/>
              <w:t xml:space="preserve">在下，小圆盘在上。</w:t>
              <w:br/>
              <w:t xml:space="preserve">4.专用铝合金箱一体包装</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r>
      <w:tr>
        <w:trPr>
          <w:trHeight w:val="864"/>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653"/>
              <w:jc w:val="center"/>
              <w:spacing w:line="240" w:lineRule="exact"/>
              <w:rPr>
                <w:rFonts w:ascii="宋体" w:hAnsi="宋体"/>
                <w:sz w:val="24"/>
                <w:szCs w:val="24"/>
              </w:rPr>
            </w:pPr>
            <w:r>
              <w:rPr>
                <w:rFonts w:hint="eastAsia" w:ascii="宋体" w:hAnsi="宋体"/>
                <w:sz w:val="24"/>
                <w:szCs w:val="24"/>
              </w:rPr>
              <w:t xml:space="preserve">28</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情绪类绘本</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191" w:type="dxa"/>
            <w:vAlign w:val="center"/>
            <w:textDirection w:val="lrTb"/>
            <w:noWrap w:val="false"/>
          </w:tcPr>
          <w:p>
            <w:pPr>
              <w:pStyle w:val="653"/>
              <w:jc w:val="left"/>
              <w:spacing w:line="240" w:lineRule="exact"/>
              <w:widowControl/>
              <w:rPr>
                <w:rFonts w:ascii="宋体" w:hAnsi="宋体" w:cs="宋体"/>
                <w:sz w:val="24"/>
                <w:szCs w:val="24"/>
              </w:rPr>
            </w:pPr>
            <w:r>
              <w:rPr>
                <w:rFonts w:hint="eastAsia" w:ascii="宋体" w:hAnsi="宋体" w:cs="宋体"/>
                <w:sz w:val="24"/>
                <w:szCs w:val="24"/>
              </w:rPr>
              <w:t xml:space="preserve">《妈妈我能行》系列、《生气梦》、《我的情绪小怪兽》立体书、《亲爱的，你也很棒》、《我的感觉》系列等（可酌情调节更新）</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653"/>
              <w:jc w:val="center"/>
              <w:spacing w:line="240" w:lineRule="exact"/>
              <w:widowControl/>
              <w:rPr>
                <w:rFonts w:ascii="宋体" w:hAnsi="宋体" w:cs="宋体"/>
                <w:sz w:val="24"/>
                <w:szCs w:val="24"/>
              </w:rPr>
            </w:pPr>
            <w:r>
              <w:rPr>
                <w:rFonts w:hint="eastAsia" w:ascii="宋体" w:hAnsi="宋体" w:cs="宋体"/>
                <w:sz w:val="24"/>
                <w:szCs w:val="24"/>
              </w:rPr>
              <w:t xml:space="preserve">册</w:t>
            </w:r>
            <w:r>
              <w:rPr>
                <w:rFonts w:ascii="宋体" w:hAnsi="宋体" w:cs="宋体"/>
                <w:sz w:val="24"/>
                <w:szCs w:val="24"/>
              </w:rPr>
            </w:r>
            <w:r/>
          </w:p>
        </w:tc>
      </w:tr>
    </w:tbl>
    <w:p>
      <w:pPr>
        <w:pStyle w:val="653"/>
        <w:rPr>
          <w:rFonts w:ascii="宋体" w:hAnsi="宋体"/>
          <w:sz w:val="24"/>
          <w:szCs w:val="24"/>
        </w:rPr>
      </w:pPr>
      <w:r>
        <w:rPr>
          <w:rFonts w:ascii="宋体" w:hAnsi="宋体"/>
          <w:sz w:val="24"/>
          <w:szCs w:val="24"/>
        </w:rPr>
      </w:r>
      <w:r/>
    </w:p>
    <w:p>
      <w:pPr>
        <w:pStyle w:val="876"/>
        <w:spacing w:before="0" w:after="0" w:line="360" w:lineRule="auto"/>
      </w:pPr>
      <w:r>
        <w:t xml:space="preserve">三、视频演示</w:t>
      </w:r>
      <w:r/>
    </w:p>
    <w:p>
      <w:pPr>
        <w:pStyle w:val="653"/>
        <w:ind w:firstLine="480"/>
        <w:spacing w:line="0" w:lineRule="atLeast"/>
        <w:rPr>
          <w:rFonts w:ascii="宋体" w:hAnsi="宋体"/>
          <w:sz w:val="24"/>
          <w:szCs w:val="24"/>
        </w:rPr>
      </w:pPr>
      <w:r>
        <w:rPr>
          <w:rFonts w:hint="eastAsia" w:ascii="宋体" w:hAnsi="宋体"/>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sz w:val="24"/>
          <w:szCs w:val="24"/>
          <w:u w:val="single"/>
        </w:rPr>
        <w:t xml:space="preserve">15</w:t>
      </w:r>
      <w:r>
        <w:rPr>
          <w:rFonts w:hint="eastAsia" w:ascii="宋体" w:hAnsi="宋体"/>
          <w:sz w:val="24"/>
          <w:szCs w:val="24"/>
        </w:rPr>
        <w:t xml:space="preserve">分钟。</w:t>
      </w:r>
      <w:r>
        <w:rPr>
          <w:rFonts w:ascii="宋体" w:hAnsi="宋体"/>
          <w:sz w:val="24"/>
          <w:szCs w:val="24"/>
        </w:rPr>
      </w:r>
      <w:r/>
    </w:p>
    <w:p>
      <w:pPr>
        <w:pStyle w:val="666"/>
        <w:rPr>
          <w:rFonts w:hAnsi="宋体"/>
          <w:color w:val="000000"/>
        </w:rPr>
      </w:pPr>
      <w:r>
        <w:rPr>
          <w:rFonts w:hint="eastAsia" w:hAnsi="宋体"/>
          <w:color w:val="000000"/>
        </w:rPr>
        <w:t xml:space="preserve">（2）演示内容如下：</w:t>
      </w:r>
      <w:r>
        <w:rPr>
          <w:rFonts w:hAnsi="宋体"/>
          <w:color w:val="000000"/>
        </w:rPr>
      </w:r>
      <w:r/>
    </w:p>
    <w:p>
      <w:pPr>
        <w:pStyle w:val="666"/>
        <w:rPr>
          <w:b/>
          <w:color w:val="000000"/>
        </w:rPr>
      </w:pPr>
      <w:r>
        <w:rPr>
          <w:rFonts w:hint="eastAsia" w:hAnsi="宋体"/>
          <w:b/>
          <w:color w:val="000000"/>
        </w:rPr>
        <w:t xml:space="preserve">婴幼儿行为分析系统：</w:t>
      </w:r>
      <w:r>
        <w:rPr>
          <w:b/>
          <w:color w:val="000000"/>
        </w:rPr>
      </w:r>
      <w:r/>
    </w:p>
    <w:p>
      <w:pPr>
        <w:pStyle w:val="653"/>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、系统可用1个、2个或3个字母进行编码，扩充了编码的数量；</w:t>
      </w:r>
      <w:r>
        <w:rPr>
          <w:rFonts w:ascii="宋体" w:hAnsi="宋体" w:cs="宋体"/>
          <w:sz w:val="24"/>
          <w:szCs w:val="24"/>
        </w:rPr>
      </w:r>
      <w:r/>
    </w:p>
    <w:p>
      <w:pPr>
        <w:pStyle w:val="653"/>
        <w:jc w:val="left"/>
      </w:pPr>
      <w:r>
        <w:rPr>
          <w:rFonts w:ascii="宋体" w:hAnsi="宋体" w:cs="宋体"/>
          <w:sz w:val="24"/>
          <w:szCs w:val="24"/>
        </w:rPr>
        <w:t xml:space="preserve">2</w:t>
      </w:r>
      <w:r>
        <w:rPr>
          <w:rFonts w:hint="eastAsia" w:ascii="宋体" w:hAnsi="宋体" w:cs="宋体"/>
          <w:sz w:val="24"/>
          <w:szCs w:val="24"/>
        </w:rPr>
        <w:t xml:space="preserve">、系统可对视频进行暂停、慢放和快进，视频文件速度可调1/25到16倍原速度（1/25 1/5 1/2 1 2 4 8 16），音频文件可调1/</w:t>
      </w:r>
      <w:r>
        <w:rPr>
          <w:rFonts w:hint="eastAsia" w:ascii="宋体" w:hAnsi="宋体" w:cs="宋体"/>
          <w:color w:val="000000"/>
          <w:sz w:val="24"/>
          <w:szCs w:val="24"/>
        </w:rPr>
        <w:t xml:space="preserve">2 1 2倍速度。</w:t>
        <w:br w:type="textWrapping" w:clear="all"/>
      </w:r>
      <w:r>
        <w:rPr>
          <w:rFonts w:ascii="宋体" w:hAnsi="宋体" w:cs="宋体"/>
          <w:color w:val="000000"/>
          <w:sz w:val="24"/>
          <w:szCs w:val="24"/>
        </w:rPr>
        <w:t xml:space="preserve">3</w:t>
      </w:r>
      <w:r>
        <w:rPr>
          <w:rFonts w:hint="eastAsia" w:ascii="宋体" w:hAnsi="宋体" w:cs="宋体"/>
          <w:color w:val="000000"/>
          <w:sz w:val="24"/>
          <w:szCs w:val="24"/>
        </w:rPr>
        <w:t xml:space="preserve">、可分析以下参数：最小持续时间、最长持续时间、平均持续时间、总持续时间、标准偏差、标准误、标准差、每分钟次数、总次数、百分比、潜伏期、下四分位数、中位数、上四分位数。</w:t>
        <w:br w:type="textWrapping" w:clear="all"/>
      </w:r>
      <w:r>
        <w:rPr>
          <w:rFonts w:ascii="宋体" w:hAnsi="宋体" w:cs="宋体"/>
          <w:color w:val="000000"/>
          <w:sz w:val="24"/>
          <w:szCs w:val="24"/>
        </w:rPr>
        <w:t xml:space="preserve">4</w:t>
      </w:r>
      <w:r>
        <w:rPr>
          <w:rFonts w:hint="eastAsia" w:ascii="宋体" w:hAnsi="宋体" w:cs="宋体"/>
          <w:color w:val="000000"/>
          <w:sz w:val="24"/>
          <w:szCs w:val="24"/>
        </w:rPr>
        <w:t xml:space="preserve">、可靠性分析：可分析一致性指数、百分比一致性、Cohen Kappa、Pearson Rho等统计分析。</w:t>
        <w:br w:type="textWrapping" w:clear="all"/>
      </w:r>
      <w:r>
        <w:rPr>
          <w:rFonts w:ascii="宋体" w:hAnsi="宋体" w:cs="宋体"/>
          <w:color w:val="000000"/>
          <w:sz w:val="24"/>
          <w:szCs w:val="24"/>
        </w:rPr>
        <w:t xml:space="preserve">5</w:t>
      </w:r>
      <w:r>
        <w:rPr>
          <w:rFonts w:hint="eastAsia" w:ascii="宋体" w:hAnsi="宋体" w:cs="宋体"/>
          <w:color w:val="000000"/>
          <w:sz w:val="24"/>
          <w:szCs w:val="24"/>
        </w:rPr>
        <w:t xml:space="preserve">、滞后序列分析可进行过渡矩阵分析，比如A事件发生后B发生的次数。</w:t>
      </w:r>
      <w:r/>
    </w:p>
    <w:p>
      <w:pPr>
        <w:pStyle w:val="876"/>
        <w:spacing w:before="120" w:after="0" w:line="240" w:lineRule="auto"/>
      </w:pPr>
      <w:r>
        <w:t xml:space="preserve">四</w:t>
      </w:r>
      <w:r>
        <w:rPr>
          <w:rFonts w:hint="eastAsia"/>
        </w:rPr>
        <w:t xml:space="preserve">、实施要求</w:t>
      </w:r>
      <w:r/>
    </w:p>
    <w:p>
      <w:pPr>
        <w:pStyle w:val="653"/>
        <w:ind w:firstLine="482"/>
        <w:spacing w:before="120" w:line="360" w:lineRule="auto"/>
        <w:rPr>
          <w:rFonts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color w:val="000000"/>
          <w:sz w:val="24"/>
          <w:szCs w:val="24"/>
        </w:rPr>
        <w:t xml:space="preserve">招标文件所提供的</w:t>
      </w:r>
      <w:r>
        <w:rPr>
          <w:rFonts w:hint="eastAsia" w:ascii="宋体" w:hAnsi="宋体" w:cs="宋体"/>
          <w:color w:val="000000"/>
          <w:sz w:val="24"/>
          <w:szCs w:val="24"/>
        </w:rPr>
        <w:t xml:space="preserve">采购清单</w:t>
      </w:r>
      <w:r>
        <w:rPr>
          <w:rFonts w:hint="eastAsia" w:ascii="宋体" w:hAnsi="宋体" w:cs="宋体"/>
          <w:color w:val="000000"/>
          <w:sz w:val="24"/>
          <w:szCs w:val="24"/>
        </w:rPr>
        <w:t xml:space="preserve">为报价依据，项目报价应包含除设备清单外的辅材及与项目相关的所有费用（如强、弱电的改造部署、安装管线孔洞的修复封堵费用、垃圾清除费用；采购人负责强弱电至配电箱）。</w:t>
      </w:r>
      <w:r>
        <w:rPr>
          <w:rFonts w:ascii="宋体" w:hAnsi="宋体" w:cs="宋体"/>
          <w:b/>
          <w:bCs/>
          <w:color w:val="000000"/>
          <w:sz w:val="24"/>
          <w:szCs w:val="24"/>
        </w:rPr>
      </w:r>
      <w:r/>
    </w:p>
    <w:p>
      <w:pPr>
        <w:pStyle w:val="653"/>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2、项目质量</w:t>
      </w:r>
      <w:r>
        <w:rPr>
          <w:rFonts w:ascii="宋体" w:hAnsi="宋体" w:cs="宋体"/>
          <w:b/>
          <w:bCs/>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货物外型构造尺寸应满足现场安装条件；设备、材料质量必须满足采购需求；项目质量必须符合国家质量验收规范标准。</w:t>
      </w:r>
      <w:r>
        <w:rPr>
          <w:rFonts w:ascii="宋体" w:hAnsi="宋体" w:cs="宋体"/>
          <w:color w:val="000000"/>
          <w:sz w:val="24"/>
          <w:szCs w:val="24"/>
        </w:rPr>
      </w:r>
      <w:r/>
    </w:p>
    <w:p>
      <w:pPr>
        <w:pStyle w:val="653"/>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3、组织实施设计方案</w:t>
      </w:r>
      <w:r>
        <w:rPr>
          <w:rFonts w:ascii="宋体" w:hAnsi="宋体" w:cs="宋体"/>
          <w:b/>
          <w:bCs/>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投标人均应根据项目现场实际情况编制组织实施设计方案。</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出具针对本项目的实施方案，主要包含：针对本项目的质量保证和控制相关措施、施工人员配备情况、具体施工进度计划、设备供货保障计划以及安装调试和试运行方案。实施方案各方面要完全满足采购需求，内容详尽完善，思路清晰，表达清楚。实施方案包括但不限于：（1）质量保证和控制措施；（2）人员配备情况；（3）进度计划；（4）供货保障计划；（5）安装、调试、试运行方案。</w:t>
      </w:r>
      <w:r>
        <w:rPr>
          <w:rFonts w:ascii="宋体" w:hAnsi="宋体" w:cs="宋体"/>
          <w:color w:val="000000"/>
          <w:sz w:val="24"/>
          <w:szCs w:val="24"/>
        </w:rPr>
      </w:r>
      <w:r/>
    </w:p>
    <w:p>
      <w:pPr>
        <w:pStyle w:val="653"/>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4、建设周期</w:t>
      </w:r>
      <w:r>
        <w:rPr>
          <w:rFonts w:ascii="宋体" w:hAnsi="宋体" w:cs="宋体"/>
          <w:b/>
          <w:bCs/>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为保证智慧化教室项目的顺利建设，本次设备到货、安装、调试工作应在合同签订之日起20个工作日内完成，应合理安排时间，制定相应的项目实施详细进度计划。</w:t>
      </w:r>
      <w:r>
        <w:rPr>
          <w:rFonts w:ascii="宋体" w:hAnsi="宋体" w:cs="宋体"/>
          <w:color w:val="000000"/>
          <w:sz w:val="24"/>
          <w:szCs w:val="24"/>
        </w:rPr>
      </w:r>
      <w:r/>
    </w:p>
    <w:p>
      <w:pPr>
        <w:pStyle w:val="653"/>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5、安装、调试与验收</w:t>
      </w:r>
      <w:r>
        <w:rPr>
          <w:rFonts w:ascii="宋体" w:hAnsi="宋体" w:cs="宋体"/>
          <w:b/>
          <w:bCs/>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（1）中标人负责检查安装现场的安装条件，事先提出对安装的环境方面的要求。</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项目涉及的设备由中标人负责测试、安装、调试和有关配置工作，中标人应提供详细的具有时效性的测试、安装、调试方案，经采购人确认后，作为设备验收的标准，中标人应按上述方案完成测试、安装、调试和有关配置工作。</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中标人需保证设备均为制造商原产地原装产品，保证所提供货物是全新的、未使用过的，并完全符合合同规定的质量、规格和性能的要求。货物到达采购人指定的现场后，由中标人与采购人共同核对装箱单，共同开箱（若有争议，请质检机构检验确定），依照合同的货物清单清点，并进行签字确认。</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（4）中标人保证其提供的货物在正确安装、正常使用和保养条件下，在使用寿命期内具有满意的性能，中标人对由于产品设计、工艺或材料的缺陷而产生的故障负责与制造商沟通解决。</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（5）中标人承诺本次提供的所有设备满足招标文件要求及自身投标文件承诺，承诺所有的设备满足技术完整性要求。</w:t>
      </w:r>
      <w:r>
        <w:rPr>
          <w:rFonts w:ascii="宋体" w:hAnsi="宋体" w:cs="宋体"/>
          <w:color w:val="000000"/>
          <w:sz w:val="24"/>
          <w:szCs w:val="24"/>
        </w:rPr>
      </w:r>
      <w:r/>
    </w:p>
    <w:p>
      <w:pPr>
        <w:pStyle w:val="876"/>
        <w:spacing w:before="120" w:after="0" w:line="240" w:lineRule="auto"/>
      </w:pPr>
      <w:r>
        <w:rPr>
          <w:rFonts w:hint="eastAsia"/>
        </w:rPr>
        <w:t xml:space="preserve">五、售后服务要求</w:t>
      </w:r>
      <w:r/>
    </w:p>
    <w:p>
      <w:pPr>
        <w:pStyle w:val="653"/>
        <w:ind w:firstLine="480"/>
        <w:spacing w:before="120" w:line="360" w:lineRule="auto"/>
        <w:rPr>
          <w:rFonts w:ascii="宋体" w:hAnsi="宋体" w:cs="宋体"/>
          <w:b/>
          <w:color w:val="000000"/>
          <w:sz w:val="24"/>
          <w:szCs w:val="24"/>
        </w:rPr>
      </w:pPr>
      <w:r>
        <w:rPr>
          <w:rFonts w:hint="eastAsia" w:ascii="宋体" w:hAnsi="宋体" w:cs="宋体"/>
          <w:color w:val="000000"/>
          <w:sz w:val="24"/>
          <w:szCs w:val="24"/>
        </w:rPr>
        <w:t xml:space="preserve">1、从项目</w:t>
      </w:r>
      <w:r>
        <w:rPr>
          <w:rFonts w:hint="eastAsia" w:ascii="宋体" w:hAnsi="宋体" w:cs="宋体"/>
          <w:bCs/>
          <w:color w:val="000000"/>
          <w:sz w:val="24"/>
          <w:szCs w:val="24"/>
        </w:rPr>
        <w:t xml:space="preserve">验收合格之日开始计算，质保期3年。</w:t>
      </w:r>
      <w:r>
        <w:rPr>
          <w:rFonts w:ascii="宋体" w:hAnsi="宋体" w:cs="宋体"/>
          <w:b/>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2、中标人在免费质保期内应提供7×24小时运维服务，遇重大任务或事故期间，根据采购人要求需派驻一名有经验的工程师常提供驻场技术服务。</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在免费质保期内，中标人须对本项目中所提供的软件免费升级，系统和设备由于施工质量或产品本身质量原因造成的损伤或损坏，中标人须免费修理或更换；中标人在质保期内安装的任何零配件，必须是设备制造商原产的或是经其认可的，必须是新的未使用和未经修复的。</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、在质保期内，由中标人每年提供两次本项目各系统的例行巡检，并做记录，出具巡检报告。</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、保修的范围仅限于本合同中中标人提供给采购人的设备、部件和装修。</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、服务内容要求：</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（1）中标人在质保期内应保证所提供的设备和平台的安全性、可用性、可靠性，满足采购人的服务要求，提供快速及时的技术支持。</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服务范围，包括但不限于：设备日常维护、巡检；故障及其他损坏设备的修理；备件备品的购买；重大故障或特殊故障的紧急远端或现场抢修；采购人重要活动的现场技术保障；其他必须的技术服务（例如软件的版本升级）。</w:t>
      </w:r>
      <w:r>
        <w:rPr>
          <w:rFonts w:ascii="宋体" w:hAnsi="宋体" w:cs="宋体"/>
          <w:color w:val="000000"/>
          <w:sz w:val="24"/>
          <w:szCs w:val="24"/>
        </w:rPr>
      </w:r>
      <w:r/>
    </w:p>
    <w:p>
      <w:pPr>
        <w:pStyle w:val="65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（3）服务响应时间不超过60分钟，业务系统恢复时间4小时。</w:t>
      </w:r>
      <w:r>
        <w:rPr>
          <w:rFonts w:ascii="宋体" w:hAnsi="宋体" w:cs="宋体"/>
          <w:color w:val="000000"/>
          <w:sz w:val="24"/>
          <w:szCs w:val="24"/>
        </w:rPr>
      </w:r>
      <w:r/>
    </w:p>
    <w:p>
      <w:pPr>
        <w:pStyle w:val="876"/>
        <w:spacing w:before="120" w:after="0" w:line="240" w:lineRule="auto"/>
        <w:rPr>
          <w:lang w:eastAsia="zh-CN"/>
        </w:rPr>
      </w:pPr>
      <w:r>
        <w:rPr>
          <w:rFonts w:hint="eastAsia"/>
          <w:lang w:eastAsia="zh-CN"/>
        </w:rPr>
        <w:t xml:space="preserve">六</w:t>
      </w:r>
      <w:r>
        <w:rPr>
          <w:rFonts w:hint="eastAsia"/>
        </w:rPr>
        <w:t xml:space="preserve">、培训</w:t>
      </w:r>
      <w:r>
        <w:rPr>
          <w:rFonts w:hint="eastAsia"/>
        </w:rPr>
        <w:t xml:space="preserve">要求</w:t>
      </w:r>
      <w:r>
        <w:rPr>
          <w:lang w:eastAsia="zh-CN"/>
        </w:rPr>
      </w:r>
      <w:r/>
    </w:p>
    <w:p>
      <w:pPr>
        <w:pStyle w:val="653"/>
        <w:ind w:firstLine="480"/>
        <w:spacing w:before="120"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要求及本项目特点，制订培训方案，包括培训计划、配备的专职培训人员、培训时效性、培训内容及培训结果</w:t>
      </w:r>
      <w:r>
        <w:rPr>
          <w:rFonts w:hint="eastAsia" w:ascii="宋体" w:hAnsi="宋体"/>
          <w:sz w:val="24"/>
        </w:rPr>
        <w:t xml:space="preserve">。投标人应安排具备相应资质和经验的技术人员，对</w:t>
      </w:r>
      <w:r>
        <w:rPr>
          <w:rFonts w:hint="eastAsia" w:ascii="宋体" w:hAnsi="宋体" w:cs="宋体"/>
          <w:color w:val="000000"/>
          <w:sz w:val="24"/>
        </w:rPr>
        <w:t xml:space="preserve">学校有关师生</w:t>
      </w:r>
      <w:r>
        <w:rPr>
          <w:rFonts w:hint="eastAsia" w:ascii="宋体" w:hAnsi="宋体"/>
          <w:sz w:val="24"/>
        </w:rPr>
        <w:t xml:space="preserve">进行全流程使用培训，确保相关人员能熟练掌握设备或系统的日常使用及维护。</w:t>
      </w:r>
      <w:r>
        <w:rPr>
          <w:rFonts w:hint="eastAsia" w:ascii="宋体" w:hAnsi="宋体"/>
          <w:sz w:val="24"/>
        </w:rPr>
        <w:t xml:space="preserve">提供</w:t>
      </w:r>
      <w:r>
        <w:rPr>
          <w:rFonts w:hint="eastAsia" w:ascii="宋体" w:hAnsi="宋体"/>
          <w:sz w:val="24"/>
        </w:rPr>
        <w:t xml:space="preserve">不少于5次</w:t>
      </w:r>
      <w:r>
        <w:rPr>
          <w:rFonts w:ascii="宋体" w:hAnsi="宋体"/>
          <w:sz w:val="24"/>
        </w:rPr>
        <w:t xml:space="preserve">现场</w:t>
      </w:r>
      <w:r>
        <w:rPr>
          <w:rFonts w:ascii="宋体" w:hAnsi="宋体"/>
          <w:sz w:val="24"/>
        </w:rPr>
        <w:t xml:space="preserve">培训，</w:t>
      </w:r>
      <w:r>
        <w:rPr>
          <w:rFonts w:ascii="宋体" w:hAnsi="宋体"/>
          <w:sz w:val="24"/>
        </w:rPr>
        <w:t xml:space="preserve">培训相关使用人员不少于</w:t>
      </w:r>
      <w:r>
        <w:rPr>
          <w:rFonts w:hint="eastAsia" w:ascii="宋体" w:hAnsi="宋体"/>
          <w:sz w:val="24"/>
        </w:rPr>
        <w:t xml:space="preserve">10人，</w:t>
      </w:r>
      <w:r>
        <w:rPr>
          <w:rFonts w:ascii="宋体" w:hAnsi="宋体"/>
          <w:sz w:val="24"/>
        </w:rPr>
        <w:t xml:space="preserve">直至教会。培训的内容应包括但不限于：系统的正常操作和使用方法；系统的日常维护和保养方法；安全操作规程、安全注意事项等。</w:t>
      </w:r>
      <w:r>
        <w:rPr>
          <w:rFonts w:ascii="宋体" w:hAnsi="宋体"/>
          <w:sz w:val="24"/>
        </w:rPr>
      </w:r>
      <w:r/>
    </w:p>
    <w:p>
      <w:pPr>
        <w:pStyle w:val="653"/>
        <w:jc w:val="left"/>
        <w:spacing w:before="120" w:after="120" w:line="360" w:lineRule="auto"/>
        <w:rPr>
          <w:rFonts w:hint="eastAsia"/>
          <w:b/>
          <w:bCs/>
          <w:sz w:val="32"/>
          <w:szCs w:val="32"/>
          <w:lang w:val="en-US"/>
        </w:rPr>
      </w:pPr>
      <w:r>
        <w:rPr>
          <w:rFonts w:hint="eastAsia"/>
          <w:b/>
          <w:bCs/>
          <w:sz w:val="32"/>
          <w:szCs w:val="32"/>
          <w:lang w:val="en-US"/>
        </w:rPr>
        <w:t xml:space="preserve">七、</w:t>
      </w:r>
      <w:r>
        <w:rPr>
          <w:rFonts w:hint="eastAsia"/>
          <w:b/>
          <w:bCs/>
          <w:sz w:val="32"/>
          <w:szCs w:val="32"/>
          <w:lang w:val="en-US"/>
        </w:rPr>
        <w:t xml:space="preserve">其他要求</w:t>
      </w:r>
      <w:r>
        <w:rPr>
          <w:rFonts w:hint="eastAsia"/>
          <w:b/>
          <w:bCs/>
          <w:sz w:val="32"/>
          <w:szCs w:val="32"/>
          <w:lang w:val="en-US"/>
        </w:rPr>
      </w:r>
      <w:r/>
    </w:p>
    <w:p>
      <w:pPr>
        <w:pStyle w:val="65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在使用前须提供国家认可的质量检测机构对货物质量进行鉴定的证书，对教室室内空气质量进行检测，空气符合《民用建筑工程室内环境污染控制标准》（GB50325-2020），费用由中标人承担。</w:t>
      </w:r>
      <w:r/>
    </w:p>
    <w:p>
      <w:pPr>
        <w:pStyle w:val="1001"/>
        <w:ind w:firstLine="240"/>
        <w:rPr>
          <w:rFonts w:ascii="宋体" w:hAnsi="宋体"/>
          <w:sz w:val="24"/>
          <w:szCs w:val="24"/>
        </w:rPr>
      </w:pPr>
      <w:r>
        <w:rPr>
          <w:rFonts w:ascii="宋体" w:hAnsi="宋体"/>
          <w:sz w:val="24"/>
          <w:szCs w:val="24"/>
        </w:rPr>
        <w:br w:type="page" w:clear="all"/>
      </w:r>
      <w:r/>
    </w:p>
    <w:p>
      <w:pPr>
        <w:pStyle w:val="654"/>
        <w:jc w:val="center"/>
      </w:pPr>
      <w:r>
        <w:rPr>
          <w:rFonts w:hint="eastAsia"/>
        </w:rPr>
        <w:t xml:space="preserve">第五章  评标方法与评标标准</w:t>
      </w:r>
      <w:bookmarkEnd w:id="66"/>
      <w:r/>
      <w:r/>
    </w:p>
    <w:p>
      <w:pPr>
        <w:pStyle w:val="653"/>
        <w:rPr>
          <w:sz w:val="24"/>
          <w:szCs w:val="24"/>
        </w:rPr>
      </w:pPr>
      <w:r>
        <w:rPr>
          <w:sz w:val="24"/>
          <w:szCs w:val="24"/>
        </w:rPr>
      </w:r>
      <w:r/>
    </w:p>
    <w:p>
      <w:pPr>
        <w:pStyle w:val="653"/>
        <w:ind w:firstLine="439"/>
        <w:jc w:val="left"/>
        <w:spacing w:before="120" w:after="120" w:line="360" w:lineRule="auto"/>
        <w:rPr>
          <w:rFonts w:ascii="宋体" w:hAnsi="宋体"/>
          <w:sz w:val="24"/>
          <w:szCs w:val="24"/>
        </w:rPr>
      </w:pPr>
      <w:r>
        <w:rPr>
          <w:rFonts w:hint="eastAsia" w:ascii="宋体" w:hAnsi="宋体"/>
          <w:sz w:val="24"/>
          <w:szCs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000000"/>
          <w:sz w:val="24"/>
          <w:szCs w:val="24"/>
        </w:rPr>
        <w:t xml:space="preserve">本项目选取3名中标候选人。</w:t>
      </w:r>
      <w:r>
        <w:rPr>
          <w:rFonts w:ascii="宋体" w:hAnsi="宋体"/>
          <w:sz w:val="24"/>
          <w:szCs w:val="24"/>
        </w:rPr>
      </w:r>
      <w:r/>
    </w:p>
    <w:p>
      <w:pPr>
        <w:pStyle w:val="968"/>
        <w:rPr>
          <w:rFonts w:ascii="宋体" w:hAnsi="宋体"/>
          <w:b/>
          <w:highlight w:val="yellow"/>
        </w:rPr>
      </w:pPr>
      <w:r>
        <w:rPr>
          <w:rFonts w:hint="eastAsia" w:ascii="宋体" w:hAnsi="宋体"/>
          <w:b/>
        </w:rPr>
        <w:t xml:space="preserve">政府采购政策功能落实</w:t>
      </w:r>
      <w:r>
        <w:rPr>
          <w:rFonts w:ascii="宋体" w:hAnsi="宋体"/>
          <w:b/>
          <w:highlight w:val="yellow"/>
        </w:rPr>
      </w:r>
      <w:r/>
    </w:p>
    <w:p>
      <w:pPr>
        <w:pStyle w:val="968"/>
        <w:spacing w:line="0" w:lineRule="atLeast"/>
        <w:rPr>
          <w:rFonts w:ascii="宋体" w:hAnsi="宋体"/>
        </w:rPr>
      </w:pPr>
      <w:r>
        <w:rPr>
          <w:rFonts w:hint="eastAsia" w:ascii="宋体" w:hAnsi="宋体"/>
        </w:rPr>
        <w:t xml:space="preserve">1、小微型企业价格扣除</w:t>
      </w:r>
      <w:r>
        <w:rPr>
          <w:rFonts w:ascii="宋体" w:hAnsi="宋体"/>
        </w:rPr>
      </w:r>
      <w:r/>
    </w:p>
    <w:p>
      <w:pPr>
        <w:pStyle w:val="968"/>
        <w:ind w:firstLine="360"/>
        <w:spacing w:line="0" w:lineRule="atLeast"/>
        <w:rPr>
          <w:rFonts w:ascii="宋体" w:hAnsi="宋体"/>
        </w:rPr>
      </w:pPr>
      <w:r>
        <w:rPr>
          <w:rFonts w:hint="eastAsia" w:ascii="宋体" w:hAnsi="宋体"/>
        </w:rPr>
        <w:t xml:space="preserve">（1）对小型和微型企业提供的服务给予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ascii="宋体" w:hAnsi="宋体"/>
        </w:rPr>
      </w:r>
      <w:r/>
    </w:p>
    <w:p>
      <w:pPr>
        <w:pStyle w:val="968"/>
        <w:ind w:firstLine="360"/>
        <w:spacing w:line="0" w:lineRule="atLeast"/>
        <w:rPr>
          <w:rFonts w:ascii="宋体" w:hAnsi="宋体"/>
        </w:rPr>
      </w:pPr>
      <w:r>
        <w:rPr>
          <w:rFonts w:hint="eastAsia" w:ascii="宋体" w:hAnsi="宋体"/>
        </w:rPr>
        <w:t xml:space="preserve">（2）供应商需按照采购文件的要求提供相应的《小微企业声明函》。</w:t>
      </w:r>
      <w:r>
        <w:rPr>
          <w:rFonts w:ascii="宋体" w:hAnsi="宋体"/>
        </w:rPr>
      </w:r>
      <w:r/>
    </w:p>
    <w:p>
      <w:pPr>
        <w:pStyle w:val="968"/>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968"/>
        <w:spacing w:line="0" w:lineRule="atLeast"/>
        <w:rPr>
          <w:rFonts w:ascii="宋体" w:hAnsi="宋体"/>
        </w:rPr>
      </w:pPr>
      <w:r>
        <w:rPr>
          <w:rFonts w:hint="eastAsia" w:ascii="宋体" w:hAnsi="宋体"/>
        </w:rPr>
        <w:t xml:space="preserve">2、残疾人福利单位价格扣除</w:t>
      </w:r>
      <w:r>
        <w:rPr>
          <w:rFonts w:ascii="宋体" w:hAnsi="宋体"/>
        </w:rPr>
      </w:r>
      <w:r/>
    </w:p>
    <w:p>
      <w:pPr>
        <w:pStyle w:val="968"/>
        <w:ind w:left="120" w:firstLine="360"/>
        <w:spacing w:line="0" w:lineRule="atLeast"/>
        <w:rPr>
          <w:rFonts w:ascii="宋体" w:hAnsi="宋体"/>
        </w:rPr>
      </w:pPr>
      <w:r>
        <w:rPr>
          <w:rFonts w:hint="eastAsia" w:ascii="宋体" w:hAnsi="宋体"/>
        </w:rPr>
        <w:t xml:space="preserve">（1）对残疾人福利性单位视同小型、微型企业，给予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ascii="宋体" w:hAnsi="宋体"/>
        </w:rPr>
      </w:r>
      <w:r/>
    </w:p>
    <w:p>
      <w:pPr>
        <w:pStyle w:val="96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96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968"/>
        <w:spacing w:line="0" w:lineRule="atLeast"/>
        <w:rPr>
          <w:rFonts w:ascii="宋体" w:hAnsi="宋体"/>
        </w:rPr>
      </w:pPr>
      <w:r>
        <w:rPr>
          <w:rFonts w:hint="eastAsia" w:ascii="宋体" w:hAnsi="宋体"/>
        </w:rPr>
        <w:t xml:space="preserve">3、监狱和戒毒企业价格扣除</w:t>
      </w:r>
      <w:r>
        <w:rPr>
          <w:rFonts w:ascii="宋体" w:hAnsi="宋体"/>
        </w:rPr>
      </w:r>
      <w:r/>
    </w:p>
    <w:p>
      <w:pPr>
        <w:pStyle w:val="968"/>
        <w:spacing w:line="0" w:lineRule="atLeast"/>
        <w:rPr>
          <w:rFonts w:ascii="宋体" w:hAnsi="宋体"/>
        </w:rPr>
      </w:pPr>
      <w:r>
        <w:rPr>
          <w:rFonts w:hint="eastAsia" w:ascii="宋体" w:hAnsi="宋体"/>
        </w:rPr>
        <w:t xml:space="preserve">（1）对监狱和戒毒企业（简称监狱企业）视同小型、微型企业，给予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ascii="宋体" w:hAnsi="宋体"/>
        </w:rPr>
      </w:r>
      <w:r/>
    </w:p>
    <w:p>
      <w:pPr>
        <w:pStyle w:val="96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rPr>
      </w:r>
      <w:r/>
    </w:p>
    <w:p>
      <w:pPr>
        <w:pStyle w:val="96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968"/>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968"/>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ascii="宋体" w:hAnsi="宋体"/>
        </w:rPr>
      </w:r>
      <w:r/>
    </w:p>
    <w:p>
      <w:pPr>
        <w:pStyle w:val="968"/>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653"/>
        <w:ind w:firstLine="480"/>
        <w:spacing w:before="120" w:after="120"/>
        <w:rPr>
          <w:rFonts w:ascii="黑体" w:hAnsi="黑体" w:eastAsia="黑体" w:cs="宋体"/>
          <w:sz w:val="24"/>
        </w:rPr>
      </w:pPr>
      <w:r>
        <w:rPr>
          <w:rFonts w:ascii="黑体" w:hAnsi="黑体" w:eastAsia="黑体" w:cs="宋体"/>
          <w:sz w:val="24"/>
        </w:rPr>
      </w:r>
      <w:r/>
    </w:p>
    <w:tbl>
      <w:tblPr>
        <w:tblW w:w="95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7"/>
        <w:gridCol w:w="8063"/>
      </w:tblGrid>
      <w:tr>
        <w:trPr>
          <w:trHeight w:val="385"/>
        </w:trPr>
        <w:tc>
          <w:tcPr>
            <w:gridSpan w:val="2"/>
            <w:tcW w:w="9590" w:type="dxa"/>
            <w:vAlign w:val="center"/>
            <w:textDirection w:val="lrTb"/>
            <w:noWrap w:val="false"/>
          </w:tcPr>
          <w:p>
            <w:pPr>
              <w:pStyle w:val="653"/>
              <w:jc w:val="center"/>
              <w:rPr>
                <w:rFonts w:ascii="宋体" w:hAnsi="宋体" w:cs="宋体"/>
                <w:b/>
                <w:bCs/>
                <w:color w:val="000000"/>
              </w:rPr>
            </w:pPr>
            <w:r>
              <w:rPr>
                <w:rFonts w:hint="eastAsia" w:ascii="宋体" w:hAnsi="宋体" w:cs="宋体"/>
                <w:b/>
                <w:bCs/>
                <w:color w:val="000000"/>
              </w:rPr>
              <w:t xml:space="preserve">评分标准</w:t>
            </w:r>
            <w:r>
              <w:rPr>
                <w:rFonts w:ascii="宋体" w:hAnsi="宋体" w:cs="宋体"/>
                <w:b/>
                <w:bCs/>
                <w:color w:val="000000"/>
              </w:rPr>
            </w:r>
            <w:r/>
          </w:p>
        </w:tc>
      </w:tr>
      <w:tr>
        <w:trPr>
          <w:trHeight w:val="1008"/>
        </w:trPr>
        <w:tc>
          <w:tcPr>
            <w:tcW w:w="1527" w:type="dxa"/>
            <w:vAlign w:val="center"/>
            <w:textDirection w:val="lrTb"/>
            <w:noWrap w:val="false"/>
          </w:tcPr>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价格</w:t>
            </w:r>
            <w:r>
              <w:rPr>
                <w:rFonts w:ascii="宋体" w:hAnsi="宋体" w:cs="宋体"/>
                <w:color w:val="000000"/>
                <w:sz w:val="24"/>
                <w:szCs w:val="24"/>
              </w:rPr>
            </w:r>
            <w:r/>
          </w:p>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（30分）</w:t>
            </w:r>
            <w:r>
              <w:rPr>
                <w:rFonts w:ascii="宋体" w:hAnsi="宋体" w:cs="宋体"/>
                <w:color w:val="000000"/>
                <w:sz w:val="24"/>
                <w:szCs w:val="24"/>
              </w:rPr>
            </w:r>
            <w:r/>
          </w:p>
        </w:tc>
        <w:tc>
          <w:tcPr>
            <w:tcW w:w="8063" w:type="dxa"/>
            <w:vAlign w:val="center"/>
            <w:textDirection w:val="lrTb"/>
            <w:noWrap w:val="false"/>
          </w:tcPr>
          <w:p>
            <w:pPr>
              <w:pStyle w:val="653"/>
              <w:spacing w:line="440" w:lineRule="exact"/>
              <w:rPr>
                <w:rFonts w:ascii="宋体" w:hAnsi="宋体" w:cs="宋体"/>
                <w:color w:val="000000"/>
                <w:sz w:val="24"/>
                <w:szCs w:val="24"/>
              </w:rPr>
            </w:pPr>
            <w:r>
              <w:rPr>
                <w:rFonts w:hint="eastAsia" w:ascii="宋体" w:hAnsi="宋体" w:cs="宋体"/>
                <w:color w:val="000000"/>
                <w:sz w:val="24"/>
                <w:szCs w:val="24"/>
              </w:rPr>
              <w:t xml:space="preserve">以满足招标文件要求的最低投标报价为评审基准价，得满分30分。其他投标报价得分＝（评标基准价/其他投标报价）×30×100%</w:t>
            </w:r>
            <w:r>
              <w:rPr>
                <w:rFonts w:ascii="宋体" w:hAnsi="宋体" w:cs="宋体"/>
                <w:color w:val="000000"/>
                <w:sz w:val="24"/>
                <w:szCs w:val="24"/>
              </w:rPr>
            </w:r>
            <w:r/>
          </w:p>
        </w:tc>
      </w:tr>
      <w:tr>
        <w:trPr>
          <w:trHeight w:val="590"/>
        </w:trPr>
        <w:tc>
          <w:tcPr>
            <w:tcW w:w="1527" w:type="dxa"/>
            <w:vAlign w:val="center"/>
            <w:textDirection w:val="lrTb"/>
            <w:noWrap w:val="false"/>
          </w:tcPr>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技术参数响应（</w:t>
            </w:r>
            <w:r>
              <w:rPr>
                <w:rFonts w:ascii="宋体" w:hAnsi="宋体" w:cs="宋体"/>
                <w:color w:val="000000"/>
                <w:sz w:val="24"/>
                <w:szCs w:val="24"/>
              </w:rPr>
              <w:t xml:space="preserve">32</w:t>
            </w:r>
            <w:r>
              <w:rPr>
                <w:rFonts w:hint="eastAsia" w:ascii="宋体" w:hAnsi="宋体" w:cs="宋体"/>
                <w:color w:val="000000"/>
                <w:sz w:val="24"/>
                <w:szCs w:val="24"/>
              </w:rPr>
              <w:t xml:space="preserve">分）</w:t>
            </w:r>
            <w:r>
              <w:rPr>
                <w:rFonts w:ascii="宋体" w:hAnsi="宋体" w:cs="宋体"/>
                <w:color w:val="000000"/>
                <w:sz w:val="24"/>
                <w:szCs w:val="24"/>
              </w:rPr>
            </w:r>
            <w:r/>
          </w:p>
        </w:tc>
        <w:tc>
          <w:tcPr>
            <w:tcW w:w="8063" w:type="dxa"/>
            <w:vAlign w:val="center"/>
            <w:textDirection w:val="lrTb"/>
            <w:noWrap w:val="false"/>
          </w:tcPr>
          <w:p>
            <w:pPr>
              <w:pStyle w:val="653"/>
              <w:jc w:val="left"/>
              <w:spacing w:line="440" w:lineRule="exact"/>
              <w:rPr>
                <w:rFonts w:ascii="宋体" w:hAnsi="宋体" w:cs="宋体"/>
                <w:sz w:val="24"/>
                <w:szCs w:val="24"/>
              </w:rPr>
            </w:pPr>
            <w:r>
              <w:rPr>
                <w:rFonts w:hint="eastAsia" w:ascii="宋体" w:hAnsi="宋体" w:cs="宋体"/>
                <w:sz w:val="24"/>
                <w:szCs w:val="24"/>
              </w:rPr>
              <w:t xml:space="preserve">根据各投标人</w:t>
            </w:r>
            <w:r>
              <w:rPr>
                <w:rFonts w:hint="eastAsia" w:ascii="宋体" w:hAnsi="宋体" w:cs="宋体"/>
                <w:sz w:val="24"/>
                <w:szCs w:val="24"/>
              </w:rPr>
              <w:t xml:space="preserve">的投标文件中相关证</w:t>
            </w:r>
            <w:r>
              <w:rPr>
                <w:rFonts w:hint="eastAsia" w:ascii="宋体" w:hAnsi="宋体" w:cs="宋体"/>
                <w:sz w:val="24"/>
                <w:szCs w:val="24"/>
              </w:rPr>
              <w:t xml:space="preserve">明资料进行</w:t>
            </w:r>
            <w:r>
              <w:rPr>
                <w:rFonts w:hint="eastAsia" w:ascii="宋体" w:hAnsi="宋体" w:cs="宋体"/>
                <w:sz w:val="24"/>
                <w:szCs w:val="24"/>
              </w:rPr>
              <w:t xml:space="preserve">评审</w:t>
            </w:r>
            <w:r>
              <w:rPr>
                <w:rFonts w:hint="eastAsia" w:ascii="宋体" w:hAnsi="宋体" w:cs="宋体"/>
                <w:sz w:val="24"/>
                <w:szCs w:val="24"/>
              </w:rPr>
              <w:t xml:space="preserve">，招标文件的技术参数要求为基准，技术偏离表需逐条对比撰写，技术规格部分得分需根据所投产品的配置与性能指标的响应程度打分，所投产品若非逐条对应撰写则此项不得分。</w:t>
            </w:r>
            <w:r>
              <w:rPr>
                <w:rFonts w:hint="eastAsia" w:ascii="宋体" w:hAnsi="宋体" w:cs="宋体"/>
                <w:sz w:val="24"/>
                <w:szCs w:val="24"/>
              </w:rPr>
              <w:t xml:space="preserve">全部响应即满足招标文件主要的技术指标、参数要求的得</w:t>
            </w:r>
            <w:r>
              <w:rPr>
                <w:rFonts w:hint="eastAsia" w:ascii="宋体" w:hAnsi="宋体" w:cs="宋体"/>
                <w:sz w:val="24"/>
                <w:szCs w:val="24"/>
              </w:rPr>
              <w:t xml:space="preserve">32</w:t>
            </w:r>
            <w:r>
              <w:rPr>
                <w:rFonts w:hint="eastAsia" w:ascii="宋体" w:hAnsi="宋体" w:cs="宋体"/>
                <w:sz w:val="24"/>
                <w:szCs w:val="24"/>
              </w:rPr>
              <w:t xml:space="preserve">分。</w:t>
            </w:r>
            <w:r>
              <w:rPr>
                <w:rFonts w:hint="eastAsia" w:ascii="宋体" w:hAnsi="宋体" w:cs="宋体"/>
                <w:sz w:val="24"/>
                <w:szCs w:val="24"/>
              </w:rPr>
              <w:t xml:space="preserve">加▲项为满足</w:t>
            </w:r>
            <w:r>
              <w:rPr>
                <w:rFonts w:hint="eastAsia" w:ascii="宋体" w:hAnsi="宋体" w:cs="宋体"/>
                <w:sz w:val="24"/>
                <w:szCs w:val="24"/>
              </w:rPr>
              <w:t xml:space="preserve">采购人</w:t>
            </w:r>
            <w:r>
              <w:rPr>
                <w:rFonts w:hint="eastAsia" w:ascii="宋体" w:hAnsi="宋体" w:cs="宋体"/>
                <w:sz w:val="24"/>
                <w:szCs w:val="24"/>
              </w:rPr>
              <w:t xml:space="preserve">使用需求的重要参数，每一项不满足扣</w:t>
            </w:r>
            <w:r>
              <w:rPr>
                <w:rFonts w:ascii="宋体" w:hAnsi="宋体" w:cs="宋体"/>
                <w:sz w:val="24"/>
                <w:szCs w:val="24"/>
              </w:rPr>
              <w:t xml:space="preserve">1</w:t>
            </w:r>
            <w:r>
              <w:rPr>
                <w:rFonts w:hint="eastAsia" w:ascii="宋体" w:hAnsi="宋体" w:cs="宋体"/>
                <w:sz w:val="24"/>
                <w:szCs w:val="24"/>
              </w:rPr>
              <w:t xml:space="preserve">分，扣完为止。</w:t>
            </w:r>
            <w:r>
              <w:rPr>
                <w:rFonts w:ascii="宋体" w:hAnsi="宋体" w:cs="宋体"/>
                <w:sz w:val="24"/>
                <w:szCs w:val="24"/>
              </w:rPr>
            </w:r>
            <w:r/>
          </w:p>
          <w:p>
            <w:pPr>
              <w:pStyle w:val="653"/>
              <w:jc w:val="left"/>
              <w:spacing w:line="440" w:lineRule="exact"/>
              <w:rPr>
                <w:rFonts w:ascii="宋体" w:hAnsi="宋体" w:cs="宋体"/>
                <w:sz w:val="24"/>
                <w:szCs w:val="24"/>
              </w:rPr>
            </w:pPr>
            <w:r>
              <w:rPr>
                <w:rFonts w:hint="eastAsia" w:ascii="宋体" w:hAnsi="宋体"/>
                <w:sz w:val="24"/>
                <w:szCs w:val="24"/>
              </w:rPr>
              <w:t xml:space="preserve">投标人需按要求提供相关证明材料，不提供证明材料，不</w:t>
            </w:r>
            <w:r>
              <w:rPr>
                <w:rFonts w:hint="eastAsia" w:ascii="宋体" w:hAnsi="宋体"/>
                <w:sz w:val="24"/>
                <w:szCs w:val="24"/>
              </w:rPr>
              <w:t xml:space="preserve">得分。</w:t>
            </w:r>
            <w:r>
              <w:rPr>
                <w:rFonts w:ascii="宋体" w:hAnsi="宋体" w:cs="宋体"/>
                <w:sz w:val="24"/>
                <w:szCs w:val="24"/>
              </w:rPr>
            </w:r>
            <w:r/>
          </w:p>
        </w:tc>
      </w:tr>
      <w:tr>
        <w:trPr>
          <w:trHeight w:val="590"/>
        </w:trPr>
        <w:tc>
          <w:tcPr>
            <w:tcW w:w="1527" w:type="dxa"/>
            <w:vAlign w:val="center"/>
            <w:textDirection w:val="lrTb"/>
            <w:noWrap w:val="false"/>
          </w:tcPr>
          <w:p>
            <w:pPr>
              <w:pStyle w:val="653"/>
              <w:spacing w:line="360" w:lineRule="auto"/>
              <w:rPr>
                <w:rFonts w:ascii="宋体" w:hAnsi="宋体" w:cs="宋体"/>
                <w:color w:val="000000"/>
                <w:sz w:val="24"/>
                <w:szCs w:val="24"/>
              </w:rPr>
            </w:pPr>
            <w:r>
              <w:rPr>
                <w:rFonts w:hint="eastAsia" w:ascii="宋体" w:hAnsi="宋体" w:cs="宋体"/>
                <w:color w:val="000000"/>
                <w:sz w:val="24"/>
                <w:szCs w:val="24"/>
              </w:rPr>
              <w:t xml:space="preserve">产品功能演示（1</w:t>
            </w:r>
            <w:r>
              <w:rPr>
                <w:rFonts w:ascii="宋体" w:hAnsi="宋体" w:cs="宋体"/>
                <w:color w:val="000000"/>
                <w:sz w:val="24"/>
                <w:szCs w:val="24"/>
              </w:rPr>
              <w:t xml:space="preserve">0</w:t>
            </w:r>
            <w:r>
              <w:rPr>
                <w:rFonts w:hint="eastAsia" w:ascii="宋体" w:hAnsi="宋体" w:cs="宋体"/>
                <w:color w:val="000000"/>
                <w:sz w:val="24"/>
                <w:szCs w:val="24"/>
              </w:rPr>
              <w:t xml:space="preserve">分）</w:t>
            </w:r>
            <w:r>
              <w:rPr>
                <w:rFonts w:ascii="宋体" w:hAnsi="宋体" w:cs="宋体"/>
                <w:color w:val="000000"/>
                <w:sz w:val="24"/>
                <w:szCs w:val="24"/>
              </w:rPr>
            </w:r>
            <w:r/>
          </w:p>
        </w:tc>
        <w:tc>
          <w:tcPr>
            <w:tcW w:w="8063" w:type="dxa"/>
            <w:vAlign w:val="center"/>
            <w:textDirection w:val="lrTb"/>
            <w:noWrap w:val="false"/>
          </w:tcPr>
          <w:p>
            <w:pPr>
              <w:pStyle w:val="653"/>
              <w:spacing w:line="336" w:lineRule="auto"/>
              <w:rPr>
                <w:rFonts w:ascii="宋体" w:hAnsi="宋体"/>
                <w:bCs/>
                <w:sz w:val="24"/>
                <w:szCs w:val="24"/>
              </w:rPr>
            </w:pPr>
            <w:r>
              <w:rPr>
                <w:rFonts w:ascii="宋体" w:hAnsi="宋体"/>
                <w:sz w:val="24"/>
                <w:szCs w:val="24"/>
              </w:rPr>
              <w:t xml:space="preserve">投标人需按本次项目招标要求进行产品功能的视频演示，演示视频统一采用录制软件真实的操作方式进行逐项功能演示（视频画面须清晰），采用PPT、文档或视频播放形式（无实际软件操作过程的）不得分，</w:t>
            </w:r>
            <w:r>
              <w:rPr>
                <w:rFonts w:hint="eastAsia" w:ascii="宋体" w:hAnsi="宋体"/>
                <w:sz w:val="24"/>
                <w:szCs w:val="24"/>
              </w:rPr>
              <w:t xml:space="preserve">演示时间不超过15分钟。视频随投标文件上传，未上传或无法播放不得分。</w:t>
            </w:r>
            <w:r>
              <w:rPr>
                <w:rFonts w:hint="eastAsia" w:ascii="宋体" w:hAnsi="宋体"/>
                <w:bCs/>
                <w:sz w:val="24"/>
                <w:szCs w:val="24"/>
              </w:rPr>
              <w:t xml:space="preserve">每项演示成功后评委根据演示效果进行打分，</w:t>
            </w:r>
            <w:r>
              <w:rPr>
                <w:rFonts w:hint="eastAsia" w:ascii="宋体" w:hAnsi="宋体"/>
                <w:bCs/>
                <w:sz w:val="24"/>
                <w:szCs w:val="24"/>
              </w:rPr>
              <w:t xml:space="preserve">满足得2分，不满足和欠缺的不得分，满分10分。</w:t>
            </w:r>
            <w:r>
              <w:rPr>
                <w:rFonts w:ascii="宋体" w:hAnsi="宋体"/>
                <w:bCs/>
                <w:sz w:val="24"/>
                <w:szCs w:val="24"/>
              </w:rPr>
            </w:r>
            <w:r/>
          </w:p>
          <w:p>
            <w:pPr>
              <w:pStyle w:val="666"/>
              <w:rPr>
                <w:b/>
                <w:color w:val="000000"/>
              </w:rPr>
            </w:pPr>
            <w:r>
              <w:rPr>
                <w:rFonts w:hint="eastAsia" w:hAnsi="宋体"/>
                <w:b/>
                <w:color w:val="000000"/>
              </w:rPr>
              <w:t xml:space="preserve">婴幼儿行为分析系统：</w:t>
            </w:r>
            <w:r>
              <w:rPr>
                <w:b/>
                <w:color w:val="000000"/>
              </w:rPr>
            </w:r>
            <w:r/>
          </w:p>
          <w:p>
            <w:pPr>
              <w:pStyle w:val="653"/>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、系统可用1个、2个或3个字母进行编码，扩充了编码的数量；</w:t>
            </w:r>
            <w:r>
              <w:rPr>
                <w:rFonts w:ascii="宋体" w:hAnsi="宋体" w:cs="宋体"/>
                <w:sz w:val="24"/>
                <w:szCs w:val="24"/>
              </w:rPr>
            </w:r>
            <w:r/>
          </w:p>
          <w:p>
            <w:pPr>
              <w:pStyle w:val="653"/>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、系统可对视频进行暂停、慢放和快进，视频文件速度可调1/25到16倍原速度（1/25 1/5 1/2 1 2 4 8 16），音频文件可调1/2 1 2倍速度。</w:t>
              <w:br w:type="textWrapping" w:clear="all"/>
            </w:r>
            <w:r>
              <w:rPr>
                <w:rFonts w:ascii="宋体" w:hAnsi="宋体" w:cs="宋体"/>
                <w:sz w:val="24"/>
                <w:szCs w:val="24"/>
              </w:rPr>
              <w:t xml:space="preserve">3</w:t>
            </w:r>
            <w:r>
              <w:rPr>
                <w:rFonts w:hint="eastAsia" w:ascii="宋体" w:hAnsi="宋体" w:cs="宋体"/>
                <w:sz w:val="24"/>
                <w:szCs w:val="24"/>
              </w:rPr>
              <w:t xml:space="preserve">、可分析以下参数：最小持续时间、最长持续时间、平均持续时间、总持续时间、标准偏差、标准误、标准差、每分钟次数、总次数、百分比、潜伏期、下四分位数、中位数、上四分位数。</w:t>
              <w:br w:type="textWrapping" w:clear="all"/>
            </w:r>
            <w:r>
              <w:rPr>
                <w:rFonts w:ascii="宋体" w:hAnsi="宋体" w:cs="宋体"/>
                <w:sz w:val="24"/>
                <w:szCs w:val="24"/>
              </w:rPr>
              <w:t xml:space="preserve">4</w:t>
            </w:r>
            <w:r>
              <w:rPr>
                <w:rFonts w:hint="eastAsia" w:ascii="宋体" w:hAnsi="宋体" w:cs="宋体"/>
                <w:sz w:val="24"/>
                <w:szCs w:val="24"/>
              </w:rPr>
              <w:t xml:space="preserve">、可靠性分析：可分析一致性指数、百分比一致性、Cohen Kappa、Pearson Rho等统计分析。</w:t>
              <w:br w:type="textWrapping" w:clear="all"/>
            </w:r>
            <w:r>
              <w:rPr>
                <w:rFonts w:ascii="宋体" w:hAnsi="宋体" w:cs="宋体"/>
                <w:sz w:val="24"/>
                <w:szCs w:val="24"/>
              </w:rPr>
              <w:t xml:space="preserve">5</w:t>
            </w:r>
            <w:r>
              <w:rPr>
                <w:rFonts w:hint="eastAsia" w:ascii="宋体" w:hAnsi="宋体" w:cs="宋体"/>
                <w:sz w:val="24"/>
                <w:szCs w:val="24"/>
              </w:rPr>
              <w:t xml:space="preserve">、滞后序列分析可进行过渡矩阵分析，比如A事件发生后B发生的次数。</w:t>
            </w:r>
            <w:r>
              <w:rPr>
                <w:rFonts w:ascii="宋体" w:hAnsi="宋体" w:cs="宋体"/>
                <w:sz w:val="24"/>
                <w:szCs w:val="24"/>
              </w:rPr>
            </w:r>
            <w:r/>
          </w:p>
        </w:tc>
      </w:tr>
      <w:tr>
        <w:trPr>
          <w:trHeight w:val="590"/>
        </w:trPr>
        <w:tc>
          <w:tcPr>
            <w:tcW w:w="1527" w:type="dxa"/>
            <w:vAlign w:val="center"/>
            <w:textDirection w:val="lrTb"/>
            <w:noWrap w:val="false"/>
          </w:tcPr>
          <w:p>
            <w:pPr>
              <w:pStyle w:val="653"/>
              <w:spacing w:line="360" w:lineRule="auto"/>
              <w:rPr>
                <w:rFonts w:ascii="宋体" w:hAnsi="宋体" w:cs="宋体"/>
                <w:sz w:val="24"/>
                <w:szCs w:val="24"/>
              </w:rPr>
            </w:pPr>
            <w:r>
              <w:rPr>
                <w:rFonts w:hint="eastAsia" w:ascii="宋体" w:hAnsi="宋体" w:cs="宋体"/>
                <w:sz w:val="24"/>
                <w:szCs w:val="24"/>
              </w:rPr>
              <w:t xml:space="preserve">产品质量保证（</w:t>
            </w:r>
            <w:r>
              <w:rPr>
                <w:rFonts w:ascii="宋体" w:hAnsi="宋体" w:cs="宋体"/>
                <w:sz w:val="24"/>
                <w:szCs w:val="24"/>
              </w:rPr>
              <w:t xml:space="preserve">7</w:t>
            </w:r>
            <w:r>
              <w:rPr>
                <w:rFonts w:hint="eastAsia" w:ascii="宋体" w:hAnsi="宋体" w:cs="宋体"/>
                <w:sz w:val="24"/>
                <w:szCs w:val="24"/>
              </w:rPr>
              <w:t xml:space="preserve">分）</w:t>
            </w:r>
            <w:r>
              <w:rPr>
                <w:rFonts w:ascii="宋体" w:hAnsi="宋体" w:cs="宋体"/>
                <w:sz w:val="24"/>
                <w:szCs w:val="24"/>
              </w:rPr>
            </w:r>
            <w:r/>
          </w:p>
        </w:tc>
        <w:tc>
          <w:tcPr>
            <w:tcW w:w="8063" w:type="dxa"/>
            <w:vAlign w:val="center"/>
            <w:textDirection w:val="lrTb"/>
            <w:noWrap w:val="false"/>
          </w:tcPr>
          <w:p>
            <w:pPr>
              <w:pStyle w:val="653"/>
              <w:jc w:val="left"/>
              <w:spacing w:line="360" w:lineRule="auto"/>
              <w:rPr>
                <w:rFonts w:hint="eastAsia" w:ascii="宋体" w:hAnsi="宋体" w:cs="宋体"/>
                <w:sz w:val="24"/>
                <w:szCs w:val="24"/>
              </w:rPr>
            </w:pPr>
            <w:r>
              <w:rPr>
                <w:rFonts w:hint="eastAsia" w:ascii="宋体" w:hAnsi="宋体" w:cs="宋体"/>
                <w:sz w:val="24"/>
                <w:szCs w:val="24"/>
              </w:rPr>
              <w:t xml:space="preserve">1、所投4K录播一体机、高清云台摄像机产品具有无故障运行MTBF</w:t>
            </w:r>
            <w:r>
              <w:rPr>
                <w:rFonts w:hint="eastAsia" w:ascii="宋体" w:hAnsi="宋体"/>
                <w:sz w:val="24"/>
                <w:szCs w:val="24"/>
              </w:rPr>
              <w:t xml:space="preserve">≥</w:t>
            </w:r>
            <w:r>
              <w:rPr>
                <w:rFonts w:hint="eastAsia" w:ascii="宋体" w:hAnsi="宋体" w:cs="宋体"/>
                <w:sz w:val="24"/>
                <w:szCs w:val="24"/>
              </w:rPr>
              <w:t xml:space="preserve">15</w:t>
            </w:r>
            <w:r>
              <w:rPr>
                <w:rFonts w:hint="eastAsia" w:ascii="宋体" w:hAnsi="宋体" w:cs="宋体"/>
                <w:sz w:val="24"/>
                <w:szCs w:val="24"/>
              </w:rPr>
              <w:t xml:space="preserve">万小时检测报告，满足得1分，不满足不得分。（提供具有CMA认证的检测机构出具的检测报告原件扫描上传）</w:t>
            </w:r>
            <w:r/>
          </w:p>
          <w:p>
            <w:pPr>
              <w:pStyle w:val="666"/>
              <w:spacing w:line="360" w:lineRule="auto"/>
              <w:rPr>
                <w:rFonts w:hint="eastAsia" w:hAnsi="宋体"/>
                <w:color w:val="000000"/>
              </w:rPr>
            </w:pPr>
            <w:r>
              <w:rPr>
                <w:rFonts w:hint="eastAsia" w:hAnsi="宋体"/>
                <w:color w:val="000000"/>
              </w:rPr>
              <w:t xml:space="preserve">2、</w:t>
            </w:r>
            <w:r>
              <w:rPr>
                <w:rFonts w:hint="eastAsia" w:hAnsi="宋体"/>
                <w:color w:val="000000"/>
              </w:rPr>
              <w:t xml:space="preserve">所投智能交互平板</w:t>
            </w:r>
            <w:r>
              <w:rPr>
                <w:rFonts w:hint="eastAsia" w:hAnsi="宋体"/>
                <w:color w:val="000000"/>
              </w:rPr>
              <w:t xml:space="preserve">具有平均无故障时间MTBF≥10万小时证书的</w:t>
            </w:r>
            <w:r>
              <w:rPr>
                <w:rFonts w:hint="eastAsia" w:hAnsi="宋体"/>
                <w:color w:val="000000"/>
              </w:rPr>
              <w:t xml:space="preserve">，</w:t>
            </w:r>
            <w:r>
              <w:rPr>
                <w:rFonts w:hint="eastAsia" w:hAnsi="宋体"/>
                <w:color w:val="000000"/>
              </w:rPr>
              <w:t xml:space="preserve">得1分，提供相关证书扫描件上传，不提供不得分；</w:t>
            </w:r>
            <w:r>
              <w:rPr>
                <w:rFonts w:hint="eastAsia" w:hAnsi="宋体"/>
                <w:color w:val="000000"/>
              </w:rPr>
            </w:r>
            <w:r/>
          </w:p>
          <w:p>
            <w:pPr>
              <w:pStyle w:val="653"/>
              <w:jc w:val="left"/>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、所投录播一体机的生产厂家具有商品售后服务评价认证（十星级及以上）,证书覆盖范围应包含录播设备、录播系统软件、摄像机的售后服务，提供相关证书扫描上传得</w:t>
            </w:r>
            <w:r>
              <w:rPr>
                <w:rFonts w:ascii="宋体" w:hAnsi="宋体" w:cs="宋体"/>
                <w:sz w:val="24"/>
                <w:szCs w:val="24"/>
              </w:rPr>
              <w:t xml:space="preserve">2</w:t>
            </w:r>
            <w:r>
              <w:rPr>
                <w:rFonts w:hint="eastAsia" w:ascii="宋体" w:hAnsi="宋体" w:cs="宋体"/>
                <w:sz w:val="24"/>
                <w:szCs w:val="24"/>
              </w:rPr>
              <w:t xml:space="preserve">分，不提供不得分。</w:t>
            </w:r>
            <w:r>
              <w:rPr>
                <w:rFonts w:ascii="宋体" w:hAnsi="宋体" w:cs="宋体"/>
                <w:sz w:val="24"/>
                <w:szCs w:val="24"/>
              </w:rPr>
            </w:r>
            <w:r/>
          </w:p>
          <w:p>
            <w:pPr>
              <w:pStyle w:val="653"/>
              <w:jc w:val="left"/>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所投录播一体机生产厂家具有供应链安全管理体系认证证书，证书覆盖范围应包含录播设备、录播系统软件、管理平台的售后服务，计算机信息系统集成服务活动的供应链安全管理，提供相关证书扫描上传得1分，不提供不得分。</w:t>
            </w:r>
            <w:r>
              <w:rPr>
                <w:rFonts w:ascii="宋体" w:hAnsi="宋体" w:cs="宋体"/>
                <w:sz w:val="24"/>
                <w:szCs w:val="24"/>
              </w:rPr>
            </w:r>
            <w:r/>
          </w:p>
          <w:p>
            <w:pPr>
              <w:pStyle w:val="653"/>
              <w:jc w:val="left"/>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、“智能云盒”产品具有CQC认证，提供相关证书扫描上传得1分，不提供不得分。</w:t>
            </w:r>
            <w:r>
              <w:rPr>
                <w:rFonts w:ascii="宋体" w:hAnsi="宋体" w:cs="宋体"/>
                <w:sz w:val="24"/>
                <w:szCs w:val="24"/>
              </w:rPr>
            </w:r>
            <w:r/>
          </w:p>
          <w:p>
            <w:pPr>
              <w:pStyle w:val="653"/>
              <w:jc w:val="left"/>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所投86寸</w:t>
            </w:r>
            <w:r>
              <w:rPr>
                <w:rFonts w:hint="eastAsia" w:ascii="宋体" w:hAnsi="宋体" w:cs="宋体"/>
                <w:sz w:val="24"/>
                <w:szCs w:val="24"/>
              </w:rPr>
              <w:t xml:space="preserve">智能</w:t>
            </w:r>
            <w:r>
              <w:rPr>
                <w:rFonts w:hint="eastAsia" w:ascii="宋体" w:hAnsi="宋体" w:cs="宋体"/>
                <w:sz w:val="24"/>
                <w:szCs w:val="24"/>
              </w:rPr>
              <w:t xml:space="preserve">交互平板制造商</w:t>
            </w:r>
            <w:r>
              <w:rPr>
                <w:rFonts w:hint="eastAsia" w:ascii="宋体" w:hAnsi="宋体" w:cs="宋体"/>
                <w:sz w:val="24"/>
                <w:szCs w:val="24"/>
              </w:rPr>
              <w:t xml:space="preserve">（生产者）</w:t>
            </w:r>
            <w:r>
              <w:rPr>
                <w:rFonts w:hint="eastAsia" w:ascii="宋体" w:hAnsi="宋体" w:cs="宋体"/>
                <w:sz w:val="24"/>
                <w:szCs w:val="24"/>
              </w:rPr>
              <w:t xml:space="preserve">获得科学技术进步奖项证书，提供证书原件扫描上传。提供得1分，不提供不得分。</w:t>
            </w:r>
            <w:r>
              <w:rPr>
                <w:rFonts w:hint="eastAsia" w:ascii="宋体" w:hAnsi="宋体" w:cs="宋体"/>
                <w:sz w:val="24"/>
                <w:szCs w:val="24"/>
              </w:rPr>
            </w:r>
            <w:r/>
          </w:p>
          <w:p>
            <w:pPr>
              <w:pStyle w:val="666"/>
            </w:pPr>
            <w:r>
              <w:rPr>
                <w:rFonts w:hint="eastAsia" w:hAnsi="宋体"/>
                <w:b/>
                <w:bCs/>
              </w:rPr>
              <w:t xml:space="preserve">（上述需提供有效期证书，原件扫描上传）</w:t>
            </w:r>
            <w:r/>
          </w:p>
        </w:tc>
      </w:tr>
      <w:tr>
        <w:trPr>
          <w:trHeight w:val="90"/>
        </w:trPr>
        <w:tc>
          <w:tcPr>
            <w:tcW w:w="1527" w:type="dxa"/>
            <w:vAlign w:val="center"/>
            <w:textDirection w:val="lrTb"/>
            <w:noWrap w:val="false"/>
          </w:tcPr>
          <w:p>
            <w:pPr>
              <w:pStyle w:val="653"/>
              <w:spacing w:line="360" w:lineRule="auto"/>
              <w:rPr>
                <w:rFonts w:ascii="宋体" w:hAnsi="宋体" w:cs="宋体"/>
                <w:sz w:val="24"/>
                <w:szCs w:val="24"/>
              </w:rPr>
            </w:pPr>
            <w:r>
              <w:rPr>
                <w:rFonts w:hint="eastAsia" w:ascii="宋体" w:hAnsi="宋体" w:cs="宋体"/>
                <w:sz w:val="24"/>
                <w:szCs w:val="24"/>
              </w:rPr>
              <w:t xml:space="preserve">企业综合实力</w:t>
            </w:r>
            <w:r>
              <w:rPr>
                <w:rFonts w:ascii="宋体" w:hAnsi="宋体" w:cs="宋体"/>
                <w:sz w:val="24"/>
                <w:szCs w:val="24"/>
              </w:rPr>
              <w:t xml:space="preserve">（6</w:t>
            </w:r>
            <w:r>
              <w:rPr>
                <w:rFonts w:hint="eastAsia" w:ascii="宋体" w:hAnsi="宋体" w:cs="宋体"/>
                <w:sz w:val="24"/>
                <w:szCs w:val="24"/>
              </w:rPr>
              <w:t xml:space="preserve">分）</w:t>
            </w:r>
            <w:r>
              <w:rPr>
                <w:rFonts w:ascii="宋体" w:hAnsi="宋体" w:cs="宋体"/>
                <w:sz w:val="24"/>
                <w:szCs w:val="24"/>
              </w:rPr>
            </w:r>
            <w:r/>
          </w:p>
        </w:tc>
        <w:tc>
          <w:tcPr>
            <w:tcW w:w="8063" w:type="dxa"/>
            <w:vAlign w:val="center"/>
            <w:textDirection w:val="lrTb"/>
            <w:noWrap w:val="false"/>
          </w:tcPr>
          <w:p>
            <w:pPr>
              <w:pStyle w:val="653"/>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tab/>
              <w:t xml:space="preserve">投标人具备ISO9001质量管理体系认证证书、具备ISO20000信息技术服务管理体系认证证书每提供一份证书得1分，不提供不得分，满分2分；</w:t>
            </w:r>
            <w:r/>
            <w:r>
              <w:rPr>
                <w:rFonts w:hint="eastAsia" w:ascii="宋体" w:hAnsi="宋体" w:cs="宋体"/>
                <w:color w:val="000000"/>
                <w:sz w:val="24"/>
                <w:szCs w:val="24"/>
              </w:rPr>
            </w:r>
            <w:r/>
            <w:r>
              <w:rPr>
                <w:rFonts w:hint="eastAsia" w:ascii="宋体" w:hAnsi="宋体" w:cs="宋体"/>
                <w:color w:val="000000"/>
                <w:sz w:val="24"/>
                <w:szCs w:val="24"/>
              </w:rPr>
            </w:r>
          </w:p>
          <w:p>
            <w:pPr>
              <w:pStyle w:val="653"/>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2、投标人具有CCRC信息安全服务资质认证证书（安全集成、安全运维）三级服务资质及以上的，提供相关证书扫描件上传得2分，不提供不得分；</w:t>
            </w:r>
            <w:r/>
          </w:p>
          <w:p>
            <w:pPr>
              <w:pStyle w:val="666"/>
              <w:jc w:val="both"/>
              <w:spacing w:line="440" w:lineRule="exact"/>
              <w:rPr>
                <w:rFonts w:hAnsi="宋体"/>
              </w:rPr>
            </w:pPr>
            <w:r>
              <w:rPr>
                <w:rFonts w:hint="eastAsia" w:hAnsi="宋体"/>
              </w:rPr>
              <w:t xml:space="preserve">3、投标人具备ITSS信息技术服务标准运行维护服务, 三级及以上证书的得2分，不提供不得分；</w:t>
            </w:r>
            <w:r>
              <w:rPr>
                <w:rFonts w:hAnsi="宋体"/>
              </w:rPr>
            </w:r>
            <w:r/>
          </w:p>
        </w:tc>
      </w:tr>
      <w:tr>
        <w:trPr>
          <w:trHeight w:val="90"/>
        </w:trPr>
        <w:tc>
          <w:tcPr>
            <w:tcW w:w="1527" w:type="dxa"/>
            <w:vAlign w:val="center"/>
            <w:textDirection w:val="lrTb"/>
            <w:noWrap w:val="false"/>
          </w:tcPr>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项目人员配置（4分）</w:t>
            </w:r>
            <w:r>
              <w:rPr>
                <w:rFonts w:ascii="宋体" w:hAnsi="宋体" w:cs="宋体"/>
                <w:color w:val="000000"/>
                <w:sz w:val="24"/>
                <w:szCs w:val="24"/>
              </w:rPr>
            </w:r>
            <w:r/>
          </w:p>
        </w:tc>
        <w:tc>
          <w:tcPr>
            <w:tcW w:w="8063" w:type="dxa"/>
            <w:vAlign w:val="center"/>
            <w:textDirection w:val="lrTb"/>
            <w:noWrap w:val="false"/>
          </w:tcPr>
          <w:p>
            <w:pPr>
              <w:pStyle w:val="653"/>
              <w:spacing w:line="360" w:lineRule="auto"/>
              <w:rPr>
                <w:rFonts w:ascii="宋体" w:hAnsi="宋体" w:cs="宋体"/>
                <w:color w:val="000000"/>
                <w:sz w:val="24"/>
                <w:szCs w:val="24"/>
              </w:rPr>
            </w:pPr>
            <w:r>
              <w:rPr>
                <w:rFonts w:hint="eastAsia" w:ascii="宋体" w:hAnsi="宋体" w:cs="宋体"/>
                <w:color w:val="000000"/>
                <w:sz w:val="24"/>
                <w:szCs w:val="24"/>
              </w:rPr>
              <w:t xml:space="preserve">1、投标人拟任项目经理具有</w:t>
            </w:r>
            <w:r>
              <w:rPr>
                <w:rFonts w:hint="eastAsia" w:ascii="宋体" w:hAnsi="宋体" w:cs="宋体"/>
                <w:color w:val="000000"/>
                <w:sz w:val="24"/>
                <w:szCs w:val="24"/>
                <w:lang w:bidi="ar"/>
              </w:rPr>
              <w:t xml:space="preserve">高级智能化系统集成项目经理证书、信息安全保障人员认证证书（CISAW）</w:t>
            </w:r>
            <w:r>
              <w:rPr>
                <w:rFonts w:hint="eastAsia" w:ascii="宋体" w:hAnsi="宋体" w:cs="宋体"/>
                <w:color w:val="000000"/>
                <w:sz w:val="24"/>
                <w:szCs w:val="24"/>
              </w:rPr>
              <w:t xml:space="preserve">提供证书原件扫描件上传，每有一个得1分，最多得2分；</w:t>
            </w:r>
            <w:r>
              <w:rPr>
                <w:rFonts w:ascii="宋体" w:hAnsi="宋体" w:cs="宋体"/>
                <w:color w:val="000000"/>
                <w:sz w:val="24"/>
                <w:szCs w:val="24"/>
              </w:rPr>
            </w:r>
            <w:r/>
          </w:p>
          <w:p>
            <w:pPr>
              <w:pStyle w:val="65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2、投标人拟投入项目团队成员(项目经理除外)具有系统集成项目管理工程师每有一个得1分，满分2</w:t>
            </w:r>
            <w:r>
              <w:rPr>
                <w:rFonts w:hint="eastAsia" w:ascii="宋体" w:hAnsi="宋体" w:cs="宋体"/>
                <w:color w:val="000000"/>
                <w:sz w:val="24"/>
                <w:szCs w:val="24"/>
              </w:rPr>
              <w:t xml:space="preserve">分；</w:t>
            </w:r>
            <w:r>
              <w:rPr>
                <w:rFonts w:hint="eastAsia" w:ascii="宋体" w:hAnsi="宋体" w:cs="宋体"/>
                <w:color w:val="000000"/>
                <w:sz w:val="24"/>
                <w:szCs w:val="24"/>
              </w:rPr>
              <w:t xml:space="preserve">(提供证书原件及投标人近三个月内任意一个月为其缴纳社保的证明材料扫描件)</w:t>
            </w:r>
            <w:r/>
          </w:p>
          <w:p>
            <w:pPr>
              <w:pStyle w:val="653"/>
              <w:spacing w:line="360" w:lineRule="auto"/>
              <w:rPr>
                <w:rFonts w:ascii="宋体" w:hAnsi="宋体" w:cs="宋体"/>
                <w:color w:val="000000"/>
                <w:sz w:val="24"/>
                <w:szCs w:val="24"/>
              </w:rPr>
            </w:pPr>
            <w:r>
              <w:rPr>
                <w:rFonts w:hint="eastAsia" w:ascii="宋体" w:hAnsi="宋体" w:cs="宋体"/>
                <w:color w:val="000000"/>
                <w:sz w:val="24"/>
                <w:szCs w:val="24"/>
              </w:rPr>
              <w:t xml:space="preserve">注：提供以上人员有效期内证书及投标人近3个月中任意一月为其缴纳社保的证明材料，原件扫描上传。</w:t>
            </w:r>
            <w:r>
              <w:rPr>
                <w:rFonts w:ascii="宋体" w:hAnsi="宋体" w:cs="宋体"/>
                <w:color w:val="000000"/>
                <w:sz w:val="24"/>
                <w:szCs w:val="24"/>
              </w:rPr>
            </w:r>
            <w:r/>
          </w:p>
        </w:tc>
      </w:tr>
      <w:tr>
        <w:trPr>
          <w:trHeight w:val="1417"/>
        </w:trPr>
        <w:tc>
          <w:tcPr>
            <w:tcW w:w="1527" w:type="dxa"/>
            <w:vAlign w:val="center"/>
            <w:textDirection w:val="lrTb"/>
            <w:noWrap w:val="false"/>
          </w:tcPr>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实施方案</w:t>
            </w:r>
            <w:r>
              <w:rPr>
                <w:rFonts w:ascii="宋体" w:hAnsi="宋体" w:cs="宋体"/>
                <w:color w:val="000000"/>
                <w:sz w:val="24"/>
                <w:szCs w:val="24"/>
              </w:rPr>
            </w:r>
            <w:r/>
          </w:p>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（4分）</w:t>
            </w:r>
            <w:r>
              <w:rPr>
                <w:rFonts w:ascii="宋体" w:hAnsi="宋体" w:cs="宋体"/>
                <w:color w:val="000000"/>
                <w:sz w:val="24"/>
                <w:szCs w:val="24"/>
              </w:rPr>
            </w:r>
            <w:r/>
          </w:p>
        </w:tc>
        <w:tc>
          <w:tcPr>
            <w:tcW w:w="8063" w:type="dxa"/>
            <w:vAlign w:val="center"/>
            <w:textDirection w:val="lrTb"/>
            <w:noWrap w:val="false"/>
          </w:tcPr>
          <w:p>
            <w:pPr>
              <w:pStyle w:val="653"/>
              <w:spacing w:line="360" w:lineRule="auto"/>
              <w:rPr>
                <w:rFonts w:ascii="宋体" w:hAnsi="宋体" w:cs="宋体"/>
                <w:color w:val="000000"/>
                <w:sz w:val="24"/>
                <w:szCs w:val="24"/>
              </w:rPr>
            </w:pPr>
            <w:r>
              <w:rPr>
                <w:rFonts w:hint="eastAsia" w:ascii="宋体" w:hAnsi="宋体" w:cs="宋体"/>
                <w:color w:val="000000"/>
                <w:sz w:val="24"/>
                <w:szCs w:val="24"/>
              </w:rPr>
              <w:t xml:space="preserve">根据投标人提供的实施方案进行综合评分。优于招标要求的，得4分；完全符合招标要求的，得2分；</w:t>
            </w:r>
            <w:r>
              <w:rPr>
                <w:rFonts w:hint="eastAsia" w:ascii="宋体" w:hAnsi="宋体"/>
                <w:color w:val="000000"/>
                <w:sz w:val="24"/>
                <w:szCs w:val="24"/>
              </w:rPr>
              <w:t xml:space="preserve">不符合招标要求的或不提供的，不得分。</w:t>
            </w:r>
            <w:r>
              <w:rPr>
                <w:rFonts w:ascii="宋体" w:hAnsi="宋体" w:cs="宋体"/>
                <w:color w:val="000000"/>
                <w:sz w:val="24"/>
                <w:szCs w:val="24"/>
              </w:rPr>
            </w:r>
            <w:r/>
          </w:p>
        </w:tc>
      </w:tr>
      <w:tr>
        <w:trPr>
          <w:trHeight w:val="344"/>
        </w:trPr>
        <w:tc>
          <w:tcPr>
            <w:tcW w:w="1527" w:type="dxa"/>
            <w:vAlign w:val="center"/>
            <w:textDirection w:val="lrTb"/>
            <w:noWrap w:val="false"/>
          </w:tcPr>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培训方案</w:t>
            </w:r>
            <w:r>
              <w:rPr>
                <w:rFonts w:ascii="宋体" w:hAnsi="宋体" w:cs="宋体"/>
                <w:color w:val="000000"/>
                <w:sz w:val="24"/>
                <w:szCs w:val="24"/>
              </w:rPr>
            </w:r>
            <w:r/>
          </w:p>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（4分）</w:t>
            </w:r>
            <w:r>
              <w:rPr>
                <w:rFonts w:ascii="宋体" w:hAnsi="宋体" w:cs="宋体"/>
                <w:color w:val="000000"/>
                <w:sz w:val="24"/>
                <w:szCs w:val="24"/>
              </w:rPr>
            </w:r>
            <w:r/>
          </w:p>
        </w:tc>
        <w:tc>
          <w:tcPr>
            <w:tcW w:w="8063" w:type="dxa"/>
            <w:vAlign w:val="center"/>
            <w:textDirection w:val="lrTb"/>
            <w:noWrap w:val="false"/>
          </w:tcPr>
          <w:p>
            <w:pPr>
              <w:pStyle w:val="653"/>
              <w:spacing w:line="360" w:lineRule="auto"/>
              <w:rPr>
                <w:rFonts w:ascii="宋体" w:hAnsi="宋体" w:cs="宋体"/>
                <w:color w:val="000000"/>
                <w:sz w:val="24"/>
                <w:szCs w:val="24"/>
              </w:rPr>
            </w:pPr>
            <w:r>
              <w:rPr>
                <w:rFonts w:hint="eastAsia" w:ascii="宋体" w:hAnsi="宋体" w:cs="宋体"/>
                <w:color w:val="000000"/>
                <w:sz w:val="24"/>
                <w:szCs w:val="24"/>
              </w:rPr>
              <w:t xml:space="preserve">根据投标人提供的培训方案进行综合评分。优于招标要求的，得4分；完全符合招标要求的，得2分；不符合招标要求的或不提供的，不得分。</w:t>
            </w:r>
            <w:r>
              <w:rPr>
                <w:rFonts w:ascii="宋体" w:hAnsi="宋体" w:cs="宋体"/>
                <w:color w:val="000000"/>
                <w:sz w:val="24"/>
                <w:szCs w:val="24"/>
              </w:rPr>
            </w:r>
            <w:r/>
          </w:p>
        </w:tc>
      </w:tr>
      <w:tr>
        <w:trPr>
          <w:trHeight w:val="344"/>
        </w:trPr>
        <w:tc>
          <w:tcPr>
            <w:tcW w:w="1527" w:type="dxa"/>
            <w:vAlign w:val="center"/>
            <w:textDirection w:val="lrTb"/>
            <w:noWrap w:val="false"/>
          </w:tcPr>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售后服务</w:t>
            </w:r>
            <w:r>
              <w:rPr>
                <w:rFonts w:ascii="宋体" w:hAnsi="宋体" w:cs="宋体"/>
                <w:color w:val="000000"/>
                <w:sz w:val="24"/>
                <w:szCs w:val="24"/>
              </w:rPr>
            </w:r>
            <w:r/>
          </w:p>
          <w:p>
            <w:pPr>
              <w:pStyle w:val="653"/>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（3分）</w:t>
            </w:r>
            <w:r>
              <w:rPr>
                <w:rFonts w:ascii="宋体" w:hAnsi="宋体" w:cs="宋体"/>
                <w:color w:val="000000"/>
                <w:sz w:val="24"/>
                <w:szCs w:val="24"/>
              </w:rPr>
            </w:r>
            <w:r/>
          </w:p>
        </w:tc>
        <w:tc>
          <w:tcPr>
            <w:tcW w:w="8063" w:type="dxa"/>
            <w:vAlign w:val="center"/>
            <w:textDirection w:val="lrTb"/>
            <w:noWrap w:val="false"/>
          </w:tcPr>
          <w:p>
            <w:pPr>
              <w:pStyle w:val="653"/>
              <w:spacing w:line="360" w:lineRule="auto"/>
              <w:rPr>
                <w:rFonts w:ascii="宋体" w:hAnsi="宋体" w:cs="宋体"/>
                <w:color w:val="000000"/>
                <w:sz w:val="24"/>
                <w:szCs w:val="24"/>
              </w:rPr>
            </w:pPr>
            <w:r>
              <w:rPr>
                <w:rFonts w:hint="eastAsia" w:ascii="宋体" w:hAnsi="宋体" w:cs="宋体"/>
                <w:color w:val="000000"/>
                <w:sz w:val="24"/>
                <w:szCs w:val="24"/>
              </w:rPr>
              <w:t xml:space="preserve">根据投标人提供的售后服务方案进行综合评分。优于招标要求的，得3分；完全符合招标要求的，得1分；不符合招标要求的或不提供的，不得分。</w:t>
            </w:r>
            <w:r>
              <w:rPr>
                <w:rFonts w:ascii="宋体" w:hAnsi="宋体" w:cs="宋体"/>
                <w:color w:val="000000"/>
                <w:sz w:val="24"/>
                <w:szCs w:val="24"/>
              </w:rPr>
            </w:r>
            <w:r/>
          </w:p>
        </w:tc>
      </w:tr>
    </w:tbl>
    <w:p>
      <w:pPr>
        <w:pStyle w:val="653"/>
        <w:ind w:firstLine="480"/>
        <w:rPr>
          <w:rFonts w:ascii="黑体" w:hAnsi="黑体" w:eastAsia="黑体" w:cs="宋体"/>
          <w:sz w:val="24"/>
        </w:rPr>
      </w:pPr>
      <w:r>
        <w:rPr>
          <w:rFonts w:ascii="黑体" w:hAnsi="黑体" w:eastAsia="黑体" w:cs="宋体"/>
          <w:sz w:val="24"/>
        </w:rPr>
      </w:r>
      <w:r/>
    </w:p>
    <w:p>
      <w:pPr>
        <w:pStyle w:val="653"/>
        <w:ind w:firstLine="480"/>
        <w:rPr>
          <w:rFonts w:ascii="黑体" w:hAnsi="黑体" w:eastAsia="黑体" w:cs="宋体"/>
          <w:sz w:val="24"/>
        </w:rPr>
      </w:pPr>
      <w:r>
        <w:rPr>
          <w:rFonts w:ascii="黑体" w:hAnsi="黑体" w:eastAsia="黑体" w:cs="宋体"/>
          <w:sz w:val="24"/>
        </w:rPr>
      </w:r>
      <w:r/>
    </w:p>
    <w:p>
      <w:pPr>
        <w:pStyle w:val="653"/>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sz w:val="20"/>
          <w:szCs w:val="20"/>
        </w:rPr>
      </w:r>
      <w:r/>
    </w:p>
    <w:p>
      <w:pPr>
        <w:pStyle w:val="653"/>
      </w:pPr>
      <w:r/>
      <w:r/>
    </w:p>
    <w:p>
      <w:pPr>
        <w:pStyle w:val="654"/>
        <w:jc w:val="center"/>
      </w:pPr>
      <w:r/>
      <w:bookmarkStart w:id="68" w:name="_Toc15738"/>
      <w:r>
        <w:br w:type="page" w:clear="all"/>
      </w:r>
      <w:r/>
    </w:p>
    <w:p>
      <w:pPr>
        <w:pStyle w:val="654"/>
        <w:jc w:val="center"/>
      </w:pPr>
      <w:r>
        <w:rPr>
          <w:rFonts w:hint="eastAsia"/>
        </w:rPr>
        <w:t xml:space="preserve">第六章  投标</w:t>
      </w:r>
      <w:bookmarkEnd w:id="64"/>
      <w:r/>
      <w:bookmarkEnd w:id="65"/>
      <w:r/>
      <w:bookmarkEnd w:id="67"/>
      <w:r>
        <w:rPr>
          <w:rFonts w:hint="eastAsia"/>
        </w:rPr>
        <w:t xml:space="preserve">文件格式</w:t>
      </w:r>
      <w:bookmarkEnd w:id="68"/>
      <w:r>
        <w:rPr>
          <w:rFonts w:hint="eastAsia"/>
        </w:rPr>
        <w:t xml:space="preserve"> </w:t>
      </w:r>
      <w:r/>
    </w:p>
    <w:p>
      <w:pPr>
        <w:pStyle w:val="653"/>
        <w:jc w:val="center"/>
        <w:rPr>
          <w:rFonts w:ascii="宋体" w:hAnsi="宋体"/>
          <w:b/>
          <w:sz w:val="72"/>
        </w:rPr>
      </w:pPr>
      <w:r/>
      <w:bookmarkStart w:id="69" w:name="_Toc120614282"/>
      <w:r/>
      <w:bookmarkStart w:id="70" w:name="_Toc49090576"/>
      <w:r/>
      <w:bookmarkStart w:id="71" w:name="_Toc26554094"/>
      <w:r/>
      <w:bookmarkStart w:id="72" w:name="_Hlt26671244"/>
      <w:r/>
      <w:bookmarkEnd w:id="72"/>
      <w:r/>
      <w:bookmarkStart w:id="73" w:name="_Hlt26955039"/>
      <w:r/>
      <w:bookmarkEnd w:id="73"/>
      <w:r>
        <w:rPr>
          <w:rFonts w:ascii="宋体" w:hAnsi="宋体"/>
          <w:b/>
          <w:sz w:val="72"/>
        </w:rPr>
      </w:r>
      <w:r/>
    </w:p>
    <w:p>
      <w:pPr>
        <w:pStyle w:val="653"/>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653"/>
        <w:jc w:val="center"/>
        <w:rPr>
          <w:rFonts w:ascii="宋体" w:hAnsi="宋体"/>
          <w:b/>
          <w:sz w:val="72"/>
        </w:rPr>
      </w:pPr>
      <w:r>
        <w:rPr>
          <w:rFonts w:ascii="宋体" w:hAnsi="宋体"/>
          <w:b/>
          <w:sz w:val="72"/>
        </w:rPr>
      </w:r>
      <w:r/>
    </w:p>
    <w:p>
      <w:pPr>
        <w:pStyle w:val="653"/>
        <w:jc w:val="center"/>
        <w:rPr>
          <w:rFonts w:ascii="宋体" w:hAnsi="宋体"/>
          <w:b/>
          <w:sz w:val="72"/>
        </w:rPr>
      </w:pPr>
      <w:r>
        <w:rPr>
          <w:rFonts w:ascii="宋体" w:hAnsi="宋体"/>
          <w:b/>
          <w:sz w:val="72"/>
        </w:rPr>
      </w:r>
      <w:r/>
    </w:p>
    <w:p>
      <w:pPr>
        <w:pStyle w:val="653"/>
        <w:jc w:val="center"/>
        <w:rPr>
          <w:rFonts w:ascii="宋体" w:hAnsi="宋体"/>
          <w:b/>
          <w:sz w:val="36"/>
        </w:rPr>
      </w:pPr>
      <w:r>
        <w:rPr>
          <w:rFonts w:ascii="宋体" w:hAnsi="宋体"/>
          <w:b/>
          <w:sz w:val="36"/>
        </w:rPr>
      </w:r>
      <w:r/>
    </w:p>
    <w:p>
      <w:pPr>
        <w:pStyle w:val="653"/>
        <w:jc w:val="center"/>
        <w:rPr>
          <w:rFonts w:ascii="宋体" w:hAnsi="宋体"/>
          <w:b/>
          <w:sz w:val="36"/>
        </w:rPr>
      </w:pPr>
      <w:r>
        <w:rPr>
          <w:rFonts w:ascii="宋体" w:hAnsi="宋体"/>
          <w:b/>
          <w:sz w:val="36"/>
        </w:rPr>
      </w:r>
      <w:r/>
    </w:p>
    <w:p>
      <w:pPr>
        <w:pStyle w:val="653"/>
        <w:jc w:val="center"/>
        <w:rPr>
          <w:rFonts w:ascii="宋体" w:hAnsi="宋体"/>
          <w:b/>
          <w:sz w:val="36"/>
        </w:rPr>
      </w:pPr>
      <w:r>
        <w:rPr>
          <w:rFonts w:ascii="宋体" w:hAnsi="宋体"/>
          <w:b/>
          <w:sz w:val="36"/>
        </w:rPr>
      </w:r>
      <w:r/>
    </w:p>
    <w:p>
      <w:pPr>
        <w:pStyle w:val="65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65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3"/>
        <w:jc w:val="center"/>
        <w:spacing w:line="440" w:lineRule="exact"/>
        <w:rPr>
          <w:rFonts w:ascii="宋体" w:hAnsi="宋体"/>
          <w:b/>
          <w:bCs/>
          <w:sz w:val="32"/>
          <w:szCs w:val="32"/>
        </w:rPr>
      </w:pPr>
      <w:r>
        <w:rPr>
          <w:rFonts w:ascii="宋体" w:hAnsi="宋体"/>
          <w:b/>
          <w:bCs/>
          <w:sz w:val="32"/>
          <w:szCs w:val="32"/>
        </w:rPr>
      </w:r>
      <w:r/>
    </w:p>
    <w:p>
      <w:pPr>
        <w:pStyle w:val="653"/>
        <w:spacing w:line="440" w:lineRule="exact"/>
        <w:rPr>
          <w:rFonts w:ascii="宋体" w:hAnsi="宋体"/>
        </w:rPr>
      </w:pPr>
      <w:r>
        <w:rPr>
          <w:rFonts w:ascii="宋体" w:hAnsi="宋体"/>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sz w:val="36"/>
          <w:u w:val="single"/>
        </w:rPr>
      </w:pPr>
      <w:r>
        <w:rPr>
          <w:rFonts w:ascii="宋体" w:hAnsi="宋体"/>
          <w:b/>
          <w:sz w:val="36"/>
          <w:u w:val="single"/>
        </w:rPr>
      </w:r>
      <w:r/>
    </w:p>
    <w:p>
      <w:pPr>
        <w:pStyle w:val="653"/>
        <w:jc w:val="center"/>
        <w:spacing w:line="440" w:lineRule="exact"/>
        <w:rPr>
          <w:rFonts w:ascii="宋体" w:hAnsi="宋体"/>
          <w:b/>
          <w:bCs/>
          <w:sz w:val="32"/>
          <w:szCs w:val="32"/>
        </w:rPr>
      </w:pPr>
      <w:r>
        <w:rPr>
          <w:rFonts w:ascii="宋体" w:hAnsi="宋体"/>
          <w:b/>
          <w:bCs/>
          <w:sz w:val="32"/>
          <w:szCs w:val="32"/>
        </w:rPr>
        <w:br w:type="page" w:clear="all"/>
      </w:r>
      <w:r/>
    </w:p>
    <w:p>
      <w:pPr>
        <w:pStyle w:val="653"/>
        <w:jc w:val="center"/>
        <w:spacing w:line="440" w:lineRule="exact"/>
        <w:rPr>
          <w:rFonts w:ascii="宋体" w:hAnsi="宋体"/>
          <w:b/>
          <w:bCs/>
          <w:sz w:val="32"/>
          <w:szCs w:val="32"/>
        </w:rPr>
      </w:pPr>
      <w:r>
        <w:rPr>
          <w:rFonts w:hint="eastAsia" w:ascii="宋体" w:hAnsi="宋体"/>
          <w:b/>
          <w:bCs/>
          <w:sz w:val="32"/>
          <w:szCs w:val="32"/>
        </w:rPr>
        <w:t xml:space="preserve">投标文件目录</w:t>
      </w:r>
      <w:r>
        <w:rPr>
          <w:rFonts w:ascii="宋体" w:hAnsi="宋体"/>
          <w:b/>
          <w:bCs/>
          <w:sz w:val="32"/>
          <w:szCs w:val="32"/>
        </w:rPr>
      </w:r>
      <w:r/>
    </w:p>
    <w:p>
      <w:pPr>
        <w:pStyle w:val="653"/>
        <w:jc w:val="center"/>
        <w:spacing w:line="440" w:lineRule="exact"/>
        <w:rPr>
          <w:rFonts w:ascii="宋体" w:hAnsi="宋体"/>
          <w:b/>
          <w:bCs/>
          <w:sz w:val="32"/>
          <w:szCs w:val="32"/>
        </w:rPr>
      </w:pPr>
      <w:r>
        <w:rPr>
          <w:rFonts w:ascii="宋体" w:hAnsi="宋体"/>
          <w:b/>
          <w:bCs/>
          <w:sz w:val="32"/>
          <w:szCs w:val="32"/>
        </w:rPr>
      </w:r>
      <w:r/>
    </w:p>
    <w:p>
      <w:pPr>
        <w:pStyle w:val="653"/>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rPr>
          <w:rFonts w:ascii="宋体" w:hAnsi="宋体"/>
          <w:i/>
          <w:sz w:val="24"/>
          <w:u w:val="single"/>
        </w:rPr>
      </w:r>
      <w:r/>
    </w:p>
    <w:p>
      <w:pPr>
        <w:pStyle w:val="653"/>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rPr>
          <w:rFonts w:ascii="宋体" w:hAnsi="宋体"/>
          <w:i/>
          <w:sz w:val="24"/>
          <w:u w:val="single"/>
        </w:rPr>
      </w:r>
      <w:r/>
    </w:p>
    <w:p>
      <w:pPr>
        <w:pStyle w:val="653"/>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i/>
          <w:sz w:val="24"/>
          <w:u w:val="single"/>
        </w:rPr>
      </w:r>
      <w:r/>
    </w:p>
    <w:p>
      <w:pPr>
        <w:pStyle w:val="653"/>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rPr>
          <w:rFonts w:ascii="宋体" w:hAnsi="宋体"/>
          <w:i/>
          <w:sz w:val="24"/>
          <w:u w:val="single"/>
        </w:rPr>
      </w:r>
      <w:r/>
    </w:p>
    <w:p>
      <w:pPr>
        <w:pStyle w:val="653"/>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rPr>
          <w:rFonts w:ascii="宋体" w:hAnsi="宋体"/>
          <w:i/>
          <w:sz w:val="24"/>
          <w:u w:val="single"/>
        </w:rPr>
      </w:r>
      <w:r/>
    </w:p>
    <w:p>
      <w:pPr>
        <w:pStyle w:val="653"/>
        <w:ind w:firstLine="480"/>
        <w:spacing w:line="440" w:lineRule="exact"/>
        <w:rPr>
          <w:rFonts w:ascii="宋体" w:hAnsi="宋体"/>
          <w:i/>
          <w:sz w:val="24"/>
          <w:u w:val="single"/>
        </w:rPr>
      </w:pPr>
      <w:r>
        <w:rPr>
          <w:rFonts w:hint="eastAsia" w:ascii="宋体" w:hAnsi="宋体"/>
          <w:i/>
          <w:sz w:val="24"/>
          <w:u w:val="single"/>
        </w:rPr>
        <w:t xml:space="preserve">六、供应商信用承诺函</w:t>
      </w:r>
      <w:r>
        <w:rPr>
          <w:rFonts w:ascii="宋体" w:hAnsi="宋体"/>
          <w:i/>
          <w:sz w:val="24"/>
          <w:u w:val="single"/>
        </w:rPr>
      </w:r>
      <w:r/>
    </w:p>
    <w:p>
      <w:pPr>
        <w:pStyle w:val="653"/>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rPr>
          <w:rFonts w:ascii="宋体" w:hAnsi="宋体"/>
          <w:i/>
          <w:sz w:val="24"/>
          <w:u w:val="single"/>
        </w:rPr>
      </w:r>
      <w:r/>
    </w:p>
    <w:p>
      <w:pPr>
        <w:pStyle w:val="653"/>
        <w:ind w:firstLine="480"/>
        <w:spacing w:line="440" w:lineRule="exact"/>
        <w:rPr>
          <w:rFonts w:ascii="宋体" w:hAnsi="宋体"/>
          <w:i/>
          <w:sz w:val="24"/>
          <w:u w:val="single"/>
        </w:rPr>
      </w:pPr>
      <w:r>
        <w:rPr>
          <w:rFonts w:hint="eastAsia" w:ascii="宋体" w:hAnsi="宋体"/>
          <w:i/>
          <w:sz w:val="24"/>
          <w:u w:val="single"/>
        </w:rPr>
        <w:t xml:space="preserve">八、法人授权书</w:t>
      </w:r>
      <w:r>
        <w:rPr>
          <w:rFonts w:ascii="宋体" w:hAnsi="宋体"/>
          <w:i/>
          <w:sz w:val="24"/>
          <w:u w:val="single"/>
        </w:rPr>
      </w:r>
      <w:r/>
    </w:p>
    <w:p>
      <w:pPr>
        <w:pStyle w:val="653"/>
        <w:ind w:firstLine="480"/>
        <w:spacing w:line="440" w:lineRule="exact"/>
        <w:rPr>
          <w:rFonts w:ascii="宋体" w:hAnsi="宋体"/>
          <w:i/>
          <w:sz w:val="24"/>
          <w:u w:val="single"/>
        </w:rPr>
      </w:pPr>
      <w:r>
        <w:rPr>
          <w:rFonts w:hint="eastAsia" w:ascii="宋体" w:hAnsi="宋体"/>
          <w:i/>
          <w:sz w:val="24"/>
          <w:u w:val="single"/>
        </w:rPr>
        <w:t xml:space="preserve">九、投标函</w:t>
      </w:r>
      <w:r>
        <w:rPr>
          <w:rFonts w:ascii="宋体" w:hAnsi="宋体"/>
          <w:i/>
          <w:sz w:val="24"/>
          <w:u w:val="single"/>
        </w:rPr>
      </w:r>
      <w:r/>
    </w:p>
    <w:p>
      <w:pPr>
        <w:pStyle w:val="653"/>
        <w:ind w:firstLine="480"/>
        <w:spacing w:line="440" w:lineRule="exact"/>
        <w:rPr>
          <w:rFonts w:ascii="宋体" w:hAnsi="宋体"/>
          <w:sz w:val="24"/>
        </w:rPr>
      </w:pPr>
      <w:r>
        <w:rPr>
          <w:rFonts w:hint="eastAsia" w:ascii="宋体" w:hAnsi="宋体"/>
          <w:sz w:val="24"/>
        </w:rPr>
        <w:t xml:space="preserve">十、企业报价折扣证明（中小企业声明函、残疾人福利性单位声明函）</w:t>
      </w:r>
      <w:r>
        <w:rPr>
          <w:rFonts w:ascii="宋体" w:hAnsi="宋体"/>
          <w:sz w:val="24"/>
        </w:rPr>
      </w:r>
      <w:r/>
    </w:p>
    <w:p>
      <w:pPr>
        <w:pStyle w:val="653"/>
        <w:ind w:firstLine="480"/>
        <w:spacing w:line="440" w:lineRule="exact"/>
        <w:rPr>
          <w:rFonts w:ascii="宋体" w:hAnsi="宋体"/>
          <w:sz w:val="24"/>
          <w:highlight w:val="yellow"/>
        </w:rPr>
      </w:pPr>
      <w:r>
        <w:rPr>
          <w:rFonts w:hint="eastAsia" w:ascii="宋体" w:hAnsi="宋体"/>
          <w:sz w:val="24"/>
        </w:rPr>
        <w:t xml:space="preserve">十一、联合体协议</w:t>
      </w:r>
      <w:r>
        <w:rPr>
          <w:rFonts w:ascii="宋体" w:hAnsi="宋体"/>
          <w:sz w:val="24"/>
          <w:highlight w:val="yellow"/>
        </w:rPr>
      </w:r>
      <w:r/>
    </w:p>
    <w:p>
      <w:pPr>
        <w:pStyle w:val="653"/>
        <w:ind w:firstLine="480"/>
        <w:spacing w:line="440" w:lineRule="exact"/>
        <w:rPr>
          <w:rFonts w:ascii="宋体" w:hAnsi="宋体"/>
          <w:iCs/>
          <w:sz w:val="24"/>
        </w:rPr>
      </w:pPr>
      <w:r>
        <w:rPr>
          <w:rFonts w:hint="eastAsia" w:ascii="宋体" w:hAnsi="宋体"/>
          <w:iCs/>
          <w:sz w:val="24"/>
        </w:rPr>
        <w:t xml:space="preserve">十二、投标分项报价表</w:t>
      </w:r>
      <w:r>
        <w:rPr>
          <w:rFonts w:ascii="宋体" w:hAnsi="宋体"/>
          <w:iCs/>
          <w:sz w:val="24"/>
        </w:rPr>
      </w:r>
      <w:r/>
    </w:p>
    <w:p>
      <w:pPr>
        <w:pStyle w:val="653"/>
        <w:ind w:firstLine="480"/>
        <w:spacing w:line="440" w:lineRule="exact"/>
        <w:rPr>
          <w:rFonts w:ascii="宋体" w:hAnsi="宋体"/>
          <w:sz w:val="24"/>
        </w:rPr>
      </w:pPr>
      <w:r>
        <w:rPr>
          <w:rFonts w:hint="eastAsia" w:ascii="宋体" w:hAnsi="宋体"/>
          <w:sz w:val="24"/>
        </w:rPr>
        <w:t xml:space="preserve">十三、技术要求响应及偏离表</w:t>
      </w:r>
      <w:r>
        <w:rPr>
          <w:rFonts w:ascii="宋体" w:hAnsi="宋体"/>
          <w:sz w:val="24"/>
        </w:rPr>
      </w:r>
      <w:r/>
    </w:p>
    <w:p>
      <w:pPr>
        <w:pStyle w:val="653"/>
        <w:ind w:firstLine="480"/>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653"/>
        <w:ind w:firstLine="480"/>
        <w:spacing w:line="440" w:lineRule="exact"/>
        <w:rPr>
          <w:rFonts w:ascii="宋体" w:hAnsi="宋体"/>
          <w:i/>
          <w:sz w:val="24"/>
          <w:u w:val="single"/>
        </w:rPr>
      </w:pPr>
      <w:r>
        <w:rPr>
          <w:rFonts w:hint="eastAsia" w:ascii="宋体" w:hAnsi="宋体"/>
          <w:i/>
          <w:sz w:val="24"/>
          <w:u w:val="single"/>
        </w:rPr>
        <w:t xml:space="preserve">十五、开标一览表</w:t>
      </w:r>
      <w:r>
        <w:rPr>
          <w:rFonts w:ascii="宋体" w:hAnsi="宋体"/>
          <w:i/>
          <w:sz w:val="24"/>
          <w:u w:val="single"/>
        </w:rPr>
      </w:r>
      <w:r/>
    </w:p>
    <w:p>
      <w:pPr>
        <w:pStyle w:val="653"/>
        <w:ind w:firstLine="480"/>
        <w:spacing w:line="440" w:lineRule="exact"/>
        <w:rPr>
          <w:rFonts w:ascii="宋体" w:hAnsi="宋体"/>
          <w:iCs/>
          <w:sz w:val="24"/>
        </w:rPr>
      </w:pPr>
      <w:r>
        <w:rPr>
          <w:rFonts w:hint="eastAsia" w:ascii="宋体" w:hAnsi="宋体"/>
          <w:iCs/>
          <w:sz w:val="24"/>
        </w:rPr>
        <w:t xml:space="preserve">十六、主要标的信息</w:t>
      </w:r>
      <w:r>
        <w:rPr>
          <w:rFonts w:ascii="宋体" w:hAnsi="宋体"/>
          <w:iCs/>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rPr>
          <w:rFonts w:ascii="黑体" w:hAnsi="黑体" w:eastAsia="黑体"/>
          <w:i/>
          <w:sz w:val="32"/>
          <w:szCs w:val="32"/>
          <w:u w:val="single"/>
        </w:rPr>
      </w:pPr>
      <w:r>
        <w:rPr>
          <w:rFonts w:ascii="黑体" w:hAnsi="黑体" w:eastAsia="黑体"/>
          <w:i/>
          <w:sz w:val="32"/>
          <w:szCs w:val="32"/>
          <w:u w:val="single"/>
        </w:rPr>
        <w:br w:type="page" w:clear="all"/>
      </w:r>
      <w:r/>
    </w:p>
    <w:p>
      <w:pPr>
        <w:pStyle w:val="653"/>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ascii="黑体" w:hAnsi="黑体" w:eastAsia="黑体"/>
          <w:i/>
          <w:sz w:val="32"/>
          <w:szCs w:val="32"/>
          <w:u w:val="single"/>
        </w:rPr>
      </w:r>
      <w:r/>
    </w:p>
    <w:p>
      <w:pPr>
        <w:pStyle w:val="653"/>
        <w:ind w:firstLine="480"/>
        <w:spacing w:line="440" w:lineRule="exact"/>
        <w:rPr>
          <w:rFonts w:ascii="宋体" w:hAnsi="宋体"/>
          <w:sz w:val="24"/>
        </w:rPr>
      </w:pPr>
      <w:r>
        <w:rPr>
          <w:rFonts w:ascii="宋体" w:hAnsi="宋体"/>
          <w:sz w:val="24"/>
        </w:rPr>
      </w:r>
      <w:r/>
    </w:p>
    <w:p>
      <w:pPr>
        <w:pStyle w:val="653"/>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ascii="黑体" w:hAnsi="黑体" w:eastAsia="黑体"/>
          <w:i/>
          <w:sz w:val="32"/>
          <w:szCs w:val="32"/>
          <w:u w:val="single"/>
        </w:rPr>
      </w:r>
      <w:r/>
    </w:p>
    <w:p>
      <w:pPr>
        <w:pStyle w:val="653"/>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653"/>
        <w:rPr>
          <w:rFonts w:ascii="黑体" w:hAnsi="黑体" w:eastAsia="黑体"/>
          <w:i/>
          <w:sz w:val="32"/>
          <w:szCs w:val="32"/>
          <w:u w:val="single"/>
        </w:rPr>
      </w:pPr>
      <w:r>
        <w:rPr>
          <w:rFonts w:ascii="黑体" w:hAnsi="黑体" w:eastAsia="黑体"/>
          <w:i/>
          <w:sz w:val="32"/>
          <w:szCs w:val="32"/>
          <w:u w:val="single"/>
        </w:rPr>
      </w:r>
      <w:r/>
    </w:p>
    <w:p>
      <w:pPr>
        <w:pStyle w:val="653"/>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69"/>
      <w:r/>
      <w:bookmarkEnd w:id="70"/>
      <w:r/>
      <w:bookmarkEnd w:id="71"/>
      <w:r>
        <w:rPr>
          <w:rFonts w:ascii="黑体" w:hAnsi="黑体" w:eastAsia="黑体"/>
          <w:i/>
          <w:sz w:val="32"/>
          <w:szCs w:val="32"/>
          <w:u w:val="single"/>
        </w:rPr>
      </w:r>
      <w:r/>
    </w:p>
    <w:p>
      <w:pPr>
        <w:pStyle w:val="653"/>
        <w:ind w:firstLine="480"/>
        <w:rPr>
          <w:rFonts w:ascii="宋体" w:hAnsi="宋体"/>
          <w:bCs/>
          <w:sz w:val="24"/>
        </w:rPr>
      </w:pPr>
      <w:r/>
      <w:bookmarkStart w:id="74" w:name="_Toc120614284"/>
      <w:r>
        <w:rPr>
          <w:rFonts w:hint="eastAsia" w:ascii="宋体" w:hAnsi="宋体"/>
          <w:bCs/>
          <w:sz w:val="24"/>
        </w:rPr>
        <w:t xml:space="preserve">提供提交投标文件截止时间前一年内任意一个月依法缴纳税收及缴纳社会保障资金的证明材料。投标人依法享受缓缴、免缴税收、社会保障资金的提供证明材料。</w:t>
      </w:r>
      <w:r>
        <w:rPr>
          <w:rFonts w:ascii="宋体" w:hAnsi="宋体"/>
          <w:bCs/>
          <w:sz w:val="24"/>
        </w:rPr>
      </w:r>
      <w:r/>
    </w:p>
    <w:p>
      <w:pPr>
        <w:pStyle w:val="653"/>
        <w:rPr>
          <w:rFonts w:ascii="黑体" w:hAnsi="黑体" w:eastAsia="黑体"/>
          <w:i/>
          <w:sz w:val="32"/>
          <w:szCs w:val="32"/>
          <w:u w:val="single"/>
        </w:rPr>
      </w:pPr>
      <w:r>
        <w:rPr>
          <w:rFonts w:ascii="黑体" w:hAnsi="黑体" w:eastAsia="黑体"/>
          <w:i/>
          <w:sz w:val="32"/>
          <w:szCs w:val="32"/>
          <w:u w:val="single"/>
        </w:rPr>
      </w:r>
      <w:r/>
    </w:p>
    <w:p>
      <w:pPr>
        <w:pStyle w:val="653"/>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ascii="黑体" w:hAnsi="黑体" w:eastAsia="黑体"/>
          <w:i/>
          <w:sz w:val="32"/>
          <w:szCs w:val="32"/>
          <w:u w:val="single"/>
        </w:rPr>
      </w:r>
      <w:r/>
    </w:p>
    <w:p>
      <w:pPr>
        <w:pStyle w:val="653"/>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653"/>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53"/>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53"/>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880"/>
        <w:ind w:firstLine="0"/>
      </w:pPr>
      <w:r/>
      <w:r/>
    </w:p>
    <w:p>
      <w:pPr>
        <w:pStyle w:val="653"/>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ascii="黑体" w:hAnsi="黑体" w:eastAsia="黑体"/>
          <w:i/>
          <w:sz w:val="32"/>
          <w:szCs w:val="32"/>
          <w:u w:val="single"/>
        </w:rPr>
      </w:r>
      <w:r/>
    </w:p>
    <w:p>
      <w:pPr>
        <w:pStyle w:val="653"/>
        <w:spacing w:line="460" w:lineRule="exact"/>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653"/>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53"/>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rPr>
          <w:rFonts w:ascii="黑体" w:hAnsi="黑体" w:eastAsia="黑体"/>
          <w:i/>
          <w:sz w:val="32"/>
          <w:szCs w:val="32"/>
          <w:u w:val="single"/>
        </w:rPr>
      </w:r>
      <w:r/>
    </w:p>
    <w:p>
      <w:pPr>
        <w:pStyle w:val="653"/>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rPr>
          <w:rFonts w:ascii="宋体" w:hAnsi="宋体" w:eastAsia="等线"/>
          <w:b/>
          <w:sz w:val="24"/>
          <w:szCs w:val="24"/>
        </w:rPr>
      </w:r>
      <w:r/>
    </w:p>
    <w:p>
      <w:pPr>
        <w:pStyle w:val="653"/>
        <w:spacing w:line="500" w:lineRule="exact"/>
        <w:rPr>
          <w:rFonts w:ascii="方正仿宋_GBK" w:hAnsi="等线" w:eastAsia="等线"/>
          <w:sz w:val="24"/>
          <w:szCs w:val="24"/>
        </w:rPr>
      </w:pPr>
      <w:r>
        <w:rPr>
          <w:rFonts w:ascii="方正仿宋_GBK" w:hAnsi="等线" w:eastAsia="等线"/>
          <w:sz w:val="24"/>
          <w:szCs w:val="24"/>
        </w:rPr>
      </w:r>
      <w:r/>
    </w:p>
    <w:p>
      <w:pPr>
        <w:pStyle w:val="653"/>
        <w:spacing w:line="560" w:lineRule="exact"/>
        <w:rPr>
          <w:rFonts w:ascii="宋体" w:hAnsi="宋体" w:cs="宋体"/>
          <w:sz w:val="24"/>
          <w:szCs w:val="24"/>
        </w:rPr>
      </w:pPr>
      <w:r>
        <w:rPr>
          <w:rFonts w:hint="eastAsia" w:ascii="宋体" w:hAnsi="宋体" w:cs="宋体"/>
          <w:sz w:val="24"/>
          <w:szCs w:val="24"/>
        </w:rPr>
        <w:t xml:space="preserve">承诺主体名称：</w:t>
      </w:r>
      <w:r>
        <w:rPr>
          <w:rFonts w:ascii="宋体" w:hAnsi="宋体" w:cs="宋体"/>
          <w:sz w:val="24"/>
          <w:szCs w:val="24"/>
        </w:rPr>
      </w:r>
      <w:r/>
    </w:p>
    <w:p>
      <w:pPr>
        <w:pStyle w:val="653"/>
        <w:spacing w:line="560" w:lineRule="exact"/>
        <w:rPr>
          <w:rFonts w:ascii="宋体" w:hAnsi="宋体" w:cs="宋体"/>
          <w:sz w:val="24"/>
          <w:szCs w:val="24"/>
        </w:rPr>
      </w:pPr>
      <w:r>
        <w:rPr>
          <w:rFonts w:hint="eastAsia" w:ascii="宋体" w:hAnsi="宋体" w:cs="宋体"/>
          <w:sz w:val="24"/>
          <w:szCs w:val="24"/>
        </w:rPr>
        <w:t xml:space="preserve">统一社会信用代码：</w:t>
      </w:r>
      <w:r>
        <w:rPr>
          <w:rFonts w:ascii="宋体" w:hAnsi="宋体" w:cs="宋体"/>
          <w:sz w:val="24"/>
          <w:szCs w:val="24"/>
        </w:rPr>
      </w:r>
      <w:r/>
    </w:p>
    <w:p>
      <w:pPr>
        <w:pStyle w:val="653"/>
        <w:spacing w:line="560" w:lineRule="exact"/>
        <w:rPr>
          <w:rFonts w:ascii="宋体" w:hAnsi="宋体" w:cs="宋体"/>
          <w:sz w:val="24"/>
          <w:szCs w:val="24"/>
        </w:rPr>
      </w:pP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rPr>
          <w:rFonts w:ascii="宋体" w:hAnsi="宋体" w:cs="宋体"/>
          <w:sz w:val="24"/>
          <w:szCs w:val="24"/>
        </w:rPr>
      </w:r>
      <w:r/>
    </w:p>
    <w:p>
      <w:pPr>
        <w:pStyle w:val="653"/>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rPr>
          <w:rFonts w:ascii="宋体" w:hAnsi="宋体" w:cs="宋体"/>
          <w:sz w:val="24"/>
          <w:szCs w:val="24"/>
        </w:rPr>
      </w:r>
      <w:r/>
    </w:p>
    <w:p>
      <w:pPr>
        <w:pStyle w:val="653"/>
        <w:spacing w:line="560" w:lineRule="exact"/>
        <w:rPr>
          <w:rFonts w:ascii="宋体" w:hAnsi="宋体" w:cs="宋体"/>
          <w:sz w:val="24"/>
          <w:szCs w:val="24"/>
        </w:rPr>
      </w:pPr>
      <w:r>
        <w:rPr>
          <w:rFonts w:ascii="宋体" w:hAnsi="宋体" w:cs="宋体"/>
          <w:sz w:val="24"/>
          <w:szCs w:val="24"/>
        </w:rPr>
      </w:r>
      <w:r/>
    </w:p>
    <w:p>
      <w:pPr>
        <w:pStyle w:val="653"/>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rPr>
          <w:rFonts w:ascii="宋体" w:hAnsi="宋体" w:cs="宋体"/>
          <w:sz w:val="24"/>
          <w:szCs w:val="24"/>
        </w:rPr>
      </w:r>
      <w:r/>
    </w:p>
    <w:p>
      <w:pPr>
        <w:pStyle w:val="653"/>
        <w:jc w:val="center"/>
        <w:spacing w:line="560" w:lineRule="exact"/>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653"/>
        <w:spacing w:line="560" w:lineRule="exact"/>
        <w:rPr>
          <w:rFonts w:ascii="宋体" w:hAnsi="宋体" w:eastAsia="等线" w:cs="宋体"/>
        </w:rPr>
      </w:pPr>
      <w:r>
        <w:rPr>
          <w:rFonts w:ascii="宋体" w:hAnsi="宋体" w:eastAsia="等线" w:cs="宋体"/>
        </w:rPr>
      </w:r>
      <w:r/>
    </w:p>
    <w:p>
      <w:pPr>
        <w:pStyle w:val="653"/>
        <w:rPr>
          <w:rFonts w:ascii="黑体" w:hAnsi="黑体" w:eastAsia="黑体"/>
          <w:i/>
          <w:sz w:val="32"/>
          <w:szCs w:val="32"/>
          <w:u w:val="single"/>
        </w:rPr>
      </w:pPr>
      <w:r>
        <w:rPr>
          <w:rFonts w:ascii="黑体" w:hAnsi="黑体" w:eastAsia="黑体"/>
          <w:i/>
          <w:sz w:val="32"/>
          <w:szCs w:val="32"/>
          <w:u w:val="single"/>
        </w:rPr>
      </w:r>
      <w:r/>
    </w:p>
    <w:p>
      <w:pPr>
        <w:pStyle w:val="653"/>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rPr>
          <w:rFonts w:ascii="黑体" w:hAnsi="黑体" w:eastAsia="黑体"/>
          <w:i/>
          <w:sz w:val="32"/>
          <w:szCs w:val="32"/>
          <w:u w:val="single"/>
        </w:rPr>
      </w:r>
      <w:r/>
    </w:p>
    <w:p>
      <w:pPr>
        <w:pStyle w:val="653"/>
        <w:spacing w:line="460" w:lineRule="exact"/>
        <w:rPr>
          <w:rFonts w:ascii="宋体" w:hAnsi="宋体"/>
          <w:bCs/>
          <w:sz w:val="24"/>
        </w:rPr>
      </w:pPr>
      <w:r>
        <w:rPr>
          <w:rFonts w:hint="eastAsia" w:ascii="宋体" w:hAnsi="宋体"/>
          <w:sz w:val="24"/>
        </w:rPr>
        <w:t xml:space="preserve">    如果本项目申请人的特定资格要求中要求提供的，必须提供。</w:t>
      </w:r>
      <w:r>
        <w:rPr>
          <w:rFonts w:ascii="宋体" w:hAnsi="宋体"/>
          <w:bCs/>
          <w:sz w:val="24"/>
        </w:rPr>
      </w:r>
      <w:r/>
    </w:p>
    <w:p>
      <w:pPr>
        <w:pStyle w:val="653"/>
        <w:spacing w:line="460" w:lineRule="exact"/>
        <w:rPr>
          <w:rFonts w:ascii="宋体" w:hAnsi="宋体"/>
          <w:bCs/>
          <w:sz w:val="24"/>
        </w:rPr>
      </w:pPr>
      <w:r>
        <w:rPr>
          <w:rFonts w:ascii="宋体" w:hAnsi="宋体"/>
          <w:bCs/>
          <w:sz w:val="24"/>
        </w:rPr>
      </w:r>
      <w:r/>
    </w:p>
    <w:p>
      <w:pPr>
        <w:pStyle w:val="653"/>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rPr>
          <w:rFonts w:ascii="黑体" w:hAnsi="黑体" w:eastAsia="黑体"/>
          <w:i/>
          <w:sz w:val="32"/>
          <w:szCs w:val="32"/>
          <w:u w:val="single"/>
        </w:rPr>
      </w:r>
      <w:r/>
    </w:p>
    <w:p>
      <w:pPr>
        <w:pStyle w:val="948"/>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rPr>
        <w:t xml:space="preserve">***</w:t>
      </w:r>
      <w:r>
        <w:rPr>
          <w:rFonts w:hint="eastAsia"/>
          <w:sz w:val="24"/>
          <w:szCs w:val="24"/>
        </w:rPr>
        <w:t xml:space="preserve">号项目采购活动的合法代理人，以本单位名义全权处理一切与该项目采购有关的事务。</w:t>
      </w:r>
      <w:r>
        <w:rPr>
          <w:sz w:val="24"/>
          <w:szCs w:val="24"/>
        </w:rPr>
      </w:r>
      <w:r/>
    </w:p>
    <w:p>
      <w:pPr>
        <w:pStyle w:val="948"/>
        <w:ind w:firstLine="480"/>
        <w:rPr>
          <w:sz w:val="24"/>
          <w:szCs w:val="24"/>
        </w:rPr>
      </w:pPr>
      <w:r>
        <w:rPr>
          <w:rFonts w:hint="eastAsia"/>
          <w:sz w:val="24"/>
          <w:szCs w:val="24"/>
        </w:rPr>
        <w:t xml:space="preserve">本授权书于______年____月____日起生效，特此声明。</w:t>
      </w:r>
      <w:r>
        <w:rPr>
          <w:sz w:val="24"/>
          <w:szCs w:val="24"/>
        </w:rPr>
      </w:r>
      <w:r/>
    </w:p>
    <w:p>
      <w:pPr>
        <w:pStyle w:val="94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94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94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948"/>
        <w:ind w:firstLine="480"/>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948"/>
        <w:ind w:firstLine="480"/>
        <w:rPr>
          <w:sz w:val="24"/>
          <w:szCs w:val="24"/>
        </w:rPr>
      </w:pPr>
      <w:r>
        <w:rPr>
          <w:rFonts w:hint="eastAsia"/>
          <w:sz w:val="24"/>
          <w:szCs w:val="24"/>
        </w:rPr>
        <w:t xml:space="preserve">      日期：</w:t>
      </w:r>
      <w:bookmarkStart w:id="75" w:name="_Hlt26671380"/>
      <w:r/>
      <w:bookmarkEnd w:id="75"/>
      <w:r/>
      <w:bookmarkStart w:id="76" w:name="_Hlt26955070"/>
      <w:r/>
      <w:bookmarkEnd w:id="76"/>
      <w:r/>
      <w:bookmarkStart w:id="77" w:name="_格式3__银行出具的资信证明"/>
      <w:r/>
      <w:bookmarkEnd w:id="77"/>
      <w:r>
        <w:rPr>
          <w:rFonts w:hint="eastAsia"/>
          <w:sz w:val="24"/>
          <w:szCs w:val="24"/>
          <w:u w:val="single"/>
        </w:rPr>
        <w:t xml:space="preserve">                                         </w:t>
      </w:r>
      <w:r>
        <w:rPr>
          <w:sz w:val="24"/>
          <w:szCs w:val="24"/>
        </w:rPr>
      </w:r>
      <w:r/>
    </w:p>
    <w:p>
      <w:pPr>
        <w:pStyle w:val="880"/>
        <w:rPr>
          <w:i/>
          <w:sz w:val="24"/>
          <w:szCs w:val="24"/>
          <w:u w:val="single"/>
        </w:rPr>
      </w:pPr>
      <w:r>
        <w:rPr>
          <w:i/>
          <w:sz w:val="24"/>
          <w:szCs w:val="24"/>
          <w:u w:val="single"/>
        </w:rPr>
      </w:r>
      <w:r/>
    </w:p>
    <w:p>
      <w:pPr>
        <w:pStyle w:val="880"/>
        <w:ind w:firstLine="0"/>
      </w:pPr>
      <w:r/>
      <w:r/>
    </w:p>
    <w:p>
      <w:pPr>
        <w:pStyle w:val="653"/>
        <w:spacing w:line="460" w:lineRule="exact"/>
        <w:rPr>
          <w:rFonts w:ascii="楷体" w:hAnsi="楷体" w:eastAsia="楷体"/>
          <w:bCs/>
          <w:sz w:val="24"/>
          <w:szCs w:val="24"/>
        </w:rPr>
      </w:pPr>
      <w:r>
        <w:rPr>
          <w:rFonts w:ascii="楷体" w:hAnsi="楷体" w:eastAsia="楷体"/>
          <w:bCs/>
          <w:sz w:val="24"/>
          <w:szCs w:val="24"/>
        </w:rPr>
      </w:r>
      <w:r/>
    </w:p>
    <w:p>
      <w:pPr>
        <w:pStyle w:val="653"/>
        <w:spacing w:line="460" w:lineRule="exact"/>
        <w:rPr>
          <w:rFonts w:ascii="宋体" w:hAnsi="宋体"/>
          <w:bCs/>
          <w:sz w:val="24"/>
        </w:rPr>
      </w:pPr>
      <w:r>
        <w:rPr>
          <w:rFonts w:ascii="宋体" w:hAnsi="宋体"/>
          <w:bCs/>
          <w:sz w:val="24"/>
        </w:rPr>
      </w:r>
      <w:r/>
    </w:p>
    <w:p>
      <w:pPr>
        <w:pStyle w:val="653"/>
        <w:jc w:val="center"/>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rPr>
          <w:rFonts w:ascii="黑体" w:hAnsi="黑体" w:eastAsia="黑体"/>
          <w:i/>
          <w:sz w:val="32"/>
          <w:szCs w:val="32"/>
          <w:u w:val="single"/>
        </w:rPr>
      </w:r>
      <w:r/>
    </w:p>
    <w:p>
      <w:pPr>
        <w:pStyle w:val="968"/>
        <w:ind w:firstLine="0"/>
        <w:spacing w:before="0" w:after="0" w:line="420" w:lineRule="exact"/>
        <w:rPr>
          <w:rFonts w:ascii="宋体" w:hAnsi="宋体"/>
          <w:szCs w:val="21"/>
        </w:rPr>
      </w:pPr>
      <w:r>
        <w:rPr>
          <w:rFonts w:hint="eastAsia" w:ascii="宋体" w:hAnsi="宋体"/>
          <w:szCs w:val="21"/>
        </w:rPr>
        <w:t xml:space="preserve">致：扬州市公共资源交易中心</w:t>
      </w:r>
      <w:r>
        <w:rPr>
          <w:rFonts w:ascii="宋体" w:hAnsi="宋体"/>
          <w:szCs w:val="21"/>
        </w:rPr>
      </w:r>
      <w:r/>
    </w:p>
    <w:p>
      <w:pPr>
        <w:pStyle w:val="968"/>
        <w:spacing w:before="0" w:after="0" w:line="420" w:lineRule="exact"/>
        <w:rPr>
          <w:rFonts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rPr>
          <w:rFonts w:ascii="宋体" w:hAnsi="宋体"/>
          <w:szCs w:val="21"/>
        </w:rPr>
      </w:r>
      <w:r/>
    </w:p>
    <w:p>
      <w:pPr>
        <w:pStyle w:val="968"/>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6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6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6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6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6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6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6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68"/>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653"/>
        <w:ind w:firstLine="240"/>
        <w:jc w:val="center"/>
        <w:spacing w:line="560" w:lineRule="exact"/>
        <w:rPr>
          <w:rFonts w:ascii="宋体" w:hAnsi="宋体"/>
          <w:bCs/>
          <w:sz w:val="24"/>
        </w:rPr>
      </w:pPr>
      <w:r>
        <w:rPr>
          <w:rFonts w:ascii="宋体" w:hAnsi="宋体"/>
          <w:bCs/>
          <w:sz w:val="24"/>
        </w:rPr>
      </w:r>
      <w:r/>
    </w:p>
    <w:p>
      <w:pPr>
        <w:pStyle w:val="653"/>
        <w:ind w:firstLine="240"/>
        <w:jc w:val="center"/>
        <w:spacing w:line="560" w:lineRule="exact"/>
        <w:rPr>
          <w:rFonts w:ascii="宋体" w:hAnsi="宋体"/>
          <w:bCs/>
          <w:sz w:val="24"/>
        </w:rPr>
      </w:pPr>
      <w:r>
        <w:rPr>
          <w:rFonts w:ascii="宋体" w:hAnsi="宋体"/>
          <w:bCs/>
          <w:sz w:val="24"/>
        </w:rPr>
      </w:r>
      <w:r/>
    </w:p>
    <w:p>
      <w:pPr>
        <w:pStyle w:val="653"/>
        <w:ind w:firstLine="240"/>
        <w:jc w:val="center"/>
        <w:spacing w:line="560" w:lineRule="exact"/>
        <w:rPr>
          <w:rFonts w:ascii="宋体" w:hAnsi="宋体"/>
          <w:bCs/>
          <w:sz w:val="24"/>
        </w:rPr>
      </w:pPr>
      <w:r>
        <w:rPr>
          <w:rFonts w:ascii="宋体" w:hAnsi="宋体"/>
          <w:bCs/>
          <w:sz w:val="24"/>
        </w:rPr>
      </w:r>
      <w:r/>
    </w:p>
    <w:p>
      <w:pPr>
        <w:pStyle w:val="653"/>
        <w:spacing w:line="560" w:lineRule="exact"/>
        <w:rPr>
          <w:rFonts w:ascii="宋体" w:hAnsi="宋体"/>
          <w:bCs/>
          <w:sz w:val="24"/>
        </w:rPr>
      </w:pPr>
      <w:r>
        <w:rPr>
          <w:rFonts w:ascii="宋体" w:hAnsi="宋体"/>
          <w:bCs/>
          <w:sz w:val="24"/>
        </w:rPr>
      </w:r>
      <w:r/>
    </w:p>
    <w:p>
      <w:pPr>
        <w:pStyle w:val="666"/>
        <w:rPr>
          <w:rFonts w:hAnsi="宋体"/>
          <w:bCs/>
        </w:rPr>
      </w:pPr>
      <w:r>
        <w:rPr>
          <w:rFonts w:hAnsi="宋体"/>
          <w:bCs/>
        </w:rPr>
      </w:r>
      <w:r/>
    </w:p>
    <w:p>
      <w:pPr>
        <w:pStyle w:val="653"/>
      </w:pPr>
      <w:r/>
      <w:r/>
    </w:p>
    <w:p>
      <w:pPr>
        <w:pStyle w:val="653"/>
        <w:jc w:val="center"/>
        <w:spacing w:line="460" w:lineRule="exact"/>
        <w:rPr>
          <w:rFonts w:ascii="黑体" w:hAnsi="黑体" w:eastAsia="黑体"/>
          <w:b/>
          <w:sz w:val="32"/>
          <w:szCs w:val="32"/>
        </w:rPr>
      </w:pPr>
      <w:r>
        <w:rPr>
          <w:rFonts w:ascii="黑体" w:hAnsi="黑体" w:eastAsia="黑体"/>
          <w:b/>
          <w:sz w:val="32"/>
          <w:szCs w:val="32"/>
        </w:rPr>
      </w:r>
      <w:r/>
    </w:p>
    <w:p>
      <w:pPr>
        <w:pStyle w:val="653"/>
        <w:jc w:val="center"/>
        <w:spacing w:line="460" w:lineRule="exact"/>
        <w:rPr>
          <w:rFonts w:ascii="黑体" w:hAnsi="黑体" w:eastAsia="黑体"/>
          <w:b/>
          <w:sz w:val="32"/>
          <w:szCs w:val="32"/>
        </w:rPr>
      </w:pPr>
      <w:r>
        <w:rPr>
          <w:rFonts w:ascii="黑体" w:hAnsi="黑体" w:eastAsia="黑体"/>
          <w:b/>
          <w:sz w:val="32"/>
          <w:szCs w:val="32"/>
        </w:rPr>
        <w:br w:type="page" w:clear="all"/>
      </w:r>
      <w:r/>
    </w:p>
    <w:p>
      <w:pPr>
        <w:pStyle w:val="653"/>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rPr>
          <w:rFonts w:ascii="黑体" w:hAnsi="黑体" w:eastAsia="黑体"/>
          <w:b/>
          <w:i/>
          <w:iCs/>
          <w:sz w:val="32"/>
          <w:szCs w:val="32"/>
          <w:u w:val="single"/>
        </w:rPr>
      </w:r>
      <w:r/>
    </w:p>
    <w:p>
      <w:pPr>
        <w:pStyle w:val="653"/>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sz w:val="24"/>
          <w:szCs w:val="24"/>
        </w:rPr>
      </w:r>
      <w:r/>
    </w:p>
    <w:p>
      <w:pPr>
        <w:pStyle w:val="653"/>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color w:val="ff0000"/>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653"/>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653"/>
        <w:ind w:firstLine="36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53"/>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653"/>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53"/>
        <w:ind w:right="720"/>
        <w:spacing w:line="400" w:lineRule="exact"/>
        <w:rPr>
          <w:rFonts w:ascii="宋体" w:hAnsi="宋体"/>
          <w:sz w:val="24"/>
          <w:szCs w:val="24"/>
        </w:rPr>
      </w:pPr>
      <w:r>
        <w:rPr>
          <w:rFonts w:ascii="宋体" w:hAnsi="宋体"/>
          <w:sz w:val="24"/>
          <w:szCs w:val="24"/>
        </w:rPr>
      </w:r>
      <w:r/>
    </w:p>
    <w:p>
      <w:pPr>
        <w:pStyle w:val="653"/>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53"/>
        <w:ind w:right="480" w:firstLine="5400"/>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53"/>
        <w:spacing w:line="400" w:lineRule="exact"/>
        <w:rPr>
          <w:rFonts w:ascii="宋体" w:hAnsi="宋体"/>
          <w:sz w:val="24"/>
          <w:szCs w:val="24"/>
        </w:rPr>
      </w:pP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53"/>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pStyle w:val="653"/>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53"/>
        <w:ind w:right="480" w:firstLine="5400"/>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53"/>
        <w:spacing w:line="560" w:lineRule="exact"/>
        <w:rPr>
          <w:rFonts w:ascii="宋体" w:hAnsi="宋体"/>
          <w:sz w:val="24"/>
          <w:szCs w:val="24"/>
        </w:rPr>
      </w:pPr>
      <w:r>
        <w:rPr>
          <w:rFonts w:ascii="宋体" w:hAnsi="宋体"/>
          <w:sz w:val="24"/>
          <w:szCs w:val="24"/>
        </w:rPr>
      </w:r>
      <w:r/>
    </w:p>
    <w:p>
      <w:pPr>
        <w:pStyle w:val="653"/>
        <w:rPr>
          <w:rFonts w:ascii="Arial" w:hAnsi="Arial" w:eastAsia="幼圆" w:cs="微软雅黑"/>
          <w:b/>
          <w:bCs/>
          <w:color w:val="333333"/>
        </w:rPr>
      </w:pPr>
      <w:r/>
      <w:bookmarkStart w:id="78" w:name="_Toc150519795"/>
      <w:r>
        <w:rPr>
          <w:rFonts w:hint="eastAsia" w:ascii="Arial" w:hAnsi="Arial" w:eastAsia="幼圆" w:cs="微软雅黑"/>
          <w:b/>
          <w:bCs/>
          <w:color w:val="333333"/>
        </w:rPr>
        <w:br w:type="page" w:clear="all"/>
      </w:r>
      <w:r>
        <w:rPr>
          <w:rFonts w:ascii="Arial" w:hAnsi="Arial" w:eastAsia="幼圆" w:cs="微软雅黑"/>
          <w:b/>
          <w:bCs/>
          <w:color w:val="333333"/>
        </w:rPr>
      </w:r>
      <w:r/>
    </w:p>
    <w:p>
      <w:pPr>
        <w:pStyle w:val="653"/>
        <w:jc w:val="center"/>
        <w:rPr>
          <w:rFonts w:ascii="Arial" w:hAnsi="Arial" w:eastAsia="幼圆" w:cs="Arial"/>
          <w:b/>
          <w:bCs/>
          <w:color w:val="666666"/>
        </w:rPr>
      </w:pPr>
      <w:r>
        <w:rPr>
          <w:rFonts w:hint="eastAsia" w:ascii="Arial" w:hAnsi="Arial" w:eastAsia="幼圆" w:cs="微软雅黑"/>
          <w:b/>
          <w:bCs/>
          <w:color w:val="333333"/>
        </w:rPr>
        <w:t xml:space="preserve">中小微企业划型标准</w:t>
      </w:r>
      <w:bookmarkEnd w:id="78"/>
      <w:r>
        <w:rPr>
          <w:rFonts w:ascii="Arial" w:hAnsi="Arial" w:eastAsia="幼圆" w:cs="Arial"/>
          <w:b/>
          <w:bCs/>
          <w:color w:val="666666"/>
        </w:rPr>
      </w:r>
      <w:r/>
    </w:p>
    <w:p>
      <w:pPr>
        <w:pStyle w:val="653"/>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rPr>
          <w:rFonts w:ascii="宋体" w:hAnsi="宋体"/>
          <w:color w:val="666666"/>
        </w:rPr>
      </w:r>
      <w:r/>
    </w:p>
    <w:tbl>
      <w:tblPr>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rPr>
                <w:rFonts w:ascii="宋体" w:hAnsi="宋体"/>
                <w:color w:val="666666"/>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46" w:type="dxa"/>
            <w:vAlign w:val="center"/>
            <w:vMerge w:val="continue"/>
            <w:textDirection w:val="lrTb"/>
            <w:noWrap w:val="false"/>
          </w:tcPr>
          <w:p>
            <w:pPr>
              <w:pStyle w:val="65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rPr>
                <w:rFonts w:ascii="宋体" w:hAnsi="宋体"/>
                <w:color w:val="666666"/>
              </w:rPr>
            </w:r>
            <w:r/>
          </w:p>
        </w:tc>
        <w:tc>
          <w:tcPr>
            <w:tcMar>
              <w:left w:w="105" w:type="dxa"/>
              <w:top w:w="0" w:type="dxa"/>
              <w:right w:w="105" w:type="dxa"/>
              <w:bottom w:w="0" w:type="dxa"/>
            </w:tcMar>
            <w:tcW w:w="1718"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0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892" w:type="dxa"/>
            <w:vAlign w:val="center"/>
            <w:textDirection w:val="lrTb"/>
            <w:noWrap w:val="false"/>
          </w:tcPr>
          <w:p>
            <w:pPr>
              <w:pStyle w:val="65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09" w:type="dxa"/>
            <w:vAlign w:val="center"/>
            <w:textDirection w:val="lrTb"/>
            <w:noWrap w:val="false"/>
          </w:tcPr>
          <w:p>
            <w:pPr>
              <w:pStyle w:val="65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00" w:type="dxa"/>
            <w:vAlign w:val="center"/>
            <w:textDirection w:val="lrTb"/>
            <w:noWrap w:val="false"/>
          </w:tcPr>
          <w:p>
            <w:pPr>
              <w:pStyle w:val="65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bl>
    <w:p>
      <w:pPr>
        <w:pStyle w:val="653"/>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rPr>
      </w:r>
      <w:r/>
    </w:p>
    <w:p>
      <w:pPr>
        <w:pStyle w:val="653"/>
        <w:ind w:firstLine="480"/>
        <w:spacing w:line="560" w:lineRule="exact"/>
        <w:rPr>
          <w:rFonts w:ascii="宋体" w:hAnsi="宋体"/>
          <w:sz w:val="24"/>
          <w:szCs w:val="24"/>
        </w:rPr>
      </w:pPr>
      <w:r>
        <w:rPr>
          <w:rFonts w:ascii="宋体" w:hAnsi="宋体"/>
          <w:sz w:val="24"/>
          <w:szCs w:val="24"/>
        </w:rPr>
      </w:r>
      <w:r/>
    </w:p>
    <w:p>
      <w:pPr>
        <w:pStyle w:val="653"/>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rPr>
          <w:rFonts w:ascii="黑体" w:hAnsi="黑体" w:eastAsia="黑体"/>
          <w:b/>
          <w:sz w:val="32"/>
          <w:szCs w:val="32"/>
        </w:rPr>
      </w:r>
      <w:r/>
    </w:p>
    <w:p>
      <w:pPr>
        <w:pStyle w:val="653"/>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65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53"/>
        <w:ind w:firstLine="480"/>
        <w:spacing w:line="588" w:lineRule="exact"/>
        <w:rPr>
          <w:rFonts w:ascii="宋体" w:hAnsi="宋体"/>
          <w:sz w:val="24"/>
        </w:rPr>
      </w:pPr>
      <w:r>
        <w:rPr>
          <w:rFonts w:ascii="宋体" w:hAnsi="宋体"/>
          <w:sz w:val="24"/>
        </w:rPr>
      </w:r>
      <w:r/>
    </w:p>
    <w:p>
      <w:pPr>
        <w:pStyle w:val="653"/>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rPr>
          <w:rFonts w:ascii="宋体" w:hAnsi="宋体"/>
          <w:sz w:val="24"/>
        </w:rPr>
      </w:r>
      <w:r/>
    </w:p>
    <w:p>
      <w:pPr>
        <w:pStyle w:val="65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5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5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ascii="黑体" w:hAnsi="黑体" w:eastAsia="黑体"/>
          <w:b/>
          <w:sz w:val="32"/>
          <w:szCs w:val="32"/>
        </w:rPr>
      </w:r>
      <w:r/>
    </w:p>
    <w:p>
      <w:pPr>
        <w:pStyle w:val="653"/>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rPr>
          <w:rFonts w:ascii="黑体" w:hAnsi="黑体" w:eastAsia="黑体"/>
          <w:b/>
          <w:sz w:val="32"/>
          <w:szCs w:val="32"/>
        </w:rPr>
      </w:r>
      <w:r/>
    </w:p>
    <w:p>
      <w:pPr>
        <w:pStyle w:val="65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5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53"/>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653"/>
        <w:ind w:firstLine="645"/>
        <w:spacing w:line="560" w:lineRule="exact"/>
        <w:rPr>
          <w:rFonts w:ascii="宋体" w:hAnsi="宋体"/>
          <w:sz w:val="24"/>
        </w:rPr>
      </w:pPr>
      <w:r>
        <w:rPr>
          <w:rFonts w:ascii="宋体" w:hAnsi="宋体"/>
          <w:sz w:val="24"/>
        </w:rPr>
      </w:r>
      <w:r/>
    </w:p>
    <w:p>
      <w:pPr>
        <w:pStyle w:val="65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5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65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5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53"/>
        <w:ind w:firstLine="645"/>
        <w:spacing w:line="560" w:lineRule="exact"/>
        <w:rPr>
          <w:rFonts w:ascii="宋体" w:hAnsi="宋体"/>
          <w:sz w:val="24"/>
        </w:rPr>
      </w:pPr>
      <w:r>
        <w:rPr>
          <w:rFonts w:ascii="宋体" w:hAnsi="宋体"/>
          <w:sz w:val="24"/>
        </w:rPr>
      </w:r>
      <w:r/>
    </w:p>
    <w:p>
      <w:pPr>
        <w:pStyle w:val="653"/>
        <w:spacing w:line="460" w:lineRule="exact"/>
        <w:rPr>
          <w:rFonts w:ascii="宋体" w:hAnsi="宋体"/>
          <w:bCs/>
          <w:sz w:val="24"/>
        </w:rPr>
      </w:pPr>
      <w:r>
        <w:rPr>
          <w:rFonts w:ascii="宋体" w:hAnsi="宋体"/>
          <w:bCs/>
          <w:sz w:val="24"/>
        </w:rPr>
      </w:r>
      <w:r/>
    </w:p>
    <w:p>
      <w:pPr>
        <w:pStyle w:val="653"/>
        <w:spacing w:line="460" w:lineRule="exact"/>
        <w:rPr>
          <w:rFonts w:ascii="宋体" w:hAnsi="宋体"/>
          <w:bCs/>
          <w:sz w:val="24"/>
        </w:rPr>
      </w:pPr>
      <w:r>
        <w:rPr>
          <w:rFonts w:ascii="宋体" w:hAnsi="宋体"/>
          <w:bCs/>
          <w:sz w:val="24"/>
        </w:rPr>
      </w:r>
      <w:r/>
    </w:p>
    <w:p>
      <w:pPr>
        <w:pStyle w:val="653"/>
        <w:spacing w:line="460" w:lineRule="exact"/>
        <w:rPr>
          <w:rFonts w:ascii="宋体" w:hAnsi="宋体"/>
          <w:bCs/>
          <w:sz w:val="24"/>
        </w:rPr>
      </w:pPr>
      <w:r>
        <w:rPr>
          <w:rFonts w:ascii="宋体" w:hAnsi="宋体"/>
          <w:bCs/>
          <w:sz w:val="24"/>
        </w:rPr>
      </w:r>
      <w:r/>
    </w:p>
    <w:p>
      <w:pPr>
        <w:pStyle w:val="653"/>
        <w:spacing w:line="460" w:lineRule="exact"/>
        <w:rPr>
          <w:rFonts w:ascii="宋体" w:hAnsi="宋体"/>
          <w:bCs/>
          <w:sz w:val="24"/>
        </w:rPr>
      </w:pPr>
      <w:r>
        <w:rPr>
          <w:rFonts w:ascii="宋体" w:hAnsi="宋体"/>
          <w:bCs/>
          <w:sz w:val="24"/>
        </w:rPr>
      </w:r>
      <w:r/>
    </w:p>
    <w:p>
      <w:pPr>
        <w:pStyle w:val="653"/>
        <w:spacing w:line="460" w:lineRule="exact"/>
        <w:rPr>
          <w:rFonts w:ascii="宋体" w:hAnsi="宋体"/>
          <w:bCs/>
          <w:sz w:val="24"/>
        </w:rPr>
      </w:pPr>
      <w:r>
        <w:rPr>
          <w:rFonts w:ascii="宋体" w:hAnsi="宋体"/>
          <w:bCs/>
          <w:sz w:val="24"/>
        </w:rPr>
      </w:r>
      <w:r/>
    </w:p>
    <w:p>
      <w:pPr>
        <w:pStyle w:val="653"/>
        <w:spacing w:line="460" w:lineRule="exact"/>
        <w:rPr>
          <w:rFonts w:ascii="宋体" w:hAnsi="宋体"/>
          <w:bCs/>
          <w:sz w:val="24"/>
        </w:rPr>
      </w:pPr>
      <w:r>
        <w:rPr>
          <w:rFonts w:ascii="宋体" w:hAnsi="宋体"/>
          <w:bCs/>
          <w:sz w:val="24"/>
        </w:rPr>
      </w:r>
      <w:r/>
    </w:p>
    <w:p>
      <w:pPr>
        <w:pStyle w:val="653"/>
      </w:pPr>
      <w:r/>
      <w:r/>
    </w:p>
    <w:p>
      <w:pPr>
        <w:pStyle w:val="653"/>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hint="eastAsia" w:ascii="黑体" w:hAnsi="黑体" w:eastAsia="黑体"/>
          <w:b/>
          <w:sz w:val="32"/>
          <w:szCs w:val="32"/>
        </w:rPr>
        <w:t xml:space="preserve">十二、投标分项报价表（）</w:t>
      </w:r>
      <w:r>
        <w:rPr>
          <w:rFonts w:ascii="黑体" w:hAnsi="黑体" w:eastAsia="黑体"/>
          <w:b/>
          <w:sz w:val="32"/>
          <w:szCs w:val="32"/>
        </w:rPr>
      </w:r>
      <w:r/>
    </w:p>
    <w:tbl>
      <w:tblPr>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序号</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1</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2</w:t>
            </w:r>
            <w:r>
              <w:rPr>
                <w:rFonts w:ascii="宋体" w:hAnsi="宋体"/>
                <w:sz w:val="24"/>
                <w:szCs w:val="24"/>
              </w:rPr>
            </w:r>
            <w:r/>
          </w:p>
        </w:tc>
        <w:tc>
          <w:tcPr>
            <w:tcW w:w="93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3</w:t>
            </w:r>
            <w:r>
              <w:rPr>
                <w:rFonts w:ascii="宋体" w:hAnsi="宋体"/>
                <w:sz w:val="24"/>
                <w:szCs w:val="24"/>
              </w:rPr>
            </w:r>
            <w:r/>
          </w:p>
        </w:tc>
        <w:tc>
          <w:tcPr>
            <w:tcW w:w="98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4</w:t>
            </w:r>
            <w:r>
              <w:rPr>
                <w:rFonts w:ascii="宋体" w:hAnsi="宋体"/>
                <w:sz w:val="24"/>
                <w:szCs w:val="24"/>
              </w:rPr>
            </w:r>
            <w:r/>
          </w:p>
        </w:tc>
        <w:tc>
          <w:tcPr>
            <w:tcW w:w="110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t xml:space="preserve">5</w:t>
            </w:r>
            <w:r/>
          </w:p>
        </w:tc>
        <w:tc>
          <w:tcPr>
            <w:tcW w:w="1385"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6</w:t>
            </w:r>
            <w:r>
              <w:rPr>
                <w:rFonts w:ascii="宋体" w:hAnsi="宋体"/>
                <w:sz w:val="24"/>
                <w:szCs w:val="24"/>
              </w:rPr>
            </w:r>
            <w:r/>
          </w:p>
        </w:tc>
        <w:tc>
          <w:tcPr>
            <w:tcW w:w="924"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7</w:t>
            </w:r>
            <w:r>
              <w:rPr>
                <w:rFonts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8</w:t>
            </w:r>
            <w:r>
              <w:rPr>
                <w:rFonts w:ascii="宋体" w:hAnsi="宋体"/>
                <w:sz w:val="24"/>
                <w:szCs w:val="24"/>
              </w:rPr>
            </w:r>
            <w:r/>
          </w:p>
        </w:tc>
        <w:tc>
          <w:tcPr>
            <w:tcW w:w="96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9</w:t>
            </w:r>
            <w:r>
              <w:rPr>
                <w:rFonts w:ascii="宋体" w:hAnsi="宋体"/>
                <w:sz w:val="24"/>
                <w:szCs w:val="24"/>
              </w:rPr>
            </w:r>
            <w:r/>
          </w:p>
        </w:tc>
      </w:tr>
      <w:tr>
        <w:trPr>
          <w:cantSplit/>
          <w:trHeight w:val="294"/>
        </w:trPr>
        <w:tc>
          <w:tcPr>
            <w:tcW w:w="50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1</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产品</w:t>
            </w:r>
            <w:r>
              <w:rPr>
                <w:rFonts w:ascii="宋体" w:hAnsi="宋体"/>
                <w:sz w:val="24"/>
                <w:szCs w:val="24"/>
              </w:rPr>
            </w:r>
            <w:r/>
          </w:p>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名称</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品牌</w:t>
            </w:r>
            <w:r>
              <w:rPr>
                <w:rFonts w:ascii="宋体" w:hAnsi="宋体"/>
                <w:sz w:val="24"/>
                <w:szCs w:val="24"/>
              </w:rPr>
            </w:r>
            <w:r/>
          </w:p>
        </w:tc>
        <w:tc>
          <w:tcPr>
            <w:tcW w:w="93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规格</w:t>
            </w:r>
            <w:r>
              <w:rPr>
                <w:rFonts w:ascii="宋体" w:hAnsi="宋体"/>
                <w:sz w:val="24"/>
                <w:szCs w:val="24"/>
              </w:rPr>
            </w:r>
            <w:r/>
          </w:p>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型号</w:t>
            </w:r>
            <w:r>
              <w:rPr>
                <w:rFonts w:ascii="宋体" w:hAnsi="宋体"/>
                <w:sz w:val="24"/>
                <w:szCs w:val="24"/>
              </w:rPr>
            </w:r>
            <w:r/>
          </w:p>
        </w:tc>
        <w:tc>
          <w:tcPr>
            <w:tcW w:w="98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制造商名称</w:t>
            </w:r>
            <w:r>
              <w:rPr>
                <w:rFonts w:ascii="宋体" w:hAnsi="宋体"/>
                <w:sz w:val="24"/>
                <w:szCs w:val="24"/>
              </w:rPr>
            </w:r>
            <w:r/>
          </w:p>
        </w:tc>
        <w:tc>
          <w:tcPr>
            <w:tcW w:w="110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产地</w:t>
            </w:r>
            <w:r>
              <w:rPr>
                <w:rFonts w:ascii="宋体" w:hAnsi="宋体"/>
                <w:sz w:val="24"/>
                <w:szCs w:val="24"/>
              </w:rPr>
            </w:r>
            <w:r/>
          </w:p>
        </w:tc>
        <w:tc>
          <w:tcPr>
            <w:tcW w:w="1385"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交付期</w:t>
            </w:r>
            <w:r>
              <w:rPr>
                <w:rFonts w:ascii="宋体" w:hAnsi="宋体"/>
                <w:sz w:val="24"/>
                <w:szCs w:val="24"/>
              </w:rPr>
            </w:r>
            <w:r/>
          </w:p>
        </w:tc>
        <w:tc>
          <w:tcPr>
            <w:tcW w:w="924"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数量</w:t>
            </w:r>
            <w:r>
              <w:rPr>
                <w:rFonts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分项</w:t>
            </w:r>
            <w:r>
              <w:rPr>
                <w:rFonts w:ascii="宋体" w:hAnsi="宋体"/>
                <w:sz w:val="24"/>
                <w:szCs w:val="24"/>
              </w:rPr>
            </w:r>
            <w:r/>
          </w:p>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单价</w:t>
            </w:r>
            <w:r>
              <w:rPr>
                <w:rFonts w:ascii="宋体" w:hAnsi="宋体"/>
                <w:sz w:val="24"/>
                <w:szCs w:val="24"/>
              </w:rPr>
            </w:r>
            <w:r/>
          </w:p>
        </w:tc>
        <w:tc>
          <w:tcPr>
            <w:tcW w:w="96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分项</w:t>
            </w:r>
            <w:r>
              <w:rPr>
                <w:rFonts w:ascii="宋体" w:hAnsi="宋体"/>
                <w:sz w:val="24"/>
                <w:szCs w:val="24"/>
              </w:rPr>
            </w:r>
            <w:r/>
          </w:p>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总价</w:t>
            </w:r>
            <w:r>
              <w:rPr>
                <w:rFonts w:ascii="宋体" w:hAnsi="宋体"/>
                <w:sz w:val="24"/>
                <w:szCs w:val="24"/>
              </w:rPr>
            </w:r>
            <w:r/>
          </w:p>
        </w:tc>
      </w:tr>
      <w:tr>
        <w:trPr>
          <w:cantSplit/>
          <w:trHeight w:val="696"/>
        </w:trPr>
        <w:tc>
          <w:tcPr>
            <w:tcW w:w="50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2</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3"/>
              <w:jc w:val="center"/>
              <w:spacing w:line="0" w:lineRule="atLeast"/>
              <w:rPr>
                <w:rFonts w:ascii="宋体" w:hAnsi="宋体"/>
                <w:sz w:val="24"/>
                <w:szCs w:val="24"/>
                <w:u w:val="single"/>
              </w:rPr>
              <w:framePr w:hSpace="180" w:wrap="around" w:vAnchor="text" w:hAnchor="page" w:x="1365" w:y="297"/>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u w:val="single"/>
              </w:rPr>
            </w:r>
            <w:r/>
          </w:p>
        </w:tc>
        <w:tc>
          <w:tcPr>
            <w:tcW w:w="924"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724"/>
        </w:trPr>
        <w:tc>
          <w:tcPr>
            <w:tcW w:w="50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3</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24"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640"/>
        </w:trPr>
        <w:tc>
          <w:tcPr>
            <w:tcW w:w="50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4</w:t>
            </w: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24"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580"/>
        </w:trPr>
        <w:tc>
          <w:tcPr>
            <w:tcW w:w="50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t xml:space="preserve">…</w:t>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t xml:space="preserve">……</w:t>
            </w:r>
            <w:r/>
          </w:p>
        </w:tc>
        <w:tc>
          <w:tcPr>
            <w:tcW w:w="72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24"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249"/>
        </w:trPr>
        <w:tc>
          <w:tcPr>
            <w:tcW w:w="500" w:type="dxa"/>
            <w:vAlign w:val="top"/>
            <w:textDirection w:val="lrTb"/>
            <w:noWrap w:val="false"/>
          </w:tcPr>
          <w:p>
            <w:pPr>
              <w:pStyle w:val="653"/>
              <w:jc w:val="center"/>
              <w:rPr>
                <w:rFonts w:ascii="宋体" w:hAnsi="宋体"/>
                <w:sz w:val="24"/>
                <w:szCs w:val="24"/>
              </w:rPr>
              <w:framePr w:hSpace="180" w:wrap="around" w:vAnchor="text" w:hAnchor="page" w:x="1365" w:y="297"/>
            </w:pPr>
            <w:r>
              <w:rPr>
                <w:rFonts w:ascii="宋体" w:hAnsi="宋体"/>
                <w:sz w:val="24"/>
                <w:szCs w:val="24"/>
              </w:rPr>
            </w:r>
            <w:r/>
          </w:p>
        </w:tc>
        <w:tc>
          <w:tcPr>
            <w:gridSpan w:val="8"/>
            <w:tcW w:w="7797" w:type="dxa"/>
            <w:vAlign w:val="center"/>
            <w:textDirection w:val="lrTb"/>
            <w:noWrap w:val="false"/>
          </w:tcPr>
          <w:p>
            <w:pPr>
              <w:pStyle w:val="653"/>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投标总报价（人民币：元）</w:t>
            </w:r>
            <w:r>
              <w:rPr>
                <w:rFonts w:ascii="宋体" w:hAnsi="宋体"/>
                <w:sz w:val="24"/>
                <w:szCs w:val="24"/>
              </w:rPr>
            </w:r>
            <w:r/>
          </w:p>
        </w:tc>
        <w:tc>
          <w:tcPr>
            <w:tcW w:w="966" w:type="dxa"/>
            <w:vAlign w:val="top"/>
            <w:textDirection w:val="lrTb"/>
            <w:noWrap w:val="false"/>
          </w:tcPr>
          <w:p>
            <w:pPr>
              <w:pStyle w:val="653"/>
              <w:rPr>
                <w:rFonts w:ascii="宋体" w:hAnsi="宋体"/>
                <w:sz w:val="24"/>
                <w:szCs w:val="24"/>
              </w:rPr>
              <w:framePr w:hSpace="180" w:wrap="around" w:vAnchor="text" w:hAnchor="page" w:x="1365" w:y="297"/>
            </w:pPr>
            <w:r>
              <w:rPr>
                <w:rFonts w:ascii="宋体" w:hAnsi="宋体"/>
                <w:sz w:val="24"/>
                <w:szCs w:val="24"/>
              </w:rPr>
            </w:r>
            <w:r/>
          </w:p>
        </w:tc>
      </w:tr>
    </w:tbl>
    <w:p>
      <w:pPr>
        <w:pStyle w:val="653"/>
        <w:ind w:firstLine="480"/>
        <w:rPr>
          <w:rFonts w:ascii="宋体" w:hAnsi="宋体"/>
          <w:b/>
          <w:sz w:val="24"/>
          <w:szCs w:val="24"/>
        </w:rPr>
      </w:pPr>
      <w:r>
        <w:rPr>
          <w:rFonts w:hint="eastAsia" w:ascii="宋体" w:hAnsi="宋体"/>
          <w:sz w:val="24"/>
          <w:szCs w:val="24"/>
        </w:rPr>
        <w:t xml:space="preserve">                  </w:t>
      </w:r>
      <w:r>
        <w:rPr>
          <w:rFonts w:ascii="宋体" w:hAnsi="宋体"/>
          <w:b/>
          <w:sz w:val="24"/>
          <w:szCs w:val="24"/>
        </w:rPr>
      </w:r>
      <w:r/>
    </w:p>
    <w:p>
      <w:pPr>
        <w:pStyle w:val="65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3"/>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ascii="宋体" w:hAnsi="宋体"/>
          <w:sz w:val="24"/>
        </w:rPr>
      </w:r>
      <w:r/>
    </w:p>
    <w:p>
      <w:pPr>
        <w:pStyle w:val="653"/>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rPr>
          <w:rFonts w:ascii="宋体" w:hAnsi="宋体"/>
          <w:sz w:val="24"/>
        </w:rPr>
      </w:r>
      <w:r/>
    </w:p>
    <w:p>
      <w:pPr>
        <w:pStyle w:val="653"/>
        <w:jc w:val="left"/>
        <w:widowControl/>
        <w:rPr>
          <w:rFonts w:ascii="宋体" w:hAnsi="宋体" w:cs="Arial"/>
          <w:b/>
          <w:bCs/>
          <w:color w:val="000000"/>
        </w:rPr>
      </w:pPr>
      <w:r>
        <w:rPr>
          <w:rFonts w:ascii="宋体" w:hAnsi="宋体" w:cs="Arial"/>
          <w:b/>
          <w:bCs/>
          <w:color w:val="000000"/>
        </w:rPr>
      </w:r>
      <w:r/>
    </w:p>
    <w:p>
      <w:pPr>
        <w:pStyle w:val="653"/>
        <w:jc w:val="left"/>
        <w:widowControl/>
        <w:rPr>
          <w:rFonts w:ascii="宋体" w:hAnsi="宋体" w:cs="Arial"/>
          <w:b/>
          <w:bCs/>
          <w:color w:val="000000"/>
        </w:rPr>
      </w:pPr>
      <w:r>
        <w:rPr>
          <w:rFonts w:ascii="宋体" w:hAnsi="宋体" w:cs="Arial"/>
          <w:b/>
          <w:bCs/>
          <w:color w:val="000000"/>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66"/>
      </w:pPr>
      <w:r/>
      <w:r/>
    </w:p>
    <w:p>
      <w:pPr>
        <w:pStyle w:val="653"/>
        <w:jc w:val="center"/>
        <w:rPr>
          <w:rFonts w:ascii="黑体" w:hAnsi="黑体" w:eastAsia="黑体"/>
          <w:b/>
          <w:sz w:val="32"/>
          <w:szCs w:val="32"/>
        </w:rPr>
      </w:pPr>
      <w:r>
        <w:rPr>
          <w:rFonts w:hint="eastAsia" w:ascii="黑体" w:hAnsi="黑体" w:eastAsia="黑体"/>
          <w:b/>
          <w:sz w:val="32"/>
          <w:szCs w:val="32"/>
        </w:rPr>
        <w:t xml:space="preserve">十三、技术要求响应及偏离表</w:t>
      </w:r>
      <w:r>
        <w:rPr>
          <w:rFonts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53"/>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3"/>
              <w:jc w:val="center"/>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3"/>
              <w:jc w:val="center"/>
              <w:rPr>
                <w:rFonts w:ascii="宋体" w:hAnsi="宋体"/>
                <w:sz w:val="24"/>
                <w:szCs w:val="24"/>
              </w:rPr>
            </w:pPr>
            <w:r>
              <w:rPr>
                <w:rFonts w:ascii="宋体" w:hAnsi="宋体"/>
                <w:sz w:val="24"/>
                <w:szCs w:val="24"/>
              </w:rPr>
            </w:r>
            <w:r/>
          </w:p>
        </w:tc>
      </w:tr>
    </w:tbl>
    <w:p>
      <w:pPr>
        <w:pStyle w:val="653"/>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53"/>
        <w:jc w:val="center"/>
        <w:rPr>
          <w:rFonts w:ascii="黑体" w:hAnsi="Arial" w:eastAsia="黑体"/>
          <w:b/>
          <w:sz w:val="36"/>
        </w:rPr>
      </w:pPr>
      <w:r>
        <w:rPr>
          <w:rFonts w:ascii="黑体" w:hAnsi="Arial" w:eastAsia="黑体"/>
          <w:b/>
          <w:sz w:val="36"/>
        </w:rPr>
      </w:r>
      <w:r/>
    </w:p>
    <w:p>
      <w:pPr>
        <w:pStyle w:val="653"/>
        <w:jc w:val="center"/>
        <w:rPr>
          <w:rFonts w:ascii="黑体" w:hAnsi="Arial" w:eastAsia="黑体"/>
          <w:b/>
          <w:sz w:val="36"/>
        </w:rPr>
      </w:pPr>
      <w:r>
        <w:rPr>
          <w:rFonts w:ascii="黑体" w:hAnsi="Arial" w:eastAsia="黑体"/>
          <w:b/>
          <w:sz w:val="36"/>
        </w:rPr>
      </w:r>
      <w:r/>
    </w:p>
    <w:p>
      <w:pPr>
        <w:pStyle w:val="653"/>
        <w:jc w:val="center"/>
        <w:rPr>
          <w:rFonts w:ascii="黑体" w:hAnsi="Arial" w:eastAsia="黑体"/>
          <w:b/>
          <w:sz w:val="36"/>
        </w:rPr>
      </w:pPr>
      <w:r>
        <w:rPr>
          <w:rFonts w:ascii="黑体" w:hAnsi="Arial" w:eastAsia="黑体"/>
          <w:b/>
          <w:sz w:val="36"/>
        </w:rPr>
      </w:r>
      <w:r/>
    </w:p>
    <w:p>
      <w:pPr>
        <w:pStyle w:val="653"/>
        <w:jc w:val="center"/>
        <w:rPr>
          <w:rFonts w:ascii="黑体" w:hAnsi="Arial" w:eastAsia="黑体"/>
          <w:b/>
          <w:sz w:val="36"/>
        </w:rPr>
      </w:pPr>
      <w:r>
        <w:rPr>
          <w:rFonts w:ascii="黑体" w:hAnsi="Arial" w:eastAsia="黑体"/>
          <w:b/>
          <w:sz w:val="36"/>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bookmarkEnd w:id="74"/>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rPr>
          <w:rFonts w:ascii="黑体" w:hAnsi="Arial" w:eastAsia="黑体"/>
          <w:sz w:val="32"/>
        </w:rPr>
      </w:pPr>
      <w:r>
        <w:rPr>
          <w:rFonts w:ascii="黑体" w:hAnsi="Arial" w:eastAsia="黑体"/>
          <w:sz w:val="32"/>
        </w:rPr>
      </w:r>
      <w:r/>
    </w:p>
    <w:p>
      <w:pPr>
        <w:pStyle w:val="653"/>
        <w:jc w:val="center"/>
        <w:rPr>
          <w:rFonts w:ascii="黑体" w:hAnsi="黑体" w:eastAsia="黑体"/>
          <w:b/>
          <w:sz w:val="32"/>
          <w:szCs w:val="32"/>
        </w:rPr>
      </w:pPr>
      <w:r/>
      <w:bookmarkStart w:id="79" w:name="_Hlt26955054"/>
      <w:r/>
      <w:bookmarkEnd w:id="79"/>
      <w:r>
        <w:rPr>
          <w:rFonts w:hint="eastAsia" w:ascii="黑体" w:hAnsi="黑体" w:eastAsia="黑体"/>
          <w:b/>
          <w:sz w:val="32"/>
          <w:szCs w:val="32"/>
        </w:rPr>
        <w:t xml:space="preserve">十四、商务要求响应及偏离表（分包号：**）</w:t>
      </w:r>
      <w:r>
        <w:rPr>
          <w:rFonts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53"/>
              <w:jc w:val="center"/>
              <w:rPr>
                <w:rFonts w:ascii="宋体" w:hAnsi="宋体"/>
                <w:sz w:val="24"/>
                <w:szCs w:val="24"/>
              </w:rPr>
            </w:pPr>
            <w:r/>
            <w:bookmarkStart w:id="80" w:name="_Hlt26671372"/>
            <w:r/>
            <w:bookmarkEnd w:id="80"/>
            <w:r/>
            <w:bookmarkStart w:id="81" w:name="_Hlt26955064"/>
            <w:r/>
            <w:bookmarkEnd w:id="81"/>
            <w:r/>
            <w:bookmarkStart w:id="82" w:name="_Hlt26782999"/>
            <w:r/>
            <w:bookmarkEnd w:id="82"/>
            <w:r/>
            <w:bookmarkStart w:id="83" w:name="_Hlt26609391"/>
            <w:r/>
            <w:bookmarkEnd w:id="83"/>
            <w:r/>
            <w:bookmarkStart w:id="84" w:name="_Hlt26955056"/>
            <w:r/>
            <w:bookmarkEnd w:id="84"/>
            <w:r/>
            <w:bookmarkStart w:id="85" w:name="_Hlt26671343"/>
            <w:r/>
            <w:bookmarkEnd w:id="85"/>
            <w:r/>
            <w:bookmarkStart w:id="86" w:name="_Hlt26580838"/>
            <w:r/>
            <w:bookmarkEnd w:id="86"/>
            <w:r/>
            <w:bookmarkStart w:id="87" w:name="_Hlt24879081"/>
            <w:r/>
            <w:bookmarkEnd w:id="87"/>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val="false"/>
          </w:tcPr>
          <w:p>
            <w:pPr>
              <w:pStyle w:val="653"/>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53"/>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3"/>
              <w:jc w:val="center"/>
              <w:rPr>
                <w:rFonts w:ascii="宋体" w:hAnsi="宋体"/>
                <w:sz w:val="24"/>
                <w:szCs w:val="24"/>
              </w:rPr>
            </w:pPr>
            <w:r>
              <w:rPr>
                <w:rFonts w:ascii="宋体" w:hAnsi="宋体"/>
                <w:sz w:val="24"/>
                <w:szCs w:val="24"/>
              </w:rPr>
            </w:r>
            <w:r/>
          </w:p>
        </w:tc>
      </w:tr>
    </w:tbl>
    <w:p>
      <w:pPr>
        <w:pStyle w:val="653"/>
        <w:rPr>
          <w:rFonts w:ascii="宋体" w:hAnsi="宋体"/>
          <w:sz w:val="24"/>
          <w:szCs w:val="24"/>
        </w:rPr>
      </w:pPr>
      <w:r>
        <w:rPr>
          <w:rFonts w:hint="eastAsia" w:ascii="宋体" w:hAnsi="宋体"/>
          <w:sz w:val="24"/>
          <w:szCs w:val="24"/>
        </w:rPr>
        <w:t xml:space="preserve">注： 行数不够，可自行添加。</w:t>
      </w:r>
      <w:bookmarkEnd w:id="58"/>
      <w:r/>
      <w:bookmarkEnd w:id="59"/>
      <w:r>
        <w:rPr>
          <w:rFonts w:ascii="宋体" w:hAnsi="宋体"/>
          <w:sz w:val="24"/>
          <w:szCs w:val="24"/>
        </w:rPr>
      </w:r>
      <w:r/>
    </w:p>
    <w:p>
      <w:pPr>
        <w:pStyle w:val="653"/>
        <w:spacing w:line="480" w:lineRule="auto"/>
        <w:rPr>
          <w:rFonts w:ascii="宋体" w:hAnsi="宋体"/>
          <w:sz w:val="24"/>
        </w:rPr>
      </w:pPr>
      <w:r>
        <w:rPr>
          <w:rFonts w:ascii="宋体" w:hAnsi="宋体"/>
          <w:sz w:val="24"/>
        </w:rPr>
      </w:r>
      <w:r/>
    </w:p>
    <w:p>
      <w:pPr>
        <w:pStyle w:val="653"/>
        <w:spacing w:line="480" w:lineRule="auto"/>
        <w:rPr>
          <w:rFonts w:ascii="仿宋_GB2312" w:hAnsi="Arial"/>
          <w:sz w:val="30"/>
        </w:rPr>
      </w:pPr>
      <w:r>
        <w:rPr>
          <w:rFonts w:ascii="仿宋_GB2312" w:hAnsi="Arial"/>
          <w:sz w:val="30"/>
        </w:rPr>
      </w:r>
      <w:r/>
    </w:p>
    <w:p>
      <w:pPr>
        <w:pStyle w:val="880"/>
        <w:ind w:firstLine="0"/>
        <w:rPr>
          <w:rFonts w:ascii="宋体" w:hAnsi="宋体"/>
          <w:sz w:val="24"/>
        </w:rPr>
      </w:pPr>
      <w:r/>
      <w:bookmarkStart w:id="88" w:name="_Hlt26671374"/>
      <w:r/>
      <w:bookmarkEnd w:id="88"/>
      <w:r/>
      <w:bookmarkStart w:id="89" w:name="_Hlt26609389"/>
      <w:r/>
      <w:bookmarkEnd w:id="89"/>
      <w:r/>
      <w:bookmarkStart w:id="90" w:name="_Hlt26955066"/>
      <w:r/>
      <w:bookmarkEnd w:id="90"/>
      <w:r/>
      <w:bookmarkStart w:id="91" w:name="_Toc462564146"/>
      <w:r/>
      <w:bookmarkEnd w:id="91"/>
      <w:r>
        <w:rPr>
          <w:rFonts w:ascii="宋体" w:hAnsi="宋体"/>
          <w:sz w:val="24"/>
        </w:rPr>
      </w:r>
      <w:r/>
    </w:p>
    <w:p>
      <w:pPr>
        <w:pStyle w:val="653"/>
        <w:jc w:val="center"/>
        <w:rPr>
          <w:rFonts w:ascii="黑体" w:hAnsi="黑体" w:eastAsia="黑体"/>
          <w:b/>
          <w:sz w:val="32"/>
          <w:szCs w:val="32"/>
        </w:rPr>
      </w:pPr>
      <w:r/>
      <w:bookmarkStart w:id="92" w:name="_格式2__法定代表人授权书"/>
      <w:r/>
      <w:bookmarkEnd w:id="92"/>
      <w:r>
        <w:rPr>
          <w:rFonts w:ascii="黑体" w:hAnsi="黑体" w:eastAsia="黑体"/>
          <w:b/>
          <w:sz w:val="32"/>
          <w:szCs w:val="32"/>
        </w:rPr>
      </w:r>
      <w:r/>
    </w:p>
    <w:p>
      <w:pPr>
        <w:pStyle w:val="653"/>
        <w:jc w:val="center"/>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sz w:val="32"/>
          <w:szCs w:val="32"/>
        </w:rPr>
      </w:pPr>
      <w:r>
        <w:rPr>
          <w:rFonts w:ascii="黑体" w:hAnsi="黑体" w:eastAsia="黑体"/>
          <w:b/>
          <w:sz w:val="32"/>
          <w:szCs w:val="32"/>
        </w:rPr>
      </w:r>
      <w:r/>
    </w:p>
    <w:p>
      <w:pPr>
        <w:pStyle w:val="653"/>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rPr>
          <w:rFonts w:ascii="黑体" w:hAnsi="黑体" w:eastAsia="黑体"/>
          <w:b/>
          <w:i/>
          <w:sz w:val="32"/>
          <w:szCs w:val="32"/>
          <w:u w:val="single"/>
        </w:rPr>
      </w:r>
      <w:r/>
    </w:p>
    <w:p>
      <w:pPr>
        <w:pStyle w:val="653"/>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53"/>
        <w:ind w:firstLine="480"/>
        <w:rPr>
          <w:sz w:val="24"/>
          <w:szCs w:val="24"/>
        </w:rPr>
      </w:pPr>
      <w:r>
        <w:rPr>
          <w:rFonts w:hint="eastAsia" w:ascii="宋体" w:hAnsi="宋体"/>
          <w:sz w:val="24"/>
          <w:szCs w:val="24"/>
        </w:rPr>
        <w:t xml:space="preserve">项目名称：</w:t>
      </w:r>
      <w:r>
        <w:rPr>
          <w:sz w:val="24"/>
          <w:szCs w:val="24"/>
        </w:rPr>
      </w:r>
      <w:r/>
    </w:p>
    <w:p>
      <w:pPr>
        <w:pStyle w:val="653"/>
        <w:ind w:firstLine="480"/>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3"/>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vMerge w:val="restart"/>
            <w:textDirection w:val="lrTb"/>
            <w:noWrap w:val="false"/>
          </w:tcPr>
          <w:p>
            <w:pPr>
              <w:pStyle w:val="968"/>
              <w:ind w:firstLine="0"/>
              <w:spacing w:before="0" w:after="0" w:line="500" w:lineRule="exact"/>
              <w:rPr>
                <w:rFonts w:ascii="宋体" w:hAnsi="宋体" w:cs="宋体"/>
              </w:rPr>
            </w:pPr>
            <w:r>
              <w:rPr>
                <w:rFonts w:hint="eastAsia" w:ascii="宋体" w:hAnsi="宋体" w:cs="宋体"/>
              </w:rPr>
              <w:t xml:space="preserve">大写：                              （人民币：元）</w:t>
            </w:r>
            <w:r>
              <w:rPr>
                <w:rFonts w:ascii="宋体" w:hAnsi="宋体" w:cs="宋体"/>
              </w:rPr>
            </w:r>
            <w:r/>
          </w:p>
        </w:tc>
      </w:tr>
      <w:tr>
        <w:trPr>
          <w:cantSplit/>
          <w:trHeight w:val="612"/>
        </w:trPr>
        <w:tc>
          <w:tcPr>
            <w:tcW w:w="8206" w:type="dxa"/>
            <w:vAlign w:val="center"/>
            <w:textDirection w:val="lrTb"/>
            <w:noWrap w:val="false"/>
          </w:tcPr>
          <w:p>
            <w:pPr>
              <w:pStyle w:val="968"/>
              <w:ind w:firstLine="0"/>
              <w:spacing w:before="0" w:after="0" w:line="500" w:lineRule="exact"/>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653"/>
        <w:rPr>
          <w:rFonts w:ascii="宋体" w:hAnsi="宋体"/>
          <w:sz w:val="24"/>
          <w:szCs w:val="24"/>
        </w:rPr>
      </w:pPr>
      <w:r>
        <w:rPr>
          <w:rFonts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53"/>
        <w:ind w:firstLine="480"/>
        <w:rPr>
          <w:rFonts w:ascii="宋体" w:hAnsi="宋体"/>
          <w:sz w:val="24"/>
          <w:szCs w:val="24"/>
        </w:rPr>
      </w:pPr>
      <w:r>
        <w:rPr>
          <w:rFonts w:ascii="宋体" w:hAnsi="宋体"/>
          <w:sz w:val="24"/>
          <w:szCs w:val="24"/>
        </w:rPr>
      </w:r>
      <w:r/>
    </w:p>
    <w:p>
      <w:pPr>
        <w:pStyle w:val="653"/>
        <w:ind w:firstLine="480"/>
        <w:rPr>
          <w:rFonts w:ascii="宋体" w:hAnsi="宋体"/>
          <w:sz w:val="24"/>
          <w:szCs w:val="24"/>
        </w:rPr>
      </w:pPr>
      <w:r>
        <w:rPr>
          <w:rFonts w:ascii="宋体" w:hAnsi="宋体"/>
          <w:sz w:val="24"/>
          <w:szCs w:val="24"/>
        </w:rPr>
      </w:r>
      <w:r/>
    </w:p>
    <w:p>
      <w:pPr>
        <w:pStyle w:val="653"/>
        <w:ind w:firstLine="480"/>
        <w:rPr>
          <w:rFonts w:ascii="宋体" w:hAnsi="宋体"/>
          <w:sz w:val="24"/>
          <w:szCs w:val="24"/>
        </w:rPr>
      </w:pPr>
      <w:r>
        <w:rPr>
          <w:rFonts w:ascii="宋体" w:hAnsi="宋体"/>
          <w:sz w:val="24"/>
          <w:szCs w:val="24"/>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66"/>
        <w:rPr>
          <w:rFonts w:hAnsi="宋体" w:cs="仿宋"/>
          <w:b/>
          <w:bCs/>
          <w:sz w:val="32"/>
          <w:szCs w:val="32"/>
        </w:rPr>
      </w:pPr>
      <w:r>
        <w:rPr>
          <w:rFonts w:hAnsi="宋体" w:cs="仿宋"/>
          <w:b/>
          <w:bCs/>
          <w:sz w:val="32"/>
          <w:szCs w:val="32"/>
        </w:rPr>
      </w:r>
      <w:r/>
    </w:p>
    <w:p>
      <w:pPr>
        <w:pStyle w:val="653"/>
      </w:pPr>
      <w:r/>
      <w:r/>
    </w:p>
    <w:p>
      <w:pPr>
        <w:pStyle w:val="653"/>
        <w:jc w:val="center"/>
        <w:rPr>
          <w:rFonts w:ascii="宋体" w:hAnsi="宋体" w:cs="仿宋"/>
          <w:b/>
          <w:bCs/>
          <w:sz w:val="32"/>
          <w:szCs w:val="32"/>
        </w:rPr>
      </w:pPr>
      <w:r>
        <w:rPr>
          <w:rFonts w:ascii="宋体" w:hAnsi="宋体" w:cs="仿宋"/>
          <w:b/>
          <w:bCs/>
          <w:sz w:val="32"/>
          <w:szCs w:val="32"/>
        </w:rPr>
      </w:r>
      <w:r/>
    </w:p>
    <w:p>
      <w:pPr>
        <w:pStyle w:val="653"/>
        <w:rPr>
          <w:rFonts w:ascii="黑体" w:hAnsi="黑体" w:eastAsia="黑体"/>
          <w:b/>
          <w:iCs/>
          <w:sz w:val="32"/>
          <w:szCs w:val="32"/>
        </w:rPr>
      </w:pPr>
      <w:r>
        <w:rPr>
          <w:rFonts w:hint="eastAsia" w:ascii="黑体" w:hAnsi="黑体" w:eastAsia="黑体"/>
          <w:b/>
          <w:iCs/>
          <w:sz w:val="32"/>
          <w:szCs w:val="32"/>
        </w:rPr>
        <w:t xml:space="preserve">十六、主要标的信息</w:t>
      </w:r>
      <w:r>
        <w:rPr>
          <w:rFonts w:ascii="黑体" w:hAnsi="黑体" w:eastAsia="黑体"/>
          <w:b/>
          <w:iCs/>
          <w:sz w:val="32"/>
          <w:szCs w:val="32"/>
        </w:rPr>
      </w:r>
      <w:r/>
    </w:p>
    <w:p>
      <w:pPr>
        <w:pStyle w:val="653"/>
        <w:jc w:val="center"/>
        <w:spacing w:before="312"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653"/>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53"/>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53"/>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53"/>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3"/>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53"/>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53"/>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53"/>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53"/>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3"/>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53"/>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53"/>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53"/>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ascii="宋体" w:hAnsi="宋体" w:cs="仿宋"/>
          <w:b/>
          <w:bCs/>
          <w:sz w:val="32"/>
          <w:szCs w:val="32"/>
        </w:rPr>
      </w:r>
      <w:r/>
    </w:p>
    <w:p>
      <w:pPr>
        <w:pStyle w:val="65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5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0"/>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rPr>
        <w:lang w:val="zh-CN"/>
      </w:rPr>
      <w:t xml:space="preserve">63</w:t>
    </w:r>
    <w:r>
      <w:fldChar w:fldCharType="end"/>
    </w:r>
    <w:r/>
  </w:p>
  <w:p>
    <w:pPr>
      <w:pStyle w:val="92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Pr>
        <w:rFonts w:hint="eastAsia"/>
      </w:rPr>
      <w:t xml:space="preserve">21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tab"/>
      <w:lvlText w:val="%1."/>
      <w:lvlJc w:val="left"/>
      <w:pPr>
        <w:pStyle w:val="6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653"/>
        <w:ind w:left="907" w:hanging="907"/>
        <w:tabs>
          <w:tab w:val="num" w:pos="907" w:leader="none"/>
        </w:tabs>
      </w:pPr>
      <w:rPr>
        <w:rFonts w:hint="eastAsia"/>
      </w:r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3">
    <w:multiLevelType w:val="hybridMultilevel"/>
    <w:lvl w:ilvl="0">
      <w:start w:val="1"/>
      <w:numFmt w:val="decimal"/>
      <w:pStyle w:val="971"/>
      <w:isLgl w:val="false"/>
      <w:suff w:val="tab"/>
      <w:lvlText w:val="%1."/>
      <w:lvlJc w:val="left"/>
      <w:pPr>
        <w:pStyle w:val="653"/>
        <w:ind w:left="709" w:hanging="709"/>
        <w:tabs>
          <w:tab w:val="num" w:pos="709" w:leader="none"/>
        </w:tabs>
      </w:pPr>
      <w:rPr>
        <w:rFonts w:hint="eastAsia"/>
      </w:rPr>
    </w:lvl>
    <w:lvl w:ilvl="1">
      <w:start w:val="1"/>
      <w:numFmt w:val="decimal"/>
      <w:isLgl w:val="false"/>
      <w:suff w:val="tab"/>
      <w:lvlText w:val="%1.%2"/>
      <w:lvlJc w:val="left"/>
      <w:pPr>
        <w:pStyle w:val="653"/>
        <w:ind w:left="709" w:hanging="709"/>
        <w:tabs>
          <w:tab w:val="num" w:pos="709" w:leader="none"/>
        </w:tabs>
      </w:pPr>
      <w:rPr>
        <w:rFonts w:hint="eastAsia"/>
      </w:rPr>
    </w:lvl>
    <w:lvl w:ilvl="2">
      <w:start w:val="1"/>
      <w:numFmt w:val="decimal"/>
      <w:isLgl w:val="false"/>
      <w:suff w:val="tab"/>
      <w:lvlText w:val="%1.%2.%3."/>
      <w:lvlJc w:val="left"/>
      <w:pPr>
        <w:pStyle w:val="653"/>
        <w:ind w:left="425" w:hanging="425"/>
        <w:tabs>
          <w:tab w:val="num" w:pos="425" w:leader="none"/>
        </w:tabs>
      </w:pPr>
      <w:rPr>
        <w:rFonts w:hint="eastAsia"/>
      </w:rPr>
    </w:lvl>
    <w:lvl w:ilvl="3">
      <w:start w:val="1"/>
      <w:numFmt w:val="decimal"/>
      <w:isLgl w:val="false"/>
      <w:suff w:val="tab"/>
      <w:lvlText w:val="%1.%2.%3.%4."/>
      <w:lvlJc w:val="left"/>
      <w:pPr>
        <w:pStyle w:val="653"/>
        <w:ind w:left="851" w:hanging="851"/>
        <w:tabs>
          <w:tab w:val="num" w:pos="851" w:leader="none"/>
        </w:tabs>
      </w:pPr>
      <w:rPr>
        <w:rFonts w:hint="eastAsia"/>
      </w:rPr>
    </w:lvl>
    <w:lvl w:ilvl="4">
      <w:start w:val="1"/>
      <w:numFmt w:val="decimal"/>
      <w:isLgl w:val="false"/>
      <w:suff w:val="tab"/>
      <w:lvlText w:val="%1.%2.%3.%4.%5."/>
      <w:lvlJc w:val="left"/>
      <w:pPr>
        <w:pStyle w:val="653"/>
        <w:ind w:left="992" w:hanging="992"/>
        <w:tabs>
          <w:tab w:val="num" w:pos="992" w:leader="none"/>
        </w:tabs>
      </w:pPr>
      <w:rPr>
        <w:rFonts w:hint="eastAsia"/>
      </w:rPr>
    </w:lvl>
    <w:lvl w:ilvl="5">
      <w:start w:val="1"/>
      <w:numFmt w:val="decimal"/>
      <w:isLgl w:val="false"/>
      <w:suff w:val="tab"/>
      <w:lvlText w:val="%1.%2.%3.%4.%5.%6."/>
      <w:lvlJc w:val="left"/>
      <w:pPr>
        <w:pStyle w:val="653"/>
        <w:ind w:left="1134" w:hanging="1134"/>
        <w:tabs>
          <w:tab w:val="num" w:pos="1134" w:leader="none"/>
        </w:tabs>
      </w:pPr>
      <w:rPr>
        <w:rFonts w:hint="eastAsia"/>
      </w:rPr>
    </w:lvl>
    <w:lvl w:ilvl="6">
      <w:start w:val="1"/>
      <w:numFmt w:val="decimal"/>
      <w:isLgl w:val="false"/>
      <w:suff w:val="tab"/>
      <w:lvlText w:val="%1.%2.%3.%4.%5.%6.%7."/>
      <w:lvlJc w:val="left"/>
      <w:pPr>
        <w:pStyle w:val="653"/>
        <w:ind w:left="1276" w:hanging="1276"/>
        <w:tabs>
          <w:tab w:val="num" w:pos="1276" w:leader="none"/>
        </w:tabs>
      </w:pPr>
      <w:rPr>
        <w:rFonts w:hint="eastAsia"/>
      </w:rPr>
    </w:lvl>
    <w:lvl w:ilvl="7">
      <w:start w:val="1"/>
      <w:numFmt w:val="decimal"/>
      <w:isLgl w:val="false"/>
      <w:suff w:val="tab"/>
      <w:lvlText w:val="%1.%2.%3.%4.%5.%6.%7.%8."/>
      <w:lvlJc w:val="left"/>
      <w:pPr>
        <w:pStyle w:val="653"/>
        <w:ind w:left="1418" w:hanging="1418"/>
        <w:tabs>
          <w:tab w:val="num" w:pos="1418" w:leader="none"/>
        </w:tabs>
      </w:pPr>
      <w:rPr>
        <w:rFonts w:hint="eastAsia"/>
      </w:rPr>
    </w:lvl>
    <w:lvl w:ilvl="8">
      <w:start w:val="1"/>
      <w:numFmt w:val="decimal"/>
      <w:isLgl w:val="false"/>
      <w:suff w:val="tab"/>
      <w:lvlText w:val="%1.%2.%3.%4.%5.%6.%7.%8.%9."/>
      <w:lvlJc w:val="left"/>
      <w:pPr>
        <w:pStyle w:val="653"/>
        <w:ind w:left="1559" w:hanging="1559"/>
        <w:tabs>
          <w:tab w:val="num" w:pos="1559" w:leader="none"/>
        </w:tabs>
      </w:pPr>
      <w:rPr>
        <w:rFonts w:hint="eastAsia"/>
      </w:rPr>
    </w:lvl>
  </w:abstractNum>
  <w:abstractNum w:abstractNumId="4">
    <w:multiLevelType w:val="hybridMultilevel"/>
    <w:lvl w:ilvl="0">
      <w:start w:val="8"/>
      <w:numFmt w:val="chineseCounting"/>
      <w:isLgl w:val="false"/>
      <w:suff w:val="nothing"/>
      <w:lvlText w:val="%1、"/>
      <w:lvlJc w:val="left"/>
      <w:pPr>
        <w:pStyle w:val="653"/>
      </w:pPr>
      <w:rPr>
        <w:rFonts w:hint="eastAsia"/>
      </w:r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53"/>
        <w:ind w:left="0" w:firstLine="0"/>
      </w:pPr>
      <w:rPr>
        <w:rFonts w:hint="eastAsia"/>
      </w:rPr>
    </w:lvl>
    <w:lvl w:ilvl="1">
      <w:start w:val="1"/>
      <w:numFmt w:val="decimal"/>
      <w:isLgl w:val="false"/>
      <w:suff w:val="nothing"/>
      <w:lvlText w:val="%2、"/>
      <w:lvlJc w:val="left"/>
      <w:pPr>
        <w:pStyle w:val="653"/>
        <w:ind w:left="0" w:firstLine="0"/>
      </w:pPr>
      <w:rPr>
        <w:rFonts w:hint="eastAsia"/>
      </w:rPr>
    </w:lvl>
    <w:lvl w:ilvl="2">
      <w:start w:val="1"/>
      <w:numFmt w:val="decimal"/>
      <w:isLgl w:val="false"/>
      <w:suff w:val="nothing"/>
      <w:lvlText w:val="%2.%3 "/>
      <w:lvlJc w:val="left"/>
      <w:pPr>
        <w:pStyle w:val="653"/>
        <w:ind w:left="0" w:firstLine="0"/>
      </w:pPr>
      <w:rPr>
        <w:rFonts w:hint="eastAsia"/>
      </w:rPr>
    </w:lvl>
    <w:lvl w:ilvl="3">
      <w:start w:val="1"/>
      <w:numFmt w:val="decimal"/>
      <w:isLgl w:val="false"/>
      <w:suff w:val="nothing"/>
      <w:lvlText w:val="%2.%3.%4 "/>
      <w:lvlJc w:val="left"/>
      <w:pPr>
        <w:pStyle w:val="653"/>
        <w:ind w:left="0" w:firstLine="0"/>
      </w:pPr>
      <w:rPr>
        <w:rFonts w:hint="eastAsia"/>
      </w:rPr>
    </w:lvl>
    <w:lvl w:ilvl="4">
      <w:start w:val="1"/>
      <w:numFmt w:val="decimal"/>
      <w:isLgl w:val="false"/>
      <w:suff w:val="nothing"/>
      <w:lvlText w:val="%2.%3.%4.%5 "/>
      <w:lvlJc w:val="left"/>
      <w:pPr>
        <w:pStyle w:val="653"/>
        <w:ind w:left="0" w:firstLine="0"/>
      </w:pPr>
      <w:rPr>
        <w:rFonts w:hint="eastAsia"/>
      </w:rPr>
    </w:lvl>
    <w:lvl w:ilvl="5">
      <w:start w:val="1"/>
      <w:numFmt w:val="decimal"/>
      <w:pStyle w:val="884"/>
      <w:isLgl w:val="false"/>
      <w:suff w:val="nothing"/>
      <w:lvlText w:val=""/>
      <w:lvlJc w:val="left"/>
      <w:pPr>
        <w:pStyle w:val="653"/>
        <w:ind w:left="0" w:firstLine="0"/>
      </w:pPr>
      <w:rPr>
        <w:rFonts w:hint="eastAsia"/>
      </w:rPr>
    </w:lvl>
    <w:lvl w:ilvl="6">
      <w:start w:val="1"/>
      <w:numFmt w:val="decimal"/>
      <w:pStyle w:val="886"/>
      <w:isLgl w:val="false"/>
      <w:suff w:val="nothing"/>
      <w:lvlText w:val=""/>
      <w:lvlJc w:val="left"/>
      <w:pPr>
        <w:pStyle w:val="653"/>
        <w:ind w:left="0" w:firstLine="0"/>
      </w:pPr>
      <w:rPr>
        <w:rFonts w:hint="eastAsia"/>
      </w:rPr>
    </w:lvl>
    <w:lvl w:ilvl="7">
      <w:start w:val="1"/>
      <w:numFmt w:val="decimal"/>
      <w:pStyle w:val="888"/>
      <w:isLgl w:val="false"/>
      <w:suff w:val="nothing"/>
      <w:lvlText w:val=""/>
      <w:lvlJc w:val="left"/>
      <w:pPr>
        <w:pStyle w:val="653"/>
        <w:ind w:left="0" w:firstLine="0"/>
      </w:pPr>
      <w:rPr>
        <w:rFonts w:hint="eastAsia"/>
      </w:rPr>
    </w:lvl>
    <w:lvl w:ilvl="8">
      <w:start w:val="1"/>
      <w:numFmt w:val="decimal"/>
      <w:pStyle w:val="890"/>
      <w:isLgl w:val="false"/>
      <w:suff w:val="nothing"/>
      <w:lvlText w:val=""/>
      <w:lvlJc w:val="left"/>
      <w:pPr>
        <w:pStyle w:val="653"/>
        <w:ind w:left="0" w:firstLine="0"/>
      </w:pPr>
      <w:rPr>
        <w:rFonts w:hint="eastAsia"/>
      </w:rPr>
    </w:lvl>
  </w:abstractNum>
  <w:abstractNum w:abstractNumId="6">
    <w:multiLevelType w:val="hybridMultilevel"/>
    <w:lvl w:ilvl="0">
      <w:start w:val="1"/>
      <w:numFmt w:val="bullet"/>
      <w:pStyle w:val="684"/>
      <w:isLgl w:val="false"/>
      <w:suff w:val="tab"/>
      <w:lvlText w:val=""/>
      <w:lvlJc w:val="left"/>
      <w:pPr>
        <w:pStyle w:val="653"/>
        <w:ind w:left="780" w:hanging="360"/>
        <w:tabs>
          <w:tab w:val="num" w:pos="780" w:leader="none"/>
        </w:tabs>
      </w:pPr>
      <w:rPr>
        <w:rFonts w:ascii="Wingdings" w:hAnsi="Wingdings"/>
      </w:r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6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3"/>
  </w:num>
  <w:num w:numId="5">
    <w:abstractNumId w:val="4"/>
  </w:num>
  <w:num w:numId="6">
    <w:abstractNumId w:val="1"/>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740"/>
    <w:uiPriority w:val="9"/>
    <w:qFormat/>
    <w:pPr>
      <w:keepLines/>
      <w:keepNext/>
      <w:spacing w:before="480" w:after="200"/>
      <w:outlineLvl w:val="0"/>
    </w:pPr>
    <w:rPr>
      <w:rFonts w:ascii="Arial" w:hAnsi="Arial" w:eastAsia="Arial" w:cs="Arial"/>
      <w:sz w:val="40"/>
      <w:szCs w:val="40"/>
    </w:rPr>
  </w:style>
  <w:style w:type="paragraph" w:styleId="14">
    <w:name w:val="Heading 2"/>
    <w:basedOn w:val="653"/>
    <w:next w:val="653"/>
    <w:link w:val="741"/>
    <w:uiPriority w:val="9"/>
    <w:unhideWhenUsed/>
    <w:qFormat/>
    <w:pPr>
      <w:keepLines/>
      <w:keepNext/>
      <w:spacing w:before="360" w:after="200"/>
      <w:outlineLvl w:val="1"/>
    </w:pPr>
    <w:rPr>
      <w:rFonts w:ascii="Arial" w:hAnsi="Arial" w:eastAsia="Arial" w:cs="Arial"/>
      <w:sz w:val="34"/>
    </w:rPr>
  </w:style>
  <w:style w:type="paragraph" w:styleId="16">
    <w:name w:val="Heading 3"/>
    <w:basedOn w:val="653"/>
    <w:next w:val="653"/>
    <w:link w:val="74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3"/>
    <w:next w:val="653"/>
    <w:link w:val="74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3"/>
    <w:next w:val="653"/>
    <w:link w:val="74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3"/>
    <w:next w:val="653"/>
    <w:link w:val="74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3"/>
    <w:next w:val="653"/>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3"/>
    <w:next w:val="653"/>
    <w:link w:val="74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3"/>
    <w:next w:val="653"/>
    <w:link w:val="748"/>
    <w:uiPriority w:val="9"/>
    <w:unhideWhenUsed/>
    <w:qFormat/>
    <w:pPr>
      <w:keepLines/>
      <w:keepNext/>
      <w:spacing w:before="320" w:after="200"/>
      <w:outlineLvl w:val="8"/>
    </w:pPr>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3"/>
    <w:next w:val="653"/>
    <w:link w:val="749"/>
    <w:uiPriority w:val="10"/>
    <w:qFormat/>
    <w:pPr>
      <w:contextualSpacing/>
      <w:spacing w:before="300" w:after="200"/>
    </w:pPr>
    <w:rPr>
      <w:sz w:val="48"/>
      <w:szCs w:val="48"/>
    </w:rPr>
  </w:style>
  <w:style w:type="paragraph" w:styleId="35">
    <w:name w:val="Subtitle"/>
    <w:basedOn w:val="653"/>
    <w:next w:val="653"/>
    <w:link w:val="750"/>
    <w:uiPriority w:val="11"/>
    <w:qFormat/>
    <w:pPr>
      <w:spacing w:before="200" w:after="200"/>
    </w:pPr>
    <w:rPr>
      <w:sz w:val="24"/>
      <w:szCs w:val="24"/>
    </w:rPr>
  </w:style>
  <w:style w:type="paragraph" w:styleId="37">
    <w:name w:val="Quote"/>
    <w:basedOn w:val="653"/>
    <w:next w:val="653"/>
    <w:link w:val="751"/>
    <w:uiPriority w:val="29"/>
    <w:qFormat/>
    <w:pPr>
      <w:ind w:left="720" w:right="720"/>
    </w:pPr>
    <w:rPr>
      <w:i/>
    </w:rPr>
  </w:style>
  <w:style w:type="paragraph" w:styleId="39">
    <w:name w:val="Intense Quote"/>
    <w:basedOn w:val="653"/>
    <w:next w:val="65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3"/>
    <w:link w:val="753"/>
    <w:uiPriority w:val="99"/>
    <w:unhideWhenUsed/>
    <w:pPr>
      <w:spacing w:after="0" w:line="240" w:lineRule="auto"/>
      <w:tabs>
        <w:tab w:val="center" w:pos="7143" w:leader="none"/>
        <w:tab w:val="right" w:pos="14287" w:leader="none"/>
      </w:tabs>
    </w:pPr>
  </w:style>
  <w:style w:type="paragraph" w:styleId="43">
    <w:name w:val="Footer"/>
    <w:basedOn w:val="653"/>
    <w:link w:val="754"/>
    <w:uiPriority w:val="99"/>
    <w:unhideWhenUsed/>
    <w:pPr>
      <w:spacing w:after="0" w:line="240" w:lineRule="auto"/>
      <w:tabs>
        <w:tab w:val="center" w:pos="7143" w:leader="none"/>
        <w:tab w:val="right" w:pos="14287" w:leader="none"/>
      </w:tabs>
    </w:pPr>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3"/>
    <w:link w:val="7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3"/>
    <w:link w:val="75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90">
    <w:name w:val="table of figures"/>
    <w:basedOn w:val="653"/>
    <w:next w:val="653"/>
    <w:uiPriority w:val="99"/>
    <w:unhideWhenUsed/>
    <w:pPr>
      <w:spacing w:after="0" w:afterAutospacing="0"/>
    </w:pPr>
  </w:style>
  <w:style w:type="paragraph" w:styleId="653" w:default="1">
    <w:name w:val="Normal"/>
    <w:next w:val="666"/>
    <w:link w:val="653"/>
    <w:qFormat/>
    <w:pPr>
      <w:jc w:val="both"/>
      <w:widowControl w:val="off"/>
    </w:pPr>
    <w:rPr>
      <w:rFonts w:ascii="Times New Roman" w:hAnsi="Times New Roman"/>
      <w:sz w:val="21"/>
      <w:szCs w:val="21"/>
      <w:lang w:val="en-US" w:eastAsia="zh-CN" w:bidi="ar-SA"/>
    </w:rPr>
  </w:style>
  <w:style w:type="paragraph" w:styleId="654">
    <w:name w:val="标题 1"/>
    <w:basedOn w:val="653"/>
    <w:next w:val="653"/>
    <w:link w:val="667"/>
    <w:uiPriority w:val="9"/>
    <w:qFormat/>
    <w:pPr>
      <w:keepLines/>
      <w:keepNext/>
      <w:spacing w:before="480" w:after="200"/>
      <w:outlineLvl w:val="0"/>
    </w:pPr>
    <w:rPr>
      <w:rFonts w:ascii="Arial" w:hAnsi="Arial" w:eastAsia="黑体"/>
      <w:sz w:val="44"/>
      <w:szCs w:val="40"/>
      <w:lang w:val="en-US" w:eastAsia="en-US"/>
    </w:rPr>
  </w:style>
  <w:style w:type="paragraph" w:styleId="655">
    <w:name w:val="标题 2"/>
    <w:basedOn w:val="653"/>
    <w:next w:val="669"/>
    <w:link w:val="668"/>
    <w:uiPriority w:val="9"/>
    <w:qFormat/>
    <w:pPr>
      <w:keepLines/>
      <w:keepNext/>
      <w:spacing w:before="360" w:after="200"/>
      <w:outlineLvl w:val="1"/>
    </w:pPr>
    <w:rPr>
      <w:rFonts w:ascii="Arial" w:hAnsi="Arial" w:eastAsia="Arial"/>
      <w:sz w:val="34"/>
      <w:szCs w:val="20"/>
      <w:lang w:val="en-US" w:eastAsia="en-US"/>
    </w:rPr>
  </w:style>
  <w:style w:type="paragraph" w:styleId="656">
    <w:name w:val="标题 3"/>
    <w:basedOn w:val="653"/>
    <w:next w:val="653"/>
    <w:link w:val="670"/>
    <w:uiPriority w:val="9"/>
    <w:qFormat/>
    <w:pPr>
      <w:keepLines/>
      <w:keepNext/>
      <w:spacing w:before="320" w:after="200"/>
      <w:outlineLvl w:val="2"/>
    </w:pPr>
    <w:rPr>
      <w:rFonts w:ascii="Arial" w:hAnsi="Arial" w:eastAsia="Arial"/>
      <w:sz w:val="30"/>
      <w:szCs w:val="30"/>
      <w:lang w:val="en-US" w:eastAsia="en-US"/>
    </w:rPr>
  </w:style>
  <w:style w:type="paragraph" w:styleId="657">
    <w:name w:val="标题 4"/>
    <w:basedOn w:val="653"/>
    <w:next w:val="653"/>
    <w:link w:val="671"/>
    <w:uiPriority w:val="9"/>
    <w:qFormat/>
    <w:pPr>
      <w:keepLines/>
      <w:keepNext/>
      <w:spacing w:before="320" w:after="200"/>
      <w:outlineLvl w:val="3"/>
    </w:pPr>
    <w:rPr>
      <w:rFonts w:ascii="Arial" w:hAnsi="Arial" w:eastAsia="Arial"/>
      <w:b/>
      <w:bCs/>
      <w:sz w:val="26"/>
      <w:szCs w:val="26"/>
      <w:lang w:val="en-US" w:eastAsia="en-US"/>
    </w:rPr>
  </w:style>
  <w:style w:type="paragraph" w:styleId="658">
    <w:name w:val="标题 5"/>
    <w:basedOn w:val="653"/>
    <w:next w:val="653"/>
    <w:link w:val="672"/>
    <w:uiPriority w:val="9"/>
    <w:qFormat/>
    <w:pPr>
      <w:keepLines/>
      <w:keepNext/>
      <w:spacing w:before="320" w:after="200"/>
      <w:outlineLvl w:val="4"/>
    </w:pPr>
    <w:rPr>
      <w:rFonts w:ascii="Arial" w:hAnsi="Arial" w:eastAsia="Arial"/>
      <w:b/>
      <w:bCs/>
      <w:sz w:val="24"/>
      <w:szCs w:val="24"/>
      <w:lang w:val="en-US" w:eastAsia="en-US"/>
    </w:rPr>
  </w:style>
  <w:style w:type="paragraph" w:styleId="659">
    <w:name w:val="标题 6"/>
    <w:basedOn w:val="653"/>
    <w:next w:val="653"/>
    <w:link w:val="673"/>
    <w:uiPriority w:val="9"/>
    <w:qFormat/>
    <w:pPr>
      <w:keepLines/>
      <w:keepNext/>
      <w:spacing w:before="320" w:after="200"/>
      <w:outlineLvl w:val="5"/>
    </w:pPr>
    <w:rPr>
      <w:rFonts w:ascii="Arial" w:hAnsi="Arial" w:eastAsia="Arial"/>
      <w:b/>
      <w:bCs/>
      <w:sz w:val="22"/>
      <w:szCs w:val="22"/>
      <w:lang w:val="en-US" w:eastAsia="en-US"/>
    </w:rPr>
  </w:style>
  <w:style w:type="paragraph" w:styleId="660">
    <w:name w:val="标题 7"/>
    <w:basedOn w:val="653"/>
    <w:next w:val="653"/>
    <w:link w:val="674"/>
    <w:uiPriority w:val="9"/>
    <w:qFormat/>
    <w:pPr>
      <w:keepLines/>
      <w:keepNext/>
      <w:spacing w:before="320" w:after="200"/>
      <w:outlineLvl w:val="6"/>
    </w:pPr>
    <w:rPr>
      <w:rFonts w:ascii="Arial" w:hAnsi="Arial" w:eastAsia="Arial"/>
      <w:b/>
      <w:bCs/>
      <w:i/>
      <w:iCs/>
      <w:sz w:val="22"/>
      <w:szCs w:val="22"/>
      <w:lang w:val="en-US" w:eastAsia="en-US"/>
    </w:rPr>
  </w:style>
  <w:style w:type="paragraph" w:styleId="661">
    <w:name w:val="标题 8"/>
    <w:basedOn w:val="653"/>
    <w:next w:val="653"/>
    <w:link w:val="675"/>
    <w:uiPriority w:val="9"/>
    <w:qFormat/>
    <w:pPr>
      <w:keepLines/>
      <w:keepNext/>
      <w:spacing w:before="320" w:after="200"/>
      <w:outlineLvl w:val="7"/>
    </w:pPr>
    <w:rPr>
      <w:rFonts w:ascii="Arial" w:hAnsi="Arial" w:eastAsia="Arial"/>
      <w:i/>
      <w:iCs/>
      <w:sz w:val="22"/>
      <w:szCs w:val="22"/>
      <w:lang w:val="en-US" w:eastAsia="en-US"/>
    </w:rPr>
  </w:style>
  <w:style w:type="paragraph" w:styleId="662">
    <w:name w:val="标题 9"/>
    <w:basedOn w:val="653"/>
    <w:next w:val="653"/>
    <w:link w:val="676"/>
    <w:uiPriority w:val="9"/>
    <w:qFormat/>
    <w:pPr>
      <w:keepLines/>
      <w:keepNext/>
      <w:spacing w:before="320" w:after="200"/>
      <w:outlineLvl w:val="8"/>
    </w:pPr>
    <w:rPr>
      <w:rFonts w:ascii="Arial" w:hAnsi="Arial" w:eastAsia="Arial"/>
      <w:i/>
      <w:iCs/>
      <w:lang w:val="en-US" w:eastAsia="en-US"/>
    </w:rPr>
  </w:style>
  <w:style w:type="character" w:styleId="663">
    <w:name w:val="默认段落字体"/>
    <w:next w:val="663"/>
    <w:link w:val="653"/>
    <w:uiPriority w:val="1"/>
    <w:unhideWhenUsed/>
  </w:style>
  <w:style w:type="table" w:styleId="664">
    <w:name w:val="普通表格"/>
    <w:next w:val="664"/>
    <w:link w:val="653"/>
    <w:uiPriority w:val="99"/>
    <w:unhideWhenUsed/>
    <w:tblPr/>
  </w:style>
  <w:style w:type="numbering" w:styleId="665">
    <w:name w:val="无列表"/>
    <w:next w:val="665"/>
    <w:link w:val="653"/>
    <w:uiPriority w:val="99"/>
    <w:semiHidden/>
    <w:unhideWhenUsed/>
  </w:style>
  <w:style w:type="paragraph" w:styleId="666">
    <w:name w:val="Default"/>
    <w:next w:val="653"/>
    <w:link w:val="653"/>
    <w:qFormat/>
    <w:pPr>
      <w:widowControl w:val="off"/>
    </w:pPr>
    <w:rPr>
      <w:rFonts w:ascii="宋体" w:hAnsi="Times New Roman" w:cs="宋体"/>
      <w:color w:val="000000"/>
      <w:sz w:val="24"/>
      <w:szCs w:val="24"/>
      <w:lang w:val="en-US" w:eastAsia="zh-CN" w:bidi="ar-SA"/>
    </w:rPr>
  </w:style>
  <w:style w:type="character" w:styleId="667">
    <w:name w:val="标题 1 Char1"/>
    <w:next w:val="667"/>
    <w:link w:val="654"/>
    <w:uiPriority w:val="9"/>
    <w:qFormat/>
    <w:rPr>
      <w:rFonts w:ascii="Arial" w:hAnsi="Arial" w:eastAsia="黑体" w:cs="Arial"/>
      <w:sz w:val="44"/>
      <w:szCs w:val="40"/>
    </w:rPr>
  </w:style>
  <w:style w:type="character" w:styleId="668">
    <w:name w:val="标题 2 Char1"/>
    <w:next w:val="668"/>
    <w:link w:val="655"/>
    <w:uiPriority w:val="9"/>
    <w:qFormat/>
    <w:rPr>
      <w:rFonts w:ascii="Arial" w:hAnsi="Arial" w:eastAsia="Arial" w:cs="Arial"/>
      <w:sz w:val="34"/>
    </w:rPr>
  </w:style>
  <w:style w:type="paragraph" w:styleId="669">
    <w:name w:val="正文缩进"/>
    <w:basedOn w:val="653"/>
    <w:next w:val="669"/>
    <w:link w:val="653"/>
    <w:unhideWhenUsed/>
    <w:qFormat/>
    <w:pPr>
      <w:ind w:firstLine="420"/>
    </w:pPr>
  </w:style>
  <w:style w:type="character" w:styleId="670">
    <w:name w:val="标题 3 Char1"/>
    <w:next w:val="670"/>
    <w:link w:val="656"/>
    <w:uiPriority w:val="9"/>
    <w:qFormat/>
    <w:rPr>
      <w:rFonts w:ascii="Arial" w:hAnsi="Arial" w:eastAsia="Arial" w:cs="Arial"/>
      <w:sz w:val="30"/>
      <w:szCs w:val="30"/>
    </w:rPr>
  </w:style>
  <w:style w:type="character" w:styleId="671">
    <w:name w:val="标题 4 Char1"/>
    <w:next w:val="671"/>
    <w:link w:val="657"/>
    <w:uiPriority w:val="9"/>
    <w:qFormat/>
    <w:rPr>
      <w:rFonts w:ascii="Arial" w:hAnsi="Arial" w:eastAsia="Arial" w:cs="Arial"/>
      <w:b/>
      <w:bCs/>
      <w:sz w:val="26"/>
      <w:szCs w:val="26"/>
    </w:rPr>
  </w:style>
  <w:style w:type="character" w:styleId="672">
    <w:name w:val="标题 5 Char1"/>
    <w:next w:val="672"/>
    <w:link w:val="658"/>
    <w:uiPriority w:val="9"/>
    <w:qFormat/>
    <w:rPr>
      <w:rFonts w:ascii="Arial" w:hAnsi="Arial" w:eastAsia="Arial" w:cs="Arial"/>
      <w:b/>
      <w:bCs/>
      <w:sz w:val="24"/>
      <w:szCs w:val="24"/>
    </w:rPr>
  </w:style>
  <w:style w:type="character" w:styleId="673">
    <w:name w:val="标题 6 Char1"/>
    <w:next w:val="673"/>
    <w:link w:val="659"/>
    <w:uiPriority w:val="9"/>
    <w:qFormat/>
    <w:rPr>
      <w:rFonts w:ascii="Arial" w:hAnsi="Arial" w:eastAsia="Arial" w:cs="Arial"/>
      <w:b/>
      <w:bCs/>
      <w:sz w:val="22"/>
      <w:szCs w:val="22"/>
    </w:rPr>
  </w:style>
  <w:style w:type="character" w:styleId="674">
    <w:name w:val="标题 7 Char1"/>
    <w:next w:val="674"/>
    <w:link w:val="660"/>
    <w:uiPriority w:val="9"/>
    <w:qFormat/>
    <w:rPr>
      <w:rFonts w:ascii="Arial" w:hAnsi="Arial" w:eastAsia="Arial" w:cs="Arial"/>
      <w:b/>
      <w:bCs/>
      <w:i/>
      <w:iCs/>
      <w:sz w:val="22"/>
      <w:szCs w:val="22"/>
    </w:rPr>
  </w:style>
  <w:style w:type="character" w:styleId="675">
    <w:name w:val="标题 8 Char1"/>
    <w:next w:val="675"/>
    <w:link w:val="661"/>
    <w:uiPriority w:val="9"/>
    <w:qFormat/>
    <w:rPr>
      <w:rFonts w:ascii="Arial" w:hAnsi="Arial" w:eastAsia="Arial" w:cs="Arial"/>
      <w:i/>
      <w:iCs/>
      <w:sz w:val="22"/>
      <w:szCs w:val="22"/>
    </w:rPr>
  </w:style>
  <w:style w:type="character" w:styleId="676">
    <w:name w:val="标题 9 Char1"/>
    <w:next w:val="676"/>
    <w:link w:val="662"/>
    <w:uiPriority w:val="9"/>
    <w:qFormat/>
    <w:rPr>
      <w:rFonts w:ascii="Arial" w:hAnsi="Arial" w:eastAsia="Arial" w:cs="Arial"/>
      <w:i/>
      <w:iCs/>
      <w:sz w:val="21"/>
      <w:szCs w:val="21"/>
    </w:rPr>
  </w:style>
  <w:style w:type="paragraph" w:styleId="677">
    <w:name w:val="目录 7"/>
    <w:basedOn w:val="653"/>
    <w:next w:val="653"/>
    <w:link w:val="653"/>
    <w:uiPriority w:val="39"/>
    <w:unhideWhenUsed/>
    <w:qFormat/>
    <w:pPr>
      <w:ind w:left="1701"/>
      <w:spacing w:after="57"/>
    </w:pPr>
  </w:style>
  <w:style w:type="paragraph" w:styleId="678">
    <w:name w:val="题注"/>
    <w:basedOn w:val="653"/>
    <w:next w:val="653"/>
    <w:link w:val="653"/>
    <w:uiPriority w:val="35"/>
    <w:qFormat/>
    <w:pPr>
      <w:spacing w:line="276" w:lineRule="auto"/>
    </w:pPr>
    <w:rPr>
      <w:b/>
      <w:bCs/>
      <w:color w:val="4f81bd"/>
      <w:sz w:val="18"/>
      <w:szCs w:val="18"/>
    </w:rPr>
  </w:style>
  <w:style w:type="paragraph" w:styleId="679">
    <w:name w:val="批注文字"/>
    <w:basedOn w:val="653"/>
    <w:next w:val="679"/>
    <w:link w:val="680"/>
    <w:unhideWhenUsed/>
    <w:qFormat/>
    <w:pPr>
      <w:jc w:val="left"/>
    </w:pPr>
    <w:rPr>
      <w:rFonts w:ascii="Calibri" w:hAnsi="Calibri"/>
      <w:sz w:val="20"/>
      <w:szCs w:val="20"/>
      <w:lang w:val="en-US" w:eastAsia="en-US"/>
    </w:rPr>
  </w:style>
  <w:style w:type="character" w:styleId="680">
    <w:name w:val="批注文字 Char2"/>
    <w:next w:val="680"/>
    <w:link w:val="679"/>
    <w:rPr>
      <w:rFonts w:cs="Calibri"/>
    </w:rPr>
  </w:style>
  <w:style w:type="paragraph" w:styleId="681">
    <w:name w:val="正文文本"/>
    <w:basedOn w:val="653"/>
    <w:next w:val="681"/>
    <w:link w:val="653"/>
    <w:uiPriority w:val="99"/>
    <w:qFormat/>
    <w:rPr>
      <w:rFonts w:ascii="楷体_GB2312" w:hAnsi="Arial" w:eastAsia="楷体_GB2312"/>
      <w:sz w:val="28"/>
      <w:szCs w:val="28"/>
    </w:rPr>
  </w:style>
  <w:style w:type="paragraph" w:styleId="682">
    <w:name w:val="正文文本缩进"/>
    <w:basedOn w:val="653"/>
    <w:next w:val="653"/>
    <w:link w:val="683"/>
    <w:uiPriority w:val="99"/>
    <w:unhideWhenUsed/>
    <w:qFormat/>
    <w:pPr>
      <w:ind w:left="420"/>
      <w:spacing w:before="100" w:beforeAutospacing="1" w:after="120"/>
    </w:pPr>
    <w:rPr>
      <w:rFonts w:ascii="Calibri" w:hAnsi="Calibri"/>
      <w:sz w:val="20"/>
      <w:szCs w:val="20"/>
      <w:lang w:val="en-US" w:eastAsia="en-US"/>
    </w:rPr>
  </w:style>
  <w:style w:type="character" w:styleId="683">
    <w:name w:val="正文文本缩进 Char1"/>
    <w:next w:val="683"/>
    <w:link w:val="682"/>
    <w:uiPriority w:val="99"/>
    <w:semiHidden/>
    <w:rPr>
      <w:rFonts w:cs="Calibri"/>
    </w:rPr>
  </w:style>
  <w:style w:type="paragraph" w:styleId="684">
    <w:name w:val="列表项目符号 2"/>
    <w:basedOn w:val="653"/>
    <w:next w:val="684"/>
    <w:link w:val="653"/>
    <w:uiPriority w:val="99"/>
    <w:unhideWhenUsed/>
    <w:qFormat/>
    <w:pPr>
      <w:numPr>
        <w:ilvl w:val="0"/>
        <w:numId w:val="1"/>
      </w:numPr>
      <w:tabs>
        <w:tab w:val="left" w:pos="780" w:leader="none"/>
      </w:tabs>
    </w:pPr>
  </w:style>
  <w:style w:type="paragraph" w:styleId="685">
    <w:name w:val="索引 4"/>
    <w:basedOn w:val="653"/>
    <w:next w:val="653"/>
    <w:link w:val="653"/>
    <w:qFormat/>
    <w:pPr>
      <w:ind w:left="600" w:firstLine="200"/>
      <w:spacing w:line="360" w:lineRule="auto"/>
    </w:pPr>
    <w:rPr>
      <w:rFonts w:ascii="等线" w:hAnsi="等线" w:eastAsia="等线"/>
      <w:sz w:val="24"/>
      <w:szCs w:val="24"/>
    </w:rPr>
  </w:style>
  <w:style w:type="paragraph" w:styleId="686">
    <w:name w:val="目录 5"/>
    <w:basedOn w:val="653"/>
    <w:next w:val="653"/>
    <w:link w:val="653"/>
    <w:uiPriority w:val="39"/>
    <w:unhideWhenUsed/>
    <w:qFormat/>
    <w:pPr>
      <w:ind w:left="1134"/>
      <w:spacing w:after="57"/>
    </w:pPr>
  </w:style>
  <w:style w:type="paragraph" w:styleId="687">
    <w:name w:val="目录 3"/>
    <w:basedOn w:val="653"/>
    <w:next w:val="653"/>
    <w:link w:val="653"/>
    <w:uiPriority w:val="39"/>
    <w:unhideWhenUsed/>
    <w:qFormat/>
    <w:pPr>
      <w:ind w:left="567"/>
      <w:spacing w:after="57"/>
    </w:pPr>
  </w:style>
  <w:style w:type="paragraph" w:styleId="688">
    <w:name w:val="纯文本"/>
    <w:basedOn w:val="653"/>
    <w:next w:val="688"/>
    <w:link w:val="689"/>
    <w:uiPriority w:val="99"/>
    <w:qFormat/>
    <w:rPr>
      <w:rFonts w:ascii="宋体" w:hAnsi="Courier New"/>
      <w:sz w:val="20"/>
      <w:lang w:val="en-US" w:eastAsia="en-US"/>
    </w:rPr>
  </w:style>
  <w:style w:type="character" w:styleId="689">
    <w:name w:val="纯文本 Char2"/>
    <w:next w:val="689"/>
    <w:link w:val="688"/>
    <w:uiPriority w:val="99"/>
    <w:rPr>
      <w:rFonts w:ascii="宋体" w:hAnsi="Courier New"/>
      <w:szCs w:val="21"/>
    </w:rPr>
  </w:style>
  <w:style w:type="paragraph" w:styleId="690">
    <w:name w:val="目录 8"/>
    <w:basedOn w:val="653"/>
    <w:next w:val="653"/>
    <w:link w:val="653"/>
    <w:uiPriority w:val="39"/>
    <w:unhideWhenUsed/>
    <w:qFormat/>
    <w:pPr>
      <w:ind w:left="1984"/>
      <w:spacing w:after="57"/>
    </w:pPr>
  </w:style>
  <w:style w:type="paragraph" w:styleId="691">
    <w:name w:val="尾注文本"/>
    <w:basedOn w:val="653"/>
    <w:next w:val="691"/>
    <w:link w:val="692"/>
    <w:uiPriority w:val="99"/>
    <w:unhideWhenUsed/>
    <w:qFormat/>
    <w:rPr>
      <w:rFonts w:ascii="Calibri" w:hAnsi="Calibri"/>
      <w:sz w:val="20"/>
      <w:szCs w:val="20"/>
      <w:lang w:val="en-US" w:eastAsia="en-US"/>
    </w:rPr>
  </w:style>
  <w:style w:type="character" w:styleId="692">
    <w:name w:val="尾注文本 Char"/>
    <w:next w:val="692"/>
    <w:link w:val="691"/>
    <w:uiPriority w:val="99"/>
    <w:qFormat/>
    <w:rPr>
      <w:sz w:val="20"/>
    </w:rPr>
  </w:style>
  <w:style w:type="paragraph" w:styleId="693">
    <w:name w:val="批注框文本"/>
    <w:basedOn w:val="653"/>
    <w:next w:val="693"/>
    <w:link w:val="694"/>
    <w:uiPriority w:val="99"/>
    <w:unhideWhenUsed/>
    <w:rPr>
      <w:sz w:val="18"/>
      <w:szCs w:val="18"/>
      <w:lang w:val="en-US" w:eastAsia="en-US"/>
    </w:rPr>
  </w:style>
  <w:style w:type="character" w:styleId="694">
    <w:name w:val="批注框文本 Char1"/>
    <w:next w:val="694"/>
    <w:link w:val="693"/>
    <w:uiPriority w:val="99"/>
    <w:semiHidden/>
    <w:rPr>
      <w:rFonts w:ascii="Times New Roman" w:hAnsi="Times New Roman"/>
      <w:sz w:val="18"/>
      <w:szCs w:val="18"/>
    </w:rPr>
  </w:style>
  <w:style w:type="paragraph" w:styleId="695">
    <w:name w:val="页脚"/>
    <w:basedOn w:val="653"/>
    <w:next w:val="695"/>
    <w:link w:val="696"/>
    <w:uiPriority w:val="99"/>
    <w:unhideWhenUsed/>
    <w:qFormat/>
    <w:pPr>
      <w:tabs>
        <w:tab w:val="center" w:pos="7143" w:leader="none"/>
        <w:tab w:val="right" w:pos="14287" w:leader="none"/>
      </w:tabs>
    </w:pPr>
  </w:style>
  <w:style w:type="character" w:styleId="696">
    <w:name w:val="页脚 Char1"/>
    <w:next w:val="696"/>
    <w:link w:val="695"/>
    <w:uiPriority w:val="99"/>
    <w:qFormat/>
  </w:style>
  <w:style w:type="paragraph" w:styleId="697">
    <w:name w:val="页眉"/>
    <w:basedOn w:val="653"/>
    <w:next w:val="697"/>
    <w:link w:val="698"/>
    <w:uiPriority w:val="99"/>
    <w:unhideWhenUsed/>
    <w:qFormat/>
    <w:pPr>
      <w:tabs>
        <w:tab w:val="center" w:pos="7143" w:leader="none"/>
        <w:tab w:val="right" w:pos="14287" w:leader="none"/>
      </w:tabs>
    </w:pPr>
  </w:style>
  <w:style w:type="character" w:styleId="698">
    <w:name w:val="页眉 Char1"/>
    <w:next w:val="698"/>
    <w:link w:val="697"/>
    <w:uiPriority w:val="99"/>
    <w:qFormat/>
  </w:style>
  <w:style w:type="paragraph" w:styleId="699">
    <w:name w:val="目录 1"/>
    <w:basedOn w:val="653"/>
    <w:next w:val="653"/>
    <w:link w:val="653"/>
    <w:uiPriority w:val="39"/>
    <w:unhideWhenUsed/>
    <w:qFormat/>
    <w:pPr>
      <w:spacing w:after="57"/>
    </w:pPr>
  </w:style>
  <w:style w:type="paragraph" w:styleId="700">
    <w:name w:val="目录 4"/>
    <w:basedOn w:val="653"/>
    <w:next w:val="653"/>
    <w:link w:val="653"/>
    <w:uiPriority w:val="39"/>
    <w:unhideWhenUsed/>
    <w:qFormat/>
    <w:pPr>
      <w:ind w:left="850"/>
      <w:spacing w:after="57"/>
    </w:pPr>
  </w:style>
  <w:style w:type="paragraph" w:styleId="701">
    <w:name w:val="副标题"/>
    <w:basedOn w:val="653"/>
    <w:next w:val="653"/>
    <w:link w:val="702"/>
    <w:uiPriority w:val="11"/>
    <w:qFormat/>
    <w:pPr>
      <w:spacing w:before="200" w:after="200"/>
    </w:pPr>
    <w:rPr>
      <w:rFonts w:ascii="Calibri" w:hAnsi="Calibri"/>
      <w:sz w:val="24"/>
      <w:szCs w:val="24"/>
      <w:lang w:val="en-US" w:eastAsia="en-US"/>
    </w:rPr>
  </w:style>
  <w:style w:type="character" w:styleId="702">
    <w:name w:val="副标题 Char"/>
    <w:next w:val="702"/>
    <w:link w:val="701"/>
    <w:uiPriority w:val="11"/>
    <w:qFormat/>
    <w:rPr>
      <w:sz w:val="24"/>
      <w:szCs w:val="24"/>
    </w:rPr>
  </w:style>
  <w:style w:type="paragraph" w:styleId="703">
    <w:name w:val="脚注文本"/>
    <w:basedOn w:val="653"/>
    <w:next w:val="703"/>
    <w:link w:val="704"/>
    <w:uiPriority w:val="99"/>
    <w:unhideWhenUsed/>
    <w:qFormat/>
    <w:pPr>
      <w:spacing w:after="40"/>
    </w:pPr>
    <w:rPr>
      <w:rFonts w:ascii="Calibri" w:hAnsi="Calibri"/>
      <w:sz w:val="18"/>
      <w:szCs w:val="20"/>
      <w:lang w:val="en-US" w:eastAsia="en-US"/>
    </w:rPr>
  </w:style>
  <w:style w:type="character" w:styleId="704">
    <w:name w:val="脚注文本 Char"/>
    <w:next w:val="704"/>
    <w:link w:val="703"/>
    <w:uiPriority w:val="99"/>
    <w:qFormat/>
    <w:rPr>
      <w:sz w:val="18"/>
    </w:rPr>
  </w:style>
  <w:style w:type="paragraph" w:styleId="705">
    <w:name w:val="目录 6"/>
    <w:basedOn w:val="653"/>
    <w:next w:val="653"/>
    <w:link w:val="653"/>
    <w:uiPriority w:val="39"/>
    <w:unhideWhenUsed/>
    <w:qFormat/>
    <w:pPr>
      <w:ind w:left="1417"/>
      <w:spacing w:after="57"/>
    </w:pPr>
  </w:style>
  <w:style w:type="paragraph" w:styleId="706">
    <w:name w:val="图表目录"/>
    <w:basedOn w:val="653"/>
    <w:next w:val="653"/>
    <w:link w:val="653"/>
    <w:uiPriority w:val="99"/>
    <w:unhideWhenUsed/>
    <w:qFormat/>
  </w:style>
  <w:style w:type="paragraph" w:styleId="707">
    <w:name w:val="目录 2"/>
    <w:basedOn w:val="653"/>
    <w:next w:val="653"/>
    <w:link w:val="653"/>
    <w:uiPriority w:val="39"/>
    <w:unhideWhenUsed/>
    <w:qFormat/>
    <w:pPr>
      <w:ind w:left="283"/>
      <w:spacing w:after="57"/>
    </w:pPr>
  </w:style>
  <w:style w:type="paragraph" w:styleId="708">
    <w:name w:val="目录 9"/>
    <w:basedOn w:val="653"/>
    <w:next w:val="653"/>
    <w:link w:val="653"/>
    <w:uiPriority w:val="39"/>
    <w:unhideWhenUsed/>
    <w:qFormat/>
    <w:pPr>
      <w:ind w:left="2268"/>
      <w:spacing w:after="57"/>
    </w:pPr>
  </w:style>
  <w:style w:type="paragraph" w:styleId="709">
    <w:name w:val="普通(网站)"/>
    <w:basedOn w:val="653"/>
    <w:next w:val="709"/>
    <w:link w:val="653"/>
    <w:qFormat/>
    <w:rPr>
      <w:sz w:val="24"/>
    </w:rPr>
  </w:style>
  <w:style w:type="paragraph" w:styleId="710">
    <w:name w:val="标题"/>
    <w:basedOn w:val="653"/>
    <w:next w:val="653"/>
    <w:link w:val="711"/>
    <w:uiPriority w:val="10"/>
    <w:qFormat/>
    <w:pPr>
      <w:contextualSpacing/>
      <w:spacing w:before="300" w:after="200"/>
    </w:pPr>
    <w:rPr>
      <w:rFonts w:ascii="Calibri" w:hAnsi="Calibri"/>
      <w:sz w:val="48"/>
      <w:szCs w:val="48"/>
      <w:lang w:val="en-US" w:eastAsia="en-US"/>
    </w:rPr>
  </w:style>
  <w:style w:type="character" w:styleId="711">
    <w:name w:val="标题 Char"/>
    <w:next w:val="711"/>
    <w:link w:val="710"/>
    <w:uiPriority w:val="10"/>
    <w:qFormat/>
    <w:rPr>
      <w:sz w:val="48"/>
      <w:szCs w:val="48"/>
    </w:rPr>
  </w:style>
  <w:style w:type="paragraph" w:styleId="712">
    <w:name w:val="批注主题"/>
    <w:basedOn w:val="679"/>
    <w:next w:val="679"/>
    <w:link w:val="653"/>
    <w:rPr>
      <w:rFonts w:cs="Times New Roman"/>
      <w:b/>
      <w:bCs/>
      <w:sz w:val="21"/>
      <w:szCs w:val="24"/>
    </w:rPr>
  </w:style>
  <w:style w:type="paragraph" w:styleId="713">
    <w:name w:val="正文首行缩进 2"/>
    <w:basedOn w:val="682"/>
    <w:next w:val="713"/>
    <w:link w:val="653"/>
    <w:uiPriority w:val="99"/>
    <w:unhideWhenUsed/>
    <w:qFormat/>
    <w:pPr>
      <w:ind w:firstLine="420"/>
      <w:spacing w:line="360" w:lineRule="auto"/>
    </w:pPr>
    <w:rPr>
      <w:rFonts w:ascii="宋体" w:hAnsi="宋体" w:cs="宋体"/>
      <w:sz w:val="21"/>
      <w:szCs w:val="21"/>
    </w:rPr>
  </w:style>
  <w:style w:type="table" w:styleId="714">
    <w:name w:val="网格型"/>
    <w:next w:val="714"/>
    <w:link w:val="653"/>
    <w:uiPriority w:val="59"/>
    <w:qFormat/>
    <w:rPr>
      <w:lang w:val="en-US" w:eastAsia="zh-CN" w:bidi="ar-SA"/>
    </w:rPr>
    <w:tblPr/>
  </w:style>
  <w:style w:type="character" w:styleId="715">
    <w:name w:val="要点"/>
    <w:next w:val="715"/>
    <w:link w:val="653"/>
    <w:qFormat/>
    <w:rPr>
      <w:rFonts w:ascii="Calibri" w:hAnsi="Calibri" w:eastAsia="宋体" w:cs="Times New Roman"/>
      <w:b/>
      <w:bCs w:val="0"/>
    </w:rPr>
  </w:style>
  <w:style w:type="character" w:styleId="716">
    <w:name w:val="尾注引用"/>
    <w:next w:val="716"/>
    <w:link w:val="653"/>
    <w:uiPriority w:val="99"/>
    <w:unhideWhenUsed/>
    <w:qFormat/>
    <w:rPr>
      <w:vertAlign w:val="superscript"/>
    </w:rPr>
  </w:style>
  <w:style w:type="character" w:styleId="717">
    <w:name w:val="超链接"/>
    <w:next w:val="717"/>
    <w:link w:val="653"/>
    <w:uiPriority w:val="99"/>
    <w:unhideWhenUsed/>
    <w:qFormat/>
    <w:rPr>
      <w:color w:val="0000ff"/>
      <w:u w:val="single"/>
    </w:rPr>
  </w:style>
  <w:style w:type="character" w:styleId="718">
    <w:name w:val="批注引用"/>
    <w:next w:val="718"/>
    <w:link w:val="653"/>
    <w:rPr>
      <w:sz w:val="21"/>
      <w:szCs w:val="21"/>
    </w:rPr>
  </w:style>
  <w:style w:type="character" w:styleId="719">
    <w:name w:val="脚注引用"/>
    <w:next w:val="719"/>
    <w:link w:val="653"/>
    <w:uiPriority w:val="99"/>
    <w:unhideWhenUsed/>
    <w:qFormat/>
    <w:rPr>
      <w:vertAlign w:val="superscript"/>
    </w:rPr>
  </w:style>
  <w:style w:type="table" w:styleId="720">
    <w:name w:val="无格式表格 11"/>
    <w:basedOn w:val="664"/>
    <w:next w:val="720"/>
    <w:link w:val="653"/>
    <w:uiPriority w:val="59"/>
    <w:qFormat/>
    <w:tblPr/>
  </w:style>
  <w:style w:type="table" w:styleId="721">
    <w:name w:val="无格式表格 21"/>
    <w:basedOn w:val="664"/>
    <w:next w:val="721"/>
    <w:link w:val="653"/>
    <w:uiPriority w:val="59"/>
    <w:qFormat/>
    <w:tblPr/>
  </w:style>
  <w:style w:type="table" w:styleId="722">
    <w:name w:val="无格式表格 31"/>
    <w:basedOn w:val="664"/>
    <w:next w:val="722"/>
    <w:link w:val="653"/>
    <w:uiPriority w:val="99"/>
    <w:qFormat/>
    <w:tblPr/>
  </w:style>
  <w:style w:type="table" w:styleId="723">
    <w:name w:val="无格式表格 41"/>
    <w:basedOn w:val="664"/>
    <w:next w:val="723"/>
    <w:link w:val="653"/>
    <w:uiPriority w:val="99"/>
    <w:qFormat/>
    <w:tblPr/>
  </w:style>
  <w:style w:type="table" w:styleId="724">
    <w:name w:val="无格式表格 51"/>
    <w:basedOn w:val="664"/>
    <w:next w:val="724"/>
    <w:link w:val="653"/>
    <w:uiPriority w:val="99"/>
    <w:qFormat/>
    <w:tblPr/>
  </w:style>
  <w:style w:type="table" w:styleId="725">
    <w:name w:val="网格表 1 浅色1"/>
    <w:basedOn w:val="664"/>
    <w:next w:val="725"/>
    <w:link w:val="653"/>
    <w:uiPriority w:val="99"/>
    <w:qFormat/>
    <w:tblPr/>
  </w:style>
  <w:style w:type="table" w:styleId="726">
    <w:name w:val="网格表 21"/>
    <w:basedOn w:val="664"/>
    <w:next w:val="726"/>
    <w:link w:val="653"/>
    <w:uiPriority w:val="99"/>
    <w:qFormat/>
    <w:tblPr/>
  </w:style>
  <w:style w:type="table" w:styleId="727">
    <w:name w:val="网格表 31"/>
    <w:basedOn w:val="664"/>
    <w:next w:val="727"/>
    <w:link w:val="653"/>
    <w:uiPriority w:val="99"/>
    <w:qFormat/>
    <w:tblPr/>
  </w:style>
  <w:style w:type="table" w:styleId="728">
    <w:name w:val="网格表 41"/>
    <w:basedOn w:val="664"/>
    <w:next w:val="728"/>
    <w:link w:val="653"/>
    <w:uiPriority w:val="59"/>
    <w:qFormat/>
    <w:tblPr/>
  </w:style>
  <w:style w:type="table" w:styleId="729">
    <w:name w:val="网格表 5 深色1"/>
    <w:basedOn w:val="664"/>
    <w:next w:val="729"/>
    <w:link w:val="653"/>
    <w:uiPriority w:val="99"/>
    <w:qFormat/>
    <w:tblPr/>
  </w:style>
  <w:style w:type="table" w:styleId="730">
    <w:name w:val="网格表 6 彩色1"/>
    <w:basedOn w:val="664"/>
    <w:next w:val="730"/>
    <w:link w:val="653"/>
    <w:uiPriority w:val="99"/>
    <w:qFormat/>
    <w:tblPr/>
  </w:style>
  <w:style w:type="table" w:styleId="731">
    <w:name w:val="网格表 7 彩色1"/>
    <w:basedOn w:val="664"/>
    <w:next w:val="731"/>
    <w:link w:val="653"/>
    <w:uiPriority w:val="99"/>
    <w:qFormat/>
    <w:tblPr/>
  </w:style>
  <w:style w:type="table" w:styleId="732">
    <w:name w:val="清单表 1 浅色1"/>
    <w:basedOn w:val="664"/>
    <w:next w:val="732"/>
    <w:link w:val="653"/>
    <w:uiPriority w:val="99"/>
    <w:qFormat/>
    <w:tblPr/>
  </w:style>
  <w:style w:type="table" w:styleId="733">
    <w:name w:val="清单表 21"/>
    <w:basedOn w:val="664"/>
    <w:next w:val="733"/>
    <w:link w:val="653"/>
    <w:uiPriority w:val="99"/>
    <w:qFormat/>
    <w:tblPr/>
  </w:style>
  <w:style w:type="table" w:styleId="734">
    <w:name w:val="清单表 31"/>
    <w:basedOn w:val="664"/>
    <w:next w:val="734"/>
    <w:link w:val="653"/>
    <w:uiPriority w:val="99"/>
    <w:qFormat/>
    <w:tblPr/>
  </w:style>
  <w:style w:type="table" w:styleId="735">
    <w:name w:val="清单表 41"/>
    <w:basedOn w:val="664"/>
    <w:next w:val="735"/>
    <w:link w:val="653"/>
    <w:uiPriority w:val="99"/>
    <w:qFormat/>
    <w:tblPr/>
  </w:style>
  <w:style w:type="table" w:styleId="736">
    <w:name w:val="清单表 5 深色1"/>
    <w:basedOn w:val="664"/>
    <w:next w:val="736"/>
    <w:link w:val="653"/>
    <w:uiPriority w:val="99"/>
    <w:qFormat/>
    <w:tblPr/>
  </w:style>
  <w:style w:type="table" w:styleId="737">
    <w:name w:val="清单表 6 彩色1"/>
    <w:basedOn w:val="664"/>
    <w:next w:val="737"/>
    <w:link w:val="653"/>
    <w:uiPriority w:val="99"/>
    <w:qFormat/>
    <w:tblPr/>
  </w:style>
  <w:style w:type="table" w:styleId="738">
    <w:name w:val="清单表 7 彩色1"/>
    <w:basedOn w:val="664"/>
    <w:next w:val="738"/>
    <w:link w:val="653"/>
    <w:uiPriority w:val="99"/>
    <w:qFormat/>
    <w:tblPr/>
  </w:style>
  <w:style w:type="paragraph" w:styleId="739">
    <w:name w:val="TOC Heading"/>
    <w:next w:val="739"/>
    <w:link w:val="653"/>
    <w:uiPriority w:val="39"/>
    <w:unhideWhenUsed/>
    <w:qFormat/>
    <w:rPr>
      <w:lang w:val="en-US" w:eastAsia="zh-CN" w:bidi="ar-SA"/>
    </w:rPr>
  </w:style>
  <w:style w:type="character" w:styleId="740">
    <w:name w:val="Heading 1 Char"/>
    <w:next w:val="740"/>
    <w:link w:val="653"/>
    <w:uiPriority w:val="9"/>
    <w:qFormat/>
    <w:rPr>
      <w:rFonts w:ascii="Arial" w:hAnsi="Arial" w:eastAsia="Arial" w:cs="Arial"/>
      <w:sz w:val="40"/>
      <w:szCs w:val="40"/>
    </w:rPr>
  </w:style>
  <w:style w:type="character" w:styleId="741">
    <w:name w:val="Heading 2 Char"/>
    <w:next w:val="741"/>
    <w:link w:val="653"/>
    <w:uiPriority w:val="9"/>
    <w:qFormat/>
    <w:rPr>
      <w:rFonts w:ascii="Arial" w:hAnsi="Arial" w:eastAsia="Arial" w:cs="Arial"/>
      <w:sz w:val="34"/>
    </w:rPr>
  </w:style>
  <w:style w:type="character" w:styleId="742">
    <w:name w:val="Heading 3 Char"/>
    <w:next w:val="742"/>
    <w:link w:val="653"/>
    <w:uiPriority w:val="9"/>
    <w:qFormat/>
    <w:rPr>
      <w:rFonts w:ascii="Arial" w:hAnsi="Arial" w:eastAsia="Arial" w:cs="Arial"/>
      <w:sz w:val="30"/>
      <w:szCs w:val="30"/>
    </w:rPr>
  </w:style>
  <w:style w:type="character" w:styleId="743">
    <w:name w:val="Heading 4 Char"/>
    <w:next w:val="743"/>
    <w:link w:val="653"/>
    <w:uiPriority w:val="9"/>
    <w:qFormat/>
    <w:rPr>
      <w:rFonts w:ascii="Arial" w:hAnsi="Arial" w:eastAsia="Arial" w:cs="Arial"/>
      <w:b/>
      <w:bCs/>
      <w:sz w:val="26"/>
      <w:szCs w:val="26"/>
    </w:rPr>
  </w:style>
  <w:style w:type="character" w:styleId="744">
    <w:name w:val="Heading 5 Char"/>
    <w:next w:val="744"/>
    <w:link w:val="653"/>
    <w:uiPriority w:val="9"/>
    <w:qFormat/>
    <w:rPr>
      <w:rFonts w:ascii="Arial" w:hAnsi="Arial" w:eastAsia="Arial" w:cs="Arial"/>
      <w:b/>
      <w:bCs/>
      <w:sz w:val="24"/>
      <w:szCs w:val="24"/>
    </w:rPr>
  </w:style>
  <w:style w:type="character" w:styleId="745">
    <w:name w:val="Heading 6 Char"/>
    <w:next w:val="745"/>
    <w:link w:val="653"/>
    <w:uiPriority w:val="9"/>
    <w:qFormat/>
    <w:rPr>
      <w:rFonts w:ascii="Arial" w:hAnsi="Arial" w:eastAsia="Arial" w:cs="Arial"/>
      <w:b/>
      <w:bCs/>
      <w:sz w:val="22"/>
      <w:szCs w:val="22"/>
    </w:rPr>
  </w:style>
  <w:style w:type="character" w:styleId="746">
    <w:name w:val="Heading 7 Char"/>
    <w:next w:val="746"/>
    <w:link w:val="653"/>
    <w:uiPriority w:val="9"/>
    <w:qFormat/>
    <w:rPr>
      <w:rFonts w:ascii="Arial" w:hAnsi="Arial" w:eastAsia="Arial" w:cs="Arial"/>
      <w:b/>
      <w:bCs/>
      <w:i/>
      <w:iCs/>
      <w:sz w:val="22"/>
      <w:szCs w:val="22"/>
    </w:rPr>
  </w:style>
  <w:style w:type="character" w:styleId="747">
    <w:name w:val="Heading 8 Char"/>
    <w:next w:val="747"/>
    <w:link w:val="653"/>
    <w:uiPriority w:val="9"/>
    <w:qFormat/>
    <w:rPr>
      <w:rFonts w:ascii="Arial" w:hAnsi="Arial" w:eastAsia="Arial" w:cs="Arial"/>
      <w:i/>
      <w:iCs/>
      <w:sz w:val="22"/>
      <w:szCs w:val="22"/>
    </w:rPr>
  </w:style>
  <w:style w:type="character" w:styleId="748">
    <w:name w:val="Heading 9 Char"/>
    <w:next w:val="748"/>
    <w:link w:val="653"/>
    <w:uiPriority w:val="9"/>
    <w:qFormat/>
    <w:rPr>
      <w:rFonts w:ascii="Arial" w:hAnsi="Arial" w:eastAsia="Arial" w:cs="Arial"/>
      <w:i/>
      <w:iCs/>
      <w:sz w:val="21"/>
      <w:szCs w:val="21"/>
    </w:rPr>
  </w:style>
  <w:style w:type="character" w:styleId="749">
    <w:name w:val="Title Char"/>
    <w:next w:val="749"/>
    <w:link w:val="653"/>
    <w:uiPriority w:val="10"/>
    <w:qFormat/>
    <w:rPr>
      <w:sz w:val="48"/>
      <w:szCs w:val="48"/>
    </w:rPr>
  </w:style>
  <w:style w:type="character" w:styleId="750">
    <w:name w:val="Subtitle Char"/>
    <w:next w:val="750"/>
    <w:link w:val="653"/>
    <w:uiPriority w:val="11"/>
    <w:qFormat/>
    <w:rPr>
      <w:sz w:val="24"/>
      <w:szCs w:val="24"/>
    </w:rPr>
  </w:style>
  <w:style w:type="character" w:styleId="751">
    <w:name w:val="Quote Char"/>
    <w:next w:val="751"/>
    <w:link w:val="653"/>
    <w:uiPriority w:val="29"/>
    <w:qFormat/>
    <w:rPr>
      <w:i/>
    </w:rPr>
  </w:style>
  <w:style w:type="character" w:styleId="752">
    <w:name w:val="Intense Quote Char"/>
    <w:next w:val="752"/>
    <w:link w:val="653"/>
    <w:uiPriority w:val="30"/>
    <w:qFormat/>
    <w:rPr>
      <w:i/>
    </w:rPr>
  </w:style>
  <w:style w:type="character" w:styleId="753">
    <w:name w:val="Header Char"/>
    <w:next w:val="753"/>
    <w:link w:val="653"/>
    <w:uiPriority w:val="99"/>
    <w:qFormat/>
  </w:style>
  <w:style w:type="character" w:styleId="754">
    <w:name w:val="Caption Char"/>
    <w:next w:val="754"/>
    <w:link w:val="653"/>
    <w:uiPriority w:val="99"/>
    <w:qFormat/>
  </w:style>
  <w:style w:type="character" w:styleId="755">
    <w:name w:val="Footnote Text Char"/>
    <w:next w:val="755"/>
    <w:link w:val="653"/>
    <w:uiPriority w:val="99"/>
    <w:qFormat/>
    <w:rPr>
      <w:sz w:val="18"/>
    </w:rPr>
  </w:style>
  <w:style w:type="character" w:styleId="756">
    <w:name w:val="Endnote Text Char"/>
    <w:next w:val="756"/>
    <w:link w:val="653"/>
    <w:uiPriority w:val="99"/>
    <w:qFormat/>
    <w:rPr>
      <w:sz w:val="20"/>
    </w:rPr>
  </w:style>
  <w:style w:type="paragraph" w:styleId="757">
    <w:name w:val="TOC 标题1"/>
    <w:next w:val="757"/>
    <w:link w:val="653"/>
    <w:uiPriority w:val="39"/>
    <w:unhideWhenUsed/>
    <w:qFormat/>
    <w:rPr>
      <w:rFonts w:ascii="Times New Roman" w:hAnsi="Times New Roman"/>
      <w:lang w:val="en-US" w:eastAsia="zh-CN" w:bidi="ar-SA"/>
    </w:rPr>
  </w:style>
  <w:style w:type="paragraph" w:styleId="758">
    <w:name w:val="列出段落"/>
    <w:basedOn w:val="653"/>
    <w:next w:val="758"/>
    <w:link w:val="653"/>
    <w:uiPriority w:val="34"/>
    <w:qFormat/>
    <w:pPr>
      <w:contextualSpacing/>
      <w:ind w:left="720"/>
    </w:pPr>
  </w:style>
  <w:style w:type="paragraph" w:styleId="759">
    <w:name w:val="无间隔"/>
    <w:next w:val="759"/>
    <w:link w:val="653"/>
    <w:uiPriority w:val="1"/>
    <w:qFormat/>
    <w:rPr>
      <w:lang w:val="en-US" w:eastAsia="zh-CN" w:bidi="ar-SA"/>
    </w:rPr>
  </w:style>
  <w:style w:type="paragraph" w:styleId="760">
    <w:name w:val="引用"/>
    <w:basedOn w:val="653"/>
    <w:next w:val="653"/>
    <w:link w:val="761"/>
    <w:uiPriority w:val="29"/>
    <w:qFormat/>
    <w:pPr>
      <w:ind w:left="720" w:right="720"/>
    </w:pPr>
    <w:rPr>
      <w:rFonts w:ascii="Calibri" w:hAnsi="Calibri"/>
      <w:i/>
      <w:sz w:val="20"/>
      <w:szCs w:val="20"/>
      <w:lang w:val="en-US" w:eastAsia="en-US"/>
    </w:rPr>
  </w:style>
  <w:style w:type="character" w:styleId="761">
    <w:name w:val="引用 Char"/>
    <w:next w:val="761"/>
    <w:link w:val="760"/>
    <w:uiPriority w:val="29"/>
    <w:qFormat/>
    <w:rPr>
      <w:i/>
    </w:rPr>
  </w:style>
  <w:style w:type="paragraph" w:styleId="762">
    <w:name w:val="明显引用"/>
    <w:basedOn w:val="653"/>
    <w:next w:val="653"/>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lang w:val="en-US" w:eastAsia="en-US"/>
    </w:rPr>
  </w:style>
  <w:style w:type="character" w:styleId="763">
    <w:name w:val="明显引用 Char"/>
    <w:next w:val="763"/>
    <w:link w:val="762"/>
    <w:uiPriority w:val="30"/>
    <w:qFormat/>
    <w:rPr>
      <w:i/>
    </w:rPr>
  </w:style>
  <w:style w:type="character" w:styleId="764">
    <w:name w:val="Footer Char"/>
    <w:next w:val="764"/>
    <w:link w:val="653"/>
    <w:uiPriority w:val="99"/>
    <w:qFormat/>
  </w:style>
  <w:style w:type="table" w:styleId="765">
    <w:name w:val="Table Grid Light"/>
    <w:next w:val="765"/>
    <w:link w:val="653"/>
    <w:uiPriority w:val="59"/>
    <w:qFormat/>
    <w:rPr>
      <w:lang w:val="en-US" w:eastAsia="zh-CN" w:bidi="ar-SA"/>
    </w:rPr>
    <w:tblPr/>
  </w:style>
  <w:style w:type="table" w:styleId="766">
    <w:name w:val="Grid Table 1 Light - Accent 1"/>
    <w:next w:val="766"/>
    <w:link w:val="653"/>
    <w:uiPriority w:val="99"/>
    <w:qFormat/>
    <w:rPr>
      <w:lang w:val="en-US" w:eastAsia="zh-CN" w:bidi="ar-SA"/>
    </w:rPr>
    <w:tblPr/>
  </w:style>
  <w:style w:type="table" w:styleId="767">
    <w:name w:val="Grid Table 1 Light - Accent 2"/>
    <w:next w:val="767"/>
    <w:link w:val="653"/>
    <w:uiPriority w:val="99"/>
    <w:qFormat/>
    <w:rPr>
      <w:lang w:val="en-US" w:eastAsia="zh-CN" w:bidi="ar-SA"/>
    </w:rPr>
    <w:tblPr/>
  </w:style>
  <w:style w:type="table" w:styleId="768">
    <w:name w:val="Grid Table 1 Light - Accent 3"/>
    <w:next w:val="768"/>
    <w:link w:val="653"/>
    <w:uiPriority w:val="99"/>
    <w:qFormat/>
    <w:rPr>
      <w:lang w:val="en-US" w:eastAsia="zh-CN" w:bidi="ar-SA"/>
    </w:rPr>
    <w:tblPr/>
  </w:style>
  <w:style w:type="table" w:styleId="769">
    <w:name w:val="Grid Table 1 Light - Accent 4"/>
    <w:next w:val="769"/>
    <w:link w:val="653"/>
    <w:uiPriority w:val="99"/>
    <w:qFormat/>
    <w:rPr>
      <w:lang w:val="en-US" w:eastAsia="zh-CN" w:bidi="ar-SA"/>
    </w:rPr>
    <w:tblPr/>
  </w:style>
  <w:style w:type="table" w:styleId="770">
    <w:name w:val="Grid Table 1 Light - Accent 5"/>
    <w:next w:val="770"/>
    <w:link w:val="653"/>
    <w:uiPriority w:val="99"/>
    <w:qFormat/>
    <w:rPr>
      <w:lang w:val="en-US" w:eastAsia="zh-CN" w:bidi="ar-SA"/>
    </w:rPr>
    <w:tblPr/>
  </w:style>
  <w:style w:type="table" w:styleId="771">
    <w:name w:val="Grid Table 1 Light - Accent 6"/>
    <w:next w:val="771"/>
    <w:link w:val="653"/>
    <w:uiPriority w:val="99"/>
    <w:qFormat/>
    <w:rPr>
      <w:lang w:val="en-US" w:eastAsia="zh-CN" w:bidi="ar-SA"/>
    </w:rPr>
    <w:tblPr/>
  </w:style>
  <w:style w:type="table" w:styleId="772">
    <w:name w:val="Grid Table 2 - Accent 1"/>
    <w:next w:val="772"/>
    <w:link w:val="653"/>
    <w:uiPriority w:val="99"/>
    <w:qFormat/>
    <w:rPr>
      <w:lang w:val="en-US" w:eastAsia="zh-CN" w:bidi="ar-SA"/>
    </w:rPr>
    <w:tblPr/>
  </w:style>
  <w:style w:type="table" w:styleId="773">
    <w:name w:val="Grid Table 2 - Accent 2"/>
    <w:next w:val="773"/>
    <w:link w:val="653"/>
    <w:uiPriority w:val="99"/>
    <w:qFormat/>
    <w:rPr>
      <w:lang w:val="en-US" w:eastAsia="zh-CN" w:bidi="ar-SA"/>
    </w:rPr>
    <w:tblPr/>
  </w:style>
  <w:style w:type="table" w:styleId="774">
    <w:name w:val="Grid Table 2 - Accent 3"/>
    <w:next w:val="774"/>
    <w:link w:val="653"/>
    <w:uiPriority w:val="99"/>
    <w:qFormat/>
    <w:rPr>
      <w:lang w:val="en-US" w:eastAsia="zh-CN" w:bidi="ar-SA"/>
    </w:rPr>
    <w:tblPr/>
  </w:style>
  <w:style w:type="table" w:styleId="775">
    <w:name w:val="Grid Table 2 - Accent 4"/>
    <w:next w:val="775"/>
    <w:link w:val="653"/>
    <w:uiPriority w:val="99"/>
    <w:qFormat/>
    <w:rPr>
      <w:lang w:val="en-US" w:eastAsia="zh-CN" w:bidi="ar-SA"/>
    </w:rPr>
    <w:tblPr/>
  </w:style>
  <w:style w:type="table" w:styleId="776">
    <w:name w:val="Grid Table 2 - Accent 5"/>
    <w:next w:val="776"/>
    <w:link w:val="653"/>
    <w:uiPriority w:val="99"/>
    <w:qFormat/>
    <w:rPr>
      <w:lang w:val="en-US" w:eastAsia="zh-CN" w:bidi="ar-SA"/>
    </w:rPr>
    <w:tblPr/>
  </w:style>
  <w:style w:type="table" w:styleId="777">
    <w:name w:val="Grid Table 2 - Accent 6"/>
    <w:next w:val="777"/>
    <w:link w:val="653"/>
    <w:uiPriority w:val="99"/>
    <w:qFormat/>
    <w:rPr>
      <w:lang w:val="en-US" w:eastAsia="zh-CN" w:bidi="ar-SA"/>
    </w:rPr>
    <w:tblPr/>
  </w:style>
  <w:style w:type="table" w:styleId="778">
    <w:name w:val="Grid Table 3 - Accent 1"/>
    <w:next w:val="778"/>
    <w:link w:val="653"/>
    <w:uiPriority w:val="99"/>
    <w:qFormat/>
    <w:rPr>
      <w:lang w:val="en-US" w:eastAsia="zh-CN" w:bidi="ar-SA"/>
    </w:rPr>
    <w:tblPr/>
  </w:style>
  <w:style w:type="table" w:styleId="779">
    <w:name w:val="Grid Table 3 - Accent 2"/>
    <w:next w:val="779"/>
    <w:link w:val="653"/>
    <w:uiPriority w:val="99"/>
    <w:qFormat/>
    <w:rPr>
      <w:lang w:val="en-US" w:eastAsia="zh-CN" w:bidi="ar-SA"/>
    </w:rPr>
    <w:tblPr/>
  </w:style>
  <w:style w:type="table" w:styleId="780">
    <w:name w:val="Grid Table 3 - Accent 3"/>
    <w:next w:val="780"/>
    <w:link w:val="653"/>
    <w:uiPriority w:val="99"/>
    <w:qFormat/>
    <w:rPr>
      <w:lang w:val="en-US" w:eastAsia="zh-CN" w:bidi="ar-SA"/>
    </w:rPr>
    <w:tblPr/>
  </w:style>
  <w:style w:type="table" w:styleId="781">
    <w:name w:val="Grid Table 3 - Accent 4"/>
    <w:next w:val="781"/>
    <w:link w:val="653"/>
    <w:uiPriority w:val="99"/>
    <w:qFormat/>
    <w:rPr>
      <w:lang w:val="en-US" w:eastAsia="zh-CN" w:bidi="ar-SA"/>
    </w:rPr>
    <w:tblPr/>
  </w:style>
  <w:style w:type="table" w:styleId="782">
    <w:name w:val="Grid Table 3 - Accent 5"/>
    <w:next w:val="782"/>
    <w:link w:val="653"/>
    <w:uiPriority w:val="99"/>
    <w:qFormat/>
    <w:rPr>
      <w:lang w:val="en-US" w:eastAsia="zh-CN" w:bidi="ar-SA"/>
    </w:rPr>
    <w:tblPr/>
  </w:style>
  <w:style w:type="table" w:styleId="783">
    <w:name w:val="Grid Table 3 - Accent 6"/>
    <w:next w:val="783"/>
    <w:link w:val="653"/>
    <w:uiPriority w:val="99"/>
    <w:qFormat/>
    <w:rPr>
      <w:lang w:val="en-US" w:eastAsia="zh-CN" w:bidi="ar-SA"/>
    </w:rPr>
    <w:tblPr/>
  </w:style>
  <w:style w:type="table" w:styleId="784">
    <w:name w:val="Grid Table 4 - Accent 1"/>
    <w:next w:val="784"/>
    <w:link w:val="653"/>
    <w:uiPriority w:val="59"/>
    <w:qFormat/>
    <w:rPr>
      <w:lang w:val="en-US" w:eastAsia="zh-CN" w:bidi="ar-SA"/>
    </w:rPr>
    <w:tblPr/>
  </w:style>
  <w:style w:type="table" w:styleId="785">
    <w:name w:val="Grid Table 4 - Accent 2"/>
    <w:next w:val="785"/>
    <w:link w:val="653"/>
    <w:uiPriority w:val="59"/>
    <w:qFormat/>
    <w:rPr>
      <w:lang w:val="en-US" w:eastAsia="zh-CN" w:bidi="ar-SA"/>
    </w:rPr>
    <w:tblPr/>
  </w:style>
  <w:style w:type="table" w:styleId="786">
    <w:name w:val="Grid Table 4 - Accent 3"/>
    <w:next w:val="786"/>
    <w:link w:val="653"/>
    <w:uiPriority w:val="59"/>
    <w:qFormat/>
    <w:rPr>
      <w:lang w:val="en-US" w:eastAsia="zh-CN" w:bidi="ar-SA"/>
    </w:rPr>
    <w:tblPr/>
  </w:style>
  <w:style w:type="table" w:styleId="787">
    <w:name w:val="Grid Table 4 - Accent 4"/>
    <w:next w:val="787"/>
    <w:link w:val="653"/>
    <w:uiPriority w:val="59"/>
    <w:qFormat/>
    <w:rPr>
      <w:lang w:val="en-US" w:eastAsia="zh-CN" w:bidi="ar-SA"/>
    </w:rPr>
    <w:tblPr/>
  </w:style>
  <w:style w:type="table" w:styleId="788">
    <w:name w:val="Grid Table 4 - Accent 5"/>
    <w:next w:val="788"/>
    <w:link w:val="653"/>
    <w:uiPriority w:val="59"/>
    <w:qFormat/>
    <w:rPr>
      <w:lang w:val="en-US" w:eastAsia="zh-CN" w:bidi="ar-SA"/>
    </w:rPr>
    <w:tblPr/>
  </w:style>
  <w:style w:type="table" w:styleId="789">
    <w:name w:val="Grid Table 4 - Accent 6"/>
    <w:next w:val="789"/>
    <w:link w:val="653"/>
    <w:uiPriority w:val="59"/>
    <w:qFormat/>
    <w:rPr>
      <w:lang w:val="en-US" w:eastAsia="zh-CN" w:bidi="ar-SA"/>
    </w:rPr>
    <w:tblPr/>
  </w:style>
  <w:style w:type="table" w:styleId="790">
    <w:name w:val="Grid Table 5 Dark- Accent 1"/>
    <w:next w:val="790"/>
    <w:link w:val="653"/>
    <w:uiPriority w:val="99"/>
    <w:qFormat/>
    <w:rPr>
      <w:lang w:val="en-US" w:eastAsia="zh-CN" w:bidi="ar-SA"/>
    </w:rPr>
    <w:tblPr/>
  </w:style>
  <w:style w:type="table" w:styleId="791">
    <w:name w:val="Grid Table 5 Dark - Accent 2"/>
    <w:next w:val="791"/>
    <w:link w:val="653"/>
    <w:uiPriority w:val="99"/>
    <w:qFormat/>
    <w:rPr>
      <w:lang w:val="en-US" w:eastAsia="zh-CN" w:bidi="ar-SA"/>
    </w:rPr>
    <w:tblPr/>
  </w:style>
  <w:style w:type="table" w:styleId="792">
    <w:name w:val="Grid Table 5 Dark - Accent 3"/>
    <w:next w:val="792"/>
    <w:link w:val="653"/>
    <w:uiPriority w:val="99"/>
    <w:qFormat/>
    <w:rPr>
      <w:lang w:val="en-US" w:eastAsia="zh-CN" w:bidi="ar-SA"/>
    </w:rPr>
    <w:tblPr/>
  </w:style>
  <w:style w:type="table" w:styleId="793">
    <w:name w:val="Grid Table 5 Dark- Accent 4"/>
    <w:next w:val="793"/>
    <w:link w:val="653"/>
    <w:uiPriority w:val="99"/>
    <w:qFormat/>
    <w:rPr>
      <w:lang w:val="en-US" w:eastAsia="zh-CN" w:bidi="ar-SA"/>
    </w:rPr>
    <w:tblPr/>
  </w:style>
  <w:style w:type="table" w:styleId="794">
    <w:name w:val="Grid Table 5 Dark - Accent 5"/>
    <w:next w:val="794"/>
    <w:link w:val="653"/>
    <w:uiPriority w:val="99"/>
    <w:qFormat/>
    <w:rPr>
      <w:lang w:val="en-US" w:eastAsia="zh-CN" w:bidi="ar-SA"/>
    </w:rPr>
    <w:tblPr/>
  </w:style>
  <w:style w:type="table" w:styleId="795">
    <w:name w:val="Grid Table 5 Dark - Accent 6"/>
    <w:next w:val="795"/>
    <w:link w:val="653"/>
    <w:uiPriority w:val="99"/>
    <w:qFormat/>
    <w:rPr>
      <w:lang w:val="en-US" w:eastAsia="zh-CN" w:bidi="ar-SA"/>
    </w:rPr>
    <w:tblPr/>
  </w:style>
  <w:style w:type="table" w:styleId="796">
    <w:name w:val="Grid Table 6 Colorful - Accent 1"/>
    <w:next w:val="796"/>
    <w:link w:val="653"/>
    <w:uiPriority w:val="99"/>
    <w:qFormat/>
    <w:rPr>
      <w:lang w:val="en-US" w:eastAsia="zh-CN" w:bidi="ar-SA"/>
    </w:rPr>
    <w:tblPr/>
  </w:style>
  <w:style w:type="table" w:styleId="797">
    <w:name w:val="Grid Table 6 Colorful - Accent 2"/>
    <w:next w:val="797"/>
    <w:link w:val="653"/>
    <w:uiPriority w:val="99"/>
    <w:qFormat/>
    <w:rPr>
      <w:lang w:val="en-US" w:eastAsia="zh-CN" w:bidi="ar-SA"/>
    </w:rPr>
    <w:tblPr/>
  </w:style>
  <w:style w:type="table" w:styleId="798">
    <w:name w:val="Grid Table 6 Colorful - Accent 3"/>
    <w:next w:val="798"/>
    <w:link w:val="653"/>
    <w:uiPriority w:val="99"/>
    <w:qFormat/>
    <w:rPr>
      <w:lang w:val="en-US" w:eastAsia="zh-CN" w:bidi="ar-SA"/>
    </w:rPr>
    <w:tblPr/>
  </w:style>
  <w:style w:type="table" w:styleId="799">
    <w:name w:val="Grid Table 6 Colorful - Accent 4"/>
    <w:next w:val="799"/>
    <w:link w:val="653"/>
    <w:uiPriority w:val="99"/>
    <w:qFormat/>
    <w:rPr>
      <w:lang w:val="en-US" w:eastAsia="zh-CN" w:bidi="ar-SA"/>
    </w:rPr>
    <w:tblPr/>
  </w:style>
  <w:style w:type="table" w:styleId="800">
    <w:name w:val="Grid Table 6 Colorful - Accent 5"/>
    <w:next w:val="800"/>
    <w:link w:val="653"/>
    <w:uiPriority w:val="99"/>
    <w:qFormat/>
    <w:rPr>
      <w:lang w:val="en-US" w:eastAsia="zh-CN" w:bidi="ar-SA"/>
    </w:rPr>
    <w:tblPr/>
  </w:style>
  <w:style w:type="table" w:styleId="801">
    <w:name w:val="Grid Table 6 Colorful - Accent 6"/>
    <w:next w:val="801"/>
    <w:link w:val="653"/>
    <w:uiPriority w:val="99"/>
    <w:qFormat/>
    <w:rPr>
      <w:lang w:val="en-US" w:eastAsia="zh-CN" w:bidi="ar-SA"/>
    </w:rPr>
    <w:tblPr/>
  </w:style>
  <w:style w:type="table" w:styleId="802">
    <w:name w:val="Grid Table 7 Colorful - Accent 1"/>
    <w:next w:val="802"/>
    <w:link w:val="653"/>
    <w:uiPriority w:val="99"/>
    <w:qFormat/>
    <w:rPr>
      <w:lang w:val="en-US" w:eastAsia="zh-CN" w:bidi="ar-SA"/>
    </w:rPr>
    <w:tblPr/>
  </w:style>
  <w:style w:type="table" w:styleId="803">
    <w:name w:val="Grid Table 7 Colorful - Accent 2"/>
    <w:next w:val="803"/>
    <w:link w:val="653"/>
    <w:uiPriority w:val="99"/>
    <w:qFormat/>
    <w:rPr>
      <w:lang w:val="en-US" w:eastAsia="zh-CN" w:bidi="ar-SA"/>
    </w:rPr>
    <w:tblPr/>
  </w:style>
  <w:style w:type="table" w:styleId="804">
    <w:name w:val="Grid Table 7 Colorful - Accent 3"/>
    <w:next w:val="804"/>
    <w:link w:val="653"/>
    <w:uiPriority w:val="99"/>
    <w:qFormat/>
    <w:rPr>
      <w:lang w:val="en-US" w:eastAsia="zh-CN" w:bidi="ar-SA"/>
    </w:rPr>
    <w:tblPr/>
  </w:style>
  <w:style w:type="table" w:styleId="805">
    <w:name w:val="Grid Table 7 Colorful - Accent 4"/>
    <w:next w:val="805"/>
    <w:link w:val="653"/>
    <w:uiPriority w:val="99"/>
    <w:qFormat/>
    <w:rPr>
      <w:lang w:val="en-US" w:eastAsia="zh-CN" w:bidi="ar-SA"/>
    </w:rPr>
    <w:tblPr/>
  </w:style>
  <w:style w:type="table" w:styleId="806">
    <w:name w:val="Grid Table 7 Colorful - Accent 5"/>
    <w:next w:val="806"/>
    <w:link w:val="653"/>
    <w:uiPriority w:val="99"/>
    <w:qFormat/>
    <w:rPr>
      <w:lang w:val="en-US" w:eastAsia="zh-CN" w:bidi="ar-SA"/>
    </w:rPr>
    <w:tblPr/>
  </w:style>
  <w:style w:type="table" w:styleId="807">
    <w:name w:val="Grid Table 7 Colorful - Accent 6"/>
    <w:next w:val="807"/>
    <w:link w:val="653"/>
    <w:uiPriority w:val="99"/>
    <w:qFormat/>
    <w:rPr>
      <w:lang w:val="en-US" w:eastAsia="zh-CN" w:bidi="ar-SA"/>
    </w:rPr>
    <w:tblPr/>
  </w:style>
  <w:style w:type="table" w:styleId="808">
    <w:name w:val="List Table 1 Light - Accent 1"/>
    <w:next w:val="808"/>
    <w:link w:val="653"/>
    <w:uiPriority w:val="99"/>
    <w:qFormat/>
    <w:rPr>
      <w:lang w:val="en-US" w:eastAsia="zh-CN" w:bidi="ar-SA"/>
    </w:rPr>
    <w:tblPr/>
  </w:style>
  <w:style w:type="table" w:styleId="809">
    <w:name w:val="List Table 1 Light - Accent 2"/>
    <w:next w:val="809"/>
    <w:link w:val="653"/>
    <w:uiPriority w:val="99"/>
    <w:qFormat/>
    <w:rPr>
      <w:lang w:val="en-US" w:eastAsia="zh-CN" w:bidi="ar-SA"/>
    </w:rPr>
    <w:tblPr/>
  </w:style>
  <w:style w:type="table" w:styleId="810">
    <w:name w:val="List Table 1 Light - Accent 3"/>
    <w:next w:val="810"/>
    <w:link w:val="653"/>
    <w:uiPriority w:val="99"/>
    <w:qFormat/>
    <w:rPr>
      <w:lang w:val="en-US" w:eastAsia="zh-CN" w:bidi="ar-SA"/>
    </w:rPr>
    <w:tblPr/>
  </w:style>
  <w:style w:type="table" w:styleId="811">
    <w:name w:val="List Table 1 Light - Accent 4"/>
    <w:next w:val="811"/>
    <w:link w:val="653"/>
    <w:uiPriority w:val="99"/>
    <w:qFormat/>
    <w:rPr>
      <w:lang w:val="en-US" w:eastAsia="zh-CN" w:bidi="ar-SA"/>
    </w:rPr>
    <w:tblPr/>
  </w:style>
  <w:style w:type="table" w:styleId="812">
    <w:name w:val="List Table 1 Light - Accent 5"/>
    <w:next w:val="812"/>
    <w:link w:val="653"/>
    <w:uiPriority w:val="99"/>
    <w:qFormat/>
    <w:rPr>
      <w:lang w:val="en-US" w:eastAsia="zh-CN" w:bidi="ar-SA"/>
    </w:rPr>
    <w:tblPr/>
  </w:style>
  <w:style w:type="table" w:styleId="813">
    <w:name w:val="List Table 1 Light - Accent 6"/>
    <w:next w:val="813"/>
    <w:link w:val="653"/>
    <w:uiPriority w:val="99"/>
    <w:qFormat/>
    <w:rPr>
      <w:lang w:val="en-US" w:eastAsia="zh-CN" w:bidi="ar-SA"/>
    </w:rPr>
    <w:tblPr/>
  </w:style>
  <w:style w:type="table" w:styleId="814">
    <w:name w:val="List Table 2 - Accent 1"/>
    <w:next w:val="814"/>
    <w:link w:val="653"/>
    <w:uiPriority w:val="99"/>
    <w:qFormat/>
    <w:rPr>
      <w:lang w:val="en-US" w:eastAsia="zh-CN" w:bidi="ar-SA"/>
    </w:rPr>
    <w:tblPr/>
  </w:style>
  <w:style w:type="table" w:styleId="815">
    <w:name w:val="List Table 2 - Accent 2"/>
    <w:next w:val="815"/>
    <w:link w:val="653"/>
    <w:uiPriority w:val="99"/>
    <w:qFormat/>
    <w:rPr>
      <w:lang w:val="en-US" w:eastAsia="zh-CN" w:bidi="ar-SA"/>
    </w:rPr>
    <w:tblPr/>
  </w:style>
  <w:style w:type="table" w:styleId="816">
    <w:name w:val="List Table 2 - Accent 3"/>
    <w:next w:val="816"/>
    <w:link w:val="653"/>
    <w:uiPriority w:val="99"/>
    <w:qFormat/>
    <w:rPr>
      <w:lang w:val="en-US" w:eastAsia="zh-CN" w:bidi="ar-SA"/>
    </w:rPr>
    <w:tblPr/>
  </w:style>
  <w:style w:type="table" w:styleId="817">
    <w:name w:val="List Table 2 - Accent 4"/>
    <w:next w:val="817"/>
    <w:link w:val="653"/>
    <w:uiPriority w:val="99"/>
    <w:qFormat/>
    <w:rPr>
      <w:lang w:val="en-US" w:eastAsia="zh-CN" w:bidi="ar-SA"/>
    </w:rPr>
    <w:tblPr/>
  </w:style>
  <w:style w:type="table" w:styleId="818">
    <w:name w:val="List Table 2 - Accent 5"/>
    <w:next w:val="818"/>
    <w:link w:val="653"/>
    <w:uiPriority w:val="99"/>
    <w:qFormat/>
    <w:rPr>
      <w:lang w:val="en-US" w:eastAsia="zh-CN" w:bidi="ar-SA"/>
    </w:rPr>
    <w:tblPr/>
  </w:style>
  <w:style w:type="table" w:styleId="819">
    <w:name w:val="List Table 2 - Accent 6"/>
    <w:next w:val="819"/>
    <w:link w:val="653"/>
    <w:uiPriority w:val="99"/>
    <w:qFormat/>
    <w:rPr>
      <w:lang w:val="en-US" w:eastAsia="zh-CN" w:bidi="ar-SA"/>
    </w:rPr>
    <w:tblPr/>
  </w:style>
  <w:style w:type="table" w:styleId="820">
    <w:name w:val="List Table 3 - Accent 1"/>
    <w:next w:val="820"/>
    <w:link w:val="653"/>
    <w:uiPriority w:val="99"/>
    <w:qFormat/>
    <w:rPr>
      <w:lang w:val="en-US" w:eastAsia="zh-CN" w:bidi="ar-SA"/>
    </w:rPr>
    <w:tblPr/>
  </w:style>
  <w:style w:type="table" w:styleId="821">
    <w:name w:val="List Table 3 - Accent 2"/>
    <w:next w:val="821"/>
    <w:link w:val="653"/>
    <w:uiPriority w:val="99"/>
    <w:qFormat/>
    <w:rPr>
      <w:lang w:val="en-US" w:eastAsia="zh-CN" w:bidi="ar-SA"/>
    </w:rPr>
    <w:tblPr/>
  </w:style>
  <w:style w:type="table" w:styleId="822">
    <w:name w:val="List Table 3 - Accent 3"/>
    <w:next w:val="822"/>
    <w:link w:val="653"/>
    <w:uiPriority w:val="99"/>
    <w:qFormat/>
    <w:rPr>
      <w:lang w:val="en-US" w:eastAsia="zh-CN" w:bidi="ar-SA"/>
    </w:rPr>
    <w:tblPr/>
  </w:style>
  <w:style w:type="table" w:styleId="823">
    <w:name w:val="List Table 3 - Accent 4"/>
    <w:next w:val="823"/>
    <w:link w:val="653"/>
    <w:uiPriority w:val="99"/>
    <w:qFormat/>
    <w:rPr>
      <w:lang w:val="en-US" w:eastAsia="zh-CN" w:bidi="ar-SA"/>
    </w:rPr>
    <w:tblPr/>
  </w:style>
  <w:style w:type="table" w:styleId="824">
    <w:name w:val="List Table 3 - Accent 5"/>
    <w:next w:val="824"/>
    <w:link w:val="653"/>
    <w:uiPriority w:val="99"/>
    <w:qFormat/>
    <w:rPr>
      <w:lang w:val="en-US" w:eastAsia="zh-CN" w:bidi="ar-SA"/>
    </w:rPr>
    <w:tblPr/>
  </w:style>
  <w:style w:type="table" w:styleId="825">
    <w:name w:val="List Table 3 - Accent 6"/>
    <w:next w:val="825"/>
    <w:link w:val="653"/>
    <w:uiPriority w:val="99"/>
    <w:qFormat/>
    <w:rPr>
      <w:lang w:val="en-US" w:eastAsia="zh-CN" w:bidi="ar-SA"/>
    </w:rPr>
    <w:tblPr/>
  </w:style>
  <w:style w:type="table" w:styleId="826">
    <w:name w:val="List Table 4 - Accent 1"/>
    <w:next w:val="826"/>
    <w:link w:val="653"/>
    <w:uiPriority w:val="99"/>
    <w:qFormat/>
    <w:rPr>
      <w:lang w:val="en-US" w:eastAsia="zh-CN" w:bidi="ar-SA"/>
    </w:rPr>
    <w:tblPr/>
  </w:style>
  <w:style w:type="table" w:styleId="827">
    <w:name w:val="List Table 4 - Accent 2"/>
    <w:next w:val="827"/>
    <w:link w:val="653"/>
    <w:uiPriority w:val="99"/>
    <w:qFormat/>
    <w:rPr>
      <w:lang w:val="en-US" w:eastAsia="zh-CN" w:bidi="ar-SA"/>
    </w:rPr>
    <w:tblPr/>
  </w:style>
  <w:style w:type="table" w:styleId="828">
    <w:name w:val="List Table 4 - Accent 3"/>
    <w:next w:val="828"/>
    <w:link w:val="653"/>
    <w:uiPriority w:val="99"/>
    <w:qFormat/>
    <w:rPr>
      <w:lang w:val="en-US" w:eastAsia="zh-CN" w:bidi="ar-SA"/>
    </w:rPr>
    <w:tblPr/>
  </w:style>
  <w:style w:type="table" w:styleId="829">
    <w:name w:val="List Table 4 - Accent 4"/>
    <w:next w:val="829"/>
    <w:link w:val="653"/>
    <w:uiPriority w:val="99"/>
    <w:qFormat/>
    <w:rPr>
      <w:lang w:val="en-US" w:eastAsia="zh-CN" w:bidi="ar-SA"/>
    </w:rPr>
    <w:tblPr/>
  </w:style>
  <w:style w:type="table" w:styleId="830">
    <w:name w:val="List Table 4 - Accent 5"/>
    <w:next w:val="830"/>
    <w:link w:val="653"/>
    <w:uiPriority w:val="99"/>
    <w:qFormat/>
    <w:rPr>
      <w:lang w:val="en-US" w:eastAsia="zh-CN" w:bidi="ar-SA"/>
    </w:rPr>
    <w:tblPr/>
  </w:style>
  <w:style w:type="table" w:styleId="831">
    <w:name w:val="List Table 4 - Accent 6"/>
    <w:next w:val="831"/>
    <w:link w:val="653"/>
    <w:uiPriority w:val="99"/>
    <w:qFormat/>
    <w:rPr>
      <w:lang w:val="en-US" w:eastAsia="zh-CN" w:bidi="ar-SA"/>
    </w:rPr>
    <w:tblPr/>
  </w:style>
  <w:style w:type="table" w:styleId="832">
    <w:name w:val="List Table 5 Dark - Accent 1"/>
    <w:next w:val="832"/>
    <w:link w:val="653"/>
    <w:uiPriority w:val="99"/>
    <w:qFormat/>
    <w:rPr>
      <w:lang w:val="en-US" w:eastAsia="zh-CN" w:bidi="ar-SA"/>
    </w:rPr>
    <w:tblPr/>
  </w:style>
  <w:style w:type="table" w:styleId="833">
    <w:name w:val="List Table 5 Dark - Accent 2"/>
    <w:next w:val="833"/>
    <w:link w:val="653"/>
    <w:uiPriority w:val="99"/>
    <w:qFormat/>
    <w:rPr>
      <w:lang w:val="en-US" w:eastAsia="zh-CN" w:bidi="ar-SA"/>
    </w:rPr>
    <w:tblPr/>
  </w:style>
  <w:style w:type="table" w:styleId="834">
    <w:name w:val="List Table 5 Dark - Accent 3"/>
    <w:next w:val="834"/>
    <w:link w:val="653"/>
    <w:uiPriority w:val="99"/>
    <w:qFormat/>
    <w:rPr>
      <w:lang w:val="en-US" w:eastAsia="zh-CN" w:bidi="ar-SA"/>
    </w:rPr>
    <w:tblPr/>
  </w:style>
  <w:style w:type="table" w:styleId="835">
    <w:name w:val="List Table 5 Dark - Accent 4"/>
    <w:next w:val="835"/>
    <w:link w:val="653"/>
    <w:uiPriority w:val="99"/>
    <w:qFormat/>
    <w:rPr>
      <w:lang w:val="en-US" w:eastAsia="zh-CN" w:bidi="ar-SA"/>
    </w:rPr>
    <w:tblPr/>
  </w:style>
  <w:style w:type="table" w:styleId="836">
    <w:name w:val="List Table 5 Dark - Accent 5"/>
    <w:next w:val="836"/>
    <w:link w:val="653"/>
    <w:uiPriority w:val="99"/>
    <w:qFormat/>
    <w:rPr>
      <w:lang w:val="en-US" w:eastAsia="zh-CN" w:bidi="ar-SA"/>
    </w:rPr>
    <w:tblPr/>
  </w:style>
  <w:style w:type="table" w:styleId="837">
    <w:name w:val="List Table 5 Dark - Accent 6"/>
    <w:next w:val="837"/>
    <w:link w:val="653"/>
    <w:uiPriority w:val="99"/>
    <w:qFormat/>
    <w:rPr>
      <w:lang w:val="en-US" w:eastAsia="zh-CN" w:bidi="ar-SA"/>
    </w:rPr>
    <w:tblPr/>
  </w:style>
  <w:style w:type="table" w:styleId="838">
    <w:name w:val="List Table 6 Colorful - Accent 1"/>
    <w:next w:val="838"/>
    <w:link w:val="653"/>
    <w:uiPriority w:val="99"/>
    <w:qFormat/>
    <w:rPr>
      <w:lang w:val="en-US" w:eastAsia="zh-CN" w:bidi="ar-SA"/>
    </w:rPr>
    <w:tblPr/>
  </w:style>
  <w:style w:type="table" w:styleId="839">
    <w:name w:val="List Table 6 Colorful - Accent 2"/>
    <w:next w:val="839"/>
    <w:link w:val="653"/>
    <w:uiPriority w:val="99"/>
    <w:qFormat/>
    <w:rPr>
      <w:lang w:val="en-US" w:eastAsia="zh-CN" w:bidi="ar-SA"/>
    </w:rPr>
    <w:tblPr/>
  </w:style>
  <w:style w:type="table" w:styleId="840">
    <w:name w:val="List Table 6 Colorful - Accent 3"/>
    <w:next w:val="840"/>
    <w:link w:val="653"/>
    <w:uiPriority w:val="99"/>
    <w:qFormat/>
    <w:rPr>
      <w:lang w:val="en-US" w:eastAsia="zh-CN" w:bidi="ar-SA"/>
    </w:rPr>
    <w:tblPr/>
  </w:style>
  <w:style w:type="table" w:styleId="841">
    <w:name w:val="List Table 6 Colorful - Accent 4"/>
    <w:next w:val="841"/>
    <w:link w:val="653"/>
    <w:uiPriority w:val="99"/>
    <w:qFormat/>
    <w:rPr>
      <w:lang w:val="en-US" w:eastAsia="zh-CN" w:bidi="ar-SA"/>
    </w:rPr>
    <w:tblPr/>
  </w:style>
  <w:style w:type="table" w:styleId="842">
    <w:name w:val="List Table 6 Colorful - Accent 5"/>
    <w:next w:val="842"/>
    <w:link w:val="653"/>
    <w:uiPriority w:val="99"/>
    <w:qFormat/>
    <w:rPr>
      <w:lang w:val="en-US" w:eastAsia="zh-CN" w:bidi="ar-SA"/>
    </w:rPr>
    <w:tblPr/>
  </w:style>
  <w:style w:type="table" w:styleId="843">
    <w:name w:val="List Table 6 Colorful - Accent 6"/>
    <w:next w:val="843"/>
    <w:link w:val="653"/>
    <w:uiPriority w:val="99"/>
    <w:qFormat/>
    <w:rPr>
      <w:lang w:val="en-US" w:eastAsia="zh-CN" w:bidi="ar-SA"/>
    </w:rPr>
    <w:tblPr/>
  </w:style>
  <w:style w:type="table" w:styleId="844">
    <w:name w:val="List Table 7 Colorful - Accent 1"/>
    <w:next w:val="844"/>
    <w:link w:val="653"/>
    <w:uiPriority w:val="99"/>
    <w:qFormat/>
    <w:rPr>
      <w:lang w:val="en-US" w:eastAsia="zh-CN" w:bidi="ar-SA"/>
    </w:rPr>
    <w:tblPr/>
  </w:style>
  <w:style w:type="table" w:styleId="845">
    <w:name w:val="List Table 7 Colorful - Accent 2"/>
    <w:next w:val="845"/>
    <w:link w:val="653"/>
    <w:uiPriority w:val="99"/>
    <w:qFormat/>
    <w:rPr>
      <w:lang w:val="en-US" w:eastAsia="zh-CN" w:bidi="ar-SA"/>
    </w:rPr>
    <w:tblPr/>
  </w:style>
  <w:style w:type="table" w:styleId="846">
    <w:name w:val="List Table 7 Colorful - Accent 3"/>
    <w:next w:val="846"/>
    <w:link w:val="653"/>
    <w:uiPriority w:val="99"/>
    <w:qFormat/>
    <w:rPr>
      <w:lang w:val="en-US" w:eastAsia="zh-CN" w:bidi="ar-SA"/>
    </w:rPr>
    <w:tblPr/>
  </w:style>
  <w:style w:type="table" w:styleId="847">
    <w:name w:val="List Table 7 Colorful - Accent 4"/>
    <w:next w:val="847"/>
    <w:link w:val="653"/>
    <w:uiPriority w:val="99"/>
    <w:qFormat/>
    <w:rPr>
      <w:lang w:val="en-US" w:eastAsia="zh-CN" w:bidi="ar-SA"/>
    </w:rPr>
    <w:tblPr/>
  </w:style>
  <w:style w:type="table" w:styleId="848">
    <w:name w:val="List Table 7 Colorful - Accent 5"/>
    <w:next w:val="848"/>
    <w:link w:val="653"/>
    <w:uiPriority w:val="99"/>
    <w:qFormat/>
    <w:rPr>
      <w:lang w:val="en-US" w:eastAsia="zh-CN" w:bidi="ar-SA"/>
    </w:rPr>
    <w:tblPr/>
  </w:style>
  <w:style w:type="table" w:styleId="849">
    <w:name w:val="List Table 7 Colorful - Accent 6"/>
    <w:next w:val="849"/>
    <w:link w:val="653"/>
    <w:uiPriority w:val="99"/>
    <w:qFormat/>
    <w:rPr>
      <w:lang w:val="en-US" w:eastAsia="zh-CN" w:bidi="ar-SA"/>
    </w:rPr>
    <w:tblPr/>
  </w:style>
  <w:style w:type="table" w:styleId="850">
    <w:name w:val="Lined - Accent"/>
    <w:next w:val="850"/>
    <w:link w:val="653"/>
    <w:uiPriority w:val="99"/>
    <w:qFormat/>
    <w:rPr>
      <w:color w:val="404040"/>
      <w:lang w:val="en-US" w:eastAsia="zh-CN" w:bidi="ar-SA"/>
    </w:rPr>
    <w:tblPr/>
  </w:style>
  <w:style w:type="table" w:styleId="851">
    <w:name w:val="Lined - Accent 1"/>
    <w:next w:val="851"/>
    <w:link w:val="653"/>
    <w:uiPriority w:val="99"/>
    <w:qFormat/>
    <w:rPr>
      <w:color w:val="404040"/>
      <w:lang w:val="en-US" w:eastAsia="zh-CN" w:bidi="ar-SA"/>
    </w:rPr>
    <w:tblPr/>
  </w:style>
  <w:style w:type="table" w:styleId="852">
    <w:name w:val="Lined - Accent 2"/>
    <w:next w:val="852"/>
    <w:link w:val="653"/>
    <w:uiPriority w:val="99"/>
    <w:qFormat/>
    <w:rPr>
      <w:color w:val="404040"/>
      <w:lang w:val="en-US" w:eastAsia="zh-CN" w:bidi="ar-SA"/>
    </w:rPr>
    <w:tblPr/>
  </w:style>
  <w:style w:type="table" w:styleId="853">
    <w:name w:val="Lined - Accent 3"/>
    <w:next w:val="853"/>
    <w:link w:val="653"/>
    <w:uiPriority w:val="99"/>
    <w:qFormat/>
    <w:rPr>
      <w:color w:val="404040"/>
      <w:lang w:val="en-US" w:eastAsia="zh-CN" w:bidi="ar-SA"/>
    </w:rPr>
    <w:tblPr/>
  </w:style>
  <w:style w:type="table" w:styleId="854">
    <w:name w:val="Lined - Accent 4"/>
    <w:next w:val="854"/>
    <w:link w:val="653"/>
    <w:uiPriority w:val="99"/>
    <w:qFormat/>
    <w:rPr>
      <w:color w:val="404040"/>
      <w:lang w:val="en-US" w:eastAsia="zh-CN" w:bidi="ar-SA"/>
    </w:rPr>
    <w:tblPr/>
  </w:style>
  <w:style w:type="table" w:styleId="855">
    <w:name w:val="Lined - Accent 5"/>
    <w:next w:val="855"/>
    <w:link w:val="653"/>
    <w:uiPriority w:val="99"/>
    <w:qFormat/>
    <w:rPr>
      <w:color w:val="404040"/>
      <w:lang w:val="en-US" w:eastAsia="zh-CN" w:bidi="ar-SA"/>
    </w:rPr>
    <w:tblPr/>
  </w:style>
  <w:style w:type="table" w:styleId="856">
    <w:name w:val="Lined - Accent 6"/>
    <w:next w:val="856"/>
    <w:link w:val="653"/>
    <w:uiPriority w:val="99"/>
    <w:qFormat/>
    <w:rPr>
      <w:color w:val="404040"/>
      <w:lang w:val="en-US" w:eastAsia="zh-CN" w:bidi="ar-SA"/>
    </w:rPr>
    <w:tblPr/>
  </w:style>
  <w:style w:type="table" w:styleId="857">
    <w:name w:val="Bordered &amp; Lined - Accent"/>
    <w:next w:val="857"/>
    <w:link w:val="653"/>
    <w:uiPriority w:val="99"/>
    <w:qFormat/>
    <w:rPr>
      <w:color w:val="404040"/>
      <w:lang w:val="en-US" w:eastAsia="zh-CN" w:bidi="ar-SA"/>
    </w:rPr>
    <w:tblPr/>
  </w:style>
  <w:style w:type="table" w:styleId="858">
    <w:name w:val="Bordered &amp; Lined - Accent 1"/>
    <w:next w:val="858"/>
    <w:link w:val="653"/>
    <w:uiPriority w:val="99"/>
    <w:qFormat/>
    <w:rPr>
      <w:color w:val="404040"/>
      <w:lang w:val="en-US" w:eastAsia="zh-CN" w:bidi="ar-SA"/>
    </w:rPr>
    <w:tblPr/>
  </w:style>
  <w:style w:type="table" w:styleId="859">
    <w:name w:val="Bordered &amp; Lined - Accent 2"/>
    <w:next w:val="859"/>
    <w:link w:val="653"/>
    <w:uiPriority w:val="99"/>
    <w:qFormat/>
    <w:rPr>
      <w:color w:val="404040"/>
      <w:lang w:val="en-US" w:eastAsia="zh-CN" w:bidi="ar-SA"/>
    </w:rPr>
    <w:tblPr/>
  </w:style>
  <w:style w:type="table" w:styleId="860">
    <w:name w:val="Bordered &amp; Lined - Accent 3"/>
    <w:next w:val="860"/>
    <w:link w:val="653"/>
    <w:uiPriority w:val="99"/>
    <w:qFormat/>
    <w:rPr>
      <w:color w:val="404040"/>
      <w:lang w:val="en-US" w:eastAsia="zh-CN" w:bidi="ar-SA"/>
    </w:rPr>
    <w:tblPr/>
  </w:style>
  <w:style w:type="table" w:styleId="861">
    <w:name w:val="Bordered &amp; Lined - Accent 4"/>
    <w:next w:val="861"/>
    <w:link w:val="653"/>
    <w:uiPriority w:val="99"/>
    <w:qFormat/>
    <w:rPr>
      <w:color w:val="404040"/>
      <w:lang w:val="en-US" w:eastAsia="zh-CN" w:bidi="ar-SA"/>
    </w:rPr>
    <w:tblPr/>
  </w:style>
  <w:style w:type="table" w:styleId="862">
    <w:name w:val="Bordered &amp; Lined - Accent 5"/>
    <w:next w:val="862"/>
    <w:link w:val="653"/>
    <w:uiPriority w:val="99"/>
    <w:qFormat/>
    <w:rPr>
      <w:color w:val="404040"/>
      <w:lang w:val="en-US" w:eastAsia="zh-CN" w:bidi="ar-SA"/>
    </w:rPr>
    <w:tblPr/>
  </w:style>
  <w:style w:type="table" w:styleId="863">
    <w:name w:val="Bordered &amp; Lined - Accent 6"/>
    <w:next w:val="863"/>
    <w:link w:val="653"/>
    <w:uiPriority w:val="99"/>
    <w:qFormat/>
    <w:rPr>
      <w:color w:val="404040"/>
      <w:lang w:val="en-US" w:eastAsia="zh-CN" w:bidi="ar-SA"/>
    </w:rPr>
    <w:tblPr/>
  </w:style>
  <w:style w:type="table" w:styleId="864">
    <w:name w:val="Bordered"/>
    <w:next w:val="864"/>
    <w:link w:val="653"/>
    <w:uiPriority w:val="99"/>
    <w:qFormat/>
    <w:rPr>
      <w:lang w:val="en-US" w:eastAsia="zh-CN" w:bidi="ar-SA"/>
    </w:rPr>
    <w:tblPr/>
  </w:style>
  <w:style w:type="table" w:styleId="865">
    <w:name w:val="Bordered - Accent 1"/>
    <w:next w:val="865"/>
    <w:link w:val="653"/>
    <w:uiPriority w:val="99"/>
    <w:qFormat/>
    <w:rPr>
      <w:lang w:val="en-US" w:eastAsia="zh-CN" w:bidi="ar-SA"/>
    </w:rPr>
    <w:tblPr/>
  </w:style>
  <w:style w:type="table" w:styleId="866">
    <w:name w:val="Bordered - Accent 2"/>
    <w:next w:val="866"/>
    <w:link w:val="653"/>
    <w:uiPriority w:val="99"/>
    <w:qFormat/>
    <w:rPr>
      <w:lang w:val="en-US" w:eastAsia="zh-CN" w:bidi="ar-SA"/>
    </w:rPr>
    <w:tblPr/>
  </w:style>
  <w:style w:type="table" w:styleId="867">
    <w:name w:val="Bordered - Accent 3"/>
    <w:next w:val="867"/>
    <w:link w:val="653"/>
    <w:uiPriority w:val="99"/>
    <w:qFormat/>
    <w:rPr>
      <w:lang w:val="en-US" w:eastAsia="zh-CN" w:bidi="ar-SA"/>
    </w:rPr>
    <w:tblPr/>
  </w:style>
  <w:style w:type="table" w:styleId="868">
    <w:name w:val="Bordered - Accent 4"/>
    <w:next w:val="868"/>
    <w:link w:val="653"/>
    <w:uiPriority w:val="99"/>
    <w:qFormat/>
    <w:rPr>
      <w:lang w:val="en-US" w:eastAsia="zh-CN" w:bidi="ar-SA"/>
    </w:rPr>
    <w:tblPr/>
  </w:style>
  <w:style w:type="table" w:styleId="869">
    <w:name w:val="Bordered - Accent 5"/>
    <w:next w:val="869"/>
    <w:link w:val="653"/>
    <w:uiPriority w:val="99"/>
    <w:qFormat/>
    <w:rPr>
      <w:lang w:val="en-US" w:eastAsia="zh-CN" w:bidi="ar-SA"/>
    </w:rPr>
    <w:tblPr/>
  </w:style>
  <w:style w:type="table" w:styleId="870">
    <w:name w:val="Bordered - Accent 6"/>
    <w:next w:val="870"/>
    <w:link w:val="653"/>
    <w:uiPriority w:val="99"/>
    <w:qFormat/>
    <w:rPr>
      <w:lang w:val="en-US" w:eastAsia="zh-CN" w:bidi="ar-SA"/>
    </w:rPr>
    <w:tblPr/>
  </w:style>
  <w:style w:type="paragraph" w:styleId="871">
    <w:name w:val="TOC 标题11"/>
    <w:next w:val="871"/>
    <w:link w:val="653"/>
    <w:uiPriority w:val="39"/>
    <w:unhideWhenUsed/>
    <w:qFormat/>
    <w:rPr>
      <w:lang w:val="en-US" w:eastAsia="zh-CN" w:bidi="ar-SA"/>
    </w:rPr>
  </w:style>
  <w:style w:type="paragraph" w:styleId="872">
    <w:name w:val="标题 11"/>
    <w:basedOn w:val="653"/>
    <w:next w:val="653"/>
    <w:link w:val="873"/>
    <w:uiPriority w:val="9"/>
    <w:qFormat/>
    <w:pPr>
      <w:jc w:val="center"/>
      <w:keepNext/>
      <w:outlineLvl w:val="0"/>
    </w:pPr>
    <w:rPr>
      <w:rFonts w:ascii="楷体_GB2312" w:hAnsi="楷体_GB2312" w:eastAsia="黑体"/>
      <w:sz w:val="44"/>
      <w:szCs w:val="28"/>
      <w:lang w:val="en-US" w:eastAsia="en-US"/>
    </w:rPr>
  </w:style>
  <w:style w:type="character" w:styleId="873">
    <w:name w:val="标题 1 Char"/>
    <w:next w:val="873"/>
    <w:link w:val="872"/>
    <w:uiPriority w:val="9"/>
    <w:qFormat/>
    <w:rPr>
      <w:rFonts w:ascii="楷体_GB2312" w:hAnsi="楷体_GB2312" w:eastAsia="黑体" w:cs="Times New Roman"/>
      <w:sz w:val="44"/>
      <w:szCs w:val="28"/>
    </w:rPr>
  </w:style>
  <w:style w:type="paragraph" w:styleId="874">
    <w:name w:val="标题 21"/>
    <w:basedOn w:val="653"/>
    <w:next w:val="653"/>
    <w:link w:val="875"/>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75">
    <w:name w:val="标题 2 Char"/>
    <w:next w:val="875"/>
    <w:link w:val="874"/>
    <w:uiPriority w:val="9"/>
    <w:qFormat/>
    <w:rPr>
      <w:rFonts w:ascii="Arial" w:hAnsi="Arial" w:eastAsia="幼圆" w:cs="Arial"/>
      <w:b/>
      <w:bCs/>
      <w:sz w:val="44"/>
      <w:szCs w:val="44"/>
    </w:rPr>
  </w:style>
  <w:style w:type="paragraph" w:styleId="876">
    <w:name w:val="标题 31"/>
    <w:basedOn w:val="653"/>
    <w:next w:val="653"/>
    <w:link w:val="877"/>
    <w:uiPriority w:val="9"/>
    <w:qFormat/>
    <w:pPr>
      <w:keepLines/>
      <w:keepNext/>
      <w:spacing w:before="260" w:after="260" w:line="416" w:lineRule="auto"/>
      <w:outlineLvl w:val="2"/>
    </w:pPr>
    <w:rPr>
      <w:b/>
      <w:bCs/>
      <w:sz w:val="32"/>
      <w:szCs w:val="32"/>
      <w:lang w:val="en-US" w:eastAsia="en-US"/>
    </w:rPr>
  </w:style>
  <w:style w:type="character" w:styleId="877">
    <w:name w:val="标题 3 Char"/>
    <w:next w:val="877"/>
    <w:link w:val="876"/>
    <w:uiPriority w:val="9"/>
    <w:qFormat/>
    <w:rPr>
      <w:rFonts w:ascii="Times New Roman" w:hAnsi="Times New Roman" w:eastAsia="宋体" w:cs="Times New Roman"/>
      <w:b/>
      <w:bCs/>
      <w:sz w:val="32"/>
      <w:szCs w:val="32"/>
    </w:rPr>
  </w:style>
  <w:style w:type="paragraph" w:styleId="878">
    <w:name w:val="标题 41"/>
    <w:basedOn w:val="653"/>
    <w:next w:val="880"/>
    <w:link w:val="879"/>
    <w:uiPriority w:val="9"/>
    <w:qFormat/>
    <w:pPr>
      <w:keepLines/>
      <w:keepNext/>
      <w:spacing w:before="280" w:after="290" w:line="376" w:lineRule="auto"/>
      <w:outlineLvl w:val="3"/>
    </w:pPr>
    <w:rPr>
      <w:rFonts w:ascii="Arial" w:hAnsi="Arial" w:eastAsia="黑体"/>
      <w:b/>
      <w:bCs/>
      <w:sz w:val="28"/>
      <w:szCs w:val="28"/>
      <w:lang w:val="en-US" w:eastAsia="en-US"/>
    </w:rPr>
  </w:style>
  <w:style w:type="character" w:styleId="879">
    <w:name w:val="标题 4 Char"/>
    <w:next w:val="879"/>
    <w:link w:val="878"/>
    <w:uiPriority w:val="9"/>
    <w:qFormat/>
    <w:rPr>
      <w:rFonts w:ascii="Arial" w:hAnsi="Arial" w:eastAsia="黑体" w:cs="Arial"/>
      <w:b/>
      <w:bCs/>
      <w:sz w:val="28"/>
      <w:szCs w:val="28"/>
    </w:rPr>
  </w:style>
  <w:style w:type="paragraph" w:styleId="880">
    <w:name w:val="正文缩进1"/>
    <w:basedOn w:val="653"/>
    <w:next w:val="880"/>
    <w:link w:val="881"/>
    <w:qFormat/>
    <w:pPr>
      <w:ind w:firstLine="420"/>
    </w:pPr>
    <w:rPr>
      <w:sz w:val="20"/>
      <w:lang w:val="en-US" w:eastAsia="en-US"/>
    </w:rPr>
  </w:style>
  <w:style w:type="character" w:styleId="881">
    <w:name w:val="正文缩进 Char"/>
    <w:next w:val="881"/>
    <w:link w:val="880"/>
    <w:qFormat/>
    <w:rPr>
      <w:rFonts w:ascii="Times New Roman" w:hAnsi="Times New Roman" w:eastAsia="宋体" w:cs="Times New Roman"/>
      <w:szCs w:val="21"/>
    </w:rPr>
  </w:style>
  <w:style w:type="paragraph" w:styleId="882">
    <w:name w:val="标题 51"/>
    <w:basedOn w:val="653"/>
    <w:next w:val="880"/>
    <w:link w:val="883"/>
    <w:uiPriority w:val="9"/>
    <w:qFormat/>
    <w:pPr>
      <w:keepNext/>
      <w:outlineLvl w:val="4"/>
    </w:pPr>
    <w:rPr>
      <w:rFonts w:ascii="宋体"/>
      <w:color w:val="000000"/>
      <w:sz w:val="28"/>
      <w:szCs w:val="28"/>
      <w:lang w:val="en-US" w:eastAsia="en-US"/>
    </w:rPr>
  </w:style>
  <w:style w:type="character" w:styleId="883">
    <w:name w:val="标题 5 Char"/>
    <w:next w:val="883"/>
    <w:link w:val="882"/>
    <w:uiPriority w:val="9"/>
    <w:qFormat/>
    <w:rPr>
      <w:rFonts w:ascii="宋体" w:hAnsi="Times New Roman" w:eastAsia="宋体" w:cs="Times New Roman"/>
      <w:color w:val="000000"/>
      <w:sz w:val="28"/>
      <w:szCs w:val="28"/>
    </w:rPr>
  </w:style>
  <w:style w:type="paragraph" w:styleId="884">
    <w:name w:val="标题 61"/>
    <w:basedOn w:val="653"/>
    <w:next w:val="653"/>
    <w:link w:val="885"/>
    <w:uiPriority w:val="9"/>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character" w:styleId="885">
    <w:name w:val="标题 6 Char"/>
    <w:next w:val="885"/>
    <w:link w:val="884"/>
    <w:uiPriority w:val="9"/>
    <w:qFormat/>
    <w:rPr>
      <w:rFonts w:ascii="Arial" w:hAnsi="Arial" w:eastAsia="黑体" w:cs="Times New Roman"/>
      <w:b/>
      <w:bCs/>
      <w:sz w:val="24"/>
      <w:szCs w:val="24"/>
    </w:rPr>
  </w:style>
  <w:style w:type="paragraph" w:styleId="886">
    <w:name w:val="标题 71"/>
    <w:basedOn w:val="653"/>
    <w:next w:val="653"/>
    <w:link w:val="887"/>
    <w:uiPriority w:val="9"/>
    <w:qFormat/>
    <w:pPr>
      <w:numPr>
        <w:ilvl w:val="6"/>
        <w:numId w:val="2"/>
      </w:numPr>
      <w:keepLines/>
      <w:keepNext/>
      <w:spacing w:before="240" w:after="64" w:line="320" w:lineRule="auto"/>
      <w:outlineLvl w:val="6"/>
    </w:pPr>
    <w:rPr>
      <w:b/>
      <w:bCs/>
      <w:sz w:val="24"/>
      <w:szCs w:val="24"/>
      <w:lang w:val="en-US" w:eastAsia="en-US"/>
    </w:rPr>
  </w:style>
  <w:style w:type="character" w:styleId="887">
    <w:name w:val="标题 7 Char"/>
    <w:next w:val="887"/>
    <w:link w:val="886"/>
    <w:uiPriority w:val="9"/>
    <w:qFormat/>
    <w:rPr>
      <w:rFonts w:ascii="Times New Roman" w:hAnsi="Times New Roman" w:eastAsia="宋体" w:cs="Times New Roman"/>
      <w:b/>
      <w:bCs/>
      <w:sz w:val="24"/>
      <w:szCs w:val="24"/>
    </w:rPr>
  </w:style>
  <w:style w:type="paragraph" w:styleId="888">
    <w:name w:val="标题 81"/>
    <w:basedOn w:val="653"/>
    <w:next w:val="653"/>
    <w:link w:val="889"/>
    <w:uiPriority w:val="9"/>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character" w:styleId="889">
    <w:name w:val="标题 8 Char"/>
    <w:next w:val="889"/>
    <w:link w:val="888"/>
    <w:uiPriority w:val="9"/>
    <w:qFormat/>
    <w:rPr>
      <w:rFonts w:ascii="Arial" w:hAnsi="Arial" w:eastAsia="黑体" w:cs="Times New Roman"/>
      <w:sz w:val="24"/>
      <w:szCs w:val="24"/>
    </w:rPr>
  </w:style>
  <w:style w:type="paragraph" w:styleId="890">
    <w:name w:val="标题 91"/>
    <w:basedOn w:val="653"/>
    <w:next w:val="653"/>
    <w:link w:val="891"/>
    <w:uiPriority w:val="9"/>
    <w:qFormat/>
    <w:pPr>
      <w:numPr>
        <w:ilvl w:val="8"/>
        <w:numId w:val="2"/>
      </w:numPr>
      <w:keepLines/>
      <w:keepNext/>
      <w:spacing w:before="240" w:after="64" w:line="320" w:lineRule="auto"/>
      <w:outlineLvl w:val="8"/>
    </w:pPr>
    <w:rPr>
      <w:rFonts w:ascii="Arial" w:hAnsi="Arial" w:eastAsia="黑体"/>
      <w:sz w:val="20"/>
      <w:lang w:val="en-US" w:eastAsia="en-US"/>
    </w:rPr>
  </w:style>
  <w:style w:type="character" w:styleId="891">
    <w:name w:val="标题 9 Char"/>
    <w:next w:val="891"/>
    <w:link w:val="890"/>
    <w:uiPriority w:val="9"/>
    <w:qFormat/>
    <w:rPr>
      <w:rFonts w:ascii="Arial" w:hAnsi="Arial" w:eastAsia="黑体" w:cs="Times New Roman"/>
      <w:szCs w:val="21"/>
    </w:rPr>
  </w:style>
  <w:style w:type="character" w:styleId="892">
    <w:name w:val="默认段落字体1"/>
    <w:next w:val="892"/>
    <w:link w:val="653"/>
    <w:uiPriority w:val="1"/>
    <w:unhideWhenUsed/>
    <w:qFormat/>
  </w:style>
  <w:style w:type="table" w:styleId="893">
    <w:name w:val="普通表格1"/>
    <w:next w:val="893"/>
    <w:link w:val="653"/>
    <w:uiPriority w:val="99"/>
    <w:unhideWhenUsed/>
    <w:qFormat/>
    <w:rPr>
      <w:lang w:val="en-US" w:eastAsia="zh-CN" w:bidi="ar-SA"/>
    </w:rPr>
    <w:tblPr/>
  </w:style>
  <w:style w:type="character" w:styleId="894">
    <w:name w:val="批注框文本 Char"/>
    <w:next w:val="894"/>
    <w:link w:val="895"/>
    <w:uiPriority w:val="99"/>
    <w:qFormat/>
    <w:rPr>
      <w:rFonts w:ascii="Times New Roman" w:hAnsi="Times New Roman" w:eastAsia="宋体" w:cs="Times New Roman"/>
      <w:sz w:val="18"/>
      <w:szCs w:val="18"/>
    </w:rPr>
  </w:style>
  <w:style w:type="paragraph" w:styleId="895">
    <w:name w:val="批注框文本1"/>
    <w:basedOn w:val="653"/>
    <w:next w:val="895"/>
    <w:link w:val="894"/>
    <w:uiPriority w:val="99"/>
    <w:semiHidden/>
    <w:qFormat/>
    <w:rPr>
      <w:sz w:val="18"/>
      <w:szCs w:val="18"/>
      <w:lang w:val="en-US" w:eastAsia="en-US"/>
    </w:rPr>
  </w:style>
  <w:style w:type="character" w:styleId="896">
    <w:name w:val="列出段落 Char"/>
    <w:next w:val="896"/>
    <w:link w:val="897"/>
    <w:qFormat/>
    <w:rPr>
      <w:rFonts w:ascii="Calibri" w:hAnsi="Calibri"/>
      <w:sz w:val="24"/>
      <w:szCs w:val="24"/>
      <w:lang w:eastAsia="en-US" w:bidi="en-US"/>
    </w:rPr>
  </w:style>
  <w:style w:type="paragraph" w:styleId="897">
    <w:name w:val="列出段落1"/>
    <w:basedOn w:val="653"/>
    <w:next w:val="897"/>
    <w:link w:val="896"/>
    <w:qFormat/>
    <w:pPr>
      <w:contextualSpacing/>
      <w:ind w:left="720"/>
      <w:jc w:val="left"/>
      <w:widowControl/>
    </w:pPr>
    <w:rPr>
      <w:rFonts w:ascii="Calibri" w:hAnsi="Calibri"/>
      <w:sz w:val="24"/>
      <w:szCs w:val="24"/>
      <w:lang w:val="en-US" w:eastAsia="en-US" w:bidi="en-US"/>
    </w:rPr>
  </w:style>
  <w:style w:type="character" w:styleId="898">
    <w:name w:val="正文文本 Char"/>
    <w:next w:val="898"/>
    <w:link w:val="899"/>
    <w:uiPriority w:val="99"/>
    <w:qFormat/>
    <w:rPr>
      <w:rFonts w:ascii="楷体_GB2312" w:hAnsi="Arial" w:eastAsia="楷体_GB2312" w:cs="Times New Roman"/>
      <w:sz w:val="28"/>
      <w:szCs w:val="28"/>
    </w:rPr>
  </w:style>
  <w:style w:type="paragraph" w:styleId="899">
    <w:name w:val="正文文本1"/>
    <w:basedOn w:val="653"/>
    <w:next w:val="899"/>
    <w:link w:val="898"/>
    <w:uiPriority w:val="99"/>
    <w:qFormat/>
    <w:rPr>
      <w:rFonts w:ascii="楷体_GB2312" w:hAnsi="Arial" w:eastAsia="楷体_GB2312"/>
      <w:sz w:val="28"/>
      <w:szCs w:val="28"/>
      <w:lang w:val="en-US" w:eastAsia="en-US"/>
    </w:rPr>
  </w:style>
  <w:style w:type="character" w:styleId="900">
    <w:name w:val="超链接1"/>
    <w:next w:val="900"/>
    <w:link w:val="653"/>
    <w:qFormat/>
    <w:rPr>
      <w:color w:val="0000ff"/>
      <w:u w:val="single"/>
    </w:rPr>
  </w:style>
  <w:style w:type="character" w:styleId="901">
    <w:name w:val="正文文本 3 Char"/>
    <w:next w:val="901"/>
    <w:link w:val="902"/>
    <w:qFormat/>
    <w:rPr>
      <w:rFonts w:ascii="仿宋_GB2312" w:hAnsi="Arial" w:eastAsia="仿宋_GB2312" w:cs="Times New Roman"/>
      <w:sz w:val="32"/>
      <w:szCs w:val="32"/>
    </w:rPr>
  </w:style>
  <w:style w:type="paragraph" w:styleId="902">
    <w:name w:val="正文文本 31"/>
    <w:basedOn w:val="653"/>
    <w:next w:val="902"/>
    <w:link w:val="901"/>
    <w:qFormat/>
    <w:rPr>
      <w:rFonts w:ascii="仿宋_GB2312" w:hAnsi="Arial" w:eastAsia="仿宋_GB2312"/>
      <w:sz w:val="32"/>
      <w:szCs w:val="32"/>
      <w:lang w:val="en-US" w:eastAsia="en-US"/>
    </w:rPr>
  </w:style>
  <w:style w:type="character" w:styleId="903">
    <w:name w:val="font5 Char"/>
    <w:next w:val="903"/>
    <w:link w:val="653"/>
    <w:qFormat/>
    <w:rPr>
      <w:rFonts w:ascii="宋体" w:hAnsi="宋体" w:eastAsia="宋体"/>
      <w:sz w:val="28"/>
      <w:szCs w:val="28"/>
      <w:lang w:val="en-US" w:eastAsia="zh-CN" w:bidi="ar-SA"/>
    </w:rPr>
  </w:style>
  <w:style w:type="character" w:styleId="904">
    <w:name w:val="已访问的超链接1"/>
    <w:next w:val="904"/>
    <w:link w:val="653"/>
    <w:qFormat/>
    <w:rPr>
      <w:color w:val="800080"/>
      <w:u w:val="single"/>
    </w:rPr>
  </w:style>
  <w:style w:type="character" w:styleId="905">
    <w:name w:val="二级目录 Char"/>
    <w:next w:val="905"/>
    <w:link w:val="906"/>
    <w:qFormat/>
    <w:rPr>
      <w:b/>
      <w:sz w:val="30"/>
      <w:szCs w:val="28"/>
      <w:lang w:val="en-US" w:eastAsia="zh-CN" w:bidi="ar-SA"/>
    </w:rPr>
  </w:style>
  <w:style w:type="paragraph" w:styleId="906">
    <w:name w:val="二级目录"/>
    <w:next w:val="653"/>
    <w:link w:val="905"/>
    <w:qFormat/>
    <w:pPr>
      <w:ind w:left="907" w:hanging="907"/>
      <w:tabs>
        <w:tab w:val="left" w:pos="907" w:leader="none"/>
        <w:tab w:val="left" w:pos="1145" w:leader="none"/>
      </w:tabs>
      <w:outlineLvl w:val="1"/>
    </w:pPr>
    <w:rPr>
      <w:b/>
      <w:sz w:val="30"/>
      <w:szCs w:val="28"/>
      <w:lang w:val="en-US" w:eastAsia="zh-CN" w:bidi="ar-SA"/>
    </w:rPr>
  </w:style>
  <w:style w:type="character" w:styleId="907">
    <w:name w:val="页眉 Char"/>
    <w:next w:val="907"/>
    <w:link w:val="908"/>
    <w:uiPriority w:val="99"/>
    <w:qFormat/>
    <w:rPr>
      <w:rFonts w:ascii="Times New Roman" w:hAnsi="Times New Roman" w:eastAsia="宋体" w:cs="Times New Roman"/>
      <w:sz w:val="18"/>
      <w:szCs w:val="18"/>
    </w:rPr>
  </w:style>
  <w:style w:type="paragraph" w:styleId="908">
    <w:name w:val="页眉1"/>
    <w:basedOn w:val="653"/>
    <w:next w:val="908"/>
    <w:link w:val="90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9">
    <w:name w:val="页码1"/>
    <w:next w:val="909"/>
    <w:link w:val="653"/>
    <w:qFormat/>
  </w:style>
  <w:style w:type="character" w:styleId="910">
    <w:name w:val="正文首行缩进 2 Char"/>
    <w:next w:val="910"/>
    <w:link w:val="911"/>
    <w:uiPriority w:val="99"/>
    <w:qFormat/>
    <w:rPr>
      <w:rFonts w:ascii="宋体" w:hAnsi="宋体" w:eastAsia="宋体" w:cs="Times New Roman"/>
      <w:sz w:val="32"/>
      <w:szCs w:val="20"/>
    </w:rPr>
  </w:style>
  <w:style w:type="paragraph" w:styleId="911">
    <w:name w:val="正文首行缩进 21"/>
    <w:basedOn w:val="912"/>
    <w:next w:val="911"/>
    <w:link w:val="910"/>
    <w:uiPriority w:val="99"/>
    <w:qFormat/>
    <w:pPr>
      <w:ind w:firstLine="420"/>
      <w:spacing w:line="360" w:lineRule="auto"/>
    </w:pPr>
    <w:rPr>
      <w:rFonts w:ascii="宋体" w:hAnsi="宋体" w:eastAsia="宋体"/>
      <w:szCs w:val="20"/>
    </w:rPr>
  </w:style>
  <w:style w:type="paragraph" w:styleId="912">
    <w:name w:val="正文文本缩进1"/>
    <w:basedOn w:val="653"/>
    <w:next w:val="912"/>
    <w:link w:val="913"/>
    <w:uiPriority w:val="99"/>
    <w:qFormat/>
    <w:pPr>
      <w:ind w:firstLine="645"/>
    </w:pPr>
    <w:rPr>
      <w:rFonts w:ascii="楷体_GB2312" w:eastAsia="楷体_GB2312"/>
      <w:sz w:val="32"/>
      <w:szCs w:val="32"/>
      <w:lang w:val="en-US" w:eastAsia="en-US"/>
    </w:rPr>
  </w:style>
  <w:style w:type="character" w:styleId="913">
    <w:name w:val="正文文本缩进 Char"/>
    <w:next w:val="913"/>
    <w:link w:val="912"/>
    <w:uiPriority w:val="99"/>
    <w:qFormat/>
    <w:rPr>
      <w:rFonts w:ascii="楷体_GB2312" w:hAnsi="Times New Roman" w:eastAsia="楷体_GB2312" w:cs="Times New Roman"/>
      <w:sz w:val="32"/>
      <w:szCs w:val="32"/>
    </w:rPr>
  </w:style>
  <w:style w:type="character" w:styleId="914">
    <w:name w:val="批注文字 Char"/>
    <w:next w:val="914"/>
    <w:link w:val="915"/>
    <w:qFormat/>
    <w:rPr>
      <w:rFonts w:ascii="Times New Roman" w:hAnsi="Times New Roman" w:eastAsia="宋体" w:cs="Times New Roman"/>
      <w:szCs w:val="21"/>
    </w:rPr>
  </w:style>
  <w:style w:type="paragraph" w:styleId="915">
    <w:name w:val="批注文字1"/>
    <w:basedOn w:val="653"/>
    <w:next w:val="915"/>
    <w:link w:val="914"/>
    <w:semiHidden/>
    <w:qFormat/>
    <w:pPr>
      <w:jc w:val="left"/>
    </w:pPr>
    <w:rPr>
      <w:sz w:val="20"/>
      <w:lang w:val="en-US" w:eastAsia="en-US"/>
    </w:rPr>
  </w:style>
  <w:style w:type="character" w:styleId="916">
    <w:name w:val="日期 Char"/>
    <w:next w:val="916"/>
    <w:link w:val="917"/>
    <w:qFormat/>
    <w:rPr>
      <w:rFonts w:ascii="Times New Roman" w:hAnsi="Times New Roman" w:eastAsia="宋体" w:cs="Times New Roman"/>
      <w:sz w:val="24"/>
      <w:szCs w:val="24"/>
    </w:rPr>
  </w:style>
  <w:style w:type="paragraph" w:styleId="917">
    <w:name w:val="日期1"/>
    <w:basedOn w:val="653"/>
    <w:next w:val="653"/>
    <w:link w:val="916"/>
    <w:qFormat/>
    <w:rPr>
      <w:sz w:val="24"/>
      <w:szCs w:val="24"/>
      <w:lang w:val="en-US" w:eastAsia="en-US"/>
    </w:rPr>
  </w:style>
  <w:style w:type="character" w:styleId="918">
    <w:name w:val="要点1"/>
    <w:next w:val="918"/>
    <w:link w:val="653"/>
    <w:qFormat/>
    <w:rPr>
      <w:b/>
      <w:bCs/>
    </w:rPr>
  </w:style>
  <w:style w:type="character" w:styleId="919">
    <w:name w:val="页脚 Char"/>
    <w:next w:val="919"/>
    <w:link w:val="920"/>
    <w:uiPriority w:val="99"/>
    <w:qFormat/>
    <w:rPr>
      <w:rFonts w:ascii="Times New Roman" w:hAnsi="Times New Roman" w:eastAsia="宋体" w:cs="Times New Roman"/>
      <w:sz w:val="18"/>
      <w:szCs w:val="18"/>
    </w:rPr>
  </w:style>
  <w:style w:type="paragraph" w:styleId="920">
    <w:name w:val="页脚1"/>
    <w:basedOn w:val="653"/>
    <w:next w:val="920"/>
    <w:link w:val="919"/>
    <w:uiPriority w:val="99"/>
    <w:qFormat/>
    <w:pPr>
      <w:jc w:val="left"/>
      <w:tabs>
        <w:tab w:val="center" w:pos="4153" w:leader="none"/>
        <w:tab w:val="right" w:pos="8306" w:leader="none"/>
      </w:tabs>
    </w:pPr>
    <w:rPr>
      <w:sz w:val="18"/>
      <w:szCs w:val="18"/>
      <w:lang w:val="en-US" w:eastAsia="en-US"/>
    </w:rPr>
  </w:style>
  <w:style w:type="character" w:styleId="921">
    <w:name w:val="批注引用1"/>
    <w:next w:val="921"/>
    <w:link w:val="653"/>
    <w:semiHidden/>
    <w:qFormat/>
    <w:rPr>
      <w:sz w:val="21"/>
      <w:szCs w:val="21"/>
    </w:rPr>
  </w:style>
  <w:style w:type="character" w:styleId="922">
    <w:name w:val="文档结构图 Char"/>
    <w:next w:val="922"/>
    <w:link w:val="923"/>
    <w:semiHidden/>
    <w:qFormat/>
    <w:rPr>
      <w:rFonts w:ascii="Times New Roman" w:hAnsi="Times New Roman" w:eastAsia="宋体" w:cs="Times New Roman"/>
      <w:szCs w:val="21"/>
      <w:shd w:val="clear" w:color="auto" w:fill="000080"/>
    </w:rPr>
  </w:style>
  <w:style w:type="paragraph" w:styleId="923">
    <w:name w:val="文档结构图1"/>
    <w:basedOn w:val="653"/>
    <w:next w:val="923"/>
    <w:link w:val="922"/>
    <w:semiHidden/>
    <w:qFormat/>
    <w:pPr>
      <w:shd w:val="clear" w:color="auto" w:fill="000080"/>
    </w:pPr>
    <w:rPr>
      <w:sz w:val="20"/>
      <w:lang w:val="en-US" w:eastAsia="en-US"/>
    </w:rPr>
  </w:style>
  <w:style w:type="character" w:styleId="924">
    <w:name w:val="正文文本缩进 3 Char"/>
    <w:next w:val="924"/>
    <w:link w:val="925"/>
    <w:qFormat/>
    <w:rPr>
      <w:rFonts w:ascii="Arial" w:hAnsi="Arial" w:eastAsia="仿宋_GB2312" w:cs="Arial"/>
      <w:color w:val="ffff00"/>
      <w:sz w:val="32"/>
      <w:szCs w:val="32"/>
    </w:rPr>
  </w:style>
  <w:style w:type="paragraph" w:styleId="925">
    <w:name w:val="正文文本缩进 31"/>
    <w:basedOn w:val="653"/>
    <w:next w:val="925"/>
    <w:link w:val="924"/>
    <w:qFormat/>
    <w:pPr>
      <w:ind w:left="645" w:firstLine="645"/>
    </w:pPr>
    <w:rPr>
      <w:rFonts w:ascii="Arial" w:hAnsi="Arial" w:eastAsia="仿宋_GB2312"/>
      <w:color w:val="ffff00"/>
      <w:sz w:val="32"/>
      <w:szCs w:val="32"/>
      <w:lang w:val="en-US" w:eastAsia="en-US"/>
    </w:rPr>
  </w:style>
  <w:style w:type="character" w:styleId="926">
    <w:name w:val="纯文本 Char"/>
    <w:next w:val="926"/>
    <w:link w:val="927"/>
    <w:uiPriority w:val="99"/>
    <w:qFormat/>
    <w:rPr>
      <w:rFonts w:ascii="宋体" w:hAnsi="Courier New" w:eastAsia="宋体" w:cs="Courier New"/>
      <w:szCs w:val="21"/>
    </w:rPr>
  </w:style>
  <w:style w:type="paragraph" w:styleId="927">
    <w:name w:val="纯文本1"/>
    <w:basedOn w:val="653"/>
    <w:next w:val="927"/>
    <w:link w:val="926"/>
    <w:uiPriority w:val="99"/>
    <w:qFormat/>
    <w:rPr>
      <w:rFonts w:ascii="宋体" w:hAnsi="Courier New"/>
      <w:sz w:val="20"/>
      <w:lang w:val="en-US" w:eastAsia="en-US"/>
    </w:rPr>
  </w:style>
  <w:style w:type="character" w:styleId="928">
    <w:name w:val="正文文本缩进 2 Char"/>
    <w:next w:val="928"/>
    <w:link w:val="929"/>
    <w:qFormat/>
    <w:rPr>
      <w:rFonts w:ascii="Arial" w:hAnsi="Arial" w:eastAsia="仿宋_GB2312" w:cs="Arial"/>
      <w:sz w:val="32"/>
      <w:szCs w:val="32"/>
    </w:rPr>
  </w:style>
  <w:style w:type="paragraph" w:styleId="929">
    <w:name w:val="正文文本缩进 21"/>
    <w:basedOn w:val="653"/>
    <w:next w:val="929"/>
    <w:link w:val="928"/>
    <w:qFormat/>
    <w:pPr>
      <w:ind w:left="630" w:firstLine="645"/>
    </w:pPr>
    <w:rPr>
      <w:rFonts w:ascii="Arial" w:hAnsi="Arial" w:eastAsia="仿宋_GB2312"/>
      <w:sz w:val="32"/>
      <w:szCs w:val="32"/>
      <w:lang w:val="en-US" w:eastAsia="en-US"/>
    </w:rPr>
  </w:style>
  <w:style w:type="character" w:styleId="930">
    <w:name w:val="正文文本 2 Char"/>
    <w:next w:val="930"/>
    <w:link w:val="931"/>
    <w:qFormat/>
    <w:rPr>
      <w:rFonts w:ascii="楷体_GB2312" w:hAnsi="Times New Roman" w:eastAsia="楷体_GB2312" w:cs="Times New Roman"/>
      <w:sz w:val="28"/>
      <w:szCs w:val="28"/>
    </w:rPr>
  </w:style>
  <w:style w:type="paragraph" w:styleId="931">
    <w:name w:val="正文文本 21"/>
    <w:basedOn w:val="653"/>
    <w:next w:val="931"/>
    <w:link w:val="930"/>
    <w:qFormat/>
    <w:pPr>
      <w:jc w:val="center"/>
      <w:widowControl/>
    </w:pPr>
    <w:rPr>
      <w:rFonts w:ascii="楷体_GB2312" w:eastAsia="楷体_GB2312"/>
      <w:sz w:val="28"/>
      <w:szCs w:val="28"/>
      <w:lang w:val="en-US" w:eastAsia="en-US"/>
    </w:rPr>
  </w:style>
  <w:style w:type="character" w:styleId="932">
    <w:name w:val="批注主题 Char"/>
    <w:next w:val="932"/>
    <w:link w:val="933"/>
    <w:qFormat/>
    <w:rPr>
      <w:rFonts w:ascii="Times New Roman" w:hAnsi="Times New Roman" w:eastAsia="宋体" w:cs="Times New Roman"/>
      <w:b/>
      <w:bCs/>
      <w:szCs w:val="21"/>
    </w:rPr>
  </w:style>
  <w:style w:type="paragraph" w:styleId="933">
    <w:name w:val="批注主题1"/>
    <w:basedOn w:val="915"/>
    <w:next w:val="915"/>
    <w:link w:val="932"/>
    <w:semiHidden/>
    <w:qFormat/>
    <w:rPr>
      <w:b/>
      <w:bCs/>
    </w:rPr>
  </w:style>
  <w:style w:type="character" w:styleId="934">
    <w:name w:val="正文首行缩进 Char"/>
    <w:next w:val="934"/>
    <w:link w:val="935"/>
    <w:qFormat/>
    <w:rPr>
      <w:rFonts w:ascii="仿宋_GB2312" w:hAnsi="Times New Roman" w:eastAsia="仿宋_GB2312" w:cs="Times New Roman"/>
      <w:sz w:val="30"/>
      <w:szCs w:val="30"/>
    </w:rPr>
  </w:style>
  <w:style w:type="paragraph" w:styleId="935">
    <w:name w:val="正文首行缩进1"/>
    <w:basedOn w:val="653"/>
    <w:next w:val="935"/>
    <w:link w:val="934"/>
    <w:qFormat/>
    <w:pPr>
      <w:ind w:firstLine="200"/>
      <w:spacing w:line="360" w:lineRule="auto"/>
    </w:pPr>
    <w:rPr>
      <w:rFonts w:ascii="仿宋_GB2312" w:eastAsia="仿宋_GB2312"/>
      <w:sz w:val="30"/>
      <w:szCs w:val="30"/>
      <w:lang w:val="en-US" w:eastAsia="en-US"/>
    </w:rPr>
  </w:style>
  <w:style w:type="paragraph" w:styleId="936">
    <w:name w:val="table_lines"/>
    <w:basedOn w:val="653"/>
    <w:next w:val="936"/>
    <w:link w:val="653"/>
    <w:qFormat/>
    <w:pPr>
      <w:jc w:val="left"/>
      <w:widowControl/>
    </w:pPr>
    <w:rPr>
      <w:sz w:val="20"/>
      <w:szCs w:val="20"/>
      <w:lang w:val="de-DE" w:eastAsia="de-DE"/>
    </w:rPr>
  </w:style>
  <w:style w:type="paragraph" w:styleId="937">
    <w:name w:val="Char"/>
    <w:basedOn w:val="923"/>
    <w:next w:val="937"/>
    <w:link w:val="653"/>
    <w:qFormat/>
    <w:rPr>
      <w:rFonts w:ascii="Tahoma" w:hAnsi="Tahoma"/>
      <w:sz w:val="24"/>
      <w:szCs w:val="24"/>
    </w:rPr>
  </w:style>
  <w:style w:type="paragraph" w:styleId="938">
    <w:name w:val="索引 11"/>
    <w:basedOn w:val="653"/>
    <w:next w:val="653"/>
    <w:link w:val="653"/>
    <w:semiHidden/>
    <w:qFormat/>
    <w:pPr>
      <w:spacing w:line="240" w:lineRule="atLeast"/>
    </w:pPr>
    <w:rPr>
      <w:b/>
      <w:bCs/>
    </w:rPr>
  </w:style>
  <w:style w:type="paragraph" w:styleId="939">
    <w:name w:val="目录 51"/>
    <w:basedOn w:val="653"/>
    <w:next w:val="653"/>
    <w:link w:val="653"/>
    <w:semiHidden/>
    <w:qFormat/>
    <w:pPr>
      <w:ind w:left="840"/>
      <w:jc w:val="left"/>
    </w:pPr>
  </w:style>
  <w:style w:type="paragraph" w:styleId="940">
    <w:name w:val="Char Char Char Char"/>
    <w:basedOn w:val="923"/>
    <w:next w:val="940"/>
    <w:link w:val="653"/>
    <w:qFormat/>
    <w:pPr>
      <w:spacing w:line="360" w:lineRule="auto"/>
    </w:pPr>
    <w:rPr>
      <w:rFonts w:ascii="Tahoma" w:hAnsi="Tahoma"/>
      <w:sz w:val="24"/>
      <w:szCs w:val="24"/>
    </w:rPr>
  </w:style>
  <w:style w:type="paragraph" w:styleId="941">
    <w:name w:val="列出段落2"/>
    <w:basedOn w:val="653"/>
    <w:next w:val="941"/>
    <w:link w:val="653"/>
    <w:qFormat/>
    <w:pPr>
      <w:contextualSpacing/>
      <w:ind w:left="720"/>
      <w:jc w:val="left"/>
      <w:widowControl/>
    </w:pPr>
    <w:rPr>
      <w:rFonts w:ascii="Calibri" w:hAnsi="Calibri"/>
      <w:sz w:val="24"/>
      <w:szCs w:val="24"/>
      <w:lang w:eastAsia="en-US" w:bidi="en-US"/>
    </w:rPr>
  </w:style>
  <w:style w:type="paragraph" w:styleId="942">
    <w:name w:val="普通(网站)1"/>
    <w:basedOn w:val="653"/>
    <w:next w:val="942"/>
    <w:link w:val="653"/>
    <w:uiPriority w:val="99"/>
    <w:qFormat/>
    <w:pPr>
      <w:jc w:val="left"/>
      <w:spacing w:before="100" w:beforeAutospacing="1" w:after="100" w:afterAutospacing="1"/>
      <w:widowControl/>
    </w:pPr>
    <w:rPr>
      <w:rFonts w:ascii="宋体" w:hAnsi="宋体" w:cs="宋体"/>
      <w:sz w:val="24"/>
      <w:szCs w:val="24"/>
    </w:rPr>
  </w:style>
  <w:style w:type="paragraph" w:styleId="943">
    <w:name w:val="无间隔1"/>
    <w:next w:val="943"/>
    <w:link w:val="653"/>
    <w:uiPriority w:val="99"/>
    <w:qFormat/>
    <w:pPr>
      <w:jc w:val="both"/>
      <w:widowControl w:val="off"/>
    </w:pPr>
    <w:rPr>
      <w:rFonts w:ascii="Times New Roman" w:hAnsi="Times New Roman"/>
      <w:sz w:val="21"/>
      <w:szCs w:val="21"/>
      <w:lang w:val="en-US" w:eastAsia="zh-CN" w:bidi="ar-SA"/>
    </w:rPr>
  </w:style>
  <w:style w:type="paragraph" w:styleId="944">
    <w:name w:val="普通 (Web)"/>
    <w:basedOn w:val="653"/>
    <w:next w:val="944"/>
    <w:link w:val="653"/>
    <w:qFormat/>
    <w:pPr>
      <w:jc w:val="left"/>
      <w:spacing w:before="100" w:beforeAutospacing="1" w:after="100" w:afterAutospacing="1"/>
      <w:widowControl/>
    </w:pPr>
    <w:rPr>
      <w:rFonts w:ascii="宋体" w:hAnsi="宋体"/>
      <w:sz w:val="24"/>
      <w:szCs w:val="24"/>
    </w:rPr>
  </w:style>
  <w:style w:type="paragraph" w:styleId="945">
    <w:name w:val="xl27"/>
    <w:basedOn w:val="653"/>
    <w:next w:val="945"/>
    <w:link w:val="6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name w:val="目录 81"/>
    <w:basedOn w:val="653"/>
    <w:next w:val="653"/>
    <w:link w:val="653"/>
    <w:semiHidden/>
    <w:qFormat/>
    <w:pPr>
      <w:ind w:left="1470"/>
      <w:jc w:val="left"/>
    </w:pPr>
  </w:style>
  <w:style w:type="paragraph" w:styleId="947">
    <w:name w:val="目录 91"/>
    <w:basedOn w:val="653"/>
    <w:next w:val="653"/>
    <w:link w:val="653"/>
    <w:semiHidden/>
    <w:qFormat/>
    <w:pPr>
      <w:ind w:left="1680"/>
      <w:jc w:val="left"/>
    </w:pPr>
  </w:style>
  <w:style w:type="paragraph" w:styleId="948">
    <w:name w:val="Char1"/>
    <w:basedOn w:val="653"/>
    <w:next w:val="948"/>
    <w:link w:val="653"/>
    <w:qFormat/>
    <w:pPr>
      <w:ind w:firstLine="200"/>
      <w:tabs>
        <w:tab w:val="left" w:pos="360" w:leader="none"/>
      </w:tabs>
    </w:pPr>
    <w:rPr>
      <w:sz w:val="28"/>
      <w:szCs w:val="30"/>
    </w:rPr>
  </w:style>
  <w:style w:type="paragraph" w:styleId="949">
    <w:name w:val="Char Char Char Char Char Char Char Char"/>
    <w:basedOn w:val="653"/>
    <w:next w:val="949"/>
    <w:link w:val="653"/>
    <w:qFormat/>
    <w:pPr>
      <w:jc w:val="left"/>
      <w:spacing w:after="160" w:line="240" w:lineRule="exact"/>
      <w:widowControl/>
    </w:pPr>
    <w:rPr>
      <w:rFonts w:ascii="Verdana" w:hAnsi="Verdana"/>
      <w:sz w:val="20"/>
      <w:szCs w:val="20"/>
      <w:lang w:eastAsia="en-US"/>
    </w:rPr>
  </w:style>
  <w:style w:type="paragraph" w:styleId="950">
    <w:name w:val="font7"/>
    <w:basedOn w:val="653"/>
    <w:next w:val="950"/>
    <w:link w:val="653"/>
    <w:qFormat/>
    <w:pPr>
      <w:jc w:val="left"/>
      <w:spacing w:before="100" w:beforeAutospacing="1" w:after="100" w:afterAutospacing="1"/>
      <w:widowControl/>
    </w:pPr>
    <w:rPr>
      <w:rFonts w:hint="eastAsia" w:ascii="宋体" w:hAnsi="宋体"/>
      <w:sz w:val="18"/>
      <w:szCs w:val="18"/>
    </w:rPr>
  </w:style>
  <w:style w:type="paragraph" w:styleId="951">
    <w:name w:val="Char Char Char Char Char Char Char Char Char Char"/>
    <w:basedOn w:val="653"/>
    <w:next w:val="951"/>
    <w:link w:val="653"/>
    <w:qFormat/>
    <w:pPr>
      <w:spacing w:line="360" w:lineRule="auto"/>
    </w:pPr>
    <w:rPr>
      <w:sz w:val="24"/>
      <w:szCs w:val="20"/>
    </w:rPr>
  </w:style>
  <w:style w:type="paragraph" w:styleId="952">
    <w:name w:val="xl26"/>
    <w:basedOn w:val="653"/>
    <w:next w:val="952"/>
    <w:link w:val="6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name w:val="table_1stline"/>
    <w:basedOn w:val="653"/>
    <w:next w:val="953"/>
    <w:link w:val="653"/>
    <w:qFormat/>
    <w:pPr>
      <w:jc w:val="left"/>
      <w:spacing w:before="120"/>
      <w:widowControl/>
    </w:pPr>
    <w:rPr>
      <w:bCs/>
      <w:sz w:val="20"/>
      <w:szCs w:val="20"/>
      <w:lang w:val="de-DE" w:eastAsia="de-DE"/>
    </w:rPr>
  </w:style>
  <w:style w:type="paragraph" w:styleId="954">
    <w:name w:val="xl28"/>
    <w:basedOn w:val="653"/>
    <w:next w:val="954"/>
    <w:link w:val="6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5">
    <w:name w:val="目录 31"/>
    <w:basedOn w:val="653"/>
    <w:next w:val="653"/>
    <w:link w:val="653"/>
    <w:semiHidden/>
    <w:qFormat/>
    <w:pPr>
      <w:ind w:left="420"/>
      <w:jc w:val="left"/>
    </w:pPr>
    <w:rPr>
      <w:i/>
      <w:iCs/>
      <w:szCs w:val="24"/>
    </w:rPr>
  </w:style>
  <w:style w:type="paragraph" w:styleId="956">
    <w:name w:val="目录 61"/>
    <w:basedOn w:val="653"/>
    <w:next w:val="653"/>
    <w:link w:val="653"/>
    <w:semiHidden/>
    <w:qFormat/>
    <w:pPr>
      <w:ind w:left="1050"/>
      <w:jc w:val="left"/>
    </w:pPr>
  </w:style>
  <w:style w:type="paragraph" w:styleId="957">
    <w:name w:val="目录 71"/>
    <w:basedOn w:val="653"/>
    <w:next w:val="653"/>
    <w:link w:val="653"/>
    <w:semiHidden/>
    <w:qFormat/>
    <w:pPr>
      <w:ind w:left="1260"/>
      <w:jc w:val="left"/>
    </w:pPr>
  </w:style>
  <w:style w:type="paragraph" w:styleId="958">
    <w:name w:val="附录1"/>
    <w:next w:val="958"/>
    <w:link w:val="653"/>
    <w:qFormat/>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959">
    <w:name w:val="标题3"/>
    <w:basedOn w:val="653"/>
    <w:next w:val="653"/>
    <w:link w:val="653"/>
    <w:qFormat/>
    <w:pPr>
      <w:ind w:firstLine="624"/>
      <w:spacing w:line="590" w:lineRule="atLeast"/>
    </w:pPr>
    <w:rPr>
      <w:rFonts w:ascii="方正黑体_GBK" w:eastAsia="方正黑体_GBK"/>
      <w:sz w:val="32"/>
      <w:szCs w:val="32"/>
    </w:rPr>
  </w:style>
  <w:style w:type="paragraph" w:styleId="960">
    <w:name w:val="列表 31"/>
    <w:basedOn w:val="653"/>
    <w:next w:val="960"/>
    <w:link w:val="653"/>
    <w:qFormat/>
    <w:pPr>
      <w:ind w:left="100" w:hanging="200"/>
    </w:pPr>
  </w:style>
  <w:style w:type="paragraph" w:styleId="961">
    <w:name w:val="目录 11"/>
    <w:basedOn w:val="653"/>
    <w:next w:val="653"/>
    <w:link w:val="653"/>
    <w:uiPriority w:val="39"/>
    <w:qFormat/>
    <w:pPr>
      <w:jc w:val="left"/>
      <w:spacing w:before="120" w:after="120" w:line="400" w:lineRule="exact"/>
      <w:tabs>
        <w:tab w:val="right" w:pos="8720" w:leader="dot"/>
      </w:tabs>
    </w:pPr>
    <w:rPr>
      <w:rFonts w:ascii="宋体" w:hAnsi="宋体"/>
      <w:caps/>
      <w:sz w:val="24"/>
      <w:szCs w:val="24"/>
    </w:rPr>
  </w:style>
  <w:style w:type="paragraph" w:styleId="962">
    <w:name w:val="xl30"/>
    <w:basedOn w:val="653"/>
    <w:next w:val="962"/>
    <w:link w:val="653"/>
    <w:qFormat/>
    <w:pPr>
      <w:jc w:val="center"/>
      <w:spacing w:before="100" w:beforeAutospacing="1" w:after="100" w:afterAutospacing="1"/>
      <w:widowControl/>
    </w:pPr>
    <w:rPr>
      <w:rFonts w:ascii="宋体" w:hAnsi="宋体"/>
      <w:b/>
      <w:bCs/>
      <w:sz w:val="36"/>
      <w:szCs w:val="36"/>
    </w:rPr>
  </w:style>
  <w:style w:type="paragraph" w:styleId="963">
    <w:name w:val="目录 41"/>
    <w:basedOn w:val="653"/>
    <w:next w:val="653"/>
    <w:link w:val="653"/>
    <w:semiHidden/>
    <w:qFormat/>
    <w:pPr>
      <w:ind w:left="630"/>
      <w:jc w:val="left"/>
    </w:pPr>
  </w:style>
  <w:style w:type="paragraph" w:styleId="964">
    <w:name w:val="4"/>
    <w:basedOn w:val="653"/>
    <w:next w:val="925"/>
    <w:link w:val="653"/>
    <w:qFormat/>
    <w:pPr>
      <w:ind w:firstLine="420"/>
      <w:spacing w:line="360" w:lineRule="auto"/>
    </w:pPr>
    <w:rPr>
      <w:color w:val="ff0000"/>
      <w:sz w:val="24"/>
      <w:szCs w:val="24"/>
    </w:rPr>
  </w:style>
  <w:style w:type="paragraph" w:styleId="965">
    <w:name w:val="列表 21"/>
    <w:basedOn w:val="653"/>
    <w:next w:val="965"/>
    <w:link w:val="653"/>
    <w:qFormat/>
    <w:pPr>
      <w:ind w:left="100" w:hanging="200"/>
    </w:pPr>
  </w:style>
  <w:style w:type="paragraph" w:styleId="966">
    <w:name w:val="目录 21"/>
    <w:basedOn w:val="653"/>
    <w:next w:val="653"/>
    <w:link w:val="653"/>
    <w:semiHidden/>
    <w:qFormat/>
    <w:pPr>
      <w:ind w:left="210"/>
      <w:jc w:val="left"/>
    </w:pPr>
    <w:rPr>
      <w:smallCaps/>
      <w:szCs w:val="24"/>
    </w:rPr>
  </w:style>
  <w:style w:type="paragraph" w:styleId="967">
    <w:name w:val="Char Char Char Char1"/>
    <w:basedOn w:val="923"/>
    <w:next w:val="967"/>
    <w:link w:val="653"/>
    <w:qFormat/>
    <w:pPr>
      <w:spacing w:line="360" w:lineRule="auto"/>
    </w:pPr>
    <w:rPr>
      <w:rFonts w:ascii="Tahoma" w:hAnsi="Tahoma"/>
      <w:sz w:val="24"/>
      <w:szCs w:val="24"/>
    </w:rPr>
  </w:style>
  <w:style w:type="paragraph" w:styleId="968">
    <w:name w:val="普通正文"/>
    <w:basedOn w:val="653"/>
    <w:next w:val="968"/>
    <w:link w:val="653"/>
    <w:qFormat/>
    <w:pPr>
      <w:ind w:firstLine="480"/>
      <w:jc w:val="left"/>
      <w:spacing w:before="120" w:after="120" w:line="360" w:lineRule="auto"/>
    </w:pPr>
    <w:rPr>
      <w:rFonts w:ascii="Arial" w:hAnsi="Arial"/>
      <w:sz w:val="24"/>
      <w:szCs w:val="24"/>
    </w:rPr>
  </w:style>
  <w:style w:type="paragraph" w:styleId="969">
    <w:name w:val="Body Text(ch)"/>
    <w:basedOn w:val="653"/>
    <w:next w:val="899"/>
    <w:link w:val="653"/>
    <w:qFormat/>
    <w:pPr>
      <w:spacing w:after="120"/>
    </w:pPr>
    <w:rPr>
      <w:rFonts w:ascii="宋体" w:hAnsi="Arial"/>
      <w:bCs/>
      <w:iCs/>
      <w:szCs w:val="24"/>
    </w:rPr>
  </w:style>
  <w:style w:type="paragraph" w:styleId="970">
    <w:name w:val="列表1"/>
    <w:basedOn w:val="653"/>
    <w:next w:val="970"/>
    <w:link w:val="653"/>
    <w:qFormat/>
    <w:pPr>
      <w:ind w:left="200" w:hanging="200"/>
    </w:pPr>
  </w:style>
  <w:style w:type="paragraph" w:styleId="971">
    <w:name w:val="样式1"/>
    <w:basedOn w:val="653"/>
    <w:next w:val="971"/>
    <w:link w:val="653"/>
    <w:qFormat/>
    <w:pPr>
      <w:numPr>
        <w:ilvl w:val="0"/>
        <w:numId w:val="4"/>
      </w:numPr>
      <w:tabs>
        <w:tab w:val="left" w:pos="709" w:leader="none"/>
      </w:tabs>
    </w:pPr>
    <w:rPr>
      <w:rFonts w:ascii="宋体" w:hAnsi="宋体"/>
    </w:rPr>
  </w:style>
  <w:style w:type="paragraph" w:styleId="972">
    <w:name w:val="xl29"/>
    <w:basedOn w:val="653"/>
    <w:next w:val="972"/>
    <w:link w:val="65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name w:val="font5"/>
    <w:basedOn w:val="653"/>
    <w:next w:val="973"/>
    <w:link w:val="653"/>
    <w:qFormat/>
    <w:pPr>
      <w:jc w:val="left"/>
      <w:spacing w:before="100" w:beforeAutospacing="1" w:after="100" w:afterAutospacing="1"/>
      <w:widowControl/>
    </w:pPr>
    <w:rPr>
      <w:rFonts w:hint="eastAsia" w:ascii="宋体" w:hAnsi="宋体"/>
      <w:sz w:val="28"/>
      <w:szCs w:val="28"/>
    </w:rPr>
  </w:style>
  <w:style w:type="paragraph" w:styleId="974">
    <w:name w:val="图表目录1"/>
    <w:basedOn w:val="653"/>
    <w:next w:val="653"/>
    <w:link w:val="653"/>
    <w:semiHidden/>
    <w:qFormat/>
    <w:pPr>
      <w:ind w:left="840" w:hanging="420"/>
    </w:pPr>
  </w:style>
  <w:style w:type="paragraph" w:styleId="975">
    <w:name w:val="图标"/>
    <w:basedOn w:val="653"/>
    <w:next w:val="653"/>
    <w:link w:val="65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font6"/>
    <w:basedOn w:val="653"/>
    <w:next w:val="976"/>
    <w:link w:val="653"/>
    <w:qFormat/>
    <w:pPr>
      <w:jc w:val="left"/>
      <w:spacing w:before="100" w:beforeAutospacing="1" w:after="100" w:afterAutospacing="1"/>
      <w:widowControl/>
    </w:pPr>
    <w:rPr>
      <w:rFonts w:hint="eastAsia" w:ascii="宋体" w:hAnsi="宋体"/>
      <w:sz w:val="28"/>
      <w:szCs w:val="28"/>
      <w:u w:val="single"/>
    </w:rPr>
  </w:style>
  <w:style w:type="paragraph" w:styleId="977">
    <w:name w:val="xl25"/>
    <w:basedOn w:val="653"/>
    <w:next w:val="977"/>
    <w:link w:val="6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xl24"/>
    <w:basedOn w:val="653"/>
    <w:next w:val="978"/>
    <w:link w:val="6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Char Char Char Char Char Char Char Char1"/>
    <w:basedOn w:val="653"/>
    <w:next w:val="979"/>
    <w:link w:val="653"/>
    <w:qFormat/>
    <w:pPr>
      <w:jc w:val="left"/>
      <w:spacing w:after="160" w:line="240" w:lineRule="exact"/>
      <w:widowControl/>
    </w:pPr>
    <w:rPr>
      <w:rFonts w:ascii="Verdana" w:hAnsi="Verdana"/>
      <w:sz w:val="20"/>
      <w:szCs w:val="20"/>
      <w:lang w:eastAsia="en-US"/>
    </w:rPr>
  </w:style>
  <w:style w:type="paragraph" w:styleId="980">
    <w:name w:val="标题1"/>
    <w:basedOn w:val="653"/>
    <w:next w:val="653"/>
    <w:link w:val="65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name w:val="修订1"/>
    <w:next w:val="981"/>
    <w:link w:val="653"/>
    <w:uiPriority w:val="99"/>
    <w:semiHidden/>
    <w:qFormat/>
    <w:rPr>
      <w:rFonts w:ascii="Times New Roman" w:hAnsi="Times New Roman"/>
      <w:sz w:val="21"/>
      <w:szCs w:val="21"/>
      <w:lang w:val="en-US" w:eastAsia="zh-CN" w:bidi="ar-SA"/>
    </w:rPr>
  </w:style>
  <w:style w:type="paragraph" w:styleId="982">
    <w:name w:val="正文1"/>
    <w:basedOn w:val="653"/>
    <w:next w:val="653"/>
    <w:link w:val="653"/>
    <w:uiPriority w:val="99"/>
    <w:qFormat/>
    <w:pPr>
      <w:ind w:firstLine="480"/>
      <w:spacing w:line="440" w:lineRule="exact"/>
    </w:pPr>
    <w:rPr>
      <w:rFonts w:ascii="微软雅黑" w:hAnsi="微软雅黑" w:eastAsia="微软雅黑"/>
      <w:sz w:val="24"/>
      <w:szCs w:val="20"/>
    </w:rPr>
  </w:style>
  <w:style w:type="table" w:styleId="983">
    <w:name w:val="网格型1"/>
    <w:basedOn w:val="893"/>
    <w:next w:val="983"/>
    <w:link w:val="653"/>
    <w:qFormat/>
    <w:pPr>
      <w:jc w:val="both"/>
      <w:widowControl w:val="off"/>
    </w:pPr>
    <w:rPr>
      <w:rFonts w:ascii="Times New Roman" w:hAnsi="Times New Roman"/>
    </w:rPr>
    <w:tblPr/>
  </w:style>
  <w:style w:type="character" w:styleId="984">
    <w:name w:val="正文文本 Char1"/>
    <w:next w:val="984"/>
    <w:link w:val="653"/>
    <w:uiPriority w:val="99"/>
    <w:semiHidden/>
    <w:qFormat/>
    <w:rPr>
      <w:rFonts w:ascii="Times New Roman" w:hAnsi="Times New Roman"/>
      <w:sz w:val="21"/>
      <w:szCs w:val="21"/>
    </w:rPr>
  </w:style>
  <w:style w:type="paragraph" w:styleId="985">
    <w:name w:val="正文2"/>
    <w:basedOn w:val="653"/>
    <w:next w:val="985"/>
    <w:link w:val="653"/>
    <w:qFormat/>
    <w:pPr>
      <w:spacing w:line="360" w:lineRule="auto"/>
      <w:tabs>
        <w:tab w:val="left" w:pos="6480" w:leader="none"/>
      </w:tabs>
    </w:pPr>
    <w:rPr>
      <w:sz w:val="24"/>
      <w:szCs w:val="24"/>
    </w:rPr>
  </w:style>
  <w:style w:type="paragraph" w:styleId="986">
    <w:name w:val="1 正文"/>
    <w:basedOn w:val="653"/>
    <w:next w:val="986"/>
    <w:link w:val="653"/>
    <w:qFormat/>
    <w:pPr>
      <w:ind w:firstLine="420"/>
      <w:spacing w:line="360" w:lineRule="auto"/>
    </w:pPr>
    <w:rPr>
      <w:rFonts w:ascii="宋体" w:hAnsi="宋体"/>
      <w:sz w:val="24"/>
      <w:szCs w:val="24"/>
    </w:rPr>
  </w:style>
  <w:style w:type="paragraph" w:styleId="987">
    <w:name w:val="A正文"/>
    <w:basedOn w:val="653"/>
    <w:next w:val="987"/>
    <w:link w:val="653"/>
    <w:qFormat/>
    <w:pPr>
      <w:ind w:firstLine="200"/>
      <w:spacing w:line="360" w:lineRule="auto"/>
    </w:pPr>
    <w:rPr>
      <w:rFonts w:cs="宋体"/>
      <w:sz w:val="24"/>
      <w:szCs w:val="28"/>
    </w:rPr>
  </w:style>
  <w:style w:type="paragraph" w:styleId="988">
    <w:name w:val="列出段落11"/>
    <w:next w:val="988"/>
    <w:link w:val="653"/>
    <w:uiPriority w:val="34"/>
    <w:qFormat/>
    <w:pPr>
      <w:ind w:firstLine="420"/>
      <w:jc w:val="both"/>
      <w:widowControl w:val="off"/>
    </w:pPr>
    <w:rPr>
      <w:rFonts w:ascii="宋体" w:hAnsi="宋体"/>
      <w:sz w:val="24"/>
      <w:szCs w:val="24"/>
      <w:lang w:val="en-US" w:eastAsia="zh-CN" w:bidi="ar-SA"/>
    </w:rPr>
  </w:style>
  <w:style w:type="paragraph" w:styleId="989">
    <w:name w:val="列表段落1"/>
    <w:next w:val="989"/>
    <w:link w:val="653"/>
    <w:uiPriority w:val="34"/>
    <w:qFormat/>
    <w:pPr>
      <w:ind w:firstLine="420"/>
      <w:jc w:val="both"/>
      <w:widowControl w:val="off"/>
    </w:pPr>
    <w:rPr>
      <w:rFonts w:ascii="Times New Roman" w:hAnsi="Times New Roman"/>
      <w:sz w:val="21"/>
      <w:szCs w:val="24"/>
      <w:lang w:val="en-US" w:eastAsia="zh-CN" w:bidi="ar-SA"/>
    </w:rPr>
  </w:style>
  <w:style w:type="paragraph" w:styleId="990">
    <w:name w:val="UserStyle_16"/>
    <w:next w:val="990"/>
    <w:link w:val="653"/>
    <w:qFormat/>
    <w:pPr>
      <w:ind w:firstLine="283"/>
      <w:jc w:val="both"/>
      <w:spacing w:line="360" w:lineRule="auto"/>
    </w:pPr>
    <w:rPr>
      <w:rFonts w:ascii="宋体" w:hAnsi="宋体"/>
      <w:sz w:val="24"/>
      <w:szCs w:val="21"/>
      <w:lang w:val="en-US" w:eastAsia="zh-CN" w:bidi="ar-SA"/>
    </w:rPr>
  </w:style>
  <w:style w:type="character" w:styleId="991">
    <w:name w:val="UserStyle_11"/>
    <w:next w:val="991"/>
    <w:link w:val="653"/>
    <w:qFormat/>
    <w:rPr>
      <w:sz w:val="21"/>
      <w:szCs w:val="21"/>
      <w:lang w:val="en-US" w:eastAsia="zh-CN" w:bidi="ar-SA"/>
    </w:rPr>
  </w:style>
  <w:style w:type="character" w:styleId="992">
    <w:name w:val="NormalCharacter1"/>
    <w:next w:val="992"/>
    <w:link w:val="653"/>
    <w:qFormat/>
  </w:style>
  <w:style w:type="character" w:styleId="993">
    <w:name w:val="批注文字 Char1"/>
    <w:next w:val="993"/>
    <w:link w:val="653"/>
    <w:uiPriority w:val="99"/>
    <w:semiHidden/>
    <w:rPr>
      <w:rFonts w:ascii="Times New Roman" w:hAnsi="Times New Roman"/>
      <w:sz w:val="21"/>
      <w:szCs w:val="21"/>
    </w:rPr>
  </w:style>
  <w:style w:type="character" w:styleId="994">
    <w:name w:val="正文首行缩进 2 Char1"/>
    <w:next w:val="994"/>
    <w:link w:val="653"/>
    <w:uiPriority w:val="99"/>
    <w:semiHidden/>
    <w:rPr>
      <w:rFonts w:cs="Calibri"/>
    </w:rPr>
  </w:style>
  <w:style w:type="paragraph" w:styleId="995">
    <w:name w:val="正文3"/>
    <w:next w:val="995"/>
    <w:link w:val="653"/>
    <w:pPr>
      <w:jc w:val="both"/>
    </w:pPr>
    <w:rPr>
      <w:rFonts w:cs="Calibri"/>
      <w:sz w:val="21"/>
      <w:szCs w:val="21"/>
      <w:lang w:val="en-US" w:eastAsia="zh-CN" w:bidi="ar-SA"/>
    </w:rPr>
  </w:style>
  <w:style w:type="character" w:styleId="996">
    <w:name w:val="纯文本 Char1"/>
    <w:next w:val="996"/>
    <w:link w:val="653"/>
    <w:uiPriority w:val="99"/>
    <w:semiHidden/>
    <w:rPr>
      <w:rFonts w:ascii="宋体" w:hAnsi="Courier New" w:eastAsia="宋体" w:cs="Courier New"/>
      <w:szCs w:val="21"/>
    </w:rPr>
  </w:style>
  <w:style w:type="character" w:styleId="997">
    <w:name w:val="font61"/>
    <w:next w:val="997"/>
    <w:link w:val="653"/>
    <w:qFormat/>
    <w:rPr>
      <w:rFonts w:hint="eastAsia" w:ascii="宋体" w:hAnsi="宋体" w:eastAsia="宋体" w:cs="宋体"/>
      <w:color w:val="000000"/>
      <w:sz w:val="21"/>
      <w:szCs w:val="21"/>
      <w:u w:val="none"/>
    </w:rPr>
  </w:style>
  <w:style w:type="character" w:styleId="998">
    <w:name w:val="纯文本 Char3"/>
    <w:next w:val="998"/>
    <w:link w:val="653"/>
    <w:uiPriority w:val="99"/>
    <w:semiHidden/>
    <w:rPr>
      <w:rFonts w:ascii="宋体" w:hAnsi="Courier New" w:cs="Courier New"/>
      <w:sz w:val="21"/>
      <w:szCs w:val="21"/>
    </w:rPr>
  </w:style>
  <w:style w:type="character" w:styleId="999">
    <w:name w:val="批注主题 Char1"/>
    <w:next w:val="999"/>
    <w:link w:val="653"/>
    <w:uiPriority w:val="99"/>
    <w:semiHidden/>
    <w:rPr>
      <w:rFonts w:ascii="Times New Roman" w:hAnsi="Times New Roman" w:cs="Calibri"/>
      <w:b/>
      <w:bCs/>
      <w:sz w:val="21"/>
      <w:szCs w:val="21"/>
    </w:rPr>
  </w:style>
  <w:style w:type="paragraph" w:styleId="1000">
    <w:name w:val="Revision"/>
    <w:next w:val="1000"/>
    <w:link w:val="653"/>
    <w:uiPriority w:val="99"/>
    <w:unhideWhenUsed/>
    <w:rPr>
      <w:sz w:val="21"/>
      <w:szCs w:val="24"/>
      <w:lang w:val="en-US" w:eastAsia="zh-CN" w:bidi="ar-SA"/>
    </w:rPr>
  </w:style>
  <w:style w:type="paragraph" w:styleId="1001">
    <w:name w:val="List Paragraph"/>
    <w:basedOn w:val="653"/>
    <w:next w:val="1001"/>
    <w:link w:val="653"/>
    <w:pPr>
      <w:ind w:firstLine="420"/>
    </w:pPr>
    <w:rPr>
      <w:rFonts w:ascii="Calibri" w:hAnsi="Calibri" w:cs="Calibri"/>
    </w:rPr>
  </w:style>
  <w:style w:type="character" w:styleId="19235" w:default="1">
    <w:name w:val="Default Paragraph Font"/>
    <w:uiPriority w:val="1"/>
    <w:semiHidden/>
    <w:unhideWhenUsed/>
  </w:style>
  <w:style w:type="numbering" w:styleId="19236" w:default="1">
    <w:name w:val="No List"/>
    <w:uiPriority w:val="99"/>
    <w:semiHidden/>
    <w:unhideWhenUsed/>
  </w:style>
  <w:style w:type="table" w:styleId="19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9</cp:revision>
  <dcterms:created xsi:type="dcterms:W3CDTF">2024-07-23T01:30:00Z</dcterms:created>
  <dcterms:modified xsi:type="dcterms:W3CDTF">2024-07-25T01:25:13Z</dcterms:modified>
  <cp:version>917504</cp:version>
</cp:coreProperties>
</file>