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60BE" w14:textId="77777777" w:rsidR="00E54C96" w:rsidRPr="003866E8" w:rsidRDefault="00E54C96" w:rsidP="00E54C96">
      <w:pPr>
        <w:pStyle w:val="ae"/>
        <w:spacing w:line="273" w:lineRule="auto"/>
        <w:ind w:left="300" w:right="619" w:firstLine="440"/>
        <w:jc w:val="center"/>
        <w:rPr>
          <w:sz w:val="24"/>
        </w:rPr>
      </w:pPr>
      <w:r w:rsidRPr="003866E8">
        <w:rPr>
          <w:rFonts w:ascii="SimSun,Bold" w:eastAsia="SimSun,Bold" w:hAnsi="Calibri" w:cs="SimSun,Bold" w:hint="eastAsia"/>
          <w:b/>
          <w:bCs/>
          <w:sz w:val="31"/>
          <w:szCs w:val="31"/>
        </w:rPr>
        <w:t>检测费用汇总表（采购包1</w:t>
      </w:r>
      <w:r w:rsidRPr="003866E8">
        <w:rPr>
          <w:rFonts w:ascii="SimSun,Bold" w:eastAsia="SimSun,Bold" w:hAnsi="Calibri" w:cs="SimSun,Bold"/>
          <w:b/>
          <w:bCs/>
          <w:sz w:val="31"/>
          <w:szCs w:val="31"/>
        </w:rPr>
        <w:t>）</w:t>
      </w:r>
    </w:p>
    <w:p w14:paraId="52E54405" w14:textId="77777777" w:rsidR="00E54C96" w:rsidRPr="003866E8" w:rsidRDefault="00E54C96" w:rsidP="00E54C96">
      <w:pPr>
        <w:rPr>
          <w:rFonts w:hint="eastAsia"/>
        </w:rPr>
      </w:pPr>
      <w:r w:rsidRPr="003866E8">
        <w:rPr>
          <w:rFonts w:hint="eastAsia"/>
        </w:rPr>
        <w:t>项目名称：盐城市</w:t>
      </w:r>
      <w:r w:rsidRPr="003866E8">
        <w:rPr>
          <w:rFonts w:hint="eastAsia"/>
        </w:rPr>
        <w:t>2025-2026</w:t>
      </w:r>
      <w:r w:rsidRPr="003866E8">
        <w:rPr>
          <w:rFonts w:hint="eastAsia"/>
        </w:rPr>
        <w:t>年普通国省道桥梁定期检查服务项目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gridCol w:w="4536"/>
        <w:gridCol w:w="3090"/>
      </w:tblGrid>
      <w:tr w:rsidR="00E54C96" w:rsidRPr="003866E8" w14:paraId="74EA679F" w14:textId="77777777" w:rsidTr="00C10C08">
        <w:trPr>
          <w:trHeight w:hRule="exact" w:val="454"/>
          <w:tblHeader/>
          <w:jc w:val="center"/>
        </w:trPr>
        <w:tc>
          <w:tcPr>
            <w:tcW w:w="1081" w:type="pct"/>
            <w:vAlign w:val="center"/>
          </w:tcPr>
          <w:p w14:paraId="406F5C57" w14:textId="77777777" w:rsidR="00E54C96" w:rsidRPr="003866E8" w:rsidRDefault="00E54C96" w:rsidP="00C10C08">
            <w:pPr>
              <w:snapToGrid w:val="0"/>
              <w:jc w:val="center"/>
              <w:rPr>
                <w:b/>
                <w:bCs/>
              </w:rPr>
            </w:pPr>
            <w:r w:rsidRPr="003866E8">
              <w:rPr>
                <w:rFonts w:hint="eastAsia"/>
                <w:b/>
                <w:bCs/>
              </w:rPr>
              <w:t>序号</w:t>
            </w:r>
          </w:p>
        </w:tc>
        <w:tc>
          <w:tcPr>
            <w:tcW w:w="2331" w:type="pct"/>
            <w:vAlign w:val="center"/>
          </w:tcPr>
          <w:p w14:paraId="0B365E5C" w14:textId="77777777" w:rsidR="00E54C96" w:rsidRPr="003866E8" w:rsidRDefault="00E54C96" w:rsidP="00C10C08">
            <w:pPr>
              <w:snapToGrid w:val="0"/>
              <w:jc w:val="center"/>
              <w:rPr>
                <w:rFonts w:hint="eastAsia"/>
                <w:b/>
                <w:bCs/>
              </w:rPr>
            </w:pPr>
            <w:r w:rsidRPr="003866E8">
              <w:rPr>
                <w:rFonts w:hint="eastAsia"/>
                <w:b/>
                <w:bCs/>
              </w:rPr>
              <w:t>名称</w:t>
            </w:r>
          </w:p>
        </w:tc>
        <w:tc>
          <w:tcPr>
            <w:tcW w:w="1589" w:type="pct"/>
            <w:vAlign w:val="center"/>
          </w:tcPr>
          <w:p w14:paraId="3FCEA05A" w14:textId="77777777" w:rsidR="00E54C96" w:rsidRPr="003866E8" w:rsidRDefault="00E54C96" w:rsidP="00C10C08">
            <w:pPr>
              <w:snapToGrid w:val="0"/>
              <w:jc w:val="center"/>
              <w:rPr>
                <w:b/>
                <w:bCs/>
              </w:rPr>
            </w:pPr>
            <w:r w:rsidRPr="003866E8">
              <w:rPr>
                <w:rFonts w:hint="eastAsia"/>
                <w:b/>
                <w:bCs/>
              </w:rPr>
              <w:t>价格（元）</w:t>
            </w:r>
          </w:p>
        </w:tc>
      </w:tr>
      <w:tr w:rsidR="00E54C96" w:rsidRPr="003866E8" w14:paraId="1E4F3302" w14:textId="77777777" w:rsidTr="00C10C08">
        <w:trPr>
          <w:trHeight w:hRule="exact" w:val="454"/>
          <w:jc w:val="center"/>
        </w:trPr>
        <w:tc>
          <w:tcPr>
            <w:tcW w:w="1081" w:type="pct"/>
            <w:vAlign w:val="center"/>
          </w:tcPr>
          <w:p w14:paraId="5F96312D" w14:textId="77777777" w:rsidR="00E54C96" w:rsidRPr="003866E8" w:rsidRDefault="00E54C96" w:rsidP="00C10C08">
            <w:pPr>
              <w:snapToGrid w:val="0"/>
              <w:jc w:val="center"/>
              <w:rPr>
                <w:rFonts w:hint="eastAsia"/>
                <w:b/>
                <w:bCs/>
              </w:rPr>
            </w:pPr>
            <w:proofErr w:type="gramStart"/>
            <w:r w:rsidRPr="003866E8">
              <w:rPr>
                <w:rFonts w:hint="eastAsia"/>
                <w:b/>
                <w:bCs/>
              </w:rPr>
              <w:t>一</w:t>
            </w:r>
            <w:proofErr w:type="gramEnd"/>
          </w:p>
        </w:tc>
        <w:tc>
          <w:tcPr>
            <w:tcW w:w="2331" w:type="pct"/>
            <w:vAlign w:val="center"/>
          </w:tcPr>
          <w:p w14:paraId="1FE97347" w14:textId="77777777" w:rsidR="00E54C96" w:rsidRPr="003866E8" w:rsidRDefault="00E54C96" w:rsidP="00C10C08">
            <w:pPr>
              <w:snapToGrid w:val="0"/>
              <w:rPr>
                <w:rFonts w:hint="eastAsia"/>
              </w:rPr>
            </w:pPr>
            <w:r w:rsidRPr="003866E8">
              <w:rPr>
                <w:rFonts w:hint="eastAsia"/>
              </w:rPr>
              <w:t>2</w:t>
            </w:r>
            <w:r w:rsidRPr="003866E8">
              <w:t>02</w:t>
            </w:r>
            <w:r w:rsidRPr="003866E8">
              <w:rPr>
                <w:rFonts w:hint="eastAsia"/>
              </w:rPr>
              <w:t>5</w:t>
            </w:r>
            <w:r w:rsidRPr="003866E8">
              <w:t>年桥梁定期</w:t>
            </w:r>
            <w:r w:rsidRPr="003866E8">
              <w:rPr>
                <w:rFonts w:hint="eastAsia"/>
              </w:rPr>
              <w:t>检查</w:t>
            </w:r>
            <w:r w:rsidRPr="003866E8">
              <w:t>服务费</w:t>
            </w:r>
          </w:p>
        </w:tc>
        <w:tc>
          <w:tcPr>
            <w:tcW w:w="1589" w:type="pct"/>
            <w:vAlign w:val="center"/>
          </w:tcPr>
          <w:p w14:paraId="59F81BCB" w14:textId="77777777" w:rsidR="00E54C96" w:rsidRPr="003866E8" w:rsidRDefault="00E54C96" w:rsidP="00C10C08">
            <w:pPr>
              <w:snapToGrid w:val="0"/>
              <w:jc w:val="center"/>
            </w:pPr>
          </w:p>
        </w:tc>
      </w:tr>
      <w:tr w:rsidR="00E54C96" w:rsidRPr="003866E8" w14:paraId="210206F9" w14:textId="77777777" w:rsidTr="00C10C08">
        <w:trPr>
          <w:trHeight w:hRule="exact" w:val="454"/>
          <w:jc w:val="center"/>
        </w:trPr>
        <w:tc>
          <w:tcPr>
            <w:tcW w:w="1081" w:type="pct"/>
            <w:vAlign w:val="center"/>
          </w:tcPr>
          <w:p w14:paraId="5F649BA8" w14:textId="77777777" w:rsidR="00E54C96" w:rsidRPr="003866E8" w:rsidRDefault="00E54C96" w:rsidP="00C10C08">
            <w:pPr>
              <w:snapToGrid w:val="0"/>
              <w:jc w:val="center"/>
              <w:rPr>
                <w:rFonts w:hint="eastAsia"/>
                <w:b/>
                <w:bCs/>
              </w:rPr>
            </w:pPr>
            <w:r w:rsidRPr="003866E8">
              <w:rPr>
                <w:rFonts w:hint="eastAsia"/>
                <w:b/>
                <w:bCs/>
              </w:rPr>
              <w:t>二</w:t>
            </w:r>
          </w:p>
        </w:tc>
        <w:tc>
          <w:tcPr>
            <w:tcW w:w="2331" w:type="pct"/>
            <w:vAlign w:val="center"/>
          </w:tcPr>
          <w:p w14:paraId="31B46442" w14:textId="77777777" w:rsidR="00E54C96" w:rsidRPr="003866E8" w:rsidRDefault="00E54C96" w:rsidP="00C10C08">
            <w:pPr>
              <w:snapToGrid w:val="0"/>
              <w:rPr>
                <w:rFonts w:hint="eastAsia"/>
              </w:rPr>
            </w:pPr>
            <w:r w:rsidRPr="003866E8">
              <w:rPr>
                <w:rFonts w:hint="eastAsia"/>
              </w:rPr>
              <w:t>2</w:t>
            </w:r>
            <w:r w:rsidRPr="003866E8">
              <w:t>02</w:t>
            </w:r>
            <w:r w:rsidRPr="003866E8">
              <w:rPr>
                <w:rFonts w:hint="eastAsia"/>
              </w:rPr>
              <w:t>6</w:t>
            </w:r>
            <w:r w:rsidRPr="003866E8">
              <w:t>年桥梁定期</w:t>
            </w:r>
            <w:r w:rsidRPr="003866E8">
              <w:rPr>
                <w:rFonts w:hint="eastAsia"/>
              </w:rPr>
              <w:t>检查</w:t>
            </w:r>
            <w:r w:rsidRPr="003866E8">
              <w:t>服务费</w:t>
            </w:r>
          </w:p>
        </w:tc>
        <w:tc>
          <w:tcPr>
            <w:tcW w:w="1589" w:type="pct"/>
            <w:vAlign w:val="center"/>
          </w:tcPr>
          <w:p w14:paraId="707704DA" w14:textId="77777777" w:rsidR="00E54C96" w:rsidRPr="003866E8" w:rsidRDefault="00E54C96" w:rsidP="00C10C08">
            <w:pPr>
              <w:snapToGrid w:val="0"/>
              <w:jc w:val="center"/>
            </w:pPr>
          </w:p>
        </w:tc>
      </w:tr>
      <w:tr w:rsidR="00E54C96" w:rsidRPr="003866E8" w14:paraId="2FEC08E2" w14:textId="77777777" w:rsidTr="00C10C08">
        <w:trPr>
          <w:trHeight w:hRule="exact" w:val="454"/>
          <w:jc w:val="center"/>
        </w:trPr>
        <w:tc>
          <w:tcPr>
            <w:tcW w:w="1081" w:type="pct"/>
            <w:vAlign w:val="center"/>
          </w:tcPr>
          <w:p w14:paraId="65D247F6" w14:textId="77777777" w:rsidR="00E54C96" w:rsidRPr="003866E8" w:rsidRDefault="00E54C96" w:rsidP="00C10C08">
            <w:pPr>
              <w:snapToGrid w:val="0"/>
              <w:jc w:val="center"/>
              <w:rPr>
                <w:rFonts w:hint="eastAsia"/>
                <w:b/>
                <w:bCs/>
              </w:rPr>
            </w:pPr>
            <w:r w:rsidRPr="003866E8">
              <w:rPr>
                <w:rFonts w:hint="eastAsia"/>
                <w:b/>
                <w:bCs/>
              </w:rPr>
              <w:t>三</w:t>
            </w:r>
          </w:p>
        </w:tc>
        <w:tc>
          <w:tcPr>
            <w:tcW w:w="2331" w:type="pct"/>
            <w:vAlign w:val="center"/>
          </w:tcPr>
          <w:p w14:paraId="4F1F8979" w14:textId="77777777" w:rsidR="00E54C96" w:rsidRPr="003866E8" w:rsidRDefault="00E54C96" w:rsidP="00C10C08">
            <w:pPr>
              <w:snapToGrid w:val="0"/>
              <w:rPr>
                <w:rFonts w:hint="eastAsia"/>
              </w:rPr>
            </w:pPr>
            <w:r w:rsidRPr="003866E8">
              <w:rPr>
                <w:rFonts w:hint="eastAsia"/>
              </w:rPr>
              <w:t>2025-2026</w:t>
            </w:r>
            <w:r w:rsidRPr="003866E8">
              <w:rPr>
                <w:rFonts w:hint="eastAsia"/>
              </w:rPr>
              <w:t>年度桥梁养护科学决策服务费</w:t>
            </w:r>
          </w:p>
        </w:tc>
        <w:tc>
          <w:tcPr>
            <w:tcW w:w="1589" w:type="pct"/>
            <w:vAlign w:val="center"/>
          </w:tcPr>
          <w:p w14:paraId="07E9D063" w14:textId="77777777" w:rsidR="00E54C96" w:rsidRPr="003866E8" w:rsidRDefault="00E54C96" w:rsidP="00C10C08">
            <w:pPr>
              <w:snapToGrid w:val="0"/>
              <w:jc w:val="center"/>
            </w:pPr>
          </w:p>
        </w:tc>
      </w:tr>
      <w:tr w:rsidR="00E54C96" w:rsidRPr="003866E8" w14:paraId="04179E68" w14:textId="77777777" w:rsidTr="00C10C08">
        <w:trPr>
          <w:trHeight w:hRule="exact" w:val="454"/>
          <w:jc w:val="center"/>
        </w:trPr>
        <w:tc>
          <w:tcPr>
            <w:tcW w:w="1081" w:type="pct"/>
            <w:vAlign w:val="center"/>
          </w:tcPr>
          <w:p w14:paraId="0D1D924F" w14:textId="77777777" w:rsidR="00E54C96" w:rsidRPr="003866E8" w:rsidRDefault="00E54C96" w:rsidP="00C10C08">
            <w:pPr>
              <w:snapToGrid w:val="0"/>
              <w:jc w:val="center"/>
              <w:rPr>
                <w:rFonts w:hint="eastAsia"/>
              </w:rPr>
            </w:pPr>
            <w:r w:rsidRPr="003866E8">
              <w:rPr>
                <w:rFonts w:hint="eastAsia"/>
              </w:rPr>
              <w:t>四</w:t>
            </w:r>
          </w:p>
        </w:tc>
        <w:tc>
          <w:tcPr>
            <w:tcW w:w="2331" w:type="pct"/>
            <w:vAlign w:val="center"/>
          </w:tcPr>
          <w:p w14:paraId="428289C3" w14:textId="77777777" w:rsidR="00E54C96" w:rsidRPr="003866E8" w:rsidRDefault="00E54C96" w:rsidP="00C10C08">
            <w:pPr>
              <w:snapToGrid w:val="0"/>
              <w:rPr>
                <w:rFonts w:hint="eastAsia"/>
              </w:rPr>
            </w:pPr>
            <w:r w:rsidRPr="003866E8">
              <w:rPr>
                <w:rFonts w:hint="eastAsia"/>
              </w:rPr>
              <w:t>投标报价总计（一）</w:t>
            </w:r>
            <w:r w:rsidRPr="003866E8">
              <w:rPr>
                <w:rFonts w:hint="eastAsia"/>
              </w:rPr>
              <w:t>+</w:t>
            </w:r>
            <w:r w:rsidRPr="003866E8">
              <w:rPr>
                <w:rFonts w:hint="eastAsia"/>
              </w:rPr>
              <w:t>（二）</w:t>
            </w:r>
            <w:r w:rsidRPr="003866E8">
              <w:rPr>
                <w:rFonts w:hint="eastAsia"/>
              </w:rPr>
              <w:t>+</w:t>
            </w:r>
            <w:r w:rsidRPr="003866E8">
              <w:rPr>
                <w:rFonts w:hint="eastAsia"/>
              </w:rPr>
              <w:t>（三）</w:t>
            </w:r>
          </w:p>
        </w:tc>
        <w:tc>
          <w:tcPr>
            <w:tcW w:w="1589" w:type="pct"/>
            <w:vAlign w:val="center"/>
          </w:tcPr>
          <w:p w14:paraId="24EBC5FF" w14:textId="77777777" w:rsidR="00E54C96" w:rsidRPr="003866E8" w:rsidRDefault="00E54C96" w:rsidP="00C10C08">
            <w:pPr>
              <w:snapToGrid w:val="0"/>
              <w:jc w:val="center"/>
            </w:pPr>
          </w:p>
        </w:tc>
      </w:tr>
    </w:tbl>
    <w:p w14:paraId="1924BC4C" w14:textId="77777777" w:rsidR="00E54C96" w:rsidRPr="003866E8" w:rsidRDefault="00E54C96" w:rsidP="00E54C96">
      <w:pPr>
        <w:spacing w:line="300" w:lineRule="auto"/>
        <w:ind w:firstLine="420"/>
        <w:rPr>
          <w:rFonts w:hint="eastAsia"/>
        </w:rPr>
      </w:pPr>
    </w:p>
    <w:p w14:paraId="31587226" w14:textId="77777777" w:rsidR="00E54C96" w:rsidRPr="003866E8" w:rsidRDefault="00E54C96" w:rsidP="00E54C96">
      <w:pPr>
        <w:pStyle w:val="ae"/>
        <w:spacing w:line="273" w:lineRule="auto"/>
        <w:ind w:left="300" w:right="619" w:firstLine="440"/>
        <w:rPr>
          <w:rFonts w:ascii="SimSun,Bold" w:eastAsia="SimSun,Bold" w:hAnsi="Calibri" w:cs="SimSun,Bold" w:hint="eastAsia"/>
          <w:b/>
          <w:bCs/>
          <w:sz w:val="31"/>
          <w:szCs w:val="31"/>
        </w:rPr>
      </w:pPr>
    </w:p>
    <w:p w14:paraId="291FDAAC" w14:textId="77777777" w:rsidR="00E54C96" w:rsidRPr="003866E8" w:rsidRDefault="00E54C96" w:rsidP="00E54C96">
      <w:pPr>
        <w:rPr>
          <w:rFonts w:ascii="SimSun,Bold" w:eastAsia="SimSun,Bold" w:hAnsi="Calibri" w:cs="SimSun,Bold" w:hint="eastAsia"/>
          <w:b/>
          <w:bCs/>
          <w:sz w:val="31"/>
          <w:szCs w:val="31"/>
        </w:rPr>
        <w:sectPr w:rsidR="00E54C96" w:rsidRPr="003866E8" w:rsidSect="00E54C96">
          <w:headerReference w:type="default" r:id="rId4"/>
          <w:pgSz w:w="11906" w:h="16838"/>
          <w:pgMar w:top="1440" w:right="1083" w:bottom="1440" w:left="1083" w:header="851" w:footer="907" w:gutter="0"/>
          <w:pgNumType w:start="1"/>
          <w:cols w:space="720"/>
          <w:docGrid w:type="lines" w:linePitch="295"/>
        </w:sectPr>
      </w:pPr>
    </w:p>
    <w:p w14:paraId="4614BB2C" w14:textId="77777777" w:rsidR="00E54C96" w:rsidRPr="003866E8" w:rsidRDefault="00E54C96" w:rsidP="00E54C96">
      <w:pPr>
        <w:pStyle w:val="ae"/>
        <w:spacing w:line="273" w:lineRule="auto"/>
        <w:ind w:left="300" w:right="619" w:firstLine="440"/>
        <w:jc w:val="center"/>
        <w:rPr>
          <w:sz w:val="24"/>
        </w:rPr>
      </w:pPr>
      <w:r w:rsidRPr="003866E8">
        <w:rPr>
          <w:rFonts w:ascii="SimSun,Bold" w:eastAsia="SimSun,Bold" w:hAnsi="Calibri" w:cs="SimSun,Bold" w:hint="eastAsia"/>
          <w:b/>
          <w:bCs/>
          <w:sz w:val="31"/>
          <w:szCs w:val="31"/>
        </w:rPr>
        <w:lastRenderedPageBreak/>
        <w:t>检测费用汇总表（采购包2</w:t>
      </w:r>
      <w:r w:rsidRPr="003866E8">
        <w:rPr>
          <w:rFonts w:ascii="SimSun,Bold" w:eastAsia="SimSun,Bold" w:hAnsi="Calibri" w:cs="SimSun,Bold"/>
          <w:b/>
          <w:bCs/>
          <w:sz w:val="31"/>
          <w:szCs w:val="31"/>
        </w:rPr>
        <w:t>）</w:t>
      </w:r>
    </w:p>
    <w:p w14:paraId="245D53CA" w14:textId="77777777" w:rsidR="00E54C96" w:rsidRPr="003866E8" w:rsidRDefault="00E54C96" w:rsidP="00E54C96">
      <w:pPr>
        <w:rPr>
          <w:rFonts w:hint="eastAsia"/>
        </w:rPr>
      </w:pPr>
      <w:r w:rsidRPr="003866E8">
        <w:rPr>
          <w:rFonts w:hint="eastAsia"/>
        </w:rPr>
        <w:t>项目名称：盐城市</w:t>
      </w:r>
      <w:r w:rsidRPr="003866E8">
        <w:rPr>
          <w:rFonts w:hint="eastAsia"/>
        </w:rPr>
        <w:t>2025-2026</w:t>
      </w:r>
      <w:r w:rsidRPr="003866E8">
        <w:rPr>
          <w:rFonts w:hint="eastAsia"/>
        </w:rPr>
        <w:t>年普通国省道桥梁定期检查服务项目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3868"/>
        <w:gridCol w:w="2635"/>
      </w:tblGrid>
      <w:tr w:rsidR="00E54C96" w:rsidRPr="003866E8" w14:paraId="2D12DDC1" w14:textId="77777777" w:rsidTr="00C10C08">
        <w:trPr>
          <w:trHeight w:hRule="exact" w:val="454"/>
          <w:tblHeader/>
          <w:jc w:val="center"/>
        </w:trPr>
        <w:tc>
          <w:tcPr>
            <w:tcW w:w="1081" w:type="pct"/>
            <w:vAlign w:val="center"/>
          </w:tcPr>
          <w:p w14:paraId="2B6426D4" w14:textId="77777777" w:rsidR="00E54C96" w:rsidRPr="003866E8" w:rsidRDefault="00E54C96" w:rsidP="00C10C08">
            <w:pPr>
              <w:snapToGrid w:val="0"/>
              <w:jc w:val="center"/>
              <w:rPr>
                <w:b/>
                <w:bCs/>
              </w:rPr>
            </w:pPr>
            <w:r w:rsidRPr="003866E8">
              <w:rPr>
                <w:rFonts w:hint="eastAsia"/>
                <w:b/>
                <w:bCs/>
              </w:rPr>
              <w:t>序号</w:t>
            </w:r>
          </w:p>
        </w:tc>
        <w:tc>
          <w:tcPr>
            <w:tcW w:w="2331" w:type="pct"/>
            <w:vAlign w:val="center"/>
          </w:tcPr>
          <w:p w14:paraId="3C326091" w14:textId="77777777" w:rsidR="00E54C96" w:rsidRPr="003866E8" w:rsidRDefault="00E54C96" w:rsidP="00C10C08">
            <w:pPr>
              <w:snapToGrid w:val="0"/>
              <w:jc w:val="center"/>
              <w:rPr>
                <w:rFonts w:hint="eastAsia"/>
                <w:b/>
                <w:bCs/>
              </w:rPr>
            </w:pPr>
            <w:r w:rsidRPr="003866E8">
              <w:rPr>
                <w:rFonts w:hint="eastAsia"/>
                <w:b/>
                <w:bCs/>
              </w:rPr>
              <w:t>名称</w:t>
            </w:r>
          </w:p>
        </w:tc>
        <w:tc>
          <w:tcPr>
            <w:tcW w:w="1589" w:type="pct"/>
            <w:vAlign w:val="center"/>
          </w:tcPr>
          <w:p w14:paraId="73AF7470" w14:textId="77777777" w:rsidR="00E54C96" w:rsidRPr="003866E8" w:rsidRDefault="00E54C96" w:rsidP="00C10C08">
            <w:pPr>
              <w:snapToGrid w:val="0"/>
              <w:jc w:val="center"/>
              <w:rPr>
                <w:b/>
                <w:bCs/>
              </w:rPr>
            </w:pPr>
            <w:r w:rsidRPr="003866E8">
              <w:rPr>
                <w:rFonts w:hint="eastAsia"/>
                <w:b/>
                <w:bCs/>
              </w:rPr>
              <w:t>价格（元）</w:t>
            </w:r>
          </w:p>
        </w:tc>
      </w:tr>
      <w:tr w:rsidR="00E54C96" w:rsidRPr="003866E8" w14:paraId="40F9D081" w14:textId="77777777" w:rsidTr="00C10C08">
        <w:trPr>
          <w:trHeight w:hRule="exact" w:val="454"/>
          <w:jc w:val="center"/>
        </w:trPr>
        <w:tc>
          <w:tcPr>
            <w:tcW w:w="1081" w:type="pct"/>
            <w:vAlign w:val="center"/>
          </w:tcPr>
          <w:p w14:paraId="47D212B3" w14:textId="77777777" w:rsidR="00E54C96" w:rsidRPr="003866E8" w:rsidRDefault="00E54C96" w:rsidP="00C10C08">
            <w:pPr>
              <w:snapToGrid w:val="0"/>
              <w:jc w:val="center"/>
              <w:rPr>
                <w:rFonts w:hint="eastAsia"/>
                <w:b/>
                <w:bCs/>
              </w:rPr>
            </w:pPr>
            <w:proofErr w:type="gramStart"/>
            <w:r w:rsidRPr="003866E8">
              <w:rPr>
                <w:rFonts w:hint="eastAsia"/>
                <w:b/>
                <w:bCs/>
              </w:rPr>
              <w:t>一</w:t>
            </w:r>
            <w:proofErr w:type="gramEnd"/>
          </w:p>
        </w:tc>
        <w:tc>
          <w:tcPr>
            <w:tcW w:w="2331" w:type="pct"/>
            <w:vAlign w:val="center"/>
          </w:tcPr>
          <w:p w14:paraId="612431D8" w14:textId="77777777" w:rsidR="00E54C96" w:rsidRPr="003866E8" w:rsidRDefault="00E54C96" w:rsidP="00C10C08">
            <w:pPr>
              <w:snapToGrid w:val="0"/>
              <w:rPr>
                <w:rFonts w:hint="eastAsia"/>
              </w:rPr>
            </w:pPr>
            <w:r w:rsidRPr="003866E8">
              <w:rPr>
                <w:rFonts w:hint="eastAsia"/>
              </w:rPr>
              <w:t>2</w:t>
            </w:r>
            <w:r w:rsidRPr="003866E8">
              <w:t>02</w:t>
            </w:r>
            <w:r w:rsidRPr="003866E8">
              <w:rPr>
                <w:rFonts w:hint="eastAsia"/>
              </w:rPr>
              <w:t>5</w:t>
            </w:r>
            <w:r w:rsidRPr="003866E8">
              <w:t>年桥梁定期</w:t>
            </w:r>
            <w:r w:rsidRPr="003866E8">
              <w:rPr>
                <w:rFonts w:hint="eastAsia"/>
              </w:rPr>
              <w:t>检查</w:t>
            </w:r>
            <w:r w:rsidRPr="003866E8">
              <w:t>服务费</w:t>
            </w:r>
          </w:p>
        </w:tc>
        <w:tc>
          <w:tcPr>
            <w:tcW w:w="1589" w:type="pct"/>
            <w:vAlign w:val="center"/>
          </w:tcPr>
          <w:p w14:paraId="44991CFC" w14:textId="77777777" w:rsidR="00E54C96" w:rsidRPr="003866E8" w:rsidRDefault="00E54C96" w:rsidP="00C10C08">
            <w:pPr>
              <w:snapToGrid w:val="0"/>
              <w:jc w:val="center"/>
            </w:pPr>
          </w:p>
        </w:tc>
      </w:tr>
      <w:tr w:rsidR="00E54C96" w:rsidRPr="003866E8" w14:paraId="47D87994" w14:textId="77777777" w:rsidTr="00C10C08">
        <w:trPr>
          <w:trHeight w:hRule="exact" w:val="454"/>
          <w:jc w:val="center"/>
        </w:trPr>
        <w:tc>
          <w:tcPr>
            <w:tcW w:w="1081" w:type="pct"/>
            <w:vAlign w:val="center"/>
          </w:tcPr>
          <w:p w14:paraId="4AC0C05A" w14:textId="77777777" w:rsidR="00E54C96" w:rsidRPr="003866E8" w:rsidRDefault="00E54C96" w:rsidP="00C10C08">
            <w:pPr>
              <w:snapToGrid w:val="0"/>
              <w:jc w:val="center"/>
              <w:rPr>
                <w:rFonts w:hint="eastAsia"/>
                <w:b/>
                <w:bCs/>
              </w:rPr>
            </w:pPr>
            <w:r w:rsidRPr="003866E8">
              <w:rPr>
                <w:rFonts w:hint="eastAsia"/>
                <w:b/>
                <w:bCs/>
              </w:rPr>
              <w:t>二</w:t>
            </w:r>
          </w:p>
        </w:tc>
        <w:tc>
          <w:tcPr>
            <w:tcW w:w="2331" w:type="pct"/>
            <w:vAlign w:val="center"/>
          </w:tcPr>
          <w:p w14:paraId="5FA00E37" w14:textId="77777777" w:rsidR="00E54C96" w:rsidRPr="003866E8" w:rsidRDefault="00E54C96" w:rsidP="00C10C08">
            <w:pPr>
              <w:snapToGrid w:val="0"/>
              <w:rPr>
                <w:rFonts w:hint="eastAsia"/>
              </w:rPr>
            </w:pPr>
            <w:r w:rsidRPr="003866E8">
              <w:rPr>
                <w:rFonts w:hint="eastAsia"/>
              </w:rPr>
              <w:t>2</w:t>
            </w:r>
            <w:r w:rsidRPr="003866E8">
              <w:t>02</w:t>
            </w:r>
            <w:r w:rsidRPr="003866E8">
              <w:rPr>
                <w:rFonts w:hint="eastAsia"/>
              </w:rPr>
              <w:t>6</w:t>
            </w:r>
            <w:r w:rsidRPr="003866E8">
              <w:t>年桥梁定期</w:t>
            </w:r>
            <w:r w:rsidRPr="003866E8">
              <w:rPr>
                <w:rFonts w:hint="eastAsia"/>
              </w:rPr>
              <w:t>检查</w:t>
            </w:r>
            <w:r w:rsidRPr="003866E8">
              <w:t>服务费</w:t>
            </w:r>
          </w:p>
        </w:tc>
        <w:tc>
          <w:tcPr>
            <w:tcW w:w="1589" w:type="pct"/>
            <w:vAlign w:val="center"/>
          </w:tcPr>
          <w:p w14:paraId="1A4E45CD" w14:textId="77777777" w:rsidR="00E54C96" w:rsidRPr="003866E8" w:rsidRDefault="00E54C96" w:rsidP="00C10C08">
            <w:pPr>
              <w:snapToGrid w:val="0"/>
              <w:jc w:val="center"/>
            </w:pPr>
          </w:p>
        </w:tc>
      </w:tr>
      <w:tr w:rsidR="00E54C96" w:rsidRPr="003866E8" w14:paraId="17F23A7C" w14:textId="77777777" w:rsidTr="00C10C08">
        <w:trPr>
          <w:trHeight w:hRule="exact" w:val="454"/>
          <w:jc w:val="center"/>
        </w:trPr>
        <w:tc>
          <w:tcPr>
            <w:tcW w:w="1081" w:type="pct"/>
            <w:vAlign w:val="center"/>
          </w:tcPr>
          <w:p w14:paraId="56BCEDC5" w14:textId="77777777" w:rsidR="00E54C96" w:rsidRPr="003866E8" w:rsidRDefault="00E54C96" w:rsidP="00C10C08">
            <w:pPr>
              <w:snapToGrid w:val="0"/>
              <w:jc w:val="center"/>
              <w:rPr>
                <w:rFonts w:hint="eastAsia"/>
                <w:b/>
                <w:bCs/>
              </w:rPr>
            </w:pPr>
            <w:r w:rsidRPr="003866E8">
              <w:rPr>
                <w:rFonts w:hint="eastAsia"/>
                <w:b/>
                <w:bCs/>
              </w:rPr>
              <w:t>三</w:t>
            </w:r>
          </w:p>
        </w:tc>
        <w:tc>
          <w:tcPr>
            <w:tcW w:w="2331" w:type="pct"/>
            <w:vAlign w:val="center"/>
          </w:tcPr>
          <w:p w14:paraId="28FA7197" w14:textId="77777777" w:rsidR="00E54C96" w:rsidRPr="003866E8" w:rsidRDefault="00E54C96" w:rsidP="00C10C08">
            <w:pPr>
              <w:snapToGrid w:val="0"/>
              <w:rPr>
                <w:rFonts w:hint="eastAsia"/>
              </w:rPr>
            </w:pPr>
            <w:r w:rsidRPr="003866E8">
              <w:rPr>
                <w:rFonts w:hint="eastAsia"/>
              </w:rPr>
              <w:t>2025-2026</w:t>
            </w:r>
            <w:r w:rsidRPr="003866E8">
              <w:rPr>
                <w:rFonts w:hint="eastAsia"/>
              </w:rPr>
              <w:t>年度桥梁养护科学决策服务费</w:t>
            </w:r>
          </w:p>
        </w:tc>
        <w:tc>
          <w:tcPr>
            <w:tcW w:w="1589" w:type="pct"/>
            <w:vAlign w:val="center"/>
          </w:tcPr>
          <w:p w14:paraId="2AE46B39" w14:textId="77777777" w:rsidR="00E54C96" w:rsidRPr="003866E8" w:rsidRDefault="00E54C96" w:rsidP="00C10C08">
            <w:pPr>
              <w:snapToGrid w:val="0"/>
              <w:jc w:val="center"/>
            </w:pPr>
          </w:p>
        </w:tc>
      </w:tr>
      <w:tr w:rsidR="00E54C96" w:rsidRPr="003866E8" w14:paraId="5BC4FC59" w14:textId="77777777" w:rsidTr="00C10C08">
        <w:trPr>
          <w:trHeight w:hRule="exact" w:val="454"/>
          <w:jc w:val="center"/>
        </w:trPr>
        <w:tc>
          <w:tcPr>
            <w:tcW w:w="1081" w:type="pct"/>
            <w:vAlign w:val="center"/>
          </w:tcPr>
          <w:p w14:paraId="42BA532E" w14:textId="77777777" w:rsidR="00E54C96" w:rsidRPr="003866E8" w:rsidRDefault="00E54C96" w:rsidP="00C10C08">
            <w:pPr>
              <w:snapToGrid w:val="0"/>
              <w:jc w:val="center"/>
              <w:rPr>
                <w:rFonts w:hint="eastAsia"/>
              </w:rPr>
            </w:pPr>
            <w:r w:rsidRPr="003866E8">
              <w:rPr>
                <w:rFonts w:hint="eastAsia"/>
              </w:rPr>
              <w:t>四</w:t>
            </w:r>
          </w:p>
        </w:tc>
        <w:tc>
          <w:tcPr>
            <w:tcW w:w="2331" w:type="pct"/>
            <w:vAlign w:val="center"/>
          </w:tcPr>
          <w:p w14:paraId="0115E508" w14:textId="77777777" w:rsidR="00E54C96" w:rsidRPr="003866E8" w:rsidRDefault="00E54C96" w:rsidP="00C10C08">
            <w:pPr>
              <w:snapToGrid w:val="0"/>
              <w:rPr>
                <w:rFonts w:hint="eastAsia"/>
              </w:rPr>
            </w:pPr>
            <w:r w:rsidRPr="003866E8">
              <w:rPr>
                <w:rFonts w:hint="eastAsia"/>
              </w:rPr>
              <w:t>投标报价总计（一）</w:t>
            </w:r>
            <w:r w:rsidRPr="003866E8">
              <w:rPr>
                <w:rFonts w:hint="eastAsia"/>
              </w:rPr>
              <w:t>+</w:t>
            </w:r>
            <w:r w:rsidRPr="003866E8">
              <w:rPr>
                <w:rFonts w:hint="eastAsia"/>
              </w:rPr>
              <w:t>（二）</w:t>
            </w:r>
            <w:r w:rsidRPr="003866E8">
              <w:rPr>
                <w:rFonts w:hint="eastAsia"/>
              </w:rPr>
              <w:t>+</w:t>
            </w:r>
            <w:r w:rsidRPr="003866E8">
              <w:rPr>
                <w:rFonts w:hint="eastAsia"/>
              </w:rPr>
              <w:t>（三）</w:t>
            </w:r>
          </w:p>
        </w:tc>
        <w:tc>
          <w:tcPr>
            <w:tcW w:w="1589" w:type="pct"/>
            <w:vAlign w:val="center"/>
          </w:tcPr>
          <w:p w14:paraId="400004CD" w14:textId="77777777" w:rsidR="00E54C96" w:rsidRPr="003866E8" w:rsidRDefault="00E54C96" w:rsidP="00C10C08">
            <w:pPr>
              <w:snapToGrid w:val="0"/>
              <w:jc w:val="center"/>
            </w:pPr>
          </w:p>
        </w:tc>
      </w:tr>
    </w:tbl>
    <w:p w14:paraId="2F11B966" w14:textId="77777777" w:rsidR="00E54C96" w:rsidRPr="003866E8" w:rsidRDefault="00E54C96" w:rsidP="00E54C96">
      <w:pPr>
        <w:spacing w:before="40"/>
        <w:jc w:val="center"/>
        <w:rPr>
          <w:rFonts w:ascii="宋体" w:hAnsi="宋体"/>
          <w:b/>
          <w:sz w:val="28"/>
          <w:szCs w:val="28"/>
        </w:rPr>
      </w:pPr>
      <w:r w:rsidRPr="003866E8">
        <w:rPr>
          <w:rFonts w:ascii="宋体" w:hAnsi="宋体"/>
          <w:b/>
          <w:sz w:val="28"/>
          <w:szCs w:val="28"/>
        </w:rPr>
        <w:br w:type="page"/>
      </w:r>
      <w:r w:rsidRPr="003866E8">
        <w:rPr>
          <w:rFonts w:ascii="宋体" w:hAnsi="宋体"/>
          <w:b/>
          <w:sz w:val="28"/>
          <w:szCs w:val="28"/>
        </w:rPr>
        <w:lastRenderedPageBreak/>
        <w:t>工程量清单报价表说明</w:t>
      </w:r>
    </w:p>
    <w:p w14:paraId="56025A71" w14:textId="77777777" w:rsidR="00E54C96" w:rsidRPr="003866E8" w:rsidRDefault="00E54C96" w:rsidP="00E54C96">
      <w:pPr>
        <w:pStyle w:val="Default"/>
        <w:rPr>
          <w:rFonts w:hint="eastAsia"/>
          <w:color w:val="auto"/>
        </w:rPr>
      </w:pPr>
      <w:r w:rsidRPr="003866E8">
        <w:rPr>
          <w:color w:val="auto"/>
        </w:rPr>
        <w:t>一、报价分析表（</w:t>
      </w:r>
      <w:r w:rsidRPr="003866E8">
        <w:rPr>
          <w:rFonts w:hint="eastAsia"/>
          <w:color w:val="auto"/>
        </w:rPr>
        <w:t>详见清单构成表</w:t>
      </w:r>
      <w:r w:rsidRPr="003866E8">
        <w:rPr>
          <w:color w:val="auto"/>
        </w:rPr>
        <w:t>）</w:t>
      </w:r>
      <w:r w:rsidRPr="003866E8">
        <w:rPr>
          <w:color w:val="auto"/>
        </w:rPr>
        <w:t xml:space="preserve"> </w:t>
      </w:r>
    </w:p>
    <w:p w14:paraId="33547978" w14:textId="77777777" w:rsidR="00E54C96" w:rsidRPr="003866E8" w:rsidRDefault="00E54C96" w:rsidP="00E54C96">
      <w:pPr>
        <w:pStyle w:val="Default"/>
        <w:rPr>
          <w:color w:val="auto"/>
        </w:rPr>
      </w:pPr>
      <w:r w:rsidRPr="003866E8">
        <w:rPr>
          <w:color w:val="auto"/>
        </w:rPr>
        <w:t>二、关于报价清单的说明：</w:t>
      </w:r>
    </w:p>
    <w:p w14:paraId="4AC4B0F5" w14:textId="77777777" w:rsidR="00E54C96" w:rsidRPr="003866E8" w:rsidRDefault="00E54C96" w:rsidP="00E54C96">
      <w:pPr>
        <w:pStyle w:val="Default"/>
        <w:ind w:firstLineChars="200" w:firstLine="480"/>
        <w:rPr>
          <w:color w:val="auto"/>
        </w:rPr>
      </w:pPr>
      <w:r w:rsidRPr="003866E8">
        <w:rPr>
          <w:rFonts w:hint="eastAsia"/>
          <w:color w:val="auto"/>
        </w:rPr>
        <w:t>1.</w:t>
      </w:r>
      <w:r w:rsidRPr="003866E8">
        <w:rPr>
          <w:color w:val="auto"/>
        </w:rPr>
        <w:t>“</w:t>
      </w:r>
      <w:r w:rsidRPr="003866E8">
        <w:rPr>
          <w:color w:val="auto"/>
        </w:rPr>
        <w:t>工程量清单报价表</w:t>
      </w:r>
      <w:r w:rsidRPr="003866E8">
        <w:rPr>
          <w:color w:val="auto"/>
        </w:rPr>
        <w:t>”</w:t>
      </w:r>
      <w:r w:rsidRPr="003866E8">
        <w:rPr>
          <w:color w:val="auto"/>
        </w:rPr>
        <w:t>应与</w:t>
      </w:r>
      <w:r w:rsidRPr="003866E8">
        <w:rPr>
          <w:color w:val="auto"/>
        </w:rPr>
        <w:t>“</w:t>
      </w:r>
      <w:r w:rsidRPr="003866E8">
        <w:rPr>
          <w:color w:val="auto"/>
        </w:rPr>
        <w:t>投标须知</w:t>
      </w:r>
      <w:r w:rsidRPr="003866E8">
        <w:rPr>
          <w:color w:val="auto"/>
        </w:rPr>
        <w:t>”</w:t>
      </w:r>
      <w:r w:rsidRPr="003866E8">
        <w:rPr>
          <w:color w:val="auto"/>
        </w:rPr>
        <w:t>、</w:t>
      </w:r>
      <w:r w:rsidRPr="003866E8">
        <w:rPr>
          <w:color w:val="auto"/>
        </w:rPr>
        <w:t>“</w:t>
      </w:r>
      <w:r w:rsidRPr="003866E8">
        <w:rPr>
          <w:color w:val="auto"/>
        </w:rPr>
        <w:t>施工合同条款</w:t>
      </w:r>
      <w:r w:rsidRPr="003866E8">
        <w:rPr>
          <w:color w:val="auto"/>
        </w:rPr>
        <w:t>”</w:t>
      </w:r>
      <w:r w:rsidRPr="003866E8">
        <w:rPr>
          <w:color w:val="auto"/>
        </w:rPr>
        <w:t>一起使用。投标人应根据本招标项目具体情况和强制性要求，按照本招标文件规定的工作内容和工作量，认真阅读分析本招标项目原始资料，在编制完成技术标书的前提下，慎重提出</w:t>
      </w:r>
      <w:r w:rsidRPr="003866E8">
        <w:rPr>
          <w:color w:val="auto"/>
        </w:rPr>
        <w:t>“</w:t>
      </w:r>
      <w:r w:rsidRPr="003866E8">
        <w:rPr>
          <w:color w:val="auto"/>
        </w:rPr>
        <w:t>报价清单</w:t>
      </w:r>
      <w:r w:rsidRPr="003866E8">
        <w:rPr>
          <w:color w:val="auto"/>
        </w:rPr>
        <w:t>”</w:t>
      </w:r>
      <w:r w:rsidRPr="003866E8">
        <w:rPr>
          <w:color w:val="auto"/>
        </w:rPr>
        <w:t>。</w:t>
      </w:r>
    </w:p>
    <w:p w14:paraId="76C581F7" w14:textId="77777777" w:rsidR="00E54C96" w:rsidRPr="003866E8" w:rsidRDefault="00E54C96" w:rsidP="00E54C96">
      <w:pPr>
        <w:pStyle w:val="Default"/>
        <w:ind w:firstLineChars="200" w:firstLine="480"/>
        <w:rPr>
          <w:color w:val="auto"/>
        </w:rPr>
      </w:pPr>
      <w:r w:rsidRPr="003866E8">
        <w:rPr>
          <w:rFonts w:hint="eastAsia"/>
          <w:color w:val="auto"/>
        </w:rPr>
        <w:t>2.</w:t>
      </w:r>
      <w:r w:rsidRPr="003866E8">
        <w:rPr>
          <w:color w:val="auto"/>
        </w:rPr>
        <w:t>投标人应根据国家有关标准、规范、规程、定额等要求的内容和深度，开展招标项目的</w:t>
      </w:r>
      <w:r w:rsidRPr="003866E8">
        <w:rPr>
          <w:rFonts w:hint="eastAsia"/>
          <w:color w:val="auto"/>
        </w:rPr>
        <w:t>检测</w:t>
      </w:r>
      <w:r w:rsidRPr="003866E8">
        <w:rPr>
          <w:color w:val="auto"/>
        </w:rPr>
        <w:t>工作，并将相关费用计入报价中。</w:t>
      </w:r>
    </w:p>
    <w:p w14:paraId="1217CE34" w14:textId="77777777" w:rsidR="00E54C96" w:rsidRPr="003866E8" w:rsidRDefault="00E54C96" w:rsidP="00E54C96">
      <w:pPr>
        <w:pStyle w:val="Default"/>
        <w:ind w:firstLineChars="200" w:firstLine="480"/>
        <w:rPr>
          <w:color w:val="auto"/>
        </w:rPr>
      </w:pPr>
      <w:r w:rsidRPr="003866E8">
        <w:rPr>
          <w:rFonts w:hint="eastAsia"/>
          <w:color w:val="auto"/>
        </w:rPr>
        <w:t>3.</w:t>
      </w:r>
      <w:r w:rsidRPr="003866E8">
        <w:rPr>
          <w:color w:val="auto"/>
        </w:rPr>
        <w:t>子目名称中内容为完成该子目的全部内容</w:t>
      </w:r>
      <w:r w:rsidRPr="003866E8">
        <w:rPr>
          <w:rFonts w:hint="eastAsia"/>
          <w:color w:val="auto"/>
        </w:rPr>
        <w:t>，</w:t>
      </w:r>
      <w:r w:rsidRPr="003866E8">
        <w:rPr>
          <w:color w:val="auto"/>
        </w:rPr>
        <w:t>请投标人一并打入报价。</w:t>
      </w:r>
    </w:p>
    <w:p w14:paraId="364E62E7" w14:textId="77777777" w:rsidR="00E54C96" w:rsidRPr="003866E8" w:rsidRDefault="00E54C96" w:rsidP="00E54C96">
      <w:pPr>
        <w:pStyle w:val="Default"/>
        <w:ind w:firstLineChars="200" w:firstLine="480"/>
        <w:rPr>
          <w:color w:val="auto"/>
        </w:rPr>
      </w:pPr>
      <w:r w:rsidRPr="003866E8">
        <w:rPr>
          <w:rFonts w:hint="eastAsia"/>
          <w:color w:val="auto"/>
        </w:rPr>
        <w:t>4.</w:t>
      </w:r>
      <w:r w:rsidRPr="003866E8">
        <w:rPr>
          <w:color w:val="auto"/>
        </w:rPr>
        <w:t>招标人应在</w:t>
      </w:r>
      <w:r w:rsidRPr="003866E8">
        <w:rPr>
          <w:color w:val="auto"/>
        </w:rPr>
        <w:t>“</w:t>
      </w:r>
      <w:r w:rsidRPr="003866E8">
        <w:rPr>
          <w:color w:val="auto"/>
        </w:rPr>
        <w:t>报价分析表</w:t>
      </w:r>
      <w:r w:rsidRPr="003866E8">
        <w:rPr>
          <w:color w:val="auto"/>
        </w:rPr>
        <w:t>”</w:t>
      </w:r>
      <w:r w:rsidRPr="003866E8">
        <w:rPr>
          <w:color w:val="auto"/>
        </w:rPr>
        <w:t>中附详细的计算说明，包括计算方法、取费标准等，以便于招标人对投标人</w:t>
      </w:r>
      <w:r w:rsidRPr="003866E8">
        <w:rPr>
          <w:rFonts w:hint="eastAsia"/>
          <w:color w:val="auto"/>
        </w:rPr>
        <w:t>检测</w:t>
      </w:r>
      <w:r w:rsidRPr="003866E8">
        <w:rPr>
          <w:color w:val="auto"/>
        </w:rPr>
        <w:t>报价的合理性</w:t>
      </w:r>
      <w:proofErr w:type="gramStart"/>
      <w:r w:rsidRPr="003866E8">
        <w:rPr>
          <w:color w:val="auto"/>
        </w:rPr>
        <w:t>作出</w:t>
      </w:r>
      <w:proofErr w:type="gramEnd"/>
      <w:r w:rsidRPr="003866E8">
        <w:rPr>
          <w:color w:val="auto"/>
        </w:rPr>
        <w:t>判断。</w:t>
      </w:r>
    </w:p>
    <w:p w14:paraId="783512BA" w14:textId="77777777" w:rsidR="00E54C96" w:rsidRPr="003866E8" w:rsidRDefault="00E54C96" w:rsidP="00E54C96">
      <w:pPr>
        <w:pStyle w:val="Default"/>
        <w:ind w:firstLineChars="200" w:firstLine="480"/>
        <w:rPr>
          <w:color w:val="auto"/>
        </w:rPr>
      </w:pPr>
      <w:r w:rsidRPr="003866E8">
        <w:rPr>
          <w:rFonts w:hint="eastAsia"/>
          <w:color w:val="auto"/>
        </w:rPr>
        <w:t>5.</w:t>
      </w:r>
      <w:r w:rsidRPr="003866E8">
        <w:rPr>
          <w:color w:val="auto"/>
        </w:rPr>
        <w:t>为保证正常</w:t>
      </w:r>
      <w:r w:rsidRPr="003866E8">
        <w:rPr>
          <w:rFonts w:hint="eastAsia"/>
          <w:color w:val="auto"/>
        </w:rPr>
        <w:t>检测</w:t>
      </w:r>
      <w:r w:rsidRPr="003866E8">
        <w:rPr>
          <w:color w:val="auto"/>
        </w:rPr>
        <w:t>工作的顺利开展及</w:t>
      </w:r>
      <w:r w:rsidRPr="003866E8">
        <w:rPr>
          <w:rFonts w:hint="eastAsia"/>
          <w:color w:val="auto"/>
        </w:rPr>
        <w:t>检测</w:t>
      </w:r>
      <w:r w:rsidRPr="003866E8">
        <w:rPr>
          <w:color w:val="auto"/>
        </w:rPr>
        <w:t>工作的独立性，</w:t>
      </w:r>
      <w:r w:rsidRPr="003866E8">
        <w:rPr>
          <w:rFonts w:hint="eastAsia"/>
          <w:color w:val="auto"/>
        </w:rPr>
        <w:t>检测</w:t>
      </w:r>
      <w:r w:rsidRPr="003866E8">
        <w:rPr>
          <w:color w:val="auto"/>
        </w:rPr>
        <w:t>单位所需的生活、办公、实验场地等一切设施自行解决，业主不予提供，所需费用请打入报价。</w:t>
      </w:r>
    </w:p>
    <w:p w14:paraId="271C6F78" w14:textId="77777777" w:rsidR="00E54C96" w:rsidRPr="003866E8" w:rsidRDefault="00E54C96" w:rsidP="00E54C96">
      <w:pPr>
        <w:pStyle w:val="Default"/>
        <w:ind w:firstLineChars="200" w:firstLine="480"/>
        <w:rPr>
          <w:color w:val="auto"/>
        </w:rPr>
      </w:pPr>
      <w:r w:rsidRPr="003866E8">
        <w:rPr>
          <w:rFonts w:hint="eastAsia"/>
          <w:color w:val="auto"/>
        </w:rPr>
        <w:t>6.</w:t>
      </w:r>
      <w:r w:rsidRPr="003866E8">
        <w:rPr>
          <w:color w:val="auto"/>
        </w:rPr>
        <w:t>报价分析应包含</w:t>
      </w:r>
      <w:r w:rsidRPr="003866E8">
        <w:rPr>
          <w:rFonts w:hint="eastAsia"/>
          <w:color w:val="auto"/>
        </w:rPr>
        <w:t>检测</w:t>
      </w:r>
      <w:r w:rsidRPr="003866E8">
        <w:rPr>
          <w:color w:val="auto"/>
        </w:rPr>
        <w:t>服务所投入的</w:t>
      </w:r>
      <w:r w:rsidRPr="003866E8">
        <w:rPr>
          <w:rFonts w:hint="eastAsia"/>
          <w:color w:val="auto"/>
        </w:rPr>
        <w:t>检测</w:t>
      </w:r>
      <w:r w:rsidRPr="003866E8">
        <w:rPr>
          <w:color w:val="auto"/>
        </w:rPr>
        <w:t>人员、设备等</w:t>
      </w:r>
      <w:r w:rsidRPr="003866E8">
        <w:rPr>
          <w:rFonts w:hint="eastAsia"/>
          <w:color w:val="auto"/>
        </w:rPr>
        <w:t>检测</w:t>
      </w:r>
      <w:r w:rsidRPr="003866E8">
        <w:rPr>
          <w:color w:val="auto"/>
        </w:rPr>
        <w:t>需要的材料等内容。</w:t>
      </w:r>
    </w:p>
    <w:p w14:paraId="08ED18DA" w14:textId="77777777" w:rsidR="00E54C96" w:rsidRPr="003866E8" w:rsidRDefault="00E54C96" w:rsidP="00E54C96">
      <w:pPr>
        <w:pStyle w:val="Default"/>
        <w:ind w:firstLineChars="200" w:firstLine="480"/>
        <w:rPr>
          <w:color w:val="auto"/>
        </w:rPr>
      </w:pPr>
      <w:r w:rsidRPr="003866E8">
        <w:rPr>
          <w:rFonts w:hint="eastAsia"/>
          <w:color w:val="auto"/>
        </w:rPr>
        <w:t>7.</w:t>
      </w:r>
      <w:r w:rsidRPr="003866E8">
        <w:rPr>
          <w:color w:val="auto"/>
        </w:rPr>
        <w:t>投标人的</w:t>
      </w:r>
      <w:r w:rsidRPr="003866E8">
        <w:rPr>
          <w:rFonts w:hint="eastAsia"/>
          <w:color w:val="auto"/>
        </w:rPr>
        <w:t>检测</w:t>
      </w:r>
      <w:r w:rsidRPr="003866E8">
        <w:rPr>
          <w:color w:val="auto"/>
        </w:rPr>
        <w:t>费报价，是指为优质完成本合同</w:t>
      </w:r>
      <w:r w:rsidRPr="003866E8">
        <w:rPr>
          <w:rFonts w:hint="eastAsia"/>
          <w:color w:val="auto"/>
        </w:rPr>
        <w:t>检测</w:t>
      </w:r>
      <w:r w:rsidRPr="003866E8">
        <w:rPr>
          <w:color w:val="auto"/>
        </w:rPr>
        <w:t>所有内容所需的全部费用，应当包括：</w:t>
      </w:r>
      <w:r w:rsidRPr="003866E8">
        <w:rPr>
          <w:rFonts w:hint="eastAsia"/>
          <w:color w:val="auto"/>
        </w:rPr>
        <w:t>检测</w:t>
      </w:r>
      <w:r w:rsidRPr="003866E8">
        <w:rPr>
          <w:color w:val="auto"/>
        </w:rPr>
        <w:t>及管理人员费用、</w:t>
      </w:r>
      <w:r w:rsidRPr="003866E8">
        <w:rPr>
          <w:rFonts w:hint="eastAsia"/>
          <w:color w:val="auto"/>
        </w:rPr>
        <w:t>检测</w:t>
      </w:r>
      <w:r w:rsidRPr="003866E8">
        <w:rPr>
          <w:color w:val="auto"/>
        </w:rPr>
        <w:t>报告费、现场费用、交通安全措施费、交通工具及使用费、</w:t>
      </w:r>
      <w:r w:rsidRPr="003866E8">
        <w:rPr>
          <w:rFonts w:hint="eastAsia"/>
          <w:color w:val="auto"/>
        </w:rPr>
        <w:t>检测</w:t>
      </w:r>
      <w:r w:rsidRPr="003866E8">
        <w:rPr>
          <w:color w:val="auto"/>
        </w:rPr>
        <w:t>设备、</w:t>
      </w:r>
      <w:r w:rsidRPr="003866E8">
        <w:rPr>
          <w:rFonts w:hint="eastAsia"/>
          <w:color w:val="auto"/>
        </w:rPr>
        <w:t>检测</w:t>
      </w:r>
      <w:r w:rsidRPr="003866E8">
        <w:rPr>
          <w:color w:val="auto"/>
        </w:rPr>
        <w:t>车辆费、测量仪器费及相关费用等本招标文件明示或暗示的所有一般风险、责任和义务等费用。</w:t>
      </w:r>
    </w:p>
    <w:p w14:paraId="0ADF16E6" w14:textId="77777777" w:rsidR="00E54C96" w:rsidRPr="003866E8" w:rsidRDefault="00E54C96" w:rsidP="00E54C96">
      <w:pPr>
        <w:pStyle w:val="Default"/>
        <w:ind w:firstLineChars="200" w:firstLine="480"/>
        <w:rPr>
          <w:color w:val="auto"/>
        </w:rPr>
      </w:pPr>
      <w:r w:rsidRPr="003866E8">
        <w:rPr>
          <w:rFonts w:hint="eastAsia"/>
          <w:color w:val="auto"/>
        </w:rPr>
        <w:t>8.</w:t>
      </w:r>
      <w:r w:rsidRPr="003866E8">
        <w:rPr>
          <w:rFonts w:hint="eastAsia"/>
          <w:color w:val="auto"/>
        </w:rPr>
        <w:t>检测</w:t>
      </w:r>
      <w:r w:rsidRPr="003866E8">
        <w:rPr>
          <w:color w:val="auto"/>
        </w:rPr>
        <w:t>人员的住宿、办公、生活设施设备以及交通工具等由</w:t>
      </w:r>
      <w:r w:rsidRPr="003866E8">
        <w:rPr>
          <w:rFonts w:hint="eastAsia"/>
          <w:color w:val="auto"/>
        </w:rPr>
        <w:t>检测</w:t>
      </w:r>
      <w:r w:rsidRPr="003866E8">
        <w:rPr>
          <w:color w:val="auto"/>
        </w:rPr>
        <w:t>单位自备、自购或租用，其费用由投标人计入相关报价中，此项费用仅计入折旧费、维修保养费和消耗费。</w:t>
      </w:r>
      <w:r w:rsidRPr="003866E8">
        <w:rPr>
          <w:rFonts w:hint="eastAsia"/>
          <w:color w:val="auto"/>
        </w:rPr>
        <w:t>检测</w:t>
      </w:r>
      <w:r w:rsidRPr="003866E8">
        <w:rPr>
          <w:color w:val="auto"/>
        </w:rPr>
        <w:t>工作结束后，其产权仍归</w:t>
      </w:r>
      <w:r w:rsidRPr="003866E8">
        <w:rPr>
          <w:rFonts w:hint="eastAsia"/>
          <w:color w:val="auto"/>
        </w:rPr>
        <w:t>检测</w:t>
      </w:r>
      <w:r w:rsidRPr="003866E8">
        <w:rPr>
          <w:color w:val="auto"/>
        </w:rPr>
        <w:t>单位所有。</w:t>
      </w:r>
    </w:p>
    <w:p w14:paraId="2B7E35C5" w14:textId="77777777" w:rsidR="00E54C96" w:rsidRPr="003866E8" w:rsidRDefault="00E54C96" w:rsidP="00E54C96">
      <w:pPr>
        <w:pStyle w:val="Default"/>
        <w:ind w:firstLineChars="200" w:firstLine="480"/>
        <w:rPr>
          <w:color w:val="auto"/>
        </w:rPr>
      </w:pPr>
      <w:r w:rsidRPr="003866E8">
        <w:rPr>
          <w:rFonts w:hint="eastAsia"/>
          <w:color w:val="auto"/>
        </w:rPr>
        <w:t>9.</w:t>
      </w:r>
      <w:r w:rsidRPr="003866E8">
        <w:rPr>
          <w:rFonts w:hint="eastAsia"/>
          <w:color w:val="auto"/>
        </w:rPr>
        <w:t>检测</w:t>
      </w:r>
      <w:r w:rsidRPr="003866E8">
        <w:rPr>
          <w:color w:val="auto"/>
        </w:rPr>
        <w:t>单位的雇员及装备的保险由</w:t>
      </w:r>
      <w:r w:rsidRPr="003866E8">
        <w:rPr>
          <w:rFonts w:hint="eastAsia"/>
          <w:color w:val="auto"/>
        </w:rPr>
        <w:t>检测</w:t>
      </w:r>
      <w:r w:rsidRPr="003866E8">
        <w:rPr>
          <w:color w:val="auto"/>
        </w:rPr>
        <w:t>单位自行投保，包含在合同总价中，不单独计量与支付。</w:t>
      </w:r>
    </w:p>
    <w:p w14:paraId="23E19398" w14:textId="77777777" w:rsidR="00E54C96" w:rsidRPr="003866E8" w:rsidRDefault="00E54C96" w:rsidP="00E54C96">
      <w:pPr>
        <w:pStyle w:val="Default"/>
        <w:ind w:firstLineChars="200" w:firstLine="480"/>
        <w:rPr>
          <w:color w:val="auto"/>
        </w:rPr>
      </w:pPr>
      <w:r w:rsidRPr="003866E8">
        <w:rPr>
          <w:rFonts w:hint="eastAsia"/>
          <w:color w:val="auto"/>
        </w:rPr>
        <w:t>10.</w:t>
      </w:r>
      <w:r w:rsidRPr="003866E8">
        <w:rPr>
          <w:rFonts w:hint="eastAsia"/>
          <w:color w:val="auto"/>
        </w:rPr>
        <w:t>检测</w:t>
      </w:r>
      <w:r w:rsidRPr="003866E8">
        <w:rPr>
          <w:color w:val="auto"/>
        </w:rPr>
        <w:t>单位为实施本项目须遵守国家和地方有关环境保护和水土保持等方面有关法律法规并将其措施实施到位。所需费用包含在投标报价中，不单独计量与支付。</w:t>
      </w:r>
    </w:p>
    <w:p w14:paraId="1FE7FD92" w14:textId="77777777" w:rsidR="00E54C96" w:rsidRPr="003866E8" w:rsidRDefault="00E54C96" w:rsidP="00E54C96">
      <w:pPr>
        <w:pStyle w:val="Default"/>
        <w:ind w:firstLineChars="200" w:firstLine="480"/>
        <w:rPr>
          <w:color w:val="auto"/>
        </w:rPr>
      </w:pPr>
      <w:r w:rsidRPr="003866E8">
        <w:rPr>
          <w:rFonts w:hint="eastAsia"/>
          <w:color w:val="auto"/>
        </w:rPr>
        <w:t>11.</w:t>
      </w:r>
      <w:r w:rsidRPr="003866E8">
        <w:rPr>
          <w:rFonts w:hint="eastAsia"/>
          <w:color w:val="auto"/>
        </w:rPr>
        <w:t>检测</w:t>
      </w:r>
      <w:r w:rsidRPr="003866E8">
        <w:rPr>
          <w:color w:val="auto"/>
        </w:rPr>
        <w:t>在实施作业过程中应做到文明</w:t>
      </w:r>
      <w:r w:rsidRPr="003866E8">
        <w:rPr>
          <w:rFonts w:hint="eastAsia"/>
          <w:color w:val="auto"/>
        </w:rPr>
        <w:t>检测</w:t>
      </w:r>
      <w:r w:rsidRPr="003866E8">
        <w:rPr>
          <w:color w:val="auto"/>
        </w:rPr>
        <w:t>，由此发生的费用包含在投标报价中，不单独报价。</w:t>
      </w:r>
    </w:p>
    <w:p w14:paraId="30A50AF6" w14:textId="4150DEBC" w:rsidR="00E54C96" w:rsidRDefault="00E54C96" w:rsidP="00E54C96">
      <w:pPr>
        <w:pStyle w:val="Default"/>
        <w:ind w:firstLineChars="200" w:firstLine="480"/>
      </w:pPr>
      <w:r w:rsidRPr="003866E8">
        <w:rPr>
          <w:rFonts w:hint="eastAsia"/>
          <w:color w:val="auto"/>
        </w:rPr>
        <w:t>12.</w:t>
      </w:r>
      <w:r w:rsidRPr="003866E8">
        <w:rPr>
          <w:rFonts w:hint="eastAsia"/>
          <w:color w:val="auto"/>
        </w:rPr>
        <w:t>检测</w:t>
      </w:r>
      <w:r w:rsidRPr="003866E8">
        <w:rPr>
          <w:color w:val="auto"/>
        </w:rPr>
        <w:t>单位在投标时应主动查阅本项目的有关设计文件、技术资料等。作为一个有经验的</w:t>
      </w:r>
      <w:r w:rsidRPr="003866E8">
        <w:rPr>
          <w:rFonts w:hint="eastAsia"/>
          <w:color w:val="auto"/>
        </w:rPr>
        <w:t>检测</w:t>
      </w:r>
      <w:r w:rsidRPr="003866E8">
        <w:rPr>
          <w:color w:val="auto"/>
        </w:rPr>
        <w:t>单位，应充分考虑到业主提供的清单以及相关资料和数据与合同实施过程中可能存在的偏差。</w:t>
      </w:r>
      <w:r w:rsidRPr="003866E8">
        <w:rPr>
          <w:rFonts w:hint="eastAsia"/>
          <w:color w:val="auto"/>
        </w:rPr>
        <w:t>检测</w:t>
      </w:r>
      <w:r w:rsidRPr="003866E8">
        <w:rPr>
          <w:color w:val="auto"/>
        </w:rPr>
        <w:t>单位应综合考虑到报价中，业主对</w:t>
      </w:r>
      <w:r w:rsidRPr="003866E8">
        <w:rPr>
          <w:rFonts w:hint="eastAsia"/>
          <w:color w:val="auto"/>
        </w:rPr>
        <w:t>检测</w:t>
      </w:r>
      <w:r w:rsidRPr="003866E8">
        <w:rPr>
          <w:color w:val="auto"/>
        </w:rPr>
        <w:t>单位的投标报价</w:t>
      </w:r>
      <w:proofErr w:type="gramStart"/>
      <w:r w:rsidRPr="003866E8">
        <w:rPr>
          <w:color w:val="auto"/>
        </w:rPr>
        <w:t>不</w:t>
      </w:r>
      <w:proofErr w:type="gramEnd"/>
      <w:r w:rsidRPr="003866E8">
        <w:rPr>
          <w:color w:val="auto"/>
        </w:rPr>
        <w:t>因此而进行调整。</w:t>
      </w:r>
    </w:p>
    <w:sectPr w:rsidR="00E54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SimSun,Bold">
    <w:altName w:val="宋体"/>
    <w:charset w:val="86"/>
    <w:family w:val="auto"/>
    <w:pitch w:val="default"/>
    <w:sig w:usb0="00000003" w:usb1="08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9240" w14:textId="77777777" w:rsidR="00E54C96" w:rsidRDefault="00E54C96">
    <w:pPr>
      <w:pStyle w:val="af0"/>
      <w:rPr>
        <w:rFonts w:eastAsia="隶书"/>
        <w:color w:val="FF0000"/>
        <w:spacing w:val="40"/>
        <w:sz w:val="21"/>
        <w:szCs w:val="21"/>
      </w:rPr>
    </w:pPr>
    <w:r>
      <w:rPr>
        <w:rFonts w:eastAsia="隶书"/>
        <w:color w:val="000000"/>
        <w:spacing w:val="40"/>
        <w:sz w:val="21"/>
        <w:szCs w:val="21"/>
      </w:rPr>
      <w:t>政府采购招标文件</w:t>
    </w:r>
  </w:p>
  <w:p w14:paraId="412A48D0" w14:textId="77777777" w:rsidR="00E54C96" w:rsidRDefault="00E54C96">
    <w:pPr>
      <w:pStyle w:val="af0"/>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96"/>
    <w:rsid w:val="00B3262D"/>
    <w:rsid w:val="00E5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23E7"/>
  <w15:chartTrackingRefBased/>
  <w15:docId w15:val="{F5F482A0-F855-4434-97A7-15145742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C96"/>
    <w:pPr>
      <w:widowControl w:val="0"/>
      <w:spacing w:after="0" w:line="240" w:lineRule="auto"/>
      <w:jc w:val="both"/>
    </w:pPr>
    <w:rPr>
      <w:rFonts w:ascii="Times New Roman" w:eastAsia="宋体" w:hAnsi="Times New Roman" w:cs="Times New Roman"/>
      <w:sz w:val="21"/>
      <w:szCs w:val="21"/>
      <w14:ligatures w14:val="none"/>
    </w:rPr>
  </w:style>
  <w:style w:type="paragraph" w:styleId="1">
    <w:name w:val="heading 1"/>
    <w:basedOn w:val="a"/>
    <w:next w:val="a"/>
    <w:link w:val="10"/>
    <w:uiPriority w:val="9"/>
    <w:qFormat/>
    <w:rsid w:val="00E54C9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54C9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54C9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E54C9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54C9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E54C9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E54C96"/>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E54C96"/>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E54C96"/>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C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C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C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C96"/>
    <w:rPr>
      <w:rFonts w:cstheme="majorBidi"/>
      <w:color w:val="2F5496" w:themeColor="accent1" w:themeShade="BF"/>
      <w:sz w:val="28"/>
      <w:szCs w:val="28"/>
    </w:rPr>
  </w:style>
  <w:style w:type="character" w:customStyle="1" w:styleId="50">
    <w:name w:val="标题 5 字符"/>
    <w:basedOn w:val="a0"/>
    <w:link w:val="5"/>
    <w:uiPriority w:val="9"/>
    <w:semiHidden/>
    <w:rsid w:val="00E54C96"/>
    <w:rPr>
      <w:rFonts w:cstheme="majorBidi"/>
      <w:color w:val="2F5496" w:themeColor="accent1" w:themeShade="BF"/>
      <w:sz w:val="24"/>
    </w:rPr>
  </w:style>
  <w:style w:type="character" w:customStyle="1" w:styleId="60">
    <w:name w:val="标题 6 字符"/>
    <w:basedOn w:val="a0"/>
    <w:link w:val="6"/>
    <w:uiPriority w:val="9"/>
    <w:semiHidden/>
    <w:rsid w:val="00E54C96"/>
    <w:rPr>
      <w:rFonts w:cstheme="majorBidi"/>
      <w:b/>
      <w:bCs/>
      <w:color w:val="2F5496" w:themeColor="accent1" w:themeShade="BF"/>
    </w:rPr>
  </w:style>
  <w:style w:type="character" w:customStyle="1" w:styleId="70">
    <w:name w:val="标题 7 字符"/>
    <w:basedOn w:val="a0"/>
    <w:link w:val="7"/>
    <w:uiPriority w:val="9"/>
    <w:semiHidden/>
    <w:rsid w:val="00E54C96"/>
    <w:rPr>
      <w:rFonts w:cstheme="majorBidi"/>
      <w:b/>
      <w:bCs/>
      <w:color w:val="595959" w:themeColor="text1" w:themeTint="A6"/>
    </w:rPr>
  </w:style>
  <w:style w:type="character" w:customStyle="1" w:styleId="80">
    <w:name w:val="标题 8 字符"/>
    <w:basedOn w:val="a0"/>
    <w:link w:val="8"/>
    <w:uiPriority w:val="9"/>
    <w:semiHidden/>
    <w:rsid w:val="00E54C96"/>
    <w:rPr>
      <w:rFonts w:cstheme="majorBidi"/>
      <w:color w:val="595959" w:themeColor="text1" w:themeTint="A6"/>
    </w:rPr>
  </w:style>
  <w:style w:type="character" w:customStyle="1" w:styleId="90">
    <w:name w:val="标题 9 字符"/>
    <w:basedOn w:val="a0"/>
    <w:link w:val="9"/>
    <w:uiPriority w:val="9"/>
    <w:semiHidden/>
    <w:rsid w:val="00E54C96"/>
    <w:rPr>
      <w:rFonts w:eastAsiaTheme="majorEastAsia" w:cstheme="majorBidi"/>
      <w:color w:val="595959" w:themeColor="text1" w:themeTint="A6"/>
    </w:rPr>
  </w:style>
  <w:style w:type="paragraph" w:styleId="a3">
    <w:name w:val="Title"/>
    <w:basedOn w:val="a"/>
    <w:next w:val="a"/>
    <w:link w:val="a4"/>
    <w:uiPriority w:val="10"/>
    <w:qFormat/>
    <w:rsid w:val="00E54C9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54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C9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54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C96"/>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E54C96"/>
    <w:rPr>
      <w:i/>
      <w:iCs/>
      <w:color w:val="404040" w:themeColor="text1" w:themeTint="BF"/>
    </w:rPr>
  </w:style>
  <w:style w:type="paragraph" w:styleId="a9">
    <w:name w:val="List Paragraph"/>
    <w:basedOn w:val="a"/>
    <w:uiPriority w:val="34"/>
    <w:qFormat/>
    <w:rsid w:val="00E54C96"/>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E54C96"/>
    <w:rPr>
      <w:i/>
      <w:iCs/>
      <w:color w:val="2F5496" w:themeColor="accent1" w:themeShade="BF"/>
    </w:rPr>
  </w:style>
  <w:style w:type="paragraph" w:styleId="ab">
    <w:name w:val="Intense Quote"/>
    <w:basedOn w:val="a"/>
    <w:next w:val="a"/>
    <w:link w:val="ac"/>
    <w:uiPriority w:val="30"/>
    <w:qFormat/>
    <w:rsid w:val="00E54C9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E54C96"/>
    <w:rPr>
      <w:i/>
      <w:iCs/>
      <w:color w:val="2F5496" w:themeColor="accent1" w:themeShade="BF"/>
    </w:rPr>
  </w:style>
  <w:style w:type="character" w:styleId="ad">
    <w:name w:val="Intense Reference"/>
    <w:basedOn w:val="a0"/>
    <w:uiPriority w:val="32"/>
    <w:qFormat/>
    <w:rsid w:val="00E54C96"/>
    <w:rPr>
      <w:b/>
      <w:bCs/>
      <w:smallCaps/>
      <w:color w:val="2F5496" w:themeColor="accent1" w:themeShade="BF"/>
      <w:spacing w:val="5"/>
    </w:rPr>
  </w:style>
  <w:style w:type="paragraph" w:styleId="ae">
    <w:name w:val="Body Text"/>
    <w:basedOn w:val="a"/>
    <w:next w:val="a"/>
    <w:link w:val="af"/>
    <w:qFormat/>
    <w:rsid w:val="00E54C96"/>
    <w:rPr>
      <w:rFonts w:ascii="楷体_GB2312" w:eastAsia="楷体_GB2312" w:hAnsi="Arial"/>
      <w:sz w:val="28"/>
      <w:szCs w:val="28"/>
    </w:rPr>
  </w:style>
  <w:style w:type="character" w:customStyle="1" w:styleId="af">
    <w:name w:val="正文文本 字符"/>
    <w:basedOn w:val="a0"/>
    <w:link w:val="ae"/>
    <w:rsid w:val="00E54C96"/>
    <w:rPr>
      <w:rFonts w:ascii="楷体_GB2312" w:eastAsia="楷体_GB2312" w:hAnsi="Arial" w:cs="Times New Roman"/>
      <w:sz w:val="28"/>
      <w:szCs w:val="28"/>
      <w14:ligatures w14:val="none"/>
    </w:rPr>
  </w:style>
  <w:style w:type="paragraph" w:styleId="af0">
    <w:name w:val="header"/>
    <w:basedOn w:val="a"/>
    <w:link w:val="af1"/>
    <w:uiPriority w:val="99"/>
    <w:qFormat/>
    <w:rsid w:val="00E54C96"/>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E54C96"/>
    <w:rPr>
      <w:rFonts w:ascii="Times New Roman" w:eastAsia="宋体" w:hAnsi="Times New Roman" w:cs="Times New Roman"/>
      <w:sz w:val="18"/>
      <w:szCs w:val="18"/>
      <w14:ligatures w14:val="none"/>
    </w:rPr>
  </w:style>
  <w:style w:type="paragraph" w:customStyle="1" w:styleId="Default">
    <w:name w:val="Default"/>
    <w:uiPriority w:val="99"/>
    <w:qFormat/>
    <w:rsid w:val="00E54C96"/>
    <w:pPr>
      <w:widowControl w:val="0"/>
      <w:autoSpaceDE w:val="0"/>
      <w:autoSpaceDN w:val="0"/>
      <w:adjustRightInd w:val="0"/>
      <w:spacing w:after="0" w:line="240" w:lineRule="auto"/>
    </w:pPr>
    <w:rPr>
      <w:rFonts w:ascii="Times New Roman" w:eastAsia="宋体"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629</Characters>
  <Application>Microsoft Office Word</Application>
  <DocSecurity>0</DocSecurity>
  <Lines>28</Lines>
  <Paragraphs>29</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8615005102277</dc:creator>
  <cp:keywords/>
  <dc:description/>
  <cp:lastModifiedBy>8615005102277</cp:lastModifiedBy>
  <cp:revision>1</cp:revision>
  <dcterms:created xsi:type="dcterms:W3CDTF">2025-09-15T03:46:00Z</dcterms:created>
  <dcterms:modified xsi:type="dcterms:W3CDTF">2025-09-15T03:47:00Z</dcterms:modified>
</cp:coreProperties>
</file>