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A5A83">
      <w:pPr>
        <w:autoSpaceDE w:val="0"/>
        <w:autoSpaceDN w:val="0"/>
        <w:adjustRightInd w:val="0"/>
        <w:spacing w:line="360" w:lineRule="auto"/>
        <w:ind w:firstLine="1440"/>
        <w:jc w:val="center"/>
        <w:rPr>
          <w:rFonts w:ascii="宋体" w:hAnsi="宋体" w:cs="宋体"/>
          <w:b/>
          <w:bCs/>
          <w:color w:val="auto"/>
          <w:sz w:val="72"/>
          <w:szCs w:val="72"/>
          <w:highlight w:val="none"/>
          <w:lang w:val="zh-CN"/>
        </w:rPr>
      </w:pPr>
      <w:bookmarkStart w:id="0" w:name="_Toc2583690"/>
    </w:p>
    <w:p w14:paraId="6EE3E7C7">
      <w:pPr>
        <w:autoSpaceDE w:val="0"/>
        <w:autoSpaceDN w:val="0"/>
        <w:adjustRightInd w:val="0"/>
        <w:spacing w:line="360" w:lineRule="auto"/>
        <w:ind w:firstLine="1440"/>
        <w:jc w:val="center"/>
        <w:rPr>
          <w:rFonts w:ascii="宋体" w:hAnsi="宋体" w:cs="宋体"/>
          <w:b/>
          <w:bCs/>
          <w:color w:val="auto"/>
          <w:sz w:val="72"/>
          <w:szCs w:val="72"/>
          <w:highlight w:val="none"/>
          <w:lang w:val="zh-CN"/>
        </w:rPr>
      </w:pPr>
    </w:p>
    <w:p w14:paraId="1096410E">
      <w:pPr>
        <w:autoSpaceDE w:val="0"/>
        <w:autoSpaceDN w:val="0"/>
        <w:adjustRightInd w:val="0"/>
        <w:spacing w:line="360" w:lineRule="auto"/>
        <w:ind w:firstLine="1440"/>
        <w:jc w:val="center"/>
        <w:rPr>
          <w:rFonts w:ascii="宋体" w:hAnsi="宋体" w:cs="宋体"/>
          <w:b/>
          <w:bCs/>
          <w:color w:val="auto"/>
          <w:sz w:val="72"/>
          <w:szCs w:val="72"/>
          <w:highlight w:val="none"/>
          <w:lang w:val="zh-CN"/>
        </w:rPr>
      </w:pPr>
    </w:p>
    <w:p w14:paraId="6C2704D3">
      <w:pPr>
        <w:pStyle w:val="28"/>
        <w:widowControl/>
        <w:spacing w:before="75" w:beforeAutospacing="0" w:after="75" w:afterAutospacing="0"/>
        <w:ind w:firstLine="1440"/>
        <w:jc w:val="center"/>
        <w:rPr>
          <w:rStyle w:val="34"/>
          <w:rFonts w:ascii="宋体" w:hAnsi="宋体" w:cs="宋体"/>
          <w:color w:val="auto"/>
          <w:sz w:val="72"/>
          <w:szCs w:val="72"/>
          <w:highlight w:val="none"/>
          <w:lang w:val="zh-CN"/>
        </w:rPr>
      </w:pPr>
      <w:r>
        <w:rPr>
          <w:rStyle w:val="34"/>
          <w:rFonts w:hint="eastAsia" w:ascii="宋体" w:hAnsi="宋体" w:cs="宋体"/>
          <w:color w:val="auto"/>
          <w:sz w:val="72"/>
          <w:szCs w:val="72"/>
          <w:highlight w:val="none"/>
          <w:lang w:val="zh-CN"/>
        </w:rPr>
        <w:t>苏州市级政府采购</w:t>
      </w:r>
    </w:p>
    <w:p w14:paraId="02960BE1">
      <w:pPr>
        <w:pStyle w:val="28"/>
        <w:widowControl/>
        <w:spacing w:before="75" w:beforeAutospacing="0" w:after="75" w:afterAutospacing="0"/>
        <w:ind w:firstLine="1440"/>
        <w:jc w:val="center"/>
        <w:rPr>
          <w:rStyle w:val="34"/>
          <w:rFonts w:ascii="宋体" w:hAnsi="宋体" w:cs="宋体"/>
          <w:color w:val="auto"/>
          <w:sz w:val="72"/>
          <w:szCs w:val="72"/>
          <w:highlight w:val="none"/>
          <w:lang w:val="zh-CN"/>
        </w:rPr>
      </w:pPr>
      <w:r>
        <w:rPr>
          <w:rStyle w:val="34"/>
          <w:rFonts w:hint="eastAsia" w:ascii="宋体" w:hAnsi="宋体" w:cs="宋体"/>
          <w:color w:val="auto"/>
          <w:sz w:val="72"/>
          <w:szCs w:val="72"/>
          <w:highlight w:val="none"/>
          <w:lang w:val="zh-CN"/>
        </w:rPr>
        <w:t>货物类公开招标项目</w:t>
      </w:r>
    </w:p>
    <w:p w14:paraId="4888FBB5">
      <w:pPr>
        <w:pStyle w:val="28"/>
        <w:widowControl/>
        <w:spacing w:before="75" w:beforeAutospacing="0" w:after="75" w:afterAutospacing="0"/>
        <w:ind w:firstLine="1440"/>
        <w:jc w:val="center"/>
        <w:rPr>
          <w:rStyle w:val="34"/>
          <w:rFonts w:ascii="宋体" w:hAnsi="宋体" w:cs="宋体"/>
          <w:color w:val="auto"/>
          <w:sz w:val="72"/>
          <w:szCs w:val="72"/>
          <w:highlight w:val="none"/>
          <w:lang w:val="zh-CN"/>
        </w:rPr>
      </w:pPr>
      <w:r>
        <w:rPr>
          <w:rStyle w:val="34"/>
          <w:rFonts w:hint="eastAsia" w:ascii="宋体" w:hAnsi="宋体" w:cs="宋体"/>
          <w:color w:val="auto"/>
          <w:sz w:val="72"/>
          <w:szCs w:val="72"/>
          <w:highlight w:val="none"/>
          <w:lang w:val="zh-CN"/>
        </w:rPr>
        <w:t>招标文件</w:t>
      </w:r>
    </w:p>
    <w:p w14:paraId="4525A29E">
      <w:pPr>
        <w:pStyle w:val="28"/>
        <w:widowControl/>
        <w:spacing w:beforeAutospacing="0" w:afterAutospacing="0" w:line="360" w:lineRule="auto"/>
        <w:ind w:left="2766" w:leftChars="600" w:hanging="1506" w:hangingChars="500"/>
        <w:rPr>
          <w:rStyle w:val="34"/>
          <w:rFonts w:ascii="宋体" w:hAnsi="宋体" w:cs="宋体"/>
          <w:color w:val="auto"/>
          <w:sz w:val="30"/>
          <w:szCs w:val="30"/>
          <w:highlight w:val="none"/>
        </w:rPr>
      </w:pPr>
    </w:p>
    <w:p w14:paraId="602B36AA">
      <w:pPr>
        <w:pStyle w:val="28"/>
        <w:widowControl/>
        <w:spacing w:beforeAutospacing="0" w:afterAutospacing="0" w:line="360" w:lineRule="auto"/>
        <w:ind w:left="2766" w:leftChars="600" w:hanging="1506" w:hangingChars="500"/>
        <w:rPr>
          <w:rStyle w:val="34"/>
          <w:rFonts w:ascii="宋体" w:hAnsi="宋体" w:cs="宋体"/>
          <w:color w:val="auto"/>
          <w:sz w:val="30"/>
          <w:szCs w:val="30"/>
          <w:highlight w:val="none"/>
        </w:rPr>
      </w:pPr>
    </w:p>
    <w:p w14:paraId="595EC600">
      <w:pPr>
        <w:pStyle w:val="28"/>
        <w:widowControl/>
        <w:spacing w:beforeAutospacing="0" w:afterAutospacing="0" w:line="360" w:lineRule="auto"/>
        <w:ind w:left="2766" w:leftChars="600" w:hanging="1506" w:hangingChars="500"/>
        <w:rPr>
          <w:rStyle w:val="34"/>
          <w:rFonts w:ascii="宋体" w:hAnsi="宋体" w:cs="宋体"/>
          <w:color w:val="auto"/>
          <w:sz w:val="30"/>
          <w:szCs w:val="30"/>
          <w:highlight w:val="none"/>
        </w:rPr>
      </w:pPr>
    </w:p>
    <w:p w14:paraId="614C5618">
      <w:pPr>
        <w:pStyle w:val="28"/>
        <w:widowControl/>
        <w:spacing w:beforeAutospacing="0" w:afterAutospacing="0" w:line="360" w:lineRule="auto"/>
        <w:ind w:left="2766" w:leftChars="600" w:hanging="1506" w:hangingChars="500"/>
        <w:rPr>
          <w:rStyle w:val="34"/>
          <w:rFonts w:ascii="宋体" w:hAnsi="宋体" w:cs="宋体"/>
          <w:color w:val="auto"/>
          <w:sz w:val="30"/>
          <w:szCs w:val="30"/>
          <w:highlight w:val="none"/>
        </w:rPr>
      </w:pPr>
      <w:r>
        <w:rPr>
          <w:rStyle w:val="34"/>
          <w:rFonts w:hint="eastAsia" w:ascii="宋体" w:hAnsi="宋体" w:cs="宋体"/>
          <w:color w:val="auto"/>
          <w:sz w:val="30"/>
          <w:szCs w:val="30"/>
          <w:highlight w:val="none"/>
        </w:rPr>
        <w:t>采购编号：</w:t>
      </w:r>
      <w:r>
        <w:rPr>
          <w:rFonts w:hint="eastAsia" w:ascii="宋体" w:hAnsi="宋体" w:cs="宋体"/>
          <w:color w:val="auto"/>
          <w:sz w:val="30"/>
          <w:szCs w:val="30"/>
          <w:highlight w:val="none"/>
          <w:lang w:val="zh-CN"/>
        </w:rPr>
        <w:t>JSZC-320500-CJZB-G2025-0054</w:t>
      </w:r>
    </w:p>
    <w:p w14:paraId="690916E0">
      <w:pPr>
        <w:pStyle w:val="28"/>
        <w:widowControl/>
        <w:spacing w:beforeAutospacing="0" w:afterAutospacing="0" w:line="360" w:lineRule="auto"/>
        <w:ind w:left="2766" w:leftChars="600" w:hanging="1506" w:hangingChars="500"/>
        <w:rPr>
          <w:rStyle w:val="34"/>
          <w:rFonts w:ascii="宋体" w:hAnsi="宋体" w:cs="宋体"/>
          <w:color w:val="auto"/>
          <w:sz w:val="30"/>
          <w:szCs w:val="30"/>
          <w:highlight w:val="none"/>
        </w:rPr>
      </w:pPr>
      <w:r>
        <w:rPr>
          <w:rStyle w:val="34"/>
          <w:rFonts w:hint="eastAsia" w:ascii="宋体" w:hAnsi="宋体" w:cs="宋体"/>
          <w:color w:val="auto"/>
          <w:sz w:val="30"/>
          <w:szCs w:val="30"/>
          <w:highlight w:val="none"/>
        </w:rPr>
        <w:t>项目名称：</w:t>
      </w:r>
      <w:r>
        <w:rPr>
          <w:rFonts w:hint="eastAsia" w:ascii="宋体" w:hAnsi="宋体" w:cs="宋体"/>
          <w:color w:val="auto"/>
          <w:sz w:val="30"/>
          <w:szCs w:val="30"/>
          <w:highlight w:val="none"/>
          <w:lang w:val="zh-CN"/>
        </w:rPr>
        <w:t>2025年苏州市级应急物资增储项目</w:t>
      </w:r>
    </w:p>
    <w:p w14:paraId="31EA05FC">
      <w:pPr>
        <w:pStyle w:val="28"/>
        <w:widowControl/>
        <w:spacing w:beforeAutospacing="0" w:afterAutospacing="0" w:line="360" w:lineRule="auto"/>
        <w:ind w:left="2766" w:leftChars="600" w:hanging="1506" w:hangingChars="500"/>
        <w:rPr>
          <w:rFonts w:ascii="宋体" w:hAnsi="宋体" w:cs="宋体"/>
          <w:color w:val="auto"/>
          <w:highlight w:val="none"/>
        </w:rPr>
      </w:pPr>
      <w:r>
        <w:rPr>
          <w:rStyle w:val="34"/>
          <w:rFonts w:hint="eastAsia" w:ascii="宋体" w:hAnsi="宋体" w:cs="宋体"/>
          <w:color w:val="auto"/>
          <w:sz w:val="30"/>
          <w:szCs w:val="30"/>
          <w:highlight w:val="none"/>
        </w:rPr>
        <w:t>采 购 人：</w:t>
      </w:r>
      <w:r>
        <w:rPr>
          <w:rFonts w:hint="eastAsia" w:ascii="宋体" w:hAnsi="宋体" w:cs="宋体"/>
          <w:color w:val="auto"/>
          <w:sz w:val="30"/>
          <w:szCs w:val="30"/>
          <w:highlight w:val="none"/>
          <w:lang w:val="zh-CN"/>
        </w:rPr>
        <w:t>苏州市发展和改革委员会</w:t>
      </w:r>
    </w:p>
    <w:p w14:paraId="1F86A1F0">
      <w:pPr>
        <w:pStyle w:val="28"/>
        <w:widowControl/>
        <w:spacing w:beforeAutospacing="0" w:afterAutospacing="0" w:line="360" w:lineRule="auto"/>
        <w:ind w:left="2766" w:leftChars="600" w:hanging="1506" w:hangingChars="500"/>
        <w:rPr>
          <w:rFonts w:ascii="宋体" w:hAnsi="宋体" w:cs="宋体"/>
          <w:color w:val="auto"/>
          <w:highlight w:val="none"/>
        </w:rPr>
      </w:pPr>
      <w:r>
        <w:rPr>
          <w:rStyle w:val="34"/>
          <w:rFonts w:hint="eastAsia" w:ascii="宋体" w:hAnsi="宋体" w:cs="宋体"/>
          <w:color w:val="auto"/>
          <w:sz w:val="30"/>
          <w:szCs w:val="30"/>
          <w:highlight w:val="none"/>
        </w:rPr>
        <w:t>采购类别：</w:t>
      </w:r>
      <w:r>
        <w:rPr>
          <w:rFonts w:hint="eastAsia" w:ascii="宋体" w:hAnsi="宋体" w:cs="宋体"/>
          <w:color w:val="auto"/>
          <w:sz w:val="30"/>
          <w:szCs w:val="30"/>
          <w:highlight w:val="none"/>
        </w:rPr>
        <w:t>货物</w:t>
      </w:r>
      <w:r>
        <w:rPr>
          <w:rFonts w:hint="eastAsia" w:ascii="宋体" w:hAnsi="宋体" w:cs="宋体"/>
          <w:color w:val="auto"/>
          <w:sz w:val="30"/>
          <w:szCs w:val="30"/>
          <w:highlight w:val="none"/>
          <w:lang w:val="zh-CN"/>
        </w:rPr>
        <w:t>类</w:t>
      </w:r>
    </w:p>
    <w:p w14:paraId="65C87AED">
      <w:pPr>
        <w:pStyle w:val="28"/>
        <w:widowControl/>
        <w:spacing w:beforeAutospacing="0" w:afterAutospacing="0" w:line="360" w:lineRule="auto"/>
        <w:ind w:firstLine="482"/>
        <w:jc w:val="center"/>
        <w:rPr>
          <w:rFonts w:ascii="宋体" w:hAnsi="宋体" w:cs="宋体"/>
          <w:color w:val="auto"/>
          <w:highlight w:val="none"/>
        </w:rPr>
      </w:pPr>
      <w:r>
        <w:rPr>
          <w:rFonts w:hint="eastAsia" w:ascii="宋体" w:hAnsi="宋体" w:cs="宋体"/>
          <w:color w:val="auto"/>
          <w:highlight w:val="none"/>
        </w:rPr>
        <w:t> </w:t>
      </w:r>
    </w:p>
    <w:p w14:paraId="17164F18">
      <w:pPr>
        <w:pStyle w:val="28"/>
        <w:widowControl/>
        <w:spacing w:beforeAutospacing="0" w:afterAutospacing="0" w:line="360" w:lineRule="auto"/>
        <w:ind w:firstLine="482"/>
        <w:jc w:val="center"/>
        <w:rPr>
          <w:rFonts w:ascii="宋体" w:hAnsi="宋体" w:cs="宋体"/>
          <w:color w:val="auto"/>
          <w:highlight w:val="none"/>
        </w:rPr>
      </w:pPr>
    </w:p>
    <w:p w14:paraId="2DB70852">
      <w:pPr>
        <w:pStyle w:val="28"/>
        <w:widowControl/>
        <w:spacing w:beforeAutospacing="0" w:afterAutospacing="0" w:line="360" w:lineRule="auto"/>
        <w:ind w:firstLine="482"/>
        <w:jc w:val="center"/>
        <w:rPr>
          <w:rFonts w:ascii="宋体" w:hAnsi="宋体" w:cs="宋体"/>
          <w:color w:val="auto"/>
          <w:highlight w:val="none"/>
        </w:rPr>
      </w:pPr>
    </w:p>
    <w:p w14:paraId="2D6AC836">
      <w:pPr>
        <w:pStyle w:val="28"/>
        <w:widowControl/>
        <w:spacing w:beforeAutospacing="0" w:afterAutospacing="0" w:line="360" w:lineRule="auto"/>
        <w:ind w:firstLine="482"/>
        <w:jc w:val="center"/>
        <w:rPr>
          <w:rFonts w:ascii="宋体" w:hAnsi="宋体" w:cs="宋体"/>
          <w:color w:val="auto"/>
          <w:highlight w:val="none"/>
        </w:rPr>
      </w:pPr>
    </w:p>
    <w:p w14:paraId="01155DC3">
      <w:pPr>
        <w:pStyle w:val="28"/>
        <w:widowControl/>
        <w:spacing w:beforeAutospacing="0" w:afterAutospacing="0" w:line="360" w:lineRule="auto"/>
        <w:ind w:firstLine="602"/>
        <w:jc w:val="center"/>
        <w:rPr>
          <w:rStyle w:val="34"/>
          <w:rFonts w:ascii="宋体" w:hAnsi="宋体" w:cs="宋体"/>
          <w:color w:val="auto"/>
          <w:sz w:val="28"/>
          <w:szCs w:val="28"/>
          <w:highlight w:val="none"/>
        </w:rPr>
      </w:pPr>
      <w:r>
        <w:rPr>
          <w:rFonts w:hint="eastAsia" w:ascii="宋体" w:hAnsi="宋体" w:cs="宋体"/>
          <w:color w:val="auto"/>
          <w:sz w:val="30"/>
          <w:szCs w:val="30"/>
          <w:highlight w:val="none"/>
          <w:lang w:val="zh-CN"/>
        </w:rPr>
        <w:t>苏州市创杰招投标咨询服务有限公司</w:t>
      </w:r>
    </w:p>
    <w:p w14:paraId="72F5EA58">
      <w:pPr>
        <w:autoSpaceDE w:val="0"/>
        <w:autoSpaceDN w:val="0"/>
        <w:adjustRightInd w:val="0"/>
        <w:spacing w:line="360" w:lineRule="auto"/>
        <w:ind w:firstLine="602"/>
        <w:jc w:val="center"/>
        <w:rPr>
          <w:rFonts w:ascii="宋体" w:hAnsi="宋体" w:cs="宋体"/>
          <w:color w:val="auto"/>
          <w:sz w:val="30"/>
          <w:szCs w:val="30"/>
          <w:highlight w:val="none"/>
        </w:rPr>
        <w:sectPr>
          <w:headerReference r:id="rId3" w:type="default"/>
          <w:footerReference r:id="rId4" w:type="default"/>
          <w:pgSz w:w="11906" w:h="16838"/>
          <w:pgMar w:top="1440" w:right="1417" w:bottom="1440" w:left="1417" w:header="964" w:footer="1077" w:gutter="0"/>
          <w:cols w:space="720" w:num="1"/>
          <w:docGrid w:type="lines" w:linePitch="312" w:charSpace="0"/>
        </w:sectPr>
      </w:pPr>
      <w:bookmarkStart w:id="1" w:name="XTSCRQ_1"/>
      <w:r>
        <w:rPr>
          <w:rFonts w:hint="eastAsia" w:ascii="宋体" w:hAnsi="宋体" w:cs="宋体"/>
          <w:color w:val="auto"/>
          <w:sz w:val="30"/>
          <w:szCs w:val="30"/>
          <w:highlight w:val="none"/>
        </w:rPr>
        <w:t>二○二</w:t>
      </w:r>
      <w:r>
        <w:rPr>
          <w:rFonts w:hint="eastAsia" w:ascii="宋体" w:hAnsi="宋体" w:cs="宋体"/>
          <w:color w:val="auto"/>
          <w:sz w:val="30"/>
          <w:szCs w:val="30"/>
          <w:highlight w:val="none"/>
          <w:lang w:val="en-US" w:eastAsia="zh-CN"/>
        </w:rPr>
        <w:t>五</w:t>
      </w:r>
      <w:r>
        <w:rPr>
          <w:rFonts w:hint="eastAsia" w:ascii="宋体" w:hAnsi="宋体" w:cs="宋体"/>
          <w:color w:val="auto"/>
          <w:sz w:val="30"/>
          <w:szCs w:val="30"/>
          <w:highlight w:val="none"/>
        </w:rPr>
        <w:t>年</w:t>
      </w:r>
      <w:r>
        <w:rPr>
          <w:rFonts w:hint="eastAsia" w:ascii="宋体" w:hAnsi="宋体" w:cs="宋体"/>
          <w:color w:val="auto"/>
          <w:sz w:val="30"/>
          <w:szCs w:val="30"/>
          <w:highlight w:val="none"/>
          <w:lang w:val="en-US" w:eastAsia="zh-CN"/>
        </w:rPr>
        <w:t>四</w:t>
      </w:r>
      <w:r>
        <w:rPr>
          <w:rFonts w:hint="eastAsia" w:ascii="宋体" w:hAnsi="宋体" w:cs="宋体"/>
          <w:color w:val="auto"/>
          <w:sz w:val="30"/>
          <w:szCs w:val="30"/>
          <w:highlight w:val="none"/>
        </w:rPr>
        <w:t>月</w:t>
      </w:r>
      <w:bookmarkEnd w:id="1"/>
    </w:p>
    <w:p w14:paraId="48271B0A">
      <w:pPr>
        <w:pStyle w:val="23"/>
        <w:pageBreakBefore/>
        <w:tabs>
          <w:tab w:val="right" w:leader="dot" w:pos="8302"/>
        </w:tabs>
        <w:spacing w:line="360" w:lineRule="auto"/>
        <w:ind w:firstLine="640"/>
        <w:jc w:val="center"/>
        <w:rPr>
          <w:rStyle w:val="34"/>
          <w:rFonts w:ascii="宋体" w:hAnsi="宋体" w:cs="宋体"/>
          <w:bCs/>
          <w:color w:val="auto"/>
          <w:sz w:val="32"/>
          <w:szCs w:val="32"/>
          <w:highlight w:val="none"/>
        </w:rPr>
      </w:pPr>
      <w:r>
        <w:rPr>
          <w:rStyle w:val="34"/>
          <w:rFonts w:hint="eastAsia" w:ascii="宋体" w:hAnsi="宋体" w:cs="宋体"/>
          <w:bCs/>
          <w:color w:val="auto"/>
          <w:sz w:val="32"/>
          <w:szCs w:val="32"/>
          <w:highlight w:val="none"/>
        </w:rPr>
        <w:t>前附表</w:t>
      </w:r>
      <w:bookmarkEnd w:id="0"/>
    </w:p>
    <w:p w14:paraId="435657F3">
      <w:pPr>
        <w:overflowPunct w:val="0"/>
        <w:adjustRightInd w:val="0"/>
        <w:snapToGrid w:val="0"/>
        <w:spacing w:line="360" w:lineRule="auto"/>
        <w:ind w:firstLine="420" w:firstLineChars="200"/>
        <w:rPr>
          <w:rFonts w:ascii="宋体" w:hAnsi="宋体" w:cs="宋体"/>
          <w:b/>
          <w:color w:val="auto"/>
          <w:sz w:val="44"/>
          <w:highlight w:val="none"/>
        </w:rPr>
      </w:pPr>
      <w:r>
        <w:rPr>
          <w:rFonts w:hint="eastAsia" w:ascii="宋体" w:hAnsi="宋体" w:cs="宋体"/>
          <w:color w:val="auto"/>
          <w:szCs w:val="21"/>
          <w:highlight w:val="none"/>
        </w:rPr>
        <w:t>尊敬的投标单位：欢迎参加本项目的投标。为了保证投标顺利进行，请在制作投标文件之前，仔细阅读本招标文件的各项条款，并严格按要求制作和递交投标文件。谢谢合作！</w:t>
      </w:r>
    </w:p>
    <w:tbl>
      <w:tblPr>
        <w:tblStyle w:val="31"/>
        <w:tblW w:w="5000" w:type="pct"/>
        <w:jc w:val="center"/>
        <w:tblLayout w:type="fixed"/>
        <w:tblCellMar>
          <w:top w:w="0" w:type="dxa"/>
          <w:left w:w="108" w:type="dxa"/>
          <w:bottom w:w="0" w:type="dxa"/>
          <w:right w:w="108" w:type="dxa"/>
        </w:tblCellMar>
      </w:tblPr>
      <w:tblGrid>
        <w:gridCol w:w="652"/>
        <w:gridCol w:w="1533"/>
        <w:gridCol w:w="7103"/>
      </w:tblGrid>
      <w:tr w14:paraId="1EE40BAA">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3A2348A4">
            <w:pPr>
              <w:autoSpaceDE w:val="0"/>
              <w:autoSpaceDN w:val="0"/>
              <w:adjustRightInd w:val="0"/>
              <w:spacing w:line="360" w:lineRule="auto"/>
              <w:jc w:val="center"/>
              <w:rPr>
                <w:rFonts w:ascii="宋体" w:hAnsi="宋体" w:cs="宋体"/>
                <w:b/>
                <w:bCs/>
                <w:color w:val="auto"/>
                <w:szCs w:val="21"/>
                <w:highlight w:val="none"/>
                <w:lang w:val="zh-CN"/>
              </w:rPr>
            </w:pPr>
            <w:r>
              <w:rPr>
                <w:rFonts w:hint="eastAsia" w:ascii="宋体" w:hAnsi="宋体" w:cs="宋体"/>
                <w:b/>
                <w:bCs/>
                <w:color w:val="auto"/>
                <w:szCs w:val="21"/>
                <w:highlight w:val="none"/>
                <w:lang w:val="zh-CN"/>
              </w:rPr>
              <w:t>项号</w:t>
            </w:r>
          </w:p>
        </w:tc>
        <w:tc>
          <w:tcPr>
            <w:tcW w:w="1533" w:type="dxa"/>
            <w:tcBorders>
              <w:top w:val="single" w:color="auto" w:sz="6" w:space="0"/>
              <w:left w:val="single" w:color="auto" w:sz="6" w:space="0"/>
              <w:bottom w:val="single" w:color="auto" w:sz="6" w:space="0"/>
              <w:right w:val="single" w:color="auto" w:sz="6" w:space="0"/>
            </w:tcBorders>
            <w:vAlign w:val="center"/>
          </w:tcPr>
          <w:p w14:paraId="5055DD22">
            <w:pPr>
              <w:autoSpaceDE w:val="0"/>
              <w:autoSpaceDN w:val="0"/>
              <w:adjustRightInd w:val="0"/>
              <w:spacing w:line="360" w:lineRule="auto"/>
              <w:jc w:val="center"/>
              <w:rPr>
                <w:rFonts w:ascii="宋体" w:hAnsi="宋体" w:cs="宋体"/>
                <w:b/>
                <w:bCs/>
                <w:color w:val="auto"/>
                <w:szCs w:val="21"/>
                <w:highlight w:val="none"/>
                <w:lang w:val="zh-CN"/>
              </w:rPr>
            </w:pPr>
            <w:r>
              <w:rPr>
                <w:rFonts w:hint="eastAsia" w:ascii="宋体" w:hAnsi="宋体" w:cs="宋体"/>
                <w:b/>
                <w:bCs/>
                <w:color w:val="auto"/>
                <w:szCs w:val="21"/>
                <w:highlight w:val="none"/>
                <w:lang w:val="zh-CN"/>
              </w:rPr>
              <w:t>名称</w:t>
            </w:r>
          </w:p>
        </w:tc>
        <w:tc>
          <w:tcPr>
            <w:tcW w:w="7103" w:type="dxa"/>
            <w:tcBorders>
              <w:top w:val="single" w:color="auto" w:sz="6" w:space="0"/>
              <w:left w:val="single" w:color="auto" w:sz="6" w:space="0"/>
              <w:bottom w:val="single" w:color="auto" w:sz="6" w:space="0"/>
              <w:right w:val="single" w:color="auto" w:sz="6" w:space="0"/>
            </w:tcBorders>
            <w:vAlign w:val="center"/>
          </w:tcPr>
          <w:p w14:paraId="5768807C">
            <w:pPr>
              <w:autoSpaceDE w:val="0"/>
              <w:autoSpaceDN w:val="0"/>
              <w:adjustRightInd w:val="0"/>
              <w:spacing w:line="360" w:lineRule="auto"/>
              <w:jc w:val="center"/>
              <w:rPr>
                <w:rFonts w:ascii="宋体" w:hAnsi="宋体" w:cs="宋体"/>
                <w:b/>
                <w:bCs/>
                <w:color w:val="auto"/>
                <w:szCs w:val="21"/>
                <w:highlight w:val="none"/>
                <w:lang w:val="zh-CN"/>
              </w:rPr>
            </w:pPr>
            <w:r>
              <w:rPr>
                <w:rFonts w:hint="eastAsia" w:ascii="宋体" w:hAnsi="宋体" w:cs="宋体"/>
                <w:b/>
                <w:bCs/>
                <w:color w:val="auto"/>
                <w:szCs w:val="21"/>
                <w:highlight w:val="none"/>
                <w:lang w:val="zh-CN"/>
              </w:rPr>
              <w:t>内      容</w:t>
            </w:r>
          </w:p>
        </w:tc>
      </w:tr>
      <w:tr w14:paraId="0118242D">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0FB51195">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1</w:t>
            </w:r>
          </w:p>
        </w:tc>
        <w:tc>
          <w:tcPr>
            <w:tcW w:w="1533" w:type="dxa"/>
            <w:tcBorders>
              <w:top w:val="single" w:color="auto" w:sz="6" w:space="0"/>
              <w:left w:val="single" w:color="auto" w:sz="6" w:space="0"/>
              <w:bottom w:val="single" w:color="auto" w:sz="6" w:space="0"/>
              <w:right w:val="single" w:color="auto" w:sz="6" w:space="0"/>
            </w:tcBorders>
            <w:vAlign w:val="center"/>
          </w:tcPr>
          <w:p w14:paraId="109AF5AE">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招标编号</w:t>
            </w:r>
          </w:p>
        </w:tc>
        <w:tc>
          <w:tcPr>
            <w:tcW w:w="7103" w:type="dxa"/>
            <w:tcBorders>
              <w:top w:val="single" w:color="auto" w:sz="6" w:space="0"/>
              <w:left w:val="single" w:color="auto" w:sz="6" w:space="0"/>
              <w:bottom w:val="single" w:color="auto" w:sz="6" w:space="0"/>
              <w:right w:val="single" w:color="auto" w:sz="6" w:space="0"/>
            </w:tcBorders>
            <w:vAlign w:val="center"/>
          </w:tcPr>
          <w:p w14:paraId="4ED021DD">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lang w:val="zh-CN"/>
              </w:rPr>
              <w:t>JSZC-320500-CJZB-G2025-0054号</w:t>
            </w:r>
          </w:p>
        </w:tc>
      </w:tr>
      <w:tr w14:paraId="368B718C">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3F67C558">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2</w:t>
            </w:r>
          </w:p>
        </w:tc>
        <w:tc>
          <w:tcPr>
            <w:tcW w:w="1533" w:type="dxa"/>
            <w:tcBorders>
              <w:top w:val="single" w:color="auto" w:sz="6" w:space="0"/>
              <w:left w:val="single" w:color="auto" w:sz="6" w:space="0"/>
              <w:bottom w:val="single" w:color="auto" w:sz="6" w:space="0"/>
              <w:right w:val="single" w:color="auto" w:sz="6" w:space="0"/>
            </w:tcBorders>
            <w:vAlign w:val="center"/>
          </w:tcPr>
          <w:p w14:paraId="25C8F7DD">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招标内容</w:t>
            </w:r>
          </w:p>
        </w:tc>
        <w:tc>
          <w:tcPr>
            <w:tcW w:w="7103" w:type="dxa"/>
            <w:tcBorders>
              <w:top w:val="single" w:color="auto" w:sz="6" w:space="0"/>
              <w:left w:val="single" w:color="auto" w:sz="6" w:space="0"/>
              <w:bottom w:val="single" w:color="auto" w:sz="6" w:space="0"/>
              <w:right w:val="single" w:color="auto" w:sz="6" w:space="0"/>
            </w:tcBorders>
            <w:vAlign w:val="center"/>
          </w:tcPr>
          <w:p w14:paraId="6ACD5D2D">
            <w:pPr>
              <w:autoSpaceDE w:val="0"/>
              <w:autoSpaceDN w:val="0"/>
              <w:adjustRightInd w:val="0"/>
              <w:spacing w:line="360" w:lineRule="auto"/>
              <w:jc w:val="left"/>
              <w:rPr>
                <w:rFonts w:ascii="宋体" w:hAnsi="宋体" w:cs="宋体"/>
                <w:color w:val="auto"/>
                <w:highlight w:val="none"/>
              </w:rPr>
            </w:pPr>
            <w:r>
              <w:rPr>
                <w:rFonts w:hint="eastAsia" w:ascii="宋体" w:hAnsi="宋体" w:cs="宋体"/>
                <w:color w:val="auto"/>
                <w:szCs w:val="21"/>
                <w:highlight w:val="none"/>
                <w:lang w:val="zh-CN"/>
              </w:rPr>
              <w:t>2025年苏州市级应急物资增储项目</w:t>
            </w:r>
          </w:p>
        </w:tc>
      </w:tr>
      <w:tr w14:paraId="61570B7A">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663D70F1">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3</w:t>
            </w:r>
          </w:p>
        </w:tc>
        <w:tc>
          <w:tcPr>
            <w:tcW w:w="1533" w:type="dxa"/>
            <w:tcBorders>
              <w:top w:val="single" w:color="auto" w:sz="6" w:space="0"/>
              <w:left w:val="single" w:color="auto" w:sz="6" w:space="0"/>
              <w:bottom w:val="single" w:color="auto" w:sz="6" w:space="0"/>
              <w:right w:val="single" w:color="auto" w:sz="6" w:space="0"/>
            </w:tcBorders>
            <w:vAlign w:val="center"/>
          </w:tcPr>
          <w:p w14:paraId="22E18D57">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投标有效期</w:t>
            </w:r>
          </w:p>
        </w:tc>
        <w:tc>
          <w:tcPr>
            <w:tcW w:w="7103" w:type="dxa"/>
            <w:tcBorders>
              <w:top w:val="single" w:color="auto" w:sz="6" w:space="0"/>
              <w:left w:val="single" w:color="auto" w:sz="6" w:space="0"/>
              <w:bottom w:val="single" w:color="auto" w:sz="6" w:space="0"/>
              <w:right w:val="single" w:color="auto" w:sz="6" w:space="0"/>
            </w:tcBorders>
            <w:vAlign w:val="center"/>
          </w:tcPr>
          <w:p w14:paraId="74D8C017">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highlight w:val="none"/>
              </w:rPr>
              <w:t>六十天（日历日）</w:t>
            </w:r>
          </w:p>
        </w:tc>
      </w:tr>
      <w:tr w14:paraId="57E77142">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38778974">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4</w:t>
            </w:r>
          </w:p>
        </w:tc>
        <w:tc>
          <w:tcPr>
            <w:tcW w:w="1533" w:type="dxa"/>
            <w:tcBorders>
              <w:top w:val="single" w:color="auto" w:sz="6" w:space="0"/>
              <w:left w:val="single" w:color="auto" w:sz="6" w:space="0"/>
              <w:bottom w:val="single" w:color="auto" w:sz="6" w:space="0"/>
              <w:right w:val="single" w:color="auto" w:sz="6" w:space="0"/>
            </w:tcBorders>
            <w:vAlign w:val="center"/>
          </w:tcPr>
          <w:p w14:paraId="6F8497DE">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投标保证金</w:t>
            </w:r>
          </w:p>
        </w:tc>
        <w:tc>
          <w:tcPr>
            <w:tcW w:w="7103" w:type="dxa"/>
            <w:tcBorders>
              <w:top w:val="single" w:color="auto" w:sz="6" w:space="0"/>
              <w:left w:val="single" w:color="auto" w:sz="6" w:space="0"/>
              <w:bottom w:val="single" w:color="auto" w:sz="6" w:space="0"/>
              <w:right w:val="single" w:color="auto" w:sz="6" w:space="0"/>
            </w:tcBorders>
            <w:vAlign w:val="center"/>
          </w:tcPr>
          <w:p w14:paraId="221C5F6E">
            <w:pPr>
              <w:pStyle w:val="19"/>
              <w:spacing w:line="360" w:lineRule="auto"/>
              <w:rPr>
                <w:rStyle w:val="77"/>
                <w:rFonts w:ascii="宋体" w:hAnsi="宋体" w:cs="宋体"/>
                <w:bCs w:val="0"/>
                <w:color w:val="auto"/>
                <w:spacing w:val="0"/>
                <w:kern w:val="2"/>
                <w:sz w:val="21"/>
                <w:szCs w:val="21"/>
                <w:highlight w:val="none"/>
              </w:rPr>
            </w:pPr>
            <w:r>
              <w:rPr>
                <w:rStyle w:val="77"/>
                <w:rFonts w:hint="eastAsia" w:ascii="宋体" w:hAnsi="宋体" w:cs="宋体"/>
                <w:bCs w:val="0"/>
                <w:color w:val="auto"/>
                <w:spacing w:val="0"/>
                <w:kern w:val="2"/>
                <w:sz w:val="21"/>
                <w:szCs w:val="21"/>
                <w:highlight w:val="none"/>
              </w:rPr>
              <w:sym w:font="Wingdings" w:char="F0FE"/>
            </w:r>
            <w:r>
              <w:rPr>
                <w:rStyle w:val="77"/>
                <w:rFonts w:hint="eastAsia" w:ascii="宋体" w:hAnsi="宋体" w:cs="宋体"/>
                <w:bCs w:val="0"/>
                <w:color w:val="auto"/>
                <w:spacing w:val="0"/>
                <w:kern w:val="2"/>
                <w:sz w:val="21"/>
                <w:szCs w:val="21"/>
                <w:highlight w:val="none"/>
              </w:rPr>
              <w:t>不需提交，招标文件中有关投标保证金的规定均不适用。</w:t>
            </w:r>
          </w:p>
          <w:p w14:paraId="68BD4375">
            <w:pPr>
              <w:pStyle w:val="19"/>
              <w:spacing w:line="360" w:lineRule="auto"/>
              <w:rPr>
                <w:rFonts w:ascii="宋体" w:hAnsi="宋体" w:cs="宋体"/>
                <w:color w:val="auto"/>
                <w:sz w:val="18"/>
                <w:szCs w:val="18"/>
                <w:highlight w:val="none"/>
              </w:rPr>
            </w:pPr>
            <w:r>
              <w:rPr>
                <w:rStyle w:val="77"/>
                <w:rFonts w:hint="eastAsia" w:ascii="宋体" w:hAnsi="宋体" w:cs="宋体"/>
                <w:bCs w:val="0"/>
                <w:color w:val="auto"/>
                <w:spacing w:val="0"/>
                <w:kern w:val="2"/>
                <w:sz w:val="21"/>
                <w:szCs w:val="21"/>
                <w:highlight w:val="none"/>
              </w:rPr>
              <w:t>投标（响应）人应在投标（响应）文件中提交《投标（响应）保证承诺书》（详见附件），否则为无效投标。</w:t>
            </w:r>
          </w:p>
        </w:tc>
      </w:tr>
      <w:tr w14:paraId="0F244CCE">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78DBFC4D">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color w:val="auto"/>
                <w:szCs w:val="21"/>
                <w:highlight w:val="none"/>
                <w:lang w:val="zh-CN"/>
              </w:rPr>
              <w:t>5</w:t>
            </w:r>
          </w:p>
        </w:tc>
        <w:tc>
          <w:tcPr>
            <w:tcW w:w="1533" w:type="dxa"/>
            <w:tcBorders>
              <w:top w:val="single" w:color="auto" w:sz="6" w:space="0"/>
              <w:left w:val="single" w:color="auto" w:sz="6" w:space="0"/>
              <w:bottom w:val="single" w:color="auto" w:sz="6" w:space="0"/>
              <w:right w:val="single" w:color="auto" w:sz="6" w:space="0"/>
            </w:tcBorders>
            <w:vAlign w:val="center"/>
          </w:tcPr>
          <w:p w14:paraId="4AA4302B">
            <w:pPr>
              <w:pStyle w:val="15"/>
              <w:spacing w:after="0" w:line="360" w:lineRule="auto"/>
              <w:jc w:val="center"/>
              <w:rPr>
                <w:rFonts w:ascii="宋体" w:hAnsi="宋体" w:cs="宋体"/>
                <w:color w:val="auto"/>
                <w:kern w:val="2"/>
                <w:sz w:val="21"/>
                <w:highlight w:val="none"/>
              </w:rPr>
            </w:pPr>
            <w:r>
              <w:rPr>
                <w:rFonts w:hint="eastAsia" w:ascii="宋体" w:hAnsi="宋体" w:cs="宋体"/>
                <w:color w:val="auto"/>
                <w:kern w:val="2"/>
                <w:sz w:val="21"/>
                <w:highlight w:val="none"/>
              </w:rPr>
              <w:t>招标代理机构</w:t>
            </w:r>
          </w:p>
        </w:tc>
        <w:tc>
          <w:tcPr>
            <w:tcW w:w="7103" w:type="dxa"/>
            <w:tcBorders>
              <w:top w:val="single" w:color="auto" w:sz="6" w:space="0"/>
              <w:left w:val="single" w:color="auto" w:sz="6" w:space="0"/>
              <w:bottom w:val="single" w:color="auto" w:sz="6" w:space="0"/>
              <w:right w:val="single" w:color="auto" w:sz="6" w:space="0"/>
            </w:tcBorders>
            <w:vAlign w:val="center"/>
          </w:tcPr>
          <w:p w14:paraId="30025E89">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lang w:val="zh-CN"/>
              </w:rPr>
              <w:t>苏州市创杰招投标咨询服务有限公司</w:t>
            </w:r>
          </w:p>
          <w:p w14:paraId="0A9608D2">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lang w:val="zh-CN"/>
              </w:rPr>
              <w:t>地  址： 苏州市干将西路399号银海大厦303室   邮编：215002</w:t>
            </w:r>
          </w:p>
          <w:p w14:paraId="5B21D66D">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lang w:val="zh-CN"/>
              </w:rPr>
              <w:t xml:space="preserve">电话/传真：0512-65238816  65238892   </w:t>
            </w:r>
          </w:p>
          <w:p w14:paraId="64304069">
            <w:pPr>
              <w:autoSpaceDE w:val="0"/>
              <w:autoSpaceDN w:val="0"/>
              <w:adjustRightInd w:val="0"/>
              <w:spacing w:line="360" w:lineRule="auto"/>
              <w:jc w:val="left"/>
              <w:rPr>
                <w:rFonts w:ascii="宋体" w:hAnsi="宋体" w:cs="宋体"/>
                <w:color w:val="auto"/>
                <w:highlight w:val="none"/>
              </w:rPr>
            </w:pPr>
            <w:r>
              <w:rPr>
                <w:rFonts w:hint="eastAsia" w:ascii="宋体" w:hAnsi="宋体" w:cs="宋体"/>
                <w:color w:val="auto"/>
                <w:szCs w:val="21"/>
                <w:highlight w:val="none"/>
                <w:lang w:val="zh-CN"/>
              </w:rPr>
              <w:t>联系人：路丽丽  潘莉莉  朱晓芹    庄天扬</w:t>
            </w:r>
          </w:p>
        </w:tc>
      </w:tr>
      <w:tr w14:paraId="65BE79D1">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6C9BFB2F">
            <w:pPr>
              <w:overflowPunct w:val="0"/>
              <w:spacing w:line="360" w:lineRule="auto"/>
              <w:jc w:val="center"/>
              <w:rPr>
                <w:rFonts w:ascii="宋体" w:hAnsi="宋体" w:cs="宋体"/>
                <w:color w:val="auto"/>
                <w:highlight w:val="none"/>
              </w:rPr>
            </w:pPr>
            <w:r>
              <w:rPr>
                <w:rFonts w:hint="eastAsia" w:ascii="宋体" w:hAnsi="宋体" w:cs="宋体"/>
                <w:color w:val="auto"/>
                <w:highlight w:val="none"/>
              </w:rPr>
              <w:t>6</w:t>
            </w:r>
          </w:p>
        </w:tc>
        <w:tc>
          <w:tcPr>
            <w:tcW w:w="1533" w:type="dxa"/>
            <w:tcBorders>
              <w:top w:val="single" w:color="auto" w:sz="6" w:space="0"/>
              <w:left w:val="single" w:color="auto" w:sz="6" w:space="0"/>
              <w:bottom w:val="single" w:color="auto" w:sz="6" w:space="0"/>
              <w:right w:val="single" w:color="auto" w:sz="6" w:space="0"/>
            </w:tcBorders>
            <w:vAlign w:val="center"/>
          </w:tcPr>
          <w:p w14:paraId="73E94637">
            <w:pPr>
              <w:tabs>
                <w:tab w:val="left" w:pos="3600"/>
              </w:tabs>
              <w:spacing w:line="360" w:lineRule="auto"/>
              <w:jc w:val="center"/>
              <w:rPr>
                <w:rFonts w:ascii="宋体" w:hAnsi="宋体" w:cs="宋体"/>
                <w:color w:val="auto"/>
                <w:highlight w:val="none"/>
                <w:lang w:val="zh-CN"/>
              </w:rPr>
            </w:pPr>
            <w:r>
              <w:rPr>
                <w:rFonts w:hint="eastAsia" w:ascii="宋体" w:hAnsi="宋体" w:cs="宋体"/>
                <w:color w:val="auto"/>
                <w:highlight w:val="none"/>
              </w:rPr>
              <w:t>采购单位</w:t>
            </w:r>
          </w:p>
        </w:tc>
        <w:tc>
          <w:tcPr>
            <w:tcW w:w="7103" w:type="dxa"/>
            <w:tcBorders>
              <w:top w:val="single" w:color="auto" w:sz="6" w:space="0"/>
              <w:left w:val="single" w:color="auto" w:sz="6" w:space="0"/>
              <w:bottom w:val="single" w:color="auto" w:sz="6" w:space="0"/>
              <w:right w:val="single" w:color="auto" w:sz="6" w:space="0"/>
            </w:tcBorders>
            <w:vAlign w:val="center"/>
          </w:tcPr>
          <w:p w14:paraId="69D4D514">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lang w:eastAsia="zh-CN"/>
              </w:rPr>
              <w:t>苏州市发展和改革委员会</w:t>
            </w:r>
            <w:r>
              <w:rPr>
                <w:rFonts w:hint="eastAsia" w:ascii="宋体" w:hAnsi="宋体" w:cs="宋体"/>
                <w:bCs/>
                <w:color w:val="auto"/>
                <w:szCs w:val="21"/>
                <w:highlight w:val="none"/>
              </w:rPr>
              <w:t xml:space="preserve">   </w:t>
            </w:r>
          </w:p>
          <w:p w14:paraId="42032AE4">
            <w:pPr>
              <w:adjustRightInd w:val="0"/>
              <w:snapToGrid w:val="0"/>
              <w:spacing w:line="360" w:lineRule="auto"/>
              <w:rPr>
                <w:rFonts w:hint="eastAsia" w:eastAsia="宋体"/>
                <w:color w:val="auto"/>
                <w:highlight w:val="none"/>
                <w:lang w:eastAsia="zh-CN"/>
              </w:rPr>
            </w:pPr>
            <w:r>
              <w:rPr>
                <w:rFonts w:hint="eastAsia" w:ascii="宋体" w:hAnsi="宋体" w:cs="宋体"/>
                <w:bCs/>
                <w:color w:val="auto"/>
                <w:szCs w:val="21"/>
                <w:highlight w:val="none"/>
              </w:rPr>
              <w:t>联系人：</w:t>
            </w:r>
            <w:r>
              <w:rPr>
                <w:rFonts w:hint="eastAsia" w:ascii="宋体" w:hAnsi="宋体" w:cs="宋体"/>
                <w:bCs/>
                <w:color w:val="auto"/>
                <w:szCs w:val="21"/>
                <w:highlight w:val="none"/>
                <w:lang w:eastAsia="zh-CN"/>
              </w:rPr>
              <w:t>顾晓莉</w:t>
            </w:r>
            <w:r>
              <w:rPr>
                <w:rFonts w:hint="eastAsia" w:ascii="宋体" w:hAnsi="宋体" w:cs="宋体"/>
                <w:bCs/>
                <w:color w:val="auto"/>
                <w:szCs w:val="21"/>
                <w:highlight w:val="none"/>
              </w:rPr>
              <w:t xml:space="preserve"> </w:t>
            </w:r>
            <w:r>
              <w:rPr>
                <w:rFonts w:hint="eastAsia" w:ascii="宋体" w:hAnsi="宋体" w:cs="宋体"/>
                <w:bCs/>
                <w:color w:val="auto"/>
                <w:szCs w:val="21"/>
                <w:highlight w:val="none"/>
                <w:lang w:val="en-US" w:eastAsia="zh-CN"/>
              </w:rPr>
              <w:t xml:space="preserve"> </w:t>
            </w:r>
            <w:r>
              <w:rPr>
                <w:rFonts w:hint="eastAsia" w:ascii="宋体" w:hAnsi="宋体" w:cs="宋体"/>
                <w:bCs/>
                <w:color w:val="auto"/>
                <w:szCs w:val="21"/>
                <w:highlight w:val="none"/>
              </w:rPr>
              <w:t xml:space="preserve">       联系电话： </w:t>
            </w:r>
            <w:r>
              <w:rPr>
                <w:rFonts w:hint="eastAsia" w:ascii="宋体" w:hAnsi="宋体" w:cs="宋体"/>
                <w:bCs/>
                <w:color w:val="auto"/>
                <w:szCs w:val="21"/>
                <w:highlight w:val="none"/>
                <w:lang w:val="en-US" w:eastAsia="zh-CN"/>
              </w:rPr>
              <w:t>0512-65201806</w:t>
            </w:r>
            <w:r>
              <w:rPr>
                <w:rFonts w:hint="eastAsia" w:ascii="宋体" w:hAnsi="宋体" w:cs="宋体"/>
                <w:bCs/>
                <w:color w:val="auto"/>
                <w:szCs w:val="21"/>
                <w:highlight w:val="none"/>
              </w:rPr>
              <w:t xml:space="preserve"> </w:t>
            </w:r>
            <w:r>
              <w:rPr>
                <w:rFonts w:hint="eastAsia" w:ascii="宋体" w:hAnsi="宋体" w:cs="宋体"/>
                <w:bCs/>
                <w:color w:val="auto"/>
                <w:szCs w:val="21"/>
                <w:highlight w:val="none"/>
                <w:lang w:val="en-US" w:eastAsia="zh-CN"/>
              </w:rPr>
              <w:t xml:space="preserve"> </w:t>
            </w:r>
          </w:p>
        </w:tc>
      </w:tr>
      <w:tr w14:paraId="0670DC0B">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19EB060D">
            <w:pPr>
              <w:overflowPunct w:val="0"/>
              <w:spacing w:line="360" w:lineRule="auto"/>
              <w:jc w:val="center"/>
              <w:rPr>
                <w:rFonts w:ascii="宋体" w:hAnsi="宋体" w:cs="宋体"/>
                <w:color w:val="auto"/>
                <w:highlight w:val="none"/>
              </w:rPr>
            </w:pPr>
            <w:r>
              <w:rPr>
                <w:rFonts w:hint="eastAsia" w:ascii="宋体" w:hAnsi="宋体" w:cs="宋体"/>
                <w:color w:val="auto"/>
                <w:highlight w:val="none"/>
              </w:rPr>
              <w:t>7</w:t>
            </w:r>
          </w:p>
        </w:tc>
        <w:tc>
          <w:tcPr>
            <w:tcW w:w="1533" w:type="dxa"/>
            <w:tcBorders>
              <w:top w:val="single" w:color="auto" w:sz="6" w:space="0"/>
              <w:left w:val="single" w:color="auto" w:sz="6" w:space="0"/>
              <w:bottom w:val="single" w:color="auto" w:sz="6" w:space="0"/>
              <w:right w:val="single" w:color="auto" w:sz="6" w:space="0"/>
            </w:tcBorders>
            <w:vAlign w:val="center"/>
          </w:tcPr>
          <w:p w14:paraId="75479C80">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投标文件组成</w:t>
            </w:r>
          </w:p>
        </w:tc>
        <w:tc>
          <w:tcPr>
            <w:tcW w:w="7103" w:type="dxa"/>
            <w:tcBorders>
              <w:top w:val="single" w:color="auto" w:sz="6" w:space="0"/>
              <w:left w:val="single" w:color="auto" w:sz="6" w:space="0"/>
              <w:bottom w:val="single" w:color="auto" w:sz="6" w:space="0"/>
              <w:right w:val="single" w:color="auto" w:sz="6" w:space="0"/>
            </w:tcBorders>
            <w:vAlign w:val="center"/>
          </w:tcPr>
          <w:p w14:paraId="776230F6">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详见招标文件第二章</w:t>
            </w:r>
          </w:p>
        </w:tc>
      </w:tr>
      <w:tr w14:paraId="79099648">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27802204">
            <w:pPr>
              <w:overflowPunct w:val="0"/>
              <w:spacing w:line="360" w:lineRule="auto"/>
              <w:jc w:val="center"/>
              <w:rPr>
                <w:rFonts w:ascii="宋体" w:hAnsi="宋体" w:cs="宋体"/>
                <w:color w:val="auto"/>
                <w:highlight w:val="none"/>
              </w:rPr>
            </w:pPr>
            <w:r>
              <w:rPr>
                <w:rFonts w:hint="eastAsia" w:ascii="宋体" w:hAnsi="宋体" w:cs="宋体"/>
                <w:color w:val="auto"/>
                <w:highlight w:val="none"/>
              </w:rPr>
              <w:t>8</w:t>
            </w:r>
          </w:p>
        </w:tc>
        <w:tc>
          <w:tcPr>
            <w:tcW w:w="1533" w:type="dxa"/>
            <w:tcBorders>
              <w:top w:val="single" w:color="auto" w:sz="6" w:space="0"/>
              <w:left w:val="single" w:color="auto" w:sz="6" w:space="0"/>
              <w:bottom w:val="single" w:color="auto" w:sz="6" w:space="0"/>
              <w:right w:val="single" w:color="auto" w:sz="6" w:space="0"/>
            </w:tcBorders>
            <w:vAlign w:val="center"/>
          </w:tcPr>
          <w:p w14:paraId="000BF76F">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获取招标文件</w:t>
            </w:r>
          </w:p>
          <w:p w14:paraId="09CE176A">
            <w:pPr>
              <w:spacing w:line="440" w:lineRule="exact"/>
              <w:jc w:val="center"/>
              <w:rPr>
                <w:rFonts w:ascii="宋体" w:hAnsi="宋体" w:cs="宋体"/>
                <w:color w:val="auto"/>
                <w:highlight w:val="none"/>
              </w:rPr>
            </w:pPr>
            <w:r>
              <w:rPr>
                <w:rFonts w:hint="eastAsia" w:ascii="宋体" w:hAnsi="宋体" w:cs="宋体"/>
                <w:color w:val="auto"/>
                <w:szCs w:val="21"/>
                <w:highlight w:val="none"/>
              </w:rPr>
              <w:t>时间</w:t>
            </w:r>
          </w:p>
        </w:tc>
        <w:tc>
          <w:tcPr>
            <w:tcW w:w="7103" w:type="dxa"/>
            <w:tcBorders>
              <w:top w:val="single" w:color="auto" w:sz="6" w:space="0"/>
              <w:left w:val="single" w:color="auto" w:sz="6" w:space="0"/>
              <w:bottom w:val="single" w:color="auto" w:sz="6" w:space="0"/>
              <w:right w:val="single" w:color="auto" w:sz="6" w:space="0"/>
            </w:tcBorders>
            <w:vAlign w:val="center"/>
          </w:tcPr>
          <w:p w14:paraId="2E589D18">
            <w:pPr>
              <w:spacing w:line="440" w:lineRule="exact"/>
              <w:jc w:val="left"/>
              <w:rPr>
                <w:rFonts w:ascii="宋体" w:hAnsi="宋体" w:cs="宋体"/>
                <w:color w:val="auto"/>
                <w:highlight w:val="none"/>
              </w:rPr>
            </w:pPr>
            <w:r>
              <w:rPr>
                <w:rFonts w:hint="eastAsia" w:ascii="宋体" w:hAnsi="宋体" w:cs="宋体"/>
                <w:color w:val="auto"/>
                <w:szCs w:val="21"/>
                <w:highlight w:val="none"/>
              </w:rPr>
              <w:t>自公告发布之日起5个工作日</w:t>
            </w:r>
          </w:p>
        </w:tc>
      </w:tr>
      <w:tr w14:paraId="1ADA5FF3">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447D9955">
            <w:pPr>
              <w:overflowPunct w:val="0"/>
              <w:spacing w:line="360" w:lineRule="auto"/>
              <w:jc w:val="center"/>
              <w:rPr>
                <w:rFonts w:ascii="宋体" w:hAnsi="宋体" w:cs="宋体"/>
                <w:color w:val="auto"/>
                <w:highlight w:val="none"/>
              </w:rPr>
            </w:pPr>
            <w:r>
              <w:rPr>
                <w:rFonts w:hint="eastAsia" w:ascii="宋体" w:hAnsi="宋体" w:cs="宋体"/>
                <w:color w:val="auto"/>
                <w:highlight w:val="none"/>
              </w:rPr>
              <w:t>9</w:t>
            </w:r>
          </w:p>
        </w:tc>
        <w:tc>
          <w:tcPr>
            <w:tcW w:w="1533" w:type="dxa"/>
            <w:tcBorders>
              <w:top w:val="single" w:color="auto" w:sz="6" w:space="0"/>
              <w:left w:val="single" w:color="auto" w:sz="6" w:space="0"/>
              <w:bottom w:val="single" w:color="auto" w:sz="6" w:space="0"/>
              <w:right w:val="single" w:color="auto" w:sz="6" w:space="0"/>
            </w:tcBorders>
            <w:vAlign w:val="center"/>
          </w:tcPr>
          <w:p w14:paraId="34EA5BAD">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投标文件网上</w:t>
            </w:r>
          </w:p>
          <w:p w14:paraId="2C3E9666">
            <w:pPr>
              <w:overflowPunct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提交截止时间</w:t>
            </w:r>
          </w:p>
        </w:tc>
        <w:tc>
          <w:tcPr>
            <w:tcW w:w="7103" w:type="dxa"/>
            <w:tcBorders>
              <w:top w:val="single" w:color="auto" w:sz="6" w:space="0"/>
              <w:left w:val="single" w:color="auto" w:sz="6" w:space="0"/>
              <w:bottom w:val="single" w:color="auto" w:sz="6" w:space="0"/>
              <w:right w:val="single" w:color="auto" w:sz="6" w:space="0"/>
            </w:tcBorders>
            <w:vAlign w:val="center"/>
          </w:tcPr>
          <w:p w14:paraId="2263FD22">
            <w:pPr>
              <w:overflowPunct w:val="0"/>
              <w:spacing w:line="360" w:lineRule="auto"/>
              <w:rPr>
                <w:rFonts w:ascii="宋体" w:hAnsi="宋体" w:cs="宋体"/>
                <w:color w:val="auto"/>
                <w:szCs w:val="21"/>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19日</w:t>
            </w:r>
            <w:r>
              <w:rPr>
                <w:rFonts w:hint="eastAsia" w:ascii="宋体" w:hAnsi="宋体" w:cs="宋体"/>
                <w:color w:val="auto"/>
                <w:szCs w:val="21"/>
                <w:highlight w:val="none"/>
              </w:rPr>
              <w:t>13：30（北京时间）</w:t>
            </w:r>
          </w:p>
          <w:p w14:paraId="28282315">
            <w:pPr>
              <w:pStyle w:val="16"/>
              <w:ind w:firstLine="0"/>
              <w:rPr>
                <w:rFonts w:ascii="宋体" w:hAnsi="宋体" w:cs="宋体"/>
                <w:color w:val="auto"/>
                <w:sz w:val="21"/>
                <w:szCs w:val="21"/>
                <w:highlight w:val="none"/>
              </w:rPr>
            </w:pPr>
            <w:r>
              <w:rPr>
                <w:rFonts w:hint="eastAsia" w:ascii="宋体" w:hAnsi="宋体" w:cs="宋体"/>
                <w:color w:val="auto"/>
                <w:sz w:val="21"/>
                <w:szCs w:val="21"/>
                <w:highlight w:val="none"/>
              </w:rPr>
              <w:t>投标文件必须在截止时间前完成提交（上传），逾期提交（上传）的投标文件恕不接受。</w:t>
            </w:r>
          </w:p>
        </w:tc>
      </w:tr>
      <w:tr w14:paraId="4D2A3DE3">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77AE50DD">
            <w:pPr>
              <w:overflowPunct w:val="0"/>
              <w:spacing w:line="360" w:lineRule="auto"/>
              <w:jc w:val="center"/>
              <w:rPr>
                <w:rFonts w:ascii="宋体" w:hAnsi="宋体" w:cs="宋体"/>
                <w:color w:val="auto"/>
                <w:highlight w:val="none"/>
              </w:rPr>
            </w:pPr>
            <w:r>
              <w:rPr>
                <w:rFonts w:hint="eastAsia" w:ascii="宋体" w:hAnsi="宋体" w:cs="宋体"/>
                <w:color w:val="auto"/>
                <w:highlight w:val="none"/>
              </w:rPr>
              <w:t>10</w:t>
            </w:r>
          </w:p>
        </w:tc>
        <w:tc>
          <w:tcPr>
            <w:tcW w:w="1533" w:type="dxa"/>
            <w:tcBorders>
              <w:top w:val="single" w:color="auto" w:sz="6" w:space="0"/>
              <w:left w:val="single" w:color="auto" w:sz="6" w:space="0"/>
              <w:bottom w:val="single" w:color="auto" w:sz="6" w:space="0"/>
              <w:right w:val="single" w:color="auto" w:sz="6" w:space="0"/>
            </w:tcBorders>
            <w:vAlign w:val="center"/>
          </w:tcPr>
          <w:p w14:paraId="1F5ECFF3">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开标时间</w:t>
            </w:r>
          </w:p>
          <w:p w14:paraId="66CD3D00">
            <w:pPr>
              <w:spacing w:line="440" w:lineRule="exact"/>
              <w:jc w:val="center"/>
              <w:rPr>
                <w:rFonts w:ascii="宋体" w:hAnsi="宋体" w:cs="宋体"/>
                <w:color w:val="auto"/>
                <w:highlight w:val="none"/>
              </w:rPr>
            </w:pPr>
            <w:r>
              <w:rPr>
                <w:rFonts w:hint="eastAsia" w:ascii="宋体" w:hAnsi="宋体" w:cs="宋体"/>
                <w:color w:val="auto"/>
                <w:szCs w:val="21"/>
                <w:highlight w:val="none"/>
              </w:rPr>
              <w:t>开标地点</w:t>
            </w:r>
          </w:p>
        </w:tc>
        <w:tc>
          <w:tcPr>
            <w:tcW w:w="7103" w:type="dxa"/>
            <w:tcBorders>
              <w:top w:val="single" w:color="auto" w:sz="6" w:space="0"/>
              <w:left w:val="single" w:color="auto" w:sz="6" w:space="0"/>
              <w:bottom w:val="single" w:color="auto" w:sz="6" w:space="0"/>
              <w:right w:val="single" w:color="auto" w:sz="6" w:space="0"/>
            </w:tcBorders>
            <w:vAlign w:val="center"/>
          </w:tcPr>
          <w:p w14:paraId="65D0F975">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19日</w:t>
            </w:r>
            <w:r>
              <w:rPr>
                <w:rFonts w:hint="eastAsia" w:ascii="宋体" w:hAnsi="宋体" w:cs="宋体"/>
                <w:color w:val="auto"/>
                <w:szCs w:val="21"/>
                <w:highlight w:val="none"/>
              </w:rPr>
              <w:t>13：30（北京时间）</w:t>
            </w:r>
          </w:p>
          <w:p w14:paraId="10C1F754">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“苏采云”系统（网址：http://jszfcg.jsczt.cn/）</w:t>
            </w:r>
          </w:p>
          <w:p w14:paraId="3B1B2732">
            <w:pPr>
              <w:spacing w:line="440" w:lineRule="exact"/>
              <w:jc w:val="left"/>
              <w:rPr>
                <w:rFonts w:ascii="宋体" w:hAnsi="宋体" w:cs="宋体"/>
                <w:color w:val="auto"/>
                <w:highlight w:val="none"/>
              </w:rPr>
            </w:pPr>
            <w:r>
              <w:rPr>
                <w:rFonts w:hint="eastAsia" w:ascii="宋体" w:hAnsi="宋体" w:cs="宋体"/>
                <w:b/>
                <w:color w:val="auto"/>
                <w:szCs w:val="21"/>
                <w:highlight w:val="none"/>
              </w:rPr>
              <w:t>本项目为不见面开标项目，开标阶段供应商在【供应商解密】环节必须使用 CA证书解密电子投标文件，如在系统规定的解密时间（投标文件提交截止时间后30分钟）内未能完成解密的视为放弃投标。</w:t>
            </w:r>
          </w:p>
        </w:tc>
      </w:tr>
      <w:tr w14:paraId="4BB114A0">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36EAEA97">
            <w:pPr>
              <w:overflowPunct w:val="0"/>
              <w:spacing w:line="360" w:lineRule="auto"/>
              <w:jc w:val="center"/>
              <w:rPr>
                <w:rFonts w:ascii="宋体" w:hAnsi="宋体" w:cs="宋体"/>
                <w:color w:val="auto"/>
                <w:highlight w:val="none"/>
              </w:rPr>
            </w:pPr>
            <w:r>
              <w:rPr>
                <w:rFonts w:hint="eastAsia" w:ascii="宋体" w:hAnsi="宋体" w:cs="宋体"/>
                <w:color w:val="auto"/>
                <w:highlight w:val="none"/>
              </w:rPr>
              <w:t>11</w:t>
            </w:r>
          </w:p>
        </w:tc>
        <w:tc>
          <w:tcPr>
            <w:tcW w:w="1533" w:type="dxa"/>
            <w:tcBorders>
              <w:top w:val="single" w:color="auto" w:sz="6" w:space="0"/>
              <w:left w:val="single" w:color="auto" w:sz="6" w:space="0"/>
              <w:bottom w:val="single" w:color="auto" w:sz="6" w:space="0"/>
              <w:right w:val="single" w:color="auto" w:sz="6" w:space="0"/>
            </w:tcBorders>
            <w:vAlign w:val="center"/>
          </w:tcPr>
          <w:p w14:paraId="3B3CCD42">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评标时间</w:t>
            </w:r>
          </w:p>
          <w:p w14:paraId="74485FCB">
            <w:pPr>
              <w:spacing w:line="312" w:lineRule="auto"/>
              <w:jc w:val="center"/>
              <w:rPr>
                <w:rFonts w:ascii="宋体" w:hAnsi="宋体" w:cs="宋体"/>
                <w:color w:val="auto"/>
                <w:szCs w:val="20"/>
                <w:highlight w:val="none"/>
              </w:rPr>
            </w:pPr>
            <w:r>
              <w:rPr>
                <w:rFonts w:hint="eastAsia" w:ascii="宋体" w:hAnsi="宋体" w:cs="宋体"/>
                <w:color w:val="auto"/>
                <w:szCs w:val="21"/>
                <w:highlight w:val="none"/>
              </w:rPr>
              <w:t>评标地点</w:t>
            </w:r>
          </w:p>
        </w:tc>
        <w:tc>
          <w:tcPr>
            <w:tcW w:w="7103" w:type="dxa"/>
            <w:tcBorders>
              <w:top w:val="single" w:color="auto" w:sz="6" w:space="0"/>
              <w:left w:val="single" w:color="auto" w:sz="6" w:space="0"/>
              <w:bottom w:val="single" w:color="auto" w:sz="6" w:space="0"/>
              <w:right w:val="single" w:color="auto" w:sz="6" w:space="0"/>
            </w:tcBorders>
            <w:vAlign w:val="center"/>
          </w:tcPr>
          <w:p w14:paraId="2C5EC612">
            <w:pPr>
              <w:spacing w:line="440" w:lineRule="exact"/>
              <w:jc w:val="left"/>
              <w:rPr>
                <w:rFonts w:ascii="宋体" w:hAnsi="宋体" w:cs="宋体"/>
                <w:color w:val="auto"/>
                <w:szCs w:val="21"/>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19日</w:t>
            </w:r>
            <w:r>
              <w:rPr>
                <w:rFonts w:hint="eastAsia" w:ascii="宋体" w:hAnsi="宋体" w:cs="宋体"/>
                <w:color w:val="auto"/>
                <w:szCs w:val="21"/>
                <w:highlight w:val="none"/>
              </w:rPr>
              <w:t>13：30（北京时间）</w:t>
            </w:r>
          </w:p>
          <w:p w14:paraId="2BB14B1E">
            <w:pPr>
              <w:spacing w:line="312" w:lineRule="auto"/>
              <w:jc w:val="left"/>
              <w:rPr>
                <w:rFonts w:ascii="宋体" w:hAnsi="宋体" w:cs="宋体"/>
                <w:color w:val="auto"/>
                <w:highlight w:val="none"/>
              </w:rPr>
            </w:pPr>
            <w:r>
              <w:rPr>
                <w:rFonts w:hint="eastAsia" w:ascii="宋体" w:hAnsi="宋体" w:cs="宋体"/>
                <w:color w:val="auto"/>
                <w:szCs w:val="21"/>
                <w:highlight w:val="none"/>
              </w:rPr>
              <w:t xml:space="preserve">苏州市莲升路苏州城市生活广场西楼5楼，苏州市公共资源交易中心 </w:t>
            </w:r>
          </w:p>
        </w:tc>
      </w:tr>
      <w:tr w14:paraId="2984FF47">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3F35F7F0">
            <w:pPr>
              <w:overflowPunct w:val="0"/>
              <w:spacing w:line="360" w:lineRule="auto"/>
              <w:jc w:val="center"/>
              <w:rPr>
                <w:rFonts w:ascii="宋体" w:hAnsi="宋体" w:cs="宋体"/>
                <w:color w:val="auto"/>
                <w:highlight w:val="none"/>
              </w:rPr>
            </w:pPr>
            <w:r>
              <w:rPr>
                <w:rFonts w:hint="eastAsia" w:ascii="宋体" w:hAnsi="宋体" w:cs="宋体"/>
                <w:color w:val="auto"/>
                <w:highlight w:val="none"/>
              </w:rPr>
              <w:t>12</w:t>
            </w:r>
          </w:p>
        </w:tc>
        <w:tc>
          <w:tcPr>
            <w:tcW w:w="1533" w:type="dxa"/>
            <w:tcBorders>
              <w:top w:val="single" w:color="auto" w:sz="6" w:space="0"/>
              <w:left w:val="single" w:color="auto" w:sz="6" w:space="0"/>
              <w:bottom w:val="single" w:color="auto" w:sz="6" w:space="0"/>
              <w:right w:val="single" w:color="auto" w:sz="6" w:space="0"/>
            </w:tcBorders>
            <w:vAlign w:val="center"/>
          </w:tcPr>
          <w:p w14:paraId="18BEDECD">
            <w:pPr>
              <w:spacing w:line="440" w:lineRule="exact"/>
              <w:jc w:val="center"/>
              <w:rPr>
                <w:rFonts w:ascii="宋体" w:hAnsi="宋体" w:cs="宋体"/>
                <w:color w:val="auto"/>
                <w:szCs w:val="21"/>
                <w:highlight w:val="none"/>
              </w:rPr>
            </w:pPr>
            <w:r>
              <w:rPr>
                <w:rFonts w:hint="eastAsia" w:ascii="宋体" w:hAnsi="宋体" w:cs="宋体"/>
                <w:color w:val="auto"/>
                <w:szCs w:val="21"/>
                <w:highlight w:val="none"/>
              </w:rPr>
              <w:t>投标文件份数</w:t>
            </w:r>
          </w:p>
        </w:tc>
        <w:tc>
          <w:tcPr>
            <w:tcW w:w="7103" w:type="dxa"/>
            <w:tcBorders>
              <w:top w:val="single" w:color="auto" w:sz="6" w:space="0"/>
              <w:left w:val="single" w:color="auto" w:sz="6" w:space="0"/>
              <w:bottom w:val="single" w:color="auto" w:sz="6" w:space="0"/>
              <w:right w:val="single" w:color="auto" w:sz="6" w:space="0"/>
            </w:tcBorders>
            <w:vAlign w:val="center"/>
          </w:tcPr>
          <w:p w14:paraId="3FBCF820">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本项目采用电子投标文件，投标人按照招标文件要求制作上传电子投标文件，投标人无需提供纸质投标文件。</w:t>
            </w:r>
          </w:p>
          <w:p w14:paraId="1A40368B">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中标后5个工作日内，中标单位向招标代理机构提供与电子投标文件内容一致的纸质投标文件两份。</w:t>
            </w:r>
          </w:p>
        </w:tc>
      </w:tr>
      <w:tr w14:paraId="01F18BF1">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77D608AB">
            <w:pPr>
              <w:spacing w:line="440" w:lineRule="exact"/>
              <w:jc w:val="center"/>
              <w:rPr>
                <w:rFonts w:ascii="宋体" w:hAnsi="宋体" w:cs="宋体"/>
                <w:color w:val="auto"/>
                <w:highlight w:val="none"/>
              </w:rPr>
            </w:pPr>
            <w:r>
              <w:rPr>
                <w:rFonts w:hint="eastAsia" w:ascii="宋体" w:hAnsi="宋体" w:cs="宋体"/>
                <w:color w:val="auto"/>
                <w:szCs w:val="21"/>
                <w:highlight w:val="none"/>
              </w:rPr>
              <w:t>13</w:t>
            </w:r>
          </w:p>
        </w:tc>
        <w:tc>
          <w:tcPr>
            <w:tcW w:w="1533" w:type="dxa"/>
            <w:tcBorders>
              <w:top w:val="single" w:color="auto" w:sz="6" w:space="0"/>
              <w:left w:val="single" w:color="auto" w:sz="6" w:space="0"/>
              <w:bottom w:val="single" w:color="auto" w:sz="6" w:space="0"/>
              <w:right w:val="single" w:color="auto" w:sz="6" w:space="0"/>
            </w:tcBorders>
            <w:vAlign w:val="center"/>
          </w:tcPr>
          <w:p w14:paraId="76BD78AB">
            <w:pPr>
              <w:spacing w:line="440" w:lineRule="exact"/>
              <w:jc w:val="center"/>
              <w:rPr>
                <w:rFonts w:ascii="宋体" w:hAnsi="宋体" w:cs="宋体"/>
                <w:color w:val="auto"/>
                <w:highlight w:val="none"/>
              </w:rPr>
            </w:pPr>
            <w:r>
              <w:rPr>
                <w:rFonts w:hint="eastAsia" w:ascii="宋体" w:hAnsi="宋体" w:cs="宋体"/>
                <w:color w:val="auto"/>
                <w:szCs w:val="21"/>
                <w:highlight w:val="none"/>
              </w:rPr>
              <w:t>投标报价本位币</w:t>
            </w:r>
          </w:p>
        </w:tc>
        <w:tc>
          <w:tcPr>
            <w:tcW w:w="7103" w:type="dxa"/>
            <w:tcBorders>
              <w:top w:val="single" w:color="auto" w:sz="6" w:space="0"/>
              <w:left w:val="single" w:color="auto" w:sz="6" w:space="0"/>
              <w:bottom w:val="single" w:color="auto" w:sz="6" w:space="0"/>
              <w:right w:val="single" w:color="auto" w:sz="6" w:space="0"/>
            </w:tcBorders>
            <w:vAlign w:val="center"/>
          </w:tcPr>
          <w:p w14:paraId="0AD1CDC4">
            <w:pPr>
              <w:spacing w:line="440" w:lineRule="exact"/>
              <w:jc w:val="left"/>
              <w:rPr>
                <w:rFonts w:ascii="宋体" w:hAnsi="宋体" w:cs="宋体"/>
                <w:color w:val="auto"/>
                <w:highlight w:val="none"/>
              </w:rPr>
            </w:pPr>
            <w:r>
              <w:rPr>
                <w:rFonts w:hint="eastAsia" w:ascii="宋体" w:hAnsi="宋体" w:cs="宋体"/>
                <w:color w:val="auto"/>
                <w:szCs w:val="21"/>
                <w:highlight w:val="none"/>
              </w:rPr>
              <w:t>人民币</w:t>
            </w:r>
          </w:p>
        </w:tc>
      </w:tr>
      <w:tr w14:paraId="70156573">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260801F1">
            <w:pPr>
              <w:spacing w:line="440" w:lineRule="exact"/>
              <w:jc w:val="center"/>
              <w:rPr>
                <w:rFonts w:ascii="宋体" w:hAnsi="宋体" w:cs="宋体"/>
                <w:color w:val="auto"/>
                <w:highlight w:val="none"/>
              </w:rPr>
            </w:pPr>
            <w:r>
              <w:rPr>
                <w:rFonts w:hint="eastAsia" w:ascii="宋体" w:hAnsi="宋体" w:cs="宋体"/>
                <w:color w:val="auto"/>
                <w:szCs w:val="21"/>
                <w:highlight w:val="none"/>
              </w:rPr>
              <w:t>14</w:t>
            </w:r>
          </w:p>
        </w:tc>
        <w:tc>
          <w:tcPr>
            <w:tcW w:w="1533" w:type="dxa"/>
            <w:tcBorders>
              <w:top w:val="single" w:color="auto" w:sz="6" w:space="0"/>
              <w:left w:val="single" w:color="auto" w:sz="6" w:space="0"/>
              <w:bottom w:val="single" w:color="auto" w:sz="6" w:space="0"/>
              <w:right w:val="single" w:color="auto" w:sz="6" w:space="0"/>
            </w:tcBorders>
            <w:vAlign w:val="center"/>
          </w:tcPr>
          <w:p w14:paraId="57218A9F">
            <w:pPr>
              <w:spacing w:line="440" w:lineRule="exact"/>
              <w:jc w:val="center"/>
              <w:rPr>
                <w:rFonts w:ascii="宋体" w:hAnsi="宋体" w:cs="宋体"/>
                <w:color w:val="auto"/>
                <w:highlight w:val="none"/>
              </w:rPr>
            </w:pPr>
            <w:r>
              <w:rPr>
                <w:rFonts w:hint="eastAsia" w:ascii="宋体" w:hAnsi="宋体" w:cs="宋体"/>
                <w:color w:val="auto"/>
                <w:szCs w:val="21"/>
                <w:highlight w:val="none"/>
              </w:rPr>
              <w:t>履约保证金</w:t>
            </w:r>
          </w:p>
        </w:tc>
        <w:tc>
          <w:tcPr>
            <w:tcW w:w="7103" w:type="dxa"/>
            <w:tcBorders>
              <w:top w:val="single" w:color="auto" w:sz="6" w:space="0"/>
              <w:left w:val="single" w:color="auto" w:sz="6" w:space="0"/>
              <w:bottom w:val="single" w:color="auto" w:sz="6" w:space="0"/>
              <w:right w:val="single" w:color="auto" w:sz="6" w:space="0"/>
            </w:tcBorders>
            <w:vAlign w:val="center"/>
          </w:tcPr>
          <w:p w14:paraId="394C531A">
            <w:pPr>
              <w:spacing w:line="440" w:lineRule="exact"/>
              <w:jc w:val="left"/>
              <w:rPr>
                <w:rFonts w:hint="eastAsia" w:ascii="宋体" w:hAnsi="宋体" w:eastAsia="宋体" w:cs="宋体"/>
                <w:color w:val="auto"/>
                <w:highlight w:val="none"/>
                <w:lang w:eastAsia="zh-CN"/>
              </w:rPr>
            </w:pPr>
            <w:r>
              <w:rPr>
                <w:rFonts w:hint="eastAsia" w:ascii="宋体" w:hAnsi="宋体"/>
                <w:color w:val="auto"/>
                <w:szCs w:val="21"/>
                <w:highlight w:val="none"/>
              </w:rPr>
              <w:t>按照《江苏省财政厅国家金融监管总局江苏监管局江苏省地方金融监督管理局关于在全省政府采购领域推行电子履约保函(保险)的通知》和相关法律法规规定，采购人如向中标(成交)供应商收取履约保证金的，供应商可以以履约保函(保险)的形式代替提供履约保证金。</w:t>
            </w:r>
            <w:r>
              <w:rPr>
                <w:rFonts w:hint="eastAsia" w:ascii="宋体" w:hAnsi="宋体"/>
                <w:b/>
                <w:bCs/>
                <w:color w:val="auto"/>
                <w:szCs w:val="21"/>
                <w:highlight w:val="none"/>
              </w:rPr>
              <w:t>本项目采购人未要求收取履约保证金</w:t>
            </w:r>
            <w:r>
              <w:rPr>
                <w:rFonts w:hint="eastAsia" w:ascii="宋体" w:hAnsi="宋体"/>
                <w:b/>
                <w:bCs/>
                <w:color w:val="auto"/>
                <w:szCs w:val="21"/>
                <w:highlight w:val="none"/>
                <w:lang w:eastAsia="zh-CN"/>
              </w:rPr>
              <w:t>。</w:t>
            </w:r>
          </w:p>
        </w:tc>
      </w:tr>
      <w:tr w14:paraId="36EECAEB">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286C892B">
            <w:pPr>
              <w:spacing w:line="440" w:lineRule="exact"/>
              <w:jc w:val="center"/>
              <w:rPr>
                <w:rFonts w:ascii="宋体" w:hAnsi="宋体" w:cs="宋体"/>
                <w:color w:val="auto"/>
                <w:highlight w:val="none"/>
              </w:rPr>
            </w:pPr>
            <w:r>
              <w:rPr>
                <w:rFonts w:hint="eastAsia" w:ascii="宋体" w:hAnsi="宋体" w:cs="宋体"/>
                <w:color w:val="auto"/>
                <w:szCs w:val="21"/>
                <w:highlight w:val="none"/>
              </w:rPr>
              <w:t>15</w:t>
            </w:r>
          </w:p>
        </w:tc>
        <w:tc>
          <w:tcPr>
            <w:tcW w:w="1533" w:type="dxa"/>
            <w:tcBorders>
              <w:top w:val="single" w:color="auto" w:sz="6" w:space="0"/>
              <w:left w:val="single" w:color="auto" w:sz="6" w:space="0"/>
              <w:bottom w:val="single" w:color="auto" w:sz="6" w:space="0"/>
              <w:right w:val="single" w:color="auto" w:sz="6" w:space="0"/>
            </w:tcBorders>
            <w:vAlign w:val="center"/>
          </w:tcPr>
          <w:p w14:paraId="72F3DD71">
            <w:pPr>
              <w:spacing w:line="440" w:lineRule="exact"/>
              <w:jc w:val="center"/>
              <w:rPr>
                <w:rFonts w:ascii="宋体" w:hAnsi="宋体" w:cs="宋体"/>
                <w:color w:val="auto"/>
                <w:highlight w:val="none"/>
              </w:rPr>
            </w:pPr>
            <w:r>
              <w:rPr>
                <w:rFonts w:hint="eastAsia" w:ascii="宋体" w:hAnsi="宋体" w:cs="宋体"/>
                <w:color w:val="auto"/>
                <w:szCs w:val="21"/>
                <w:highlight w:val="none"/>
              </w:rPr>
              <w:t>中标通知书</w:t>
            </w:r>
          </w:p>
        </w:tc>
        <w:tc>
          <w:tcPr>
            <w:tcW w:w="7103" w:type="dxa"/>
            <w:tcBorders>
              <w:top w:val="single" w:color="auto" w:sz="6" w:space="0"/>
              <w:left w:val="single" w:color="auto" w:sz="6" w:space="0"/>
              <w:bottom w:val="single" w:color="auto" w:sz="6" w:space="0"/>
              <w:right w:val="single" w:color="auto" w:sz="6" w:space="0"/>
            </w:tcBorders>
            <w:vAlign w:val="center"/>
          </w:tcPr>
          <w:p w14:paraId="685D813A">
            <w:pPr>
              <w:pStyle w:val="43"/>
              <w:adjustRightInd w:val="0"/>
              <w:snapToGrid w:val="0"/>
              <w:spacing w:line="44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确定出中标人后，采购代理机构在法定时间内向中标人发出中标通知书。中标通知书将成为合同的组成部分。</w:t>
            </w:r>
          </w:p>
          <w:p w14:paraId="3D531F7E">
            <w:pPr>
              <w:pStyle w:val="43"/>
              <w:adjustRightInd w:val="0"/>
              <w:snapToGrid w:val="0"/>
              <w:spacing w:line="440" w:lineRule="exact"/>
              <w:ind w:firstLine="0" w:firstLineChars="0"/>
              <w:rPr>
                <w:rFonts w:ascii="宋体" w:hAnsi="宋体" w:cs="宋体"/>
                <w:color w:val="auto"/>
                <w:highlight w:val="none"/>
              </w:rPr>
            </w:pPr>
            <w:r>
              <w:rPr>
                <w:rFonts w:hint="eastAsia" w:ascii="宋体" w:hAnsi="宋体" w:cs="宋体"/>
                <w:b/>
                <w:color w:val="auto"/>
                <w:szCs w:val="21"/>
                <w:highlight w:val="none"/>
              </w:rPr>
              <w:t>请中标人在中标结果公告届满之日起30日内,使用CA证书登录“苏采云”系统及时下载中标通知书。</w:t>
            </w:r>
          </w:p>
        </w:tc>
      </w:tr>
      <w:tr w14:paraId="67489430">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4BF5D223">
            <w:pPr>
              <w:overflowPunct w:val="0"/>
              <w:spacing w:line="360" w:lineRule="auto"/>
              <w:jc w:val="center"/>
              <w:rPr>
                <w:rFonts w:ascii="宋体" w:hAnsi="宋体" w:cs="宋体"/>
                <w:color w:val="auto"/>
                <w:highlight w:val="none"/>
              </w:rPr>
            </w:pPr>
            <w:r>
              <w:rPr>
                <w:rFonts w:hint="eastAsia" w:ascii="宋体" w:hAnsi="宋体" w:cs="宋体"/>
                <w:color w:val="auto"/>
                <w:highlight w:val="none"/>
              </w:rPr>
              <w:t>16</w:t>
            </w:r>
          </w:p>
        </w:tc>
        <w:tc>
          <w:tcPr>
            <w:tcW w:w="1533" w:type="dxa"/>
            <w:tcBorders>
              <w:top w:val="single" w:color="auto" w:sz="6" w:space="0"/>
              <w:left w:val="single" w:color="auto" w:sz="6" w:space="0"/>
              <w:bottom w:val="single" w:color="auto" w:sz="6" w:space="0"/>
              <w:right w:val="single" w:color="auto" w:sz="6" w:space="0"/>
            </w:tcBorders>
            <w:vAlign w:val="center"/>
          </w:tcPr>
          <w:p w14:paraId="7FF976FB">
            <w:pPr>
              <w:overflowPunct w:val="0"/>
              <w:spacing w:line="360" w:lineRule="auto"/>
              <w:jc w:val="center"/>
              <w:rPr>
                <w:rFonts w:ascii="宋体" w:hAnsi="宋体" w:cs="宋体"/>
                <w:color w:val="auto"/>
                <w:highlight w:val="none"/>
              </w:rPr>
            </w:pPr>
            <w:r>
              <w:rPr>
                <w:rFonts w:hint="eastAsia" w:ascii="宋体" w:hAnsi="宋体" w:cs="宋体"/>
                <w:color w:val="auto"/>
                <w:highlight w:val="none"/>
              </w:rPr>
              <w:t>中标服务费</w:t>
            </w:r>
          </w:p>
        </w:tc>
        <w:tc>
          <w:tcPr>
            <w:tcW w:w="7103" w:type="dxa"/>
            <w:tcBorders>
              <w:top w:val="single" w:color="auto" w:sz="6" w:space="0"/>
              <w:left w:val="single" w:color="auto" w:sz="6" w:space="0"/>
              <w:bottom w:val="single" w:color="auto" w:sz="6" w:space="0"/>
              <w:right w:val="single" w:color="auto" w:sz="6" w:space="0"/>
            </w:tcBorders>
            <w:vAlign w:val="center"/>
          </w:tcPr>
          <w:p w14:paraId="2A8FD35C">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由中标单位在领取中标通知书时付清。</w:t>
            </w:r>
          </w:p>
          <w:p w14:paraId="4FCBB6BD">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预算金额100万元以下部分，费率为该部分预算金额的1.5%；预算金额100万元（含）－500万元部分，费率为该部分预算金额的1.1%；预算金额500万元（含）-1000万元部分，费率为该部分预算金额的0.8%；预算金额1000万元（含）-5000万元部分，费率为该部分预算金额的0.5%；预算金额5000万元以上部分，费率为该部分预算金额的0.25%。</w:t>
            </w:r>
          </w:p>
          <w:p w14:paraId="101E8E02">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说明：代理服务费以预算金额为基数依据，参照以上规定的标准和差额定率累进法进行计算收取。例：如预算金额为150万元，则代理服务费＝100万元以下部分×1.5%＋（150万元－100万元以下部分）×1.1%。如按上述方法计算的金额低于人民币3000元整的，则按人民币3000元整计收。本项目中标服务费为人民币</w:t>
            </w:r>
            <w:r>
              <w:rPr>
                <w:rFonts w:hint="eastAsia" w:ascii="宋体" w:hAnsi="宋体" w:cs="宋体"/>
                <w:color w:val="auto"/>
                <w:highlight w:val="none"/>
                <w:lang w:val="en-US" w:eastAsia="zh-CN"/>
              </w:rPr>
              <w:t>叁万贰仟陆</w:t>
            </w:r>
            <w:r>
              <w:rPr>
                <w:rFonts w:hint="eastAsia" w:ascii="宋体" w:hAnsi="宋体" w:cs="宋体"/>
                <w:color w:val="auto"/>
                <w:highlight w:val="none"/>
              </w:rPr>
              <w:t>佰元整。</w:t>
            </w:r>
          </w:p>
          <w:p w14:paraId="671BB59E">
            <w:pPr>
              <w:overflowPunct w:val="0"/>
              <w:adjustRightInd w:val="0"/>
              <w:snapToGrid w:val="0"/>
              <w:spacing w:line="360" w:lineRule="auto"/>
              <w:rPr>
                <w:rFonts w:ascii="宋体" w:hAnsi="宋体" w:cs="宋体"/>
                <w:color w:val="auto"/>
                <w:highlight w:val="none"/>
              </w:rPr>
            </w:pPr>
            <w:r>
              <w:rPr>
                <w:rFonts w:hint="eastAsia" w:ascii="宋体" w:hAnsi="宋体" w:cs="宋体"/>
                <w:color w:val="auto"/>
                <w:highlight w:val="none"/>
              </w:rPr>
              <w:t>供应商缴纳代理服务费时，如需增值税专用发票的，则须提供有关信息资料。</w:t>
            </w:r>
          </w:p>
        </w:tc>
      </w:tr>
      <w:tr w14:paraId="06D86887">
        <w:tblPrEx>
          <w:tblCellMar>
            <w:top w:w="0" w:type="dxa"/>
            <w:left w:w="108" w:type="dxa"/>
            <w:bottom w:w="0" w:type="dxa"/>
            <w:right w:w="108" w:type="dxa"/>
          </w:tblCellMar>
        </w:tblPrEx>
        <w:trPr>
          <w:trHeight w:val="453" w:hRule="atLeast"/>
          <w:jc w:val="center"/>
        </w:trPr>
        <w:tc>
          <w:tcPr>
            <w:tcW w:w="652" w:type="dxa"/>
            <w:tcBorders>
              <w:top w:val="single" w:color="auto" w:sz="6" w:space="0"/>
              <w:left w:val="single" w:color="auto" w:sz="6" w:space="0"/>
              <w:bottom w:val="single" w:color="auto" w:sz="6" w:space="0"/>
              <w:right w:val="single" w:color="auto" w:sz="6" w:space="0"/>
            </w:tcBorders>
            <w:vAlign w:val="center"/>
          </w:tcPr>
          <w:p w14:paraId="3C39C915">
            <w:pPr>
              <w:overflowPunct w:val="0"/>
              <w:spacing w:line="360" w:lineRule="auto"/>
              <w:jc w:val="center"/>
              <w:rPr>
                <w:rFonts w:ascii="宋体" w:hAnsi="宋体" w:cs="宋体"/>
                <w:color w:val="auto"/>
                <w:highlight w:val="none"/>
              </w:rPr>
            </w:pPr>
            <w:r>
              <w:rPr>
                <w:rFonts w:hint="eastAsia" w:ascii="宋体" w:hAnsi="宋体" w:cs="宋体"/>
                <w:color w:val="auto"/>
                <w:highlight w:val="none"/>
              </w:rPr>
              <w:t>17</w:t>
            </w:r>
          </w:p>
        </w:tc>
        <w:tc>
          <w:tcPr>
            <w:tcW w:w="1533" w:type="dxa"/>
            <w:tcBorders>
              <w:top w:val="single" w:color="auto" w:sz="6" w:space="0"/>
              <w:left w:val="single" w:color="auto" w:sz="6" w:space="0"/>
              <w:bottom w:val="single" w:color="auto" w:sz="6" w:space="0"/>
              <w:right w:val="single" w:color="auto" w:sz="6" w:space="0"/>
            </w:tcBorders>
            <w:vAlign w:val="center"/>
          </w:tcPr>
          <w:p w14:paraId="49ACF0BF">
            <w:pPr>
              <w:overflowPunct w:val="0"/>
              <w:spacing w:line="360" w:lineRule="auto"/>
              <w:jc w:val="center"/>
              <w:rPr>
                <w:rFonts w:ascii="宋体" w:hAnsi="宋体" w:cs="宋体"/>
                <w:color w:val="auto"/>
                <w:highlight w:val="none"/>
              </w:rPr>
            </w:pPr>
            <w:r>
              <w:rPr>
                <w:rFonts w:hint="eastAsia" w:ascii="宋体" w:hAnsi="宋体" w:cs="宋体"/>
                <w:color w:val="auto"/>
                <w:highlight w:val="none"/>
              </w:rPr>
              <w:t>评分标准</w:t>
            </w:r>
          </w:p>
        </w:tc>
        <w:tc>
          <w:tcPr>
            <w:tcW w:w="7103" w:type="dxa"/>
            <w:tcBorders>
              <w:top w:val="single" w:color="auto" w:sz="6" w:space="0"/>
              <w:left w:val="single" w:color="auto" w:sz="6" w:space="0"/>
              <w:bottom w:val="single" w:color="auto" w:sz="6" w:space="0"/>
              <w:right w:val="single" w:color="auto" w:sz="6" w:space="0"/>
            </w:tcBorders>
            <w:vAlign w:val="center"/>
          </w:tcPr>
          <w:p w14:paraId="74A6C4AC">
            <w:pPr>
              <w:overflowPunct w:val="0"/>
              <w:spacing w:line="360" w:lineRule="auto"/>
              <w:rPr>
                <w:rFonts w:ascii="宋体" w:hAnsi="宋体" w:cs="宋体"/>
                <w:color w:val="auto"/>
                <w:highlight w:val="none"/>
              </w:rPr>
            </w:pPr>
            <w:r>
              <w:rPr>
                <w:rFonts w:hint="eastAsia" w:ascii="宋体" w:hAnsi="宋体" w:cs="宋体"/>
                <w:color w:val="auto"/>
                <w:highlight w:val="none"/>
              </w:rPr>
              <w:t>按招标文件。</w:t>
            </w:r>
          </w:p>
        </w:tc>
      </w:tr>
      <w:tr w14:paraId="0AF99204">
        <w:tblPrEx>
          <w:tblCellMar>
            <w:top w:w="0" w:type="dxa"/>
            <w:left w:w="108" w:type="dxa"/>
            <w:bottom w:w="0" w:type="dxa"/>
            <w:right w:w="108" w:type="dxa"/>
          </w:tblCellMar>
        </w:tblPrEx>
        <w:trPr>
          <w:jc w:val="center"/>
        </w:trPr>
        <w:tc>
          <w:tcPr>
            <w:tcW w:w="652" w:type="dxa"/>
            <w:tcBorders>
              <w:top w:val="single" w:color="auto" w:sz="6" w:space="0"/>
              <w:left w:val="single" w:color="auto" w:sz="6" w:space="0"/>
              <w:bottom w:val="single" w:color="auto" w:sz="6" w:space="0"/>
              <w:right w:val="single" w:color="auto" w:sz="6" w:space="0"/>
            </w:tcBorders>
            <w:vAlign w:val="center"/>
          </w:tcPr>
          <w:p w14:paraId="1397E6FC">
            <w:pPr>
              <w:overflowPunct w:val="0"/>
              <w:spacing w:line="360" w:lineRule="auto"/>
              <w:jc w:val="center"/>
              <w:rPr>
                <w:rFonts w:ascii="宋体" w:hAnsi="宋体" w:cs="宋体"/>
                <w:color w:val="auto"/>
                <w:highlight w:val="none"/>
              </w:rPr>
            </w:pPr>
            <w:r>
              <w:rPr>
                <w:rFonts w:hint="eastAsia" w:ascii="宋体" w:hAnsi="宋体" w:cs="宋体"/>
                <w:color w:val="auto"/>
                <w:highlight w:val="none"/>
              </w:rPr>
              <w:t>18</w:t>
            </w:r>
          </w:p>
        </w:tc>
        <w:tc>
          <w:tcPr>
            <w:tcW w:w="1533" w:type="dxa"/>
            <w:tcBorders>
              <w:top w:val="single" w:color="auto" w:sz="6" w:space="0"/>
              <w:left w:val="single" w:color="auto" w:sz="6" w:space="0"/>
              <w:bottom w:val="single" w:color="auto" w:sz="6" w:space="0"/>
              <w:right w:val="single" w:color="auto" w:sz="6" w:space="0"/>
            </w:tcBorders>
            <w:vAlign w:val="center"/>
          </w:tcPr>
          <w:p w14:paraId="5DB9E748">
            <w:pPr>
              <w:overflowPunct w:val="0"/>
              <w:spacing w:line="360" w:lineRule="auto"/>
              <w:jc w:val="center"/>
              <w:rPr>
                <w:rFonts w:ascii="宋体" w:hAnsi="宋体" w:cs="宋体"/>
                <w:color w:val="auto"/>
                <w:highlight w:val="none"/>
              </w:rPr>
            </w:pPr>
            <w:r>
              <w:rPr>
                <w:rFonts w:hint="eastAsia" w:ascii="宋体" w:hAnsi="宋体" w:cs="宋体"/>
                <w:color w:val="auto"/>
                <w:highlight w:val="none"/>
              </w:rPr>
              <w:t>评标方法</w:t>
            </w:r>
          </w:p>
        </w:tc>
        <w:tc>
          <w:tcPr>
            <w:tcW w:w="7103" w:type="dxa"/>
            <w:tcBorders>
              <w:top w:val="single" w:color="auto" w:sz="6" w:space="0"/>
              <w:left w:val="single" w:color="auto" w:sz="6" w:space="0"/>
              <w:bottom w:val="single" w:color="auto" w:sz="6" w:space="0"/>
              <w:right w:val="single" w:color="auto" w:sz="6" w:space="0"/>
            </w:tcBorders>
            <w:vAlign w:val="center"/>
          </w:tcPr>
          <w:p w14:paraId="22636C2F">
            <w:pPr>
              <w:overflowPunct w:val="0"/>
              <w:spacing w:line="360" w:lineRule="auto"/>
              <w:rPr>
                <w:rFonts w:ascii="宋体" w:hAnsi="宋体" w:cs="宋体"/>
                <w:color w:val="auto"/>
                <w:highlight w:val="none"/>
              </w:rPr>
            </w:pPr>
            <w:r>
              <w:rPr>
                <w:rFonts w:hint="eastAsia" w:ascii="宋体" w:hAnsi="宋体" w:cs="宋体"/>
                <w:color w:val="auto"/>
                <w:highlight w:val="none"/>
              </w:rPr>
              <w:t>综合评分法。</w:t>
            </w:r>
          </w:p>
        </w:tc>
      </w:tr>
      <w:tr w14:paraId="3B72D3ED">
        <w:tblPrEx>
          <w:tblCellMar>
            <w:top w:w="0" w:type="dxa"/>
            <w:left w:w="108" w:type="dxa"/>
            <w:bottom w:w="0" w:type="dxa"/>
            <w:right w:w="108" w:type="dxa"/>
          </w:tblCellMar>
        </w:tblPrEx>
        <w:trPr>
          <w:trHeight w:val="522" w:hRule="atLeast"/>
          <w:jc w:val="center"/>
        </w:trPr>
        <w:tc>
          <w:tcPr>
            <w:tcW w:w="652" w:type="dxa"/>
            <w:tcBorders>
              <w:top w:val="single" w:color="auto" w:sz="6" w:space="0"/>
              <w:left w:val="single" w:color="auto" w:sz="6" w:space="0"/>
              <w:bottom w:val="single" w:color="auto" w:sz="6" w:space="0"/>
              <w:right w:val="single" w:color="auto" w:sz="6" w:space="0"/>
            </w:tcBorders>
            <w:vAlign w:val="center"/>
          </w:tcPr>
          <w:p w14:paraId="0BC9BEEF">
            <w:pPr>
              <w:overflowPunct w:val="0"/>
              <w:spacing w:line="360" w:lineRule="auto"/>
              <w:jc w:val="center"/>
              <w:rPr>
                <w:rFonts w:ascii="宋体" w:hAnsi="宋体" w:cs="宋体"/>
                <w:color w:val="auto"/>
                <w:highlight w:val="none"/>
              </w:rPr>
            </w:pPr>
            <w:r>
              <w:rPr>
                <w:rFonts w:hint="eastAsia" w:ascii="宋体" w:hAnsi="宋体" w:cs="宋体"/>
                <w:color w:val="auto"/>
                <w:highlight w:val="none"/>
              </w:rPr>
              <w:t>19</w:t>
            </w:r>
          </w:p>
        </w:tc>
        <w:tc>
          <w:tcPr>
            <w:tcW w:w="1533" w:type="dxa"/>
            <w:tcBorders>
              <w:top w:val="single" w:color="auto" w:sz="6" w:space="0"/>
              <w:left w:val="single" w:color="auto" w:sz="6" w:space="0"/>
              <w:bottom w:val="single" w:color="auto" w:sz="6" w:space="0"/>
              <w:right w:val="single" w:color="auto" w:sz="6" w:space="0"/>
            </w:tcBorders>
            <w:vAlign w:val="center"/>
          </w:tcPr>
          <w:p w14:paraId="07C4EC0A">
            <w:pPr>
              <w:overflowPunct w:val="0"/>
              <w:spacing w:line="360" w:lineRule="auto"/>
              <w:jc w:val="center"/>
              <w:rPr>
                <w:rFonts w:ascii="宋体" w:hAnsi="宋体" w:cs="宋体"/>
                <w:color w:val="auto"/>
                <w:highlight w:val="none"/>
              </w:rPr>
            </w:pPr>
            <w:r>
              <w:rPr>
                <w:rFonts w:hint="eastAsia" w:ascii="宋体" w:hAnsi="宋体" w:cs="宋体"/>
                <w:color w:val="auto"/>
                <w:highlight w:val="none"/>
              </w:rPr>
              <w:t>相关账号</w:t>
            </w:r>
          </w:p>
        </w:tc>
        <w:tc>
          <w:tcPr>
            <w:tcW w:w="7103" w:type="dxa"/>
            <w:tcBorders>
              <w:top w:val="single" w:color="auto" w:sz="6" w:space="0"/>
              <w:left w:val="single" w:color="auto" w:sz="6" w:space="0"/>
              <w:bottom w:val="single" w:color="auto" w:sz="6" w:space="0"/>
              <w:right w:val="single" w:color="auto" w:sz="6" w:space="0"/>
            </w:tcBorders>
            <w:vAlign w:val="center"/>
          </w:tcPr>
          <w:p w14:paraId="539D1CB4">
            <w:pPr>
              <w:overflowPunct w:val="0"/>
              <w:spacing w:line="360" w:lineRule="auto"/>
              <w:rPr>
                <w:rFonts w:ascii="宋体" w:hAnsi="宋体" w:cs="宋体"/>
                <w:color w:val="auto"/>
                <w:highlight w:val="none"/>
              </w:rPr>
            </w:pPr>
            <w:r>
              <w:rPr>
                <w:rFonts w:hint="eastAsia" w:ascii="宋体" w:hAnsi="宋体" w:cs="宋体"/>
                <w:color w:val="auto"/>
                <w:highlight w:val="none"/>
              </w:rPr>
              <w:t xml:space="preserve">中标服务费交纳账号： </w:t>
            </w:r>
          </w:p>
          <w:p w14:paraId="7A7335E5">
            <w:pPr>
              <w:overflowPunct w:val="0"/>
              <w:spacing w:line="360" w:lineRule="auto"/>
              <w:rPr>
                <w:rFonts w:ascii="宋体" w:hAnsi="宋体" w:cs="宋体"/>
                <w:bCs/>
                <w:color w:val="auto"/>
                <w:highlight w:val="none"/>
              </w:rPr>
            </w:pPr>
            <w:r>
              <w:rPr>
                <w:rFonts w:hint="eastAsia" w:ascii="宋体" w:hAnsi="宋体" w:cs="宋体"/>
                <w:color w:val="auto"/>
                <w:highlight w:val="none"/>
              </w:rPr>
              <w:t>账户名：</w:t>
            </w:r>
            <w:r>
              <w:rPr>
                <w:rFonts w:hint="eastAsia" w:ascii="宋体" w:hAnsi="宋体" w:cs="宋体"/>
                <w:bCs/>
                <w:color w:val="auto"/>
                <w:highlight w:val="none"/>
              </w:rPr>
              <w:t>苏州市创杰招投标咨询服务有限公司</w:t>
            </w:r>
          </w:p>
          <w:p w14:paraId="6FCD867D">
            <w:pPr>
              <w:spacing w:line="360" w:lineRule="auto"/>
              <w:rPr>
                <w:rFonts w:ascii="宋体" w:hAnsi="宋体" w:cs="宋体"/>
                <w:color w:val="auto"/>
                <w:highlight w:val="none"/>
              </w:rPr>
            </w:pPr>
            <w:r>
              <w:rPr>
                <w:rFonts w:hint="eastAsia" w:ascii="宋体" w:hAnsi="宋体" w:cs="宋体"/>
                <w:color w:val="auto"/>
                <w:highlight w:val="none"/>
              </w:rPr>
              <w:t>开户行：江苏银行苏州金阊支行</w:t>
            </w:r>
          </w:p>
          <w:p w14:paraId="25DB1594">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highlight w:val="none"/>
              </w:rPr>
              <w:t>账　号：30100188000004892</w:t>
            </w:r>
          </w:p>
        </w:tc>
      </w:tr>
      <w:tr w14:paraId="3D9CF751">
        <w:tblPrEx>
          <w:tblCellMar>
            <w:top w:w="0" w:type="dxa"/>
            <w:left w:w="108" w:type="dxa"/>
            <w:bottom w:w="0" w:type="dxa"/>
            <w:right w:w="108" w:type="dxa"/>
          </w:tblCellMar>
        </w:tblPrEx>
        <w:trPr>
          <w:trHeight w:val="522" w:hRule="atLeast"/>
          <w:jc w:val="center"/>
        </w:trPr>
        <w:tc>
          <w:tcPr>
            <w:tcW w:w="652" w:type="dxa"/>
            <w:tcBorders>
              <w:top w:val="single" w:color="auto" w:sz="6" w:space="0"/>
              <w:left w:val="single" w:color="auto" w:sz="6" w:space="0"/>
              <w:bottom w:val="single" w:color="auto" w:sz="6" w:space="0"/>
              <w:right w:val="single" w:color="auto" w:sz="6" w:space="0"/>
            </w:tcBorders>
            <w:vAlign w:val="center"/>
          </w:tcPr>
          <w:p w14:paraId="026E25A8">
            <w:pPr>
              <w:overflowPunct w:val="0"/>
              <w:spacing w:line="360" w:lineRule="auto"/>
              <w:jc w:val="center"/>
              <w:rPr>
                <w:rFonts w:ascii="宋体" w:hAnsi="宋体" w:cs="宋体"/>
                <w:color w:val="auto"/>
                <w:highlight w:val="none"/>
              </w:rPr>
            </w:pPr>
            <w:r>
              <w:rPr>
                <w:rFonts w:hint="eastAsia" w:ascii="宋体" w:hAnsi="宋体" w:cs="宋体"/>
                <w:color w:val="auto"/>
                <w:highlight w:val="none"/>
              </w:rPr>
              <w:t>20</w:t>
            </w:r>
          </w:p>
        </w:tc>
        <w:tc>
          <w:tcPr>
            <w:tcW w:w="1533" w:type="dxa"/>
            <w:tcBorders>
              <w:top w:val="single" w:color="auto" w:sz="6" w:space="0"/>
              <w:left w:val="single" w:color="auto" w:sz="6" w:space="0"/>
              <w:bottom w:val="single" w:color="auto" w:sz="6" w:space="0"/>
              <w:right w:val="single" w:color="auto" w:sz="6" w:space="0"/>
            </w:tcBorders>
            <w:vAlign w:val="center"/>
          </w:tcPr>
          <w:p w14:paraId="1180D1CC">
            <w:pPr>
              <w:pStyle w:val="27"/>
              <w:spacing w:line="360" w:lineRule="auto"/>
              <w:ind w:firstLine="0" w:firstLineChars="0"/>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导致无效</w:t>
            </w:r>
          </w:p>
          <w:p w14:paraId="4789A6F0">
            <w:pPr>
              <w:overflowPunct w:val="0"/>
              <w:spacing w:line="360" w:lineRule="auto"/>
              <w:jc w:val="center"/>
              <w:rPr>
                <w:rFonts w:ascii="宋体" w:hAnsi="宋体" w:cs="宋体"/>
                <w:color w:val="auto"/>
                <w:highlight w:val="none"/>
              </w:rPr>
            </w:pPr>
            <w:r>
              <w:rPr>
                <w:rFonts w:hint="eastAsia" w:ascii="宋体" w:hAnsi="宋体" w:cs="宋体"/>
                <w:color w:val="auto"/>
                <w:szCs w:val="21"/>
                <w:highlight w:val="none"/>
              </w:rPr>
              <w:t>投标因素</w:t>
            </w:r>
          </w:p>
        </w:tc>
        <w:tc>
          <w:tcPr>
            <w:tcW w:w="7103" w:type="dxa"/>
            <w:tcBorders>
              <w:top w:val="single" w:color="auto" w:sz="6" w:space="0"/>
              <w:left w:val="single" w:color="auto" w:sz="6" w:space="0"/>
              <w:bottom w:val="single" w:color="auto" w:sz="6" w:space="0"/>
              <w:right w:val="single" w:color="auto" w:sz="6" w:space="0"/>
            </w:tcBorders>
            <w:vAlign w:val="center"/>
          </w:tcPr>
          <w:p w14:paraId="62648056">
            <w:pPr>
              <w:spacing w:line="360" w:lineRule="auto"/>
              <w:rPr>
                <w:rFonts w:ascii="宋体" w:hAnsi="宋体" w:cs="宋体"/>
                <w:b/>
                <w:color w:val="auto"/>
                <w:szCs w:val="21"/>
                <w:highlight w:val="none"/>
              </w:rPr>
            </w:pPr>
            <w:r>
              <w:rPr>
                <w:rFonts w:hint="eastAsia" w:ascii="宋体" w:hAnsi="宋体" w:cs="宋体"/>
                <w:b/>
                <w:color w:val="auto"/>
                <w:szCs w:val="21"/>
                <w:highlight w:val="none"/>
              </w:rPr>
              <w:t>投标人存在下列情况之一的，投标无效：</w:t>
            </w:r>
          </w:p>
          <w:p w14:paraId="4D181151">
            <w:pPr>
              <w:autoSpaceDE w:val="0"/>
              <w:autoSpaceDN w:val="0"/>
              <w:adjustRightInd w:val="0"/>
              <w:spacing w:line="360" w:lineRule="auto"/>
              <w:jc w:val="left"/>
              <w:rPr>
                <w:rFonts w:ascii="宋体" w:hAnsi="宋体" w:cs="宋体"/>
                <w:color w:val="auto"/>
                <w:highlight w:val="none"/>
                <w:lang w:val="zh-CN"/>
              </w:rPr>
            </w:pPr>
            <w:r>
              <w:rPr>
                <w:rFonts w:hint="eastAsia" w:ascii="宋体" w:hAnsi="宋体" w:cs="宋体"/>
                <w:color w:val="auto"/>
                <w:highlight w:val="none"/>
              </w:rPr>
              <w:t>1.</w:t>
            </w:r>
            <w:r>
              <w:rPr>
                <w:rFonts w:hint="eastAsia" w:ascii="宋体" w:hAnsi="宋体" w:cs="宋体"/>
                <w:color w:val="auto"/>
                <w:highlight w:val="none"/>
                <w:lang w:val="zh-CN"/>
              </w:rPr>
              <w:t>投标文件未按招标文件要求签署、盖章的；</w:t>
            </w:r>
          </w:p>
          <w:p w14:paraId="3F03884A">
            <w:pPr>
              <w:autoSpaceDE w:val="0"/>
              <w:autoSpaceDN w:val="0"/>
              <w:adjustRightInd w:val="0"/>
              <w:spacing w:line="360" w:lineRule="auto"/>
              <w:jc w:val="left"/>
              <w:rPr>
                <w:rFonts w:ascii="宋体" w:hAnsi="宋体" w:cs="宋体"/>
                <w:color w:val="auto"/>
                <w:highlight w:val="none"/>
                <w:lang w:val="zh-CN"/>
              </w:rPr>
            </w:pPr>
            <w:r>
              <w:rPr>
                <w:rFonts w:hint="eastAsia" w:ascii="宋体" w:hAnsi="宋体" w:cs="宋体"/>
                <w:color w:val="auto"/>
                <w:highlight w:val="none"/>
              </w:rPr>
              <w:t>2.</w:t>
            </w:r>
            <w:r>
              <w:rPr>
                <w:rFonts w:hint="eastAsia" w:ascii="宋体" w:hAnsi="宋体" w:cs="宋体"/>
                <w:color w:val="auto"/>
                <w:highlight w:val="none"/>
                <w:lang w:val="zh-CN"/>
              </w:rPr>
              <w:t>不具备招标文件中规定的资格要求的；</w:t>
            </w:r>
          </w:p>
          <w:p w14:paraId="52BE3DF0">
            <w:pPr>
              <w:autoSpaceDE w:val="0"/>
              <w:autoSpaceDN w:val="0"/>
              <w:adjustRightInd w:val="0"/>
              <w:spacing w:line="360" w:lineRule="auto"/>
              <w:jc w:val="left"/>
              <w:rPr>
                <w:rFonts w:ascii="宋体" w:hAnsi="宋体" w:cs="宋体"/>
                <w:color w:val="auto"/>
                <w:highlight w:val="none"/>
                <w:lang w:val="zh-CN"/>
              </w:rPr>
            </w:pPr>
            <w:r>
              <w:rPr>
                <w:rFonts w:hint="eastAsia" w:ascii="宋体" w:hAnsi="宋体" w:cs="宋体"/>
                <w:color w:val="auto"/>
                <w:highlight w:val="none"/>
              </w:rPr>
              <w:t>3.</w:t>
            </w:r>
            <w:r>
              <w:rPr>
                <w:rFonts w:hint="eastAsia" w:ascii="宋体" w:hAnsi="宋体" w:cs="宋体"/>
                <w:color w:val="auto"/>
                <w:highlight w:val="none"/>
                <w:lang w:val="zh-CN"/>
              </w:rPr>
              <w:t>报价超过招标文件中规定的预算金额或者最高限价的；</w:t>
            </w:r>
          </w:p>
          <w:p w14:paraId="7AED4B44">
            <w:pPr>
              <w:autoSpaceDE w:val="0"/>
              <w:autoSpaceDN w:val="0"/>
              <w:adjustRightInd w:val="0"/>
              <w:spacing w:line="360" w:lineRule="auto"/>
              <w:jc w:val="left"/>
              <w:rPr>
                <w:rFonts w:ascii="宋体" w:hAnsi="宋体" w:cs="宋体"/>
                <w:color w:val="auto"/>
                <w:highlight w:val="none"/>
                <w:lang w:val="zh-CN"/>
              </w:rPr>
            </w:pPr>
            <w:r>
              <w:rPr>
                <w:rFonts w:hint="eastAsia" w:ascii="宋体" w:hAnsi="宋体" w:cs="宋体"/>
                <w:color w:val="auto"/>
                <w:highlight w:val="none"/>
              </w:rPr>
              <w:t>4.</w:t>
            </w:r>
            <w:r>
              <w:rPr>
                <w:rFonts w:hint="eastAsia" w:ascii="宋体" w:hAnsi="宋体" w:cs="宋体"/>
                <w:color w:val="auto"/>
                <w:highlight w:val="none"/>
                <w:lang w:val="zh-CN"/>
              </w:rPr>
              <w:t>投标文件含有采购单位不能接受的附加条件的；</w:t>
            </w:r>
          </w:p>
          <w:p w14:paraId="5745A78A">
            <w:pPr>
              <w:autoSpaceDE w:val="0"/>
              <w:autoSpaceDN w:val="0"/>
              <w:adjustRightInd w:val="0"/>
              <w:spacing w:line="360" w:lineRule="auto"/>
              <w:jc w:val="left"/>
              <w:rPr>
                <w:rFonts w:ascii="宋体" w:hAnsi="宋体" w:cs="宋体"/>
                <w:color w:val="auto"/>
                <w:highlight w:val="none"/>
              </w:rPr>
            </w:pPr>
            <w:r>
              <w:rPr>
                <w:rFonts w:hint="eastAsia" w:ascii="宋体" w:hAnsi="宋体" w:cs="宋体"/>
                <w:color w:val="auto"/>
                <w:highlight w:val="none"/>
              </w:rPr>
              <w:t>5.不同投标（响应）文件制作机器码一致的；</w:t>
            </w:r>
          </w:p>
          <w:p w14:paraId="2BD71333">
            <w:pPr>
              <w:autoSpaceDE w:val="0"/>
              <w:autoSpaceDN w:val="0"/>
              <w:adjustRightInd w:val="0"/>
              <w:spacing w:line="360" w:lineRule="auto"/>
              <w:jc w:val="left"/>
              <w:rPr>
                <w:rFonts w:ascii="宋体" w:hAnsi="宋体" w:cs="宋体"/>
                <w:color w:val="auto"/>
                <w:highlight w:val="none"/>
              </w:rPr>
            </w:pPr>
            <w:r>
              <w:rPr>
                <w:rFonts w:hint="eastAsia" w:ascii="宋体" w:hAnsi="宋体" w:cs="宋体"/>
                <w:color w:val="auto"/>
                <w:highlight w:val="none"/>
              </w:rPr>
              <w:t>6.</w:t>
            </w:r>
            <w:r>
              <w:rPr>
                <w:rFonts w:hint="eastAsia" w:ascii="宋体" w:hAnsi="宋体" w:cs="宋体"/>
                <w:color w:val="auto"/>
                <w:highlight w:val="none"/>
                <w:lang w:val="zh-CN"/>
              </w:rPr>
              <w:t>法律、法规和招标文件规定的其他无效情形。</w:t>
            </w:r>
          </w:p>
        </w:tc>
      </w:tr>
      <w:tr w14:paraId="59FD4795">
        <w:tblPrEx>
          <w:tblCellMar>
            <w:top w:w="0" w:type="dxa"/>
            <w:left w:w="108" w:type="dxa"/>
            <w:bottom w:w="0" w:type="dxa"/>
            <w:right w:w="108" w:type="dxa"/>
          </w:tblCellMar>
        </w:tblPrEx>
        <w:trPr>
          <w:trHeight w:val="522" w:hRule="atLeast"/>
          <w:jc w:val="center"/>
        </w:trPr>
        <w:tc>
          <w:tcPr>
            <w:tcW w:w="652" w:type="dxa"/>
            <w:tcBorders>
              <w:top w:val="single" w:color="auto" w:sz="6" w:space="0"/>
              <w:left w:val="single" w:color="auto" w:sz="6" w:space="0"/>
              <w:bottom w:val="single" w:color="auto" w:sz="6" w:space="0"/>
              <w:right w:val="single" w:color="auto" w:sz="6" w:space="0"/>
            </w:tcBorders>
            <w:vAlign w:val="center"/>
          </w:tcPr>
          <w:p w14:paraId="0935128B">
            <w:pPr>
              <w:overflowPunct w:val="0"/>
              <w:spacing w:line="360" w:lineRule="auto"/>
              <w:jc w:val="center"/>
              <w:rPr>
                <w:rFonts w:ascii="宋体" w:hAnsi="宋体" w:cs="宋体"/>
                <w:color w:val="auto"/>
                <w:highlight w:val="none"/>
              </w:rPr>
            </w:pPr>
            <w:r>
              <w:rPr>
                <w:rFonts w:hint="eastAsia" w:ascii="宋体" w:hAnsi="宋体" w:cs="宋体"/>
                <w:color w:val="auto"/>
                <w:highlight w:val="none"/>
              </w:rPr>
              <w:t>21</w:t>
            </w:r>
          </w:p>
        </w:tc>
        <w:tc>
          <w:tcPr>
            <w:tcW w:w="1533" w:type="dxa"/>
            <w:tcBorders>
              <w:top w:val="single" w:color="auto" w:sz="6" w:space="0"/>
              <w:left w:val="single" w:color="auto" w:sz="6" w:space="0"/>
              <w:bottom w:val="single" w:color="auto" w:sz="6" w:space="0"/>
              <w:right w:val="single" w:color="auto" w:sz="6" w:space="0"/>
            </w:tcBorders>
            <w:vAlign w:val="center"/>
          </w:tcPr>
          <w:p w14:paraId="73441CEF">
            <w:pPr>
              <w:overflowPunct w:val="0"/>
              <w:spacing w:line="360" w:lineRule="auto"/>
              <w:jc w:val="center"/>
              <w:rPr>
                <w:rFonts w:ascii="宋体" w:hAnsi="宋体" w:cs="宋体"/>
                <w:color w:val="auto"/>
                <w:highlight w:val="none"/>
              </w:rPr>
            </w:pPr>
            <w:r>
              <w:rPr>
                <w:rFonts w:hint="eastAsia" w:ascii="宋体" w:hAnsi="宋体" w:cs="宋体"/>
                <w:color w:val="auto"/>
                <w:szCs w:val="21"/>
                <w:highlight w:val="none"/>
                <w:lang w:val="zh-CN"/>
              </w:rPr>
              <w:t>导致废标因素</w:t>
            </w:r>
          </w:p>
        </w:tc>
        <w:tc>
          <w:tcPr>
            <w:tcW w:w="7103" w:type="dxa"/>
            <w:tcBorders>
              <w:top w:val="single" w:color="auto" w:sz="6" w:space="0"/>
              <w:left w:val="single" w:color="auto" w:sz="6" w:space="0"/>
              <w:bottom w:val="single" w:color="auto" w:sz="6" w:space="0"/>
              <w:right w:val="single" w:color="auto" w:sz="6" w:space="0"/>
            </w:tcBorders>
            <w:vAlign w:val="center"/>
          </w:tcPr>
          <w:p w14:paraId="5EC513D9">
            <w:pPr>
              <w:autoSpaceDE w:val="0"/>
              <w:autoSpaceDN w:val="0"/>
              <w:adjustRightInd w:val="0"/>
              <w:spacing w:line="360" w:lineRule="auto"/>
              <w:jc w:val="left"/>
              <w:rPr>
                <w:rFonts w:ascii="宋体" w:hAnsi="宋体" w:cs="宋体"/>
                <w:b/>
                <w:bCs/>
                <w:color w:val="auto"/>
                <w:szCs w:val="21"/>
                <w:highlight w:val="none"/>
                <w:lang w:val="zh-CN"/>
              </w:rPr>
            </w:pPr>
            <w:r>
              <w:rPr>
                <w:rFonts w:hint="eastAsia" w:ascii="宋体" w:hAnsi="宋体" w:cs="宋体"/>
                <w:b/>
                <w:bCs/>
                <w:color w:val="auto"/>
                <w:szCs w:val="21"/>
                <w:highlight w:val="none"/>
                <w:lang w:val="zh-CN"/>
              </w:rPr>
              <w:t>出现下列情形之一的，为废标：</w:t>
            </w:r>
          </w:p>
          <w:p w14:paraId="44A790C9">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rPr>
              <w:t>1.</w:t>
            </w:r>
            <w:r>
              <w:rPr>
                <w:rFonts w:hint="eastAsia" w:ascii="宋体" w:hAnsi="宋体" w:cs="宋体"/>
                <w:color w:val="auto"/>
                <w:szCs w:val="21"/>
                <w:highlight w:val="none"/>
                <w:lang w:val="zh-CN"/>
              </w:rPr>
              <w:t>符合专业条件的供应商或者对招标文件作实质响应的供应商不足三家的；</w:t>
            </w:r>
          </w:p>
          <w:p w14:paraId="5B567A3B">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rPr>
              <w:t>2.</w:t>
            </w:r>
            <w:r>
              <w:rPr>
                <w:rFonts w:hint="eastAsia" w:ascii="宋体" w:hAnsi="宋体" w:cs="宋体"/>
                <w:color w:val="auto"/>
                <w:szCs w:val="21"/>
                <w:highlight w:val="none"/>
                <w:lang w:val="zh-CN"/>
              </w:rPr>
              <w:t>出现影响采购公正的违法、违规行为的；</w:t>
            </w:r>
          </w:p>
          <w:p w14:paraId="40941B4A">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rPr>
              <w:t>3.</w:t>
            </w:r>
            <w:r>
              <w:rPr>
                <w:rFonts w:hint="eastAsia" w:ascii="宋体" w:hAnsi="宋体" w:cs="宋体"/>
                <w:color w:val="auto"/>
                <w:szCs w:val="21"/>
                <w:highlight w:val="none"/>
                <w:lang w:val="zh-CN"/>
              </w:rPr>
              <w:t>投标人的报价均超过了采购预算</w:t>
            </w:r>
            <w:r>
              <w:rPr>
                <w:rFonts w:hint="eastAsia" w:ascii="宋体" w:hAnsi="宋体" w:cs="宋体"/>
                <w:color w:val="auto"/>
                <w:highlight w:val="none"/>
                <w:lang w:val="zh-CN"/>
              </w:rPr>
              <w:t>或者最高限价的</w:t>
            </w:r>
            <w:r>
              <w:rPr>
                <w:rFonts w:hint="eastAsia" w:ascii="宋体" w:hAnsi="宋体" w:cs="宋体"/>
                <w:color w:val="auto"/>
                <w:szCs w:val="21"/>
                <w:highlight w:val="none"/>
                <w:lang w:val="zh-CN"/>
              </w:rPr>
              <w:t xml:space="preserve">，采购单位不能支付的； </w:t>
            </w:r>
          </w:p>
          <w:p w14:paraId="662CDC1F">
            <w:pPr>
              <w:autoSpaceDE w:val="0"/>
              <w:autoSpaceDN w:val="0"/>
              <w:adjustRightInd w:val="0"/>
              <w:spacing w:line="360" w:lineRule="auto"/>
              <w:jc w:val="left"/>
              <w:rPr>
                <w:rFonts w:ascii="宋体" w:hAnsi="宋体" w:cs="宋体"/>
                <w:color w:val="auto"/>
                <w:szCs w:val="21"/>
                <w:highlight w:val="none"/>
                <w:lang w:val="zh-CN"/>
              </w:rPr>
            </w:pPr>
            <w:r>
              <w:rPr>
                <w:rFonts w:hint="eastAsia" w:ascii="宋体" w:hAnsi="宋体" w:cs="宋体"/>
                <w:color w:val="auto"/>
                <w:szCs w:val="21"/>
                <w:highlight w:val="none"/>
              </w:rPr>
              <w:t>4.</w:t>
            </w:r>
            <w:r>
              <w:rPr>
                <w:rFonts w:hint="eastAsia" w:ascii="宋体" w:hAnsi="宋体" w:cs="宋体"/>
                <w:color w:val="auto"/>
                <w:szCs w:val="21"/>
                <w:highlight w:val="none"/>
                <w:lang w:val="zh-CN"/>
              </w:rPr>
              <w:t>因重大变故，采购任务取消的。</w:t>
            </w:r>
          </w:p>
        </w:tc>
      </w:tr>
    </w:tbl>
    <w:p w14:paraId="381E3C5F">
      <w:pPr>
        <w:pStyle w:val="28"/>
        <w:widowControl/>
        <w:spacing w:beforeAutospacing="0" w:afterAutospacing="0" w:line="360" w:lineRule="auto"/>
        <w:ind w:firstLine="482"/>
        <w:rPr>
          <w:rFonts w:ascii="宋体" w:hAnsi="宋体" w:cs="宋体"/>
          <w:color w:val="auto"/>
          <w:highlight w:val="none"/>
        </w:rPr>
      </w:pPr>
    </w:p>
    <w:p w14:paraId="28A400C1">
      <w:pPr>
        <w:pStyle w:val="28"/>
        <w:widowControl/>
        <w:spacing w:beforeAutospacing="0" w:afterAutospacing="0" w:line="360" w:lineRule="auto"/>
        <w:ind w:firstLine="482"/>
        <w:rPr>
          <w:rFonts w:ascii="宋体" w:hAnsi="宋体" w:cs="宋体"/>
          <w:color w:val="auto"/>
          <w:highlight w:val="none"/>
        </w:rPr>
      </w:pPr>
    </w:p>
    <w:p w14:paraId="483A23D2">
      <w:pPr>
        <w:pStyle w:val="28"/>
        <w:widowControl/>
        <w:spacing w:beforeAutospacing="0" w:afterAutospacing="0" w:line="360" w:lineRule="auto"/>
        <w:ind w:firstLine="482"/>
        <w:rPr>
          <w:rFonts w:ascii="宋体" w:hAnsi="宋体" w:cs="宋体"/>
          <w:color w:val="auto"/>
          <w:highlight w:val="none"/>
        </w:rPr>
      </w:pPr>
    </w:p>
    <w:p w14:paraId="6010AA24">
      <w:pPr>
        <w:pStyle w:val="28"/>
        <w:widowControl/>
        <w:spacing w:beforeAutospacing="0" w:afterAutospacing="0" w:line="360" w:lineRule="auto"/>
        <w:ind w:firstLine="482"/>
        <w:rPr>
          <w:rFonts w:ascii="宋体" w:hAnsi="宋体" w:cs="宋体"/>
          <w:color w:val="auto"/>
          <w:highlight w:val="none"/>
        </w:rPr>
      </w:pPr>
    </w:p>
    <w:p w14:paraId="489D8073">
      <w:pPr>
        <w:pStyle w:val="28"/>
        <w:widowControl/>
        <w:spacing w:beforeAutospacing="0" w:afterAutospacing="0" w:line="360" w:lineRule="auto"/>
        <w:ind w:firstLine="482"/>
        <w:rPr>
          <w:rFonts w:ascii="宋体" w:hAnsi="宋体" w:cs="宋体"/>
          <w:color w:val="auto"/>
          <w:highlight w:val="none"/>
        </w:rPr>
      </w:pPr>
    </w:p>
    <w:p w14:paraId="33F2A626">
      <w:pPr>
        <w:pStyle w:val="28"/>
        <w:widowControl/>
        <w:spacing w:beforeAutospacing="0" w:afterAutospacing="0" w:line="360" w:lineRule="auto"/>
        <w:ind w:firstLine="482"/>
        <w:rPr>
          <w:rFonts w:ascii="宋体" w:hAnsi="宋体" w:cs="宋体"/>
          <w:color w:val="auto"/>
          <w:highlight w:val="none"/>
        </w:rPr>
      </w:pPr>
    </w:p>
    <w:p w14:paraId="031E6045">
      <w:pPr>
        <w:pageBreakBefore/>
        <w:tabs>
          <w:tab w:val="left" w:pos="315"/>
          <w:tab w:val="center" w:pos="4153"/>
        </w:tabs>
        <w:spacing w:line="360" w:lineRule="auto"/>
        <w:ind w:firstLine="1044"/>
        <w:jc w:val="center"/>
        <w:rPr>
          <w:rFonts w:ascii="宋体" w:hAnsi="宋体" w:cs="宋体"/>
          <w:b/>
          <w:color w:val="auto"/>
          <w:sz w:val="52"/>
          <w:szCs w:val="52"/>
          <w:highlight w:val="none"/>
        </w:rPr>
      </w:pPr>
      <w:r>
        <w:rPr>
          <w:rFonts w:hint="eastAsia" w:ascii="宋体" w:hAnsi="宋体" w:cs="宋体"/>
          <w:b/>
          <w:color w:val="auto"/>
          <w:sz w:val="52"/>
          <w:szCs w:val="52"/>
          <w:highlight w:val="none"/>
        </w:rPr>
        <w:t>目    录</w:t>
      </w:r>
    </w:p>
    <w:p w14:paraId="584AD9AE">
      <w:pPr>
        <w:tabs>
          <w:tab w:val="left" w:pos="315"/>
          <w:tab w:val="center" w:pos="4153"/>
        </w:tabs>
        <w:spacing w:line="360" w:lineRule="auto"/>
        <w:ind w:firstLine="720"/>
        <w:jc w:val="center"/>
        <w:rPr>
          <w:rFonts w:ascii="宋体" w:hAnsi="宋体" w:cs="宋体"/>
          <w:b/>
          <w:color w:val="auto"/>
          <w:sz w:val="36"/>
          <w:szCs w:val="36"/>
          <w:highlight w:val="none"/>
        </w:rPr>
      </w:pPr>
    </w:p>
    <w:p w14:paraId="3F8DD43C">
      <w:pPr>
        <w:pStyle w:val="23"/>
        <w:tabs>
          <w:tab w:val="right" w:leader="dot" w:pos="8302"/>
        </w:tabs>
        <w:spacing w:line="360" w:lineRule="auto"/>
        <w:ind w:firstLine="723"/>
        <w:rPr>
          <w:rFonts w:ascii="宋体" w:hAnsi="宋体" w:eastAsia="宋体" w:cs="宋体"/>
          <w:color w:val="auto"/>
          <w:kern w:val="0"/>
          <w:sz w:val="36"/>
          <w:szCs w:val="24"/>
          <w:highlight w:val="none"/>
        </w:rPr>
      </w:pPr>
      <w:r>
        <w:rPr>
          <w:rFonts w:hint="eastAsia" w:ascii="宋体" w:hAnsi="宋体" w:eastAsia="宋体" w:cs="宋体"/>
          <w:color w:val="auto"/>
          <w:kern w:val="0"/>
          <w:sz w:val="36"/>
          <w:szCs w:val="24"/>
          <w:highlight w:val="none"/>
        </w:rPr>
        <w:t>第一章  投标邀请函</w:t>
      </w:r>
    </w:p>
    <w:p w14:paraId="66177890">
      <w:pPr>
        <w:pStyle w:val="23"/>
        <w:tabs>
          <w:tab w:val="right" w:leader="dot" w:pos="8302"/>
        </w:tabs>
        <w:spacing w:line="360" w:lineRule="auto"/>
        <w:ind w:firstLine="723"/>
        <w:rPr>
          <w:rFonts w:ascii="宋体" w:hAnsi="宋体" w:eastAsia="宋体" w:cs="宋体"/>
          <w:color w:val="auto"/>
          <w:kern w:val="0"/>
          <w:sz w:val="36"/>
          <w:szCs w:val="24"/>
          <w:highlight w:val="none"/>
        </w:rPr>
      </w:pPr>
      <w:r>
        <w:rPr>
          <w:rFonts w:hint="eastAsia" w:ascii="宋体" w:hAnsi="宋体" w:eastAsia="宋体" w:cs="宋体"/>
          <w:color w:val="auto"/>
          <w:kern w:val="0"/>
          <w:sz w:val="36"/>
          <w:szCs w:val="24"/>
          <w:highlight w:val="none"/>
        </w:rPr>
        <w:t>第二章  投标人须知</w:t>
      </w:r>
    </w:p>
    <w:p w14:paraId="4A4204A4">
      <w:pPr>
        <w:pStyle w:val="23"/>
        <w:tabs>
          <w:tab w:val="right" w:leader="dot" w:pos="8302"/>
        </w:tabs>
        <w:spacing w:line="360" w:lineRule="auto"/>
        <w:ind w:firstLine="723"/>
        <w:rPr>
          <w:rFonts w:ascii="宋体" w:hAnsi="宋体" w:eastAsia="宋体" w:cs="宋体"/>
          <w:color w:val="auto"/>
          <w:kern w:val="0"/>
          <w:sz w:val="36"/>
          <w:szCs w:val="24"/>
          <w:highlight w:val="none"/>
        </w:rPr>
      </w:pPr>
      <w:r>
        <w:rPr>
          <w:rFonts w:hint="eastAsia" w:ascii="宋体" w:hAnsi="宋体" w:eastAsia="宋体" w:cs="宋体"/>
          <w:color w:val="auto"/>
          <w:kern w:val="0"/>
          <w:sz w:val="36"/>
          <w:szCs w:val="24"/>
          <w:highlight w:val="none"/>
        </w:rPr>
        <w:t>第三章  投标文件格式</w:t>
      </w:r>
    </w:p>
    <w:p w14:paraId="19471CEA">
      <w:pPr>
        <w:pStyle w:val="23"/>
        <w:tabs>
          <w:tab w:val="right" w:leader="dot" w:pos="8302"/>
        </w:tabs>
        <w:spacing w:line="360" w:lineRule="auto"/>
        <w:ind w:firstLine="723"/>
        <w:rPr>
          <w:rFonts w:ascii="宋体" w:hAnsi="宋体" w:eastAsia="宋体" w:cs="宋体"/>
          <w:color w:val="auto"/>
          <w:kern w:val="0"/>
          <w:sz w:val="36"/>
          <w:szCs w:val="24"/>
          <w:highlight w:val="none"/>
        </w:rPr>
      </w:pPr>
      <w:r>
        <w:rPr>
          <w:rFonts w:hint="eastAsia" w:ascii="宋体" w:hAnsi="宋体" w:eastAsia="宋体" w:cs="宋体"/>
          <w:color w:val="auto"/>
          <w:kern w:val="0"/>
          <w:sz w:val="36"/>
          <w:szCs w:val="24"/>
          <w:highlight w:val="none"/>
        </w:rPr>
        <w:t>第四章  招标书</w:t>
      </w:r>
    </w:p>
    <w:p w14:paraId="02197921">
      <w:pPr>
        <w:pStyle w:val="23"/>
        <w:tabs>
          <w:tab w:val="right" w:leader="dot" w:pos="8302"/>
        </w:tabs>
        <w:spacing w:line="360" w:lineRule="auto"/>
        <w:ind w:firstLine="723"/>
        <w:rPr>
          <w:rFonts w:ascii="宋体" w:hAnsi="宋体" w:eastAsia="宋体" w:cs="宋体"/>
          <w:color w:val="auto"/>
          <w:kern w:val="0"/>
          <w:sz w:val="36"/>
          <w:szCs w:val="24"/>
          <w:highlight w:val="none"/>
        </w:rPr>
      </w:pPr>
      <w:r>
        <w:rPr>
          <w:rFonts w:hint="eastAsia" w:ascii="宋体" w:hAnsi="宋体" w:eastAsia="宋体" w:cs="宋体"/>
          <w:color w:val="auto"/>
          <w:kern w:val="0"/>
          <w:sz w:val="36"/>
          <w:szCs w:val="24"/>
          <w:highlight w:val="none"/>
        </w:rPr>
        <w:t>第五章  合同一般条款</w:t>
      </w:r>
    </w:p>
    <w:p w14:paraId="67DA5088">
      <w:pPr>
        <w:ind w:firstLine="723"/>
        <w:rPr>
          <w:color w:val="auto"/>
          <w:highlight w:val="none"/>
        </w:rPr>
      </w:pPr>
      <w:r>
        <w:rPr>
          <w:rFonts w:hint="eastAsia" w:ascii="宋体" w:hAnsi="宋体" w:cs="宋体"/>
          <w:color w:val="auto"/>
          <w:kern w:val="0"/>
          <w:sz w:val="36"/>
          <w:highlight w:val="none"/>
        </w:rPr>
        <w:t>第六章  合同主要条款</w:t>
      </w:r>
    </w:p>
    <w:p w14:paraId="26D6D0EC">
      <w:pPr>
        <w:pStyle w:val="23"/>
        <w:tabs>
          <w:tab w:val="right" w:leader="dot" w:pos="8302"/>
        </w:tabs>
        <w:spacing w:line="360" w:lineRule="auto"/>
        <w:ind w:firstLine="723"/>
        <w:rPr>
          <w:rFonts w:ascii="宋体" w:hAnsi="宋体" w:eastAsia="宋体" w:cs="宋体"/>
          <w:color w:val="auto"/>
          <w:kern w:val="0"/>
          <w:sz w:val="36"/>
          <w:szCs w:val="24"/>
          <w:highlight w:val="none"/>
        </w:rPr>
        <w:sectPr>
          <w:pgSz w:w="11906" w:h="16838"/>
          <w:pgMar w:top="1440" w:right="1417" w:bottom="1440" w:left="1417" w:header="964" w:footer="1077" w:gutter="0"/>
          <w:cols w:space="720" w:num="1"/>
          <w:docGrid w:type="lines" w:linePitch="312" w:charSpace="0"/>
        </w:sectPr>
      </w:pPr>
      <w:r>
        <w:rPr>
          <w:rFonts w:hint="eastAsia" w:ascii="宋体" w:hAnsi="宋体" w:eastAsia="宋体" w:cs="宋体"/>
          <w:color w:val="auto"/>
          <w:kern w:val="0"/>
          <w:sz w:val="36"/>
          <w:szCs w:val="24"/>
          <w:highlight w:val="none"/>
        </w:rPr>
        <w:t>第七章  评标办法及评分标准</w:t>
      </w:r>
    </w:p>
    <w:p w14:paraId="44188E5B">
      <w:pPr>
        <w:pStyle w:val="23"/>
        <w:pageBreakBefore/>
        <w:tabs>
          <w:tab w:val="right" w:leader="dot" w:pos="8302"/>
        </w:tabs>
        <w:spacing w:line="360" w:lineRule="auto"/>
        <w:ind w:firstLine="640"/>
        <w:jc w:val="center"/>
        <w:rPr>
          <w:rStyle w:val="34"/>
          <w:rFonts w:ascii="宋体" w:hAnsi="宋体" w:cs="宋体"/>
          <w:color w:val="auto"/>
          <w:sz w:val="32"/>
          <w:szCs w:val="32"/>
          <w:highlight w:val="none"/>
        </w:rPr>
      </w:pPr>
      <w:r>
        <w:rPr>
          <w:rStyle w:val="34"/>
          <w:rFonts w:hint="eastAsia" w:ascii="宋体" w:hAnsi="宋体" w:cs="宋体"/>
          <w:color w:val="auto"/>
          <w:sz w:val="32"/>
          <w:szCs w:val="32"/>
          <w:highlight w:val="none"/>
        </w:rPr>
        <w:t>第一章  投标邀请函</w:t>
      </w:r>
    </w:p>
    <w:p w14:paraId="5D92699E">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s="宋体"/>
          <w:color w:val="auto"/>
          <w:szCs w:val="21"/>
          <w:highlight w:val="none"/>
        </w:rPr>
      </w:pPr>
      <w:bookmarkStart w:id="2" w:name="WTDW_1"/>
      <w:r>
        <w:rPr>
          <w:rFonts w:hint="eastAsia" w:ascii="宋体" w:hAnsi="宋体" w:cs="宋体"/>
          <w:color w:val="auto"/>
          <w:szCs w:val="21"/>
          <w:highlight w:val="none"/>
        </w:rPr>
        <w:t>项目概况</w:t>
      </w:r>
    </w:p>
    <w:p w14:paraId="4D12963E">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u w:val="single"/>
          <w:lang w:eastAsia="zh-CN"/>
        </w:rPr>
        <w:t>2025年苏州市级应急物资增储项目</w:t>
      </w:r>
      <w:r>
        <w:rPr>
          <w:rFonts w:hint="eastAsia" w:ascii="宋体" w:hAnsi="宋体" w:cs="宋体"/>
          <w:color w:val="auto"/>
          <w:szCs w:val="21"/>
          <w:highlight w:val="none"/>
        </w:rPr>
        <w:t>招标项目的潜在投标人应在</w:t>
      </w:r>
      <w:r>
        <w:rPr>
          <w:rFonts w:hint="eastAsia" w:ascii="宋体" w:hAnsi="宋体"/>
          <w:bCs/>
          <w:color w:val="auto"/>
          <w:szCs w:val="21"/>
          <w:highlight w:val="none"/>
          <w:u w:val="single"/>
        </w:rPr>
        <w:t>苏采云系统</w:t>
      </w:r>
      <w:r>
        <w:rPr>
          <w:rFonts w:hint="eastAsia" w:ascii="宋体" w:hAnsi="宋体" w:cs="宋体"/>
          <w:color w:val="auto"/>
          <w:szCs w:val="21"/>
          <w:highlight w:val="none"/>
        </w:rPr>
        <w:t>获取招标文件，并于</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19日</w:t>
      </w:r>
      <w:r>
        <w:rPr>
          <w:rFonts w:hint="eastAsia" w:ascii="宋体" w:hAnsi="宋体" w:cs="宋体"/>
          <w:color w:val="auto"/>
          <w:szCs w:val="21"/>
          <w:highlight w:val="none"/>
          <w:u w:val="single"/>
        </w:rPr>
        <w:t>13点30分</w:t>
      </w:r>
      <w:r>
        <w:rPr>
          <w:rFonts w:hint="eastAsia" w:ascii="宋体" w:hAnsi="宋体" w:cs="宋体"/>
          <w:bCs/>
          <w:color w:val="auto"/>
          <w:szCs w:val="21"/>
          <w:highlight w:val="none"/>
          <w:u w:val="single"/>
        </w:rPr>
        <w:t>（</w:t>
      </w:r>
      <w:r>
        <w:rPr>
          <w:rFonts w:hint="eastAsia" w:ascii="宋体" w:hAnsi="宋体" w:cs="宋体"/>
          <w:bCs/>
          <w:color w:val="auto"/>
          <w:szCs w:val="21"/>
          <w:highlight w:val="none"/>
        </w:rPr>
        <w:t>北京时间）前递交投标文件</w:t>
      </w:r>
      <w:r>
        <w:rPr>
          <w:rFonts w:hint="eastAsia" w:ascii="宋体" w:hAnsi="宋体" w:cs="宋体"/>
          <w:color w:val="auto"/>
          <w:szCs w:val="21"/>
          <w:highlight w:val="none"/>
        </w:rPr>
        <w:t>。</w:t>
      </w:r>
    </w:p>
    <w:p w14:paraId="194D8F14">
      <w:pPr>
        <w:spacing w:line="360" w:lineRule="auto"/>
        <w:ind w:firstLine="422" w:firstLineChars="200"/>
        <w:rPr>
          <w:rFonts w:ascii="宋体" w:hAnsi="宋体" w:cs="宋体"/>
          <w:b/>
          <w:color w:val="auto"/>
          <w:szCs w:val="21"/>
          <w:highlight w:val="none"/>
        </w:rPr>
      </w:pPr>
      <w:bookmarkStart w:id="3" w:name="_Toc28359079"/>
      <w:bookmarkStart w:id="4" w:name="_Toc35393621"/>
      <w:bookmarkStart w:id="5" w:name="_Toc35393790"/>
      <w:bookmarkStart w:id="6" w:name="_Toc28359002"/>
      <w:bookmarkStart w:id="7" w:name="_Hlk24379207"/>
      <w:r>
        <w:rPr>
          <w:rFonts w:hint="eastAsia" w:ascii="宋体" w:hAnsi="宋体" w:cs="宋体"/>
          <w:b/>
          <w:color w:val="auto"/>
          <w:szCs w:val="21"/>
          <w:highlight w:val="none"/>
        </w:rPr>
        <w:t>一、项目基本情况</w:t>
      </w:r>
      <w:bookmarkEnd w:id="3"/>
      <w:bookmarkEnd w:id="4"/>
      <w:bookmarkEnd w:id="5"/>
      <w:bookmarkEnd w:id="6"/>
    </w:p>
    <w:p w14:paraId="02E3DC4A">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1.项目编号：</w:t>
      </w:r>
      <w:r>
        <w:rPr>
          <w:rFonts w:hint="eastAsia" w:ascii="宋体" w:hAnsi="宋体" w:cs="宋体"/>
          <w:color w:val="auto"/>
          <w:szCs w:val="21"/>
          <w:highlight w:val="none"/>
          <w:lang w:eastAsia="zh-CN"/>
        </w:rPr>
        <w:t>JSZC-320500-CJZB-G2025-0054</w:t>
      </w:r>
    </w:p>
    <w:p w14:paraId="1B5153B6">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2.项目名称：</w:t>
      </w:r>
      <w:r>
        <w:rPr>
          <w:rFonts w:hint="eastAsia" w:ascii="宋体" w:hAnsi="宋体" w:cs="宋体"/>
          <w:color w:val="auto"/>
          <w:szCs w:val="21"/>
          <w:highlight w:val="none"/>
          <w:lang w:eastAsia="zh-CN"/>
        </w:rPr>
        <w:t>2025年苏州市级应急物资增储项目</w:t>
      </w:r>
    </w:p>
    <w:bookmarkEnd w:id="7"/>
    <w:p w14:paraId="5CA26C8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3.预算总金额（最高限价）：人民币</w:t>
      </w:r>
      <w:r>
        <w:rPr>
          <w:rFonts w:hint="eastAsia" w:ascii="宋体" w:hAnsi="宋体" w:cs="宋体"/>
          <w:color w:val="auto"/>
          <w:szCs w:val="21"/>
          <w:highlight w:val="none"/>
          <w:lang w:val="en-US" w:eastAsia="zh-CN"/>
        </w:rPr>
        <w:t>贰佰陆拾</w:t>
      </w:r>
      <w:r>
        <w:rPr>
          <w:rFonts w:hint="eastAsia" w:ascii="宋体" w:hAnsi="宋体" w:cs="宋体"/>
          <w:color w:val="auto"/>
          <w:szCs w:val="21"/>
          <w:highlight w:val="none"/>
        </w:rPr>
        <w:t>万元整（¥：</w:t>
      </w:r>
      <w:r>
        <w:rPr>
          <w:rFonts w:hint="eastAsia" w:ascii="宋体" w:hAnsi="宋体" w:cs="宋体"/>
          <w:color w:val="auto"/>
          <w:szCs w:val="21"/>
          <w:highlight w:val="none"/>
          <w:lang w:val="en-US" w:eastAsia="zh-CN"/>
        </w:rPr>
        <w:t>26</w:t>
      </w:r>
      <w:r>
        <w:rPr>
          <w:rFonts w:hint="eastAsia" w:ascii="宋体" w:hAnsi="宋体" w:cs="宋体"/>
          <w:color w:val="auto"/>
          <w:szCs w:val="21"/>
          <w:highlight w:val="none"/>
        </w:rPr>
        <w:t>00000.00）</w:t>
      </w:r>
    </w:p>
    <w:p w14:paraId="197B031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4.采购需求：</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2527"/>
        <w:gridCol w:w="1334"/>
        <w:gridCol w:w="1437"/>
        <w:gridCol w:w="1926"/>
      </w:tblGrid>
      <w:tr w14:paraId="3455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04BB1817">
            <w:pPr>
              <w:widowControl/>
              <w:jc w:val="center"/>
              <w:textAlignment w:val="center"/>
              <w:rPr>
                <w:rFonts w:ascii="宋体" w:hAnsi="宋体" w:cs="宋体"/>
                <w:b/>
                <w:bCs/>
                <w:color w:val="auto"/>
                <w:szCs w:val="21"/>
                <w:highlight w:val="none"/>
              </w:rPr>
            </w:pPr>
            <w:bookmarkStart w:id="8" w:name="_Toc35393622"/>
            <w:bookmarkStart w:id="9" w:name="_Toc35393791"/>
            <w:bookmarkStart w:id="10" w:name="_Toc28359003"/>
            <w:bookmarkStart w:id="11" w:name="_Toc28359080"/>
            <w:r>
              <w:rPr>
                <w:rFonts w:hint="eastAsia" w:ascii="宋体" w:hAnsi="宋体" w:cs="宋体"/>
                <w:b/>
                <w:bCs/>
                <w:color w:val="auto"/>
                <w:kern w:val="0"/>
                <w:szCs w:val="21"/>
                <w:highlight w:val="none"/>
              </w:rPr>
              <w:t>序号</w:t>
            </w:r>
          </w:p>
        </w:tc>
        <w:tc>
          <w:tcPr>
            <w:tcW w:w="2527" w:type="dxa"/>
            <w:vAlign w:val="center"/>
          </w:tcPr>
          <w:p w14:paraId="7929F68E">
            <w:pPr>
              <w:widowControl/>
              <w:jc w:val="center"/>
              <w:textAlignment w:val="center"/>
              <w:rPr>
                <w:rFonts w:ascii="宋体" w:hAnsi="宋体" w:cs="宋体"/>
                <w:b/>
                <w:bCs/>
                <w:color w:val="auto"/>
                <w:szCs w:val="21"/>
                <w:highlight w:val="none"/>
              </w:rPr>
            </w:pPr>
            <w:r>
              <w:rPr>
                <w:rFonts w:hint="eastAsia" w:ascii="宋体" w:hAnsi="宋体" w:cs="宋体"/>
                <w:b/>
                <w:bCs/>
                <w:color w:val="auto"/>
                <w:kern w:val="0"/>
                <w:szCs w:val="21"/>
                <w:highlight w:val="none"/>
                <w:lang w:val="en-US" w:eastAsia="zh-CN"/>
              </w:rPr>
              <w:t>产品</w:t>
            </w:r>
            <w:r>
              <w:rPr>
                <w:rFonts w:hint="eastAsia" w:ascii="宋体" w:hAnsi="宋体" w:cs="宋体"/>
                <w:b/>
                <w:bCs/>
                <w:color w:val="auto"/>
                <w:kern w:val="0"/>
                <w:szCs w:val="21"/>
                <w:highlight w:val="none"/>
              </w:rPr>
              <w:t>名称</w:t>
            </w:r>
          </w:p>
        </w:tc>
        <w:tc>
          <w:tcPr>
            <w:tcW w:w="1334" w:type="dxa"/>
            <w:vAlign w:val="center"/>
          </w:tcPr>
          <w:p w14:paraId="2DDBF156">
            <w:pPr>
              <w:widowControl/>
              <w:jc w:val="center"/>
              <w:textAlignment w:val="center"/>
              <w:rPr>
                <w:rFonts w:ascii="宋体" w:hAnsi="宋体" w:cs="宋体"/>
                <w:b/>
                <w:bCs/>
                <w:color w:val="auto"/>
                <w:szCs w:val="21"/>
                <w:highlight w:val="none"/>
              </w:rPr>
            </w:pPr>
            <w:r>
              <w:rPr>
                <w:rFonts w:hint="eastAsia" w:ascii="宋体" w:hAnsi="宋体" w:cs="宋体"/>
                <w:b/>
                <w:bCs/>
                <w:color w:val="auto"/>
                <w:kern w:val="0"/>
                <w:szCs w:val="21"/>
                <w:highlight w:val="none"/>
              </w:rPr>
              <w:t>单位</w:t>
            </w:r>
          </w:p>
        </w:tc>
        <w:tc>
          <w:tcPr>
            <w:tcW w:w="1437" w:type="dxa"/>
            <w:vAlign w:val="center"/>
          </w:tcPr>
          <w:p w14:paraId="1B64841E">
            <w:pPr>
              <w:widowControl/>
              <w:jc w:val="center"/>
              <w:textAlignment w:val="center"/>
              <w:rPr>
                <w:rFonts w:ascii="宋体" w:hAnsi="宋体" w:cs="宋体"/>
                <w:b/>
                <w:bCs/>
                <w:color w:val="auto"/>
                <w:szCs w:val="21"/>
                <w:highlight w:val="none"/>
              </w:rPr>
            </w:pPr>
            <w:r>
              <w:rPr>
                <w:rFonts w:hint="eastAsia" w:ascii="宋体" w:hAnsi="宋体" w:cs="宋体"/>
                <w:b/>
                <w:bCs/>
                <w:color w:val="auto"/>
                <w:kern w:val="0"/>
                <w:szCs w:val="21"/>
                <w:highlight w:val="none"/>
              </w:rPr>
              <w:t>数量</w:t>
            </w:r>
          </w:p>
        </w:tc>
        <w:tc>
          <w:tcPr>
            <w:tcW w:w="1926" w:type="dxa"/>
            <w:vAlign w:val="center"/>
          </w:tcPr>
          <w:p w14:paraId="7DCE7100">
            <w:pPr>
              <w:widowControl/>
              <w:jc w:val="center"/>
              <w:textAlignment w:val="center"/>
              <w:rPr>
                <w:rFonts w:ascii="宋体" w:hAnsi="宋体" w:cs="宋体"/>
                <w:b/>
                <w:bCs/>
                <w:color w:val="auto"/>
                <w:szCs w:val="21"/>
                <w:highlight w:val="none"/>
              </w:rPr>
            </w:pPr>
            <w:r>
              <w:rPr>
                <w:rFonts w:hint="eastAsia" w:ascii="宋体" w:hAnsi="宋体" w:cs="宋体"/>
                <w:b/>
                <w:bCs/>
                <w:color w:val="auto"/>
                <w:kern w:val="0"/>
                <w:szCs w:val="21"/>
                <w:highlight w:val="none"/>
              </w:rPr>
              <w:t>备注</w:t>
            </w:r>
          </w:p>
        </w:tc>
      </w:tr>
      <w:tr w14:paraId="2E75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0D383405">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1</w:t>
            </w:r>
          </w:p>
        </w:tc>
        <w:tc>
          <w:tcPr>
            <w:tcW w:w="2527" w:type="dxa"/>
            <w:vAlign w:val="center"/>
          </w:tcPr>
          <w:p w14:paraId="1B0A25AC">
            <w:pPr>
              <w:widowControl/>
              <w:jc w:val="left"/>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手电筒</w:t>
            </w:r>
          </w:p>
        </w:tc>
        <w:tc>
          <w:tcPr>
            <w:tcW w:w="1334" w:type="dxa"/>
            <w:vAlign w:val="center"/>
          </w:tcPr>
          <w:p w14:paraId="0FCDDB4D">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个</w:t>
            </w:r>
          </w:p>
        </w:tc>
        <w:tc>
          <w:tcPr>
            <w:tcW w:w="1437" w:type="dxa"/>
            <w:vAlign w:val="center"/>
          </w:tcPr>
          <w:p w14:paraId="4B85484E">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3000</w:t>
            </w:r>
          </w:p>
        </w:tc>
        <w:tc>
          <w:tcPr>
            <w:tcW w:w="1926" w:type="dxa"/>
            <w:vAlign w:val="center"/>
          </w:tcPr>
          <w:p w14:paraId="06B9FEB9">
            <w:pPr>
              <w:widowControl/>
              <w:jc w:val="left"/>
              <w:textAlignment w:val="center"/>
              <w:rPr>
                <w:rFonts w:ascii="宋体" w:hAnsi="宋体" w:cs="宋体"/>
                <w:b/>
                <w:bCs/>
                <w:color w:val="auto"/>
                <w:szCs w:val="21"/>
                <w:highlight w:val="none"/>
              </w:rPr>
            </w:pPr>
          </w:p>
        </w:tc>
      </w:tr>
      <w:tr w14:paraId="2000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116457C7">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2</w:t>
            </w:r>
          </w:p>
        </w:tc>
        <w:tc>
          <w:tcPr>
            <w:tcW w:w="2527" w:type="dxa"/>
            <w:vAlign w:val="center"/>
          </w:tcPr>
          <w:p w14:paraId="07F14099">
            <w:pPr>
              <w:widowControl/>
              <w:jc w:val="left"/>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应急救灾蜡烛</w:t>
            </w:r>
          </w:p>
        </w:tc>
        <w:tc>
          <w:tcPr>
            <w:tcW w:w="1334" w:type="dxa"/>
            <w:vAlign w:val="center"/>
          </w:tcPr>
          <w:p w14:paraId="043F212C">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个</w:t>
            </w:r>
          </w:p>
        </w:tc>
        <w:tc>
          <w:tcPr>
            <w:tcW w:w="1437" w:type="dxa"/>
            <w:vAlign w:val="center"/>
          </w:tcPr>
          <w:p w14:paraId="40A5ECA9">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60000</w:t>
            </w:r>
          </w:p>
        </w:tc>
        <w:tc>
          <w:tcPr>
            <w:tcW w:w="1926" w:type="dxa"/>
            <w:vAlign w:val="center"/>
          </w:tcPr>
          <w:p w14:paraId="69193D7F">
            <w:pPr>
              <w:widowControl/>
              <w:jc w:val="left"/>
              <w:textAlignment w:val="center"/>
              <w:rPr>
                <w:rFonts w:ascii="宋体" w:hAnsi="宋体" w:cs="宋体"/>
                <w:b/>
                <w:bCs/>
                <w:color w:val="auto"/>
                <w:szCs w:val="21"/>
                <w:highlight w:val="none"/>
              </w:rPr>
            </w:pPr>
          </w:p>
        </w:tc>
      </w:tr>
      <w:tr w14:paraId="2485B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502AE214">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3</w:t>
            </w:r>
          </w:p>
        </w:tc>
        <w:tc>
          <w:tcPr>
            <w:tcW w:w="2527" w:type="dxa"/>
            <w:vAlign w:val="center"/>
          </w:tcPr>
          <w:p w14:paraId="7D42ACA4">
            <w:pPr>
              <w:widowControl/>
              <w:jc w:val="left"/>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场地照明灯</w:t>
            </w:r>
          </w:p>
        </w:tc>
        <w:tc>
          <w:tcPr>
            <w:tcW w:w="1334" w:type="dxa"/>
            <w:vAlign w:val="center"/>
          </w:tcPr>
          <w:p w14:paraId="2311404D">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台</w:t>
            </w:r>
          </w:p>
        </w:tc>
        <w:tc>
          <w:tcPr>
            <w:tcW w:w="1437" w:type="dxa"/>
            <w:vAlign w:val="center"/>
          </w:tcPr>
          <w:p w14:paraId="069E5B99">
            <w:pPr>
              <w:widowControl/>
              <w:jc w:val="center"/>
              <w:rPr>
                <w:rFonts w:ascii="宋体" w:hAnsi="宋体" w:cs="宋体"/>
                <w:color w:val="auto"/>
                <w:szCs w:val="21"/>
                <w:highlight w:val="none"/>
              </w:rPr>
            </w:pPr>
            <w:r>
              <w:rPr>
                <w:rFonts w:hint="eastAsia" w:ascii="宋体" w:hAnsi="宋体" w:cs="宋体"/>
                <w:color w:val="auto"/>
                <w:kern w:val="0"/>
                <w:sz w:val="21"/>
                <w:szCs w:val="21"/>
                <w:highlight w:val="none"/>
                <w:lang w:val="en-US" w:eastAsia="zh-CN"/>
              </w:rPr>
              <w:t>8</w:t>
            </w:r>
          </w:p>
        </w:tc>
        <w:tc>
          <w:tcPr>
            <w:tcW w:w="1926" w:type="dxa"/>
            <w:vAlign w:val="center"/>
          </w:tcPr>
          <w:p w14:paraId="0B6545EB">
            <w:pPr>
              <w:widowControl/>
              <w:jc w:val="left"/>
              <w:textAlignment w:val="center"/>
              <w:rPr>
                <w:rFonts w:ascii="宋体" w:hAnsi="宋体" w:cs="宋体"/>
                <w:b/>
                <w:bCs/>
                <w:color w:val="auto"/>
                <w:szCs w:val="21"/>
                <w:highlight w:val="none"/>
              </w:rPr>
            </w:pPr>
          </w:p>
        </w:tc>
      </w:tr>
      <w:tr w14:paraId="4097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62FA1C10">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4</w:t>
            </w:r>
          </w:p>
        </w:tc>
        <w:tc>
          <w:tcPr>
            <w:tcW w:w="2527" w:type="dxa"/>
            <w:vAlign w:val="center"/>
          </w:tcPr>
          <w:p w14:paraId="0610081C">
            <w:pPr>
              <w:widowControl/>
              <w:jc w:val="left"/>
              <w:rPr>
                <w:rFonts w:ascii="宋体" w:hAnsi="宋体" w:cs="宋体"/>
                <w:color w:val="auto"/>
                <w:szCs w:val="21"/>
                <w:highlight w:val="none"/>
              </w:rPr>
            </w:pPr>
            <w:r>
              <w:rPr>
                <w:rFonts w:hint="eastAsia" w:ascii="宋体" w:hAnsi="宋体" w:eastAsia="宋体" w:cs="宋体"/>
                <w:color w:val="auto"/>
                <w:sz w:val="21"/>
                <w:szCs w:val="21"/>
                <w:highlight w:val="none"/>
              </w:rPr>
              <w:t>油锯</w:t>
            </w:r>
          </w:p>
        </w:tc>
        <w:tc>
          <w:tcPr>
            <w:tcW w:w="1334" w:type="dxa"/>
            <w:vAlign w:val="center"/>
          </w:tcPr>
          <w:p w14:paraId="19AE2B1D">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台</w:t>
            </w:r>
          </w:p>
        </w:tc>
        <w:tc>
          <w:tcPr>
            <w:tcW w:w="1437" w:type="dxa"/>
            <w:vAlign w:val="center"/>
          </w:tcPr>
          <w:p w14:paraId="03A13654">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200</w:t>
            </w:r>
          </w:p>
        </w:tc>
        <w:tc>
          <w:tcPr>
            <w:tcW w:w="1926" w:type="dxa"/>
            <w:vAlign w:val="center"/>
          </w:tcPr>
          <w:p w14:paraId="38735974">
            <w:pPr>
              <w:widowControl/>
              <w:jc w:val="left"/>
              <w:textAlignment w:val="center"/>
              <w:rPr>
                <w:rFonts w:ascii="宋体" w:hAnsi="宋体" w:cs="宋体"/>
                <w:b/>
                <w:bCs/>
                <w:color w:val="auto"/>
                <w:szCs w:val="21"/>
                <w:highlight w:val="none"/>
              </w:rPr>
            </w:pPr>
          </w:p>
        </w:tc>
      </w:tr>
      <w:tr w14:paraId="3375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663334E8">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5</w:t>
            </w:r>
          </w:p>
        </w:tc>
        <w:tc>
          <w:tcPr>
            <w:tcW w:w="2527" w:type="dxa"/>
            <w:vAlign w:val="center"/>
          </w:tcPr>
          <w:p w14:paraId="6BCF94E5">
            <w:pPr>
              <w:widowControl/>
              <w:jc w:val="left"/>
              <w:rPr>
                <w:rFonts w:ascii="宋体" w:hAnsi="宋体" w:cs="宋体"/>
                <w:color w:val="auto"/>
                <w:szCs w:val="21"/>
                <w:highlight w:val="none"/>
              </w:rPr>
            </w:pPr>
            <w:r>
              <w:rPr>
                <w:rFonts w:hint="eastAsia" w:ascii="宋体" w:hAnsi="宋体" w:eastAsia="宋体" w:cs="宋体"/>
                <w:color w:val="auto"/>
                <w:sz w:val="21"/>
                <w:szCs w:val="21"/>
                <w:highlight w:val="none"/>
              </w:rPr>
              <w:t>铁锹</w:t>
            </w:r>
          </w:p>
        </w:tc>
        <w:tc>
          <w:tcPr>
            <w:tcW w:w="1334" w:type="dxa"/>
            <w:vAlign w:val="center"/>
          </w:tcPr>
          <w:p w14:paraId="702CBA57">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把</w:t>
            </w:r>
          </w:p>
        </w:tc>
        <w:tc>
          <w:tcPr>
            <w:tcW w:w="1437" w:type="dxa"/>
            <w:vAlign w:val="center"/>
          </w:tcPr>
          <w:p w14:paraId="641DB60A">
            <w:pPr>
              <w:widowControl/>
              <w:jc w:val="center"/>
              <w:rPr>
                <w:rFonts w:ascii="宋体" w:hAnsi="宋体" w:cs="宋体"/>
                <w:color w:val="auto"/>
                <w:szCs w:val="21"/>
                <w:highlight w:val="none"/>
              </w:rPr>
            </w:pPr>
            <w:r>
              <w:rPr>
                <w:rFonts w:hint="eastAsia" w:ascii="宋体" w:hAnsi="宋体" w:cs="宋体"/>
                <w:color w:val="auto"/>
                <w:kern w:val="0"/>
                <w:sz w:val="21"/>
                <w:szCs w:val="21"/>
                <w:highlight w:val="none"/>
                <w:lang w:val="en-US" w:eastAsia="zh-CN"/>
              </w:rPr>
              <w:t>3000</w:t>
            </w:r>
          </w:p>
        </w:tc>
        <w:tc>
          <w:tcPr>
            <w:tcW w:w="1926" w:type="dxa"/>
            <w:vAlign w:val="center"/>
          </w:tcPr>
          <w:p w14:paraId="57D597FE">
            <w:pPr>
              <w:widowControl/>
              <w:jc w:val="left"/>
              <w:textAlignment w:val="center"/>
              <w:rPr>
                <w:rFonts w:ascii="宋体" w:hAnsi="宋体" w:cs="宋体"/>
                <w:b/>
                <w:bCs/>
                <w:color w:val="auto"/>
                <w:szCs w:val="21"/>
                <w:highlight w:val="none"/>
              </w:rPr>
            </w:pPr>
          </w:p>
        </w:tc>
      </w:tr>
      <w:tr w14:paraId="6AEA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219F20D8">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6</w:t>
            </w:r>
          </w:p>
        </w:tc>
        <w:tc>
          <w:tcPr>
            <w:tcW w:w="2527" w:type="dxa"/>
            <w:vAlign w:val="center"/>
          </w:tcPr>
          <w:p w14:paraId="5C7C840A">
            <w:pPr>
              <w:widowControl/>
              <w:jc w:val="left"/>
              <w:rPr>
                <w:rFonts w:ascii="宋体" w:hAnsi="宋体" w:cs="宋体"/>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户外大型移动电源</w:t>
            </w:r>
          </w:p>
        </w:tc>
        <w:tc>
          <w:tcPr>
            <w:tcW w:w="1334" w:type="dxa"/>
            <w:vAlign w:val="center"/>
          </w:tcPr>
          <w:p w14:paraId="20C64812">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套</w:t>
            </w:r>
          </w:p>
        </w:tc>
        <w:tc>
          <w:tcPr>
            <w:tcW w:w="1437" w:type="dxa"/>
            <w:vAlign w:val="center"/>
          </w:tcPr>
          <w:p w14:paraId="327D5547">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20</w:t>
            </w:r>
          </w:p>
        </w:tc>
        <w:tc>
          <w:tcPr>
            <w:tcW w:w="1926" w:type="dxa"/>
            <w:vAlign w:val="center"/>
          </w:tcPr>
          <w:p w14:paraId="48FC3636">
            <w:pPr>
              <w:widowControl/>
              <w:jc w:val="left"/>
              <w:textAlignment w:val="center"/>
              <w:rPr>
                <w:rFonts w:ascii="宋体" w:hAnsi="宋体" w:cs="宋体"/>
                <w:b/>
                <w:bCs/>
                <w:color w:val="auto"/>
                <w:szCs w:val="21"/>
                <w:highlight w:val="none"/>
              </w:rPr>
            </w:pPr>
          </w:p>
        </w:tc>
      </w:tr>
      <w:tr w14:paraId="2342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5D12767A">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7</w:t>
            </w:r>
          </w:p>
        </w:tc>
        <w:tc>
          <w:tcPr>
            <w:tcW w:w="2527" w:type="dxa"/>
            <w:vAlign w:val="center"/>
          </w:tcPr>
          <w:p w14:paraId="10E097EE">
            <w:pPr>
              <w:widowControl/>
              <w:jc w:val="left"/>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柴油发电机（50kw）</w:t>
            </w:r>
          </w:p>
        </w:tc>
        <w:tc>
          <w:tcPr>
            <w:tcW w:w="1334" w:type="dxa"/>
            <w:vAlign w:val="center"/>
          </w:tcPr>
          <w:p w14:paraId="1A00D654">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套</w:t>
            </w:r>
          </w:p>
        </w:tc>
        <w:tc>
          <w:tcPr>
            <w:tcW w:w="1437" w:type="dxa"/>
            <w:vAlign w:val="center"/>
          </w:tcPr>
          <w:p w14:paraId="3FE88AAA">
            <w:pPr>
              <w:widowControl/>
              <w:jc w:val="center"/>
              <w:rPr>
                <w:rFonts w:ascii="宋体" w:hAnsi="宋体" w:cs="宋体"/>
                <w:color w:val="auto"/>
                <w:szCs w:val="21"/>
                <w:highlight w:val="none"/>
              </w:rPr>
            </w:pPr>
            <w:r>
              <w:rPr>
                <w:rFonts w:hint="eastAsia" w:ascii="宋体" w:hAnsi="宋体" w:cs="宋体"/>
                <w:color w:val="auto"/>
                <w:kern w:val="0"/>
                <w:sz w:val="21"/>
                <w:szCs w:val="21"/>
                <w:highlight w:val="none"/>
                <w:lang w:val="en-US" w:eastAsia="zh-CN"/>
              </w:rPr>
              <w:t>10</w:t>
            </w:r>
          </w:p>
        </w:tc>
        <w:tc>
          <w:tcPr>
            <w:tcW w:w="1926" w:type="dxa"/>
            <w:vAlign w:val="center"/>
          </w:tcPr>
          <w:p w14:paraId="77A0AC59">
            <w:pPr>
              <w:widowControl/>
              <w:jc w:val="left"/>
              <w:textAlignment w:val="center"/>
              <w:rPr>
                <w:rFonts w:ascii="宋体" w:hAnsi="宋体" w:cs="宋体"/>
                <w:b/>
                <w:bCs/>
                <w:color w:val="auto"/>
                <w:szCs w:val="21"/>
                <w:highlight w:val="none"/>
              </w:rPr>
            </w:pPr>
          </w:p>
        </w:tc>
      </w:tr>
      <w:tr w14:paraId="2225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15DE5B9E">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8</w:t>
            </w:r>
          </w:p>
        </w:tc>
        <w:tc>
          <w:tcPr>
            <w:tcW w:w="2527" w:type="dxa"/>
            <w:vAlign w:val="center"/>
          </w:tcPr>
          <w:p w14:paraId="62D726EE">
            <w:pPr>
              <w:widowControl/>
              <w:jc w:val="left"/>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汽油发电机</w:t>
            </w:r>
          </w:p>
        </w:tc>
        <w:tc>
          <w:tcPr>
            <w:tcW w:w="1334" w:type="dxa"/>
            <w:vAlign w:val="center"/>
          </w:tcPr>
          <w:p w14:paraId="48E18E25">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台</w:t>
            </w:r>
          </w:p>
        </w:tc>
        <w:tc>
          <w:tcPr>
            <w:tcW w:w="1437" w:type="dxa"/>
            <w:vAlign w:val="center"/>
          </w:tcPr>
          <w:p w14:paraId="0809AF29">
            <w:pPr>
              <w:widowControl/>
              <w:jc w:val="center"/>
              <w:rPr>
                <w:rFonts w:ascii="宋体" w:hAnsi="宋体" w:cs="宋体"/>
                <w:color w:val="auto"/>
                <w:szCs w:val="21"/>
                <w:highlight w:val="none"/>
              </w:rPr>
            </w:pPr>
            <w:r>
              <w:rPr>
                <w:rFonts w:hint="eastAsia" w:ascii="宋体" w:hAnsi="宋体" w:cs="宋体"/>
                <w:color w:val="auto"/>
                <w:kern w:val="0"/>
                <w:sz w:val="21"/>
                <w:szCs w:val="21"/>
                <w:highlight w:val="none"/>
                <w:lang w:val="en-US" w:eastAsia="zh-CN"/>
              </w:rPr>
              <w:t>42</w:t>
            </w:r>
          </w:p>
        </w:tc>
        <w:tc>
          <w:tcPr>
            <w:tcW w:w="1926" w:type="dxa"/>
            <w:vAlign w:val="center"/>
          </w:tcPr>
          <w:p w14:paraId="1CF1DE54">
            <w:pPr>
              <w:widowControl/>
              <w:jc w:val="left"/>
              <w:textAlignment w:val="center"/>
              <w:rPr>
                <w:rFonts w:ascii="宋体" w:hAnsi="宋体" w:cs="宋体"/>
                <w:b/>
                <w:bCs/>
                <w:color w:val="auto"/>
                <w:szCs w:val="21"/>
                <w:highlight w:val="none"/>
              </w:rPr>
            </w:pPr>
          </w:p>
        </w:tc>
      </w:tr>
      <w:tr w14:paraId="3BE1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40FC77FC">
            <w:pPr>
              <w:widowControl/>
              <w:jc w:val="center"/>
              <w:textAlignment w:val="center"/>
              <w:rPr>
                <w:rFonts w:ascii="宋体" w:hAnsi="宋体" w:cs="宋体"/>
                <w:color w:val="auto"/>
                <w:szCs w:val="21"/>
                <w:highlight w:val="none"/>
              </w:rPr>
            </w:pPr>
            <w:r>
              <w:rPr>
                <w:rFonts w:hint="eastAsia" w:ascii="宋体" w:hAnsi="宋体" w:cs="宋体"/>
                <w:color w:val="auto"/>
                <w:kern w:val="0"/>
                <w:szCs w:val="21"/>
                <w:highlight w:val="none"/>
              </w:rPr>
              <w:t>9</w:t>
            </w:r>
          </w:p>
        </w:tc>
        <w:tc>
          <w:tcPr>
            <w:tcW w:w="2527" w:type="dxa"/>
            <w:vAlign w:val="center"/>
          </w:tcPr>
          <w:p w14:paraId="34D9CF1B">
            <w:pPr>
              <w:widowControl/>
              <w:jc w:val="left"/>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便携移动发电机</w:t>
            </w:r>
          </w:p>
        </w:tc>
        <w:tc>
          <w:tcPr>
            <w:tcW w:w="1334" w:type="dxa"/>
            <w:vAlign w:val="center"/>
          </w:tcPr>
          <w:p w14:paraId="32645A46">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台</w:t>
            </w:r>
          </w:p>
        </w:tc>
        <w:tc>
          <w:tcPr>
            <w:tcW w:w="1437" w:type="dxa"/>
            <w:vAlign w:val="center"/>
          </w:tcPr>
          <w:p w14:paraId="228784D2">
            <w:pPr>
              <w:widowControl/>
              <w:jc w:val="center"/>
              <w:rPr>
                <w:rFonts w:ascii="宋体" w:hAnsi="宋体" w:cs="宋体"/>
                <w:color w:val="auto"/>
                <w:szCs w:val="21"/>
                <w:highlight w:val="none"/>
              </w:rPr>
            </w:pPr>
            <w:r>
              <w:rPr>
                <w:rFonts w:hint="eastAsia" w:ascii="宋体" w:hAnsi="宋体" w:cs="宋体"/>
                <w:color w:val="auto"/>
                <w:kern w:val="0"/>
                <w:sz w:val="21"/>
                <w:szCs w:val="21"/>
                <w:highlight w:val="none"/>
                <w:lang w:val="en-US" w:eastAsia="zh-CN"/>
              </w:rPr>
              <w:t>10</w:t>
            </w:r>
          </w:p>
        </w:tc>
        <w:tc>
          <w:tcPr>
            <w:tcW w:w="1926" w:type="dxa"/>
            <w:vAlign w:val="center"/>
          </w:tcPr>
          <w:p w14:paraId="373189FB">
            <w:pPr>
              <w:widowControl/>
              <w:jc w:val="left"/>
              <w:textAlignment w:val="center"/>
              <w:rPr>
                <w:rFonts w:ascii="宋体" w:hAnsi="宋体" w:cs="宋体"/>
                <w:b/>
                <w:bCs/>
                <w:color w:val="auto"/>
                <w:szCs w:val="21"/>
                <w:highlight w:val="none"/>
              </w:rPr>
            </w:pPr>
          </w:p>
        </w:tc>
      </w:tr>
      <w:tr w14:paraId="79CE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1CA9D606">
            <w:pPr>
              <w:widowControl/>
              <w:jc w:val="center"/>
              <w:textAlignment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10</w:t>
            </w:r>
          </w:p>
        </w:tc>
        <w:tc>
          <w:tcPr>
            <w:tcW w:w="2527" w:type="dxa"/>
            <w:vAlign w:val="center"/>
          </w:tcPr>
          <w:p w14:paraId="6FCD9CEF">
            <w:pPr>
              <w:widowControl/>
              <w:jc w:val="left"/>
              <w:rPr>
                <w:rFonts w:ascii="宋体" w:hAnsi="宋体" w:cs="宋体"/>
                <w:color w:val="auto"/>
                <w:szCs w:val="21"/>
                <w:highlight w:val="none"/>
              </w:rPr>
            </w:pPr>
            <w:r>
              <w:rPr>
                <w:rFonts w:hint="eastAsia" w:ascii="宋体" w:hAnsi="宋体" w:eastAsia="宋体" w:cs="宋体"/>
                <w:color w:val="auto"/>
                <w:sz w:val="21"/>
                <w:szCs w:val="21"/>
                <w:highlight w:val="none"/>
              </w:rPr>
              <w:t>积木式应急保供电源组</w:t>
            </w:r>
          </w:p>
        </w:tc>
        <w:tc>
          <w:tcPr>
            <w:tcW w:w="1334" w:type="dxa"/>
            <w:vAlign w:val="center"/>
          </w:tcPr>
          <w:p w14:paraId="6CAF5AEF">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台</w:t>
            </w:r>
          </w:p>
        </w:tc>
        <w:tc>
          <w:tcPr>
            <w:tcW w:w="1437" w:type="dxa"/>
            <w:vAlign w:val="center"/>
          </w:tcPr>
          <w:p w14:paraId="24F32E30">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5</w:t>
            </w:r>
          </w:p>
        </w:tc>
        <w:tc>
          <w:tcPr>
            <w:tcW w:w="1926" w:type="dxa"/>
            <w:vAlign w:val="center"/>
          </w:tcPr>
          <w:p w14:paraId="597D02AC">
            <w:pPr>
              <w:widowControl/>
              <w:jc w:val="left"/>
              <w:textAlignment w:val="center"/>
              <w:rPr>
                <w:rFonts w:ascii="宋体" w:hAnsi="宋体" w:cs="宋体"/>
                <w:b/>
                <w:bCs/>
                <w:color w:val="auto"/>
                <w:szCs w:val="21"/>
                <w:highlight w:val="none"/>
              </w:rPr>
            </w:pPr>
          </w:p>
        </w:tc>
      </w:tr>
      <w:tr w14:paraId="305E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62E0602D">
            <w:pPr>
              <w:widowControl/>
              <w:jc w:val="center"/>
              <w:textAlignment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w:t>
            </w:r>
          </w:p>
        </w:tc>
        <w:tc>
          <w:tcPr>
            <w:tcW w:w="2527" w:type="dxa"/>
            <w:vAlign w:val="center"/>
          </w:tcPr>
          <w:p w14:paraId="1B6B5D7B">
            <w:pPr>
              <w:keepNext w:val="0"/>
              <w:keepLines w:val="0"/>
              <w:widowControl/>
              <w:suppressLineNumbers w:val="0"/>
              <w:jc w:val="both"/>
              <w:textAlignment w:val="center"/>
              <w:rPr>
                <w:rFonts w:ascii="宋体" w:hAnsi="宋体" w:cs="宋体"/>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电源盘</w:t>
            </w:r>
          </w:p>
        </w:tc>
        <w:tc>
          <w:tcPr>
            <w:tcW w:w="1334" w:type="dxa"/>
            <w:vAlign w:val="center"/>
          </w:tcPr>
          <w:p w14:paraId="65339808">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1437" w:type="dxa"/>
            <w:vAlign w:val="center"/>
          </w:tcPr>
          <w:p w14:paraId="7F0BDDD9">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cs="宋体"/>
                <w:i w:val="0"/>
                <w:iCs w:val="0"/>
                <w:color w:val="auto"/>
                <w:kern w:val="0"/>
                <w:sz w:val="21"/>
                <w:szCs w:val="21"/>
                <w:highlight w:val="none"/>
                <w:u w:val="none"/>
                <w:lang w:val="en-US" w:eastAsia="zh-CN" w:bidi="ar"/>
              </w:rPr>
              <w:t>50</w:t>
            </w:r>
          </w:p>
        </w:tc>
        <w:tc>
          <w:tcPr>
            <w:tcW w:w="1926" w:type="dxa"/>
            <w:vAlign w:val="center"/>
          </w:tcPr>
          <w:p w14:paraId="13C27FC8">
            <w:pPr>
              <w:widowControl/>
              <w:jc w:val="left"/>
              <w:textAlignment w:val="center"/>
              <w:rPr>
                <w:rFonts w:ascii="宋体" w:hAnsi="宋体" w:cs="宋体"/>
                <w:b/>
                <w:bCs/>
                <w:color w:val="auto"/>
                <w:szCs w:val="21"/>
                <w:highlight w:val="none"/>
              </w:rPr>
            </w:pPr>
          </w:p>
        </w:tc>
      </w:tr>
      <w:tr w14:paraId="7424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31008FF2">
            <w:pPr>
              <w:widowControl/>
              <w:jc w:val="center"/>
              <w:textAlignment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12</w:t>
            </w:r>
          </w:p>
        </w:tc>
        <w:tc>
          <w:tcPr>
            <w:tcW w:w="2527" w:type="dxa"/>
            <w:vAlign w:val="center"/>
          </w:tcPr>
          <w:p w14:paraId="224ECE81">
            <w:pPr>
              <w:widowControl/>
              <w:jc w:val="left"/>
              <w:rPr>
                <w:rFonts w:ascii="宋体" w:hAnsi="宋体" w:cs="宋体"/>
                <w:color w:val="auto"/>
                <w:szCs w:val="21"/>
                <w:highlight w:val="none"/>
              </w:rPr>
            </w:pPr>
            <w:r>
              <w:rPr>
                <w:rFonts w:hint="eastAsia" w:ascii="宋体" w:hAnsi="宋体" w:eastAsia="宋体" w:cs="宋体"/>
                <w:color w:val="auto"/>
                <w:sz w:val="21"/>
                <w:szCs w:val="21"/>
                <w:highlight w:val="none"/>
              </w:rPr>
              <w:t>汽油抽水泵</w:t>
            </w:r>
          </w:p>
        </w:tc>
        <w:tc>
          <w:tcPr>
            <w:tcW w:w="1334" w:type="dxa"/>
            <w:vAlign w:val="center"/>
          </w:tcPr>
          <w:p w14:paraId="318DFFB1">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1437" w:type="dxa"/>
            <w:vAlign w:val="center"/>
          </w:tcPr>
          <w:p w14:paraId="027C067A">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cs="宋体"/>
                <w:i w:val="0"/>
                <w:iCs w:val="0"/>
                <w:color w:val="auto"/>
                <w:kern w:val="0"/>
                <w:sz w:val="21"/>
                <w:szCs w:val="21"/>
                <w:highlight w:val="none"/>
                <w:u w:val="none"/>
                <w:lang w:val="en-US" w:eastAsia="zh-CN" w:bidi="ar"/>
              </w:rPr>
              <w:t>50</w:t>
            </w:r>
          </w:p>
        </w:tc>
        <w:tc>
          <w:tcPr>
            <w:tcW w:w="1926" w:type="dxa"/>
            <w:vAlign w:val="center"/>
          </w:tcPr>
          <w:p w14:paraId="15613491">
            <w:pPr>
              <w:widowControl/>
              <w:jc w:val="left"/>
              <w:textAlignment w:val="center"/>
              <w:rPr>
                <w:rFonts w:ascii="宋体" w:hAnsi="宋体" w:cs="宋体"/>
                <w:b/>
                <w:bCs/>
                <w:color w:val="auto"/>
                <w:szCs w:val="21"/>
                <w:highlight w:val="none"/>
              </w:rPr>
            </w:pPr>
          </w:p>
        </w:tc>
      </w:tr>
      <w:tr w14:paraId="324D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19B81B80">
            <w:pPr>
              <w:widowControl/>
              <w:jc w:val="center"/>
              <w:textAlignment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13</w:t>
            </w:r>
          </w:p>
        </w:tc>
        <w:tc>
          <w:tcPr>
            <w:tcW w:w="2527" w:type="dxa"/>
            <w:vAlign w:val="center"/>
          </w:tcPr>
          <w:p w14:paraId="48488CF4">
            <w:pPr>
              <w:widowControl/>
              <w:jc w:val="left"/>
              <w:rPr>
                <w:rFonts w:ascii="宋体" w:hAnsi="宋体" w:cs="宋体"/>
                <w:color w:val="auto"/>
                <w:szCs w:val="21"/>
                <w:highlight w:val="none"/>
              </w:rPr>
            </w:pPr>
            <w:r>
              <w:rPr>
                <w:rFonts w:hint="eastAsia" w:ascii="宋体" w:hAnsi="宋体" w:eastAsia="宋体" w:cs="宋体"/>
                <w:color w:val="auto"/>
                <w:sz w:val="21"/>
                <w:szCs w:val="21"/>
                <w:highlight w:val="none"/>
              </w:rPr>
              <w:t>柴油抽水泵</w:t>
            </w:r>
          </w:p>
        </w:tc>
        <w:tc>
          <w:tcPr>
            <w:tcW w:w="1334" w:type="dxa"/>
            <w:vAlign w:val="center"/>
          </w:tcPr>
          <w:p w14:paraId="1855B236">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1437" w:type="dxa"/>
            <w:vAlign w:val="center"/>
          </w:tcPr>
          <w:p w14:paraId="27630D6F">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cs="宋体"/>
                <w:i w:val="0"/>
                <w:iCs w:val="0"/>
                <w:color w:val="auto"/>
                <w:kern w:val="0"/>
                <w:sz w:val="21"/>
                <w:szCs w:val="21"/>
                <w:highlight w:val="none"/>
                <w:u w:val="none"/>
                <w:lang w:val="en-US" w:eastAsia="zh-CN" w:bidi="ar"/>
              </w:rPr>
              <w:t>30</w:t>
            </w:r>
          </w:p>
        </w:tc>
        <w:tc>
          <w:tcPr>
            <w:tcW w:w="1926" w:type="dxa"/>
            <w:vAlign w:val="center"/>
          </w:tcPr>
          <w:p w14:paraId="0CC82746">
            <w:pPr>
              <w:widowControl/>
              <w:jc w:val="left"/>
              <w:textAlignment w:val="center"/>
              <w:rPr>
                <w:rFonts w:ascii="宋体" w:hAnsi="宋体" w:cs="宋体"/>
                <w:b/>
                <w:bCs/>
                <w:color w:val="auto"/>
                <w:szCs w:val="21"/>
                <w:highlight w:val="none"/>
              </w:rPr>
            </w:pPr>
          </w:p>
        </w:tc>
      </w:tr>
      <w:tr w14:paraId="5AE8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60CD9F43">
            <w:pPr>
              <w:widowControl/>
              <w:jc w:val="center"/>
              <w:textAlignment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14</w:t>
            </w:r>
          </w:p>
        </w:tc>
        <w:tc>
          <w:tcPr>
            <w:tcW w:w="2527" w:type="dxa"/>
            <w:vAlign w:val="center"/>
          </w:tcPr>
          <w:p w14:paraId="1F987CD0">
            <w:pPr>
              <w:widowControl/>
              <w:jc w:val="left"/>
              <w:rPr>
                <w:rFonts w:ascii="宋体" w:hAnsi="宋体" w:cs="宋体"/>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汽油桶（</w:t>
            </w:r>
            <w:r>
              <w:rPr>
                <w:rStyle w:val="93"/>
                <w:rFonts w:hint="eastAsia" w:ascii="宋体" w:hAnsi="宋体" w:eastAsia="宋体" w:cs="宋体"/>
                <w:color w:val="auto"/>
                <w:sz w:val="21"/>
                <w:szCs w:val="21"/>
                <w:highlight w:val="none"/>
                <w:lang w:val="en-US" w:eastAsia="zh-CN" w:bidi="ar"/>
              </w:rPr>
              <w:t>30L</w:t>
            </w:r>
            <w:r>
              <w:rPr>
                <w:rStyle w:val="97"/>
                <w:rFonts w:hint="eastAsia" w:ascii="宋体" w:hAnsi="宋体" w:eastAsia="宋体" w:cs="宋体"/>
                <w:color w:val="auto"/>
                <w:sz w:val="21"/>
                <w:szCs w:val="21"/>
                <w:highlight w:val="none"/>
                <w:lang w:val="en-US" w:eastAsia="zh-CN" w:bidi="ar"/>
              </w:rPr>
              <w:t>）</w:t>
            </w:r>
          </w:p>
        </w:tc>
        <w:tc>
          <w:tcPr>
            <w:tcW w:w="1334" w:type="dxa"/>
            <w:vAlign w:val="center"/>
          </w:tcPr>
          <w:p w14:paraId="70365311">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个</w:t>
            </w:r>
          </w:p>
        </w:tc>
        <w:tc>
          <w:tcPr>
            <w:tcW w:w="1437" w:type="dxa"/>
            <w:vAlign w:val="center"/>
          </w:tcPr>
          <w:p w14:paraId="54438D0B">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100</w:t>
            </w:r>
          </w:p>
        </w:tc>
        <w:tc>
          <w:tcPr>
            <w:tcW w:w="1926" w:type="dxa"/>
            <w:vAlign w:val="center"/>
          </w:tcPr>
          <w:p w14:paraId="0CBC3E33">
            <w:pPr>
              <w:widowControl/>
              <w:jc w:val="left"/>
              <w:textAlignment w:val="center"/>
              <w:rPr>
                <w:rFonts w:ascii="宋体" w:hAnsi="宋体" w:cs="宋体"/>
                <w:b/>
                <w:bCs/>
                <w:color w:val="auto"/>
                <w:szCs w:val="21"/>
                <w:highlight w:val="none"/>
              </w:rPr>
            </w:pPr>
          </w:p>
        </w:tc>
      </w:tr>
      <w:tr w14:paraId="602D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644ABF8E">
            <w:pPr>
              <w:widowControl/>
              <w:jc w:val="center"/>
              <w:textAlignment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15</w:t>
            </w:r>
          </w:p>
        </w:tc>
        <w:tc>
          <w:tcPr>
            <w:tcW w:w="2527" w:type="dxa"/>
            <w:vAlign w:val="center"/>
          </w:tcPr>
          <w:p w14:paraId="7B16E13E">
            <w:pPr>
              <w:widowControl/>
              <w:jc w:val="left"/>
              <w:rPr>
                <w:rFonts w:ascii="宋体" w:hAnsi="宋体" w:cs="宋体"/>
                <w:color w:val="auto"/>
                <w:szCs w:val="21"/>
                <w:highlight w:val="none"/>
              </w:rPr>
            </w:pPr>
            <w:r>
              <w:rPr>
                <w:rFonts w:hint="eastAsia" w:ascii="宋体" w:hAnsi="宋体" w:eastAsia="宋体" w:cs="宋体"/>
                <w:color w:val="auto"/>
                <w:sz w:val="21"/>
                <w:szCs w:val="21"/>
                <w:highlight w:val="none"/>
              </w:rPr>
              <w:t>橡皮艇套装</w:t>
            </w:r>
          </w:p>
        </w:tc>
        <w:tc>
          <w:tcPr>
            <w:tcW w:w="1334" w:type="dxa"/>
            <w:vAlign w:val="center"/>
          </w:tcPr>
          <w:p w14:paraId="4A0F1E3A">
            <w:pPr>
              <w:widowControl/>
              <w:jc w:val="center"/>
              <w:rPr>
                <w:rFonts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套</w:t>
            </w:r>
          </w:p>
        </w:tc>
        <w:tc>
          <w:tcPr>
            <w:tcW w:w="1437" w:type="dxa"/>
            <w:vAlign w:val="center"/>
          </w:tcPr>
          <w:p w14:paraId="42113A28">
            <w:pPr>
              <w:widowControl/>
              <w:jc w:val="center"/>
              <w:rPr>
                <w:rFonts w:ascii="宋体" w:hAnsi="宋体" w:cs="宋体"/>
                <w:color w:val="auto"/>
                <w:szCs w:val="21"/>
                <w:highlight w:val="none"/>
              </w:rPr>
            </w:pPr>
            <w:r>
              <w:rPr>
                <w:rFonts w:hint="eastAsia" w:ascii="宋体" w:hAnsi="宋体" w:cs="宋体"/>
                <w:color w:val="auto"/>
                <w:kern w:val="0"/>
                <w:sz w:val="21"/>
                <w:szCs w:val="21"/>
                <w:highlight w:val="none"/>
                <w:lang w:val="en-US" w:eastAsia="zh-CN"/>
              </w:rPr>
              <w:t>4</w:t>
            </w:r>
          </w:p>
        </w:tc>
        <w:tc>
          <w:tcPr>
            <w:tcW w:w="1926" w:type="dxa"/>
            <w:vAlign w:val="center"/>
          </w:tcPr>
          <w:p w14:paraId="26AF7F0D">
            <w:pPr>
              <w:widowControl/>
              <w:jc w:val="left"/>
              <w:textAlignment w:val="center"/>
              <w:rPr>
                <w:rFonts w:ascii="宋体" w:hAnsi="宋体" w:cs="宋体"/>
                <w:b/>
                <w:bCs/>
                <w:color w:val="auto"/>
                <w:szCs w:val="21"/>
                <w:highlight w:val="none"/>
              </w:rPr>
            </w:pPr>
          </w:p>
        </w:tc>
      </w:tr>
    </w:tbl>
    <w:p w14:paraId="4E950CB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5.合同履行期限：自合同签订生效后</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天内完成全部采购内容的供货安装调试并交付正常使用，所有产品</w:t>
      </w:r>
      <w:r>
        <w:rPr>
          <w:rFonts w:hint="eastAsia" w:ascii="宋体" w:hAnsi="宋体" w:cs="宋体"/>
          <w:color w:val="auto"/>
          <w:szCs w:val="21"/>
          <w:highlight w:val="none"/>
          <w:lang w:eastAsia="zh-CN"/>
        </w:rPr>
        <w:t>维</w:t>
      </w:r>
      <w:r>
        <w:rPr>
          <w:rFonts w:hint="eastAsia" w:ascii="宋体" w:hAnsi="宋体" w:cs="宋体"/>
          <w:color w:val="auto"/>
          <w:szCs w:val="21"/>
          <w:highlight w:val="none"/>
        </w:rPr>
        <w:t>保期为验收合格之日起</w:t>
      </w:r>
      <w:r>
        <w:rPr>
          <w:rFonts w:hint="eastAsia" w:ascii="宋体" w:hAnsi="宋体" w:cs="宋体"/>
          <w:color w:val="auto"/>
          <w:szCs w:val="21"/>
          <w:highlight w:val="none"/>
          <w:lang w:eastAsia="zh-CN"/>
        </w:rPr>
        <w:t>五</w:t>
      </w:r>
      <w:r>
        <w:rPr>
          <w:rFonts w:hint="eastAsia" w:ascii="宋体" w:hAnsi="宋体" w:cs="宋体"/>
          <w:color w:val="auto"/>
          <w:szCs w:val="21"/>
          <w:highlight w:val="none"/>
        </w:rPr>
        <w:t>年。</w:t>
      </w:r>
    </w:p>
    <w:p w14:paraId="09D1C49A">
      <w:pPr>
        <w:spacing w:line="360" w:lineRule="auto"/>
        <w:ind w:firstLine="420" w:firstLineChars="200"/>
        <w:rPr>
          <w:rFonts w:ascii="宋体" w:hAnsi="宋体" w:cs="宋体"/>
          <w:b/>
          <w:color w:val="auto"/>
          <w:szCs w:val="21"/>
          <w:highlight w:val="none"/>
        </w:rPr>
      </w:pPr>
      <w:r>
        <w:rPr>
          <w:rFonts w:hint="eastAsia" w:ascii="宋体" w:hAnsi="宋体" w:cs="宋体"/>
          <w:bCs/>
          <w:color w:val="auto"/>
          <w:szCs w:val="21"/>
          <w:highlight w:val="none"/>
        </w:rPr>
        <w:t>6.本项目不接受联合体投标</w:t>
      </w:r>
      <w:r>
        <w:rPr>
          <w:rFonts w:hint="eastAsia" w:ascii="宋体" w:hAnsi="宋体" w:cs="宋体"/>
          <w:color w:val="auto"/>
          <w:szCs w:val="21"/>
          <w:highlight w:val="none"/>
        </w:rPr>
        <w:t>。</w:t>
      </w:r>
    </w:p>
    <w:p w14:paraId="7F2039BA">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二、申请人的资格要求：</w:t>
      </w:r>
      <w:bookmarkEnd w:id="8"/>
      <w:bookmarkEnd w:id="9"/>
      <w:bookmarkEnd w:id="10"/>
      <w:bookmarkEnd w:id="11"/>
    </w:p>
    <w:p w14:paraId="1ADF2CB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4B36B7B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（1）具有独立承担民事责任的能力；</w:t>
      </w:r>
    </w:p>
    <w:p w14:paraId="0A183A0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（2）具有良好的商业信誉和健全的财务会计制度；</w:t>
      </w:r>
    </w:p>
    <w:p w14:paraId="0DE1029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（3）具有履行合同所必需的设备和专业技术能力；</w:t>
      </w:r>
    </w:p>
    <w:p w14:paraId="2C76556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（4）有依法缴纳税收和社会保障资金的良好记录；</w:t>
      </w:r>
    </w:p>
    <w:p w14:paraId="50D0A24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（5）参加政府采购活动前三年内，在经营活动中没有重大违法记录；</w:t>
      </w:r>
    </w:p>
    <w:p w14:paraId="0D742E9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（6）法律、行政法规规定的其他条件。</w:t>
      </w:r>
    </w:p>
    <w:p w14:paraId="503A4CDE">
      <w:pPr>
        <w:spacing w:line="360" w:lineRule="auto"/>
        <w:ind w:firstLine="420" w:firstLineChars="200"/>
        <w:rPr>
          <w:rFonts w:ascii="宋体" w:hAnsi="宋体" w:cs="宋体"/>
          <w:color w:val="auto"/>
          <w:szCs w:val="21"/>
          <w:highlight w:val="none"/>
        </w:rPr>
      </w:pPr>
      <w:bookmarkStart w:id="12" w:name="_Toc28359081"/>
      <w:bookmarkStart w:id="13" w:name="_Toc28359004"/>
      <w:r>
        <w:rPr>
          <w:rFonts w:hint="eastAsia" w:ascii="宋体" w:hAnsi="宋体" w:cs="宋体"/>
          <w:color w:val="auto"/>
          <w:szCs w:val="21"/>
          <w:highlight w:val="none"/>
        </w:rPr>
        <w:t>2.落实政府采购政策需满足的资格要求：</w:t>
      </w:r>
      <w:r>
        <w:rPr>
          <w:rFonts w:hint="eastAsia" w:ascii="宋体" w:hAnsi="宋体"/>
          <w:color w:val="auto"/>
          <w:highlight w:val="none"/>
        </w:rPr>
        <w:t>根据《政府采购促进中小企业发展管理办法》的相关规定，</w:t>
      </w:r>
      <w:r>
        <w:rPr>
          <w:rFonts w:hint="eastAsia" w:ascii="宋体" w:hAnsi="宋体"/>
          <w:b/>
          <w:bCs/>
          <w:color w:val="auto"/>
          <w:highlight w:val="none"/>
        </w:rPr>
        <w:t>本项目非专门面向中小企业采购。</w:t>
      </w:r>
      <w:r>
        <w:rPr>
          <w:rFonts w:hint="eastAsia" w:ascii="宋体" w:hAnsi="宋体" w:cs="宋体"/>
          <w:b/>
          <w:bCs/>
          <w:color w:val="auto"/>
          <w:szCs w:val="21"/>
          <w:highlight w:val="none"/>
        </w:rPr>
        <w:t>本项目所属行业为工业</w:t>
      </w:r>
      <w:r>
        <w:rPr>
          <w:rFonts w:hint="eastAsia" w:ascii="宋体" w:hAnsi="宋体" w:cs="宋体"/>
          <w:color w:val="auto"/>
          <w:szCs w:val="21"/>
          <w:highlight w:val="none"/>
        </w:rPr>
        <w:t>。</w:t>
      </w:r>
    </w:p>
    <w:p w14:paraId="6792FB7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3.未被列入失信被执行人、重大税收违法案件当事人名单、政府采购严重失信行为记录名单。</w:t>
      </w:r>
    </w:p>
    <w:p w14:paraId="3ADF4A7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4.单位负责人为同一人或者存在直接控股、管理关系的不同供应商（包含法定代表人为同一个人的两个及两个以上法人，母公司、全资子公司及其控股公司），不得参加同一合同项下的政府采购活动。</w:t>
      </w:r>
    </w:p>
    <w:p w14:paraId="5EF5C87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5.为采购项目提供整体设计、规范编制或者项目管理、监理、检测等服务的供应商，不得再参加该采购项目的其他采购活动。</w:t>
      </w:r>
    </w:p>
    <w:p w14:paraId="2F9A1B7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6.本项目的特定资格要求：无。</w:t>
      </w:r>
    </w:p>
    <w:p w14:paraId="4F69CDD1">
      <w:pPr>
        <w:spacing w:line="360" w:lineRule="auto"/>
        <w:ind w:firstLine="422" w:firstLineChars="200"/>
        <w:rPr>
          <w:rFonts w:ascii="宋体" w:hAnsi="宋体" w:cs="宋体"/>
          <w:b/>
          <w:color w:val="auto"/>
          <w:szCs w:val="21"/>
          <w:highlight w:val="none"/>
        </w:rPr>
      </w:pPr>
      <w:bookmarkStart w:id="14" w:name="_Toc35393623"/>
      <w:bookmarkStart w:id="15" w:name="_Toc35393792"/>
      <w:r>
        <w:rPr>
          <w:rFonts w:hint="eastAsia" w:ascii="宋体" w:hAnsi="宋体" w:cs="宋体"/>
          <w:b/>
          <w:color w:val="auto"/>
          <w:szCs w:val="21"/>
          <w:highlight w:val="none"/>
        </w:rPr>
        <w:t>三、</w:t>
      </w:r>
      <w:bookmarkEnd w:id="12"/>
      <w:bookmarkEnd w:id="13"/>
      <w:bookmarkEnd w:id="14"/>
      <w:bookmarkEnd w:id="15"/>
      <w:r>
        <w:rPr>
          <w:rFonts w:hint="eastAsia" w:ascii="宋体" w:hAnsi="宋体" w:cs="宋体"/>
          <w:b/>
          <w:color w:val="auto"/>
          <w:szCs w:val="21"/>
          <w:highlight w:val="none"/>
        </w:rPr>
        <w:t>招标文件的获取</w:t>
      </w:r>
    </w:p>
    <w:p w14:paraId="0AB08E81">
      <w:pPr>
        <w:spacing w:line="360" w:lineRule="auto"/>
        <w:ind w:firstLine="420" w:firstLineChars="200"/>
        <w:textAlignment w:val="baseline"/>
        <w:rPr>
          <w:rFonts w:ascii="宋体" w:hAnsi="宋体" w:cs="宋体"/>
          <w:color w:val="auto"/>
          <w:kern w:val="0"/>
          <w:szCs w:val="21"/>
          <w:highlight w:val="none"/>
          <w:shd w:val="clear" w:color="auto" w:fill="FFFFFF"/>
        </w:rPr>
      </w:pPr>
      <w:bookmarkStart w:id="16" w:name="_Toc28359082"/>
      <w:bookmarkStart w:id="17" w:name="_Toc28359005"/>
      <w:bookmarkStart w:id="18" w:name="_Toc35393793"/>
      <w:bookmarkStart w:id="19" w:name="_Toc35393624"/>
      <w:r>
        <w:rPr>
          <w:rFonts w:hint="eastAsia" w:ascii="宋体" w:hAnsi="宋体" w:cs="宋体"/>
          <w:color w:val="auto"/>
          <w:kern w:val="0"/>
          <w:szCs w:val="21"/>
          <w:highlight w:val="none"/>
          <w:shd w:val="clear" w:color="auto" w:fill="FFFFFF"/>
        </w:rPr>
        <w:t>1.时间：自公告发布之日起5个工作日</w:t>
      </w:r>
    </w:p>
    <w:p w14:paraId="7160D56B">
      <w:pPr>
        <w:spacing w:line="360" w:lineRule="auto"/>
        <w:ind w:firstLine="420" w:firstLineChars="200"/>
        <w:textAlignment w:val="baseline"/>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2.地点：</w:t>
      </w:r>
      <w:r>
        <w:rPr>
          <w:rFonts w:hint="eastAsia" w:ascii="宋体" w:hAnsi="宋体"/>
          <w:color w:val="auto"/>
          <w:szCs w:val="21"/>
          <w:highlight w:val="none"/>
        </w:rPr>
        <w:t>苏采云系统自行下载</w:t>
      </w:r>
    </w:p>
    <w:p w14:paraId="3F35C5F7">
      <w:pPr>
        <w:spacing w:line="360" w:lineRule="auto"/>
        <w:ind w:firstLine="420" w:firstLineChars="200"/>
        <w:textAlignment w:val="baseline"/>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3.方式：</w:t>
      </w:r>
    </w:p>
    <w:p w14:paraId="2725ECDE">
      <w:pPr>
        <w:pStyle w:val="7"/>
        <w:overflowPunct w:val="0"/>
        <w:spacing w:line="360" w:lineRule="auto"/>
        <w:ind w:firstLineChars="200"/>
        <w:rPr>
          <w:rFonts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（1）CA证书办理</w:t>
      </w:r>
    </w:p>
    <w:p w14:paraId="491E70BF">
      <w:pPr>
        <w:spacing w:line="360" w:lineRule="auto"/>
        <w:ind w:firstLine="420" w:firstLineChars="200"/>
        <w:textAlignment w:val="baseline"/>
        <w:rPr>
          <w:rFonts w:ascii="宋体" w:hAnsi="宋体" w:cs="宋体"/>
          <w:color w:val="auto"/>
          <w:kern w:val="0"/>
          <w:szCs w:val="21"/>
          <w:highlight w:val="none"/>
          <w:shd w:val="clear" w:color="auto" w:fill="FFFFFF"/>
        </w:rPr>
      </w:pPr>
      <w:r>
        <w:rPr>
          <w:rFonts w:hint="eastAsia" w:ascii="宋体" w:hAnsi="宋体"/>
          <w:color w:val="auto"/>
          <w:szCs w:val="21"/>
          <w:highlight w:val="none"/>
        </w:rPr>
        <w:t>供应商参与政府采购活动需办理江苏省电子政务证书认证中心CA证书和方正国际软件（北京）有限公司电子签章。CA证书及电子签章的办理方法详见苏州市政府采购网</w:t>
      </w:r>
      <w:r>
        <w:rPr>
          <w:rFonts w:ascii="宋体" w:hAnsi="宋体"/>
          <w:color w:val="auto"/>
          <w:szCs w:val="21"/>
          <w:highlight w:val="none"/>
        </w:rPr>
        <w:t>—</w:t>
      </w:r>
      <w:r>
        <w:rPr>
          <w:rFonts w:hint="eastAsia" w:ascii="宋体" w:hAnsi="宋体"/>
          <w:color w:val="auto"/>
          <w:szCs w:val="21"/>
          <w:highlight w:val="none"/>
        </w:rPr>
        <w:t>法规政策--《转发省财政厅关于更换全省政府采购交易系统CA数字证书和电子签章的通知》或者“苏采云”系统登录界面中的“新CA办理指南”。“苏采云”系统目前仅支持“苏采云”系统下的政务CA证书，江苏省内各地区办理的“苏采云”系统下的政务CA证书全省通用。</w:t>
      </w:r>
      <w:r>
        <w:rPr>
          <w:rFonts w:hint="eastAsia" w:ascii="宋体" w:hAnsi="宋体"/>
          <w:b/>
          <w:color w:val="auto"/>
          <w:szCs w:val="21"/>
          <w:highlight w:val="none"/>
        </w:rPr>
        <w:t>苏州现场办理地址：苏州市姑苏区平泷路251号政务服务中心4楼公共交易中心窗口，咨询电话：0512-69820834</w:t>
      </w:r>
      <w:r>
        <w:rPr>
          <w:rFonts w:hint="eastAsia" w:ascii="宋体" w:hAnsi="宋体" w:cs="宋体"/>
          <w:color w:val="auto"/>
          <w:kern w:val="0"/>
          <w:szCs w:val="21"/>
          <w:highlight w:val="none"/>
          <w:shd w:val="clear" w:color="auto" w:fill="FFFFFF"/>
        </w:rPr>
        <w:t>。</w:t>
      </w:r>
    </w:p>
    <w:p w14:paraId="6AB862E2">
      <w:pPr>
        <w:spacing w:line="360" w:lineRule="auto"/>
        <w:ind w:firstLine="420" w:firstLineChars="200"/>
        <w:textAlignment w:val="baseline"/>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（2）参与采购活动</w:t>
      </w:r>
    </w:p>
    <w:p w14:paraId="0F7C85F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供应商插入CA证书登</w:t>
      </w:r>
      <w:r>
        <w:rPr>
          <w:rFonts w:hint="eastAsia" w:ascii="宋体" w:hAnsi="宋体"/>
          <w:color w:val="auto"/>
          <w:szCs w:val="21"/>
          <w:highlight w:val="none"/>
        </w:rPr>
        <w:t>录</w:t>
      </w:r>
      <w:r>
        <w:rPr>
          <w:rFonts w:hint="eastAsia" w:ascii="宋体" w:hAnsi="宋体" w:cs="宋体"/>
          <w:color w:val="auto"/>
          <w:kern w:val="0"/>
          <w:szCs w:val="21"/>
          <w:highlight w:val="none"/>
        </w:rPr>
        <w:t>“苏采云”系统后选择具体项目，点击“我要参与”并签章提交《投标供应商确认函》，提交《投标供应商确认函》日期视同为依法获取招标文件日期。供应商须打印、保留《投标供应商确认函》，质疑时《投标供应商确认函》与质疑函一并提交；未依照招标公告要求提交《投标供应商确认函》的供应商，视为未参与该项政府采购活动，不具备对该政府采购项目提出质疑的法定权利，但因供应商资格条件或获取招标文件时间设定不符合有关法律法规规定等原因使供应商权益受损的除外。</w:t>
      </w:r>
    </w:p>
    <w:p w14:paraId="404CBE7B">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（3）电子投标准备</w:t>
      </w:r>
    </w:p>
    <w:p w14:paraId="1E17C2B7">
      <w:pPr>
        <w:spacing w:line="360" w:lineRule="auto"/>
        <w:ind w:firstLine="420" w:firstLineChars="200"/>
        <w:jc w:val="left"/>
        <w:rPr>
          <w:rFonts w:ascii="宋体" w:hAnsi="宋体" w:cs="宋体"/>
          <w:b/>
          <w:bCs/>
          <w:color w:val="auto"/>
          <w:kern w:val="0"/>
          <w:szCs w:val="21"/>
          <w:highlight w:val="none"/>
        </w:rPr>
      </w:pPr>
      <w:r>
        <w:rPr>
          <w:rFonts w:hint="eastAsia" w:ascii="宋体" w:hAnsi="宋体" w:cs="宋体"/>
          <w:color w:val="auto"/>
          <w:kern w:val="0"/>
          <w:szCs w:val="21"/>
          <w:highlight w:val="none"/>
        </w:rPr>
        <w:t>供应商在“苏采云”系统中操作成功参与项目后，必须在“已参与项目”界面中下载电子招标文件（后缀名为“.kedt”）并导入政府采购客户端工具后方可进行投标文件制作和提交</w:t>
      </w:r>
      <w:r>
        <w:rPr>
          <w:rFonts w:hint="eastAsia" w:ascii="宋体" w:hAnsi="宋体" w:cs="宋体"/>
          <w:b/>
          <w:bCs/>
          <w:color w:val="auto"/>
          <w:kern w:val="0"/>
          <w:szCs w:val="21"/>
          <w:highlight w:val="none"/>
        </w:rPr>
        <w:t>（具体详见《苏采云系统供应商操作手册》，网址链接https://czju.suzhou.gov.cn/zfcg/html/content/20231220161910031.shtml）。</w:t>
      </w:r>
    </w:p>
    <w:p w14:paraId="7581E91E">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在系统操作过程中如有疑问，请按以下方式联系：</w:t>
      </w:r>
    </w:p>
    <w:p w14:paraId="38AA8AE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注册咨询：18261002950；</w:t>
      </w:r>
    </w:p>
    <w:p w14:paraId="3F33362B">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CA技术咨询电话：400-608-6099；</w:t>
      </w:r>
    </w:p>
    <w:p w14:paraId="7DF33539">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签章使用问题：025-83633811、025-83633812、15380932027、15371015030；</w:t>
      </w:r>
    </w:p>
    <w:p w14:paraId="6C925C76">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系统使用指导与咨询：联系电话：18261002950；QQ：3048755361、1315179389、895706745。</w:t>
      </w:r>
    </w:p>
    <w:p w14:paraId="6BDC4FD2">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4.售价：免费。</w:t>
      </w:r>
    </w:p>
    <w:p w14:paraId="4987C626">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四、提交电子投标文件</w:t>
      </w:r>
      <w:bookmarkEnd w:id="16"/>
      <w:bookmarkEnd w:id="17"/>
      <w:r>
        <w:rPr>
          <w:rFonts w:hint="eastAsia" w:ascii="宋体" w:hAnsi="宋体" w:cs="宋体"/>
          <w:b/>
          <w:color w:val="auto"/>
          <w:szCs w:val="21"/>
          <w:highlight w:val="none"/>
        </w:rPr>
        <w:t>截止时间、开标时间和地点</w:t>
      </w:r>
      <w:bookmarkEnd w:id="18"/>
      <w:bookmarkEnd w:id="19"/>
    </w:p>
    <w:p w14:paraId="704B8A0B">
      <w:pPr>
        <w:pStyle w:val="7"/>
        <w:overflowPunct w:val="0"/>
        <w:spacing w:line="360" w:lineRule="auto"/>
        <w:ind w:firstLineChars="200"/>
        <w:rPr>
          <w:rFonts w:ascii="宋体" w:hAnsi="宋体" w:eastAsia="宋体" w:cs="宋体"/>
          <w:color w:val="auto"/>
          <w:sz w:val="21"/>
          <w:szCs w:val="21"/>
          <w:highlight w:val="none"/>
        </w:rPr>
      </w:pPr>
      <w:bookmarkStart w:id="20" w:name="_Toc35393625"/>
      <w:bookmarkStart w:id="21" w:name="_Toc28359007"/>
      <w:bookmarkStart w:id="22" w:name="_Toc28359084"/>
      <w:bookmarkStart w:id="23" w:name="_Toc35393794"/>
      <w:r>
        <w:rPr>
          <w:rFonts w:hint="eastAsia" w:ascii="宋体" w:hAnsi="宋体" w:eastAsia="宋体" w:cs="宋体"/>
          <w:color w:val="auto"/>
          <w:sz w:val="21"/>
          <w:szCs w:val="21"/>
          <w:highlight w:val="none"/>
        </w:rPr>
        <w:t>1.提交投标文件截止时间：202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19日</w:t>
      </w:r>
      <w:r>
        <w:rPr>
          <w:rFonts w:hint="eastAsia" w:ascii="宋体" w:hAnsi="宋体" w:eastAsia="宋体" w:cs="宋体"/>
          <w:color w:val="auto"/>
          <w:sz w:val="21"/>
          <w:szCs w:val="21"/>
          <w:highlight w:val="none"/>
        </w:rPr>
        <w:t xml:space="preserve">13：30（北京时间）； </w:t>
      </w:r>
    </w:p>
    <w:p w14:paraId="564F284F">
      <w:pPr>
        <w:pStyle w:val="7"/>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2.开标时间：202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19日</w:t>
      </w:r>
      <w:r>
        <w:rPr>
          <w:rFonts w:hint="eastAsia" w:ascii="宋体" w:hAnsi="宋体" w:eastAsia="宋体" w:cs="宋体"/>
          <w:color w:val="auto"/>
          <w:sz w:val="21"/>
          <w:szCs w:val="21"/>
          <w:highlight w:val="none"/>
        </w:rPr>
        <w:t>13：30（北京时间）；</w:t>
      </w:r>
    </w:p>
    <w:p w14:paraId="52EACBCB">
      <w:pPr>
        <w:pStyle w:val="7"/>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3.开标地点：“苏采云”系统（网址：http://jszfcg.jsczt.cn/）</w:t>
      </w:r>
    </w:p>
    <w:p w14:paraId="3A51A2C8">
      <w:pPr>
        <w:pStyle w:val="7"/>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本项目采用电子招投标形式，请供应商按照《苏采云系统供应商操作手册》进行制作、上传电子投标文件。电子投标文件制作完成后请于投标文件递交截止时间前成功上传至“苏采云”系统，否则视为放弃参加该采购项目。供应商应充分考虑到网络环境、网络带宽等风险因素，如因供应商自身原因造成的电子投标文件上传不成功由供应商自行承担全部责任。</w:t>
      </w:r>
    </w:p>
    <w:p w14:paraId="018945FB">
      <w:pPr>
        <w:pStyle w:val="7"/>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线上参加开标（开启）会方式：供应商登录“苏采云”系统在平台首页点击“开标大厅”，进入江苏省政府采购一体化不见面开标（采购）大厅，在今日项目列表，点击项目，进入不见面开标系统。本项目为不见面开标项目，开标阶段供应商在【供应商解密】环节必须使用 CA证书解密电子投标文件，如在系统规定的解密时间（投标文件提交截止时间后30分钟）内未能完成解密的视为放弃投标。</w:t>
      </w:r>
    </w:p>
    <w:p w14:paraId="35EA3C2E">
      <w:pPr>
        <w:pStyle w:val="7"/>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请供应商确保电脑、系统及其他设备（视频输入输出设备等）无误，且开标直至项目结束始终保持系统在线状态。</w:t>
      </w:r>
    </w:p>
    <w:p w14:paraId="01610CDA">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五、公告期限</w:t>
      </w:r>
      <w:bookmarkEnd w:id="20"/>
      <w:bookmarkEnd w:id="21"/>
      <w:bookmarkEnd w:id="22"/>
      <w:bookmarkEnd w:id="23"/>
    </w:p>
    <w:p w14:paraId="4F2805E4">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312A2408">
      <w:pPr>
        <w:numPr>
          <w:ilvl w:val="0"/>
          <w:numId w:val="3"/>
        </w:numPr>
        <w:spacing w:line="360" w:lineRule="auto"/>
        <w:ind w:firstLine="422" w:firstLineChars="200"/>
        <w:rPr>
          <w:rFonts w:ascii="宋体" w:hAnsi="宋体" w:cs="宋体"/>
          <w:b/>
          <w:color w:val="auto"/>
          <w:szCs w:val="21"/>
          <w:highlight w:val="none"/>
        </w:rPr>
      </w:pPr>
      <w:bookmarkStart w:id="24" w:name="_Toc35393626"/>
      <w:bookmarkStart w:id="25" w:name="_Toc35393795"/>
      <w:r>
        <w:rPr>
          <w:rFonts w:hint="eastAsia" w:ascii="宋体" w:hAnsi="宋体" w:cs="宋体"/>
          <w:b/>
          <w:color w:val="auto"/>
          <w:szCs w:val="21"/>
          <w:highlight w:val="none"/>
        </w:rPr>
        <w:t>其他补充事宜</w:t>
      </w:r>
      <w:bookmarkEnd w:id="24"/>
      <w:bookmarkEnd w:id="25"/>
    </w:p>
    <w:p w14:paraId="68876A8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1.根据苏州市财政局《关于深入开展苏州市政府采购合同信用融资业务的通知》相关要求，本项目支持政府采购合同信用融资。</w:t>
      </w:r>
    </w:p>
    <w:p w14:paraId="541D304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2.本公告有关信息将同时在苏州市政府采购网、江苏省政府采购网上发布，敬请留意！</w:t>
      </w:r>
    </w:p>
    <w:p w14:paraId="2B96BFC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3.苏州市财政局政府采购监管处电话：0512-68616651。</w:t>
      </w:r>
    </w:p>
    <w:p w14:paraId="039DB07D">
      <w:pPr>
        <w:spacing w:line="360" w:lineRule="auto"/>
        <w:ind w:firstLine="422" w:firstLineChars="200"/>
        <w:rPr>
          <w:rFonts w:ascii="宋体" w:hAnsi="宋体" w:cs="宋体"/>
          <w:b/>
          <w:color w:val="auto"/>
          <w:szCs w:val="21"/>
          <w:highlight w:val="none"/>
        </w:rPr>
      </w:pPr>
      <w:bookmarkStart w:id="26" w:name="_Toc35393796"/>
      <w:bookmarkStart w:id="27" w:name="_Toc35393627"/>
      <w:bookmarkStart w:id="28" w:name="_Toc28359008"/>
      <w:bookmarkStart w:id="29" w:name="_Toc28359085"/>
      <w:r>
        <w:rPr>
          <w:rFonts w:hint="eastAsia" w:ascii="宋体" w:hAnsi="宋体" w:cs="宋体"/>
          <w:b/>
          <w:color w:val="auto"/>
          <w:szCs w:val="21"/>
          <w:highlight w:val="none"/>
        </w:rPr>
        <w:t>七、对本次招标提出询问，请按以下方式联系。</w:t>
      </w:r>
      <w:bookmarkEnd w:id="26"/>
      <w:bookmarkEnd w:id="27"/>
      <w:bookmarkEnd w:id="28"/>
      <w:bookmarkEnd w:id="29"/>
    </w:p>
    <w:p w14:paraId="16692D08">
      <w:pPr>
        <w:widowControl/>
        <w:spacing w:line="360" w:lineRule="auto"/>
        <w:ind w:firstLine="420" w:firstLineChars="200"/>
        <w:jc w:val="left"/>
        <w:rPr>
          <w:rFonts w:ascii="宋体" w:hAnsi="宋体" w:cs="宋体"/>
          <w:color w:val="auto"/>
          <w:szCs w:val="21"/>
          <w:highlight w:val="none"/>
        </w:rPr>
      </w:pPr>
      <w:bookmarkStart w:id="30" w:name="_Toc35393786"/>
      <w:bookmarkStart w:id="31" w:name="_Toc28358998"/>
      <w:bookmarkStart w:id="32" w:name="_Toc28359075"/>
      <w:bookmarkStart w:id="33" w:name="_Toc35393617"/>
      <w:r>
        <w:rPr>
          <w:rFonts w:hint="eastAsia" w:ascii="宋体" w:hAnsi="宋体" w:cs="宋体"/>
          <w:color w:val="auto"/>
          <w:szCs w:val="21"/>
          <w:highlight w:val="none"/>
        </w:rPr>
        <w:t>1.采购单位信息</w:t>
      </w:r>
      <w:bookmarkEnd w:id="30"/>
      <w:bookmarkEnd w:id="31"/>
      <w:bookmarkEnd w:id="32"/>
      <w:bookmarkEnd w:id="33"/>
    </w:p>
    <w:p w14:paraId="5CCC78B1">
      <w:pPr>
        <w:widowControl/>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苏州市发展和改革委员会</w:t>
      </w:r>
    </w:p>
    <w:p w14:paraId="2F6BED6D">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地    址：苏州市姑苏区三香路998号 </w:t>
      </w:r>
    </w:p>
    <w:p w14:paraId="661E0C24">
      <w:pPr>
        <w:widowControl/>
        <w:spacing w:line="360" w:lineRule="auto"/>
        <w:ind w:firstLine="420" w:firstLineChars="2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联系电话：</w:t>
      </w:r>
      <w:r>
        <w:rPr>
          <w:rFonts w:hint="eastAsia" w:ascii="宋体" w:hAnsi="宋体" w:cs="宋体"/>
          <w:bCs/>
          <w:color w:val="auto"/>
          <w:szCs w:val="21"/>
          <w:highlight w:val="none"/>
          <w:lang w:val="en-US" w:eastAsia="zh-CN"/>
        </w:rPr>
        <w:t>0512-65201806</w:t>
      </w:r>
    </w:p>
    <w:p w14:paraId="4AA7082B">
      <w:pPr>
        <w:widowControl/>
        <w:spacing w:line="360" w:lineRule="auto"/>
        <w:ind w:firstLine="420" w:firstLineChars="200"/>
        <w:jc w:val="left"/>
        <w:rPr>
          <w:rFonts w:ascii="宋体" w:hAnsi="宋体" w:cs="宋体"/>
          <w:color w:val="auto"/>
          <w:szCs w:val="21"/>
          <w:highlight w:val="none"/>
        </w:rPr>
      </w:pPr>
      <w:bookmarkStart w:id="34" w:name="_Toc28359077"/>
      <w:bookmarkStart w:id="35" w:name="_Toc35393788"/>
      <w:bookmarkStart w:id="36" w:name="_Toc35393619"/>
      <w:bookmarkStart w:id="37" w:name="_Toc28359000"/>
      <w:r>
        <w:rPr>
          <w:rFonts w:hint="eastAsia" w:ascii="宋体" w:hAnsi="宋体" w:cs="宋体"/>
          <w:color w:val="auto"/>
          <w:szCs w:val="21"/>
          <w:highlight w:val="none"/>
        </w:rPr>
        <w:t>2.代理机构联系方式</w:t>
      </w:r>
      <w:bookmarkEnd w:id="34"/>
      <w:bookmarkEnd w:id="35"/>
      <w:bookmarkEnd w:id="36"/>
      <w:bookmarkEnd w:id="37"/>
    </w:p>
    <w:p w14:paraId="62932E9D">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名  称</w:t>
      </w:r>
      <w:bookmarkStart w:id="38" w:name="XTDLJG_2"/>
      <w:r>
        <w:rPr>
          <w:rFonts w:hint="eastAsia" w:ascii="宋体" w:hAnsi="宋体" w:cs="宋体"/>
          <w:color w:val="auto"/>
          <w:szCs w:val="21"/>
          <w:highlight w:val="none"/>
        </w:rPr>
        <w:t>：</w:t>
      </w:r>
      <w:bookmarkEnd w:id="38"/>
      <w:r>
        <w:rPr>
          <w:rFonts w:hint="eastAsia" w:ascii="宋体" w:hAnsi="宋体" w:cs="宋体"/>
          <w:color w:val="auto"/>
          <w:szCs w:val="21"/>
          <w:highlight w:val="none"/>
        </w:rPr>
        <w:t>苏州市创杰招投标咨询服务有限公司</w:t>
      </w:r>
    </w:p>
    <w:p w14:paraId="0BEE0EA8">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地  址：苏州市干将西路399号银海大厦303室</w:t>
      </w:r>
    </w:p>
    <w:p w14:paraId="5781895B">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联系人：路丽丽  潘莉莉  朱晓芹 庄天扬</w:t>
      </w:r>
    </w:p>
    <w:p w14:paraId="039C02E1">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电　话：0512-65238816</w:t>
      </w:r>
    </w:p>
    <w:p w14:paraId="7A6C14B7">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3.项目联系方式</w:t>
      </w:r>
    </w:p>
    <w:p w14:paraId="079B890C">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项目联系人：路丽丽</w:t>
      </w:r>
    </w:p>
    <w:p w14:paraId="2B744904">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电　　  话：0512-65238816</w:t>
      </w:r>
    </w:p>
    <w:bookmarkEnd w:id="2"/>
    <w:p w14:paraId="54E0BF2F">
      <w:pPr>
        <w:pStyle w:val="23"/>
        <w:pageBreakBefore/>
        <w:tabs>
          <w:tab w:val="right" w:leader="dot" w:pos="8302"/>
        </w:tabs>
        <w:spacing w:line="360" w:lineRule="auto"/>
        <w:ind w:firstLine="640"/>
        <w:jc w:val="center"/>
        <w:rPr>
          <w:rStyle w:val="34"/>
          <w:rFonts w:ascii="宋体" w:hAnsi="宋体" w:cs="宋体"/>
          <w:color w:val="auto"/>
          <w:sz w:val="32"/>
          <w:szCs w:val="32"/>
          <w:highlight w:val="none"/>
        </w:rPr>
      </w:pPr>
      <w:r>
        <w:rPr>
          <w:rStyle w:val="34"/>
          <w:rFonts w:hint="eastAsia" w:ascii="宋体" w:hAnsi="宋体" w:cs="宋体"/>
          <w:color w:val="auto"/>
          <w:sz w:val="32"/>
          <w:szCs w:val="32"/>
          <w:highlight w:val="none"/>
        </w:rPr>
        <w:t>第二章  投标人须知</w:t>
      </w:r>
    </w:p>
    <w:p w14:paraId="2493A94D">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一、说明和释义</w:t>
      </w:r>
    </w:p>
    <w:p w14:paraId="7BF29285">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1.1本招标文件仅适用于苏州市创杰招投标咨询服务有限公司组织的招标活动。</w:t>
      </w:r>
    </w:p>
    <w:p w14:paraId="07A61B33">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1.2本次招标活动及因本次招标产生的合同受中国法律制约和保护。</w:t>
      </w:r>
    </w:p>
    <w:p w14:paraId="56EB7CA8">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1.3本招标文件的解释权属于苏州市创杰招投标咨询服务有限公司。</w:t>
      </w:r>
    </w:p>
    <w:p w14:paraId="490498E0">
      <w:pPr>
        <w:autoSpaceDE w:val="0"/>
        <w:autoSpaceDN w:val="0"/>
        <w:spacing w:line="360" w:lineRule="auto"/>
        <w:ind w:firstLine="420" w:firstLineChars="200"/>
        <w:rPr>
          <w:rFonts w:ascii="宋体" w:hAnsi="宋体" w:cs="宋体"/>
          <w:bCs/>
          <w:color w:val="auto"/>
          <w:szCs w:val="21"/>
          <w:highlight w:val="none"/>
          <w:lang w:val="zh-CN"/>
        </w:rPr>
      </w:pPr>
      <w:r>
        <w:rPr>
          <w:rFonts w:hint="eastAsia" w:ascii="宋体" w:hAnsi="宋体" w:cs="宋体"/>
          <w:bCs/>
          <w:color w:val="auto"/>
          <w:szCs w:val="21"/>
          <w:highlight w:val="none"/>
          <w:lang w:val="zh-CN"/>
        </w:rPr>
        <w:t>1.4 词语释义</w:t>
      </w:r>
    </w:p>
    <w:p w14:paraId="1AB7B173">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1.4.1招标代理机构：具体组织实施招标活动的法人。</w:t>
      </w:r>
    </w:p>
    <w:p w14:paraId="75AB016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1.4.2投标人（投标单位）：经认定有资格响应招标，参加投标竞争的法人或其他组织和自然人。</w:t>
      </w:r>
    </w:p>
    <w:p w14:paraId="009DA13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1.4.3响应：投标人根据招标代理机构或招标代理机构发布的招标文件，编制投标文件并按规定投标的行为。</w:t>
      </w:r>
    </w:p>
    <w:p w14:paraId="04F9CB3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1.4.4合同：采供双方根据招标文件和中标的投标文件及中标通知书规定的内容签署的以书面形式所达成的协议，包括所有的附件、附录和构成协议的所有文件。</w:t>
      </w:r>
    </w:p>
    <w:p w14:paraId="0F042956">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1.4.5甲方（委托方）：合同中明确规定的实际购买货物和服务的法人或其他组织和自然人 。</w:t>
      </w:r>
    </w:p>
    <w:p w14:paraId="3A6EAF7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1.4.6乙方（服务方）：合同中规定的向采购单位提供货物和服务的法人或其他组织和自然人。</w:t>
      </w:r>
    </w:p>
    <w:p w14:paraId="6434CBCB">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lang w:val="zh-CN"/>
        </w:rPr>
        <w:t>1.4.7</w:t>
      </w:r>
      <w:r>
        <w:rPr>
          <w:rFonts w:hint="eastAsia" w:ascii="宋体" w:hAnsi="宋体" w:cs="宋体"/>
          <w:color w:val="auto"/>
          <w:highlight w:val="none"/>
        </w:rPr>
        <w:t>货物：系指乙方按招标文件规定，应向甲方提供的一切设备、备品、备件、工具、手册及其它有关技术资料和材料。</w:t>
      </w:r>
    </w:p>
    <w:p w14:paraId="4053EBC2">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highlight w:val="none"/>
        </w:rPr>
        <w:t>1.4.8</w:t>
      </w:r>
      <w:r>
        <w:rPr>
          <w:rFonts w:hint="eastAsia" w:ascii="宋体" w:hAnsi="宋体" w:cs="宋体"/>
          <w:color w:val="auto"/>
          <w:szCs w:val="21"/>
          <w:highlight w:val="none"/>
          <w:lang w:val="zh-CN"/>
        </w:rPr>
        <w:t>服务：系指本次招标文件规定乙方应承担的与提供货物和服务有关的辅助服务，比如运输、保险、安装、调试、提供技术援助、培训、配合措施、维修响应及合同中规定乙方应承担的其它义务</w:t>
      </w:r>
      <w:r>
        <w:rPr>
          <w:rFonts w:hint="eastAsia" w:ascii="宋体" w:hAnsi="宋体" w:cs="宋体"/>
          <w:color w:val="auto"/>
          <w:szCs w:val="21"/>
          <w:highlight w:val="none"/>
        </w:rPr>
        <w:t>。</w:t>
      </w:r>
    </w:p>
    <w:p w14:paraId="36401CF6">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1.4.9知识产权：指专利权、商标权、著作权等无形财产专有权的统称。</w:t>
      </w:r>
    </w:p>
    <w:p w14:paraId="08353667">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1.4.10天：日历日。</w:t>
      </w:r>
    </w:p>
    <w:p w14:paraId="5663469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1.4.11交货地点：合同中明确约定的乙方提交的货物和服务最终交付地点。</w:t>
      </w:r>
    </w:p>
    <w:p w14:paraId="2E965640">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1.4.12合同价款：根据合同规定，乙方在正确地履行合同义务后甲方应支付乙方的价款。</w:t>
      </w:r>
    </w:p>
    <w:p w14:paraId="74F8D42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1.4.13产地：货物开采、生长、生产、最终制造、加工或提供服务的来源地。</w:t>
      </w:r>
    </w:p>
    <w:p w14:paraId="74DD7A1A">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1.4.14 不可抗力：不能预见、不能避免并且不能克服的客观情况。</w:t>
      </w:r>
    </w:p>
    <w:p w14:paraId="33DD35C1">
      <w:pPr>
        <w:pStyle w:val="7"/>
        <w:overflowPunct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1.4.15损失：本合同所指损失是指合同任何一方因对方不履行合同义务或履行不当而遭致的各种损害，包括直接和间接的一切损害，还包括守约一方为减轻损害或维护权利而需要支付的各种调查费用，车旅费用、律师费用等。</w:t>
      </w:r>
    </w:p>
    <w:p w14:paraId="58B020A2">
      <w:pPr>
        <w:pStyle w:val="7"/>
        <w:overflowPunct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1.4.16进口产品：指通过中国海关报关验收进入中国境内且产自境外的产品，具体按照苏财购〔2008〕14号江苏省财政厅转发财政部办公厅关于政府采购进口产品管理有关问题的通知的规定。</w:t>
      </w:r>
    </w:p>
    <w:p w14:paraId="40554A0B">
      <w:pPr>
        <w:pStyle w:val="7"/>
        <w:overflowPunct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1.4.17书面形式：指书面文字、合同书、信件和数据电文（包括电报、电传、传真、电子数据交换和电子邮件）等可以有形地表现所载内容的形式。</w:t>
      </w:r>
    </w:p>
    <w:p w14:paraId="2CC573EA">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二、 投标人</w:t>
      </w:r>
    </w:p>
    <w:p w14:paraId="7D217ADF">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 合格投标人的条件：</w:t>
      </w:r>
    </w:p>
    <w:p w14:paraId="1F55F29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zh-CN"/>
        </w:rPr>
        <w:t>2.1具有独立承担民事责任的能力；</w:t>
      </w:r>
    </w:p>
    <w:p w14:paraId="1C2536E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2.2具有良好的商业信誉和健全的财务会计制度；</w:t>
      </w:r>
    </w:p>
    <w:p w14:paraId="38E5BD6E">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2.3具有履行合同所必需的设备和专业技术</w:t>
      </w:r>
      <w:r>
        <w:rPr>
          <w:rFonts w:hint="eastAsia" w:ascii="宋体" w:hAnsi="宋体" w:cs="宋体"/>
          <w:color w:val="auto"/>
          <w:szCs w:val="21"/>
          <w:highlight w:val="none"/>
        </w:rPr>
        <w:t>能力</w:t>
      </w:r>
      <w:r>
        <w:rPr>
          <w:rFonts w:hint="eastAsia" w:ascii="宋体" w:hAnsi="宋体" w:cs="宋体"/>
          <w:color w:val="auto"/>
          <w:szCs w:val="21"/>
          <w:highlight w:val="none"/>
          <w:lang w:val="zh-CN"/>
        </w:rPr>
        <w:t>；</w:t>
      </w:r>
    </w:p>
    <w:p w14:paraId="5CF4670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2.4有依法缴纳税收和社会保障资金的良好记录；</w:t>
      </w:r>
    </w:p>
    <w:p w14:paraId="4BFD6808">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lang w:val="zh-CN"/>
        </w:rPr>
        <w:t>2.5</w:t>
      </w:r>
      <w:r>
        <w:rPr>
          <w:rFonts w:hint="eastAsia" w:ascii="宋体" w:hAnsi="宋体" w:cs="宋体"/>
          <w:color w:val="auto"/>
          <w:highlight w:val="none"/>
        </w:rPr>
        <w:t>参加政府采购活动前三年内，在经营活动中没有重大违法记录；</w:t>
      </w:r>
    </w:p>
    <w:p w14:paraId="0E406612">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2.6</w:t>
      </w:r>
      <w:r>
        <w:rPr>
          <w:rFonts w:hint="eastAsia" w:ascii="宋体" w:hAnsi="宋体" w:cs="宋体"/>
          <w:color w:val="auto"/>
          <w:szCs w:val="21"/>
          <w:highlight w:val="none"/>
        </w:rPr>
        <w:t>法律、行政法规规定的其他条件。</w:t>
      </w:r>
    </w:p>
    <w:p w14:paraId="7CF93F76">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2.7</w:t>
      </w:r>
      <w:r>
        <w:rPr>
          <w:rFonts w:hint="eastAsia" w:ascii="宋体" w:hAnsi="宋体" w:cs="宋体"/>
          <w:color w:val="auto"/>
          <w:highlight w:val="none"/>
        </w:rPr>
        <w:t>合格投标单位其他资格条件见第一章投标邀请函；</w:t>
      </w:r>
    </w:p>
    <w:p w14:paraId="385078A7">
      <w:pPr>
        <w:autoSpaceDE w:val="0"/>
        <w:autoSpaceDN w:val="0"/>
        <w:spacing w:line="360" w:lineRule="auto"/>
        <w:rPr>
          <w:rFonts w:ascii="宋体" w:hAnsi="宋体" w:cs="宋体"/>
          <w:color w:val="auto"/>
          <w:szCs w:val="21"/>
          <w:highlight w:val="none"/>
          <w:lang w:val="zh-CN"/>
        </w:rPr>
      </w:pPr>
      <w:r>
        <w:rPr>
          <w:rFonts w:hint="eastAsia" w:ascii="宋体" w:hAnsi="宋体" w:cs="宋体"/>
          <w:b/>
          <w:bCs/>
          <w:color w:val="auto"/>
          <w:szCs w:val="21"/>
          <w:highlight w:val="none"/>
          <w:lang w:val="zh-CN"/>
        </w:rPr>
        <w:t>3. 投标人代表：</w:t>
      </w:r>
      <w:r>
        <w:rPr>
          <w:rFonts w:hint="eastAsia" w:ascii="宋体" w:hAnsi="宋体" w:cs="宋体"/>
          <w:color w:val="auto"/>
          <w:szCs w:val="21"/>
          <w:highlight w:val="none"/>
          <w:lang w:val="zh-CN"/>
        </w:rPr>
        <w:t>指全权代表投标方参加投标活动并签署投标文件的人。如果投标方代表不是法定代表人，须持有《法人授权委托书》（详见统一格式）。</w:t>
      </w:r>
    </w:p>
    <w:p w14:paraId="5A8DA3F8">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 xml:space="preserve">4. 投标费用 </w:t>
      </w:r>
    </w:p>
    <w:p w14:paraId="68CCD44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4.1无论投标过程中的做法和结果如何，投标人自行承担所有与参加投标有关的全部费用。</w:t>
      </w:r>
    </w:p>
    <w:p w14:paraId="6E3E6E39">
      <w:pPr>
        <w:spacing w:line="360" w:lineRule="auto"/>
        <w:rPr>
          <w:rFonts w:ascii="宋体" w:hAnsi="宋体" w:cs="宋体"/>
          <w:b/>
          <w:bCs/>
          <w:color w:val="auto"/>
          <w:szCs w:val="21"/>
          <w:highlight w:val="none"/>
        </w:rPr>
      </w:pPr>
      <w:r>
        <w:rPr>
          <w:rFonts w:hint="eastAsia" w:ascii="宋体" w:hAnsi="宋体" w:cs="宋体"/>
          <w:b/>
          <w:bCs/>
          <w:color w:val="auto"/>
          <w:szCs w:val="21"/>
          <w:highlight w:val="none"/>
          <w:lang w:val="zh-CN"/>
        </w:rPr>
        <w:t>5.</w:t>
      </w:r>
      <w:r>
        <w:rPr>
          <w:rFonts w:hint="eastAsia" w:ascii="宋体" w:hAnsi="宋体" w:cs="宋体"/>
          <w:b/>
          <w:bCs/>
          <w:color w:val="auto"/>
          <w:szCs w:val="21"/>
          <w:highlight w:val="none"/>
        </w:rPr>
        <w:t xml:space="preserve"> 联合投标及分包转包</w:t>
      </w:r>
    </w:p>
    <w:p w14:paraId="7596D08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5.1本次招标不接受联合投标的方式；</w:t>
      </w:r>
    </w:p>
    <w:p w14:paraId="49E91A2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5.2本次招标不接受转包、分包。</w:t>
      </w:r>
    </w:p>
    <w:p w14:paraId="498BCF2E">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三、 招标文件的说明</w:t>
      </w:r>
    </w:p>
    <w:p w14:paraId="1FF0155E">
      <w:pPr>
        <w:spacing w:line="360" w:lineRule="auto"/>
        <w:rPr>
          <w:rFonts w:ascii="宋体" w:hAnsi="宋体" w:cs="宋体"/>
          <w:b/>
          <w:color w:val="auto"/>
          <w:highlight w:val="none"/>
        </w:rPr>
      </w:pPr>
      <w:r>
        <w:rPr>
          <w:rFonts w:hint="eastAsia" w:ascii="宋体" w:hAnsi="宋体" w:cs="宋体"/>
          <w:b/>
          <w:color w:val="auto"/>
          <w:highlight w:val="none"/>
        </w:rPr>
        <w:t>6. 招标文件</w:t>
      </w:r>
    </w:p>
    <w:p w14:paraId="3EF0D0AA">
      <w:pPr>
        <w:spacing w:line="360" w:lineRule="auto"/>
        <w:ind w:firstLine="422"/>
        <w:rPr>
          <w:rFonts w:ascii="宋体" w:hAnsi="宋体" w:cs="宋体"/>
          <w:color w:val="auto"/>
          <w:highlight w:val="none"/>
        </w:rPr>
      </w:pPr>
      <w:r>
        <w:rPr>
          <w:rFonts w:hint="eastAsia" w:ascii="宋体" w:hAnsi="宋体" w:cs="宋体"/>
          <w:color w:val="auto"/>
          <w:highlight w:val="none"/>
        </w:rPr>
        <w:t>6.1招标文件由招标文件总目录所列内容组成。投标单位应详细阅读招标文件的全部内容。不按招标文件的要求提供的投标文件和资料，可能导致投标被拒绝。</w:t>
      </w:r>
    </w:p>
    <w:p w14:paraId="4BAE871B">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6.2 招标文件及其更正公告不是直接从苏采云系统中获得的，招标采购单位对招标文件及其补遗的真实性、完整性不承担任何责任。</w:t>
      </w:r>
    </w:p>
    <w:p w14:paraId="29F59BFC">
      <w:pPr>
        <w:spacing w:line="360" w:lineRule="auto"/>
        <w:rPr>
          <w:rFonts w:ascii="宋体" w:hAnsi="宋体" w:cs="宋体"/>
          <w:b/>
          <w:color w:val="auto"/>
          <w:highlight w:val="none"/>
        </w:rPr>
      </w:pPr>
      <w:r>
        <w:rPr>
          <w:rFonts w:hint="eastAsia" w:ascii="宋体" w:hAnsi="宋体" w:cs="宋体"/>
          <w:b/>
          <w:color w:val="auto"/>
          <w:highlight w:val="none"/>
        </w:rPr>
        <w:t>7. 招标文件的澄清</w:t>
      </w:r>
    </w:p>
    <w:p w14:paraId="7877663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招标采购单位无论出于自己的考虑，还是出于对投标人提问的澄清，均可对招标文件用更正公告的方式进行澄清或者修改，并通过苏州市政府采购网对外进行发布。</w:t>
      </w:r>
    </w:p>
    <w:p w14:paraId="20DCC624">
      <w:pPr>
        <w:spacing w:line="360" w:lineRule="auto"/>
        <w:rPr>
          <w:rFonts w:ascii="宋体" w:hAnsi="宋体" w:cs="宋体"/>
          <w:b/>
          <w:color w:val="auto"/>
          <w:highlight w:val="none"/>
        </w:rPr>
      </w:pPr>
      <w:r>
        <w:rPr>
          <w:rFonts w:hint="eastAsia" w:ascii="宋体" w:hAnsi="宋体" w:cs="宋体"/>
          <w:b/>
          <w:color w:val="auto"/>
          <w:highlight w:val="none"/>
        </w:rPr>
        <w:t>8. 招标文件的修改</w:t>
      </w:r>
    </w:p>
    <w:p w14:paraId="3DDAF624">
      <w:pPr>
        <w:spacing w:line="360" w:lineRule="auto"/>
        <w:ind w:firstLine="422"/>
        <w:rPr>
          <w:rFonts w:ascii="宋体" w:hAnsi="宋体" w:cs="宋体"/>
          <w:color w:val="auto"/>
          <w:highlight w:val="none"/>
        </w:rPr>
      </w:pPr>
      <w:r>
        <w:rPr>
          <w:rFonts w:hint="eastAsia" w:ascii="宋体" w:hAnsi="宋体" w:cs="宋体"/>
          <w:color w:val="auto"/>
          <w:highlight w:val="none"/>
        </w:rPr>
        <w:t>8.1对于补充通知（包括更正公告），报名成功的供应商通过“苏州市政府采购网”的“采购公告”自行查看所报项目的补充通知（包括更正公告）。补充通知（包括更正公告）将作为招标文件的组成部分，对所有投标人有约束力。</w:t>
      </w:r>
    </w:p>
    <w:p w14:paraId="783885D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8.2为使投标人有足够的时间按招标文件的修改要求考虑修正投标文件，或出于其他原因，招标采购单位有权推迟投标截止日期和开标日期，并将此变更通知以更正公告的形式对外发布。</w:t>
      </w:r>
    </w:p>
    <w:p w14:paraId="6F2FFFC1">
      <w:pPr>
        <w:spacing w:line="360" w:lineRule="auto"/>
        <w:rPr>
          <w:rFonts w:ascii="宋体" w:hAnsi="宋体" w:cs="宋体"/>
          <w:b/>
          <w:color w:val="auto"/>
          <w:highlight w:val="none"/>
        </w:rPr>
      </w:pPr>
      <w:r>
        <w:rPr>
          <w:rFonts w:hint="eastAsia" w:ascii="宋体" w:hAnsi="宋体" w:cs="宋体"/>
          <w:b/>
          <w:color w:val="auto"/>
          <w:highlight w:val="none"/>
        </w:rPr>
        <w:t>9. 投标答疑</w:t>
      </w:r>
    </w:p>
    <w:p w14:paraId="5A932B08">
      <w:pPr>
        <w:spacing w:line="360" w:lineRule="auto"/>
        <w:ind w:firstLine="422"/>
        <w:rPr>
          <w:rFonts w:ascii="宋体" w:hAnsi="宋体" w:cs="宋体"/>
          <w:color w:val="auto"/>
          <w:highlight w:val="none"/>
        </w:rPr>
      </w:pPr>
      <w:r>
        <w:rPr>
          <w:rFonts w:hint="eastAsia" w:ascii="宋体" w:hAnsi="宋体" w:cs="宋体"/>
          <w:color w:val="auto"/>
          <w:highlight w:val="none"/>
        </w:rPr>
        <w:t xml:space="preserve"> 9.1</w:t>
      </w:r>
      <w:r>
        <w:rPr>
          <w:rFonts w:hint="eastAsia" w:ascii="宋体" w:hAnsi="宋体" w:cs="宋体"/>
          <w:color w:val="auto"/>
          <w:szCs w:val="21"/>
          <w:highlight w:val="none"/>
        </w:rPr>
        <w:t>投标人在收到招标文件后，若有问题需要澄清，应在项目采购交易系统中提出，招标代理机构将以网上答复的方式予以解答（包括对询问的解释，但不说明来源）</w:t>
      </w:r>
      <w:r>
        <w:rPr>
          <w:rFonts w:hint="eastAsia" w:ascii="宋体" w:hAnsi="宋体" w:cs="宋体"/>
          <w:color w:val="auto"/>
          <w:highlight w:val="none"/>
        </w:rPr>
        <w:t>。</w:t>
      </w:r>
    </w:p>
    <w:p w14:paraId="0A3673E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9.2勘察现场：</w:t>
      </w:r>
    </w:p>
    <w:p w14:paraId="0AAB325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9.2.1本项目因运行环境和安装设备的要求，投标单位根据自身投标需要，可对有关现场和周围环境进行勘察，以获取编制投标文件和签署合同所需的信息。勘察现场所发生的费用由投标人自己承担。</w:t>
      </w:r>
    </w:p>
    <w:p w14:paraId="643E3CA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9.2.2招标采购单位向投标人提供的有关现场的资料和数据，是招标采购单位现有的并认为能使投标人可利用的资料。招标采购单位对投标人由此而做出的推论、理解和结论概不负责。</w:t>
      </w:r>
    </w:p>
    <w:p w14:paraId="40AA62E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9.2.3 经招标采购单位允许，投标人可为勘察目的进入招标采购单位的项目现场，但投标人不得因此使招标采购单位承担有关的责任和蒙受损失。投标人应承担勘察现场的责任和风险。</w:t>
      </w:r>
    </w:p>
    <w:p w14:paraId="11FCAD5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9.3投标答疑包括招标采购单位认为可以回答且不会引起投标人误解的相关问题和答复。由于投标答疑而产生的对招标文件内容的澄清或者修改，由招标采购单位按照本须知有关规定，以更正公告的方式发出。</w:t>
      </w:r>
      <w:r>
        <w:rPr>
          <w:rFonts w:hint="eastAsia" w:ascii="宋体" w:hAnsi="宋体" w:cs="宋体"/>
          <w:color w:val="auto"/>
          <w:szCs w:val="21"/>
          <w:highlight w:val="none"/>
        </w:rPr>
        <w:t>招标文件的澄清、修改、补充等内容均以苏州政府采购网上等媒体发布的内容为准。</w:t>
      </w:r>
    </w:p>
    <w:p w14:paraId="53E3C43E">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四、投标文件说明</w:t>
      </w:r>
    </w:p>
    <w:p w14:paraId="4F98A481">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10． 提示与要求</w:t>
      </w:r>
    </w:p>
    <w:p w14:paraId="519E49F0">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10.1投标人应仔细阅读招标文件的所有内容，按招标文件的要求提供投标文件，并保证所提供的全部资料的真实性，以使其投标对招标文件做出实质性响应，否则，其投标可能被拒绝。</w:t>
      </w:r>
    </w:p>
    <w:p w14:paraId="576708DB">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10.2无论是否递交投标文件，投标人都应将招标文件及以后的所有通知、文件等视为保密文件。</w:t>
      </w:r>
    </w:p>
    <w:p w14:paraId="3D5A4A7B">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11. 投标文件计量单位和使用文字</w:t>
      </w:r>
    </w:p>
    <w:p w14:paraId="18F77B4E">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11.1投标文件中所使用的计量单位，除招标文件中有特殊要求外，均应使用中华人民共和国法定计量单位。</w:t>
      </w:r>
    </w:p>
    <w:p w14:paraId="2379574B">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11.2投标文件应使用中文编制，投标文件中必须使用其他文字的，必须附有中文译本。对于未附有中文译本和中文译本不准确的投标文件可能引起的对投标人不利的后果，招标代理机构概不负责。</w:t>
      </w:r>
    </w:p>
    <w:p w14:paraId="00A65C52">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12. 投标文件的组成</w:t>
      </w:r>
    </w:p>
    <w:p w14:paraId="74EE3EA4">
      <w:pPr>
        <w:pStyle w:val="7"/>
        <w:overflowPunct w:val="0"/>
        <w:spacing w:line="360" w:lineRule="auto"/>
        <w:ind w:firstLine="422" w:firstLineChars="200"/>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zh-CN"/>
        </w:rPr>
        <w:t>12.1</w:t>
      </w:r>
      <w:r>
        <w:rPr>
          <w:rFonts w:hint="eastAsia" w:ascii="宋体" w:hAnsi="宋体" w:eastAsia="宋体" w:cs="宋体"/>
          <w:b/>
          <w:bCs/>
          <w:color w:val="auto"/>
          <w:sz w:val="21"/>
          <w:szCs w:val="21"/>
          <w:highlight w:val="none"/>
        </w:rPr>
        <w:t>封面</w:t>
      </w:r>
    </w:p>
    <w:p w14:paraId="23528C30">
      <w:pPr>
        <w:pStyle w:val="7"/>
        <w:overflowPunct w:val="0"/>
        <w:spacing w:line="360" w:lineRule="auto"/>
        <w:ind w:firstLine="422" w:firstLineChars="200"/>
        <w:rPr>
          <w:rFonts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rPr>
        <w:t>12.2</w:t>
      </w:r>
      <w:r>
        <w:rPr>
          <w:rFonts w:hint="eastAsia" w:ascii="宋体" w:hAnsi="宋体" w:eastAsia="宋体" w:cs="宋体"/>
          <w:b/>
          <w:bCs/>
          <w:color w:val="auto"/>
          <w:sz w:val="21"/>
          <w:szCs w:val="21"/>
          <w:highlight w:val="none"/>
          <w:lang w:val="zh-CN"/>
        </w:rPr>
        <w:t>开标一览表</w:t>
      </w:r>
    </w:p>
    <w:p w14:paraId="51DB2CA0">
      <w:pPr>
        <w:pStyle w:val="7"/>
        <w:overflowPunct w:val="0"/>
        <w:spacing w:line="360" w:lineRule="auto"/>
        <w:ind w:firstLine="422" w:firstLineChars="200"/>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12.3投标报价分析表</w:t>
      </w:r>
    </w:p>
    <w:p w14:paraId="564CAFA4">
      <w:pPr>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rPr>
        <w:t>12.4</w:t>
      </w:r>
      <w:r>
        <w:rPr>
          <w:rFonts w:hint="eastAsia" w:ascii="宋体" w:hAnsi="宋体" w:cs="宋体"/>
          <w:b/>
          <w:bCs/>
          <w:color w:val="auto"/>
          <w:szCs w:val="21"/>
          <w:highlight w:val="none"/>
          <w:lang w:val="zh-CN"/>
        </w:rPr>
        <w:t>资格</w:t>
      </w:r>
      <w:r>
        <w:rPr>
          <w:rFonts w:hint="eastAsia" w:ascii="宋体" w:hAnsi="宋体" w:cs="宋体"/>
          <w:b/>
          <w:bCs/>
          <w:color w:val="auto"/>
          <w:szCs w:val="21"/>
          <w:highlight w:val="none"/>
        </w:rPr>
        <w:t>审查</w:t>
      </w:r>
      <w:r>
        <w:rPr>
          <w:rFonts w:hint="eastAsia" w:ascii="宋体" w:hAnsi="宋体" w:cs="宋体"/>
          <w:b/>
          <w:bCs/>
          <w:color w:val="auto"/>
          <w:szCs w:val="21"/>
          <w:highlight w:val="none"/>
          <w:lang w:val="zh-CN"/>
        </w:rPr>
        <w:t>文件</w:t>
      </w:r>
    </w:p>
    <w:p w14:paraId="55713D83">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12.</w:t>
      </w:r>
      <w:r>
        <w:rPr>
          <w:rFonts w:hint="eastAsia" w:ascii="宋体" w:hAnsi="宋体" w:cs="宋体"/>
          <w:color w:val="auto"/>
          <w:szCs w:val="21"/>
          <w:highlight w:val="none"/>
        </w:rPr>
        <w:t>4</w:t>
      </w:r>
      <w:r>
        <w:rPr>
          <w:rFonts w:hint="eastAsia" w:ascii="宋体" w:hAnsi="宋体" w:cs="宋体"/>
          <w:color w:val="auto"/>
          <w:szCs w:val="21"/>
          <w:highlight w:val="none"/>
          <w:lang w:val="zh-CN"/>
        </w:rPr>
        <w:t>.1满足《中华人民共和国政府采购法》第二十二条规定：</w:t>
      </w:r>
    </w:p>
    <w:p w14:paraId="64E4F60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1）具有独立承担民事责任的能力。</w:t>
      </w:r>
      <w:r>
        <w:rPr>
          <w:rFonts w:hint="eastAsia" w:ascii="宋体" w:hAnsi="宋体" w:cs="宋体"/>
          <w:color w:val="auto"/>
          <w:szCs w:val="21"/>
          <w:highlight w:val="none"/>
        </w:rPr>
        <w:t>提供</w:t>
      </w:r>
      <w:r>
        <w:rPr>
          <w:rFonts w:hint="eastAsia" w:ascii="宋体" w:hAnsi="宋体" w:cs="宋体"/>
          <w:color w:val="auto"/>
          <w:szCs w:val="21"/>
          <w:highlight w:val="none"/>
          <w:lang w:val="zh-CN"/>
        </w:rPr>
        <w:t>包括法人或者其他组织的营业执照等证明文件，自然人的身份证明；</w:t>
      </w:r>
    </w:p>
    <w:p w14:paraId="193685D7">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2）具有良好的商业信誉和健全的财务会计制度。提供包括但不限于最近一期（2023年度</w:t>
      </w:r>
      <w:r>
        <w:rPr>
          <w:rFonts w:hint="eastAsia" w:ascii="宋体" w:hAnsi="宋体" w:cs="宋体"/>
          <w:color w:val="auto"/>
          <w:szCs w:val="21"/>
          <w:highlight w:val="none"/>
          <w:lang w:val="en-US" w:eastAsia="zh-CN"/>
        </w:rPr>
        <w:t>或2024年度</w:t>
      </w:r>
      <w:r>
        <w:rPr>
          <w:rFonts w:hint="eastAsia" w:ascii="宋体" w:hAnsi="宋体" w:cs="宋体"/>
          <w:color w:val="auto"/>
          <w:szCs w:val="21"/>
          <w:highlight w:val="none"/>
          <w:lang w:val="zh-CN"/>
        </w:rPr>
        <w:t>）财务审计报告或最近一期财务报表，其他组织、自然人及成立未满一年的法人应提供银行出具的资信证明）；</w:t>
      </w:r>
    </w:p>
    <w:p w14:paraId="75EC1BA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3）</w:t>
      </w:r>
      <w:r>
        <w:rPr>
          <w:rFonts w:hint="eastAsia" w:ascii="宋体" w:hAnsi="宋体" w:cs="宋体"/>
          <w:color w:val="auto"/>
          <w:szCs w:val="21"/>
          <w:highlight w:val="none"/>
        </w:rPr>
        <w:t>具有</w:t>
      </w:r>
      <w:r>
        <w:rPr>
          <w:rFonts w:hint="eastAsia" w:ascii="宋体" w:hAnsi="宋体" w:cs="宋体"/>
          <w:color w:val="auto"/>
          <w:szCs w:val="21"/>
          <w:highlight w:val="none"/>
          <w:lang w:val="zh-CN"/>
        </w:rPr>
        <w:t>履行合同所必</w:t>
      </w:r>
      <w:r>
        <w:rPr>
          <w:rFonts w:hint="eastAsia" w:ascii="宋体" w:hAnsi="宋体" w:cs="宋体"/>
          <w:color w:val="auto"/>
          <w:szCs w:val="21"/>
          <w:highlight w:val="none"/>
        </w:rPr>
        <w:t>需</w:t>
      </w:r>
      <w:r>
        <w:rPr>
          <w:rFonts w:hint="eastAsia" w:ascii="宋体" w:hAnsi="宋体" w:cs="宋体"/>
          <w:color w:val="auto"/>
          <w:szCs w:val="21"/>
          <w:highlight w:val="none"/>
          <w:lang w:val="zh-CN"/>
        </w:rPr>
        <w:t>的设备和专业技术能力。</w:t>
      </w:r>
      <w:r>
        <w:rPr>
          <w:rFonts w:hint="eastAsia" w:ascii="宋体" w:hAnsi="宋体" w:cs="宋体"/>
          <w:color w:val="auto"/>
          <w:szCs w:val="21"/>
          <w:highlight w:val="none"/>
        </w:rPr>
        <w:t>提供证明材料或承诺</w:t>
      </w:r>
      <w:r>
        <w:rPr>
          <w:rFonts w:hint="eastAsia" w:ascii="宋体" w:hAnsi="宋体" w:cs="宋体"/>
          <w:color w:val="auto"/>
          <w:szCs w:val="21"/>
          <w:highlight w:val="none"/>
          <w:lang w:val="zh-CN"/>
        </w:rPr>
        <w:t>；</w:t>
      </w:r>
    </w:p>
    <w:p w14:paraId="38BF267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4）有依法缴纳税收和社会保障资金的良好记录。提供供应商参加本次政府采购活动前半年（至少一个月）依法缴纳税收和社会保险的凭据；依法免税或不需要缴纳社会保障资金的供应商，应提供相应证明资料证明其依法免税或不需要缴纳社会保障资金，否则不予认可；</w:t>
      </w:r>
    </w:p>
    <w:p w14:paraId="592CF23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5）参加政府采购活动前三年内，在经营活动中没有重大违法记录。</w:t>
      </w:r>
      <w:r>
        <w:rPr>
          <w:rFonts w:hint="eastAsia" w:ascii="宋体" w:hAnsi="宋体" w:cs="宋体"/>
          <w:color w:val="auto"/>
          <w:szCs w:val="21"/>
          <w:highlight w:val="none"/>
        </w:rPr>
        <w:t>提供书面声明函</w:t>
      </w:r>
      <w:r>
        <w:rPr>
          <w:rFonts w:hint="eastAsia" w:ascii="宋体" w:hAnsi="宋体" w:cs="宋体"/>
          <w:color w:val="auto"/>
          <w:szCs w:val="21"/>
          <w:highlight w:val="none"/>
          <w:lang w:val="zh-CN"/>
        </w:rPr>
        <w:t>；</w:t>
      </w:r>
    </w:p>
    <w:p w14:paraId="4B3CEB4A">
      <w:pPr>
        <w:autoSpaceDE w:val="0"/>
        <w:autoSpaceDN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6）法律、行政法规规定的其他条件。提供书面声明函；</w:t>
      </w:r>
    </w:p>
    <w:p w14:paraId="6A5BEB9B">
      <w:pPr>
        <w:autoSpaceDE w:val="0"/>
        <w:autoSpaceDN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12.4.2其他有关资格性证明的文件（如有）；</w:t>
      </w:r>
    </w:p>
    <w:p w14:paraId="36ABE1B5">
      <w:pPr>
        <w:pStyle w:val="7"/>
        <w:overflowPunct w:val="0"/>
        <w:spacing w:line="360" w:lineRule="auto"/>
        <w:ind w:firstLine="422" w:firstLineChars="200"/>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12.5符合性审查文件</w:t>
      </w:r>
    </w:p>
    <w:p w14:paraId="068FA6A1">
      <w:pPr>
        <w:pStyle w:val="7"/>
        <w:overflowPunct w:val="0"/>
        <w:spacing w:line="360" w:lineRule="auto"/>
        <w:ind w:firstLineChars="200"/>
        <w:rPr>
          <w:rFonts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12.5.1</w:t>
      </w:r>
      <w:r>
        <w:rPr>
          <w:rFonts w:hint="eastAsia" w:ascii="宋体" w:hAnsi="宋体" w:eastAsia="宋体" w:cs="宋体"/>
          <w:color w:val="auto"/>
          <w:sz w:val="21"/>
          <w:szCs w:val="21"/>
          <w:highlight w:val="none"/>
          <w:lang w:val="zh-CN"/>
        </w:rPr>
        <w:t>投标函；</w:t>
      </w:r>
    </w:p>
    <w:p w14:paraId="6FC161CA">
      <w:pPr>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rPr>
        <w:t>12.5.2</w:t>
      </w:r>
      <w:r>
        <w:rPr>
          <w:rFonts w:hint="eastAsia" w:ascii="宋体" w:hAnsi="宋体" w:cs="宋体"/>
          <w:color w:val="auto"/>
          <w:highlight w:val="none"/>
        </w:rPr>
        <w:t>商务条款偏离表；</w:t>
      </w:r>
    </w:p>
    <w:p w14:paraId="01B45FFD">
      <w:pPr>
        <w:spacing w:line="360" w:lineRule="auto"/>
        <w:ind w:firstLine="420" w:firstLineChars="200"/>
        <w:rPr>
          <w:rFonts w:ascii="宋体" w:hAnsi="宋体" w:cs="宋体"/>
          <w:color w:val="auto"/>
          <w:szCs w:val="21"/>
          <w:highlight w:val="none"/>
          <w:lang w:val="zh-CN"/>
        </w:rPr>
      </w:pPr>
      <w:r>
        <w:rPr>
          <w:rFonts w:hint="eastAsia" w:ascii="宋体" w:hAnsi="宋体" w:cs="宋体"/>
          <w:color w:val="auto"/>
          <w:highlight w:val="none"/>
        </w:rPr>
        <w:t>12.5.3</w:t>
      </w:r>
      <w:r>
        <w:rPr>
          <w:rFonts w:hint="eastAsia" w:ascii="宋体" w:hAnsi="宋体" w:cs="宋体"/>
          <w:color w:val="auto"/>
          <w:szCs w:val="21"/>
          <w:highlight w:val="none"/>
          <w:lang w:val="zh-CN"/>
        </w:rPr>
        <w:t>关于资格文件的声明函；</w:t>
      </w:r>
    </w:p>
    <w:p w14:paraId="2D5EBC8A">
      <w:pPr>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rPr>
        <w:t>12.5.4</w:t>
      </w:r>
      <w:r>
        <w:rPr>
          <w:rFonts w:hint="eastAsia" w:ascii="宋体" w:hAnsi="宋体" w:cs="宋体"/>
          <w:color w:val="auto"/>
          <w:szCs w:val="21"/>
          <w:highlight w:val="none"/>
          <w:lang w:val="zh-CN"/>
        </w:rPr>
        <w:t>投标单位情况表；</w:t>
      </w:r>
    </w:p>
    <w:p w14:paraId="00DF0E9D">
      <w:pPr>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rPr>
        <w:t>12.5.5</w:t>
      </w:r>
      <w:r>
        <w:rPr>
          <w:rFonts w:hint="eastAsia" w:ascii="宋体" w:hAnsi="宋体" w:cs="宋体"/>
          <w:color w:val="auto"/>
          <w:szCs w:val="21"/>
          <w:highlight w:val="none"/>
          <w:lang w:val="zh-CN"/>
        </w:rPr>
        <w:t>法定代表人身份证复印件，法人授权委托书（如有授权）及委托代理人身份证复印件（如有授权）；</w:t>
      </w:r>
    </w:p>
    <w:p w14:paraId="65DFE4BE">
      <w:pPr>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rPr>
        <w:t>12.5.6</w:t>
      </w:r>
      <w:r>
        <w:rPr>
          <w:rFonts w:hint="eastAsia" w:ascii="宋体" w:hAnsi="宋体" w:cs="宋体"/>
          <w:color w:val="auto"/>
          <w:szCs w:val="21"/>
          <w:highlight w:val="none"/>
          <w:lang w:val="zh-CN"/>
        </w:rPr>
        <w:t>投标（响应）保证承诺书；</w:t>
      </w:r>
    </w:p>
    <w:p w14:paraId="1E179FF4">
      <w:pPr>
        <w:pStyle w:val="7"/>
        <w:overflowPunct w:val="0"/>
        <w:spacing w:line="360" w:lineRule="auto"/>
        <w:ind w:firstLineChars="200"/>
        <w:rPr>
          <w:rFonts w:ascii="宋体" w:hAnsi="宋体" w:eastAsia="宋体" w:cs="宋体"/>
          <w:color w:val="auto"/>
          <w:sz w:val="21"/>
          <w:szCs w:val="21"/>
          <w:highlight w:val="none"/>
        </w:rPr>
      </w:pPr>
      <w:r>
        <w:rPr>
          <w:rFonts w:hint="eastAsia" w:ascii="宋体" w:hAnsi="宋体" w:eastAsia="宋体" w:cs="宋体"/>
          <w:color w:val="auto"/>
          <w:kern w:val="2"/>
          <w:sz w:val="21"/>
          <w:szCs w:val="21"/>
          <w:highlight w:val="none"/>
        </w:rPr>
        <w:t>12.5.7其他</w:t>
      </w:r>
      <w:r>
        <w:rPr>
          <w:rFonts w:hint="eastAsia" w:ascii="宋体" w:hAnsi="宋体" w:eastAsia="宋体" w:cs="宋体"/>
          <w:color w:val="auto"/>
          <w:kern w:val="2"/>
          <w:sz w:val="21"/>
          <w:szCs w:val="24"/>
          <w:highlight w:val="none"/>
        </w:rPr>
        <w:t>有关符合性证明的文件（如有）；</w:t>
      </w:r>
    </w:p>
    <w:p w14:paraId="264D581A">
      <w:pPr>
        <w:spacing w:line="360" w:lineRule="auto"/>
        <w:ind w:firstLine="422" w:firstLineChars="200"/>
        <w:rPr>
          <w:rFonts w:ascii="宋体" w:hAnsi="宋体" w:cs="宋体"/>
          <w:b/>
          <w:color w:val="auto"/>
          <w:highlight w:val="none"/>
        </w:rPr>
      </w:pPr>
      <w:r>
        <w:rPr>
          <w:rFonts w:hint="eastAsia" w:ascii="宋体" w:hAnsi="宋体" w:cs="宋体"/>
          <w:b/>
          <w:bCs/>
          <w:color w:val="auto"/>
          <w:szCs w:val="21"/>
          <w:highlight w:val="none"/>
          <w:lang w:val="zh-CN"/>
        </w:rPr>
        <w:t>12.</w:t>
      </w:r>
      <w:r>
        <w:rPr>
          <w:rFonts w:hint="eastAsia" w:ascii="宋体" w:hAnsi="宋体" w:cs="宋体"/>
          <w:b/>
          <w:bCs/>
          <w:color w:val="auto"/>
          <w:szCs w:val="21"/>
          <w:highlight w:val="none"/>
        </w:rPr>
        <w:t>6综合评审文件（具体以系统模块为准）</w:t>
      </w:r>
    </w:p>
    <w:p w14:paraId="3D7CE98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12.6.1技术响应对照表；</w:t>
      </w:r>
    </w:p>
    <w:p w14:paraId="5F907A46">
      <w:pPr>
        <w:spacing w:line="360" w:lineRule="auto"/>
        <w:ind w:firstLine="420" w:firstLineChars="200"/>
        <w:rPr>
          <w:rFonts w:ascii="宋体" w:hAnsi="宋体" w:cs="宋体"/>
          <w:color w:val="auto"/>
          <w:highlight w:val="none"/>
          <w:lang w:val="zh-CN"/>
        </w:rPr>
      </w:pPr>
      <w:r>
        <w:rPr>
          <w:rFonts w:hint="eastAsia" w:ascii="宋体" w:hAnsi="宋体"/>
          <w:color w:val="auto"/>
          <w:szCs w:val="21"/>
          <w:highlight w:val="none"/>
        </w:rPr>
        <w:t>12.6.2项目实施方案</w:t>
      </w:r>
      <w:r>
        <w:rPr>
          <w:rFonts w:hint="eastAsia" w:ascii="宋体" w:hAnsi="宋体" w:cs="宋体"/>
          <w:color w:val="auto"/>
          <w:highlight w:val="none"/>
        </w:rPr>
        <w:t>；</w:t>
      </w:r>
    </w:p>
    <w:p w14:paraId="3F002DC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12.6.3《质保期满后三年内备品备件、易损件报价表》、《人员配备情况表》、《售后服务承诺书》等；</w:t>
      </w:r>
    </w:p>
    <w:p w14:paraId="375C29C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12.6.4类似业绩一览表；</w:t>
      </w:r>
    </w:p>
    <w:p w14:paraId="4C0165E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12.6.5评分标准中要求的其他相关资料；</w:t>
      </w:r>
    </w:p>
    <w:p w14:paraId="72EC5836">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lang w:val="zh-CN"/>
        </w:rPr>
        <w:t>12.7</w:t>
      </w:r>
      <w:r>
        <w:rPr>
          <w:rFonts w:hint="eastAsia" w:ascii="宋体" w:hAnsi="宋体" w:cs="宋体"/>
          <w:b/>
          <w:bCs/>
          <w:color w:val="auto"/>
          <w:szCs w:val="21"/>
          <w:highlight w:val="none"/>
        </w:rPr>
        <w:t>价格折扣文件格式</w:t>
      </w:r>
    </w:p>
    <w:p w14:paraId="60B4CE0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12.7.1</w:t>
      </w:r>
      <w:r>
        <w:rPr>
          <w:rFonts w:hint="eastAsia" w:ascii="宋体" w:hAnsi="宋体" w:cs="宋体"/>
          <w:color w:val="auto"/>
          <w:highlight w:val="none"/>
          <w:lang w:val="zh-CN"/>
        </w:rPr>
        <w:t>《中小企业声明函》、《残疾人福利性单位声明函》、省级以上监狱管理局、戒毒管理局（含新疆生产建设兵团）出具的属于监狱企业的证明文件（</w:t>
      </w:r>
      <w:r>
        <w:rPr>
          <w:rFonts w:hint="eastAsia" w:ascii="宋体" w:hAnsi="宋体" w:cs="宋体"/>
          <w:color w:val="auto"/>
          <w:highlight w:val="none"/>
        </w:rPr>
        <w:t>不属于上述企业类型无需提供</w:t>
      </w:r>
      <w:r>
        <w:rPr>
          <w:rFonts w:hint="eastAsia" w:ascii="宋体" w:hAnsi="宋体" w:cs="宋体"/>
          <w:color w:val="auto"/>
          <w:highlight w:val="none"/>
          <w:lang w:val="zh-CN"/>
        </w:rPr>
        <w:t>）</w:t>
      </w:r>
      <w:r>
        <w:rPr>
          <w:rFonts w:hint="eastAsia" w:ascii="宋体" w:hAnsi="宋体" w:cs="宋体"/>
          <w:color w:val="auto"/>
          <w:highlight w:val="none"/>
        </w:rPr>
        <w:t>。</w:t>
      </w:r>
    </w:p>
    <w:p w14:paraId="3ED244B4">
      <w:pPr>
        <w:pStyle w:val="43"/>
        <w:spacing w:line="360" w:lineRule="auto"/>
        <w:ind w:firstLine="430" w:firstLineChars="204"/>
        <w:rPr>
          <w:rFonts w:ascii="宋体" w:hAnsi="宋体" w:cs="宋体"/>
          <w:b/>
          <w:bCs/>
          <w:color w:val="auto"/>
          <w:szCs w:val="21"/>
          <w:highlight w:val="none"/>
        </w:rPr>
      </w:pPr>
      <w:r>
        <w:rPr>
          <w:rFonts w:hint="eastAsia" w:ascii="宋体" w:hAnsi="宋体" w:cs="宋体"/>
          <w:b/>
          <w:bCs/>
          <w:color w:val="auto"/>
          <w:szCs w:val="21"/>
          <w:highlight w:val="none"/>
        </w:rPr>
        <w:t>注：（1）以上12.</w:t>
      </w:r>
      <w:r>
        <w:rPr>
          <w:rFonts w:hint="eastAsia" w:ascii="宋体" w:hAnsi="宋体" w:cs="宋体"/>
          <w:b/>
          <w:bCs/>
          <w:color w:val="auto"/>
          <w:szCs w:val="21"/>
          <w:highlight w:val="none"/>
          <w:lang w:val="en-US"/>
        </w:rPr>
        <w:t>4</w:t>
      </w:r>
      <w:r>
        <w:rPr>
          <w:rFonts w:hint="eastAsia" w:ascii="宋体" w:hAnsi="宋体" w:cs="宋体"/>
          <w:b/>
          <w:bCs/>
          <w:color w:val="auto"/>
          <w:szCs w:val="21"/>
          <w:highlight w:val="none"/>
        </w:rPr>
        <w:t>为资格审查要求提供的材料，是作为对供应商资格审查、质疑身份认定的依据，投标人必须提供并加盖电子公章。否则，投标文件将被认定为不符合资格审查要求。</w:t>
      </w:r>
    </w:p>
    <w:p w14:paraId="6AEBA1A4">
      <w:pPr>
        <w:pStyle w:val="43"/>
        <w:spacing w:line="360" w:lineRule="auto"/>
        <w:ind w:firstLine="430" w:firstLineChars="204"/>
        <w:rPr>
          <w:rFonts w:ascii="宋体" w:hAnsi="宋体" w:cs="宋体"/>
          <w:b/>
          <w:bCs/>
          <w:color w:val="auto"/>
          <w:szCs w:val="21"/>
          <w:highlight w:val="none"/>
        </w:rPr>
      </w:pPr>
      <w:r>
        <w:rPr>
          <w:rFonts w:hint="eastAsia" w:ascii="宋体" w:hAnsi="宋体" w:cs="宋体"/>
          <w:b/>
          <w:bCs/>
          <w:color w:val="auto"/>
          <w:szCs w:val="21"/>
          <w:highlight w:val="none"/>
        </w:rPr>
        <w:t>（2）以上</w:t>
      </w:r>
      <w:r>
        <w:rPr>
          <w:rFonts w:ascii="宋体" w:hAnsi="宋体" w:cs="宋体"/>
          <w:b/>
          <w:bCs/>
          <w:color w:val="auto"/>
          <w:szCs w:val="21"/>
          <w:highlight w:val="none"/>
        </w:rPr>
        <w:t>1</w:t>
      </w:r>
      <w:r>
        <w:rPr>
          <w:rFonts w:hint="eastAsia" w:ascii="宋体" w:hAnsi="宋体" w:cs="宋体"/>
          <w:b/>
          <w:bCs/>
          <w:color w:val="auto"/>
          <w:szCs w:val="21"/>
          <w:highlight w:val="none"/>
          <w:lang w:val="en-US"/>
        </w:rPr>
        <w:t>2</w:t>
      </w:r>
      <w:r>
        <w:rPr>
          <w:rFonts w:ascii="宋体" w:hAnsi="宋体" w:cs="宋体"/>
          <w:b/>
          <w:bCs/>
          <w:color w:val="auto"/>
          <w:szCs w:val="21"/>
          <w:highlight w:val="none"/>
        </w:rPr>
        <w:t>.5</w:t>
      </w:r>
      <w:r>
        <w:rPr>
          <w:rFonts w:hint="eastAsia" w:ascii="宋体" w:hAnsi="宋体" w:cs="宋体"/>
          <w:b/>
          <w:bCs/>
          <w:color w:val="auto"/>
          <w:szCs w:val="21"/>
          <w:highlight w:val="none"/>
        </w:rPr>
        <w:t>为符合性审查须提供的资料，投标人必须提供并加盖电子公章。否则，投标文件将被认定为未实质性响应。</w:t>
      </w:r>
    </w:p>
    <w:p w14:paraId="7FB3FB32">
      <w:pPr>
        <w:pStyle w:val="43"/>
        <w:spacing w:line="360" w:lineRule="auto"/>
        <w:ind w:firstLine="430" w:firstLineChars="204"/>
        <w:rPr>
          <w:rFonts w:ascii="宋体" w:hAnsi="宋体"/>
          <w:color w:val="auto"/>
          <w:szCs w:val="21"/>
          <w:highlight w:val="none"/>
        </w:rPr>
      </w:pPr>
      <w:r>
        <w:rPr>
          <w:rFonts w:hint="eastAsia" w:ascii="宋体" w:hAnsi="宋体"/>
          <w:b/>
          <w:color w:val="auto"/>
          <w:szCs w:val="21"/>
          <w:highlight w:val="none"/>
        </w:rPr>
        <w:t>（3）“</w:t>
      </w:r>
      <w:r>
        <w:rPr>
          <w:rFonts w:hint="eastAsia" w:ascii="宋体" w:hAnsi="宋体"/>
          <w:b/>
          <w:color w:val="auto"/>
          <w:szCs w:val="21"/>
          <w:highlight w:val="none"/>
          <w:lang w:val="en-US"/>
        </w:rPr>
        <w:t>12.4</w:t>
      </w:r>
      <w:r>
        <w:rPr>
          <w:rFonts w:ascii="宋体" w:hAnsi="宋体"/>
          <w:b/>
          <w:color w:val="auto"/>
          <w:szCs w:val="21"/>
          <w:highlight w:val="none"/>
        </w:rPr>
        <w:t>-1</w:t>
      </w:r>
      <w:r>
        <w:rPr>
          <w:rFonts w:hint="eastAsia" w:ascii="宋体" w:hAnsi="宋体"/>
          <w:b/>
          <w:color w:val="auto"/>
          <w:szCs w:val="21"/>
          <w:highlight w:val="none"/>
          <w:lang w:val="en-US"/>
        </w:rPr>
        <w:t>2.7</w:t>
      </w:r>
      <w:r>
        <w:rPr>
          <w:rFonts w:hint="eastAsia" w:ascii="宋体" w:hAnsi="宋体"/>
          <w:b/>
          <w:color w:val="auto"/>
          <w:szCs w:val="21"/>
          <w:highlight w:val="none"/>
        </w:rPr>
        <w:t>”中不得出现投标总报价。</w:t>
      </w:r>
      <w:r>
        <w:rPr>
          <w:rFonts w:hint="eastAsia" w:ascii="宋体" w:hAnsi="宋体"/>
          <w:color w:val="auto"/>
          <w:szCs w:val="21"/>
          <w:highlight w:val="none"/>
        </w:rPr>
        <w:t>投标人所提交的</w:t>
      </w:r>
      <w:r>
        <w:rPr>
          <w:rFonts w:hint="eastAsia" w:ascii="宋体" w:hAnsi="宋体"/>
          <w:color w:val="auto"/>
          <w:szCs w:val="21"/>
          <w:highlight w:val="none"/>
          <w:lang w:val="en-US"/>
        </w:rPr>
        <w:t>技术</w:t>
      </w:r>
      <w:r>
        <w:rPr>
          <w:rFonts w:hint="eastAsia" w:ascii="宋体" w:hAnsi="宋体"/>
          <w:color w:val="auto"/>
          <w:szCs w:val="21"/>
          <w:highlight w:val="none"/>
        </w:rPr>
        <w:t>资料的完整与否，将直接影响投标人的评分。</w:t>
      </w:r>
    </w:p>
    <w:p w14:paraId="590C4BD2">
      <w:pPr>
        <w:pStyle w:val="43"/>
        <w:spacing w:line="360" w:lineRule="auto"/>
        <w:ind w:firstLine="430" w:firstLineChars="204"/>
        <w:rPr>
          <w:rFonts w:ascii="宋体" w:hAnsi="宋体" w:cs="宋体"/>
          <w:b/>
          <w:bCs/>
          <w:color w:val="auto"/>
          <w:szCs w:val="21"/>
          <w:highlight w:val="none"/>
        </w:rPr>
      </w:pPr>
      <w:r>
        <w:rPr>
          <w:rFonts w:hint="eastAsia" w:ascii="宋体" w:hAnsi="宋体"/>
          <w:b/>
          <w:color w:val="auto"/>
          <w:szCs w:val="21"/>
          <w:highlight w:val="none"/>
        </w:rPr>
        <w:t>（</w:t>
      </w:r>
      <w:r>
        <w:rPr>
          <w:rFonts w:ascii="宋体" w:hAnsi="宋体"/>
          <w:b/>
          <w:color w:val="auto"/>
          <w:szCs w:val="21"/>
          <w:highlight w:val="none"/>
        </w:rPr>
        <w:t>4</w:t>
      </w:r>
      <w:r>
        <w:rPr>
          <w:rFonts w:hint="eastAsia" w:ascii="宋体" w:hAnsi="宋体"/>
          <w:b/>
          <w:color w:val="auto"/>
          <w:szCs w:val="21"/>
          <w:highlight w:val="none"/>
        </w:rPr>
        <w:t>）制作电子投标文件时必须与投标文件制作软件目录一一对应，将相关资料上传至相应模块。</w:t>
      </w:r>
    </w:p>
    <w:p w14:paraId="091A927D">
      <w:pPr>
        <w:pStyle w:val="43"/>
        <w:spacing w:line="360" w:lineRule="auto"/>
        <w:ind w:firstLine="430" w:firstLineChars="204"/>
        <w:rPr>
          <w:rFonts w:ascii="宋体" w:hAnsi="宋体"/>
          <w:b/>
          <w:color w:val="auto"/>
          <w:szCs w:val="21"/>
          <w:highlight w:val="none"/>
        </w:rPr>
      </w:pPr>
      <w:r>
        <w:rPr>
          <w:rFonts w:hint="eastAsia" w:ascii="宋体" w:hAnsi="宋体"/>
          <w:b/>
          <w:color w:val="auto"/>
          <w:szCs w:val="21"/>
          <w:highlight w:val="none"/>
        </w:rPr>
        <w:t>（5）开评标过程中如有问题采购代理机构工作人员会及时通过报名时在投标确认函模块留存的手机号与供应商联系。此号码在开标截止之前可修改，以投标确认函保存的最新号码为准，请供应商确保该手机号开评标当日通讯畅通，否则导致的对供应商不利的后果由供应商自行承担。</w:t>
      </w:r>
    </w:p>
    <w:p w14:paraId="099A3D3D">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13. 投标文件编制要求</w:t>
      </w:r>
    </w:p>
    <w:p w14:paraId="75B6E8BA">
      <w:pPr>
        <w:tabs>
          <w:tab w:val="left" w:pos="502"/>
        </w:tabs>
        <w:spacing w:line="360" w:lineRule="auto"/>
        <w:ind w:firstLine="420" w:firstLineChars="200"/>
        <w:rPr>
          <w:rFonts w:ascii="宋体" w:hAnsi="宋体" w:cs="宋体"/>
          <w:bCs/>
          <w:color w:val="auto"/>
          <w:highlight w:val="none"/>
          <w:lang w:val="zh-CN"/>
        </w:rPr>
      </w:pPr>
      <w:r>
        <w:rPr>
          <w:rFonts w:hint="eastAsia" w:ascii="宋体" w:hAnsi="宋体" w:cs="宋体"/>
          <w:bCs/>
          <w:color w:val="auto"/>
          <w:highlight w:val="none"/>
          <w:lang w:val="zh-CN"/>
        </w:rPr>
        <w:t>13.1</w:t>
      </w:r>
      <w:r>
        <w:rPr>
          <w:rFonts w:hint="eastAsia" w:ascii="宋体" w:hAnsi="宋体"/>
          <w:b/>
          <w:color w:val="auto"/>
          <w:szCs w:val="21"/>
          <w:highlight w:val="none"/>
        </w:rPr>
        <w:t>投标文件按统一格式、顺序编写</w:t>
      </w:r>
      <w:r>
        <w:rPr>
          <w:rFonts w:hint="eastAsia" w:ascii="宋体" w:hAnsi="宋体" w:cs="宋体"/>
          <w:bCs/>
          <w:color w:val="auto"/>
          <w:highlight w:val="none"/>
          <w:lang w:val="zh-CN"/>
        </w:rPr>
        <w:t>。</w:t>
      </w:r>
    </w:p>
    <w:p w14:paraId="274042D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13.2《开标一览表》为在开标仪式上唱标的内容，要求按格式填写，统一规范，不得自行增减内容。</w:t>
      </w:r>
    </w:p>
    <w:p w14:paraId="0EA3E59E">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14. 投标报价（编制）要求的说明</w:t>
      </w:r>
    </w:p>
    <w:p w14:paraId="7645CDFF">
      <w:pPr>
        <w:tabs>
          <w:tab w:val="left" w:pos="502"/>
        </w:tabs>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14.1</w:t>
      </w:r>
      <w:r>
        <w:rPr>
          <w:rFonts w:hint="eastAsia" w:ascii="宋体" w:hAnsi="宋体" w:cs="宋体"/>
          <w:color w:val="auto"/>
          <w:szCs w:val="21"/>
          <w:highlight w:val="none"/>
        </w:rPr>
        <w:t>投标</w:t>
      </w:r>
      <w:r>
        <w:rPr>
          <w:rFonts w:hint="eastAsia" w:ascii="宋体" w:hAnsi="宋体" w:cs="宋体"/>
          <w:color w:val="auto"/>
          <w:szCs w:val="21"/>
          <w:highlight w:val="none"/>
          <w:lang w:val="zh-CN"/>
        </w:rPr>
        <w:t>报价应</w:t>
      </w:r>
      <w:r>
        <w:rPr>
          <w:rFonts w:hint="eastAsia" w:ascii="宋体" w:hAnsi="宋体" w:cs="宋体"/>
          <w:color w:val="auto"/>
          <w:szCs w:val="21"/>
          <w:highlight w:val="none"/>
        </w:rPr>
        <w:t>包括完成该标的物全部内容的一切费用。</w:t>
      </w:r>
      <w:r>
        <w:rPr>
          <w:rFonts w:hint="eastAsia" w:ascii="宋体" w:hAnsi="宋体" w:cs="宋体"/>
          <w:color w:val="auto"/>
          <w:szCs w:val="21"/>
          <w:highlight w:val="none"/>
          <w:lang w:val="zh-CN"/>
        </w:rPr>
        <w:t>投标报价为最终报价，投标人所报价格在合同实施期间不因市场变化因素而变动。</w:t>
      </w:r>
    </w:p>
    <w:p w14:paraId="5FDCEC19">
      <w:pPr>
        <w:tabs>
          <w:tab w:val="left" w:pos="502"/>
        </w:tabs>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14.2 投标人应按《投标报价分析表》中的全部服务内容的每一单项计算并填写单价和总价，并由企业法定代表人或委托代理人签署。</w:t>
      </w:r>
    </w:p>
    <w:p w14:paraId="371BFEFF">
      <w:pPr>
        <w:tabs>
          <w:tab w:val="left" w:pos="502"/>
        </w:tabs>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14.3 一项投标内容只允许一个报价，采购单位不接受任何有选择性的投标报价。投标人应对招标文件内所要采购的全部内容进行报价，只投其中部分内容者，其标书将被拒绝。但如果招标文件要求分标段投标的，则投标人可以有选择地只投其中一个或几个标段，也可以投全部标段，但各标段应分别计算填写单价和总价。</w:t>
      </w:r>
    </w:p>
    <w:p w14:paraId="5EC2EC76">
      <w:pPr>
        <w:tabs>
          <w:tab w:val="left" w:pos="502"/>
        </w:tabs>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14.4 投标文件报价采用人民币表示，除非合同的特殊条款另有规定。</w:t>
      </w:r>
    </w:p>
    <w:p w14:paraId="45B882D0">
      <w:pPr>
        <w:tabs>
          <w:tab w:val="left" w:pos="502"/>
        </w:tabs>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14.5 最低的投标报价是中标的重要条件但不是唯一条件。</w:t>
      </w:r>
    </w:p>
    <w:p w14:paraId="6B9E7FF1">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15. 投标保证金（</w:t>
      </w:r>
      <w:r>
        <w:rPr>
          <w:rFonts w:hint="eastAsia" w:ascii="宋体" w:hAnsi="宋体" w:cs="宋体"/>
          <w:b/>
          <w:bCs/>
          <w:color w:val="auto"/>
          <w:szCs w:val="21"/>
          <w:highlight w:val="none"/>
        </w:rPr>
        <w:t>本项目无需缴纳</w:t>
      </w:r>
      <w:r>
        <w:rPr>
          <w:rFonts w:hint="eastAsia" w:ascii="宋体" w:hAnsi="宋体" w:cs="宋体"/>
          <w:b/>
          <w:bCs/>
          <w:color w:val="auto"/>
          <w:szCs w:val="21"/>
          <w:highlight w:val="none"/>
          <w:lang w:val="zh-CN"/>
        </w:rPr>
        <w:t>）</w:t>
      </w:r>
    </w:p>
    <w:p w14:paraId="113D5AAC">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16. 投标文件的有效期</w:t>
      </w:r>
    </w:p>
    <w:p w14:paraId="10B09595">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16.1自开标日起60天内，投标书应保持有效。有效期短于这个规定期限的投标文件，将被拒绝。</w:t>
      </w:r>
    </w:p>
    <w:p w14:paraId="189746B2">
      <w:pPr>
        <w:autoSpaceDE w:val="0"/>
        <w:autoSpaceDN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16.2在特殊情况下，招标代理机构可与投标人协商延长投标书的有效期。这种要求和答复都应以书面、传真、或电报的形式进行。同意延长有效期的投标人不能修改投标文件。拒绝接受延期要求的投标人的投标将被拒绝。</w:t>
      </w:r>
    </w:p>
    <w:p w14:paraId="3903029B">
      <w:pPr>
        <w:pStyle w:val="43"/>
        <w:spacing w:line="360" w:lineRule="auto"/>
        <w:ind w:firstLine="0" w:firstLineChars="0"/>
        <w:rPr>
          <w:rFonts w:ascii="宋体" w:hAnsi="宋体" w:cs="宋体"/>
          <w:b/>
          <w:color w:val="auto"/>
          <w:szCs w:val="21"/>
          <w:highlight w:val="none"/>
        </w:rPr>
      </w:pPr>
      <w:r>
        <w:rPr>
          <w:rFonts w:hint="eastAsia" w:ascii="宋体" w:hAnsi="宋体" w:cs="宋体"/>
          <w:b/>
          <w:bCs/>
          <w:color w:val="auto"/>
          <w:szCs w:val="21"/>
          <w:highlight w:val="none"/>
        </w:rPr>
        <w:t xml:space="preserve">17. </w:t>
      </w:r>
      <w:r>
        <w:rPr>
          <w:rFonts w:hint="eastAsia" w:ascii="宋体" w:hAnsi="宋体" w:cs="宋体"/>
          <w:b/>
          <w:color w:val="auto"/>
          <w:szCs w:val="21"/>
          <w:highlight w:val="none"/>
        </w:rPr>
        <w:t>投标文件的制作、签署、上传</w:t>
      </w:r>
    </w:p>
    <w:p w14:paraId="1B31EEB1">
      <w:pPr>
        <w:pStyle w:val="43"/>
        <w:spacing w:line="360" w:lineRule="auto"/>
        <w:ind w:firstLine="420"/>
        <w:rPr>
          <w:rFonts w:ascii="宋体" w:hAnsi="宋体" w:cs="宋体"/>
          <w:color w:val="auto"/>
          <w:szCs w:val="21"/>
          <w:highlight w:val="none"/>
          <w:lang w:val="en-US"/>
        </w:rPr>
      </w:pPr>
      <w:r>
        <w:rPr>
          <w:rFonts w:hint="eastAsia" w:ascii="宋体" w:hAnsi="宋体" w:cs="宋体"/>
          <w:color w:val="auto"/>
          <w:szCs w:val="21"/>
          <w:highlight w:val="none"/>
          <w:lang w:val="en-US"/>
        </w:rPr>
        <w:t>17.1本项目采用电子招投标形式，请供应商按照</w:t>
      </w:r>
      <w:r>
        <w:rPr>
          <w:rFonts w:hint="eastAsia" w:ascii="宋体" w:hAnsi="宋体" w:cs="宋体"/>
          <w:b/>
          <w:bCs/>
          <w:color w:val="auto"/>
          <w:szCs w:val="21"/>
          <w:highlight w:val="none"/>
          <w:lang w:val="en-US"/>
        </w:rPr>
        <w:t>《苏采云系统供应商操作手册》</w:t>
      </w:r>
      <w:r>
        <w:rPr>
          <w:rFonts w:hint="eastAsia" w:ascii="宋体" w:hAnsi="宋体" w:cs="宋体"/>
          <w:color w:val="auto"/>
          <w:szCs w:val="21"/>
          <w:highlight w:val="none"/>
          <w:lang w:val="en-US"/>
        </w:rPr>
        <w:t>进行制作、上传电子投标文件。</w:t>
      </w:r>
    </w:p>
    <w:p w14:paraId="666291DE">
      <w:pPr>
        <w:pStyle w:val="43"/>
        <w:spacing w:line="360" w:lineRule="auto"/>
        <w:ind w:firstLine="420"/>
        <w:rPr>
          <w:rFonts w:ascii="宋体" w:hAnsi="宋体" w:cs="宋体"/>
          <w:color w:val="auto"/>
          <w:szCs w:val="21"/>
          <w:highlight w:val="none"/>
          <w:lang w:val="en-US"/>
        </w:rPr>
      </w:pPr>
      <w:r>
        <w:rPr>
          <w:rFonts w:hint="eastAsia" w:ascii="宋体" w:hAnsi="宋体" w:cs="宋体"/>
          <w:color w:val="auto"/>
          <w:szCs w:val="21"/>
          <w:highlight w:val="none"/>
          <w:lang w:val="en-US"/>
        </w:rPr>
        <w:t>17.2制作电子投标文件时，应按照招标文件要求加盖投标人电子公章。</w:t>
      </w:r>
    </w:p>
    <w:p w14:paraId="63A75CC1">
      <w:pPr>
        <w:pStyle w:val="43"/>
        <w:spacing w:line="360" w:lineRule="auto"/>
        <w:ind w:firstLine="420"/>
        <w:rPr>
          <w:rFonts w:ascii="宋体" w:hAnsi="宋体" w:cs="宋体"/>
          <w:color w:val="auto"/>
          <w:szCs w:val="21"/>
          <w:highlight w:val="none"/>
          <w:lang w:val="en-US"/>
        </w:rPr>
      </w:pPr>
      <w:r>
        <w:rPr>
          <w:rFonts w:hint="eastAsia" w:ascii="宋体" w:hAnsi="宋体" w:cs="宋体"/>
          <w:color w:val="auto"/>
          <w:szCs w:val="21"/>
          <w:highlight w:val="none"/>
          <w:lang w:val="en-US"/>
        </w:rPr>
        <w:t>17.3</w:t>
      </w:r>
      <w:r>
        <w:rPr>
          <w:rFonts w:hint="eastAsia" w:ascii="宋体" w:hAnsi="宋体" w:cs="宋体"/>
          <w:b/>
          <w:bCs/>
          <w:color w:val="auto"/>
          <w:szCs w:val="21"/>
          <w:highlight w:val="none"/>
          <w:lang w:val="en-US"/>
        </w:rPr>
        <w:t>电子投标文件制作完成后请于投标文件网上提交截止时间前成功上传至“苏采云”系统，否则视为放弃参加该采购项目。</w:t>
      </w:r>
      <w:bookmarkStart w:id="39" w:name="_Toc25608"/>
      <w:bookmarkStart w:id="40" w:name="_Toc31150"/>
      <w:r>
        <w:rPr>
          <w:rFonts w:hint="eastAsia" w:ascii="宋体" w:hAnsi="宋体" w:cs="宋体"/>
          <w:color w:val="auto"/>
          <w:szCs w:val="21"/>
          <w:highlight w:val="none"/>
          <w:lang w:val="en-US"/>
        </w:rPr>
        <w:t>投标人提交投标文件的时间以系统收到上传的电子投标文件时间为准，投标人应充分考虑到网络环境、网络带宽等风险因素，如因投标人自身原因造成的电子投标文件上传不成功由投标人自行承担全部责任。</w:t>
      </w:r>
    </w:p>
    <w:bookmarkEnd w:id="39"/>
    <w:bookmarkEnd w:id="40"/>
    <w:p w14:paraId="6B14030B">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五、投标文件的递交（上传）</w:t>
      </w:r>
    </w:p>
    <w:p w14:paraId="1E5DAC3C">
      <w:pPr>
        <w:pStyle w:val="43"/>
        <w:spacing w:line="360" w:lineRule="auto"/>
        <w:ind w:firstLine="0" w:firstLineChars="0"/>
        <w:rPr>
          <w:rFonts w:ascii="宋体" w:hAnsi="宋体" w:cs="宋体"/>
          <w:b/>
          <w:color w:val="auto"/>
          <w:szCs w:val="21"/>
          <w:highlight w:val="none"/>
        </w:rPr>
      </w:pPr>
      <w:r>
        <w:rPr>
          <w:rFonts w:hint="eastAsia" w:ascii="宋体" w:hAnsi="宋体" w:cs="宋体"/>
          <w:b/>
          <w:bCs/>
          <w:color w:val="auto"/>
          <w:szCs w:val="21"/>
          <w:highlight w:val="none"/>
        </w:rPr>
        <w:t xml:space="preserve">18. </w:t>
      </w:r>
      <w:r>
        <w:rPr>
          <w:rFonts w:hint="eastAsia" w:ascii="宋体" w:hAnsi="宋体" w:cs="宋体"/>
          <w:b/>
          <w:color w:val="auto"/>
          <w:szCs w:val="21"/>
          <w:highlight w:val="none"/>
        </w:rPr>
        <w:t>投标文件的递交</w:t>
      </w:r>
    </w:p>
    <w:p w14:paraId="15A92D2E">
      <w:pPr>
        <w:pStyle w:val="43"/>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lang w:val="en-US"/>
        </w:rPr>
        <w:t>18</w:t>
      </w:r>
      <w:r>
        <w:rPr>
          <w:rFonts w:hint="eastAsia" w:ascii="宋体" w:hAnsi="宋体" w:cs="宋体"/>
          <w:color w:val="auto"/>
          <w:szCs w:val="21"/>
          <w:highlight w:val="none"/>
        </w:rPr>
        <w:t>.1投标人应当在投标截止时间前制作并上传电子投标文件。</w:t>
      </w:r>
    </w:p>
    <w:p w14:paraId="421E942A">
      <w:pPr>
        <w:pStyle w:val="7"/>
        <w:overflowPunct w:val="0"/>
        <w:spacing w:line="360" w:lineRule="auto"/>
        <w:ind w:firstLineChars="200"/>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18.2投标人通过</w:t>
      </w:r>
      <w:r>
        <w:rPr>
          <w:rFonts w:hint="eastAsia" w:ascii="宋体" w:hAnsi="宋体" w:eastAsia="宋体" w:cs="宋体"/>
          <w:b/>
          <w:color w:val="auto"/>
          <w:sz w:val="21"/>
          <w:szCs w:val="21"/>
          <w:highlight w:val="none"/>
        </w:rPr>
        <w:t>“苏采云”系统不见面开标大厅在线参与开标活动。（具体操作详见《苏采云系统供应商操作手册》，网址链接https://czju.suzhou.gov.cn/zfcg/html/content/20231220161910031.shtml）</w:t>
      </w:r>
    </w:p>
    <w:p w14:paraId="3AE41533">
      <w:pPr>
        <w:autoSpaceDE w:val="0"/>
        <w:autoSpaceDN w:val="0"/>
        <w:spacing w:line="360" w:lineRule="auto"/>
        <w:ind w:firstLine="422" w:firstLineChars="200"/>
        <w:rPr>
          <w:rFonts w:ascii="宋体" w:hAnsi="宋体" w:cs="宋体"/>
          <w:color w:val="auto"/>
          <w:highlight w:val="none"/>
        </w:rPr>
      </w:pPr>
      <w:r>
        <w:rPr>
          <w:rFonts w:hint="eastAsia" w:ascii="宋体" w:hAnsi="宋体" w:cs="宋体"/>
          <w:b/>
          <w:color w:val="auto"/>
          <w:szCs w:val="21"/>
          <w:highlight w:val="none"/>
        </w:rPr>
        <w:t>18.3</w:t>
      </w:r>
      <w:r>
        <w:rPr>
          <w:rFonts w:hint="eastAsia" w:ascii="宋体" w:hAnsi="宋体" w:cs="宋体"/>
          <w:b/>
          <w:bCs/>
          <w:color w:val="auto"/>
          <w:szCs w:val="21"/>
          <w:highlight w:val="none"/>
          <w:lang w:val="zh-CN"/>
        </w:rPr>
        <w:t>纸质</w:t>
      </w:r>
      <w:r>
        <w:rPr>
          <w:rFonts w:hint="eastAsia" w:ascii="宋体" w:hAnsi="宋体" w:cs="宋体"/>
          <w:b/>
          <w:bCs/>
          <w:color w:val="auto"/>
          <w:szCs w:val="21"/>
          <w:highlight w:val="none"/>
        </w:rPr>
        <w:t>投标</w:t>
      </w:r>
      <w:r>
        <w:rPr>
          <w:rFonts w:hint="eastAsia" w:ascii="宋体" w:hAnsi="宋体" w:cs="宋体"/>
          <w:b/>
          <w:bCs/>
          <w:color w:val="auto"/>
          <w:szCs w:val="21"/>
          <w:highlight w:val="none"/>
          <w:lang w:val="zh-CN"/>
        </w:rPr>
        <w:t>文件：</w:t>
      </w:r>
      <w:r>
        <w:rPr>
          <w:rFonts w:hint="eastAsia" w:ascii="宋体" w:hAnsi="宋体" w:cs="宋体"/>
          <w:color w:val="auto"/>
          <w:szCs w:val="21"/>
          <w:highlight w:val="none"/>
        </w:rPr>
        <w:t>中标后5个工作日内，中标单位向招标代理机构提供与电子投标文件内容一致的</w:t>
      </w:r>
      <w:r>
        <w:rPr>
          <w:rFonts w:hint="eastAsia" w:ascii="宋体" w:hAnsi="宋体" w:cs="宋体"/>
          <w:color w:val="auto"/>
          <w:highlight w:val="none"/>
        </w:rPr>
        <w:t>纸质投标文件两份。</w:t>
      </w:r>
    </w:p>
    <w:p w14:paraId="1D335F30">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19. 投标截止时间</w:t>
      </w:r>
    </w:p>
    <w:p w14:paraId="0C5B72D4">
      <w:pPr>
        <w:pStyle w:val="43"/>
        <w:spacing w:line="360" w:lineRule="auto"/>
        <w:ind w:firstLine="420"/>
        <w:rPr>
          <w:rFonts w:ascii="宋体" w:hAnsi="宋体" w:cs="宋体"/>
          <w:color w:val="auto"/>
          <w:szCs w:val="21"/>
          <w:highlight w:val="none"/>
          <w:lang w:val="en-US"/>
        </w:rPr>
      </w:pPr>
      <w:r>
        <w:rPr>
          <w:rFonts w:hint="eastAsia" w:ascii="宋体" w:hAnsi="宋体" w:cs="宋体"/>
          <w:color w:val="auto"/>
          <w:szCs w:val="21"/>
          <w:highlight w:val="none"/>
          <w:lang w:val="en-US"/>
        </w:rPr>
        <w:t>19.1投标人应当在招标文件要求投标文件网上提交截止时间前，将投标文件完成提交（上传）。逾期提交（上传）的投标文件，采购人和采购代理机构拒绝接收。</w:t>
      </w:r>
    </w:p>
    <w:p w14:paraId="6A82768F">
      <w:pPr>
        <w:pStyle w:val="43"/>
        <w:spacing w:line="360" w:lineRule="auto"/>
        <w:ind w:firstLine="420"/>
        <w:rPr>
          <w:rFonts w:ascii="宋体" w:hAnsi="宋体" w:cs="宋体"/>
          <w:color w:val="auto"/>
          <w:szCs w:val="21"/>
          <w:highlight w:val="none"/>
          <w:lang w:val="en-US"/>
        </w:rPr>
      </w:pPr>
      <w:r>
        <w:rPr>
          <w:rFonts w:hint="eastAsia" w:ascii="宋体" w:hAnsi="宋体" w:cs="宋体"/>
          <w:color w:val="auto"/>
          <w:szCs w:val="21"/>
          <w:highlight w:val="none"/>
          <w:lang w:val="en-US"/>
        </w:rPr>
        <w:t>19.2采购人和采购代理机构推迟投标截止时间时，将按本须知规定的更正公告的方式对外发布。在这种情况下，采购人、采购代理机构和投标人的权利和义务将受到新的截止期的约束。</w:t>
      </w:r>
    </w:p>
    <w:p w14:paraId="7F1AE383">
      <w:pPr>
        <w:pStyle w:val="43"/>
        <w:spacing w:line="360" w:lineRule="auto"/>
        <w:ind w:firstLine="420"/>
        <w:rPr>
          <w:rFonts w:ascii="宋体" w:hAnsi="宋体" w:cs="宋体"/>
          <w:color w:val="auto"/>
          <w:szCs w:val="21"/>
          <w:highlight w:val="none"/>
        </w:rPr>
      </w:pPr>
      <w:r>
        <w:rPr>
          <w:rFonts w:hint="eastAsia" w:ascii="宋体" w:hAnsi="宋体" w:cs="宋体"/>
          <w:color w:val="auto"/>
          <w:szCs w:val="21"/>
          <w:highlight w:val="none"/>
          <w:lang w:val="en-US"/>
        </w:rPr>
        <w:t>19.3在投标截止时间止成功解密的投标文件少于三份，采购代理机构有权宣布本次招标失败</w:t>
      </w:r>
      <w:r>
        <w:rPr>
          <w:rFonts w:hint="eastAsia" w:ascii="宋体" w:hAnsi="宋体" w:cs="宋体"/>
          <w:color w:val="auto"/>
          <w:szCs w:val="21"/>
          <w:highlight w:val="none"/>
        </w:rPr>
        <w:t>。</w:t>
      </w:r>
    </w:p>
    <w:p w14:paraId="22D4C042">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 xml:space="preserve">20. </w:t>
      </w:r>
      <w:r>
        <w:rPr>
          <w:rFonts w:hint="eastAsia" w:ascii="宋体" w:hAnsi="宋体" w:cs="宋体"/>
          <w:b/>
          <w:color w:val="auto"/>
          <w:szCs w:val="21"/>
          <w:highlight w:val="none"/>
        </w:rPr>
        <w:t>投标文件的补充、修改和撤回</w:t>
      </w:r>
    </w:p>
    <w:p w14:paraId="18A9B480">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20.1</w:t>
      </w:r>
      <w:r>
        <w:rPr>
          <w:rFonts w:hint="eastAsia" w:ascii="宋体" w:hAnsi="宋体" w:cs="宋体"/>
          <w:color w:val="auto"/>
          <w:szCs w:val="21"/>
          <w:highlight w:val="none"/>
        </w:rPr>
        <w:t>投标人在</w:t>
      </w:r>
      <w:r>
        <w:rPr>
          <w:rFonts w:hint="eastAsia" w:ascii="宋体" w:hAnsi="宋体"/>
          <w:color w:val="auto"/>
          <w:szCs w:val="21"/>
          <w:highlight w:val="none"/>
        </w:rPr>
        <w:t>投标文件网上提交截止时间</w:t>
      </w:r>
      <w:r>
        <w:rPr>
          <w:rFonts w:hint="eastAsia" w:ascii="宋体" w:hAnsi="宋体" w:cs="宋体"/>
          <w:color w:val="auto"/>
          <w:szCs w:val="21"/>
          <w:highlight w:val="none"/>
        </w:rPr>
        <w:t>前，可以对其电子投标文件进行补充、修改，具体操作方法见</w:t>
      </w:r>
      <w:r>
        <w:rPr>
          <w:rFonts w:hint="eastAsia" w:ascii="宋体" w:hAnsi="宋体" w:cs="宋体"/>
          <w:b/>
          <w:color w:val="auto"/>
          <w:szCs w:val="21"/>
          <w:highlight w:val="none"/>
        </w:rPr>
        <w:t>《苏采云系统供应商操作手册》</w:t>
      </w:r>
      <w:r>
        <w:rPr>
          <w:rFonts w:hint="eastAsia" w:ascii="宋体" w:hAnsi="宋体" w:cs="宋体"/>
          <w:color w:val="auto"/>
          <w:szCs w:val="21"/>
          <w:highlight w:val="none"/>
        </w:rPr>
        <w:t>。在</w:t>
      </w:r>
      <w:r>
        <w:rPr>
          <w:rFonts w:hint="eastAsia" w:ascii="宋体" w:hAnsi="宋体"/>
          <w:color w:val="auto"/>
          <w:szCs w:val="21"/>
          <w:highlight w:val="none"/>
        </w:rPr>
        <w:t>投标文件网上提交截止时间</w:t>
      </w:r>
      <w:r>
        <w:rPr>
          <w:rFonts w:hint="eastAsia" w:ascii="宋体" w:hAnsi="宋体" w:cs="宋体"/>
          <w:color w:val="auto"/>
          <w:szCs w:val="21"/>
          <w:highlight w:val="none"/>
        </w:rPr>
        <w:t>之后，投标人不得对其电子投标文件作任何修改</w:t>
      </w:r>
      <w:r>
        <w:rPr>
          <w:rFonts w:hint="eastAsia" w:ascii="宋体" w:hAnsi="宋体" w:cs="宋体"/>
          <w:color w:val="auto"/>
          <w:szCs w:val="21"/>
          <w:highlight w:val="none"/>
          <w:lang w:val="zh-CN"/>
        </w:rPr>
        <w:t>。</w:t>
      </w:r>
    </w:p>
    <w:p w14:paraId="265466F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20.2</w:t>
      </w:r>
      <w:r>
        <w:rPr>
          <w:rFonts w:hint="eastAsia" w:ascii="宋体" w:hAnsi="宋体" w:cs="宋体"/>
          <w:color w:val="auto"/>
          <w:szCs w:val="21"/>
          <w:highlight w:val="none"/>
        </w:rPr>
        <w:t>投标人在</w:t>
      </w:r>
      <w:r>
        <w:rPr>
          <w:rFonts w:hint="eastAsia" w:ascii="宋体" w:hAnsi="宋体"/>
          <w:color w:val="auto"/>
          <w:szCs w:val="21"/>
          <w:highlight w:val="none"/>
        </w:rPr>
        <w:t>投标文件网上提交截止时间</w:t>
      </w:r>
      <w:r>
        <w:rPr>
          <w:rFonts w:hint="eastAsia" w:ascii="宋体" w:hAnsi="宋体" w:cs="宋体"/>
          <w:color w:val="auto"/>
          <w:szCs w:val="21"/>
          <w:highlight w:val="none"/>
        </w:rPr>
        <w:t>前，可以撤回其电子投标文件，具体操作方法见</w:t>
      </w:r>
      <w:r>
        <w:rPr>
          <w:rFonts w:hint="eastAsia" w:ascii="宋体" w:hAnsi="宋体" w:cs="宋体"/>
          <w:b/>
          <w:color w:val="auto"/>
          <w:szCs w:val="21"/>
          <w:highlight w:val="none"/>
        </w:rPr>
        <w:t>《苏采云系统供应商操作手册》</w:t>
      </w:r>
      <w:r>
        <w:rPr>
          <w:rFonts w:hint="eastAsia" w:ascii="宋体" w:hAnsi="宋体" w:cs="宋体"/>
          <w:color w:val="auto"/>
          <w:szCs w:val="21"/>
          <w:highlight w:val="none"/>
        </w:rPr>
        <w:t>。投标人撤回电子投标文件，则认为其不再参与本项目投标活动。在投标截止时间至招标文件中规定的投标有效期满之间的这段时间内，投标人不得撤回其投标</w:t>
      </w:r>
      <w:r>
        <w:rPr>
          <w:rFonts w:hint="eastAsia" w:ascii="宋体" w:hAnsi="宋体" w:cs="宋体"/>
          <w:color w:val="auto"/>
          <w:szCs w:val="21"/>
          <w:highlight w:val="none"/>
          <w:lang w:val="zh-CN"/>
        </w:rPr>
        <w:t>。</w:t>
      </w:r>
    </w:p>
    <w:p w14:paraId="1DF1EAD9">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六、 开标和评标</w:t>
      </w:r>
    </w:p>
    <w:p w14:paraId="55F81024">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21. 开标</w:t>
      </w:r>
    </w:p>
    <w:p w14:paraId="771A9B42">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21.1开标由采购代理机构</w:t>
      </w:r>
      <w:r>
        <w:rPr>
          <w:rFonts w:hint="eastAsia" w:ascii="宋体" w:hAnsi="宋体" w:cs="宋体"/>
          <w:color w:val="auto"/>
          <w:szCs w:val="21"/>
          <w:highlight w:val="none"/>
        </w:rPr>
        <w:t>在线</w:t>
      </w:r>
      <w:r>
        <w:rPr>
          <w:rFonts w:hint="eastAsia" w:ascii="宋体" w:hAnsi="宋体" w:cs="宋体"/>
          <w:color w:val="auto"/>
          <w:szCs w:val="21"/>
          <w:highlight w:val="none"/>
          <w:lang w:val="zh-CN"/>
        </w:rPr>
        <w:t>主持，邀请投标人</w:t>
      </w:r>
      <w:r>
        <w:rPr>
          <w:rFonts w:hint="eastAsia" w:ascii="宋体" w:hAnsi="宋体" w:cs="宋体"/>
          <w:color w:val="auto"/>
          <w:szCs w:val="21"/>
          <w:highlight w:val="none"/>
        </w:rPr>
        <w:t>在线</w:t>
      </w:r>
      <w:r>
        <w:rPr>
          <w:rFonts w:hint="eastAsia" w:ascii="宋体" w:hAnsi="宋体" w:cs="宋体"/>
          <w:color w:val="auto"/>
          <w:szCs w:val="21"/>
          <w:highlight w:val="none"/>
          <w:lang w:val="zh-CN"/>
        </w:rPr>
        <w:t>参加。投标人应当按照《苏采云系统供应商操作手册》规定，</w:t>
      </w:r>
      <w:r>
        <w:rPr>
          <w:rFonts w:hint="eastAsia" w:ascii="宋体" w:hAnsi="宋体" w:cs="宋体"/>
          <w:b/>
          <w:bCs/>
          <w:color w:val="auto"/>
          <w:szCs w:val="21"/>
          <w:highlight w:val="none"/>
          <w:lang w:val="zh-CN"/>
        </w:rPr>
        <w:t>参加开标活动和在“苏采云”系统规定的时间内对投标文件进行解密。</w:t>
      </w:r>
      <w:r>
        <w:rPr>
          <w:rFonts w:hint="eastAsia" w:ascii="宋体" w:hAnsi="宋体" w:cs="宋体"/>
          <w:color w:val="auto"/>
          <w:szCs w:val="21"/>
          <w:highlight w:val="none"/>
          <w:lang w:val="zh-CN"/>
        </w:rPr>
        <w:t>评标委员会成员不得参加开标活动。</w:t>
      </w:r>
    </w:p>
    <w:p w14:paraId="365F5F43">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21.2开标时，由采购代理机构</w:t>
      </w:r>
      <w:r>
        <w:rPr>
          <w:rFonts w:hint="eastAsia" w:ascii="宋体" w:hAnsi="宋体" w:cs="宋体"/>
          <w:color w:val="auto"/>
          <w:szCs w:val="21"/>
          <w:highlight w:val="none"/>
        </w:rPr>
        <w:t>通过“苏采云”系统在线</w:t>
      </w:r>
      <w:r>
        <w:rPr>
          <w:rFonts w:hint="eastAsia" w:ascii="宋体" w:hAnsi="宋体" w:cs="宋体"/>
          <w:color w:val="auto"/>
          <w:szCs w:val="21"/>
          <w:highlight w:val="none"/>
          <w:lang w:val="zh-CN"/>
        </w:rPr>
        <w:t>宣布投标人名称、投标价格和招标文件规定的需要宣布的其他内容。</w:t>
      </w:r>
      <w:r>
        <w:rPr>
          <w:rFonts w:hint="eastAsia" w:ascii="宋体" w:hAnsi="宋体" w:cs="宋体"/>
          <w:color w:val="auto"/>
          <w:szCs w:val="21"/>
          <w:highlight w:val="none"/>
        </w:rPr>
        <w:t>投标人在不见面开标系统中确认投标价格，如</w:t>
      </w:r>
      <w:r>
        <w:rPr>
          <w:rFonts w:hint="eastAsia" w:ascii="宋体" w:hAnsi="宋体" w:cs="宋体"/>
          <w:color w:val="auto"/>
          <w:szCs w:val="21"/>
          <w:highlight w:val="none"/>
          <w:lang w:val="zh-CN"/>
        </w:rPr>
        <w:t>投标人未</w:t>
      </w:r>
      <w:r>
        <w:rPr>
          <w:rFonts w:hint="eastAsia" w:ascii="宋体" w:hAnsi="宋体" w:cs="宋体"/>
          <w:color w:val="auto"/>
          <w:szCs w:val="21"/>
          <w:highlight w:val="none"/>
        </w:rPr>
        <w:t>在线</w:t>
      </w:r>
      <w:r>
        <w:rPr>
          <w:rFonts w:hint="eastAsia" w:ascii="宋体" w:hAnsi="宋体" w:cs="宋体"/>
          <w:color w:val="auto"/>
          <w:szCs w:val="21"/>
          <w:highlight w:val="none"/>
          <w:lang w:val="zh-CN"/>
        </w:rPr>
        <w:t>参加开标</w:t>
      </w:r>
      <w:r>
        <w:rPr>
          <w:rFonts w:hint="eastAsia" w:ascii="宋体" w:hAnsi="宋体" w:cs="宋体"/>
          <w:color w:val="auto"/>
          <w:szCs w:val="21"/>
          <w:highlight w:val="none"/>
        </w:rPr>
        <w:t>或未在规定时间内确认价格</w:t>
      </w:r>
      <w:r>
        <w:rPr>
          <w:rFonts w:hint="eastAsia" w:ascii="宋体" w:hAnsi="宋体" w:cs="宋体"/>
          <w:color w:val="auto"/>
          <w:szCs w:val="21"/>
          <w:highlight w:val="none"/>
          <w:lang w:val="zh-CN"/>
        </w:rPr>
        <w:t>的，视同认可开标结果。</w:t>
      </w:r>
    </w:p>
    <w:p w14:paraId="2E10DC65">
      <w:pPr>
        <w:pStyle w:val="43"/>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21.3资格审查</w:t>
      </w:r>
    </w:p>
    <w:p w14:paraId="4AEE81DB">
      <w:pPr>
        <w:pStyle w:val="43"/>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rPr>
        <w:t>1</w:t>
      </w:r>
      <w:r>
        <w:rPr>
          <w:rFonts w:hint="eastAsia" w:ascii="宋体" w:hAnsi="宋体" w:cs="宋体"/>
          <w:color w:val="auto"/>
          <w:szCs w:val="21"/>
          <w:highlight w:val="none"/>
        </w:rPr>
        <w:t>.3.1公开招标采购项目开标结束后，采购人</w:t>
      </w:r>
      <w:r>
        <w:rPr>
          <w:rFonts w:hint="eastAsia" w:ascii="宋体" w:hAnsi="宋体" w:cs="宋体"/>
          <w:color w:val="auto"/>
          <w:szCs w:val="21"/>
          <w:highlight w:val="none"/>
          <w:lang w:val="en-US"/>
        </w:rPr>
        <w:t>或采购代理机构</w:t>
      </w:r>
      <w:r>
        <w:rPr>
          <w:rFonts w:hint="eastAsia" w:ascii="宋体" w:hAnsi="宋体" w:cs="宋体"/>
          <w:color w:val="auto"/>
          <w:szCs w:val="21"/>
          <w:highlight w:val="none"/>
        </w:rPr>
        <w:t>应当依法对投标人的资格进行审查，未通过资格审查的视为无效投标。</w:t>
      </w:r>
    </w:p>
    <w:p w14:paraId="00973991">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22. 评标委员会或评标小组</w:t>
      </w:r>
    </w:p>
    <w:p w14:paraId="3D99B71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22.1评标委员会或评标小组（以下简称评标委员会）成员依法组建。</w:t>
      </w:r>
    </w:p>
    <w:p w14:paraId="262889A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22.2评标委员会或评标小组负责具体的评标事务，并独立履行以下职责：</w:t>
      </w:r>
    </w:p>
    <w:p w14:paraId="618E8BA0">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22.2.1审查、评价投标文件是否符合招标文件的商务、技术等实质性要求；</w:t>
      </w:r>
    </w:p>
    <w:p w14:paraId="35367F9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22.2.2要求投标人对投标文件有关事项作出澄清或者说明；</w:t>
      </w:r>
    </w:p>
    <w:p w14:paraId="5B939D0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22.2.3对投标文件进行比较和评价；</w:t>
      </w:r>
    </w:p>
    <w:p w14:paraId="55F2348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22.2.4确定中标候选人名单，以及根据采购单位委托直接确定中标单位；</w:t>
      </w:r>
    </w:p>
    <w:p w14:paraId="3870B15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22.2.5向采购单位、采购代理机构或者有关部门报告评标中发现的违法行为。</w:t>
      </w:r>
    </w:p>
    <w:p w14:paraId="1B214896">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22.3评标委员会成员应当履行下列义务：</w:t>
      </w:r>
    </w:p>
    <w:p w14:paraId="20E146B6">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22.3.1遵纪守法，客观、公正、廉洁地履行职责；</w:t>
      </w:r>
    </w:p>
    <w:p w14:paraId="58166A70">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22.3.2按照招标文件规定的评标方法和评标标准进行评标，对评审意见承担个人责任；</w:t>
      </w:r>
    </w:p>
    <w:p w14:paraId="41B784A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22.3.3对评标过程和结果，以及投标人的商业秘密保密；</w:t>
      </w:r>
    </w:p>
    <w:p w14:paraId="247DC3A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22.3.4参与评标报告的起草；</w:t>
      </w:r>
    </w:p>
    <w:p w14:paraId="55F9686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22.3.5配合财政部门的投诉处理工作；</w:t>
      </w:r>
    </w:p>
    <w:p w14:paraId="2556F036">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22.3.6配合招标采购单位答复投标供应商提出的质疑。</w:t>
      </w:r>
    </w:p>
    <w:p w14:paraId="53B5220A">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23. 评标内容的保密</w:t>
      </w:r>
    </w:p>
    <w:p w14:paraId="7131A91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23.1公开开标后，直到宣布授予中标单位合同为止，凡属于审查、澄清、评价和比较投标的所有资料，有关授予合同的信息都不应向投标人或与评标无关的其他人泄露。</w:t>
      </w:r>
    </w:p>
    <w:p w14:paraId="3020DE14">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23.2在投标文件的审查、澄清、评价和比较以及授予合同的过程中，投标人对招标代理机构和评标委员会成员施加影响的任何行为，都将取消其中标资格。</w:t>
      </w:r>
    </w:p>
    <w:p w14:paraId="295B61F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23.3在评标期间，招标代理机构将通过指定联络人与投标人进行联系。</w:t>
      </w:r>
    </w:p>
    <w:p w14:paraId="1CBF57C0">
      <w:pPr>
        <w:autoSpaceDE w:val="0"/>
        <w:autoSpaceDN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24. 对投标文件初审</w:t>
      </w:r>
    </w:p>
    <w:p w14:paraId="229A25F5">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24.1</w:t>
      </w:r>
      <w:r>
        <w:rPr>
          <w:rFonts w:hint="eastAsia" w:ascii="宋体" w:hAnsi="宋体" w:cs="宋体"/>
          <w:color w:val="auto"/>
          <w:szCs w:val="21"/>
          <w:highlight w:val="none"/>
        </w:rPr>
        <w:t>评标委员会应当对符合资格的投标人的投标文件进行符合性审查，以确定其是否满足招标文件的实质性要求</w:t>
      </w:r>
      <w:r>
        <w:rPr>
          <w:rFonts w:hint="eastAsia" w:ascii="宋体" w:hAnsi="宋体" w:cs="宋体"/>
          <w:color w:val="auto"/>
          <w:szCs w:val="21"/>
          <w:highlight w:val="none"/>
          <w:lang w:val="zh-CN"/>
        </w:rPr>
        <w:t>。</w:t>
      </w:r>
    </w:p>
    <w:p w14:paraId="78A46640">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投标文件有下列情况之一者将被拒绝：</w:t>
      </w:r>
    </w:p>
    <w:p w14:paraId="560ECE94">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24.1.1投标人的投标文件未按照本须知规定制作的；</w:t>
      </w:r>
    </w:p>
    <w:p w14:paraId="17CDB53A">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24.1.2未按本须知规定提交资格文件或资质不合格；</w:t>
      </w:r>
    </w:p>
    <w:p w14:paraId="51CBADF7">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24.1.3与招标文件有重大偏离；</w:t>
      </w:r>
    </w:p>
    <w:p w14:paraId="6D833DBB">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24.1.4投标人拒绝修正错误；</w:t>
      </w:r>
    </w:p>
    <w:p w14:paraId="11A810B0">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24.1.5投标人的报价是选择性的；</w:t>
      </w:r>
    </w:p>
    <w:p w14:paraId="39B3FB12">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24.1.6投标人的报价只投了部分内容；</w:t>
      </w:r>
    </w:p>
    <w:p w14:paraId="7E7833C8">
      <w:pPr>
        <w:autoSpaceDE w:val="0"/>
        <w:autoSpaceDN w:val="0"/>
        <w:spacing w:line="360" w:lineRule="auto"/>
        <w:ind w:firstLine="422" w:firstLineChars="200"/>
        <w:rPr>
          <w:rFonts w:ascii="宋体" w:hAnsi="宋体" w:cs="宋体"/>
          <w:b/>
          <w:color w:val="auto"/>
          <w:szCs w:val="21"/>
          <w:highlight w:val="none"/>
          <w:lang w:val="zh-CN"/>
        </w:rPr>
      </w:pPr>
      <w:r>
        <w:rPr>
          <w:rFonts w:hint="eastAsia" w:ascii="宋体" w:hAnsi="宋体" w:cs="宋体"/>
          <w:b/>
          <w:color w:val="auto"/>
          <w:szCs w:val="21"/>
          <w:highlight w:val="none"/>
          <w:lang w:val="zh-CN"/>
        </w:rPr>
        <w:t>24.1.7投标人的报价超采购预算（</w:t>
      </w:r>
      <w:r>
        <w:rPr>
          <w:rFonts w:hint="eastAsia" w:ascii="宋体" w:hAnsi="宋体" w:cs="宋体"/>
          <w:b/>
          <w:color w:val="auto"/>
          <w:szCs w:val="21"/>
          <w:highlight w:val="none"/>
          <w:lang w:val="en-US" w:eastAsia="zh-CN"/>
        </w:rPr>
        <w:t>或最高限价）</w:t>
      </w:r>
      <w:r>
        <w:rPr>
          <w:rFonts w:hint="eastAsia" w:ascii="宋体" w:hAnsi="宋体" w:cs="宋体"/>
          <w:b/>
          <w:color w:val="auto"/>
          <w:szCs w:val="21"/>
          <w:highlight w:val="none"/>
          <w:lang w:val="zh-CN"/>
        </w:rPr>
        <w:t>或经评标小组评定为无效报价；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DCA4D41">
      <w:pPr>
        <w:autoSpaceDE w:val="0"/>
        <w:autoSpaceDN w:val="0"/>
        <w:spacing w:line="360" w:lineRule="auto"/>
        <w:ind w:firstLine="422" w:firstLineChars="200"/>
        <w:rPr>
          <w:rFonts w:ascii="宋体" w:hAnsi="宋体" w:cs="宋体"/>
          <w:b/>
          <w:bCs/>
          <w:color w:val="auto"/>
          <w:highlight w:val="none"/>
        </w:rPr>
      </w:pPr>
      <w:r>
        <w:rPr>
          <w:rFonts w:hint="eastAsia" w:ascii="宋体" w:hAnsi="宋体" w:cs="宋体"/>
          <w:b/>
          <w:bCs/>
          <w:color w:val="auto"/>
          <w:highlight w:val="none"/>
        </w:rPr>
        <w:t>24.1.8其他被评委会认定无效的情况。</w:t>
      </w:r>
    </w:p>
    <w:p w14:paraId="7C55698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24.2根据政府采购法及相关法规的规定，将对供应商进行信用查询，凡经确认不符合政府采购相关法律法规规定的，将拒绝其参与政府采购活动。</w:t>
      </w:r>
    </w:p>
    <w:p w14:paraId="08EE061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24.2.1查询时间：投标文件递交截止时间后。</w:t>
      </w:r>
    </w:p>
    <w:p w14:paraId="75C4511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24.2.2查询渠道：</w:t>
      </w:r>
      <w:r>
        <w:rPr>
          <w:rFonts w:hint="eastAsia" w:ascii="宋体" w:hAnsi="宋体" w:cs="宋体"/>
          <w:color w:val="auto"/>
          <w:szCs w:val="21"/>
          <w:highlight w:val="none"/>
        </w:rPr>
        <w:t>采购代理机构会在接收投标文件截止时间后，登录</w:t>
      </w:r>
      <w:r>
        <w:rPr>
          <w:rFonts w:ascii="宋体" w:hAnsi="宋体" w:cs="宋体"/>
          <w:color w:val="auto"/>
          <w:szCs w:val="21"/>
          <w:highlight w:val="none"/>
        </w:rPr>
        <w:t>信用中国</w:t>
      </w:r>
      <w:r>
        <w:rPr>
          <w:rFonts w:hint="eastAsia" w:ascii="宋体" w:hAnsi="宋体" w:cs="宋体"/>
          <w:color w:val="auto"/>
          <w:szCs w:val="21"/>
          <w:highlight w:val="none"/>
        </w:rPr>
        <w:t>网站</w:t>
      </w:r>
      <w:r>
        <w:rPr>
          <w:rFonts w:ascii="宋体" w:hAnsi="宋体" w:cs="宋体"/>
          <w:color w:val="auto"/>
          <w:szCs w:val="21"/>
          <w:highlight w:val="none"/>
        </w:rPr>
        <w:t>（www.creditchina.gov.cn）查询供应商的信用记录，并将查询结果递交</w:t>
      </w:r>
      <w:r>
        <w:rPr>
          <w:rFonts w:hint="eastAsia" w:ascii="宋体" w:hAnsi="宋体" w:cs="宋体"/>
          <w:color w:val="auto"/>
          <w:szCs w:val="21"/>
          <w:highlight w:val="none"/>
        </w:rPr>
        <w:t>评标委员会。</w:t>
      </w:r>
    </w:p>
    <w:p w14:paraId="4C82F876">
      <w:pPr>
        <w:autoSpaceDE w:val="0"/>
        <w:autoSpaceDN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zh-CN"/>
        </w:rPr>
        <w:t>24.2.3查询证据留存方式：</w:t>
      </w:r>
      <w:r>
        <w:rPr>
          <w:rFonts w:hint="eastAsia" w:ascii="宋体" w:hAnsi="宋体" w:cs="宋体"/>
          <w:color w:val="auto"/>
          <w:szCs w:val="21"/>
          <w:highlight w:val="none"/>
        </w:rPr>
        <w:t>采购人、采购代理机构工作人员等应按照相关管理办法查询相关主体的信用记录，并保存好相关证据材料，信用查询记录及相关证据应当归入采购档案妥善保管。采购代理机构工作人员应登</w:t>
      </w:r>
      <w:r>
        <w:rPr>
          <w:rFonts w:hint="eastAsia" w:ascii="宋体" w:hAnsi="宋体"/>
          <w:color w:val="auto"/>
          <w:szCs w:val="21"/>
          <w:highlight w:val="none"/>
        </w:rPr>
        <w:t>录</w:t>
      </w:r>
      <w:r>
        <w:rPr>
          <w:rFonts w:hint="eastAsia" w:ascii="宋体" w:hAnsi="宋体" w:cs="宋体"/>
          <w:color w:val="auto"/>
          <w:szCs w:val="21"/>
          <w:highlight w:val="none"/>
        </w:rPr>
        <w:t>到来源网站页面进行复核并打印，作为证据留存。</w:t>
      </w:r>
    </w:p>
    <w:p w14:paraId="1FCE26D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olor w:val="auto"/>
          <w:highlight w:val="none"/>
        </w:rPr>
        <w:t>24.2.4采购过程中将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46FA86D5">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24.2.</w:t>
      </w:r>
      <w:r>
        <w:rPr>
          <w:rFonts w:hint="eastAsia" w:ascii="宋体" w:hAnsi="宋体" w:cs="宋体"/>
          <w:color w:val="auto"/>
          <w:szCs w:val="21"/>
          <w:highlight w:val="none"/>
        </w:rPr>
        <w:t>5</w:t>
      </w:r>
      <w:r>
        <w:rPr>
          <w:rFonts w:hint="eastAsia" w:ascii="宋体" w:hAnsi="宋体" w:cs="宋体"/>
          <w:color w:val="auto"/>
          <w:szCs w:val="21"/>
          <w:highlight w:val="none"/>
          <w:lang w:val="zh-CN"/>
        </w:rPr>
        <w:t>信用记录使用规则：对供应商进行资格性审查时，应根据查询结果对供应商的不良信用记录逐项甄别确认。按照《中华人民共和国政府采购法》第二十二条规定，下列信用记录属于应依法拒绝供应商参加政府采购的失信信息：</w:t>
      </w:r>
    </w:p>
    <w:p w14:paraId="324CE6E5">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（一）政府采购严重违法记录，即供应商被全国各级财政部门列入“政府采购严重违法失信行为记录名单”，且在处罚有效期内的。</w:t>
      </w:r>
    </w:p>
    <w:p w14:paraId="5650BB83">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（二）财政部门与法院、工商、税务等部门联合惩戒的失信信息，包括：</w:t>
      </w:r>
    </w:p>
    <w:p w14:paraId="693D7668">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（1）被列入失信被执行人名单；</w:t>
      </w:r>
    </w:p>
    <w:p w14:paraId="2FA5DDE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（2）被列入重大税收违法案件当事人名单；</w:t>
      </w:r>
    </w:p>
    <w:p w14:paraId="55ED2FC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（3）企业经营异常名录中被责令停产停业、暂扣或者吊销许可证或者执照，或者对经营活动中的</w:t>
      </w:r>
      <w:r>
        <w:rPr>
          <w:rFonts w:hint="eastAsia" w:ascii="宋体" w:hAnsi="宋体" w:cs="宋体"/>
          <w:color w:val="auto"/>
          <w:szCs w:val="21"/>
          <w:highlight w:val="none"/>
        </w:rPr>
        <w:t>违法行为处以</w:t>
      </w:r>
      <w:r>
        <w:rPr>
          <w:rFonts w:hint="eastAsia" w:ascii="宋体" w:hAnsi="宋体" w:cs="宋体"/>
          <w:color w:val="auto"/>
          <w:szCs w:val="21"/>
          <w:highlight w:val="none"/>
          <w:lang w:val="zh-CN"/>
        </w:rPr>
        <w:t>较大数额罚款（“较大数额罚款”认定为200万元以上的罚款，法律、行政法规以及国务院有关部门明确规定相关领域“较大数额罚款”标准高于200万元的，从其规定）的信用记录。处罚生效日至递交（响应）文件日未满三年的。</w:t>
      </w:r>
    </w:p>
    <w:p w14:paraId="64CC8AD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24.3在详细评标之前，评委会将首先审查每份投标书是否实质响应了招标文件的要求。实质上响应的投标应该是与招标文件的全部条款、条件和规格相符，没有重大偏离或保留。所谓重大偏离或保留是指影响合同的货物和服务范围、质量和性能等；或者在实质上与招标文件不一致〔如货物和服务的质量、范围及服务的期限和服务的内容明显不能满足招标文件的要求〕，而且限制了合同中需方的权利或投标人的义务。这些偏离或保留将会对其他实质上响应要求的投标人的竞争地位产生不公正的影响。</w:t>
      </w:r>
    </w:p>
    <w:p w14:paraId="32EFDBA3">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24.4招标代理机构将允许修改投标中不构成重大偏离的微小的、非正规、不一致或不规则的地方，但这些修改不能影响任何投标人的名次相应排列。投标人不得对招标文件进行实质性修改，否则投标文件将被拒绝。</w:t>
      </w:r>
    </w:p>
    <w:p w14:paraId="23B222B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24.5评委会将对确定为实质上响应的投标进行审核，看其是否有计算上或累加上的算术错误，修正错误的原则如下：</w:t>
      </w:r>
    </w:p>
    <w:p w14:paraId="2703672A">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24.5.1投标文件中开标一览表（报价表）内容与投标文件中相应内容不一致的，以开标一览表（报价表）为准；</w:t>
      </w:r>
    </w:p>
    <w:p w14:paraId="44EC7C2F">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24.5.2大写金额和小写金额不一致的，以大写金额为准；</w:t>
      </w:r>
    </w:p>
    <w:p w14:paraId="42D7EB5A">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24.5.3单价金额小数点或者百分比有明显错位的，以开标一览表的总价为准，并修改单价；</w:t>
      </w:r>
    </w:p>
    <w:p w14:paraId="36AE6A5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24.5.4总价金额与按单价汇总金额不一致的，以单价金额计算结果为准。</w:t>
      </w:r>
    </w:p>
    <w:p w14:paraId="6F0C6E4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24.5.5同时出现两种以上不一致的，按照前款规定的顺序修正。修正后的报价按照《政府采购货物和服务招标投标管理办法（中华人民共和国财政部令第87号）》第五十一条第二款的规定经投标人确认后产生约束力，投标人不确认的，其投标无效。</w:t>
      </w:r>
    </w:p>
    <w:p w14:paraId="100D70E8">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24.6招标代理机构对投标文件的判定，只依据投标内容本身，不依靠开标后的任何外来证明。</w:t>
      </w:r>
    </w:p>
    <w:p w14:paraId="0B37A674">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24.7招标代理机构将拒绝被确定为非实质性响应的投标，投标人不能通过修正或撤销不符之处而使其投标成为实质性响应的投标。</w:t>
      </w:r>
    </w:p>
    <w:p w14:paraId="7F1E9ED7">
      <w:pPr>
        <w:autoSpaceDE w:val="0"/>
        <w:autoSpaceDN w:val="0"/>
        <w:spacing w:line="360" w:lineRule="auto"/>
        <w:ind w:firstLine="422"/>
        <w:rPr>
          <w:rFonts w:ascii="宋体" w:hAnsi="宋体" w:cs="宋体"/>
          <w:b/>
          <w:bCs/>
          <w:color w:val="auto"/>
          <w:szCs w:val="21"/>
          <w:highlight w:val="none"/>
          <w:lang w:val="zh-CN"/>
        </w:rPr>
      </w:pPr>
      <w:r>
        <w:rPr>
          <w:rFonts w:hint="eastAsia" w:ascii="宋体" w:hAnsi="宋体" w:cs="宋体"/>
          <w:b/>
          <w:bCs/>
          <w:color w:val="auto"/>
          <w:szCs w:val="21"/>
          <w:highlight w:val="none"/>
          <w:lang w:val="zh-CN"/>
        </w:rPr>
        <w:t>25. 投标的澄清</w:t>
      </w:r>
    </w:p>
    <w:p w14:paraId="1B480937">
      <w:pPr>
        <w:pStyle w:val="43"/>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rPr>
        <w:t>5</w:t>
      </w:r>
      <w:r>
        <w:rPr>
          <w:rFonts w:hint="eastAsia" w:ascii="宋体" w:hAnsi="宋体" w:cs="宋体"/>
          <w:color w:val="auto"/>
          <w:szCs w:val="21"/>
          <w:highlight w:val="none"/>
        </w:rPr>
        <w:t>.1对于投标文件中含义不明确、同类问题表述不一致或者有明显文字和计算错误的内容，评标委员会应当以书面形式要求投标人作出必要的澄清、说明或者补正。</w:t>
      </w:r>
    </w:p>
    <w:p w14:paraId="27E4C22B">
      <w:pPr>
        <w:pStyle w:val="43"/>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rPr>
        <w:t>5</w:t>
      </w:r>
      <w:r>
        <w:rPr>
          <w:rFonts w:hint="eastAsia" w:ascii="宋体" w:hAnsi="宋体" w:cs="宋体"/>
          <w:color w:val="auto"/>
          <w:szCs w:val="21"/>
          <w:highlight w:val="none"/>
        </w:rPr>
        <w:t>.2投标人的澄清、说明或者补正应当采用书面形式，并加盖</w:t>
      </w:r>
      <w:r>
        <w:rPr>
          <w:rFonts w:hint="eastAsia" w:ascii="宋体" w:hAnsi="宋体" w:cs="宋体"/>
          <w:color w:val="auto"/>
          <w:szCs w:val="21"/>
          <w:highlight w:val="none"/>
          <w:lang w:val="en-US"/>
        </w:rPr>
        <w:t>其单位电子</w:t>
      </w:r>
      <w:r>
        <w:rPr>
          <w:rFonts w:hint="eastAsia" w:ascii="宋体" w:hAnsi="宋体" w:cs="宋体"/>
          <w:color w:val="auto"/>
          <w:szCs w:val="21"/>
          <w:highlight w:val="none"/>
        </w:rPr>
        <w:t>公章。投标人的澄清、说明或者补正不得超出投标文件的范围或者改变投标文件的实质性内容。</w:t>
      </w:r>
    </w:p>
    <w:p w14:paraId="7BDF773C">
      <w:pPr>
        <w:autoSpaceDE w:val="0"/>
        <w:autoSpaceDN w:val="0"/>
        <w:spacing w:line="360" w:lineRule="auto"/>
        <w:ind w:firstLine="422" w:firstLineChars="200"/>
        <w:rPr>
          <w:rFonts w:ascii="宋体" w:hAnsi="宋体" w:cs="宋体"/>
          <w:color w:val="auto"/>
          <w:szCs w:val="21"/>
          <w:highlight w:val="none"/>
          <w:lang w:val="zh-CN"/>
        </w:rPr>
      </w:pPr>
      <w:r>
        <w:rPr>
          <w:rFonts w:hint="eastAsia" w:ascii="宋体" w:hAnsi="宋体" w:cs="宋体"/>
          <w:b/>
          <w:color w:val="auto"/>
          <w:szCs w:val="21"/>
          <w:highlight w:val="none"/>
        </w:rPr>
        <w:t>本项目投标人的澄清、说明或者补正采用线上澄清: 评标委员会将通过“苏采云”系统向投标人发布“澄清要求函”，接到“澄清要求函”的投标人应当按要求在规定时间内通过“苏采云”系统提交“澄清响应函”并加盖CA电子公章，澄清、说明和补充的内容作为投标文件的补充部分。</w:t>
      </w:r>
      <w:r>
        <w:rPr>
          <w:rFonts w:hint="eastAsia" w:ascii="宋体" w:hAnsi="宋体" w:cs="宋体"/>
          <w:color w:val="auto"/>
          <w:szCs w:val="21"/>
          <w:highlight w:val="none"/>
        </w:rPr>
        <w:t>(</w:t>
      </w:r>
      <w:r>
        <w:rPr>
          <w:rFonts w:hint="eastAsia" w:ascii="宋体" w:hAnsi="宋体" w:cs="宋体"/>
          <w:b/>
          <w:color w:val="auto"/>
          <w:szCs w:val="21"/>
          <w:highlight w:val="none"/>
        </w:rPr>
        <w:t>此处规定时间的计算以系统中的倒计时间为准，</w:t>
      </w:r>
      <w:r>
        <w:rPr>
          <w:rFonts w:hint="eastAsia" w:ascii="宋体" w:hAnsi="宋体" w:cs="宋体"/>
          <w:color w:val="auto"/>
          <w:szCs w:val="21"/>
          <w:highlight w:val="none"/>
        </w:rPr>
        <w:t>供应商应随时保持系统在线，如因供应商自身原因未在规定时间内提交澄清确认资料的，导致的不利后果由供应商自行承担</w:t>
      </w:r>
      <w:r>
        <w:rPr>
          <w:rFonts w:hint="eastAsia" w:ascii="宋体" w:hAnsi="宋体" w:cs="宋体"/>
          <w:color w:val="auto"/>
          <w:szCs w:val="21"/>
          <w:highlight w:val="none"/>
          <w:lang w:val="zh-CN"/>
        </w:rPr>
        <w:t>。</w:t>
      </w:r>
    </w:p>
    <w:p w14:paraId="2CD73942">
      <w:pPr>
        <w:spacing w:line="360" w:lineRule="auto"/>
        <w:rPr>
          <w:rFonts w:ascii="宋体" w:hAnsi="宋体" w:cs="宋体"/>
          <w:b/>
          <w:color w:val="auto"/>
          <w:highlight w:val="none"/>
        </w:rPr>
      </w:pPr>
      <w:r>
        <w:rPr>
          <w:rFonts w:hint="eastAsia" w:ascii="宋体" w:hAnsi="宋体" w:cs="宋体"/>
          <w:b/>
          <w:bCs/>
          <w:color w:val="auto"/>
          <w:szCs w:val="21"/>
          <w:highlight w:val="none"/>
          <w:lang w:val="zh-CN"/>
        </w:rPr>
        <w:t>26．</w:t>
      </w:r>
      <w:r>
        <w:rPr>
          <w:rFonts w:hint="eastAsia" w:ascii="宋体" w:hAnsi="宋体" w:cs="宋体"/>
          <w:b/>
          <w:color w:val="auto"/>
          <w:highlight w:val="none"/>
        </w:rPr>
        <w:t>无效投标的具体情形有：</w:t>
      </w:r>
    </w:p>
    <w:p w14:paraId="109F513D">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26.1未按照招标文件的规定提交《投标（响应）保证承诺书》；</w:t>
      </w:r>
    </w:p>
    <w:p w14:paraId="4E97151E">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26.2投标文件未按招标文件要求签署、盖章的；</w:t>
      </w:r>
    </w:p>
    <w:p w14:paraId="1B823FC3">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26.3不具备招标文件中规定的资格要求的；</w:t>
      </w:r>
    </w:p>
    <w:p w14:paraId="00ACBCEB">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26.4报价超过招标文件中规定的预算金额或者最高限价的；</w:t>
      </w:r>
    </w:p>
    <w:p w14:paraId="39B7CDA6">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26.5投标文件含有采购单位不能接受的附加条件的；</w:t>
      </w:r>
    </w:p>
    <w:p w14:paraId="41E05429">
      <w:pPr>
        <w:autoSpaceDE w:val="0"/>
        <w:autoSpaceDN w:val="0"/>
        <w:spacing w:line="360" w:lineRule="auto"/>
        <w:ind w:firstLine="422" w:firstLineChars="200"/>
        <w:rPr>
          <w:rFonts w:ascii="宋体" w:hAnsi="宋体" w:cs="宋体"/>
          <w:b/>
          <w:bCs/>
          <w:color w:val="auto"/>
          <w:highlight w:val="none"/>
        </w:rPr>
      </w:pPr>
      <w:r>
        <w:rPr>
          <w:rFonts w:hint="eastAsia" w:ascii="宋体" w:hAnsi="宋体" w:cs="宋体"/>
          <w:b/>
          <w:bCs/>
          <w:color w:val="auto"/>
          <w:szCs w:val="21"/>
          <w:highlight w:val="none"/>
          <w:lang w:val="zh-CN"/>
        </w:rPr>
        <w:t>26.6</w:t>
      </w:r>
      <w:r>
        <w:rPr>
          <w:rFonts w:hint="eastAsia" w:ascii="宋体" w:hAnsi="宋体" w:cs="宋体"/>
          <w:b/>
          <w:bCs/>
          <w:color w:val="auto"/>
          <w:highlight w:val="none"/>
        </w:rPr>
        <w:t>不同投标（响应）文件制作机器码一致的；</w:t>
      </w:r>
    </w:p>
    <w:p w14:paraId="10D887A6">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highlight w:val="none"/>
        </w:rPr>
        <w:t>26.7</w:t>
      </w:r>
      <w:r>
        <w:rPr>
          <w:rFonts w:hint="eastAsia" w:ascii="宋体" w:hAnsi="宋体" w:cs="宋体"/>
          <w:b/>
          <w:bCs/>
          <w:color w:val="auto"/>
          <w:szCs w:val="21"/>
          <w:highlight w:val="none"/>
          <w:lang w:val="zh-CN"/>
        </w:rPr>
        <w:t>法律、法规和招标文件规定的其他无效情形。</w:t>
      </w:r>
    </w:p>
    <w:p w14:paraId="3E1ABCA7">
      <w:pPr>
        <w:spacing w:line="360" w:lineRule="auto"/>
        <w:rPr>
          <w:rFonts w:ascii="宋体" w:hAnsi="宋体" w:cs="宋体"/>
          <w:b/>
          <w:color w:val="auto"/>
          <w:highlight w:val="none"/>
        </w:rPr>
      </w:pPr>
      <w:r>
        <w:rPr>
          <w:rFonts w:hint="eastAsia" w:ascii="宋体" w:hAnsi="宋体" w:cs="宋体"/>
          <w:b/>
          <w:color w:val="auto"/>
          <w:highlight w:val="none"/>
        </w:rPr>
        <w:t xml:space="preserve">27.废标的具体情形有： </w:t>
      </w:r>
    </w:p>
    <w:p w14:paraId="4B287DEB">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27.1符合专业条件的供应商或者对招标文件作实质响应的供应商不足三家的；</w:t>
      </w:r>
    </w:p>
    <w:p w14:paraId="3CD99B90">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27.2出现影响采购公正的违法、违规行为的；</w:t>
      </w:r>
    </w:p>
    <w:p w14:paraId="1082BE60">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 xml:space="preserve">27.3投标人的报价均超过了采购预算或最高限价，采购单位不能支付的； </w:t>
      </w:r>
    </w:p>
    <w:p w14:paraId="6F5D8556">
      <w:pPr>
        <w:autoSpaceDE w:val="0"/>
        <w:autoSpaceDN w:val="0"/>
        <w:spacing w:line="360" w:lineRule="auto"/>
        <w:ind w:firstLine="422" w:firstLineChars="200"/>
        <w:rPr>
          <w:rFonts w:ascii="宋体" w:hAnsi="宋体" w:cs="宋体"/>
          <w:b/>
          <w:bCs/>
          <w:color w:val="auto"/>
          <w:szCs w:val="21"/>
          <w:highlight w:val="none"/>
          <w:lang w:val="zh-CN"/>
        </w:rPr>
      </w:pPr>
      <w:r>
        <w:rPr>
          <w:rFonts w:hint="eastAsia" w:ascii="宋体" w:hAnsi="宋体" w:cs="宋体"/>
          <w:b/>
          <w:bCs/>
          <w:color w:val="auto"/>
          <w:szCs w:val="21"/>
          <w:highlight w:val="none"/>
          <w:lang w:val="zh-CN"/>
        </w:rPr>
        <w:t>27.4因重大变故，采购任务取消的。</w:t>
      </w:r>
    </w:p>
    <w:p w14:paraId="57E98BE9">
      <w:pPr>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28. 投标文件的评价和比较</w:t>
      </w:r>
    </w:p>
    <w:p w14:paraId="0539814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28.1评标委员会将仅对按照本须知有关规定确定为实质上响应招标文件要求的投标文件进行评价和比较。</w:t>
      </w:r>
    </w:p>
    <w:p w14:paraId="2D49AADE">
      <w:pPr>
        <w:autoSpaceDE w:val="0"/>
        <w:autoSpaceDN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zh-CN"/>
        </w:rPr>
        <w:t>28.2评价和比较采用综合评分法，即指在最大限度地满足招标文件实质性要求的前提下，按照本招标文件中规定的评标方法和评分标准及其他各项因素进行综合评审后，以评标总得分最高的投标人作为中标候选人或中标单位的评标方法。评标委员会严格按照招标文件的要求、条件、评分标准，对投标人所提供的综合服务计划的科学性、可行性、服务质量保证承诺等实质性响应内容进行比较评价。</w:t>
      </w:r>
    </w:p>
    <w:p w14:paraId="3CC81749">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3</w:t>
      </w:r>
      <w:r>
        <w:rPr>
          <w:rFonts w:hint="eastAsia" w:ascii="宋体" w:hAnsi="宋体" w:cs="宋体"/>
          <w:color w:val="auto"/>
          <w:szCs w:val="21"/>
          <w:highlight w:val="none"/>
          <w:lang w:val="zh-CN"/>
        </w:rPr>
        <w:t xml:space="preserve"> 最低的投标报价是中标的重要条件但不是唯一条件。</w:t>
      </w:r>
    </w:p>
    <w:p w14:paraId="01AFCF0C">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评标原则及方法</w:t>
      </w:r>
    </w:p>
    <w:p w14:paraId="12E599CB">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.1公正、公平、公开、科学、择优。</w:t>
      </w:r>
    </w:p>
    <w:p w14:paraId="7133495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.2对所有投标文件的评审，均采用相同的程序和标准。</w:t>
      </w:r>
    </w:p>
    <w:p w14:paraId="0344DD8D">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.2.1评审方案的可行性、先进性、实用性以及风险等（含同类项目业绩，人员资质，实施本项目的资金能力、技术能力、履约能力和用户信誉等方面的从业表现等）。</w:t>
      </w:r>
    </w:p>
    <w:p w14:paraId="1BDFA604">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.2.2评审技术服务的承诺文件是否满足采购单位的要求。</w:t>
      </w:r>
    </w:p>
    <w:p w14:paraId="7D6394A6">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28.</w:t>
      </w:r>
      <w:r>
        <w:rPr>
          <w:rFonts w:hint="eastAsia" w:ascii="宋体" w:hAnsi="宋体" w:cs="宋体"/>
          <w:color w:val="auto"/>
          <w:szCs w:val="21"/>
          <w:highlight w:val="none"/>
        </w:rPr>
        <w:t>4</w:t>
      </w:r>
      <w:r>
        <w:rPr>
          <w:rFonts w:hint="eastAsia" w:ascii="宋体" w:hAnsi="宋体" w:cs="宋体"/>
          <w:color w:val="auto"/>
          <w:szCs w:val="21"/>
          <w:highlight w:val="none"/>
          <w:lang w:val="zh-CN"/>
        </w:rPr>
        <w:t>.2.3评委会根据评分标准（除报价）进行独立打分，</w:t>
      </w:r>
      <w:r>
        <w:rPr>
          <w:rFonts w:hint="eastAsia" w:ascii="宋体" w:hAnsi="宋体" w:cs="宋体"/>
          <w:color w:val="auto"/>
          <w:szCs w:val="21"/>
          <w:highlight w:val="none"/>
        </w:rPr>
        <w:t>招标代理机构</w:t>
      </w:r>
      <w:r>
        <w:rPr>
          <w:rFonts w:hint="eastAsia" w:ascii="宋体" w:hAnsi="宋体" w:cs="宋体"/>
          <w:color w:val="auto"/>
          <w:szCs w:val="21"/>
          <w:highlight w:val="none"/>
          <w:lang w:val="zh-CN"/>
        </w:rPr>
        <w:t>进行汇总并按算术平均方法计算出各投标单位的得分，报价得分根据评分标准直接计算取得，评委得分与报价得分之和最高者为中标单位。</w:t>
      </w:r>
    </w:p>
    <w:p w14:paraId="44568C44">
      <w:pPr>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七、授予合同</w:t>
      </w:r>
    </w:p>
    <w:p w14:paraId="7DAFB147">
      <w:pPr>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29. 中标单位的确认</w:t>
      </w:r>
    </w:p>
    <w:p w14:paraId="275AAA25">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29.1评标委员会根据投标单位专业性资格审查情况和符合性审查情况，对投标文件进行评价和比较，按照评标办法和标准进行评标，并按</w:t>
      </w:r>
      <w:r>
        <w:rPr>
          <w:rFonts w:hint="eastAsia" w:ascii="宋体" w:hAnsi="宋体" w:cs="宋体"/>
          <w:color w:val="auto"/>
          <w:szCs w:val="21"/>
          <w:highlight w:val="none"/>
        </w:rPr>
        <w:t>采购人书面授权</w:t>
      </w:r>
      <w:r>
        <w:rPr>
          <w:rFonts w:hint="eastAsia" w:ascii="宋体" w:hAnsi="宋体" w:cs="宋体"/>
          <w:color w:val="auto"/>
          <w:szCs w:val="21"/>
          <w:highlight w:val="none"/>
          <w:lang w:val="zh-CN"/>
        </w:rPr>
        <w:t>向招标代理机构推荐中标单位。</w:t>
      </w:r>
    </w:p>
    <w:p w14:paraId="4578E021">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29.2经评标委员会评审并确定中标单位后，招标代理机构将在规定的时间内将中标结果在政府采购管理部门指定媒体上予以公示。</w:t>
      </w:r>
    </w:p>
    <w:p w14:paraId="62B040D7">
      <w:pPr>
        <w:autoSpaceDE w:val="0"/>
        <w:autoSpaceDN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 xml:space="preserve">29.3政府采购合同履行中，采购单位需追加与合同标的相同的货物、工程或服务的，在不改变合同其他条款的前提下，可以与供应商协商签订补充合同，但所有补充合同的采购金额不得超过原合同采购金额的10%。 </w:t>
      </w:r>
    </w:p>
    <w:p w14:paraId="7A9E9FD7">
      <w:pPr>
        <w:spacing w:line="360" w:lineRule="auto"/>
        <w:rPr>
          <w:rFonts w:ascii="宋体" w:hAnsi="宋体" w:cs="宋体"/>
          <w:b/>
          <w:color w:val="auto"/>
          <w:szCs w:val="21"/>
          <w:highlight w:val="none"/>
        </w:rPr>
      </w:pPr>
      <w:r>
        <w:rPr>
          <w:rFonts w:hint="eastAsia" w:ascii="宋体" w:hAnsi="宋体" w:cs="宋体"/>
          <w:b/>
          <w:color w:val="auto"/>
          <w:szCs w:val="21"/>
          <w:highlight w:val="none"/>
        </w:rPr>
        <w:t>30.质疑处理</w:t>
      </w:r>
    </w:p>
    <w:p w14:paraId="3D2B2651">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3</w:t>
      </w:r>
      <w:r>
        <w:rPr>
          <w:rFonts w:hint="eastAsia" w:ascii="宋体" w:hAnsi="宋体" w:eastAsia="宋体" w:cs="宋体"/>
          <w:color w:val="auto"/>
          <w:kern w:val="2"/>
          <w:sz w:val="21"/>
          <w:szCs w:val="21"/>
          <w:highlight w:val="none"/>
          <w:lang w:val="zh-CN"/>
        </w:rPr>
        <w:t>0.1供应商认为招标文件、采购过程或中标、成交结果使自己的权益受到损害的，可以在知道或者应知其权益受到损害之日起7个工作日内，以书面形式向采购人、采购代理机构提出质疑。采购代理机构应当在收到投标人书面质疑后7个工作日内作出答复。</w:t>
      </w:r>
    </w:p>
    <w:p w14:paraId="5092EE5A">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3</w:t>
      </w:r>
      <w:r>
        <w:rPr>
          <w:rFonts w:hint="eastAsia" w:ascii="宋体" w:hAnsi="宋体" w:eastAsia="宋体" w:cs="宋体"/>
          <w:color w:val="auto"/>
          <w:kern w:val="2"/>
          <w:sz w:val="21"/>
          <w:szCs w:val="21"/>
          <w:highlight w:val="none"/>
          <w:lang w:val="zh-CN"/>
        </w:rPr>
        <w:t>0.2本次招标文件要求供应商在法定质疑期内一次性提出针对同一采购程序环节的质疑，否则不予受理。</w:t>
      </w:r>
    </w:p>
    <w:p w14:paraId="17E34782">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3</w:t>
      </w:r>
      <w:r>
        <w:rPr>
          <w:rFonts w:hint="eastAsia" w:ascii="宋体" w:hAnsi="宋体" w:eastAsia="宋体" w:cs="宋体"/>
          <w:color w:val="auto"/>
          <w:kern w:val="2"/>
          <w:sz w:val="21"/>
          <w:szCs w:val="21"/>
          <w:highlight w:val="none"/>
          <w:lang w:val="zh-CN"/>
        </w:rPr>
        <w:t>0.3供应商提出质疑应当提交质疑函和必要的证明材料，质疑函应当包括下列内容：</w:t>
      </w:r>
    </w:p>
    <w:p w14:paraId="6FDA1DE4">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（1）供应商的姓名或者名称（以提供的营业执照副本复印件为准）、地址、邮编、联系人及联系电话；</w:t>
      </w:r>
    </w:p>
    <w:p w14:paraId="6ADCE667">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（2）质疑项目的名称、编号；</w:t>
      </w:r>
    </w:p>
    <w:p w14:paraId="2499C97F">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（3）具体、明确的质疑事项和与质疑事项相关的请求；</w:t>
      </w:r>
    </w:p>
    <w:p w14:paraId="48DCB1CD">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（4）事实依据；</w:t>
      </w:r>
    </w:p>
    <w:p w14:paraId="49797405">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（5）必要的法律依据；</w:t>
      </w:r>
    </w:p>
    <w:p w14:paraId="48FF36BB">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（6）提出质疑的日期。</w:t>
      </w:r>
    </w:p>
    <w:p w14:paraId="678CFC39">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供应商为自然人的，应当由本人签字；供应商为法人或者其他组织的，应当由法定代表人、主要负责人，或者其授权代表签字或者盖章，并加盖公章。供应商委托代理进行质疑的，其</w:t>
      </w:r>
      <w:r>
        <w:rPr>
          <w:rFonts w:hint="eastAsia" w:ascii="宋体" w:hAnsi="宋体" w:eastAsia="宋体" w:cs="宋体"/>
          <w:b/>
          <w:bCs/>
          <w:color w:val="auto"/>
          <w:kern w:val="2"/>
          <w:sz w:val="21"/>
          <w:szCs w:val="21"/>
          <w:highlight w:val="none"/>
          <w:lang w:val="zh-CN"/>
        </w:rPr>
        <w:t>授权委托书</w:t>
      </w:r>
      <w:r>
        <w:rPr>
          <w:rFonts w:hint="eastAsia" w:ascii="宋体" w:hAnsi="宋体" w:eastAsia="宋体" w:cs="宋体"/>
          <w:color w:val="auto"/>
          <w:kern w:val="2"/>
          <w:sz w:val="21"/>
          <w:szCs w:val="21"/>
          <w:highlight w:val="none"/>
          <w:lang w:val="zh-CN"/>
        </w:rPr>
        <w:t>上应当载明代理人的姓名或者名称、代理事项、具体权限、期限和相关事项。</w:t>
      </w:r>
    </w:p>
    <w:p w14:paraId="33ACCA72">
      <w:pPr>
        <w:pStyle w:val="7"/>
        <w:overflowPunct w:val="0"/>
        <w:spacing w:line="360" w:lineRule="auto"/>
        <w:ind w:firstLine="422" w:firstLineChars="200"/>
        <w:jc w:val="left"/>
        <w:rPr>
          <w:rFonts w:ascii="宋体" w:hAnsi="宋体" w:eastAsia="宋体" w:cs="宋体"/>
          <w:color w:val="auto"/>
          <w:kern w:val="2"/>
          <w:sz w:val="21"/>
          <w:szCs w:val="21"/>
          <w:highlight w:val="none"/>
          <w:lang w:val="zh-CN"/>
        </w:rPr>
      </w:pPr>
      <w:r>
        <w:rPr>
          <w:rFonts w:hint="eastAsia" w:ascii="宋体" w:hAnsi="宋体" w:eastAsia="宋体" w:cs="宋体"/>
          <w:b/>
          <w:bCs/>
          <w:color w:val="auto"/>
          <w:kern w:val="2"/>
          <w:sz w:val="21"/>
          <w:szCs w:val="21"/>
          <w:highlight w:val="none"/>
          <w:lang w:val="zh-CN"/>
        </w:rPr>
        <w:t>供应商提交的质疑函必须按照《政府采购供应商质疑函范本》要求的格式和内容进行填写，质疑函范本下载网址详见链接：https://czju.suzhou.gov.cn/zfcg/html/content/20180305093615738.shtml</w:t>
      </w:r>
      <w:r>
        <w:rPr>
          <w:rFonts w:hint="eastAsia" w:ascii="宋体" w:hAnsi="宋体" w:eastAsia="宋体" w:cs="宋体"/>
          <w:color w:val="auto"/>
          <w:kern w:val="2"/>
          <w:sz w:val="21"/>
          <w:szCs w:val="21"/>
          <w:highlight w:val="none"/>
          <w:lang w:val="zh-CN"/>
        </w:rPr>
        <w:t>。</w:t>
      </w:r>
    </w:p>
    <w:p w14:paraId="5C633C3A">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3</w:t>
      </w:r>
      <w:r>
        <w:rPr>
          <w:rFonts w:hint="eastAsia" w:ascii="宋体" w:hAnsi="宋体" w:eastAsia="宋体" w:cs="宋体"/>
          <w:color w:val="auto"/>
          <w:kern w:val="2"/>
          <w:sz w:val="21"/>
          <w:szCs w:val="21"/>
          <w:highlight w:val="none"/>
          <w:lang w:val="zh-CN"/>
        </w:rPr>
        <w:t>0.4根据《政府采购质疑和投诉办法》（财政部第94号令）第十一条规定，提出质疑的供应商应当是参与所质疑项目采购活动的供应商。因此凡是对招标文件提出质疑的供应商，必须是依法获取招标文件，请将合法获取招标文件的证明材料（即</w:t>
      </w:r>
      <w:r>
        <w:rPr>
          <w:rFonts w:hint="eastAsia" w:ascii="宋体" w:hAnsi="宋体" w:eastAsia="宋体" w:cs="宋体"/>
          <w:b/>
          <w:bCs/>
          <w:color w:val="auto"/>
          <w:kern w:val="2"/>
          <w:sz w:val="21"/>
          <w:szCs w:val="21"/>
          <w:highlight w:val="none"/>
          <w:lang w:val="zh-CN"/>
        </w:rPr>
        <w:t>《投标供应商确认函》</w:t>
      </w:r>
      <w:r>
        <w:rPr>
          <w:rFonts w:hint="eastAsia" w:ascii="宋体" w:hAnsi="宋体" w:eastAsia="宋体" w:cs="宋体"/>
          <w:color w:val="auto"/>
          <w:kern w:val="2"/>
          <w:sz w:val="21"/>
          <w:szCs w:val="21"/>
          <w:highlight w:val="none"/>
          <w:lang w:val="zh-CN"/>
        </w:rPr>
        <w:t>）与质疑函一起递交，否则不予受理。</w:t>
      </w:r>
    </w:p>
    <w:p w14:paraId="28DFEB5B">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rPr>
        <w:t>3</w:t>
      </w:r>
      <w:r>
        <w:rPr>
          <w:rFonts w:hint="eastAsia" w:ascii="宋体" w:hAnsi="宋体" w:eastAsia="宋体" w:cs="宋体"/>
          <w:color w:val="auto"/>
          <w:kern w:val="2"/>
          <w:sz w:val="21"/>
          <w:szCs w:val="21"/>
          <w:highlight w:val="none"/>
          <w:lang w:val="zh-CN"/>
        </w:rPr>
        <w:t>0.5接收质疑函的方式：书面形式（当场送达或邮寄方式）。</w:t>
      </w:r>
    </w:p>
    <w:p w14:paraId="0B0B138F">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采购代理机构：苏州市创杰招投标咨询服务有限公司</w:t>
      </w:r>
    </w:p>
    <w:p w14:paraId="13A776DF">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 xml:space="preserve">质疑联系人：路丽丽 潘莉莉   朱晓芹  </w:t>
      </w:r>
      <w:r>
        <w:rPr>
          <w:rFonts w:hint="eastAsia" w:ascii="宋体" w:hAnsi="宋体" w:eastAsia="宋体" w:cs="宋体"/>
          <w:color w:val="auto"/>
          <w:kern w:val="2"/>
          <w:sz w:val="21"/>
          <w:szCs w:val="21"/>
          <w:highlight w:val="none"/>
        </w:rPr>
        <w:t>庄天扬</w:t>
      </w:r>
    </w:p>
    <w:p w14:paraId="4DDFF672">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邮编：215000</w:t>
      </w:r>
    </w:p>
    <w:p w14:paraId="7B92AD08">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联系电话：0512-65238816</w:t>
      </w:r>
    </w:p>
    <w:p w14:paraId="3B1E4A41">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现场递交地址:苏州市干将西路399号银海大厦303室</w:t>
      </w:r>
    </w:p>
    <w:p w14:paraId="23DD53A5">
      <w:pPr>
        <w:pStyle w:val="7"/>
        <w:overflowPunct w:val="0"/>
        <w:spacing w:line="360" w:lineRule="auto"/>
        <w:ind w:firstLineChars="200"/>
        <w:rPr>
          <w:rFonts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邮寄收取地址:苏州市干将西路399号银海大厦303室</w:t>
      </w:r>
    </w:p>
    <w:p w14:paraId="2702E7BC">
      <w:pPr>
        <w:spacing w:line="360" w:lineRule="auto"/>
        <w:rPr>
          <w:rFonts w:ascii="宋体" w:hAnsi="宋体" w:cs="宋体"/>
          <w:b/>
          <w:color w:val="auto"/>
          <w:highlight w:val="none"/>
        </w:rPr>
      </w:pPr>
      <w:r>
        <w:rPr>
          <w:rFonts w:hint="eastAsia" w:ascii="宋体" w:hAnsi="宋体" w:cs="宋体"/>
          <w:b/>
          <w:color w:val="auto"/>
          <w:highlight w:val="none"/>
        </w:rPr>
        <w:t>31. 合同授予标准</w:t>
      </w:r>
    </w:p>
    <w:p w14:paraId="7DED76CE">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31.1招标代理机构将把合同授予其投标文件在实质上响应招标文件要求和按本须知规定评选出的投标单位。确定为中标的投标单位必须具有实施本合同的能力和资源。</w:t>
      </w:r>
    </w:p>
    <w:p w14:paraId="4768281F">
      <w:pPr>
        <w:spacing w:line="360" w:lineRule="auto"/>
        <w:rPr>
          <w:rFonts w:ascii="宋体" w:hAnsi="宋体" w:cs="宋体"/>
          <w:b/>
          <w:bCs/>
          <w:color w:val="auto"/>
          <w:highlight w:val="none"/>
        </w:rPr>
      </w:pPr>
      <w:r>
        <w:rPr>
          <w:rFonts w:hint="eastAsia" w:ascii="宋体" w:hAnsi="宋体" w:cs="宋体"/>
          <w:b/>
          <w:bCs/>
          <w:color w:val="auto"/>
          <w:highlight w:val="none"/>
        </w:rPr>
        <w:t>32. 中标通知书</w:t>
      </w:r>
    </w:p>
    <w:p w14:paraId="33EC398B">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32.1</w:t>
      </w:r>
      <w:r>
        <w:rPr>
          <w:rFonts w:hint="eastAsia" w:ascii="宋体" w:hAnsi="宋体" w:cs="宋体"/>
          <w:color w:val="auto"/>
          <w:szCs w:val="21"/>
          <w:highlight w:val="none"/>
        </w:rPr>
        <w:t>确定出中标人后，采购代理机构在法定时间内向中标人发出中标通知书。</w:t>
      </w:r>
      <w:r>
        <w:rPr>
          <w:rFonts w:hint="eastAsia" w:ascii="宋体" w:hAnsi="宋体" w:cs="宋体"/>
          <w:b/>
          <w:color w:val="auto"/>
          <w:szCs w:val="21"/>
          <w:highlight w:val="none"/>
        </w:rPr>
        <w:t>请中标人在中标结果公告届满之日起30日内,使用CA证书登录“苏采云”系统及时下载中标通知书。</w:t>
      </w:r>
      <w:r>
        <w:rPr>
          <w:rFonts w:hint="eastAsia" w:ascii="宋体" w:hAnsi="宋体" w:cs="宋体"/>
          <w:color w:val="auto"/>
          <w:szCs w:val="21"/>
          <w:highlight w:val="none"/>
        </w:rPr>
        <w:t>因系统存储空间有限，自中标结果公告届满之日起30日后，“苏采云”系统不再保证提供下载中标通知书服务,因未及时下载而造成的不利后果由中标人自行承担</w:t>
      </w:r>
      <w:r>
        <w:rPr>
          <w:rFonts w:hint="eastAsia" w:ascii="宋体" w:hAnsi="宋体" w:cs="宋体"/>
          <w:color w:val="auto"/>
          <w:highlight w:val="none"/>
        </w:rPr>
        <w:t>。</w:t>
      </w:r>
    </w:p>
    <w:p w14:paraId="18CC9EBA">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32.2中标通知书将成为合同的组成部分，</w:t>
      </w:r>
      <w:r>
        <w:rPr>
          <w:rFonts w:hint="eastAsia" w:ascii="宋体" w:hAnsi="宋体" w:cs="宋体"/>
          <w:color w:val="auto"/>
          <w:szCs w:val="21"/>
          <w:highlight w:val="none"/>
        </w:rPr>
        <w:t>对采购人和中标人具有同等法律效力</w:t>
      </w:r>
      <w:r>
        <w:rPr>
          <w:rFonts w:hint="eastAsia" w:ascii="宋体" w:hAnsi="宋体" w:cs="宋体"/>
          <w:color w:val="auto"/>
          <w:highlight w:val="none"/>
        </w:rPr>
        <w:t>。</w:t>
      </w:r>
    </w:p>
    <w:p w14:paraId="49A670F9">
      <w:pPr>
        <w:tabs>
          <w:tab w:val="left" w:pos="142"/>
          <w:tab w:val="left" w:pos="600"/>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32.3对未通过资格审查的供应商，应当告知其未通过的原因；未中标供应商须在中标公告发出之日起2个工作日内向采购代理机构另行提供用以接收《未中标通知书》的电子邮件地址，未按时提供电子邮件地址或提供信息有误的，视为自动放弃并自行承担相应后果。</w:t>
      </w:r>
    </w:p>
    <w:p w14:paraId="0E35D983">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32.4</w:t>
      </w:r>
      <w:r>
        <w:rPr>
          <w:rFonts w:hint="eastAsia" w:ascii="宋体" w:hAnsi="宋体" w:cs="宋体"/>
          <w:color w:val="auto"/>
          <w:szCs w:val="21"/>
          <w:highlight w:val="none"/>
        </w:rPr>
        <w:t>中标通知书发出后，采购人不得违法改变中标结果，中标人无正当理由不得放弃中标</w:t>
      </w:r>
      <w:r>
        <w:rPr>
          <w:rFonts w:hint="eastAsia" w:ascii="宋体" w:hAnsi="宋体" w:cs="宋体"/>
          <w:color w:val="auto"/>
          <w:highlight w:val="none"/>
        </w:rPr>
        <w:t>。</w:t>
      </w:r>
    </w:p>
    <w:p w14:paraId="3B226808">
      <w:pPr>
        <w:spacing w:line="360" w:lineRule="auto"/>
        <w:rPr>
          <w:rFonts w:ascii="宋体" w:hAnsi="宋体" w:cs="宋体"/>
          <w:b/>
          <w:color w:val="auto"/>
          <w:highlight w:val="none"/>
        </w:rPr>
      </w:pPr>
      <w:r>
        <w:rPr>
          <w:rFonts w:hint="eastAsia" w:ascii="宋体" w:hAnsi="宋体" w:cs="宋体"/>
          <w:b/>
          <w:color w:val="auto"/>
          <w:highlight w:val="none"/>
        </w:rPr>
        <w:t>33. 合同的签订</w:t>
      </w:r>
    </w:p>
    <w:p w14:paraId="2090FE11">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33.1中标单位应按中标通知书中规定的时间和地点，由法定代表人或委托代理人与甲方代表签订合同,否则按放弃中标权处理。</w:t>
      </w:r>
    </w:p>
    <w:p w14:paraId="01DD5C8D">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33.2签订合同及合同条款应以招标文件和中标单位的投标文件及其澄清文件为依据。</w:t>
      </w:r>
    </w:p>
    <w:p w14:paraId="25426B1C">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33.3中标单位无正当理由拒签合同的，或在签订合同时向采购单位提出附加条件或者更改合同实质性内容的，报请政府采购监管部门对该投标单位进行相应的行政处罚。</w:t>
      </w:r>
    </w:p>
    <w:p w14:paraId="3FEA66E6">
      <w:pPr>
        <w:spacing w:line="360" w:lineRule="auto"/>
        <w:rPr>
          <w:rFonts w:ascii="宋体" w:hAnsi="宋体" w:cs="宋体"/>
          <w:b/>
          <w:color w:val="auto"/>
          <w:highlight w:val="none"/>
        </w:rPr>
      </w:pPr>
      <w:r>
        <w:rPr>
          <w:rFonts w:hint="eastAsia" w:ascii="宋体" w:hAnsi="宋体" w:cs="宋体"/>
          <w:b/>
          <w:color w:val="auto"/>
          <w:highlight w:val="none"/>
        </w:rPr>
        <w:t>八、其他事项</w:t>
      </w:r>
    </w:p>
    <w:p w14:paraId="4CBE97F2">
      <w:pPr>
        <w:spacing w:line="360" w:lineRule="auto"/>
        <w:rPr>
          <w:rFonts w:ascii="宋体" w:hAnsi="宋体" w:cs="宋体"/>
          <w:b/>
          <w:color w:val="auto"/>
          <w:highlight w:val="none"/>
        </w:rPr>
      </w:pPr>
      <w:r>
        <w:rPr>
          <w:rFonts w:hint="eastAsia" w:ascii="宋体" w:hAnsi="宋体" w:cs="宋体"/>
          <w:b/>
          <w:color w:val="auto"/>
          <w:highlight w:val="none"/>
        </w:rPr>
        <w:t>34. 履约保证金：无。</w:t>
      </w:r>
    </w:p>
    <w:p w14:paraId="1C8D5565">
      <w:pPr>
        <w:spacing w:line="360" w:lineRule="auto"/>
        <w:rPr>
          <w:rFonts w:ascii="宋体" w:hAnsi="宋体" w:cs="宋体"/>
          <w:b/>
          <w:color w:val="auto"/>
          <w:highlight w:val="none"/>
        </w:rPr>
      </w:pPr>
      <w:r>
        <w:rPr>
          <w:rFonts w:hint="eastAsia" w:ascii="宋体" w:hAnsi="宋体" w:cs="宋体"/>
          <w:b/>
          <w:color w:val="auto"/>
          <w:highlight w:val="none"/>
        </w:rPr>
        <w:t>35.中标服务费</w:t>
      </w:r>
    </w:p>
    <w:p w14:paraId="08D99229">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35.1中标单位须按前附表规定支付中标服务费，该费用应在领取中标通知书时付清。</w:t>
      </w:r>
    </w:p>
    <w:p w14:paraId="54A84983">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35.2中标单位如果未按规定缴纳中标服务费，招标代理机构保留诉讼的权利。</w:t>
      </w:r>
    </w:p>
    <w:p w14:paraId="5306368D">
      <w:pPr>
        <w:spacing w:line="360" w:lineRule="auto"/>
        <w:rPr>
          <w:rFonts w:ascii="宋体" w:hAnsi="宋体" w:cs="宋体"/>
          <w:b/>
          <w:color w:val="auto"/>
          <w:highlight w:val="none"/>
        </w:rPr>
      </w:pPr>
      <w:r>
        <w:rPr>
          <w:rFonts w:hint="eastAsia" w:ascii="宋体" w:hAnsi="宋体" w:cs="宋体"/>
          <w:b/>
          <w:color w:val="auto"/>
          <w:highlight w:val="none"/>
        </w:rPr>
        <w:t>36. 监督</w:t>
      </w:r>
    </w:p>
    <w:p w14:paraId="65B096A8">
      <w:pPr>
        <w:autoSpaceDE w:val="0"/>
        <w:autoSpaceDN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36.1政府有关监督部门将对招投标全过程进行监督。</w:t>
      </w:r>
    </w:p>
    <w:p w14:paraId="6DF3FC28">
      <w:pPr>
        <w:spacing w:line="360" w:lineRule="auto"/>
        <w:rPr>
          <w:rFonts w:ascii="宋体" w:hAnsi="宋体" w:cs="宋体"/>
          <w:b/>
          <w:color w:val="auto"/>
          <w:highlight w:val="none"/>
        </w:rPr>
      </w:pPr>
      <w:r>
        <w:rPr>
          <w:rFonts w:hint="eastAsia" w:ascii="宋体" w:hAnsi="宋体" w:cs="宋体"/>
          <w:b/>
          <w:color w:val="auto"/>
          <w:highlight w:val="none"/>
        </w:rPr>
        <w:t>37. 未尽事宜</w:t>
      </w:r>
    </w:p>
    <w:p w14:paraId="0BA203A2">
      <w:pPr>
        <w:pStyle w:val="7"/>
        <w:overflowPunct w:val="0"/>
        <w:spacing w:line="360" w:lineRule="auto"/>
        <w:rPr>
          <w:rFonts w:ascii="宋体" w:hAnsi="宋体" w:eastAsia="宋体" w:cs="宋体"/>
          <w:color w:val="auto"/>
          <w:sz w:val="21"/>
          <w:highlight w:val="none"/>
        </w:rPr>
      </w:pPr>
      <w:r>
        <w:rPr>
          <w:rFonts w:hint="eastAsia" w:ascii="宋体" w:hAnsi="宋体" w:eastAsia="宋体" w:cs="宋体"/>
          <w:color w:val="auto"/>
          <w:sz w:val="21"/>
          <w:highlight w:val="none"/>
        </w:rPr>
        <w:t>按《中华人民共和国政府采购法》及其他有关政府采购的法律法规的规定执行。</w:t>
      </w:r>
    </w:p>
    <w:p w14:paraId="5D0DBAE7">
      <w:pPr>
        <w:pStyle w:val="23"/>
        <w:pageBreakBefore/>
        <w:tabs>
          <w:tab w:val="right" w:leader="dot" w:pos="8302"/>
        </w:tabs>
        <w:spacing w:line="360" w:lineRule="auto"/>
        <w:ind w:firstLine="640"/>
        <w:jc w:val="center"/>
        <w:rPr>
          <w:rStyle w:val="34"/>
          <w:rFonts w:ascii="宋体" w:hAnsi="宋体" w:cs="宋体"/>
          <w:color w:val="auto"/>
          <w:sz w:val="32"/>
          <w:szCs w:val="32"/>
          <w:highlight w:val="none"/>
        </w:rPr>
      </w:pPr>
      <w:r>
        <w:rPr>
          <w:rStyle w:val="34"/>
          <w:rFonts w:hint="eastAsia" w:ascii="宋体" w:hAnsi="宋体" w:cs="宋体"/>
          <w:color w:val="auto"/>
          <w:sz w:val="32"/>
          <w:szCs w:val="32"/>
          <w:highlight w:val="none"/>
        </w:rPr>
        <w:t>第三章 投标文件格式</w:t>
      </w:r>
    </w:p>
    <w:p w14:paraId="66ED4F44">
      <w:pPr>
        <w:autoSpaceDE w:val="0"/>
        <w:autoSpaceDN w:val="0"/>
        <w:adjustRightInd w:val="0"/>
        <w:spacing w:line="360" w:lineRule="auto"/>
        <w:rPr>
          <w:rFonts w:ascii="宋体" w:hAnsi="宋体" w:cs="宋体"/>
          <w:b/>
          <w:bCs/>
          <w:color w:val="auto"/>
          <w:szCs w:val="21"/>
          <w:highlight w:val="none"/>
          <w:lang w:val="zh-CN"/>
        </w:rPr>
      </w:pPr>
      <w:r>
        <w:rPr>
          <w:rFonts w:hint="eastAsia" w:ascii="宋体" w:hAnsi="宋体" w:cs="宋体"/>
          <w:b/>
          <w:bCs/>
          <w:color w:val="auto"/>
          <w:szCs w:val="21"/>
          <w:highlight w:val="none"/>
          <w:lang w:val="zh-CN"/>
        </w:rPr>
        <w:t>说明：对本章所有的投标书格式 ，投标方可根据自身情况进行补充和修改，但补充和修改不得造成与本格式内容有实质性的违背。</w:t>
      </w:r>
    </w:p>
    <w:p w14:paraId="60A75C34">
      <w:pPr>
        <w:pStyle w:val="5"/>
        <w:spacing w:before="0" w:after="0"/>
        <w:ind w:firstLine="643"/>
        <w:rPr>
          <w:rFonts w:ascii="宋体" w:hAnsi="宋体" w:cs="宋体"/>
          <w:color w:val="auto"/>
          <w:highlight w:val="none"/>
          <w:lang w:val="zh-CN"/>
        </w:rPr>
      </w:pPr>
    </w:p>
    <w:p w14:paraId="7F6174A6">
      <w:pPr>
        <w:autoSpaceDE w:val="0"/>
        <w:autoSpaceDN w:val="0"/>
        <w:adjustRightInd w:val="0"/>
        <w:spacing w:line="360" w:lineRule="auto"/>
        <w:ind w:left="-2" w:hanging="74"/>
        <w:jc w:val="left"/>
        <w:rPr>
          <w:rFonts w:ascii="宋体" w:hAnsi="宋体" w:cs="宋体"/>
          <w:b/>
          <w:bCs/>
          <w:color w:val="auto"/>
          <w:szCs w:val="21"/>
          <w:highlight w:val="none"/>
          <w:lang w:val="zh-CN"/>
        </w:rPr>
      </w:pPr>
      <w:r>
        <w:rPr>
          <w:rFonts w:hint="eastAsia" w:ascii="宋体" w:hAnsi="宋体" w:cs="宋体"/>
          <w:b/>
          <w:bCs/>
          <w:color w:val="auto"/>
          <w:szCs w:val="21"/>
          <w:highlight w:val="none"/>
          <w:lang w:val="zh-CN"/>
        </w:rPr>
        <w:t>附件1、（投标方）法人授权委托书</w:t>
      </w:r>
    </w:p>
    <w:p w14:paraId="010C2520">
      <w:pPr>
        <w:spacing w:line="360" w:lineRule="auto"/>
        <w:rPr>
          <w:rFonts w:ascii="宋体" w:hAnsi="宋体" w:cs="宋体"/>
          <w:color w:val="auto"/>
          <w:highlight w:val="none"/>
        </w:rPr>
      </w:pPr>
    </w:p>
    <w:p w14:paraId="40714F84">
      <w:pPr>
        <w:autoSpaceDE w:val="0"/>
        <w:autoSpaceDN w:val="0"/>
        <w:adjustRightInd w:val="0"/>
        <w:spacing w:line="360" w:lineRule="auto"/>
        <w:ind w:firstLine="562"/>
        <w:jc w:val="center"/>
        <w:rPr>
          <w:rFonts w:ascii="宋体" w:hAnsi="宋体" w:cs="宋体"/>
          <w:color w:val="auto"/>
          <w:sz w:val="28"/>
          <w:szCs w:val="28"/>
          <w:highlight w:val="none"/>
          <w:lang w:val="zh-CN"/>
        </w:rPr>
      </w:pPr>
      <w:r>
        <w:rPr>
          <w:rFonts w:hint="eastAsia" w:ascii="宋体" w:hAnsi="宋体" w:cs="宋体"/>
          <w:color w:val="auto"/>
          <w:sz w:val="28"/>
          <w:szCs w:val="28"/>
          <w:highlight w:val="none"/>
        </w:rPr>
        <w:t>法</w:t>
      </w:r>
      <w:r>
        <w:rPr>
          <w:rFonts w:hint="eastAsia" w:ascii="宋体" w:hAnsi="宋体" w:cs="宋体"/>
          <w:color w:val="auto"/>
          <w:sz w:val="28"/>
          <w:szCs w:val="28"/>
          <w:highlight w:val="none"/>
          <w:lang w:val="zh-CN"/>
        </w:rPr>
        <w:t>人授权委托书</w:t>
      </w:r>
    </w:p>
    <w:p w14:paraId="5A14FBCE">
      <w:pPr>
        <w:spacing w:line="360" w:lineRule="auto"/>
        <w:ind w:firstLine="420"/>
        <w:rPr>
          <w:rFonts w:ascii="宋体" w:hAnsi="宋体"/>
          <w:color w:val="auto"/>
          <w:szCs w:val="21"/>
          <w:highlight w:val="none"/>
        </w:rPr>
      </w:pPr>
      <w:r>
        <w:rPr>
          <w:rFonts w:hint="eastAsia" w:ascii="宋体" w:hAnsi="宋体"/>
          <w:color w:val="auto"/>
          <w:szCs w:val="21"/>
          <w:highlight w:val="none"/>
        </w:rPr>
        <w:t xml:space="preserve">本授权书声明： </w:t>
      </w:r>
      <w:r>
        <w:rPr>
          <w:rFonts w:hint="eastAsia" w:ascii="宋体" w:hAnsi="宋体"/>
          <w:color w:val="auto"/>
          <w:szCs w:val="21"/>
          <w:highlight w:val="none"/>
          <w:u w:val="single"/>
        </w:rPr>
        <w:t xml:space="preserve">（供应商名称） </w:t>
      </w:r>
      <w:r>
        <w:rPr>
          <w:rFonts w:hint="eastAsia" w:ascii="宋体" w:hAnsi="宋体"/>
          <w:color w:val="auto"/>
          <w:szCs w:val="21"/>
          <w:highlight w:val="none"/>
        </w:rPr>
        <w:t xml:space="preserve">授权 </w:t>
      </w:r>
      <w:r>
        <w:rPr>
          <w:rFonts w:hint="eastAsia" w:ascii="宋体" w:hAnsi="宋体"/>
          <w:color w:val="auto"/>
          <w:szCs w:val="21"/>
          <w:highlight w:val="none"/>
          <w:u w:val="single"/>
        </w:rPr>
        <w:t>（被授权人的姓名）_</w:t>
      </w:r>
      <w:r>
        <w:rPr>
          <w:rFonts w:hint="eastAsia" w:ascii="宋体" w:hAnsi="宋体"/>
          <w:color w:val="auto"/>
          <w:szCs w:val="21"/>
          <w:highlight w:val="none"/>
        </w:rPr>
        <w:t>为我方授权代表（即代理人），参加</w:t>
      </w:r>
      <w:r>
        <w:rPr>
          <w:rFonts w:hint="eastAsia" w:ascii="宋体" w:hAnsi="宋体"/>
          <w:color w:val="auto"/>
          <w:szCs w:val="21"/>
          <w:highlight w:val="none"/>
          <w:u w:val="single"/>
        </w:rPr>
        <w:t>苏州市创杰招投标咨询服务有限公司</w:t>
      </w:r>
      <w:r>
        <w:rPr>
          <w:rFonts w:hint="eastAsia" w:ascii="宋体" w:hAnsi="宋体"/>
          <w:color w:val="auto"/>
          <w:szCs w:val="21"/>
          <w:highlight w:val="none"/>
        </w:rPr>
        <w:t>组织实施的编号为</w:t>
      </w:r>
      <w:r>
        <w:rPr>
          <w:rFonts w:hint="eastAsia" w:ascii="宋体" w:hAnsi="宋体"/>
          <w:color w:val="auto"/>
          <w:szCs w:val="21"/>
          <w:highlight w:val="none"/>
          <w:u w:val="single"/>
        </w:rPr>
        <w:t xml:space="preserve">   （招标编号）   </w:t>
      </w:r>
      <w:r>
        <w:rPr>
          <w:rFonts w:hint="eastAsia" w:ascii="宋体" w:hAnsi="宋体"/>
          <w:color w:val="auto"/>
          <w:szCs w:val="21"/>
          <w:highlight w:val="none"/>
        </w:rPr>
        <w:t>的公开招标项目。代理人在本次招标活动过程、合同签订及处理有关事宜所作出的全部意思表示（包括签署的全部文件），我司均予以承认并由我司承担相应法律后果。</w:t>
      </w:r>
    </w:p>
    <w:p w14:paraId="5CF700B7">
      <w:pPr>
        <w:spacing w:line="360" w:lineRule="auto"/>
        <w:ind w:firstLine="420"/>
        <w:rPr>
          <w:rFonts w:ascii="宋体" w:hAnsi="宋体"/>
          <w:color w:val="auto"/>
          <w:szCs w:val="21"/>
          <w:highlight w:val="none"/>
        </w:rPr>
      </w:pPr>
      <w:r>
        <w:rPr>
          <w:rFonts w:hint="eastAsia" w:ascii="宋体" w:hAnsi="宋体"/>
          <w:color w:val="auto"/>
          <w:szCs w:val="21"/>
          <w:highlight w:val="none"/>
        </w:rPr>
        <w:t>如我司需撤销该代理人授权或更换代理人的，必须另行向贵方提交相应正式书面文件，并经贵方确认送达后方可实施。代理人撤销授权或更换完成之前所作的各项意思表示不受撤销或更换的影响，我司仍予以承认。</w:t>
      </w:r>
    </w:p>
    <w:p w14:paraId="3E0F6041">
      <w:pPr>
        <w:spacing w:line="360" w:lineRule="auto"/>
        <w:ind w:firstLine="420"/>
        <w:rPr>
          <w:rFonts w:ascii="宋体" w:hAnsi="宋体"/>
          <w:color w:val="auto"/>
          <w:szCs w:val="21"/>
          <w:highlight w:val="none"/>
        </w:rPr>
      </w:pPr>
      <w:r>
        <w:rPr>
          <w:rFonts w:hint="eastAsia" w:ascii="宋体" w:hAnsi="宋体"/>
          <w:color w:val="auto"/>
          <w:szCs w:val="21"/>
          <w:highlight w:val="none"/>
        </w:rPr>
        <w:t>本授权委托书有效期自委托书作出之日起至本项目合同履行完毕之日止。</w:t>
      </w:r>
    </w:p>
    <w:p w14:paraId="69037750">
      <w:pPr>
        <w:spacing w:line="360" w:lineRule="auto"/>
        <w:ind w:firstLine="420"/>
        <w:rPr>
          <w:rFonts w:ascii="宋体" w:hAnsi="宋体"/>
          <w:color w:val="auto"/>
          <w:szCs w:val="21"/>
          <w:highlight w:val="none"/>
        </w:rPr>
      </w:pPr>
      <w:r>
        <w:rPr>
          <w:rFonts w:hint="eastAsia" w:ascii="宋体" w:hAnsi="宋体"/>
          <w:color w:val="auto"/>
          <w:szCs w:val="21"/>
          <w:highlight w:val="none"/>
        </w:rPr>
        <w:t>代理人无转委托权。</w:t>
      </w:r>
    </w:p>
    <w:p w14:paraId="4D7246F7">
      <w:pPr>
        <w:spacing w:line="360" w:lineRule="auto"/>
        <w:ind w:firstLine="420"/>
        <w:rPr>
          <w:rFonts w:ascii="宋体" w:hAnsi="宋体"/>
          <w:color w:val="auto"/>
          <w:szCs w:val="21"/>
          <w:highlight w:val="none"/>
        </w:rPr>
      </w:pPr>
      <w:r>
        <w:rPr>
          <w:rFonts w:hint="eastAsia" w:ascii="宋体" w:hAnsi="宋体"/>
          <w:color w:val="auto"/>
          <w:szCs w:val="21"/>
          <w:highlight w:val="none"/>
        </w:rPr>
        <w:t xml:space="preserve">被授权人身份证号码： 。    </w:t>
      </w:r>
    </w:p>
    <w:p w14:paraId="6D0EE518">
      <w:pPr>
        <w:spacing w:line="360" w:lineRule="auto"/>
        <w:ind w:firstLine="420"/>
        <w:rPr>
          <w:rFonts w:ascii="宋体" w:hAnsi="宋体"/>
          <w:color w:val="auto"/>
          <w:szCs w:val="21"/>
          <w:highlight w:val="none"/>
        </w:rPr>
      </w:pPr>
      <w:r>
        <w:rPr>
          <w:rFonts w:hint="eastAsia" w:ascii="宋体" w:hAnsi="宋体"/>
          <w:color w:val="auto"/>
          <w:szCs w:val="21"/>
          <w:highlight w:val="none"/>
        </w:rPr>
        <w:t>被授权人联系电话：</w:t>
      </w:r>
      <w:r>
        <w:rPr>
          <w:rFonts w:hint="eastAsia" w:ascii="宋体" w:hAnsi="宋体"/>
          <w:color w:val="auto"/>
          <w:szCs w:val="21"/>
          <w:highlight w:val="none"/>
          <w:u w:val="single"/>
        </w:rPr>
        <w:t xml:space="preserve">（手机）                </w:t>
      </w:r>
      <w:r>
        <w:rPr>
          <w:rFonts w:hint="eastAsia" w:ascii="宋体" w:hAnsi="宋体"/>
          <w:color w:val="auto"/>
          <w:szCs w:val="21"/>
          <w:highlight w:val="none"/>
        </w:rPr>
        <w:t xml:space="preserve">。          </w:t>
      </w:r>
    </w:p>
    <w:p w14:paraId="71EF192A">
      <w:pPr>
        <w:spacing w:line="360" w:lineRule="auto"/>
        <w:ind w:firstLine="420"/>
        <w:rPr>
          <w:rFonts w:ascii="宋体" w:hAnsi="宋体"/>
          <w:color w:val="auto"/>
          <w:szCs w:val="21"/>
          <w:highlight w:val="none"/>
        </w:rPr>
      </w:pPr>
    </w:p>
    <w:p w14:paraId="435ED99A">
      <w:pPr>
        <w:spacing w:line="360" w:lineRule="auto"/>
        <w:rPr>
          <w:rFonts w:ascii="宋体" w:hAnsi="宋体"/>
          <w:color w:val="auto"/>
          <w:szCs w:val="21"/>
          <w:highlight w:val="none"/>
        </w:rPr>
      </w:pPr>
      <w:r>
        <w:rPr>
          <w:rFonts w:hint="eastAsia" w:ascii="宋体" w:hAnsi="宋体" w:cs="宋体"/>
          <w:color w:val="auto"/>
          <w:szCs w:val="21"/>
          <w:highlight w:val="none"/>
        </w:rPr>
        <w:t>单位名称</w:t>
      </w:r>
      <w:r>
        <w:rPr>
          <w:rFonts w:hint="eastAsia" w:ascii="宋体" w:hAnsi="宋体"/>
          <w:color w:val="auto"/>
          <w:szCs w:val="21"/>
          <w:highlight w:val="none"/>
        </w:rPr>
        <w:t xml:space="preserve">：（签章）                                    </w:t>
      </w:r>
    </w:p>
    <w:p w14:paraId="2A16C56A">
      <w:pPr>
        <w:spacing w:line="360" w:lineRule="auto"/>
        <w:ind w:right="630"/>
        <w:rPr>
          <w:rFonts w:ascii="宋体" w:hAnsi="宋体" w:cs="宋体"/>
          <w:color w:val="auto"/>
          <w:szCs w:val="21"/>
          <w:highlight w:val="none"/>
        </w:rPr>
      </w:pPr>
      <w:r>
        <w:rPr>
          <w:rFonts w:hint="eastAsia" w:ascii="宋体" w:hAnsi="宋体" w:cs="宋体"/>
          <w:color w:val="auto"/>
          <w:szCs w:val="21"/>
          <w:highlight w:val="none"/>
        </w:rPr>
        <w:t>日期：　　　　年　　  月　　  日</w:t>
      </w:r>
    </w:p>
    <w:p w14:paraId="2B1EBAD1">
      <w:pPr>
        <w:pStyle w:val="7"/>
        <w:overflowPunct w:val="0"/>
        <w:spacing w:line="360" w:lineRule="auto"/>
        <w:ind w:firstLineChars="200"/>
        <w:rPr>
          <w:rFonts w:ascii="宋体" w:hAnsi="宋体" w:eastAsia="宋体" w:cs="宋体"/>
          <w:color w:val="auto"/>
          <w:sz w:val="21"/>
          <w:highlight w:val="none"/>
        </w:rPr>
      </w:pPr>
    </w:p>
    <w:p w14:paraId="52B45E2C">
      <w:pPr>
        <w:pStyle w:val="7"/>
        <w:overflowPunct w:val="0"/>
        <w:spacing w:line="360" w:lineRule="auto"/>
        <w:ind w:firstLineChars="200"/>
        <w:rPr>
          <w:rFonts w:ascii="宋体" w:hAnsi="宋体" w:eastAsia="宋体" w:cs="宋体"/>
          <w:color w:val="auto"/>
          <w:sz w:val="21"/>
          <w:highlight w:val="none"/>
        </w:rPr>
      </w:pPr>
      <w:r>
        <w:rPr>
          <w:rFonts w:hint="eastAsia" w:ascii="宋体" w:hAnsi="宋体" w:eastAsia="宋体" w:cs="宋体"/>
          <w:color w:val="auto"/>
          <w:sz w:val="21"/>
          <w:highlight w:val="none"/>
        </w:rPr>
        <w:t>附：法人代表、授权代表的身份证正反面复印件</w:t>
      </w:r>
    </w:p>
    <w:tbl>
      <w:tblPr>
        <w:tblStyle w:val="31"/>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8565"/>
      </w:tblGrid>
      <w:tr w14:paraId="7C8C18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6" w:hRule="atLeast"/>
          <w:jc w:val="center"/>
        </w:trPr>
        <w:tc>
          <w:tcPr>
            <w:tcW w:w="856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6CE9DC74">
            <w:pPr>
              <w:pStyle w:val="28"/>
              <w:widowControl/>
              <w:spacing w:beforeAutospacing="0" w:afterAutospacing="0" w:line="360" w:lineRule="auto"/>
              <w:ind w:firstLine="422"/>
              <w:jc w:val="center"/>
              <w:rPr>
                <w:rFonts w:ascii="宋体" w:hAnsi="宋体" w:cs="宋体"/>
                <w:color w:val="auto"/>
                <w:kern w:val="2"/>
                <w:sz w:val="21"/>
                <w:szCs w:val="20"/>
                <w:highlight w:val="none"/>
              </w:rPr>
            </w:pPr>
            <w:r>
              <w:rPr>
                <w:rFonts w:hint="eastAsia" w:ascii="宋体" w:hAnsi="宋体" w:cs="宋体"/>
                <w:color w:val="auto"/>
                <w:kern w:val="2"/>
                <w:sz w:val="21"/>
                <w:szCs w:val="20"/>
                <w:highlight w:val="none"/>
              </w:rPr>
              <w:t> </w:t>
            </w:r>
          </w:p>
          <w:p w14:paraId="58F2E829">
            <w:pPr>
              <w:pStyle w:val="28"/>
              <w:widowControl/>
              <w:spacing w:beforeAutospacing="0" w:afterAutospacing="0" w:line="360" w:lineRule="auto"/>
              <w:jc w:val="center"/>
              <w:rPr>
                <w:rFonts w:ascii="宋体" w:hAnsi="宋体" w:cs="宋体"/>
                <w:color w:val="auto"/>
                <w:kern w:val="2"/>
                <w:sz w:val="21"/>
                <w:szCs w:val="20"/>
                <w:highlight w:val="none"/>
              </w:rPr>
            </w:pPr>
            <w:r>
              <w:rPr>
                <w:rFonts w:hint="eastAsia" w:ascii="宋体" w:hAnsi="宋体" w:cs="宋体"/>
                <w:color w:val="auto"/>
                <w:kern w:val="2"/>
                <w:sz w:val="21"/>
                <w:szCs w:val="20"/>
                <w:highlight w:val="none"/>
              </w:rPr>
              <w:t>要求：真实、有效、清晰</w:t>
            </w:r>
          </w:p>
          <w:p w14:paraId="57EF7A20">
            <w:pPr>
              <w:pStyle w:val="28"/>
              <w:widowControl/>
              <w:spacing w:beforeAutospacing="0" w:afterAutospacing="0" w:line="360" w:lineRule="auto"/>
              <w:jc w:val="center"/>
              <w:rPr>
                <w:rFonts w:ascii="宋体" w:hAnsi="宋体" w:cs="宋体"/>
                <w:color w:val="auto"/>
                <w:kern w:val="2"/>
                <w:sz w:val="21"/>
                <w:szCs w:val="20"/>
                <w:highlight w:val="none"/>
              </w:rPr>
            </w:pPr>
            <w:r>
              <w:rPr>
                <w:rFonts w:hint="eastAsia" w:ascii="宋体" w:hAnsi="宋体" w:cs="宋体"/>
                <w:color w:val="auto"/>
                <w:kern w:val="2"/>
                <w:sz w:val="21"/>
                <w:szCs w:val="20"/>
                <w:highlight w:val="none"/>
              </w:rPr>
              <w:t> </w:t>
            </w:r>
          </w:p>
        </w:tc>
      </w:tr>
    </w:tbl>
    <w:p w14:paraId="1FE0F5D4">
      <w:pPr>
        <w:pStyle w:val="7"/>
        <w:overflowPunct w:val="0"/>
        <w:spacing w:line="360" w:lineRule="auto"/>
        <w:ind w:firstLineChars="200"/>
        <w:rPr>
          <w:rFonts w:ascii="宋体" w:hAnsi="宋体" w:eastAsia="宋体" w:cs="宋体"/>
          <w:color w:val="auto"/>
          <w:sz w:val="21"/>
          <w:highlight w:val="none"/>
        </w:rPr>
        <w:sectPr>
          <w:pgSz w:w="11906" w:h="16838"/>
          <w:pgMar w:top="1440" w:right="1417" w:bottom="1440" w:left="1417" w:header="964" w:footer="1077" w:gutter="0"/>
          <w:cols w:space="720" w:num="1"/>
          <w:docGrid w:type="lines" w:linePitch="312" w:charSpace="0"/>
        </w:sectPr>
      </w:pPr>
    </w:p>
    <w:p w14:paraId="60FC8292">
      <w:pPr>
        <w:autoSpaceDE w:val="0"/>
        <w:autoSpaceDN w:val="0"/>
        <w:adjustRightInd w:val="0"/>
        <w:spacing w:line="360" w:lineRule="auto"/>
        <w:rPr>
          <w:rFonts w:ascii="宋体" w:hAnsi="宋体" w:cs="宋体"/>
          <w:color w:val="auto"/>
          <w:szCs w:val="21"/>
          <w:highlight w:val="none"/>
        </w:rPr>
      </w:pPr>
      <w:r>
        <w:rPr>
          <w:rFonts w:hint="eastAsia" w:ascii="宋体" w:hAnsi="宋体" w:cs="宋体"/>
          <w:b/>
          <w:bCs/>
          <w:color w:val="auto"/>
          <w:szCs w:val="21"/>
          <w:highlight w:val="none"/>
        </w:rPr>
        <w:t>附件2、投标函</w:t>
      </w:r>
    </w:p>
    <w:p w14:paraId="2061D39C">
      <w:pPr>
        <w:autoSpaceDE w:val="0"/>
        <w:autoSpaceDN w:val="0"/>
        <w:adjustRightInd w:val="0"/>
        <w:snapToGrid w:val="0"/>
        <w:spacing w:line="360" w:lineRule="auto"/>
        <w:jc w:val="center"/>
        <w:rPr>
          <w:rFonts w:ascii="宋体" w:hAnsi="宋体" w:cs="宋体"/>
          <w:b/>
          <w:bCs/>
          <w:color w:val="auto"/>
          <w:sz w:val="28"/>
          <w:szCs w:val="28"/>
          <w:highlight w:val="none"/>
          <w:lang w:val="zh-CN"/>
        </w:rPr>
      </w:pPr>
      <w:r>
        <w:rPr>
          <w:rFonts w:hint="eastAsia" w:ascii="宋体" w:hAnsi="宋体" w:cs="宋体"/>
          <w:b/>
          <w:bCs/>
          <w:color w:val="auto"/>
          <w:szCs w:val="21"/>
          <w:highlight w:val="none"/>
          <w:lang w:val="zh-CN"/>
        </w:rPr>
        <w:t>投标函</w:t>
      </w:r>
    </w:p>
    <w:p w14:paraId="33243CE3">
      <w:pPr>
        <w:autoSpaceDE w:val="0"/>
        <w:autoSpaceDN w:val="0"/>
        <w:adjustRightInd w:val="0"/>
        <w:snapToGrid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u w:val="single"/>
          <w:lang w:val="zh-CN"/>
        </w:rPr>
        <w:t>苏州市创杰招投标咨询服务有限公司</w:t>
      </w:r>
      <w:r>
        <w:rPr>
          <w:rFonts w:hint="eastAsia" w:ascii="宋体" w:hAnsi="宋体" w:cs="宋体"/>
          <w:color w:val="auto"/>
          <w:szCs w:val="21"/>
          <w:highlight w:val="none"/>
          <w:lang w:val="zh-CN"/>
        </w:rPr>
        <w:t>：</w:t>
      </w:r>
    </w:p>
    <w:p w14:paraId="4483ECB8">
      <w:pPr>
        <w:pStyle w:val="87"/>
        <w:snapToGrid w:val="0"/>
        <w:spacing w:line="360" w:lineRule="auto"/>
        <w:ind w:firstLine="420" w:firstLineChars="200"/>
        <w:rPr>
          <w:rFonts w:hAnsi="宋体" w:eastAsia="宋体" w:cs="宋体"/>
          <w:color w:val="auto"/>
          <w:sz w:val="21"/>
          <w:szCs w:val="21"/>
          <w:highlight w:val="none"/>
          <w:lang w:val="zh-CN"/>
        </w:rPr>
      </w:pPr>
      <w:r>
        <w:rPr>
          <w:rFonts w:hint="eastAsia" w:hAnsi="宋体" w:eastAsia="宋体" w:cs="宋体"/>
          <w:color w:val="auto"/>
          <w:sz w:val="21"/>
          <w:szCs w:val="21"/>
          <w:highlight w:val="none"/>
          <w:lang w:val="zh-CN"/>
        </w:rPr>
        <w:t>我们收到贵公司号招标文件，经仔细阅读和研究，我们决定参加投标。</w:t>
      </w:r>
    </w:p>
    <w:p w14:paraId="7783F67C">
      <w:pPr>
        <w:pStyle w:val="87"/>
        <w:snapToGrid w:val="0"/>
        <w:spacing w:line="360" w:lineRule="auto"/>
        <w:ind w:firstLine="420" w:firstLineChars="200"/>
        <w:rPr>
          <w:rFonts w:hAnsi="宋体" w:eastAsia="宋体" w:cs="宋体"/>
          <w:color w:val="auto"/>
          <w:sz w:val="21"/>
          <w:szCs w:val="21"/>
          <w:highlight w:val="none"/>
        </w:rPr>
      </w:pPr>
      <w:r>
        <w:rPr>
          <w:rFonts w:hint="eastAsia" w:hAnsi="宋体" w:eastAsia="宋体" w:cs="宋体"/>
          <w:color w:val="auto"/>
          <w:sz w:val="21"/>
          <w:szCs w:val="21"/>
          <w:highlight w:val="none"/>
          <w:lang w:val="zh-CN"/>
        </w:rPr>
        <w:t>1</w:t>
      </w:r>
      <w:r>
        <w:rPr>
          <w:rFonts w:hint="eastAsia" w:hAnsi="宋体" w:eastAsia="宋体" w:cs="宋体"/>
          <w:color w:val="auto"/>
          <w:sz w:val="21"/>
          <w:szCs w:val="21"/>
          <w:highlight w:val="none"/>
        </w:rPr>
        <w:t>.我们愿意按照招标文件的一切要求，提供本项目货物及服务工作，投标总报价包括产品供货、辅助材料、备品备件、运输、仓储、发货、送货、安装、调试、人工、机械、装卸、培训、保险、运费、各种税费、劳保、专利技术及质保等完成本次项目所需的一切费用。</w:t>
      </w:r>
    </w:p>
    <w:p w14:paraId="3E4EA53F">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2.如果我们的投标书被接受，我们将严格履行招标文件中规定的每一项要求，按期、按质、按量履行合同的义务</w:t>
      </w:r>
      <w:r>
        <w:rPr>
          <w:rFonts w:hint="eastAsia" w:hAnsi="宋体" w:eastAsia="宋体" w:cs="宋体"/>
          <w:color w:val="auto"/>
          <w:sz w:val="21"/>
          <w:szCs w:val="21"/>
          <w:highlight w:val="none"/>
        </w:rPr>
        <w:t>。</w:t>
      </w:r>
    </w:p>
    <w:p w14:paraId="286C102C">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3.我们同意按招标文件中的规定，本投标书的有效期限为开标后</w:t>
      </w:r>
      <w:r>
        <w:rPr>
          <w:rFonts w:hint="eastAsia" w:hAnsi="宋体" w:eastAsia="宋体" w:cs="宋体"/>
          <w:color w:val="auto"/>
          <w:sz w:val="21"/>
          <w:highlight w:val="none"/>
          <w:u w:val="single"/>
        </w:rPr>
        <w:t xml:space="preserve"> 60</w:t>
      </w:r>
      <w:r>
        <w:rPr>
          <w:rFonts w:hint="eastAsia" w:hAnsi="宋体" w:eastAsia="宋体" w:cs="宋体"/>
          <w:color w:val="auto"/>
          <w:sz w:val="21"/>
          <w:highlight w:val="none"/>
        </w:rPr>
        <w:t>天。</w:t>
      </w:r>
    </w:p>
    <w:p w14:paraId="3E3D7CFB">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4.我们愿意提供招标代理机构在招标文件中要求的所有资料。</w:t>
      </w:r>
    </w:p>
    <w:p w14:paraId="64A86E2E">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5.我们愿意遵守招标文件中所列的收费标准。</w:t>
      </w:r>
    </w:p>
    <w:p w14:paraId="1C2925AD">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6.我们承诺该项投标在开标后的全过程中保持有效，不作任何更改和变动。</w:t>
      </w:r>
    </w:p>
    <w:p w14:paraId="2AB29636">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7.如果我们中标，我们愿意按前附表的规定支付中标服务费；</w:t>
      </w:r>
    </w:p>
    <w:p w14:paraId="2D460BBA">
      <w:pPr>
        <w:pStyle w:val="87"/>
        <w:snapToGrid w:val="0"/>
        <w:spacing w:line="360" w:lineRule="auto"/>
        <w:ind w:firstLine="422" w:firstLineChars="200"/>
        <w:rPr>
          <w:rFonts w:hAnsi="宋体" w:eastAsia="宋体" w:cs="宋体"/>
          <w:color w:val="auto"/>
          <w:sz w:val="21"/>
          <w:szCs w:val="21"/>
          <w:highlight w:val="none"/>
        </w:rPr>
      </w:pPr>
      <w:r>
        <w:rPr>
          <w:rFonts w:hint="eastAsia" w:hAnsi="宋体" w:eastAsia="宋体" w:cs="宋体"/>
          <w:b/>
          <w:bCs/>
          <w:color w:val="auto"/>
          <w:sz w:val="21"/>
          <w:szCs w:val="21"/>
          <w:highlight w:val="none"/>
        </w:rPr>
        <w:t>8.我们愿意按照贵公司招标文件的要求提供电子投标文件，并保证全部投标文件内容真实有效，若有虚假，我公司愿意承担与此相关的一切责任；</w:t>
      </w:r>
    </w:p>
    <w:p w14:paraId="658572CB">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szCs w:val="21"/>
          <w:highlight w:val="none"/>
        </w:rPr>
        <w:t>9.我们愿意按照《中华人民共和国民法典》履行自己应该承担的全部责任。</w:t>
      </w:r>
    </w:p>
    <w:p w14:paraId="1E96A8C9">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10.综合说明：</w:t>
      </w:r>
    </w:p>
    <w:p w14:paraId="57728ADF">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（1）伴随服务及配合措施；</w:t>
      </w:r>
    </w:p>
    <w:p w14:paraId="36DB4602">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（2）要求甲方提供的配合；</w:t>
      </w:r>
    </w:p>
    <w:p w14:paraId="6AE3E841">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（3）对招标文件有不同意见的偏离说明；</w:t>
      </w:r>
    </w:p>
    <w:p w14:paraId="0B5C1995">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（4）其它说明。</w:t>
      </w:r>
    </w:p>
    <w:p w14:paraId="66713A1A">
      <w:pPr>
        <w:pStyle w:val="87"/>
        <w:snapToGrid w:val="0"/>
        <w:spacing w:line="360" w:lineRule="auto"/>
        <w:ind w:firstLine="422" w:firstLineChars="200"/>
        <w:rPr>
          <w:rFonts w:hAnsi="宋体" w:eastAsia="宋体" w:cs="宋体"/>
          <w:b/>
          <w:color w:val="auto"/>
          <w:sz w:val="21"/>
          <w:highlight w:val="none"/>
        </w:rPr>
      </w:pPr>
      <w:r>
        <w:rPr>
          <w:rFonts w:hint="eastAsia" w:hAnsi="宋体" w:eastAsia="宋体" w:cs="宋体"/>
          <w:b/>
          <w:color w:val="auto"/>
          <w:sz w:val="21"/>
          <w:highlight w:val="none"/>
        </w:rPr>
        <w:t>所有有关标书的函电，请按下列地址联系：</w:t>
      </w:r>
    </w:p>
    <w:p w14:paraId="1232253A">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单位：              联系人：</w:t>
      </w:r>
    </w:p>
    <w:p w14:paraId="4A3B5BF1">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地址：              邮政编码：</w:t>
      </w:r>
    </w:p>
    <w:p w14:paraId="7A897962">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联系电话：          传真：</w:t>
      </w:r>
    </w:p>
    <w:p w14:paraId="706F82C0">
      <w:pPr>
        <w:pStyle w:val="87"/>
        <w:snapToGrid w:val="0"/>
        <w:spacing w:line="360" w:lineRule="auto"/>
        <w:ind w:firstLine="420" w:firstLineChars="200"/>
        <w:rPr>
          <w:rFonts w:hAnsi="宋体" w:eastAsia="宋体" w:cs="宋体"/>
          <w:color w:val="auto"/>
          <w:sz w:val="21"/>
          <w:highlight w:val="none"/>
        </w:rPr>
      </w:pPr>
      <w:r>
        <w:rPr>
          <w:rFonts w:hint="eastAsia" w:hAnsi="宋体" w:eastAsia="宋体" w:cs="宋体"/>
          <w:color w:val="auto"/>
          <w:sz w:val="21"/>
          <w:highlight w:val="none"/>
        </w:rPr>
        <w:t>邮箱地址：</w:t>
      </w:r>
    </w:p>
    <w:p w14:paraId="74B95182">
      <w:pPr>
        <w:pStyle w:val="87"/>
        <w:snapToGrid w:val="0"/>
        <w:spacing w:line="360" w:lineRule="auto"/>
        <w:ind w:left="3825" w:firstLine="422"/>
        <w:rPr>
          <w:rFonts w:hAnsi="宋体" w:eastAsia="宋体" w:cs="宋体"/>
          <w:color w:val="auto"/>
          <w:sz w:val="21"/>
          <w:highlight w:val="none"/>
        </w:rPr>
      </w:pPr>
      <w:r>
        <w:rPr>
          <w:rFonts w:hint="eastAsia" w:hAnsi="宋体" w:eastAsia="宋体" w:cs="宋体"/>
          <w:color w:val="auto"/>
          <w:sz w:val="21"/>
          <w:highlight w:val="none"/>
        </w:rPr>
        <w:t>投标单位：（签章）</w:t>
      </w:r>
    </w:p>
    <w:p w14:paraId="3268F979">
      <w:pPr>
        <w:pStyle w:val="87"/>
        <w:snapToGrid w:val="0"/>
        <w:spacing w:line="360" w:lineRule="auto"/>
        <w:ind w:firstLine="3780" w:firstLineChars="1800"/>
        <w:rPr>
          <w:rFonts w:hAnsi="宋体" w:eastAsia="宋体" w:cs="宋体"/>
          <w:color w:val="auto"/>
          <w:sz w:val="21"/>
          <w:highlight w:val="none"/>
        </w:rPr>
        <w:sectPr>
          <w:pgSz w:w="11906" w:h="16838"/>
          <w:pgMar w:top="1440" w:right="1417" w:bottom="1440" w:left="1417" w:header="964" w:footer="1077" w:gutter="0"/>
          <w:cols w:space="720" w:num="1"/>
          <w:docGrid w:type="lines" w:linePitch="312" w:charSpace="0"/>
        </w:sectPr>
      </w:pPr>
      <w:r>
        <w:rPr>
          <w:rFonts w:hint="eastAsia" w:hAnsi="宋体" w:eastAsia="宋体" w:cs="宋体"/>
          <w:color w:val="auto"/>
          <w:sz w:val="21"/>
          <w:highlight w:val="none"/>
        </w:rPr>
        <w:t>日期：      年     月     日</w:t>
      </w:r>
    </w:p>
    <w:p w14:paraId="5243519C">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附件3、开标一览表</w:t>
      </w:r>
    </w:p>
    <w:p w14:paraId="015974D2">
      <w:pPr>
        <w:autoSpaceDE w:val="0"/>
        <w:autoSpaceDN w:val="0"/>
        <w:adjustRightInd w:val="0"/>
        <w:spacing w:line="360" w:lineRule="auto"/>
        <w:ind w:firstLine="420"/>
        <w:jc w:val="center"/>
        <w:rPr>
          <w:rFonts w:ascii="宋体" w:hAnsi="宋体" w:cs="宋体"/>
          <w:b/>
          <w:bCs/>
          <w:color w:val="auto"/>
          <w:szCs w:val="21"/>
          <w:highlight w:val="none"/>
          <w:lang w:val="zh-CN"/>
        </w:rPr>
      </w:pPr>
    </w:p>
    <w:p w14:paraId="06D47145">
      <w:pPr>
        <w:autoSpaceDE w:val="0"/>
        <w:autoSpaceDN w:val="0"/>
        <w:adjustRightInd w:val="0"/>
        <w:spacing w:line="360" w:lineRule="auto"/>
        <w:jc w:val="center"/>
        <w:rPr>
          <w:rFonts w:ascii="宋体" w:hAnsi="宋体" w:cs="宋体"/>
          <w:b/>
          <w:bCs/>
          <w:color w:val="auto"/>
          <w:szCs w:val="21"/>
          <w:highlight w:val="none"/>
          <w:lang w:val="zh-CN"/>
        </w:rPr>
      </w:pPr>
      <w:r>
        <w:rPr>
          <w:rFonts w:hint="eastAsia" w:ascii="宋体" w:hAnsi="宋体" w:cs="宋体"/>
          <w:b/>
          <w:bCs/>
          <w:color w:val="auto"/>
          <w:szCs w:val="21"/>
          <w:highlight w:val="none"/>
          <w:lang w:val="zh-CN"/>
        </w:rPr>
        <w:t>开标一览表</w:t>
      </w:r>
    </w:p>
    <w:p w14:paraId="54027CB2">
      <w:pPr>
        <w:autoSpaceDE w:val="0"/>
        <w:autoSpaceDN w:val="0"/>
        <w:adjustRightInd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招标编号：             号</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5"/>
        <w:gridCol w:w="2490"/>
        <w:gridCol w:w="2929"/>
        <w:gridCol w:w="1855"/>
      </w:tblGrid>
      <w:tr w14:paraId="0A3F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355" w:type="dxa"/>
            <w:vAlign w:val="center"/>
          </w:tcPr>
          <w:p w14:paraId="08A227D7">
            <w:pPr>
              <w:pStyle w:val="96"/>
              <w:ind w:firstLine="422"/>
              <w:jc w:val="center"/>
              <w:rPr>
                <w:rFonts w:hAnsi="宋体" w:eastAsia="宋体" w:cs="宋体"/>
                <w:color w:val="auto"/>
                <w:sz w:val="21"/>
                <w:szCs w:val="21"/>
                <w:highlight w:val="none"/>
              </w:rPr>
            </w:pPr>
            <w:r>
              <w:rPr>
                <w:rFonts w:hint="eastAsia" w:hAnsi="宋体" w:eastAsia="宋体" w:cs="宋体"/>
                <w:color w:val="auto"/>
                <w:sz w:val="21"/>
                <w:szCs w:val="21"/>
                <w:highlight w:val="none"/>
              </w:rPr>
              <w:t>序号</w:t>
            </w:r>
          </w:p>
        </w:tc>
        <w:tc>
          <w:tcPr>
            <w:tcW w:w="2490" w:type="dxa"/>
            <w:vAlign w:val="center"/>
          </w:tcPr>
          <w:p w14:paraId="5238FE44">
            <w:pPr>
              <w:pStyle w:val="96"/>
              <w:jc w:val="center"/>
              <w:rPr>
                <w:rFonts w:hAnsi="宋体" w:eastAsia="宋体" w:cs="宋体"/>
                <w:color w:val="auto"/>
                <w:sz w:val="21"/>
                <w:szCs w:val="21"/>
                <w:highlight w:val="none"/>
              </w:rPr>
            </w:pPr>
            <w:r>
              <w:rPr>
                <w:rFonts w:hint="eastAsia" w:hAnsi="宋体" w:eastAsia="宋体" w:cs="宋体"/>
                <w:color w:val="auto"/>
                <w:sz w:val="21"/>
                <w:szCs w:val="21"/>
                <w:highlight w:val="none"/>
              </w:rPr>
              <w:t>项目名称</w:t>
            </w:r>
          </w:p>
        </w:tc>
        <w:tc>
          <w:tcPr>
            <w:tcW w:w="2929" w:type="dxa"/>
            <w:vAlign w:val="center"/>
          </w:tcPr>
          <w:p w14:paraId="4E70BFC1">
            <w:pPr>
              <w:pStyle w:val="96"/>
              <w:jc w:val="center"/>
              <w:rPr>
                <w:rFonts w:hAnsi="宋体" w:eastAsia="宋体" w:cs="宋体"/>
                <w:color w:val="auto"/>
                <w:sz w:val="21"/>
                <w:szCs w:val="21"/>
                <w:highlight w:val="none"/>
              </w:rPr>
            </w:pPr>
            <w:r>
              <w:rPr>
                <w:rFonts w:hint="eastAsia" w:hAnsi="宋体" w:eastAsia="宋体" w:cs="宋体"/>
                <w:color w:val="auto"/>
                <w:sz w:val="21"/>
                <w:szCs w:val="21"/>
                <w:highlight w:val="none"/>
              </w:rPr>
              <w:t>总价（元）</w:t>
            </w:r>
          </w:p>
        </w:tc>
        <w:tc>
          <w:tcPr>
            <w:tcW w:w="1855" w:type="dxa"/>
            <w:vAlign w:val="center"/>
          </w:tcPr>
          <w:p w14:paraId="52584D83">
            <w:pPr>
              <w:pStyle w:val="96"/>
              <w:jc w:val="center"/>
              <w:rPr>
                <w:rFonts w:hAnsi="宋体" w:eastAsia="宋体" w:cs="宋体"/>
                <w:color w:val="auto"/>
                <w:sz w:val="21"/>
                <w:szCs w:val="21"/>
                <w:highlight w:val="none"/>
              </w:rPr>
            </w:pPr>
            <w:r>
              <w:rPr>
                <w:rFonts w:hint="eastAsia" w:hAnsi="宋体" w:eastAsia="宋体" w:cs="宋体"/>
                <w:color w:val="auto"/>
                <w:sz w:val="21"/>
                <w:szCs w:val="21"/>
                <w:highlight w:val="none"/>
              </w:rPr>
              <w:t>备注</w:t>
            </w:r>
          </w:p>
        </w:tc>
      </w:tr>
      <w:tr w14:paraId="45C5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355" w:type="dxa"/>
            <w:vAlign w:val="center"/>
          </w:tcPr>
          <w:p w14:paraId="58771987">
            <w:pPr>
              <w:pStyle w:val="96"/>
              <w:ind w:firstLine="422"/>
              <w:jc w:val="center"/>
              <w:rPr>
                <w:rFonts w:hAnsi="宋体" w:eastAsia="宋体" w:cs="宋体"/>
                <w:color w:val="auto"/>
                <w:sz w:val="21"/>
                <w:szCs w:val="21"/>
                <w:highlight w:val="none"/>
              </w:rPr>
            </w:pPr>
          </w:p>
        </w:tc>
        <w:tc>
          <w:tcPr>
            <w:tcW w:w="2490" w:type="dxa"/>
            <w:vAlign w:val="center"/>
          </w:tcPr>
          <w:p w14:paraId="334B3747">
            <w:pPr>
              <w:pStyle w:val="96"/>
              <w:jc w:val="center"/>
              <w:rPr>
                <w:rFonts w:hAnsi="宋体" w:eastAsia="宋体" w:cs="宋体"/>
                <w:color w:val="auto"/>
                <w:sz w:val="21"/>
                <w:szCs w:val="21"/>
                <w:highlight w:val="none"/>
              </w:rPr>
            </w:pPr>
          </w:p>
        </w:tc>
        <w:tc>
          <w:tcPr>
            <w:tcW w:w="2929" w:type="dxa"/>
            <w:vAlign w:val="center"/>
          </w:tcPr>
          <w:p w14:paraId="494655B5">
            <w:pPr>
              <w:pStyle w:val="96"/>
              <w:jc w:val="center"/>
              <w:rPr>
                <w:rFonts w:hAnsi="宋体" w:eastAsia="宋体" w:cs="宋体"/>
                <w:color w:val="auto"/>
                <w:sz w:val="21"/>
                <w:szCs w:val="21"/>
                <w:highlight w:val="none"/>
              </w:rPr>
            </w:pPr>
          </w:p>
        </w:tc>
        <w:tc>
          <w:tcPr>
            <w:tcW w:w="1855" w:type="dxa"/>
            <w:vAlign w:val="center"/>
          </w:tcPr>
          <w:p w14:paraId="43F18CE6">
            <w:pPr>
              <w:pStyle w:val="96"/>
              <w:jc w:val="center"/>
              <w:rPr>
                <w:rFonts w:hAnsi="宋体" w:eastAsia="宋体" w:cs="宋体"/>
                <w:color w:val="auto"/>
                <w:sz w:val="21"/>
                <w:szCs w:val="21"/>
                <w:highlight w:val="none"/>
              </w:rPr>
            </w:pPr>
          </w:p>
        </w:tc>
      </w:tr>
      <w:tr w14:paraId="030B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8629" w:type="dxa"/>
            <w:gridSpan w:val="4"/>
            <w:vAlign w:val="center"/>
          </w:tcPr>
          <w:p w14:paraId="26B68E65">
            <w:pPr>
              <w:pStyle w:val="96"/>
              <w:ind w:firstLine="422"/>
              <w:rPr>
                <w:rFonts w:hAnsi="宋体" w:eastAsia="宋体" w:cs="宋体"/>
                <w:color w:val="auto"/>
                <w:sz w:val="21"/>
                <w:szCs w:val="21"/>
                <w:highlight w:val="none"/>
              </w:rPr>
            </w:pPr>
            <w:r>
              <w:rPr>
                <w:rFonts w:hint="eastAsia" w:hAnsi="宋体" w:eastAsia="宋体" w:cs="宋体"/>
                <w:color w:val="auto"/>
                <w:sz w:val="21"/>
                <w:szCs w:val="21"/>
                <w:highlight w:val="none"/>
                <w:lang w:val="zh-CN"/>
              </w:rPr>
              <w:t>投标总报价（人民币大写）：                    ￥：</w:t>
            </w:r>
          </w:p>
        </w:tc>
      </w:tr>
    </w:tbl>
    <w:p w14:paraId="687E82D3">
      <w:pPr>
        <w:spacing w:line="360" w:lineRule="auto"/>
        <w:ind w:firstLine="422"/>
        <w:rPr>
          <w:rFonts w:ascii="宋体" w:hAnsi="宋体" w:cs="宋体"/>
          <w:color w:val="auto"/>
          <w:szCs w:val="21"/>
          <w:highlight w:val="none"/>
        </w:rPr>
      </w:pPr>
    </w:p>
    <w:p w14:paraId="2A09A8E0">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16A18CF5">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日期：         年         月       日</w:t>
      </w:r>
    </w:p>
    <w:p w14:paraId="669D8FA1">
      <w:pPr>
        <w:pageBreakBefore/>
        <w:spacing w:line="360" w:lineRule="auto"/>
        <w:rPr>
          <w:rFonts w:ascii="宋体" w:hAnsi="宋体" w:cs="宋体"/>
          <w:color w:val="auto"/>
          <w:highlight w:val="none"/>
        </w:rPr>
      </w:pPr>
      <w:bookmarkStart w:id="41" w:name="_Toc2583141"/>
      <w:r>
        <w:rPr>
          <w:rFonts w:hint="eastAsia" w:ascii="宋体" w:hAnsi="宋体" w:cs="宋体"/>
          <w:b/>
          <w:bCs/>
          <w:color w:val="auto"/>
          <w:highlight w:val="none"/>
        </w:rPr>
        <w:t>附件4、</w:t>
      </w:r>
      <w:r>
        <w:rPr>
          <w:rFonts w:hint="eastAsia" w:ascii="宋体" w:hAnsi="宋体" w:cs="宋体"/>
          <w:b/>
          <w:bCs/>
          <w:color w:val="auto"/>
          <w:highlight w:val="none"/>
          <w:lang w:val="zh-CN"/>
        </w:rPr>
        <w:t>投标报价分析表</w:t>
      </w:r>
    </w:p>
    <w:p w14:paraId="286B77E6">
      <w:pPr>
        <w:autoSpaceDE w:val="0"/>
        <w:autoSpaceDN w:val="0"/>
        <w:adjustRightInd w:val="0"/>
        <w:snapToGrid w:val="0"/>
        <w:spacing w:line="360" w:lineRule="auto"/>
        <w:jc w:val="center"/>
        <w:rPr>
          <w:rFonts w:ascii="宋体" w:hAnsi="宋体"/>
          <w:b/>
          <w:bCs/>
          <w:color w:val="auto"/>
          <w:szCs w:val="21"/>
          <w:highlight w:val="none"/>
        </w:rPr>
      </w:pPr>
      <w:r>
        <w:rPr>
          <w:rFonts w:hint="eastAsia" w:ascii="宋体" w:hAnsi="宋体"/>
          <w:b/>
          <w:bCs/>
          <w:color w:val="auto"/>
          <w:szCs w:val="21"/>
          <w:highlight w:val="none"/>
          <w:lang w:val="zh-CN"/>
        </w:rPr>
        <w:t>投标报价分析表</w:t>
      </w:r>
    </w:p>
    <w:p w14:paraId="704003A5">
      <w:pPr>
        <w:autoSpaceDE w:val="0"/>
        <w:autoSpaceDN w:val="0"/>
        <w:adjustRightInd w:val="0"/>
        <w:snapToGrid w:val="0"/>
        <w:spacing w:line="360" w:lineRule="auto"/>
        <w:ind w:firstLine="422"/>
        <w:rPr>
          <w:rFonts w:ascii="宋体" w:hAnsi="宋体"/>
          <w:color w:val="auto"/>
          <w:szCs w:val="21"/>
          <w:highlight w:val="none"/>
          <w:lang w:val="zh-CN"/>
        </w:rPr>
      </w:pPr>
      <w:r>
        <w:rPr>
          <w:rFonts w:hint="eastAsia" w:ascii="宋体" w:hAnsi="宋体"/>
          <w:color w:val="auto"/>
          <w:szCs w:val="21"/>
          <w:highlight w:val="none"/>
          <w:lang w:val="zh-CN"/>
        </w:rPr>
        <w:t>招标编号：号                                 项目名称：</w:t>
      </w:r>
    </w:p>
    <w:tbl>
      <w:tblPr>
        <w:tblStyle w:val="31"/>
        <w:tblW w:w="9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316"/>
        <w:gridCol w:w="1298"/>
        <w:gridCol w:w="1359"/>
        <w:gridCol w:w="741"/>
        <w:gridCol w:w="778"/>
        <w:gridCol w:w="881"/>
        <w:gridCol w:w="1013"/>
        <w:gridCol w:w="1438"/>
      </w:tblGrid>
      <w:tr w14:paraId="68B5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2884242C">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序号</w:t>
            </w:r>
          </w:p>
        </w:tc>
        <w:tc>
          <w:tcPr>
            <w:tcW w:w="1316" w:type="dxa"/>
            <w:vAlign w:val="center"/>
          </w:tcPr>
          <w:p w14:paraId="5672A0B3">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标的物名称</w:t>
            </w:r>
          </w:p>
        </w:tc>
        <w:tc>
          <w:tcPr>
            <w:tcW w:w="1298" w:type="dxa"/>
            <w:vAlign w:val="center"/>
          </w:tcPr>
          <w:p w14:paraId="69148AFB">
            <w:pPr>
              <w:autoSpaceDE w:val="0"/>
              <w:autoSpaceDN w:val="0"/>
              <w:adjustRightInd w:val="0"/>
              <w:snapToGrid w:val="0"/>
              <w:rPr>
                <w:rFonts w:ascii="宋体" w:hAnsi="宋体"/>
                <w:color w:val="auto"/>
                <w:szCs w:val="21"/>
                <w:highlight w:val="none"/>
              </w:rPr>
            </w:pPr>
            <w:r>
              <w:rPr>
                <w:rFonts w:hint="eastAsia" w:ascii="宋体" w:hAnsi="宋体"/>
                <w:color w:val="auto"/>
                <w:szCs w:val="21"/>
                <w:highlight w:val="none"/>
                <w:lang w:val="zh-CN"/>
              </w:rPr>
              <w:t>品牌、</w:t>
            </w:r>
            <w:r>
              <w:rPr>
                <w:rFonts w:hint="eastAsia" w:ascii="宋体" w:hAnsi="宋体"/>
                <w:color w:val="auto"/>
                <w:szCs w:val="21"/>
                <w:highlight w:val="none"/>
                <w:lang w:val="en-US" w:eastAsia="zh-CN"/>
              </w:rPr>
              <w:t>规格、</w:t>
            </w:r>
            <w:r>
              <w:rPr>
                <w:rFonts w:hint="eastAsia" w:ascii="宋体" w:hAnsi="宋体"/>
                <w:color w:val="auto"/>
                <w:szCs w:val="21"/>
                <w:highlight w:val="none"/>
              </w:rPr>
              <w:t>型号</w:t>
            </w:r>
          </w:p>
        </w:tc>
        <w:tc>
          <w:tcPr>
            <w:tcW w:w="1359" w:type="dxa"/>
            <w:vAlign w:val="center"/>
          </w:tcPr>
          <w:p w14:paraId="75FE1CC1">
            <w:pPr>
              <w:autoSpaceDE w:val="0"/>
              <w:autoSpaceDN w:val="0"/>
              <w:adjustRightInd w:val="0"/>
              <w:snapToGrid w:val="0"/>
              <w:rPr>
                <w:rFonts w:ascii="宋体" w:hAnsi="宋体"/>
                <w:color w:val="auto"/>
                <w:szCs w:val="21"/>
                <w:highlight w:val="none"/>
              </w:rPr>
            </w:pPr>
            <w:r>
              <w:rPr>
                <w:rFonts w:hint="eastAsia" w:ascii="宋体" w:hAnsi="宋体"/>
                <w:color w:val="auto"/>
                <w:szCs w:val="21"/>
                <w:highlight w:val="none"/>
              </w:rPr>
              <w:t>生产厂家</w:t>
            </w:r>
          </w:p>
        </w:tc>
        <w:tc>
          <w:tcPr>
            <w:tcW w:w="741" w:type="dxa"/>
            <w:vAlign w:val="center"/>
          </w:tcPr>
          <w:p w14:paraId="1C881761">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单位</w:t>
            </w:r>
          </w:p>
        </w:tc>
        <w:tc>
          <w:tcPr>
            <w:tcW w:w="778" w:type="dxa"/>
            <w:vAlign w:val="center"/>
          </w:tcPr>
          <w:p w14:paraId="20991887">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数量</w:t>
            </w:r>
          </w:p>
        </w:tc>
        <w:tc>
          <w:tcPr>
            <w:tcW w:w="881" w:type="dxa"/>
            <w:vAlign w:val="center"/>
          </w:tcPr>
          <w:p w14:paraId="5F743E58">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单价</w:t>
            </w:r>
          </w:p>
        </w:tc>
        <w:tc>
          <w:tcPr>
            <w:tcW w:w="1013" w:type="dxa"/>
            <w:vAlign w:val="center"/>
          </w:tcPr>
          <w:p w14:paraId="1B60390E">
            <w:pPr>
              <w:autoSpaceDE w:val="0"/>
              <w:autoSpaceDN w:val="0"/>
              <w:adjustRightInd w:val="0"/>
              <w:snapToGrid w:val="0"/>
              <w:rPr>
                <w:rFonts w:ascii="宋体" w:hAnsi="宋体"/>
                <w:color w:val="auto"/>
                <w:szCs w:val="21"/>
                <w:highlight w:val="none"/>
                <w:lang w:val="zh-CN"/>
              </w:rPr>
            </w:pPr>
            <w:r>
              <w:rPr>
                <w:rFonts w:hint="eastAsia" w:ascii="宋体" w:hAnsi="宋体"/>
                <w:color w:val="auto"/>
                <w:szCs w:val="21"/>
                <w:highlight w:val="none"/>
                <w:lang w:val="zh-CN"/>
              </w:rPr>
              <w:t>总价</w:t>
            </w:r>
          </w:p>
        </w:tc>
        <w:tc>
          <w:tcPr>
            <w:tcW w:w="1438" w:type="dxa"/>
            <w:vAlign w:val="center"/>
          </w:tcPr>
          <w:p w14:paraId="2AFFDABA">
            <w:pPr>
              <w:autoSpaceDE w:val="0"/>
              <w:autoSpaceDN w:val="0"/>
              <w:adjustRightInd w:val="0"/>
              <w:snapToGrid w:val="0"/>
              <w:rPr>
                <w:rFonts w:ascii="宋体" w:hAnsi="宋体"/>
                <w:color w:val="auto"/>
                <w:highlight w:val="none"/>
              </w:rPr>
            </w:pPr>
            <w:r>
              <w:rPr>
                <w:rFonts w:hint="eastAsia" w:ascii="宋体" w:hAnsi="宋体"/>
                <w:color w:val="auto"/>
                <w:highlight w:val="none"/>
              </w:rPr>
              <w:t>备注</w:t>
            </w:r>
          </w:p>
        </w:tc>
      </w:tr>
      <w:tr w14:paraId="7A63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6087DB76">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7AA4EB96">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6DCCB321">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04601124">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4F2790F5">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05AC0734">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59C65BE2">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29ADD4E8">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1637A1FB">
            <w:pPr>
              <w:autoSpaceDE w:val="0"/>
              <w:autoSpaceDN w:val="0"/>
              <w:adjustRightInd w:val="0"/>
              <w:snapToGrid w:val="0"/>
              <w:ind w:firstLine="422"/>
              <w:jc w:val="center"/>
              <w:rPr>
                <w:rFonts w:ascii="宋体" w:hAnsi="宋体"/>
                <w:color w:val="auto"/>
                <w:highlight w:val="none"/>
              </w:rPr>
            </w:pPr>
          </w:p>
        </w:tc>
      </w:tr>
      <w:tr w14:paraId="520A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4A0497E7">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201D65BB">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32B0E6E9">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63E869DA">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0934B6A3">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7BC86E59">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25111CAE">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2CF25EC5">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4F775CD4">
            <w:pPr>
              <w:autoSpaceDE w:val="0"/>
              <w:autoSpaceDN w:val="0"/>
              <w:adjustRightInd w:val="0"/>
              <w:snapToGrid w:val="0"/>
              <w:ind w:firstLine="422"/>
              <w:jc w:val="center"/>
              <w:rPr>
                <w:rFonts w:ascii="宋体" w:hAnsi="宋体"/>
                <w:color w:val="auto"/>
                <w:highlight w:val="none"/>
              </w:rPr>
            </w:pPr>
          </w:p>
        </w:tc>
      </w:tr>
      <w:tr w14:paraId="3A0E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32C6404C">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0E524FC6">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637F306B">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64C102BB">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1F92877F">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0879255F">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5C6EE308">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60A70BEF">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1695F4F7">
            <w:pPr>
              <w:autoSpaceDE w:val="0"/>
              <w:autoSpaceDN w:val="0"/>
              <w:adjustRightInd w:val="0"/>
              <w:snapToGrid w:val="0"/>
              <w:ind w:firstLine="422"/>
              <w:jc w:val="center"/>
              <w:rPr>
                <w:rFonts w:ascii="宋体" w:hAnsi="宋体"/>
                <w:color w:val="auto"/>
                <w:highlight w:val="none"/>
              </w:rPr>
            </w:pPr>
          </w:p>
        </w:tc>
      </w:tr>
      <w:tr w14:paraId="6BA0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348F3BFA">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4362B63A">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17642246">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2457F8A2">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06829FE9">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523720F3">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46113B5A">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79369925">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3D3C45F2">
            <w:pPr>
              <w:autoSpaceDE w:val="0"/>
              <w:autoSpaceDN w:val="0"/>
              <w:adjustRightInd w:val="0"/>
              <w:snapToGrid w:val="0"/>
              <w:ind w:firstLine="422"/>
              <w:jc w:val="center"/>
              <w:rPr>
                <w:rFonts w:ascii="宋体" w:hAnsi="宋体"/>
                <w:color w:val="auto"/>
                <w:highlight w:val="none"/>
              </w:rPr>
            </w:pPr>
          </w:p>
        </w:tc>
      </w:tr>
      <w:tr w14:paraId="3072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6F1D2D4B">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68AFBE53">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5D2944FF">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21BB2C5B">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55CDAA5D">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41644970">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03B45610">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7D65F6CE">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12C995A4">
            <w:pPr>
              <w:autoSpaceDE w:val="0"/>
              <w:autoSpaceDN w:val="0"/>
              <w:adjustRightInd w:val="0"/>
              <w:snapToGrid w:val="0"/>
              <w:ind w:firstLine="422"/>
              <w:jc w:val="center"/>
              <w:rPr>
                <w:rFonts w:ascii="宋体" w:hAnsi="宋体"/>
                <w:color w:val="auto"/>
                <w:highlight w:val="none"/>
              </w:rPr>
            </w:pPr>
          </w:p>
        </w:tc>
      </w:tr>
      <w:tr w14:paraId="3BEE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3F0A8B5F">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148A3CF5">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65A26EC5">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3F84D7D2">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6A8CB4F8">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14E84CEA">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00C5221B">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374C6999">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4AA994CC">
            <w:pPr>
              <w:autoSpaceDE w:val="0"/>
              <w:autoSpaceDN w:val="0"/>
              <w:adjustRightInd w:val="0"/>
              <w:snapToGrid w:val="0"/>
              <w:ind w:firstLine="422"/>
              <w:jc w:val="center"/>
              <w:rPr>
                <w:rFonts w:ascii="宋体" w:hAnsi="宋体"/>
                <w:color w:val="auto"/>
                <w:highlight w:val="none"/>
              </w:rPr>
            </w:pPr>
          </w:p>
        </w:tc>
      </w:tr>
      <w:tr w14:paraId="5221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3BFA0E06">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49C2981E">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39D6CB8A">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50C5CEE3">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5CEEE304">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04E79965">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2D28B17A">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5889E78F">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789D335F">
            <w:pPr>
              <w:autoSpaceDE w:val="0"/>
              <w:autoSpaceDN w:val="0"/>
              <w:adjustRightInd w:val="0"/>
              <w:snapToGrid w:val="0"/>
              <w:ind w:firstLine="422"/>
              <w:jc w:val="center"/>
              <w:rPr>
                <w:rFonts w:ascii="宋体" w:hAnsi="宋体"/>
                <w:color w:val="auto"/>
                <w:highlight w:val="none"/>
              </w:rPr>
            </w:pPr>
          </w:p>
        </w:tc>
      </w:tr>
      <w:tr w14:paraId="3D26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64DAF947">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6543BD85">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15E45567">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0936E868">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1FBFD224">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203119CE">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6C9475A0">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33A49BA7">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3EBD419E">
            <w:pPr>
              <w:autoSpaceDE w:val="0"/>
              <w:autoSpaceDN w:val="0"/>
              <w:adjustRightInd w:val="0"/>
              <w:snapToGrid w:val="0"/>
              <w:ind w:firstLine="422"/>
              <w:jc w:val="center"/>
              <w:rPr>
                <w:rFonts w:ascii="宋体" w:hAnsi="宋体"/>
                <w:color w:val="auto"/>
                <w:highlight w:val="none"/>
              </w:rPr>
            </w:pPr>
          </w:p>
        </w:tc>
      </w:tr>
      <w:tr w14:paraId="7138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081716EE">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7DADBCEF">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1144A73F">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34B8796F">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7E4AB374">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29C61D8C">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26B238CC">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328995C9">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011CF9C0">
            <w:pPr>
              <w:autoSpaceDE w:val="0"/>
              <w:autoSpaceDN w:val="0"/>
              <w:adjustRightInd w:val="0"/>
              <w:snapToGrid w:val="0"/>
              <w:ind w:firstLine="422"/>
              <w:jc w:val="center"/>
              <w:rPr>
                <w:rFonts w:ascii="宋体" w:hAnsi="宋体"/>
                <w:color w:val="auto"/>
                <w:highlight w:val="none"/>
              </w:rPr>
            </w:pPr>
          </w:p>
        </w:tc>
      </w:tr>
      <w:tr w14:paraId="115B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51C9C752">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1D87721D">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0A316A0C">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70F78650">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1793894F">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6C411344">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7F88B3AE">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50AAA3D0">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13CD71E5">
            <w:pPr>
              <w:autoSpaceDE w:val="0"/>
              <w:autoSpaceDN w:val="0"/>
              <w:adjustRightInd w:val="0"/>
              <w:snapToGrid w:val="0"/>
              <w:ind w:firstLine="422"/>
              <w:jc w:val="center"/>
              <w:rPr>
                <w:rFonts w:ascii="宋体" w:hAnsi="宋体"/>
                <w:color w:val="auto"/>
                <w:highlight w:val="none"/>
              </w:rPr>
            </w:pPr>
          </w:p>
        </w:tc>
      </w:tr>
      <w:tr w14:paraId="75B0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0E88B349">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1ACF1BE3">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01195F3A">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33680B63">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759D8738">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65483FC2">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388C39DB">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1EC99A05">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467F3CF2">
            <w:pPr>
              <w:autoSpaceDE w:val="0"/>
              <w:autoSpaceDN w:val="0"/>
              <w:adjustRightInd w:val="0"/>
              <w:snapToGrid w:val="0"/>
              <w:ind w:firstLine="422"/>
              <w:jc w:val="center"/>
              <w:rPr>
                <w:rFonts w:ascii="宋体" w:hAnsi="宋体"/>
                <w:color w:val="auto"/>
                <w:highlight w:val="none"/>
              </w:rPr>
            </w:pPr>
          </w:p>
        </w:tc>
      </w:tr>
      <w:tr w14:paraId="4EB1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5EC6A604">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0CB73C0C">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41B6138C">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7D1D6F61">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48A2EFEC">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713F1DA9">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0F5B889A">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37F60E6F">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42A468AC">
            <w:pPr>
              <w:autoSpaceDE w:val="0"/>
              <w:autoSpaceDN w:val="0"/>
              <w:adjustRightInd w:val="0"/>
              <w:snapToGrid w:val="0"/>
              <w:ind w:firstLine="422"/>
              <w:jc w:val="center"/>
              <w:rPr>
                <w:rFonts w:ascii="宋体" w:hAnsi="宋体"/>
                <w:color w:val="auto"/>
                <w:highlight w:val="none"/>
              </w:rPr>
            </w:pPr>
          </w:p>
        </w:tc>
      </w:tr>
      <w:tr w14:paraId="6EEB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4A78E7E7">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3D2144DB">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04834568">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295975B4">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72BB8D23">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75B425C8">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40448060">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308B2A75">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1C12D232">
            <w:pPr>
              <w:autoSpaceDE w:val="0"/>
              <w:autoSpaceDN w:val="0"/>
              <w:adjustRightInd w:val="0"/>
              <w:snapToGrid w:val="0"/>
              <w:ind w:firstLine="422"/>
              <w:jc w:val="center"/>
              <w:rPr>
                <w:rFonts w:ascii="宋体" w:hAnsi="宋体"/>
                <w:color w:val="auto"/>
                <w:highlight w:val="none"/>
              </w:rPr>
            </w:pPr>
          </w:p>
        </w:tc>
      </w:tr>
      <w:tr w14:paraId="5AC46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596418BC">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05B6CD86">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4597B246">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3B51B96B">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78E3983C">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17262A0B">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655B2C7C">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01C7641B">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4980142A">
            <w:pPr>
              <w:autoSpaceDE w:val="0"/>
              <w:autoSpaceDN w:val="0"/>
              <w:adjustRightInd w:val="0"/>
              <w:snapToGrid w:val="0"/>
              <w:ind w:firstLine="422"/>
              <w:jc w:val="center"/>
              <w:rPr>
                <w:rFonts w:ascii="宋体" w:hAnsi="宋体"/>
                <w:color w:val="auto"/>
                <w:highlight w:val="none"/>
              </w:rPr>
            </w:pPr>
          </w:p>
        </w:tc>
      </w:tr>
      <w:tr w14:paraId="66AA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64FDCA09">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59E3CB00">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00DD8D75">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1E661EBB">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5B826806">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44BD7634">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48C047A6">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5900E6FD">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31235663">
            <w:pPr>
              <w:autoSpaceDE w:val="0"/>
              <w:autoSpaceDN w:val="0"/>
              <w:adjustRightInd w:val="0"/>
              <w:snapToGrid w:val="0"/>
              <w:ind w:firstLine="422"/>
              <w:jc w:val="center"/>
              <w:rPr>
                <w:rFonts w:ascii="宋体" w:hAnsi="宋体"/>
                <w:color w:val="auto"/>
                <w:highlight w:val="none"/>
              </w:rPr>
            </w:pPr>
          </w:p>
        </w:tc>
      </w:tr>
      <w:tr w14:paraId="5489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5332ED60">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1835FA48">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2FA1313E">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4A6465FE">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377A2182">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6F6C83FB">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4E297889">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12BB3835">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202FD3B4">
            <w:pPr>
              <w:autoSpaceDE w:val="0"/>
              <w:autoSpaceDN w:val="0"/>
              <w:adjustRightInd w:val="0"/>
              <w:snapToGrid w:val="0"/>
              <w:ind w:firstLine="422"/>
              <w:jc w:val="center"/>
              <w:rPr>
                <w:rFonts w:ascii="宋体" w:hAnsi="宋体"/>
                <w:color w:val="auto"/>
                <w:highlight w:val="none"/>
              </w:rPr>
            </w:pPr>
          </w:p>
        </w:tc>
      </w:tr>
      <w:tr w14:paraId="26E8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8" w:type="dxa"/>
            <w:vAlign w:val="center"/>
          </w:tcPr>
          <w:p w14:paraId="485CDEC3">
            <w:pPr>
              <w:autoSpaceDE w:val="0"/>
              <w:autoSpaceDN w:val="0"/>
              <w:adjustRightInd w:val="0"/>
              <w:snapToGrid w:val="0"/>
              <w:ind w:firstLine="422"/>
              <w:jc w:val="center"/>
              <w:rPr>
                <w:rFonts w:ascii="宋体" w:hAnsi="宋体"/>
                <w:color w:val="auto"/>
                <w:szCs w:val="21"/>
                <w:highlight w:val="none"/>
                <w:lang w:val="zh-CN"/>
              </w:rPr>
            </w:pPr>
          </w:p>
        </w:tc>
        <w:tc>
          <w:tcPr>
            <w:tcW w:w="1316" w:type="dxa"/>
            <w:vAlign w:val="center"/>
          </w:tcPr>
          <w:p w14:paraId="3A4E9190">
            <w:pPr>
              <w:autoSpaceDE w:val="0"/>
              <w:autoSpaceDN w:val="0"/>
              <w:adjustRightInd w:val="0"/>
              <w:snapToGrid w:val="0"/>
              <w:ind w:firstLine="422"/>
              <w:jc w:val="center"/>
              <w:rPr>
                <w:rFonts w:ascii="宋体" w:hAnsi="宋体"/>
                <w:color w:val="auto"/>
                <w:szCs w:val="21"/>
                <w:highlight w:val="none"/>
                <w:lang w:val="zh-CN"/>
              </w:rPr>
            </w:pPr>
          </w:p>
        </w:tc>
        <w:tc>
          <w:tcPr>
            <w:tcW w:w="1298" w:type="dxa"/>
            <w:vAlign w:val="center"/>
          </w:tcPr>
          <w:p w14:paraId="025AC6AC">
            <w:pPr>
              <w:autoSpaceDE w:val="0"/>
              <w:autoSpaceDN w:val="0"/>
              <w:adjustRightInd w:val="0"/>
              <w:snapToGrid w:val="0"/>
              <w:ind w:firstLine="422"/>
              <w:jc w:val="center"/>
              <w:rPr>
                <w:rFonts w:ascii="宋体" w:hAnsi="宋体"/>
                <w:color w:val="auto"/>
                <w:szCs w:val="21"/>
                <w:highlight w:val="none"/>
                <w:lang w:val="zh-CN"/>
              </w:rPr>
            </w:pPr>
          </w:p>
        </w:tc>
        <w:tc>
          <w:tcPr>
            <w:tcW w:w="1359" w:type="dxa"/>
            <w:vAlign w:val="center"/>
          </w:tcPr>
          <w:p w14:paraId="56C488BC">
            <w:pPr>
              <w:autoSpaceDE w:val="0"/>
              <w:autoSpaceDN w:val="0"/>
              <w:adjustRightInd w:val="0"/>
              <w:snapToGrid w:val="0"/>
              <w:ind w:firstLine="422"/>
              <w:jc w:val="center"/>
              <w:rPr>
                <w:rFonts w:ascii="宋体" w:hAnsi="宋体"/>
                <w:color w:val="auto"/>
                <w:szCs w:val="21"/>
                <w:highlight w:val="none"/>
              </w:rPr>
            </w:pPr>
          </w:p>
        </w:tc>
        <w:tc>
          <w:tcPr>
            <w:tcW w:w="741" w:type="dxa"/>
            <w:vAlign w:val="center"/>
          </w:tcPr>
          <w:p w14:paraId="248F978F">
            <w:pPr>
              <w:autoSpaceDE w:val="0"/>
              <w:autoSpaceDN w:val="0"/>
              <w:adjustRightInd w:val="0"/>
              <w:snapToGrid w:val="0"/>
              <w:ind w:firstLine="422"/>
              <w:jc w:val="center"/>
              <w:rPr>
                <w:rFonts w:ascii="宋体" w:hAnsi="宋体"/>
                <w:color w:val="auto"/>
                <w:szCs w:val="21"/>
                <w:highlight w:val="none"/>
                <w:lang w:val="zh-CN"/>
              </w:rPr>
            </w:pPr>
          </w:p>
        </w:tc>
        <w:tc>
          <w:tcPr>
            <w:tcW w:w="778" w:type="dxa"/>
            <w:vAlign w:val="center"/>
          </w:tcPr>
          <w:p w14:paraId="79315F16">
            <w:pPr>
              <w:autoSpaceDE w:val="0"/>
              <w:autoSpaceDN w:val="0"/>
              <w:adjustRightInd w:val="0"/>
              <w:snapToGrid w:val="0"/>
              <w:ind w:firstLine="422"/>
              <w:jc w:val="center"/>
              <w:rPr>
                <w:rFonts w:ascii="宋体" w:hAnsi="宋体"/>
                <w:color w:val="auto"/>
                <w:szCs w:val="21"/>
                <w:highlight w:val="none"/>
                <w:lang w:val="zh-CN"/>
              </w:rPr>
            </w:pPr>
          </w:p>
        </w:tc>
        <w:tc>
          <w:tcPr>
            <w:tcW w:w="881" w:type="dxa"/>
            <w:vAlign w:val="center"/>
          </w:tcPr>
          <w:p w14:paraId="3A6DC38B">
            <w:pPr>
              <w:autoSpaceDE w:val="0"/>
              <w:autoSpaceDN w:val="0"/>
              <w:adjustRightInd w:val="0"/>
              <w:snapToGrid w:val="0"/>
              <w:ind w:firstLine="422"/>
              <w:jc w:val="center"/>
              <w:rPr>
                <w:rFonts w:ascii="宋体" w:hAnsi="宋体"/>
                <w:color w:val="auto"/>
                <w:szCs w:val="21"/>
                <w:highlight w:val="none"/>
                <w:lang w:val="zh-CN"/>
              </w:rPr>
            </w:pPr>
          </w:p>
        </w:tc>
        <w:tc>
          <w:tcPr>
            <w:tcW w:w="1013" w:type="dxa"/>
            <w:vAlign w:val="center"/>
          </w:tcPr>
          <w:p w14:paraId="5FA97F22">
            <w:pPr>
              <w:autoSpaceDE w:val="0"/>
              <w:autoSpaceDN w:val="0"/>
              <w:adjustRightInd w:val="0"/>
              <w:snapToGrid w:val="0"/>
              <w:ind w:firstLine="422"/>
              <w:jc w:val="center"/>
              <w:rPr>
                <w:rFonts w:ascii="宋体" w:hAnsi="宋体"/>
                <w:color w:val="auto"/>
                <w:szCs w:val="21"/>
                <w:highlight w:val="none"/>
                <w:lang w:val="zh-CN"/>
              </w:rPr>
            </w:pPr>
          </w:p>
        </w:tc>
        <w:tc>
          <w:tcPr>
            <w:tcW w:w="1438" w:type="dxa"/>
            <w:vAlign w:val="center"/>
          </w:tcPr>
          <w:p w14:paraId="33E3690D">
            <w:pPr>
              <w:autoSpaceDE w:val="0"/>
              <w:autoSpaceDN w:val="0"/>
              <w:adjustRightInd w:val="0"/>
              <w:snapToGrid w:val="0"/>
              <w:ind w:firstLine="422"/>
              <w:jc w:val="center"/>
              <w:rPr>
                <w:rFonts w:ascii="宋体" w:hAnsi="宋体"/>
                <w:color w:val="auto"/>
                <w:highlight w:val="none"/>
              </w:rPr>
            </w:pPr>
          </w:p>
        </w:tc>
      </w:tr>
      <w:tr w14:paraId="73F3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54" w:type="dxa"/>
            <w:gridSpan w:val="2"/>
            <w:vAlign w:val="center"/>
          </w:tcPr>
          <w:p w14:paraId="5304FB02">
            <w:pPr>
              <w:autoSpaceDE w:val="0"/>
              <w:autoSpaceDN w:val="0"/>
              <w:adjustRightInd w:val="0"/>
              <w:snapToGrid w:val="0"/>
              <w:ind w:firstLine="422"/>
              <w:jc w:val="center"/>
              <w:rPr>
                <w:rFonts w:ascii="宋体" w:hAnsi="宋体"/>
                <w:color w:val="auto"/>
                <w:szCs w:val="21"/>
                <w:highlight w:val="none"/>
                <w:lang w:val="zh-CN"/>
              </w:rPr>
            </w:pPr>
            <w:r>
              <w:rPr>
                <w:rFonts w:hint="eastAsia" w:ascii="宋体" w:hAnsi="宋体"/>
                <w:color w:val="auto"/>
                <w:highlight w:val="none"/>
                <w:lang w:val="zh-CN"/>
              </w:rPr>
              <w:t>投标总报价：</w:t>
            </w:r>
          </w:p>
        </w:tc>
        <w:tc>
          <w:tcPr>
            <w:tcW w:w="7508" w:type="dxa"/>
            <w:gridSpan w:val="7"/>
            <w:vAlign w:val="center"/>
          </w:tcPr>
          <w:p w14:paraId="6C146BCC">
            <w:pPr>
              <w:autoSpaceDE w:val="0"/>
              <w:autoSpaceDN w:val="0"/>
              <w:adjustRightInd w:val="0"/>
              <w:snapToGrid w:val="0"/>
              <w:ind w:firstLine="422"/>
              <w:jc w:val="center"/>
              <w:rPr>
                <w:rFonts w:ascii="宋体" w:hAnsi="宋体"/>
                <w:color w:val="auto"/>
                <w:highlight w:val="none"/>
              </w:rPr>
            </w:pPr>
            <w:r>
              <w:rPr>
                <w:rFonts w:hint="eastAsia" w:ascii="宋体" w:hAnsi="宋体"/>
                <w:color w:val="auto"/>
                <w:highlight w:val="none"/>
                <w:lang w:val="zh-CN"/>
              </w:rPr>
              <w:t>大写：元</w:t>
            </w:r>
          </w:p>
        </w:tc>
      </w:tr>
      <w:tr w14:paraId="1095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462" w:type="dxa"/>
            <w:gridSpan w:val="9"/>
            <w:vAlign w:val="center"/>
          </w:tcPr>
          <w:p w14:paraId="66E634A6">
            <w:pPr>
              <w:autoSpaceDE w:val="0"/>
              <w:autoSpaceDN w:val="0"/>
              <w:adjustRightInd w:val="0"/>
              <w:snapToGrid w:val="0"/>
              <w:ind w:firstLine="422"/>
              <w:jc w:val="left"/>
              <w:rPr>
                <w:rFonts w:ascii="宋体" w:hAnsi="宋体"/>
                <w:color w:val="auto"/>
                <w:highlight w:val="none"/>
                <w:lang w:val="zh-CN"/>
              </w:rPr>
            </w:pPr>
            <w:r>
              <w:rPr>
                <w:rFonts w:hint="eastAsia" w:ascii="宋体" w:hAnsi="宋体"/>
                <w:color w:val="auto"/>
                <w:highlight w:val="none"/>
                <w:lang w:val="zh-CN"/>
              </w:rPr>
              <w:t>交货期限：</w:t>
            </w:r>
          </w:p>
        </w:tc>
      </w:tr>
    </w:tbl>
    <w:p w14:paraId="241B90BA">
      <w:pPr>
        <w:pStyle w:val="84"/>
        <w:snapToGrid w:val="0"/>
        <w:spacing w:line="360" w:lineRule="auto"/>
        <w:ind w:firstLine="420" w:firstLineChars="200"/>
        <w:rPr>
          <w:rFonts w:hAnsi="宋体" w:eastAsia="宋体"/>
          <w:color w:val="auto"/>
          <w:sz w:val="21"/>
          <w:highlight w:val="none"/>
        </w:rPr>
      </w:pPr>
    </w:p>
    <w:p w14:paraId="369B15A4">
      <w:pPr>
        <w:pStyle w:val="84"/>
        <w:snapToGrid w:val="0"/>
        <w:spacing w:line="360" w:lineRule="auto"/>
        <w:ind w:firstLine="420" w:firstLineChars="200"/>
        <w:rPr>
          <w:rFonts w:hAnsi="宋体" w:eastAsia="宋体"/>
          <w:color w:val="auto"/>
          <w:sz w:val="21"/>
          <w:highlight w:val="none"/>
        </w:rPr>
      </w:pPr>
      <w:r>
        <w:rPr>
          <w:rFonts w:hint="eastAsia" w:hAnsi="宋体" w:eastAsia="宋体"/>
          <w:color w:val="auto"/>
          <w:sz w:val="21"/>
          <w:highlight w:val="none"/>
        </w:rPr>
        <w:t>投标单位（签章）：</w:t>
      </w:r>
    </w:p>
    <w:p w14:paraId="7AE72A8F">
      <w:pPr>
        <w:pStyle w:val="84"/>
        <w:snapToGrid w:val="0"/>
        <w:spacing w:line="360" w:lineRule="auto"/>
        <w:ind w:firstLine="420" w:firstLineChars="200"/>
        <w:rPr>
          <w:rFonts w:hAnsi="宋体" w:eastAsia="宋体"/>
          <w:color w:val="auto"/>
          <w:sz w:val="21"/>
          <w:highlight w:val="none"/>
        </w:rPr>
      </w:pPr>
      <w:r>
        <w:rPr>
          <w:rFonts w:hint="eastAsia" w:hAnsi="宋体" w:eastAsia="宋体"/>
          <w:color w:val="auto"/>
          <w:sz w:val="21"/>
          <w:highlight w:val="none"/>
        </w:rPr>
        <w:t>日期：年月日</w:t>
      </w:r>
    </w:p>
    <w:p w14:paraId="5BBBC806">
      <w:pPr>
        <w:autoSpaceDE w:val="0"/>
        <w:autoSpaceDN w:val="0"/>
        <w:adjustRightInd w:val="0"/>
        <w:snapToGrid w:val="0"/>
        <w:spacing w:line="360" w:lineRule="auto"/>
        <w:ind w:firstLine="420"/>
        <w:jc w:val="center"/>
        <w:rPr>
          <w:rFonts w:ascii="宋体" w:hAnsi="宋体"/>
          <w:b/>
          <w:bCs/>
          <w:color w:val="auto"/>
          <w:szCs w:val="21"/>
          <w:highlight w:val="none"/>
          <w:lang w:val="zh-CN"/>
        </w:rPr>
      </w:pPr>
    </w:p>
    <w:p w14:paraId="4B701317">
      <w:pPr>
        <w:ind w:firstLine="420"/>
        <w:rPr>
          <w:rFonts w:hAnsi="宋体"/>
          <w:b/>
          <w:bCs/>
          <w:color w:val="auto"/>
          <w:szCs w:val="21"/>
          <w:highlight w:val="none"/>
          <w:lang w:val="zh-CN"/>
        </w:rPr>
      </w:pPr>
    </w:p>
    <w:p w14:paraId="42A57FC1">
      <w:pPr>
        <w:pStyle w:val="42"/>
        <w:ind w:firstLine="402"/>
        <w:rPr>
          <w:rFonts w:hAnsi="宋体"/>
          <w:b/>
          <w:bCs/>
          <w:color w:val="auto"/>
          <w:szCs w:val="21"/>
          <w:highlight w:val="none"/>
          <w:lang w:val="zh-CN"/>
        </w:rPr>
      </w:pPr>
    </w:p>
    <w:p w14:paraId="50B0BAFF">
      <w:pPr>
        <w:adjustRightInd w:val="0"/>
        <w:snapToGrid w:val="0"/>
        <w:spacing w:line="360" w:lineRule="auto"/>
        <w:rPr>
          <w:rFonts w:ascii="宋体" w:hAnsi="宋体"/>
          <w:b/>
          <w:bCs/>
          <w:color w:val="auto"/>
          <w:szCs w:val="21"/>
          <w:highlight w:val="none"/>
          <w:lang w:val="zh-CN"/>
        </w:rPr>
      </w:pPr>
      <w:r>
        <w:rPr>
          <w:rFonts w:hint="eastAsia" w:ascii="宋体" w:hAnsi="宋体"/>
          <w:b/>
          <w:bCs/>
          <w:color w:val="auto"/>
          <w:szCs w:val="21"/>
          <w:highlight w:val="none"/>
        </w:rPr>
        <w:t>备注：</w:t>
      </w:r>
      <w:r>
        <w:rPr>
          <w:rFonts w:hint="eastAsia" w:ascii="宋体" w:hAnsi="宋体"/>
          <w:b/>
          <w:bCs/>
          <w:color w:val="auto"/>
          <w:szCs w:val="21"/>
          <w:highlight w:val="none"/>
          <w:lang w:val="zh-CN"/>
        </w:rPr>
        <w:t>1、请投标单位按照上述格式分析投标总报价，本项投标总报价需与开标一览表投标总报价一致。</w:t>
      </w:r>
    </w:p>
    <w:p w14:paraId="04D2DBFF">
      <w:pPr>
        <w:adjustRightInd w:val="0"/>
        <w:snapToGrid w:val="0"/>
        <w:spacing w:line="360" w:lineRule="auto"/>
        <w:ind w:firstLine="422" w:firstLineChars="200"/>
        <w:rPr>
          <w:rFonts w:ascii="宋体" w:hAnsi="宋体"/>
          <w:b/>
          <w:bCs/>
          <w:color w:val="auto"/>
          <w:szCs w:val="21"/>
          <w:highlight w:val="none"/>
          <w:lang w:val="zh-CN"/>
        </w:rPr>
      </w:pPr>
      <w:r>
        <w:rPr>
          <w:rFonts w:hint="eastAsia" w:ascii="宋体" w:hAnsi="宋体"/>
          <w:b/>
          <w:bCs/>
          <w:color w:val="auto"/>
          <w:szCs w:val="21"/>
          <w:highlight w:val="none"/>
          <w:lang w:val="zh-CN"/>
        </w:rPr>
        <w:t>2、投标总报价应包括产品供货、辅助材料、备品备件、运输、仓储、发货、送货、安装、调试、人工、机械、装卸、培训、保险、运费、</w:t>
      </w:r>
      <w:r>
        <w:rPr>
          <w:rFonts w:hint="eastAsia" w:ascii="宋体" w:hAnsi="宋体"/>
          <w:b/>
          <w:bCs/>
          <w:color w:val="auto"/>
          <w:szCs w:val="21"/>
          <w:highlight w:val="none"/>
          <w:lang w:val="en-US" w:eastAsia="zh-CN"/>
        </w:rPr>
        <w:t>招标代理服务费、</w:t>
      </w:r>
      <w:r>
        <w:rPr>
          <w:rFonts w:hint="eastAsia" w:ascii="宋体" w:hAnsi="宋体"/>
          <w:b/>
          <w:bCs/>
          <w:color w:val="auto"/>
          <w:szCs w:val="21"/>
          <w:highlight w:val="none"/>
          <w:lang w:val="zh-CN"/>
        </w:rPr>
        <w:t>各种税费、劳保、专利技术及质保等完成本次项目所需的一切费用。</w:t>
      </w:r>
    </w:p>
    <w:bookmarkEnd w:id="41"/>
    <w:p w14:paraId="24BE1E3C">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附件5、</w:t>
      </w:r>
      <w:bookmarkStart w:id="42" w:name="_Toc532444344"/>
      <w:bookmarkStart w:id="43" w:name="_Toc2583142"/>
      <w:bookmarkStart w:id="44" w:name="_Toc532444506"/>
      <w:bookmarkStart w:id="45" w:name="_Toc7888"/>
      <w:bookmarkStart w:id="46" w:name="_Toc532452113"/>
      <w:bookmarkStart w:id="47" w:name="_Toc518926909"/>
      <w:r>
        <w:rPr>
          <w:rFonts w:hint="eastAsia" w:ascii="宋体" w:hAnsi="宋体" w:cs="宋体"/>
          <w:b/>
          <w:bCs/>
          <w:color w:val="auto"/>
          <w:szCs w:val="21"/>
          <w:highlight w:val="none"/>
        </w:rPr>
        <w:t>技术响应对照表</w:t>
      </w:r>
    </w:p>
    <w:p w14:paraId="4C9A8945">
      <w:pPr>
        <w:autoSpaceDE w:val="0"/>
        <w:autoSpaceDN w:val="0"/>
        <w:adjustRightInd w:val="0"/>
        <w:spacing w:line="360" w:lineRule="auto"/>
        <w:ind w:firstLine="420"/>
        <w:jc w:val="center"/>
        <w:rPr>
          <w:rFonts w:ascii="宋体" w:hAnsi="宋体" w:cs="宋体"/>
          <w:b/>
          <w:color w:val="auto"/>
          <w:szCs w:val="21"/>
          <w:highlight w:val="none"/>
        </w:rPr>
      </w:pPr>
    </w:p>
    <w:p w14:paraId="506236DA">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b/>
          <w:color w:val="auto"/>
          <w:szCs w:val="21"/>
          <w:highlight w:val="none"/>
        </w:rPr>
        <w:t>技术响应对照表</w:t>
      </w:r>
    </w:p>
    <w:p w14:paraId="6C30075C">
      <w:pPr>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招标编号：             号</w:t>
      </w:r>
      <w:r>
        <w:rPr>
          <w:rFonts w:hint="eastAsia" w:ascii="宋体" w:hAnsi="宋体"/>
          <w:color w:val="auto"/>
          <w:szCs w:val="21"/>
          <w:highlight w:val="none"/>
          <w:lang w:val="zh-CN"/>
        </w:rPr>
        <w:t>项目名称：</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861"/>
        <w:gridCol w:w="1676"/>
        <w:gridCol w:w="1490"/>
        <w:gridCol w:w="1758"/>
        <w:gridCol w:w="1817"/>
      </w:tblGrid>
      <w:tr w14:paraId="761DB8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53A51D69">
            <w:pPr>
              <w:spacing w:before="240" w:after="240"/>
              <w:rPr>
                <w:rFonts w:ascii="宋体" w:hAnsi="宋体" w:cs="宋体"/>
                <w:color w:val="auto"/>
                <w:szCs w:val="21"/>
                <w:highlight w:val="none"/>
              </w:rPr>
            </w:pPr>
            <w:r>
              <w:rPr>
                <w:rFonts w:hint="eastAsia" w:ascii="宋体" w:hAnsi="宋体"/>
                <w:color w:val="auto"/>
                <w:szCs w:val="21"/>
                <w:highlight w:val="none"/>
              </w:rPr>
              <w:t>序号</w:t>
            </w:r>
          </w:p>
        </w:tc>
        <w:tc>
          <w:tcPr>
            <w:tcW w:w="1828" w:type="dxa"/>
            <w:vAlign w:val="center"/>
          </w:tcPr>
          <w:p w14:paraId="26B25A69">
            <w:pPr>
              <w:ind w:firstLine="422"/>
              <w:rPr>
                <w:rFonts w:ascii="宋体" w:hAnsi="宋体" w:cs="宋体"/>
                <w:color w:val="auto"/>
                <w:szCs w:val="21"/>
                <w:highlight w:val="none"/>
              </w:rPr>
            </w:pPr>
            <w:r>
              <w:rPr>
                <w:rFonts w:hint="eastAsia" w:ascii="宋体" w:hAnsi="宋体"/>
                <w:color w:val="auto"/>
                <w:szCs w:val="21"/>
                <w:highlight w:val="none"/>
              </w:rPr>
              <w:t>货物名称</w:t>
            </w:r>
          </w:p>
        </w:tc>
        <w:tc>
          <w:tcPr>
            <w:tcW w:w="1646" w:type="dxa"/>
            <w:vAlign w:val="center"/>
          </w:tcPr>
          <w:p w14:paraId="6DDEBE13">
            <w:pPr>
              <w:ind w:firstLine="422"/>
              <w:rPr>
                <w:rFonts w:ascii="宋体" w:hAnsi="宋体" w:cs="宋体"/>
                <w:color w:val="auto"/>
                <w:szCs w:val="21"/>
                <w:highlight w:val="none"/>
              </w:rPr>
            </w:pPr>
            <w:r>
              <w:rPr>
                <w:rFonts w:hint="eastAsia" w:ascii="宋体" w:hAnsi="宋体"/>
                <w:color w:val="auto"/>
                <w:szCs w:val="21"/>
                <w:highlight w:val="none"/>
              </w:rPr>
              <w:t>招标要求</w:t>
            </w:r>
          </w:p>
        </w:tc>
        <w:tc>
          <w:tcPr>
            <w:tcW w:w="1463" w:type="dxa"/>
            <w:vAlign w:val="center"/>
          </w:tcPr>
          <w:p w14:paraId="3FA6722F">
            <w:pPr>
              <w:ind w:firstLine="422"/>
              <w:rPr>
                <w:rFonts w:ascii="宋体" w:hAnsi="宋体" w:cs="宋体"/>
                <w:color w:val="auto"/>
                <w:szCs w:val="21"/>
                <w:highlight w:val="none"/>
              </w:rPr>
            </w:pPr>
            <w:r>
              <w:rPr>
                <w:rFonts w:hint="eastAsia" w:ascii="宋体" w:hAnsi="宋体"/>
                <w:color w:val="auto"/>
                <w:szCs w:val="21"/>
                <w:highlight w:val="none"/>
              </w:rPr>
              <w:t>投标要求</w:t>
            </w:r>
          </w:p>
        </w:tc>
        <w:tc>
          <w:tcPr>
            <w:tcW w:w="1726" w:type="dxa"/>
            <w:vAlign w:val="center"/>
          </w:tcPr>
          <w:p w14:paraId="015D85CB">
            <w:pPr>
              <w:ind w:firstLine="422"/>
              <w:jc w:val="center"/>
              <w:rPr>
                <w:rFonts w:ascii="宋体" w:hAnsi="宋体" w:cs="宋体"/>
                <w:color w:val="auto"/>
                <w:szCs w:val="21"/>
                <w:highlight w:val="none"/>
              </w:rPr>
            </w:pPr>
            <w:r>
              <w:rPr>
                <w:rFonts w:hint="eastAsia" w:ascii="宋体" w:hAnsi="宋体"/>
                <w:color w:val="auto"/>
                <w:szCs w:val="21"/>
                <w:highlight w:val="none"/>
              </w:rPr>
              <w:t>偏离/响应</w:t>
            </w:r>
          </w:p>
        </w:tc>
        <w:tc>
          <w:tcPr>
            <w:tcW w:w="1784" w:type="dxa"/>
            <w:vAlign w:val="center"/>
          </w:tcPr>
          <w:p w14:paraId="16D3DD22">
            <w:pPr>
              <w:ind w:firstLine="422"/>
              <w:jc w:val="center"/>
              <w:rPr>
                <w:rFonts w:ascii="宋体" w:hAnsi="宋体" w:cs="宋体"/>
                <w:color w:val="auto"/>
                <w:szCs w:val="21"/>
                <w:highlight w:val="none"/>
              </w:rPr>
            </w:pPr>
            <w:r>
              <w:rPr>
                <w:rFonts w:hint="eastAsia" w:ascii="宋体" w:hAnsi="宋体"/>
                <w:color w:val="auto"/>
                <w:szCs w:val="21"/>
                <w:highlight w:val="none"/>
              </w:rPr>
              <w:t>说明</w:t>
            </w:r>
          </w:p>
        </w:tc>
      </w:tr>
      <w:tr w14:paraId="3FCA56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01CCF3F7">
            <w:pPr>
              <w:spacing w:line="360" w:lineRule="auto"/>
              <w:ind w:firstLine="422"/>
              <w:rPr>
                <w:rFonts w:ascii="宋体" w:hAnsi="宋体" w:cs="宋体"/>
                <w:color w:val="auto"/>
                <w:szCs w:val="21"/>
                <w:highlight w:val="none"/>
              </w:rPr>
            </w:pPr>
          </w:p>
        </w:tc>
        <w:tc>
          <w:tcPr>
            <w:tcW w:w="1828" w:type="dxa"/>
            <w:vAlign w:val="center"/>
          </w:tcPr>
          <w:p w14:paraId="14CB01EB">
            <w:pPr>
              <w:spacing w:line="360" w:lineRule="auto"/>
              <w:ind w:firstLine="422"/>
              <w:rPr>
                <w:rFonts w:ascii="宋体" w:hAnsi="宋体" w:cs="宋体"/>
                <w:color w:val="auto"/>
                <w:szCs w:val="21"/>
                <w:highlight w:val="none"/>
              </w:rPr>
            </w:pPr>
          </w:p>
        </w:tc>
        <w:tc>
          <w:tcPr>
            <w:tcW w:w="1646" w:type="dxa"/>
            <w:vAlign w:val="center"/>
          </w:tcPr>
          <w:p w14:paraId="15EFA45E">
            <w:pPr>
              <w:spacing w:line="360" w:lineRule="auto"/>
              <w:ind w:firstLine="422"/>
              <w:rPr>
                <w:rFonts w:ascii="宋体" w:hAnsi="宋体" w:cs="宋体"/>
                <w:color w:val="auto"/>
                <w:szCs w:val="21"/>
                <w:highlight w:val="none"/>
              </w:rPr>
            </w:pPr>
          </w:p>
        </w:tc>
        <w:tc>
          <w:tcPr>
            <w:tcW w:w="1463" w:type="dxa"/>
            <w:vAlign w:val="center"/>
          </w:tcPr>
          <w:p w14:paraId="55267DD6">
            <w:pPr>
              <w:spacing w:line="360" w:lineRule="auto"/>
              <w:ind w:firstLine="422"/>
              <w:rPr>
                <w:rFonts w:ascii="宋体" w:hAnsi="宋体" w:cs="宋体"/>
                <w:color w:val="auto"/>
                <w:szCs w:val="21"/>
                <w:highlight w:val="none"/>
              </w:rPr>
            </w:pPr>
          </w:p>
        </w:tc>
        <w:tc>
          <w:tcPr>
            <w:tcW w:w="1726" w:type="dxa"/>
            <w:vAlign w:val="center"/>
          </w:tcPr>
          <w:p w14:paraId="2A0AC362">
            <w:pPr>
              <w:spacing w:line="360" w:lineRule="auto"/>
              <w:ind w:firstLine="422"/>
              <w:rPr>
                <w:rFonts w:ascii="宋体" w:hAnsi="宋体" w:cs="宋体"/>
                <w:color w:val="auto"/>
                <w:szCs w:val="21"/>
                <w:highlight w:val="none"/>
              </w:rPr>
            </w:pPr>
          </w:p>
        </w:tc>
        <w:tc>
          <w:tcPr>
            <w:tcW w:w="1784" w:type="dxa"/>
            <w:vAlign w:val="center"/>
          </w:tcPr>
          <w:p w14:paraId="4ADEC717">
            <w:pPr>
              <w:spacing w:line="360" w:lineRule="auto"/>
              <w:ind w:firstLine="422"/>
              <w:rPr>
                <w:rFonts w:ascii="宋体" w:hAnsi="宋体" w:cs="宋体"/>
                <w:color w:val="auto"/>
                <w:szCs w:val="21"/>
                <w:highlight w:val="none"/>
              </w:rPr>
            </w:pPr>
          </w:p>
        </w:tc>
      </w:tr>
      <w:tr w14:paraId="05734C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50FB9554">
            <w:pPr>
              <w:spacing w:line="360" w:lineRule="auto"/>
              <w:ind w:firstLine="422"/>
              <w:rPr>
                <w:rFonts w:ascii="宋体" w:hAnsi="宋体" w:cs="宋体"/>
                <w:color w:val="auto"/>
                <w:szCs w:val="21"/>
                <w:highlight w:val="none"/>
              </w:rPr>
            </w:pPr>
          </w:p>
        </w:tc>
        <w:tc>
          <w:tcPr>
            <w:tcW w:w="1828" w:type="dxa"/>
            <w:vAlign w:val="center"/>
          </w:tcPr>
          <w:p w14:paraId="761538B4">
            <w:pPr>
              <w:spacing w:line="360" w:lineRule="auto"/>
              <w:ind w:firstLine="422"/>
              <w:rPr>
                <w:rFonts w:ascii="宋体" w:hAnsi="宋体" w:cs="宋体"/>
                <w:color w:val="auto"/>
                <w:szCs w:val="21"/>
                <w:highlight w:val="none"/>
              </w:rPr>
            </w:pPr>
          </w:p>
        </w:tc>
        <w:tc>
          <w:tcPr>
            <w:tcW w:w="1646" w:type="dxa"/>
            <w:vAlign w:val="center"/>
          </w:tcPr>
          <w:p w14:paraId="39485703">
            <w:pPr>
              <w:spacing w:line="360" w:lineRule="auto"/>
              <w:ind w:firstLine="422"/>
              <w:rPr>
                <w:rFonts w:ascii="宋体" w:hAnsi="宋体" w:cs="宋体"/>
                <w:color w:val="auto"/>
                <w:szCs w:val="21"/>
                <w:highlight w:val="none"/>
              </w:rPr>
            </w:pPr>
          </w:p>
        </w:tc>
        <w:tc>
          <w:tcPr>
            <w:tcW w:w="1463" w:type="dxa"/>
            <w:vAlign w:val="center"/>
          </w:tcPr>
          <w:p w14:paraId="7AE81425">
            <w:pPr>
              <w:spacing w:line="360" w:lineRule="auto"/>
              <w:ind w:firstLine="422"/>
              <w:rPr>
                <w:rFonts w:ascii="宋体" w:hAnsi="宋体" w:cs="宋体"/>
                <w:color w:val="auto"/>
                <w:szCs w:val="21"/>
                <w:highlight w:val="none"/>
              </w:rPr>
            </w:pPr>
          </w:p>
        </w:tc>
        <w:tc>
          <w:tcPr>
            <w:tcW w:w="1726" w:type="dxa"/>
            <w:vAlign w:val="center"/>
          </w:tcPr>
          <w:p w14:paraId="1583857A">
            <w:pPr>
              <w:spacing w:line="360" w:lineRule="auto"/>
              <w:ind w:firstLine="422"/>
              <w:rPr>
                <w:rFonts w:ascii="宋体" w:hAnsi="宋体" w:cs="宋体"/>
                <w:color w:val="auto"/>
                <w:szCs w:val="21"/>
                <w:highlight w:val="none"/>
              </w:rPr>
            </w:pPr>
          </w:p>
        </w:tc>
        <w:tc>
          <w:tcPr>
            <w:tcW w:w="1784" w:type="dxa"/>
            <w:vAlign w:val="center"/>
          </w:tcPr>
          <w:p w14:paraId="1953E13B">
            <w:pPr>
              <w:spacing w:line="360" w:lineRule="auto"/>
              <w:ind w:firstLine="422"/>
              <w:rPr>
                <w:rFonts w:ascii="宋体" w:hAnsi="宋体" w:cs="宋体"/>
                <w:color w:val="auto"/>
                <w:szCs w:val="21"/>
                <w:highlight w:val="none"/>
              </w:rPr>
            </w:pPr>
          </w:p>
        </w:tc>
      </w:tr>
      <w:tr w14:paraId="66AF0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0DAD2804">
            <w:pPr>
              <w:spacing w:line="360" w:lineRule="auto"/>
              <w:ind w:firstLine="422"/>
              <w:rPr>
                <w:rFonts w:ascii="宋体" w:hAnsi="宋体" w:cs="宋体"/>
                <w:color w:val="auto"/>
                <w:szCs w:val="21"/>
                <w:highlight w:val="none"/>
              </w:rPr>
            </w:pPr>
          </w:p>
        </w:tc>
        <w:tc>
          <w:tcPr>
            <w:tcW w:w="1828" w:type="dxa"/>
            <w:vAlign w:val="center"/>
          </w:tcPr>
          <w:p w14:paraId="4E33B429">
            <w:pPr>
              <w:spacing w:line="360" w:lineRule="auto"/>
              <w:ind w:firstLine="422"/>
              <w:rPr>
                <w:rFonts w:ascii="宋体" w:hAnsi="宋体" w:cs="宋体"/>
                <w:color w:val="auto"/>
                <w:szCs w:val="21"/>
                <w:highlight w:val="none"/>
              </w:rPr>
            </w:pPr>
          </w:p>
        </w:tc>
        <w:tc>
          <w:tcPr>
            <w:tcW w:w="1646" w:type="dxa"/>
            <w:vAlign w:val="center"/>
          </w:tcPr>
          <w:p w14:paraId="2A5253CC">
            <w:pPr>
              <w:spacing w:line="360" w:lineRule="auto"/>
              <w:ind w:firstLine="422"/>
              <w:rPr>
                <w:rFonts w:ascii="宋体" w:hAnsi="宋体" w:cs="宋体"/>
                <w:color w:val="auto"/>
                <w:szCs w:val="21"/>
                <w:highlight w:val="none"/>
              </w:rPr>
            </w:pPr>
          </w:p>
        </w:tc>
        <w:tc>
          <w:tcPr>
            <w:tcW w:w="1463" w:type="dxa"/>
            <w:vAlign w:val="center"/>
          </w:tcPr>
          <w:p w14:paraId="27C1A8FD">
            <w:pPr>
              <w:spacing w:line="360" w:lineRule="auto"/>
              <w:ind w:firstLine="422"/>
              <w:rPr>
                <w:rFonts w:ascii="宋体" w:hAnsi="宋体" w:cs="宋体"/>
                <w:color w:val="auto"/>
                <w:szCs w:val="21"/>
                <w:highlight w:val="none"/>
              </w:rPr>
            </w:pPr>
          </w:p>
        </w:tc>
        <w:tc>
          <w:tcPr>
            <w:tcW w:w="1726" w:type="dxa"/>
            <w:vAlign w:val="center"/>
          </w:tcPr>
          <w:p w14:paraId="052AC5BB">
            <w:pPr>
              <w:spacing w:line="360" w:lineRule="auto"/>
              <w:ind w:firstLine="422"/>
              <w:rPr>
                <w:rFonts w:ascii="宋体" w:hAnsi="宋体" w:cs="宋体"/>
                <w:color w:val="auto"/>
                <w:szCs w:val="21"/>
                <w:highlight w:val="none"/>
              </w:rPr>
            </w:pPr>
          </w:p>
        </w:tc>
        <w:tc>
          <w:tcPr>
            <w:tcW w:w="1784" w:type="dxa"/>
            <w:vAlign w:val="center"/>
          </w:tcPr>
          <w:p w14:paraId="4663D94A">
            <w:pPr>
              <w:spacing w:line="360" w:lineRule="auto"/>
              <w:ind w:firstLine="422"/>
              <w:rPr>
                <w:rFonts w:ascii="宋体" w:hAnsi="宋体" w:cs="宋体"/>
                <w:color w:val="auto"/>
                <w:szCs w:val="21"/>
                <w:highlight w:val="none"/>
              </w:rPr>
            </w:pPr>
          </w:p>
        </w:tc>
      </w:tr>
      <w:tr w14:paraId="5215B0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0B451455">
            <w:pPr>
              <w:spacing w:line="360" w:lineRule="auto"/>
              <w:ind w:firstLine="422"/>
              <w:rPr>
                <w:rFonts w:ascii="宋体" w:hAnsi="宋体" w:cs="宋体"/>
                <w:color w:val="auto"/>
                <w:szCs w:val="21"/>
                <w:highlight w:val="none"/>
              </w:rPr>
            </w:pPr>
          </w:p>
        </w:tc>
        <w:tc>
          <w:tcPr>
            <w:tcW w:w="1828" w:type="dxa"/>
            <w:vAlign w:val="center"/>
          </w:tcPr>
          <w:p w14:paraId="7C7C21C2">
            <w:pPr>
              <w:spacing w:line="360" w:lineRule="auto"/>
              <w:ind w:firstLine="422"/>
              <w:rPr>
                <w:rFonts w:ascii="宋体" w:hAnsi="宋体" w:cs="宋体"/>
                <w:color w:val="auto"/>
                <w:szCs w:val="21"/>
                <w:highlight w:val="none"/>
              </w:rPr>
            </w:pPr>
          </w:p>
        </w:tc>
        <w:tc>
          <w:tcPr>
            <w:tcW w:w="1646" w:type="dxa"/>
            <w:vAlign w:val="center"/>
          </w:tcPr>
          <w:p w14:paraId="19D737E0">
            <w:pPr>
              <w:spacing w:line="360" w:lineRule="auto"/>
              <w:ind w:firstLine="422"/>
              <w:rPr>
                <w:rFonts w:ascii="宋体" w:hAnsi="宋体" w:cs="宋体"/>
                <w:color w:val="auto"/>
                <w:szCs w:val="21"/>
                <w:highlight w:val="none"/>
              </w:rPr>
            </w:pPr>
          </w:p>
        </w:tc>
        <w:tc>
          <w:tcPr>
            <w:tcW w:w="1463" w:type="dxa"/>
            <w:vAlign w:val="center"/>
          </w:tcPr>
          <w:p w14:paraId="354B9956">
            <w:pPr>
              <w:spacing w:line="360" w:lineRule="auto"/>
              <w:ind w:firstLine="422"/>
              <w:rPr>
                <w:rFonts w:ascii="宋体" w:hAnsi="宋体" w:cs="宋体"/>
                <w:color w:val="auto"/>
                <w:szCs w:val="21"/>
                <w:highlight w:val="none"/>
              </w:rPr>
            </w:pPr>
          </w:p>
        </w:tc>
        <w:tc>
          <w:tcPr>
            <w:tcW w:w="1726" w:type="dxa"/>
            <w:vAlign w:val="center"/>
          </w:tcPr>
          <w:p w14:paraId="6277658B">
            <w:pPr>
              <w:spacing w:line="360" w:lineRule="auto"/>
              <w:ind w:firstLine="422"/>
              <w:rPr>
                <w:rFonts w:ascii="宋体" w:hAnsi="宋体" w:cs="宋体"/>
                <w:color w:val="auto"/>
                <w:szCs w:val="21"/>
                <w:highlight w:val="none"/>
              </w:rPr>
            </w:pPr>
          </w:p>
        </w:tc>
        <w:tc>
          <w:tcPr>
            <w:tcW w:w="1784" w:type="dxa"/>
            <w:vAlign w:val="center"/>
          </w:tcPr>
          <w:p w14:paraId="0355762A">
            <w:pPr>
              <w:spacing w:line="360" w:lineRule="auto"/>
              <w:ind w:firstLine="422"/>
              <w:rPr>
                <w:rFonts w:ascii="宋体" w:hAnsi="宋体" w:cs="宋体"/>
                <w:color w:val="auto"/>
                <w:szCs w:val="21"/>
                <w:highlight w:val="none"/>
              </w:rPr>
            </w:pPr>
          </w:p>
        </w:tc>
      </w:tr>
      <w:tr w14:paraId="5D3EEE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42B88272">
            <w:pPr>
              <w:spacing w:line="360" w:lineRule="auto"/>
              <w:ind w:firstLine="422"/>
              <w:rPr>
                <w:rFonts w:ascii="宋体" w:hAnsi="宋体" w:cs="宋体"/>
                <w:color w:val="auto"/>
                <w:szCs w:val="21"/>
                <w:highlight w:val="none"/>
              </w:rPr>
            </w:pPr>
          </w:p>
        </w:tc>
        <w:tc>
          <w:tcPr>
            <w:tcW w:w="1828" w:type="dxa"/>
            <w:vAlign w:val="center"/>
          </w:tcPr>
          <w:p w14:paraId="3F6C255B">
            <w:pPr>
              <w:spacing w:line="360" w:lineRule="auto"/>
              <w:ind w:firstLine="422"/>
              <w:rPr>
                <w:rFonts w:ascii="宋体" w:hAnsi="宋体" w:cs="宋体"/>
                <w:color w:val="auto"/>
                <w:szCs w:val="21"/>
                <w:highlight w:val="none"/>
              </w:rPr>
            </w:pPr>
          </w:p>
        </w:tc>
        <w:tc>
          <w:tcPr>
            <w:tcW w:w="1646" w:type="dxa"/>
            <w:vAlign w:val="center"/>
          </w:tcPr>
          <w:p w14:paraId="08819E0E">
            <w:pPr>
              <w:spacing w:line="360" w:lineRule="auto"/>
              <w:ind w:firstLine="422"/>
              <w:rPr>
                <w:rFonts w:ascii="宋体" w:hAnsi="宋体" w:cs="宋体"/>
                <w:color w:val="auto"/>
                <w:szCs w:val="21"/>
                <w:highlight w:val="none"/>
              </w:rPr>
            </w:pPr>
          </w:p>
        </w:tc>
        <w:tc>
          <w:tcPr>
            <w:tcW w:w="1463" w:type="dxa"/>
            <w:vAlign w:val="center"/>
          </w:tcPr>
          <w:p w14:paraId="09603C49">
            <w:pPr>
              <w:spacing w:line="360" w:lineRule="auto"/>
              <w:ind w:firstLine="422"/>
              <w:rPr>
                <w:rFonts w:ascii="宋体" w:hAnsi="宋体" w:cs="宋体"/>
                <w:color w:val="auto"/>
                <w:szCs w:val="21"/>
                <w:highlight w:val="none"/>
              </w:rPr>
            </w:pPr>
          </w:p>
        </w:tc>
        <w:tc>
          <w:tcPr>
            <w:tcW w:w="1726" w:type="dxa"/>
            <w:vAlign w:val="center"/>
          </w:tcPr>
          <w:p w14:paraId="1B79D21E">
            <w:pPr>
              <w:spacing w:line="360" w:lineRule="auto"/>
              <w:ind w:firstLine="422"/>
              <w:rPr>
                <w:rFonts w:ascii="宋体" w:hAnsi="宋体" w:cs="宋体"/>
                <w:color w:val="auto"/>
                <w:szCs w:val="21"/>
                <w:highlight w:val="none"/>
              </w:rPr>
            </w:pPr>
          </w:p>
        </w:tc>
        <w:tc>
          <w:tcPr>
            <w:tcW w:w="1784" w:type="dxa"/>
            <w:vAlign w:val="center"/>
          </w:tcPr>
          <w:p w14:paraId="74BBFA1D">
            <w:pPr>
              <w:spacing w:line="360" w:lineRule="auto"/>
              <w:ind w:firstLine="422"/>
              <w:rPr>
                <w:rFonts w:ascii="宋体" w:hAnsi="宋体" w:cs="宋体"/>
                <w:color w:val="auto"/>
                <w:szCs w:val="21"/>
                <w:highlight w:val="none"/>
              </w:rPr>
            </w:pPr>
          </w:p>
        </w:tc>
      </w:tr>
      <w:tr w14:paraId="6C20FF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63F92AAE">
            <w:pPr>
              <w:spacing w:line="360" w:lineRule="auto"/>
              <w:ind w:firstLine="422"/>
              <w:rPr>
                <w:rFonts w:ascii="宋体" w:hAnsi="宋体" w:cs="宋体"/>
                <w:color w:val="auto"/>
                <w:szCs w:val="21"/>
                <w:highlight w:val="none"/>
              </w:rPr>
            </w:pPr>
          </w:p>
        </w:tc>
        <w:tc>
          <w:tcPr>
            <w:tcW w:w="1828" w:type="dxa"/>
            <w:vAlign w:val="center"/>
          </w:tcPr>
          <w:p w14:paraId="381B6F56">
            <w:pPr>
              <w:spacing w:line="360" w:lineRule="auto"/>
              <w:ind w:firstLine="422"/>
              <w:rPr>
                <w:rFonts w:ascii="宋体" w:hAnsi="宋体" w:cs="宋体"/>
                <w:color w:val="auto"/>
                <w:szCs w:val="21"/>
                <w:highlight w:val="none"/>
              </w:rPr>
            </w:pPr>
          </w:p>
        </w:tc>
        <w:tc>
          <w:tcPr>
            <w:tcW w:w="1646" w:type="dxa"/>
            <w:vAlign w:val="center"/>
          </w:tcPr>
          <w:p w14:paraId="2528CE42">
            <w:pPr>
              <w:spacing w:line="360" w:lineRule="auto"/>
              <w:ind w:firstLine="422"/>
              <w:rPr>
                <w:rFonts w:ascii="宋体" w:hAnsi="宋体" w:cs="宋体"/>
                <w:color w:val="auto"/>
                <w:szCs w:val="21"/>
                <w:highlight w:val="none"/>
              </w:rPr>
            </w:pPr>
          </w:p>
        </w:tc>
        <w:tc>
          <w:tcPr>
            <w:tcW w:w="1463" w:type="dxa"/>
            <w:vAlign w:val="center"/>
          </w:tcPr>
          <w:p w14:paraId="035159FF">
            <w:pPr>
              <w:spacing w:line="360" w:lineRule="auto"/>
              <w:ind w:firstLine="422"/>
              <w:rPr>
                <w:rFonts w:ascii="宋体" w:hAnsi="宋体" w:cs="宋体"/>
                <w:color w:val="auto"/>
                <w:szCs w:val="21"/>
                <w:highlight w:val="none"/>
              </w:rPr>
            </w:pPr>
          </w:p>
        </w:tc>
        <w:tc>
          <w:tcPr>
            <w:tcW w:w="1726" w:type="dxa"/>
            <w:vAlign w:val="center"/>
          </w:tcPr>
          <w:p w14:paraId="0F0AE8BC">
            <w:pPr>
              <w:spacing w:line="360" w:lineRule="auto"/>
              <w:ind w:firstLine="422"/>
              <w:rPr>
                <w:rFonts w:ascii="宋体" w:hAnsi="宋体" w:cs="宋体"/>
                <w:color w:val="auto"/>
                <w:szCs w:val="21"/>
                <w:highlight w:val="none"/>
              </w:rPr>
            </w:pPr>
          </w:p>
        </w:tc>
        <w:tc>
          <w:tcPr>
            <w:tcW w:w="1784" w:type="dxa"/>
            <w:vAlign w:val="center"/>
          </w:tcPr>
          <w:p w14:paraId="6708E7B0">
            <w:pPr>
              <w:spacing w:line="360" w:lineRule="auto"/>
              <w:ind w:firstLine="422"/>
              <w:rPr>
                <w:rFonts w:ascii="宋体" w:hAnsi="宋体" w:cs="宋体"/>
                <w:color w:val="auto"/>
                <w:szCs w:val="21"/>
                <w:highlight w:val="none"/>
              </w:rPr>
            </w:pPr>
          </w:p>
        </w:tc>
      </w:tr>
      <w:tr w14:paraId="0F7A54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25E9BEC0">
            <w:pPr>
              <w:spacing w:line="360" w:lineRule="auto"/>
              <w:ind w:firstLine="422"/>
              <w:rPr>
                <w:rFonts w:ascii="宋体" w:hAnsi="宋体" w:cs="宋体"/>
                <w:color w:val="auto"/>
                <w:szCs w:val="21"/>
                <w:highlight w:val="none"/>
              </w:rPr>
            </w:pPr>
          </w:p>
        </w:tc>
        <w:tc>
          <w:tcPr>
            <w:tcW w:w="1828" w:type="dxa"/>
            <w:vAlign w:val="center"/>
          </w:tcPr>
          <w:p w14:paraId="3FFC5833">
            <w:pPr>
              <w:spacing w:line="360" w:lineRule="auto"/>
              <w:ind w:firstLine="422"/>
              <w:rPr>
                <w:rFonts w:ascii="宋体" w:hAnsi="宋体" w:cs="宋体"/>
                <w:color w:val="auto"/>
                <w:szCs w:val="21"/>
                <w:highlight w:val="none"/>
              </w:rPr>
            </w:pPr>
          </w:p>
        </w:tc>
        <w:tc>
          <w:tcPr>
            <w:tcW w:w="1646" w:type="dxa"/>
            <w:vAlign w:val="center"/>
          </w:tcPr>
          <w:p w14:paraId="4B8C1A47">
            <w:pPr>
              <w:spacing w:line="360" w:lineRule="auto"/>
              <w:ind w:firstLine="422"/>
              <w:rPr>
                <w:rFonts w:ascii="宋体" w:hAnsi="宋体" w:cs="宋体"/>
                <w:color w:val="auto"/>
                <w:szCs w:val="21"/>
                <w:highlight w:val="none"/>
              </w:rPr>
            </w:pPr>
          </w:p>
        </w:tc>
        <w:tc>
          <w:tcPr>
            <w:tcW w:w="1463" w:type="dxa"/>
            <w:vAlign w:val="center"/>
          </w:tcPr>
          <w:p w14:paraId="6B48B3BE">
            <w:pPr>
              <w:spacing w:line="360" w:lineRule="auto"/>
              <w:ind w:firstLine="422"/>
              <w:rPr>
                <w:rFonts w:ascii="宋体" w:hAnsi="宋体" w:cs="宋体"/>
                <w:color w:val="auto"/>
                <w:szCs w:val="21"/>
                <w:highlight w:val="none"/>
              </w:rPr>
            </w:pPr>
          </w:p>
        </w:tc>
        <w:tc>
          <w:tcPr>
            <w:tcW w:w="1726" w:type="dxa"/>
            <w:vAlign w:val="center"/>
          </w:tcPr>
          <w:p w14:paraId="57E0D36D">
            <w:pPr>
              <w:spacing w:line="360" w:lineRule="auto"/>
              <w:ind w:firstLine="422"/>
              <w:rPr>
                <w:rFonts w:ascii="宋体" w:hAnsi="宋体" w:cs="宋体"/>
                <w:color w:val="auto"/>
                <w:szCs w:val="21"/>
                <w:highlight w:val="none"/>
              </w:rPr>
            </w:pPr>
          </w:p>
        </w:tc>
        <w:tc>
          <w:tcPr>
            <w:tcW w:w="1784" w:type="dxa"/>
            <w:vAlign w:val="center"/>
          </w:tcPr>
          <w:p w14:paraId="14ED7C2C">
            <w:pPr>
              <w:spacing w:line="360" w:lineRule="auto"/>
              <w:ind w:firstLine="422"/>
              <w:rPr>
                <w:rFonts w:ascii="宋体" w:hAnsi="宋体" w:cs="宋体"/>
                <w:color w:val="auto"/>
                <w:szCs w:val="21"/>
                <w:highlight w:val="none"/>
              </w:rPr>
            </w:pPr>
          </w:p>
        </w:tc>
      </w:tr>
      <w:tr w14:paraId="467FFE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73897CA7">
            <w:pPr>
              <w:spacing w:line="360" w:lineRule="auto"/>
              <w:ind w:firstLine="422"/>
              <w:rPr>
                <w:rFonts w:ascii="宋体" w:hAnsi="宋体" w:cs="宋体"/>
                <w:color w:val="auto"/>
                <w:szCs w:val="21"/>
                <w:highlight w:val="none"/>
              </w:rPr>
            </w:pPr>
          </w:p>
        </w:tc>
        <w:tc>
          <w:tcPr>
            <w:tcW w:w="1828" w:type="dxa"/>
            <w:vAlign w:val="center"/>
          </w:tcPr>
          <w:p w14:paraId="6F0517EE">
            <w:pPr>
              <w:spacing w:line="360" w:lineRule="auto"/>
              <w:ind w:firstLine="422"/>
              <w:rPr>
                <w:rFonts w:ascii="宋体" w:hAnsi="宋体" w:cs="宋体"/>
                <w:color w:val="auto"/>
                <w:szCs w:val="21"/>
                <w:highlight w:val="none"/>
              </w:rPr>
            </w:pPr>
          </w:p>
        </w:tc>
        <w:tc>
          <w:tcPr>
            <w:tcW w:w="1646" w:type="dxa"/>
            <w:vAlign w:val="center"/>
          </w:tcPr>
          <w:p w14:paraId="35BB65BC">
            <w:pPr>
              <w:spacing w:line="360" w:lineRule="auto"/>
              <w:ind w:firstLine="422"/>
              <w:rPr>
                <w:rFonts w:ascii="宋体" w:hAnsi="宋体" w:cs="宋体"/>
                <w:color w:val="auto"/>
                <w:szCs w:val="21"/>
                <w:highlight w:val="none"/>
              </w:rPr>
            </w:pPr>
          </w:p>
        </w:tc>
        <w:tc>
          <w:tcPr>
            <w:tcW w:w="1463" w:type="dxa"/>
            <w:vAlign w:val="center"/>
          </w:tcPr>
          <w:p w14:paraId="3BCEC0A0">
            <w:pPr>
              <w:spacing w:line="360" w:lineRule="auto"/>
              <w:ind w:firstLine="422"/>
              <w:rPr>
                <w:rFonts w:ascii="宋体" w:hAnsi="宋体" w:cs="宋体"/>
                <w:color w:val="auto"/>
                <w:szCs w:val="21"/>
                <w:highlight w:val="none"/>
              </w:rPr>
            </w:pPr>
          </w:p>
        </w:tc>
        <w:tc>
          <w:tcPr>
            <w:tcW w:w="1726" w:type="dxa"/>
            <w:vAlign w:val="center"/>
          </w:tcPr>
          <w:p w14:paraId="443540EC">
            <w:pPr>
              <w:spacing w:line="360" w:lineRule="auto"/>
              <w:ind w:firstLine="422"/>
              <w:rPr>
                <w:rFonts w:ascii="宋体" w:hAnsi="宋体" w:cs="宋体"/>
                <w:color w:val="auto"/>
                <w:szCs w:val="21"/>
                <w:highlight w:val="none"/>
              </w:rPr>
            </w:pPr>
          </w:p>
        </w:tc>
        <w:tc>
          <w:tcPr>
            <w:tcW w:w="1784" w:type="dxa"/>
            <w:vAlign w:val="center"/>
          </w:tcPr>
          <w:p w14:paraId="49FD0ACD">
            <w:pPr>
              <w:spacing w:line="360" w:lineRule="auto"/>
              <w:ind w:firstLine="422"/>
              <w:rPr>
                <w:rFonts w:ascii="宋体" w:hAnsi="宋体" w:cs="宋体"/>
                <w:color w:val="auto"/>
                <w:szCs w:val="21"/>
                <w:highlight w:val="none"/>
              </w:rPr>
            </w:pPr>
          </w:p>
        </w:tc>
      </w:tr>
      <w:tr w14:paraId="31F4A2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156F49C0">
            <w:pPr>
              <w:spacing w:line="360" w:lineRule="auto"/>
              <w:ind w:firstLine="422"/>
              <w:rPr>
                <w:rFonts w:ascii="宋体" w:hAnsi="宋体" w:cs="宋体"/>
                <w:color w:val="auto"/>
                <w:szCs w:val="21"/>
                <w:highlight w:val="none"/>
              </w:rPr>
            </w:pPr>
          </w:p>
        </w:tc>
        <w:tc>
          <w:tcPr>
            <w:tcW w:w="1828" w:type="dxa"/>
            <w:vAlign w:val="center"/>
          </w:tcPr>
          <w:p w14:paraId="166AED89">
            <w:pPr>
              <w:spacing w:line="360" w:lineRule="auto"/>
              <w:ind w:firstLine="422"/>
              <w:rPr>
                <w:rFonts w:ascii="宋体" w:hAnsi="宋体" w:cs="宋体"/>
                <w:color w:val="auto"/>
                <w:szCs w:val="21"/>
                <w:highlight w:val="none"/>
              </w:rPr>
            </w:pPr>
          </w:p>
        </w:tc>
        <w:tc>
          <w:tcPr>
            <w:tcW w:w="1646" w:type="dxa"/>
            <w:vAlign w:val="center"/>
          </w:tcPr>
          <w:p w14:paraId="1C5AE7F6">
            <w:pPr>
              <w:spacing w:line="360" w:lineRule="auto"/>
              <w:ind w:firstLine="422"/>
              <w:rPr>
                <w:rFonts w:ascii="宋体" w:hAnsi="宋体" w:cs="宋体"/>
                <w:color w:val="auto"/>
                <w:szCs w:val="21"/>
                <w:highlight w:val="none"/>
              </w:rPr>
            </w:pPr>
          </w:p>
        </w:tc>
        <w:tc>
          <w:tcPr>
            <w:tcW w:w="1463" w:type="dxa"/>
            <w:vAlign w:val="center"/>
          </w:tcPr>
          <w:p w14:paraId="10C24A17">
            <w:pPr>
              <w:spacing w:line="360" w:lineRule="auto"/>
              <w:ind w:firstLine="422"/>
              <w:rPr>
                <w:rFonts w:ascii="宋体" w:hAnsi="宋体" w:cs="宋体"/>
                <w:color w:val="auto"/>
                <w:szCs w:val="21"/>
                <w:highlight w:val="none"/>
              </w:rPr>
            </w:pPr>
          </w:p>
        </w:tc>
        <w:tc>
          <w:tcPr>
            <w:tcW w:w="1726" w:type="dxa"/>
            <w:vAlign w:val="center"/>
          </w:tcPr>
          <w:p w14:paraId="7820B976">
            <w:pPr>
              <w:spacing w:line="360" w:lineRule="auto"/>
              <w:ind w:firstLine="422"/>
              <w:rPr>
                <w:rFonts w:ascii="宋体" w:hAnsi="宋体" w:cs="宋体"/>
                <w:color w:val="auto"/>
                <w:szCs w:val="21"/>
                <w:highlight w:val="none"/>
              </w:rPr>
            </w:pPr>
          </w:p>
        </w:tc>
        <w:tc>
          <w:tcPr>
            <w:tcW w:w="1784" w:type="dxa"/>
            <w:vAlign w:val="center"/>
          </w:tcPr>
          <w:p w14:paraId="6068C662">
            <w:pPr>
              <w:spacing w:line="360" w:lineRule="auto"/>
              <w:ind w:firstLine="422"/>
              <w:rPr>
                <w:rFonts w:ascii="宋体" w:hAnsi="宋体" w:cs="宋体"/>
                <w:color w:val="auto"/>
                <w:szCs w:val="21"/>
                <w:highlight w:val="none"/>
              </w:rPr>
            </w:pPr>
          </w:p>
        </w:tc>
      </w:tr>
      <w:tr w14:paraId="53C38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41" w:type="dxa"/>
            <w:vAlign w:val="center"/>
          </w:tcPr>
          <w:p w14:paraId="6D5AB701">
            <w:pPr>
              <w:spacing w:line="360" w:lineRule="auto"/>
              <w:ind w:firstLine="422"/>
              <w:rPr>
                <w:rFonts w:ascii="宋体" w:hAnsi="宋体" w:cs="宋体"/>
                <w:color w:val="auto"/>
                <w:szCs w:val="21"/>
                <w:highlight w:val="none"/>
              </w:rPr>
            </w:pPr>
          </w:p>
        </w:tc>
        <w:tc>
          <w:tcPr>
            <w:tcW w:w="1828" w:type="dxa"/>
            <w:vAlign w:val="center"/>
          </w:tcPr>
          <w:p w14:paraId="7E116753">
            <w:pPr>
              <w:spacing w:line="360" w:lineRule="auto"/>
              <w:ind w:firstLine="422"/>
              <w:rPr>
                <w:rFonts w:ascii="宋体" w:hAnsi="宋体" w:cs="宋体"/>
                <w:color w:val="auto"/>
                <w:szCs w:val="21"/>
                <w:highlight w:val="none"/>
              </w:rPr>
            </w:pPr>
          </w:p>
        </w:tc>
        <w:tc>
          <w:tcPr>
            <w:tcW w:w="1646" w:type="dxa"/>
            <w:vAlign w:val="center"/>
          </w:tcPr>
          <w:p w14:paraId="2E616F8A">
            <w:pPr>
              <w:spacing w:line="360" w:lineRule="auto"/>
              <w:ind w:firstLine="422"/>
              <w:rPr>
                <w:rFonts w:ascii="宋体" w:hAnsi="宋体" w:cs="宋体"/>
                <w:color w:val="auto"/>
                <w:szCs w:val="21"/>
                <w:highlight w:val="none"/>
              </w:rPr>
            </w:pPr>
          </w:p>
        </w:tc>
        <w:tc>
          <w:tcPr>
            <w:tcW w:w="1463" w:type="dxa"/>
            <w:vAlign w:val="center"/>
          </w:tcPr>
          <w:p w14:paraId="6953B6D1">
            <w:pPr>
              <w:spacing w:line="360" w:lineRule="auto"/>
              <w:ind w:firstLine="422"/>
              <w:rPr>
                <w:rFonts w:ascii="宋体" w:hAnsi="宋体" w:cs="宋体"/>
                <w:color w:val="auto"/>
                <w:szCs w:val="21"/>
                <w:highlight w:val="none"/>
              </w:rPr>
            </w:pPr>
          </w:p>
        </w:tc>
        <w:tc>
          <w:tcPr>
            <w:tcW w:w="1726" w:type="dxa"/>
            <w:vAlign w:val="center"/>
          </w:tcPr>
          <w:p w14:paraId="23C05EF1">
            <w:pPr>
              <w:spacing w:line="360" w:lineRule="auto"/>
              <w:ind w:firstLine="422"/>
              <w:rPr>
                <w:rFonts w:ascii="宋体" w:hAnsi="宋体" w:cs="宋体"/>
                <w:color w:val="auto"/>
                <w:szCs w:val="21"/>
                <w:highlight w:val="none"/>
              </w:rPr>
            </w:pPr>
          </w:p>
        </w:tc>
        <w:tc>
          <w:tcPr>
            <w:tcW w:w="1784" w:type="dxa"/>
            <w:vAlign w:val="center"/>
          </w:tcPr>
          <w:p w14:paraId="62F8F816">
            <w:pPr>
              <w:spacing w:line="360" w:lineRule="auto"/>
              <w:ind w:firstLine="422"/>
              <w:rPr>
                <w:rFonts w:ascii="宋体" w:hAnsi="宋体" w:cs="宋体"/>
                <w:color w:val="auto"/>
                <w:szCs w:val="21"/>
                <w:highlight w:val="none"/>
              </w:rPr>
            </w:pPr>
          </w:p>
        </w:tc>
      </w:tr>
    </w:tbl>
    <w:p w14:paraId="1B34B240">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注：1.投标人应对照招标文件技术要求等要求，所投标的物与招标文件的规定有偏离的，应在此表中申明与技术要求条文的偏差和例外。</w:t>
      </w:r>
    </w:p>
    <w:p w14:paraId="7214FBD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2.未在上表中说明的，如在投标文件其他内容中已有文字说明的，则以已有文字说明为准，否则，将被认为完全响应招标文件的规定。但该表不作为投标人对所投标的物关于技术要求等详细描述和说明的替代。</w:t>
      </w:r>
    </w:p>
    <w:p w14:paraId="3903A9DC">
      <w:pPr>
        <w:spacing w:line="360" w:lineRule="auto"/>
        <w:ind w:firstLine="422"/>
        <w:rPr>
          <w:rFonts w:ascii="宋体" w:hAnsi="宋体" w:cs="宋体"/>
          <w:color w:val="auto"/>
          <w:szCs w:val="21"/>
          <w:highlight w:val="none"/>
        </w:rPr>
      </w:pPr>
    </w:p>
    <w:p w14:paraId="7D1BF9DA">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1EA41A46">
      <w:pPr>
        <w:spacing w:line="360" w:lineRule="auto"/>
        <w:ind w:firstLine="422"/>
        <w:rPr>
          <w:rFonts w:ascii="宋体" w:hAnsi="宋体" w:cs="宋体"/>
          <w:color w:val="auto"/>
          <w:szCs w:val="21"/>
          <w:highlight w:val="none"/>
        </w:rPr>
        <w:sectPr>
          <w:pgSz w:w="11906" w:h="16838"/>
          <w:pgMar w:top="1440" w:right="1417" w:bottom="1440" w:left="1247" w:header="964" w:footer="1077" w:gutter="0"/>
          <w:cols w:space="720" w:num="1"/>
          <w:docGrid w:type="lines" w:linePitch="312" w:charSpace="0"/>
        </w:sectPr>
      </w:pPr>
      <w:r>
        <w:rPr>
          <w:rFonts w:hint="eastAsia" w:ascii="宋体" w:hAnsi="宋体" w:cs="宋体"/>
          <w:color w:val="auto"/>
          <w:szCs w:val="21"/>
          <w:highlight w:val="none"/>
        </w:rPr>
        <w:t>日期：         年         月       日</w:t>
      </w:r>
    </w:p>
    <w:bookmarkEnd w:id="42"/>
    <w:bookmarkEnd w:id="43"/>
    <w:bookmarkEnd w:id="44"/>
    <w:bookmarkEnd w:id="45"/>
    <w:bookmarkEnd w:id="46"/>
    <w:bookmarkEnd w:id="47"/>
    <w:p w14:paraId="6641B6A3">
      <w:pPr>
        <w:adjustRightInd w:val="0"/>
        <w:snapToGrid w:val="0"/>
        <w:spacing w:line="360" w:lineRule="auto"/>
        <w:rPr>
          <w:rFonts w:ascii="宋体" w:hAnsi="宋体"/>
          <w:b/>
          <w:color w:val="auto"/>
          <w:szCs w:val="21"/>
          <w:highlight w:val="none"/>
          <w:lang w:val="zh-CN"/>
        </w:rPr>
      </w:pPr>
      <w:r>
        <w:rPr>
          <w:rFonts w:hint="eastAsia" w:ascii="宋体" w:hAnsi="宋体" w:cs="宋体"/>
          <w:b/>
          <w:bCs/>
          <w:color w:val="auto"/>
          <w:szCs w:val="21"/>
          <w:highlight w:val="none"/>
        </w:rPr>
        <w:t>附件6、</w:t>
      </w:r>
      <w:r>
        <w:rPr>
          <w:rFonts w:hint="eastAsia" w:ascii="宋体" w:hAnsi="宋体"/>
          <w:b/>
          <w:color w:val="auto"/>
          <w:szCs w:val="21"/>
          <w:highlight w:val="none"/>
          <w:lang w:val="zh-CN"/>
        </w:rPr>
        <w:t>质保期满后</w:t>
      </w:r>
      <w:r>
        <w:rPr>
          <w:rFonts w:hint="eastAsia" w:ascii="宋体" w:hAnsi="宋体"/>
          <w:b/>
          <w:color w:val="auto"/>
          <w:szCs w:val="21"/>
          <w:highlight w:val="none"/>
        </w:rPr>
        <w:t>三年内</w:t>
      </w:r>
      <w:r>
        <w:rPr>
          <w:rFonts w:hint="eastAsia" w:ascii="宋体" w:hAnsi="宋体"/>
          <w:b/>
          <w:color w:val="auto"/>
          <w:szCs w:val="21"/>
          <w:highlight w:val="none"/>
          <w:lang w:val="zh-CN"/>
        </w:rPr>
        <w:t>备品备件、易损件报价表（不含在投标报价中）</w:t>
      </w:r>
    </w:p>
    <w:p w14:paraId="533B9E8B">
      <w:pPr>
        <w:overflowPunct w:val="0"/>
        <w:adjustRightInd w:val="0"/>
        <w:snapToGrid w:val="0"/>
        <w:ind w:firstLine="480"/>
        <w:jc w:val="left"/>
        <w:textAlignment w:val="baseline"/>
        <w:rPr>
          <w:rFonts w:ascii="宋体" w:hAnsi="宋体"/>
          <w:b/>
          <w:color w:val="auto"/>
          <w:sz w:val="24"/>
          <w:szCs w:val="20"/>
          <w:highlight w:val="none"/>
        </w:rPr>
      </w:pPr>
    </w:p>
    <w:p w14:paraId="0AABC146">
      <w:pPr>
        <w:overflowPunct w:val="0"/>
        <w:adjustRightInd w:val="0"/>
        <w:snapToGrid w:val="0"/>
        <w:jc w:val="center"/>
        <w:textAlignment w:val="baseline"/>
        <w:rPr>
          <w:rFonts w:ascii="宋体" w:hAnsi="宋体"/>
          <w:b/>
          <w:color w:val="auto"/>
          <w:szCs w:val="21"/>
          <w:highlight w:val="none"/>
          <w:lang w:val="zh-CN"/>
        </w:rPr>
      </w:pPr>
      <w:r>
        <w:rPr>
          <w:rFonts w:hint="eastAsia" w:ascii="宋体" w:hAnsi="宋体"/>
          <w:b/>
          <w:color w:val="auto"/>
          <w:szCs w:val="21"/>
          <w:highlight w:val="none"/>
          <w:lang w:val="zh-CN"/>
        </w:rPr>
        <w:t>质保期满后三年内备品备件、易损件报价表</w:t>
      </w:r>
    </w:p>
    <w:p w14:paraId="1EA1622F">
      <w:pPr>
        <w:snapToGrid w:val="0"/>
        <w:spacing w:line="360" w:lineRule="auto"/>
        <w:ind w:firstLine="502"/>
        <w:rPr>
          <w:rFonts w:ascii="宋体" w:hAnsi="宋体" w:cs="宋体"/>
          <w:color w:val="auto"/>
          <w:spacing w:val="20"/>
          <w:szCs w:val="21"/>
          <w:highlight w:val="none"/>
        </w:rPr>
      </w:pPr>
      <w:r>
        <w:rPr>
          <w:rFonts w:hint="eastAsia" w:ascii="宋体" w:hAnsi="宋体" w:cs="宋体"/>
          <w:color w:val="auto"/>
          <w:spacing w:val="20"/>
          <w:szCs w:val="21"/>
          <w:highlight w:val="none"/>
        </w:rPr>
        <w:t xml:space="preserve">招标编号：        号                   </w:t>
      </w:r>
      <w:r>
        <w:rPr>
          <w:rFonts w:hint="eastAsia" w:ascii="宋体" w:hAnsi="宋体" w:cs="宋体"/>
          <w:color w:val="auto"/>
          <w:szCs w:val="21"/>
          <w:highlight w:val="none"/>
        </w:rPr>
        <w:t>项目名称：</w:t>
      </w:r>
    </w:p>
    <w:tbl>
      <w:tblPr>
        <w:tblStyle w:val="31"/>
        <w:tblW w:w="9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160"/>
        <w:gridCol w:w="2160"/>
        <w:gridCol w:w="2160"/>
        <w:gridCol w:w="2160"/>
      </w:tblGrid>
      <w:tr w14:paraId="6C9E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75C90558">
            <w:pPr>
              <w:overflowPunct w:val="0"/>
              <w:adjustRightInd w:val="0"/>
              <w:snapToGrid w:val="0"/>
              <w:spacing w:line="360" w:lineRule="auto"/>
              <w:textAlignment w:val="baseline"/>
              <w:rPr>
                <w:rFonts w:ascii="宋体" w:hAnsi="宋体"/>
                <w:bCs/>
                <w:color w:val="auto"/>
                <w:szCs w:val="21"/>
                <w:highlight w:val="none"/>
              </w:rPr>
            </w:pPr>
            <w:r>
              <w:rPr>
                <w:rFonts w:hint="eastAsia" w:ascii="宋体" w:hAnsi="宋体"/>
                <w:bCs/>
                <w:color w:val="auto"/>
                <w:szCs w:val="21"/>
                <w:highlight w:val="none"/>
              </w:rPr>
              <w:t>序号</w:t>
            </w:r>
          </w:p>
        </w:tc>
        <w:tc>
          <w:tcPr>
            <w:tcW w:w="2160" w:type="dxa"/>
            <w:tcBorders>
              <w:top w:val="single" w:color="auto" w:sz="4" w:space="0"/>
              <w:left w:val="single" w:color="auto" w:sz="4" w:space="0"/>
              <w:bottom w:val="single" w:color="auto" w:sz="4" w:space="0"/>
              <w:right w:val="single" w:color="auto" w:sz="4" w:space="0"/>
            </w:tcBorders>
            <w:vAlign w:val="center"/>
          </w:tcPr>
          <w:p w14:paraId="022AC7EA">
            <w:pPr>
              <w:overflowPunct w:val="0"/>
              <w:adjustRightInd w:val="0"/>
              <w:snapToGrid w:val="0"/>
              <w:spacing w:line="360" w:lineRule="auto"/>
              <w:textAlignment w:val="baseline"/>
              <w:rPr>
                <w:rFonts w:ascii="宋体" w:hAnsi="宋体"/>
                <w:bCs/>
                <w:color w:val="auto"/>
                <w:szCs w:val="21"/>
                <w:highlight w:val="none"/>
              </w:rPr>
            </w:pPr>
            <w:r>
              <w:rPr>
                <w:rFonts w:hint="eastAsia" w:ascii="宋体" w:hAnsi="宋体"/>
                <w:bCs/>
                <w:color w:val="auto"/>
                <w:szCs w:val="21"/>
                <w:highlight w:val="none"/>
              </w:rPr>
              <w:t>设备（配件）名称</w:t>
            </w:r>
          </w:p>
        </w:tc>
        <w:tc>
          <w:tcPr>
            <w:tcW w:w="2160" w:type="dxa"/>
            <w:tcBorders>
              <w:top w:val="single" w:color="auto" w:sz="4" w:space="0"/>
              <w:left w:val="single" w:color="auto" w:sz="4" w:space="0"/>
              <w:bottom w:val="single" w:color="auto" w:sz="4" w:space="0"/>
              <w:right w:val="single" w:color="auto" w:sz="4" w:space="0"/>
            </w:tcBorders>
            <w:vAlign w:val="center"/>
          </w:tcPr>
          <w:p w14:paraId="38103235">
            <w:pPr>
              <w:overflowPunct w:val="0"/>
              <w:adjustRightInd w:val="0"/>
              <w:snapToGrid w:val="0"/>
              <w:spacing w:line="360" w:lineRule="auto"/>
              <w:textAlignment w:val="baseline"/>
              <w:rPr>
                <w:rFonts w:ascii="宋体" w:hAnsi="宋体"/>
                <w:bCs/>
                <w:color w:val="auto"/>
                <w:szCs w:val="21"/>
                <w:highlight w:val="none"/>
              </w:rPr>
            </w:pPr>
            <w:r>
              <w:rPr>
                <w:rFonts w:hint="eastAsia" w:ascii="宋体" w:hAnsi="宋体"/>
                <w:bCs/>
                <w:color w:val="auto"/>
                <w:szCs w:val="21"/>
                <w:highlight w:val="none"/>
              </w:rPr>
              <w:t>型号规格</w:t>
            </w:r>
          </w:p>
        </w:tc>
        <w:tc>
          <w:tcPr>
            <w:tcW w:w="2160" w:type="dxa"/>
            <w:tcBorders>
              <w:top w:val="single" w:color="auto" w:sz="4" w:space="0"/>
              <w:left w:val="single" w:color="auto" w:sz="4" w:space="0"/>
              <w:bottom w:val="single" w:color="auto" w:sz="4" w:space="0"/>
              <w:right w:val="single" w:color="auto" w:sz="4" w:space="0"/>
            </w:tcBorders>
            <w:vAlign w:val="center"/>
          </w:tcPr>
          <w:p w14:paraId="52A9ED36">
            <w:pPr>
              <w:overflowPunct w:val="0"/>
              <w:adjustRightInd w:val="0"/>
              <w:snapToGrid w:val="0"/>
              <w:spacing w:line="360" w:lineRule="auto"/>
              <w:textAlignment w:val="baseline"/>
              <w:rPr>
                <w:rFonts w:ascii="宋体" w:hAnsi="宋体"/>
                <w:bCs/>
                <w:color w:val="auto"/>
                <w:szCs w:val="21"/>
                <w:highlight w:val="none"/>
              </w:rPr>
            </w:pPr>
            <w:r>
              <w:rPr>
                <w:rFonts w:hint="eastAsia" w:ascii="宋体" w:hAnsi="宋体"/>
                <w:bCs/>
                <w:color w:val="auto"/>
                <w:szCs w:val="21"/>
                <w:highlight w:val="none"/>
              </w:rPr>
              <w:t>单价</w:t>
            </w:r>
          </w:p>
        </w:tc>
        <w:tc>
          <w:tcPr>
            <w:tcW w:w="2160" w:type="dxa"/>
            <w:tcBorders>
              <w:top w:val="single" w:color="auto" w:sz="4" w:space="0"/>
              <w:left w:val="single" w:color="auto" w:sz="4" w:space="0"/>
              <w:bottom w:val="single" w:color="auto" w:sz="4" w:space="0"/>
              <w:right w:val="single" w:color="auto" w:sz="4" w:space="0"/>
            </w:tcBorders>
            <w:vAlign w:val="center"/>
          </w:tcPr>
          <w:p w14:paraId="724AA582">
            <w:pPr>
              <w:overflowPunct w:val="0"/>
              <w:adjustRightInd w:val="0"/>
              <w:snapToGrid w:val="0"/>
              <w:spacing w:line="360" w:lineRule="auto"/>
              <w:ind w:firstLine="422"/>
              <w:jc w:val="center"/>
              <w:textAlignment w:val="baseline"/>
              <w:rPr>
                <w:rFonts w:ascii="宋体" w:hAnsi="宋体"/>
                <w:bCs/>
                <w:color w:val="auto"/>
                <w:szCs w:val="21"/>
                <w:highlight w:val="none"/>
              </w:rPr>
            </w:pPr>
            <w:r>
              <w:rPr>
                <w:rFonts w:hint="eastAsia" w:ascii="宋体" w:hAnsi="宋体"/>
                <w:bCs/>
                <w:color w:val="auto"/>
                <w:szCs w:val="21"/>
                <w:highlight w:val="none"/>
              </w:rPr>
              <w:t>备注</w:t>
            </w:r>
          </w:p>
        </w:tc>
      </w:tr>
      <w:tr w14:paraId="3849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87DDAC7">
            <w:pPr>
              <w:overflowPunct w:val="0"/>
              <w:adjustRightInd w:val="0"/>
              <w:snapToGrid w:val="0"/>
              <w:spacing w:line="360" w:lineRule="auto"/>
              <w:jc w:val="center"/>
              <w:textAlignment w:val="baseline"/>
              <w:rPr>
                <w:rFonts w:ascii="宋体" w:hAnsi="宋体"/>
                <w:b/>
                <w:color w:val="auto"/>
                <w:szCs w:val="21"/>
                <w:highlight w:val="none"/>
              </w:rPr>
            </w:pPr>
            <w:r>
              <w:rPr>
                <w:rFonts w:hint="eastAsia" w:ascii="宋体" w:hAnsi="宋体"/>
                <w:b/>
                <w:color w:val="auto"/>
                <w:szCs w:val="21"/>
                <w:highlight w:val="none"/>
              </w:rPr>
              <w:t>1</w:t>
            </w:r>
          </w:p>
        </w:tc>
        <w:tc>
          <w:tcPr>
            <w:tcW w:w="2160" w:type="dxa"/>
            <w:tcBorders>
              <w:top w:val="single" w:color="auto" w:sz="4" w:space="0"/>
              <w:left w:val="single" w:color="auto" w:sz="4" w:space="0"/>
              <w:bottom w:val="single" w:color="auto" w:sz="4" w:space="0"/>
              <w:right w:val="single" w:color="auto" w:sz="4" w:space="0"/>
            </w:tcBorders>
            <w:vAlign w:val="center"/>
          </w:tcPr>
          <w:p w14:paraId="4C6782A6">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16BBFC95">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660DA494">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4DDCB74C">
            <w:pPr>
              <w:overflowPunct w:val="0"/>
              <w:adjustRightInd w:val="0"/>
              <w:snapToGrid w:val="0"/>
              <w:spacing w:line="360" w:lineRule="auto"/>
              <w:ind w:firstLine="420"/>
              <w:jc w:val="left"/>
              <w:textAlignment w:val="baseline"/>
              <w:rPr>
                <w:rFonts w:ascii="宋体" w:hAnsi="宋体"/>
                <w:b/>
                <w:color w:val="auto"/>
                <w:szCs w:val="21"/>
                <w:highlight w:val="none"/>
              </w:rPr>
            </w:pPr>
          </w:p>
        </w:tc>
      </w:tr>
      <w:tr w14:paraId="5FF3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CE2C95E">
            <w:pPr>
              <w:overflowPunct w:val="0"/>
              <w:adjustRightInd w:val="0"/>
              <w:snapToGrid w:val="0"/>
              <w:spacing w:line="360" w:lineRule="auto"/>
              <w:jc w:val="center"/>
              <w:textAlignment w:val="baseline"/>
              <w:rPr>
                <w:rFonts w:ascii="宋体" w:hAnsi="宋体"/>
                <w:b/>
                <w:color w:val="auto"/>
                <w:szCs w:val="21"/>
                <w:highlight w:val="none"/>
              </w:rPr>
            </w:pPr>
            <w:r>
              <w:rPr>
                <w:rFonts w:hint="eastAsia" w:ascii="宋体" w:hAnsi="宋体"/>
                <w:b/>
                <w:color w:val="auto"/>
                <w:szCs w:val="21"/>
                <w:highlight w:val="none"/>
              </w:rPr>
              <w:t>2</w:t>
            </w:r>
          </w:p>
        </w:tc>
        <w:tc>
          <w:tcPr>
            <w:tcW w:w="2160" w:type="dxa"/>
            <w:tcBorders>
              <w:top w:val="single" w:color="auto" w:sz="4" w:space="0"/>
              <w:left w:val="single" w:color="auto" w:sz="4" w:space="0"/>
              <w:bottom w:val="single" w:color="auto" w:sz="4" w:space="0"/>
              <w:right w:val="single" w:color="auto" w:sz="4" w:space="0"/>
            </w:tcBorders>
            <w:vAlign w:val="center"/>
          </w:tcPr>
          <w:p w14:paraId="64F16B52">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49AA77FD">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0FC6C2F0">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3D123B70">
            <w:pPr>
              <w:overflowPunct w:val="0"/>
              <w:adjustRightInd w:val="0"/>
              <w:snapToGrid w:val="0"/>
              <w:spacing w:line="360" w:lineRule="auto"/>
              <w:ind w:firstLine="420"/>
              <w:jc w:val="left"/>
              <w:textAlignment w:val="baseline"/>
              <w:rPr>
                <w:rFonts w:ascii="宋体" w:hAnsi="宋体"/>
                <w:b/>
                <w:color w:val="auto"/>
                <w:szCs w:val="21"/>
                <w:highlight w:val="none"/>
              </w:rPr>
            </w:pPr>
          </w:p>
        </w:tc>
      </w:tr>
      <w:tr w14:paraId="454F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076D308">
            <w:pPr>
              <w:overflowPunct w:val="0"/>
              <w:adjustRightInd w:val="0"/>
              <w:snapToGrid w:val="0"/>
              <w:spacing w:line="360" w:lineRule="auto"/>
              <w:jc w:val="center"/>
              <w:textAlignment w:val="baseline"/>
              <w:rPr>
                <w:rFonts w:ascii="宋体" w:hAnsi="宋体"/>
                <w:b/>
                <w:color w:val="auto"/>
                <w:szCs w:val="21"/>
                <w:highlight w:val="none"/>
              </w:rPr>
            </w:pPr>
            <w:r>
              <w:rPr>
                <w:rFonts w:hint="eastAsia" w:ascii="宋体" w:hAnsi="宋体"/>
                <w:b/>
                <w:color w:val="auto"/>
                <w:szCs w:val="21"/>
                <w:highlight w:val="none"/>
              </w:rPr>
              <w:t>3</w:t>
            </w:r>
          </w:p>
        </w:tc>
        <w:tc>
          <w:tcPr>
            <w:tcW w:w="2160" w:type="dxa"/>
            <w:tcBorders>
              <w:top w:val="single" w:color="auto" w:sz="4" w:space="0"/>
              <w:left w:val="single" w:color="auto" w:sz="4" w:space="0"/>
              <w:bottom w:val="single" w:color="auto" w:sz="4" w:space="0"/>
              <w:right w:val="single" w:color="auto" w:sz="4" w:space="0"/>
            </w:tcBorders>
            <w:vAlign w:val="center"/>
          </w:tcPr>
          <w:p w14:paraId="1FAF646B">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38A8F54A">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624BC453">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0146B69A">
            <w:pPr>
              <w:overflowPunct w:val="0"/>
              <w:adjustRightInd w:val="0"/>
              <w:snapToGrid w:val="0"/>
              <w:spacing w:line="360" w:lineRule="auto"/>
              <w:ind w:firstLine="420"/>
              <w:jc w:val="left"/>
              <w:textAlignment w:val="baseline"/>
              <w:rPr>
                <w:rFonts w:ascii="宋体" w:hAnsi="宋体"/>
                <w:b/>
                <w:color w:val="auto"/>
                <w:szCs w:val="21"/>
                <w:highlight w:val="none"/>
              </w:rPr>
            </w:pPr>
          </w:p>
        </w:tc>
      </w:tr>
      <w:tr w14:paraId="4020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45CB113">
            <w:pPr>
              <w:overflowPunct w:val="0"/>
              <w:adjustRightInd w:val="0"/>
              <w:snapToGrid w:val="0"/>
              <w:spacing w:line="360" w:lineRule="auto"/>
              <w:jc w:val="center"/>
              <w:textAlignment w:val="baseline"/>
              <w:rPr>
                <w:rFonts w:ascii="宋体" w:hAnsi="宋体"/>
                <w:b/>
                <w:color w:val="auto"/>
                <w:szCs w:val="21"/>
                <w:highlight w:val="none"/>
              </w:rPr>
            </w:pPr>
            <w:r>
              <w:rPr>
                <w:rFonts w:ascii="宋体" w:hAnsi="宋体"/>
                <w:b/>
                <w:color w:val="auto"/>
                <w:szCs w:val="21"/>
                <w:highlight w:val="none"/>
              </w:rPr>
              <w:t>……</w:t>
            </w:r>
          </w:p>
        </w:tc>
        <w:tc>
          <w:tcPr>
            <w:tcW w:w="2160" w:type="dxa"/>
            <w:tcBorders>
              <w:top w:val="single" w:color="auto" w:sz="4" w:space="0"/>
              <w:left w:val="single" w:color="auto" w:sz="4" w:space="0"/>
              <w:bottom w:val="single" w:color="auto" w:sz="4" w:space="0"/>
              <w:right w:val="single" w:color="auto" w:sz="4" w:space="0"/>
            </w:tcBorders>
            <w:vAlign w:val="center"/>
          </w:tcPr>
          <w:p w14:paraId="5EEBD0A2">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7FF8CAF7">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766E0174">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71A1CA48">
            <w:pPr>
              <w:overflowPunct w:val="0"/>
              <w:adjustRightInd w:val="0"/>
              <w:snapToGrid w:val="0"/>
              <w:spacing w:line="360" w:lineRule="auto"/>
              <w:ind w:firstLine="420"/>
              <w:jc w:val="left"/>
              <w:textAlignment w:val="baseline"/>
              <w:rPr>
                <w:rFonts w:ascii="宋体" w:hAnsi="宋体"/>
                <w:b/>
                <w:color w:val="auto"/>
                <w:szCs w:val="21"/>
                <w:highlight w:val="none"/>
              </w:rPr>
            </w:pPr>
          </w:p>
        </w:tc>
      </w:tr>
      <w:tr w14:paraId="558E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3197A42D">
            <w:pPr>
              <w:overflowPunct w:val="0"/>
              <w:adjustRightInd w:val="0"/>
              <w:snapToGrid w:val="0"/>
              <w:spacing w:line="360" w:lineRule="auto"/>
              <w:ind w:firstLine="420"/>
              <w:jc w:val="center"/>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364870E8">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4B6299D8">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7B7014DE">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5AF33A38">
            <w:pPr>
              <w:overflowPunct w:val="0"/>
              <w:adjustRightInd w:val="0"/>
              <w:snapToGrid w:val="0"/>
              <w:spacing w:line="360" w:lineRule="auto"/>
              <w:ind w:firstLine="420"/>
              <w:jc w:val="left"/>
              <w:textAlignment w:val="baseline"/>
              <w:rPr>
                <w:rFonts w:ascii="宋体" w:hAnsi="宋体"/>
                <w:b/>
                <w:color w:val="auto"/>
                <w:szCs w:val="21"/>
                <w:highlight w:val="none"/>
              </w:rPr>
            </w:pPr>
          </w:p>
        </w:tc>
      </w:tr>
      <w:tr w14:paraId="60A4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7FD9D21">
            <w:pPr>
              <w:overflowPunct w:val="0"/>
              <w:adjustRightInd w:val="0"/>
              <w:snapToGrid w:val="0"/>
              <w:spacing w:line="360" w:lineRule="auto"/>
              <w:ind w:firstLine="420"/>
              <w:jc w:val="center"/>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6702BF79">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00551509">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389EFA9D">
            <w:pPr>
              <w:overflowPunct w:val="0"/>
              <w:adjustRightInd w:val="0"/>
              <w:snapToGrid w:val="0"/>
              <w:spacing w:line="360" w:lineRule="auto"/>
              <w:ind w:firstLine="420"/>
              <w:jc w:val="left"/>
              <w:textAlignment w:val="baseline"/>
              <w:rPr>
                <w:rFonts w:ascii="宋体" w:hAnsi="宋体"/>
                <w:b/>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50F01DE8">
            <w:pPr>
              <w:overflowPunct w:val="0"/>
              <w:adjustRightInd w:val="0"/>
              <w:snapToGrid w:val="0"/>
              <w:spacing w:line="360" w:lineRule="auto"/>
              <w:ind w:firstLine="420"/>
              <w:jc w:val="left"/>
              <w:textAlignment w:val="baseline"/>
              <w:rPr>
                <w:rFonts w:ascii="宋体" w:hAnsi="宋体"/>
                <w:b/>
                <w:color w:val="auto"/>
                <w:szCs w:val="21"/>
                <w:highlight w:val="none"/>
              </w:rPr>
            </w:pPr>
          </w:p>
        </w:tc>
      </w:tr>
    </w:tbl>
    <w:p w14:paraId="0E54C4E3">
      <w:pPr>
        <w:overflowPunct w:val="0"/>
        <w:adjustRightInd w:val="0"/>
        <w:snapToGrid w:val="0"/>
        <w:spacing w:line="360" w:lineRule="auto"/>
        <w:ind w:firstLine="422"/>
        <w:jc w:val="left"/>
        <w:textAlignment w:val="baseline"/>
        <w:rPr>
          <w:rFonts w:ascii="宋体" w:hAnsi="宋体"/>
          <w:color w:val="auto"/>
          <w:szCs w:val="20"/>
          <w:highlight w:val="none"/>
        </w:rPr>
      </w:pPr>
      <w:r>
        <w:rPr>
          <w:rFonts w:hint="eastAsia" w:ascii="宋体" w:hAnsi="宋体"/>
          <w:color w:val="auto"/>
          <w:szCs w:val="20"/>
          <w:highlight w:val="none"/>
        </w:rPr>
        <w:t>注：</w:t>
      </w:r>
    </w:p>
    <w:p w14:paraId="0D4F52E7">
      <w:pPr>
        <w:overflowPunct w:val="0"/>
        <w:adjustRightInd w:val="0"/>
        <w:snapToGrid w:val="0"/>
        <w:spacing w:line="360" w:lineRule="auto"/>
        <w:ind w:firstLine="422"/>
        <w:jc w:val="left"/>
        <w:textAlignment w:val="baseline"/>
        <w:rPr>
          <w:rFonts w:ascii="宋体" w:hAnsi="宋体"/>
          <w:color w:val="auto"/>
          <w:szCs w:val="20"/>
          <w:highlight w:val="none"/>
        </w:rPr>
      </w:pPr>
      <w:r>
        <w:rPr>
          <w:rFonts w:ascii="宋体" w:hAnsi="宋体"/>
          <w:color w:val="auto"/>
          <w:szCs w:val="20"/>
          <w:highlight w:val="none"/>
        </w:rPr>
        <w:t>1</w:t>
      </w:r>
      <w:r>
        <w:rPr>
          <w:rFonts w:hint="eastAsia" w:ascii="宋体" w:hAnsi="宋体"/>
          <w:color w:val="auto"/>
          <w:szCs w:val="20"/>
          <w:highlight w:val="none"/>
        </w:rPr>
        <w:t>、此报价作为最高限价，实际价格在中标后以双方协商为准。</w:t>
      </w:r>
    </w:p>
    <w:p w14:paraId="12D74C68">
      <w:pPr>
        <w:widowControl/>
        <w:snapToGrid w:val="0"/>
        <w:spacing w:line="360" w:lineRule="auto"/>
        <w:ind w:firstLine="422"/>
        <w:jc w:val="left"/>
        <w:rPr>
          <w:rFonts w:ascii="宋体" w:hAnsi="宋体" w:cs="宋体"/>
          <w:color w:val="auto"/>
          <w:szCs w:val="21"/>
          <w:highlight w:val="none"/>
        </w:rPr>
      </w:pPr>
    </w:p>
    <w:p w14:paraId="29E2C6BF">
      <w:pPr>
        <w:widowControl/>
        <w:snapToGrid w:val="0"/>
        <w:spacing w:line="360" w:lineRule="auto"/>
        <w:ind w:firstLine="422"/>
        <w:jc w:val="left"/>
        <w:rPr>
          <w:rFonts w:ascii="宋体" w:hAnsi="宋体" w:cs="宋体"/>
          <w:color w:val="auto"/>
          <w:szCs w:val="21"/>
          <w:highlight w:val="none"/>
        </w:rPr>
      </w:pPr>
      <w:r>
        <w:rPr>
          <w:rFonts w:hint="eastAsia" w:ascii="宋体" w:hAnsi="宋体" w:cs="宋体"/>
          <w:color w:val="auto"/>
          <w:szCs w:val="21"/>
          <w:highlight w:val="none"/>
        </w:rPr>
        <w:t>投标人：（签章）</w:t>
      </w:r>
    </w:p>
    <w:p w14:paraId="5005334B">
      <w:pPr>
        <w:widowControl/>
        <w:overflowPunct w:val="0"/>
        <w:snapToGrid w:val="0"/>
        <w:spacing w:line="360" w:lineRule="auto"/>
        <w:ind w:firstLine="422"/>
        <w:jc w:val="left"/>
        <w:rPr>
          <w:rFonts w:ascii="宋体" w:hAnsi="宋体" w:cs="宋体"/>
          <w:color w:val="auto"/>
          <w:szCs w:val="21"/>
          <w:highlight w:val="none"/>
        </w:rPr>
      </w:pPr>
      <w:r>
        <w:rPr>
          <w:rFonts w:hint="eastAsia" w:ascii="宋体" w:hAnsi="宋体" w:cs="宋体"/>
          <w:color w:val="auto"/>
          <w:szCs w:val="21"/>
          <w:highlight w:val="none"/>
        </w:rPr>
        <w:t>日期：         年         月       日</w:t>
      </w:r>
    </w:p>
    <w:p w14:paraId="1853CB5B">
      <w:pPr>
        <w:autoSpaceDE w:val="0"/>
        <w:autoSpaceDN w:val="0"/>
        <w:adjustRightInd w:val="0"/>
        <w:spacing w:line="360" w:lineRule="auto"/>
        <w:ind w:firstLine="422"/>
        <w:rPr>
          <w:rFonts w:ascii="宋体" w:hAnsi="宋体" w:cs="宋体"/>
          <w:b/>
          <w:bCs/>
          <w:color w:val="auto"/>
          <w:szCs w:val="21"/>
          <w:highlight w:val="none"/>
        </w:rPr>
      </w:pPr>
      <w:r>
        <w:rPr>
          <w:rFonts w:ascii="宋体" w:hAnsi="宋体" w:cs="宋体"/>
          <w:b/>
          <w:color w:val="auto"/>
          <w:szCs w:val="21"/>
          <w:highlight w:val="none"/>
        </w:rPr>
        <w:br w:type="page"/>
      </w:r>
    </w:p>
    <w:p w14:paraId="68EBD6DC">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附件7：售后服务承诺书</w:t>
      </w:r>
    </w:p>
    <w:p w14:paraId="10AC9226">
      <w:pPr>
        <w:pStyle w:val="15"/>
        <w:jc w:val="center"/>
        <w:rPr>
          <w:rFonts w:ascii="宋体" w:hAnsi="宋体" w:cs="宋体"/>
          <w:b/>
          <w:bCs/>
          <w:color w:val="auto"/>
          <w:szCs w:val="21"/>
          <w:highlight w:val="none"/>
        </w:rPr>
      </w:pPr>
      <w:r>
        <w:rPr>
          <w:rFonts w:hint="eastAsia" w:ascii="宋体" w:hAnsi="宋体" w:cs="宋体"/>
          <w:b/>
          <w:bCs/>
          <w:color w:val="auto"/>
          <w:szCs w:val="21"/>
          <w:highlight w:val="none"/>
        </w:rPr>
        <w:t>售后服务承诺书</w:t>
      </w:r>
    </w:p>
    <w:p w14:paraId="5ECDF0E6">
      <w:pPr>
        <w:ind w:firstLine="630" w:firstLineChars="300"/>
        <w:rPr>
          <w:color w:val="auto"/>
          <w:highlight w:val="none"/>
        </w:rPr>
      </w:pPr>
      <w:r>
        <w:rPr>
          <w:rFonts w:hint="eastAsia" w:ascii="宋体" w:hAnsi="宋体" w:cs="宋体"/>
          <w:color w:val="auto"/>
          <w:szCs w:val="21"/>
          <w:highlight w:val="none"/>
          <w:lang w:val="zh-CN"/>
        </w:rPr>
        <w:t>招标编号：             号</w:t>
      </w:r>
      <w:r>
        <w:rPr>
          <w:rFonts w:hint="eastAsia" w:ascii="宋体" w:hAnsi="宋体" w:cs="宋体"/>
          <w:color w:val="auto"/>
          <w:szCs w:val="21"/>
          <w:highlight w:val="none"/>
        </w:rPr>
        <w:t xml:space="preserve">                     项目名称</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530"/>
        <w:gridCol w:w="1530"/>
        <w:gridCol w:w="1800"/>
        <w:gridCol w:w="2616"/>
      </w:tblGrid>
      <w:tr w14:paraId="0EC8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828" w:type="dxa"/>
            <w:noWrap w:val="0"/>
            <w:vAlign w:val="center"/>
          </w:tcPr>
          <w:p w14:paraId="0AECFB6D">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3060" w:type="dxa"/>
            <w:gridSpan w:val="2"/>
            <w:noWrap w:val="0"/>
            <w:vAlign w:val="center"/>
          </w:tcPr>
          <w:p w14:paraId="1D411BFB">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售后服务内容</w:t>
            </w:r>
          </w:p>
        </w:tc>
        <w:tc>
          <w:tcPr>
            <w:tcW w:w="1800" w:type="dxa"/>
            <w:noWrap w:val="0"/>
            <w:vAlign w:val="center"/>
          </w:tcPr>
          <w:p w14:paraId="67011D0A">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期限（时间）</w:t>
            </w:r>
          </w:p>
        </w:tc>
        <w:tc>
          <w:tcPr>
            <w:tcW w:w="2616" w:type="dxa"/>
            <w:noWrap w:val="0"/>
            <w:vAlign w:val="center"/>
          </w:tcPr>
          <w:p w14:paraId="39E12C2C">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937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828" w:type="dxa"/>
            <w:noWrap w:val="0"/>
            <w:vAlign w:val="center"/>
          </w:tcPr>
          <w:p w14:paraId="3441A2C5">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530" w:type="dxa"/>
            <w:vMerge w:val="restart"/>
            <w:noWrap w:val="0"/>
            <w:vAlign w:val="center"/>
          </w:tcPr>
          <w:p w14:paraId="2102CB0B">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质保期内</w:t>
            </w:r>
          </w:p>
        </w:tc>
        <w:tc>
          <w:tcPr>
            <w:tcW w:w="1530" w:type="dxa"/>
            <w:noWrap w:val="0"/>
            <w:vAlign w:val="center"/>
          </w:tcPr>
          <w:p w14:paraId="732E859F">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免费更换</w:t>
            </w:r>
          </w:p>
        </w:tc>
        <w:tc>
          <w:tcPr>
            <w:tcW w:w="1800" w:type="dxa"/>
            <w:noWrap w:val="0"/>
            <w:vAlign w:val="center"/>
          </w:tcPr>
          <w:p w14:paraId="6D4439E4">
            <w:pPr>
              <w:spacing w:before="25" w:after="25" w:line="360" w:lineRule="auto"/>
              <w:jc w:val="center"/>
              <w:rPr>
                <w:rFonts w:hint="eastAsia" w:ascii="宋体" w:hAnsi="宋体" w:cs="宋体"/>
                <w:color w:val="auto"/>
                <w:szCs w:val="21"/>
                <w:highlight w:val="none"/>
              </w:rPr>
            </w:pPr>
          </w:p>
        </w:tc>
        <w:tc>
          <w:tcPr>
            <w:tcW w:w="2616" w:type="dxa"/>
            <w:noWrap w:val="0"/>
            <w:vAlign w:val="center"/>
          </w:tcPr>
          <w:p w14:paraId="3614435F">
            <w:pPr>
              <w:spacing w:before="25" w:after="25" w:line="360" w:lineRule="auto"/>
              <w:jc w:val="center"/>
              <w:rPr>
                <w:rFonts w:hint="eastAsia" w:ascii="宋体" w:hAnsi="宋体" w:cs="宋体"/>
                <w:color w:val="auto"/>
                <w:szCs w:val="21"/>
                <w:highlight w:val="none"/>
              </w:rPr>
            </w:pPr>
          </w:p>
        </w:tc>
      </w:tr>
      <w:tr w14:paraId="2F68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28" w:type="dxa"/>
            <w:noWrap w:val="0"/>
            <w:vAlign w:val="center"/>
          </w:tcPr>
          <w:p w14:paraId="5021DD4C">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530" w:type="dxa"/>
            <w:vMerge w:val="continue"/>
            <w:noWrap w:val="0"/>
            <w:vAlign w:val="center"/>
          </w:tcPr>
          <w:p w14:paraId="4AF68237">
            <w:pPr>
              <w:spacing w:before="25" w:after="25" w:line="360" w:lineRule="auto"/>
              <w:jc w:val="center"/>
              <w:rPr>
                <w:rFonts w:hint="eastAsia" w:ascii="宋体" w:hAnsi="宋体" w:cs="宋体"/>
                <w:color w:val="auto"/>
                <w:szCs w:val="21"/>
                <w:highlight w:val="none"/>
              </w:rPr>
            </w:pPr>
          </w:p>
        </w:tc>
        <w:tc>
          <w:tcPr>
            <w:tcW w:w="1530" w:type="dxa"/>
            <w:noWrap w:val="0"/>
            <w:vAlign w:val="center"/>
          </w:tcPr>
          <w:p w14:paraId="13057140">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免费维修</w:t>
            </w:r>
          </w:p>
        </w:tc>
        <w:tc>
          <w:tcPr>
            <w:tcW w:w="1800" w:type="dxa"/>
            <w:noWrap w:val="0"/>
            <w:vAlign w:val="center"/>
          </w:tcPr>
          <w:p w14:paraId="05624014">
            <w:pPr>
              <w:spacing w:before="25" w:after="25" w:line="360" w:lineRule="auto"/>
              <w:jc w:val="center"/>
              <w:rPr>
                <w:rFonts w:hint="eastAsia" w:ascii="宋体" w:hAnsi="宋体" w:cs="宋体"/>
                <w:color w:val="auto"/>
                <w:szCs w:val="21"/>
                <w:highlight w:val="none"/>
              </w:rPr>
            </w:pPr>
          </w:p>
        </w:tc>
        <w:tc>
          <w:tcPr>
            <w:tcW w:w="2616" w:type="dxa"/>
            <w:noWrap w:val="0"/>
            <w:vAlign w:val="center"/>
          </w:tcPr>
          <w:p w14:paraId="32ABC8A7">
            <w:pPr>
              <w:spacing w:before="25" w:after="25" w:line="360" w:lineRule="auto"/>
              <w:jc w:val="center"/>
              <w:rPr>
                <w:rFonts w:hint="eastAsia" w:ascii="宋体" w:hAnsi="宋体" w:cs="宋体"/>
                <w:color w:val="auto"/>
                <w:szCs w:val="21"/>
                <w:highlight w:val="none"/>
              </w:rPr>
            </w:pPr>
          </w:p>
        </w:tc>
      </w:tr>
      <w:tr w14:paraId="5A7F4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828" w:type="dxa"/>
            <w:noWrap w:val="0"/>
            <w:vAlign w:val="center"/>
          </w:tcPr>
          <w:p w14:paraId="4E761FFA">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3060" w:type="dxa"/>
            <w:gridSpan w:val="2"/>
            <w:noWrap w:val="0"/>
            <w:vAlign w:val="center"/>
          </w:tcPr>
          <w:p w14:paraId="0ADE3B2B">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质保期满后</w:t>
            </w:r>
          </w:p>
          <w:p w14:paraId="42566AD5">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免人工维修</w:t>
            </w:r>
          </w:p>
        </w:tc>
        <w:tc>
          <w:tcPr>
            <w:tcW w:w="1800" w:type="dxa"/>
            <w:noWrap w:val="0"/>
            <w:vAlign w:val="center"/>
          </w:tcPr>
          <w:p w14:paraId="01A600E1">
            <w:pPr>
              <w:spacing w:before="25" w:after="25" w:line="360" w:lineRule="auto"/>
              <w:jc w:val="center"/>
              <w:rPr>
                <w:rFonts w:hint="eastAsia" w:ascii="宋体" w:hAnsi="宋体" w:cs="宋体"/>
                <w:color w:val="auto"/>
                <w:szCs w:val="21"/>
                <w:highlight w:val="none"/>
              </w:rPr>
            </w:pPr>
          </w:p>
        </w:tc>
        <w:tc>
          <w:tcPr>
            <w:tcW w:w="2616" w:type="dxa"/>
            <w:noWrap w:val="0"/>
            <w:vAlign w:val="center"/>
          </w:tcPr>
          <w:p w14:paraId="51AD1383">
            <w:pPr>
              <w:spacing w:before="25" w:after="25" w:line="360" w:lineRule="auto"/>
              <w:jc w:val="center"/>
              <w:rPr>
                <w:rFonts w:hint="eastAsia" w:ascii="宋体" w:hAnsi="宋体" w:cs="宋体"/>
                <w:color w:val="auto"/>
                <w:szCs w:val="21"/>
                <w:highlight w:val="none"/>
              </w:rPr>
            </w:pPr>
          </w:p>
        </w:tc>
      </w:tr>
      <w:tr w14:paraId="39C2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828" w:type="dxa"/>
            <w:noWrap w:val="0"/>
            <w:vAlign w:val="center"/>
          </w:tcPr>
          <w:p w14:paraId="54A26EF2">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3060" w:type="dxa"/>
            <w:gridSpan w:val="2"/>
            <w:noWrap w:val="0"/>
            <w:vAlign w:val="center"/>
          </w:tcPr>
          <w:p w14:paraId="1F5761A3">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服务响应</w:t>
            </w:r>
          </w:p>
        </w:tc>
        <w:tc>
          <w:tcPr>
            <w:tcW w:w="1800" w:type="dxa"/>
            <w:noWrap w:val="0"/>
            <w:vAlign w:val="center"/>
          </w:tcPr>
          <w:p w14:paraId="25153601">
            <w:pPr>
              <w:spacing w:before="25" w:after="25" w:line="360" w:lineRule="auto"/>
              <w:jc w:val="center"/>
              <w:rPr>
                <w:rFonts w:hint="eastAsia" w:ascii="宋体" w:hAnsi="宋体" w:cs="宋体"/>
                <w:color w:val="auto"/>
                <w:szCs w:val="21"/>
                <w:highlight w:val="none"/>
              </w:rPr>
            </w:pPr>
          </w:p>
        </w:tc>
        <w:tc>
          <w:tcPr>
            <w:tcW w:w="2616" w:type="dxa"/>
            <w:noWrap w:val="0"/>
            <w:vAlign w:val="center"/>
          </w:tcPr>
          <w:p w14:paraId="540ADC2E">
            <w:pPr>
              <w:spacing w:before="25" w:after="25" w:line="360" w:lineRule="auto"/>
              <w:jc w:val="center"/>
              <w:rPr>
                <w:rFonts w:hint="eastAsia" w:ascii="宋体" w:hAnsi="宋体" w:cs="宋体"/>
                <w:color w:val="auto"/>
                <w:szCs w:val="21"/>
                <w:highlight w:val="none"/>
              </w:rPr>
            </w:pPr>
          </w:p>
        </w:tc>
      </w:tr>
      <w:tr w14:paraId="4663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28" w:type="dxa"/>
            <w:noWrap w:val="0"/>
            <w:vAlign w:val="center"/>
          </w:tcPr>
          <w:p w14:paraId="1E90E8DE">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3060" w:type="dxa"/>
            <w:gridSpan w:val="2"/>
            <w:noWrap w:val="0"/>
            <w:vAlign w:val="center"/>
          </w:tcPr>
          <w:p w14:paraId="76B3F0AD">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到达现场</w:t>
            </w:r>
          </w:p>
        </w:tc>
        <w:tc>
          <w:tcPr>
            <w:tcW w:w="1800" w:type="dxa"/>
            <w:noWrap w:val="0"/>
            <w:vAlign w:val="center"/>
          </w:tcPr>
          <w:p w14:paraId="43490225">
            <w:pPr>
              <w:spacing w:before="25" w:after="25" w:line="360" w:lineRule="auto"/>
              <w:jc w:val="center"/>
              <w:rPr>
                <w:rFonts w:hint="eastAsia" w:ascii="宋体" w:hAnsi="宋体" w:cs="宋体"/>
                <w:color w:val="auto"/>
                <w:szCs w:val="21"/>
                <w:highlight w:val="none"/>
              </w:rPr>
            </w:pPr>
          </w:p>
        </w:tc>
        <w:tc>
          <w:tcPr>
            <w:tcW w:w="2616" w:type="dxa"/>
            <w:noWrap w:val="0"/>
            <w:vAlign w:val="center"/>
          </w:tcPr>
          <w:p w14:paraId="7536DFF4">
            <w:pPr>
              <w:spacing w:before="25" w:after="25" w:line="360" w:lineRule="auto"/>
              <w:jc w:val="center"/>
              <w:rPr>
                <w:rFonts w:hint="eastAsia" w:ascii="宋体" w:hAnsi="宋体" w:cs="宋体"/>
                <w:color w:val="auto"/>
                <w:szCs w:val="21"/>
                <w:highlight w:val="none"/>
              </w:rPr>
            </w:pPr>
          </w:p>
        </w:tc>
      </w:tr>
      <w:tr w14:paraId="0A37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828" w:type="dxa"/>
            <w:noWrap w:val="0"/>
            <w:vAlign w:val="center"/>
          </w:tcPr>
          <w:p w14:paraId="057AF5FE">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3060" w:type="dxa"/>
            <w:gridSpan w:val="2"/>
            <w:noWrap w:val="0"/>
            <w:vAlign w:val="center"/>
          </w:tcPr>
          <w:p w14:paraId="2DB818DA">
            <w:pPr>
              <w:spacing w:before="25" w:after="25"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解决问题</w:t>
            </w:r>
          </w:p>
        </w:tc>
        <w:tc>
          <w:tcPr>
            <w:tcW w:w="1800" w:type="dxa"/>
            <w:noWrap w:val="0"/>
            <w:vAlign w:val="center"/>
          </w:tcPr>
          <w:p w14:paraId="3E0F51FA">
            <w:pPr>
              <w:spacing w:before="25" w:after="25" w:line="360" w:lineRule="auto"/>
              <w:jc w:val="center"/>
              <w:rPr>
                <w:rFonts w:hint="eastAsia" w:ascii="宋体" w:hAnsi="宋体" w:cs="宋体"/>
                <w:color w:val="auto"/>
                <w:szCs w:val="21"/>
                <w:highlight w:val="none"/>
              </w:rPr>
            </w:pPr>
          </w:p>
        </w:tc>
        <w:tc>
          <w:tcPr>
            <w:tcW w:w="2616" w:type="dxa"/>
            <w:noWrap w:val="0"/>
            <w:vAlign w:val="center"/>
          </w:tcPr>
          <w:p w14:paraId="248B13BF">
            <w:pPr>
              <w:spacing w:before="25" w:after="25" w:line="360" w:lineRule="auto"/>
              <w:jc w:val="center"/>
              <w:rPr>
                <w:rFonts w:hint="eastAsia" w:ascii="宋体" w:hAnsi="宋体" w:cs="宋体"/>
                <w:color w:val="auto"/>
                <w:szCs w:val="21"/>
                <w:highlight w:val="none"/>
              </w:rPr>
            </w:pPr>
          </w:p>
        </w:tc>
      </w:tr>
      <w:tr w14:paraId="1C67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28" w:type="dxa"/>
            <w:noWrap w:val="0"/>
            <w:vAlign w:val="center"/>
          </w:tcPr>
          <w:p w14:paraId="14067E55">
            <w:pPr>
              <w:spacing w:before="25" w:after="25" w:line="360" w:lineRule="auto"/>
              <w:jc w:val="center"/>
              <w:rPr>
                <w:rFonts w:hint="eastAsia" w:ascii="宋体" w:hAnsi="宋体" w:cs="宋体"/>
                <w:color w:val="auto"/>
                <w:szCs w:val="21"/>
                <w:highlight w:val="none"/>
              </w:rPr>
            </w:pPr>
          </w:p>
        </w:tc>
        <w:tc>
          <w:tcPr>
            <w:tcW w:w="3060" w:type="dxa"/>
            <w:gridSpan w:val="2"/>
            <w:noWrap w:val="0"/>
            <w:vAlign w:val="center"/>
          </w:tcPr>
          <w:p w14:paraId="55048509">
            <w:pPr>
              <w:spacing w:before="25" w:after="25" w:line="360" w:lineRule="auto"/>
              <w:jc w:val="center"/>
              <w:rPr>
                <w:rFonts w:hint="eastAsia" w:ascii="宋体" w:hAnsi="宋体" w:cs="宋体"/>
                <w:color w:val="auto"/>
                <w:szCs w:val="21"/>
                <w:highlight w:val="none"/>
              </w:rPr>
            </w:pPr>
          </w:p>
        </w:tc>
        <w:tc>
          <w:tcPr>
            <w:tcW w:w="1800" w:type="dxa"/>
            <w:noWrap w:val="0"/>
            <w:vAlign w:val="center"/>
          </w:tcPr>
          <w:p w14:paraId="13212E12">
            <w:pPr>
              <w:spacing w:before="25" w:after="25" w:line="360" w:lineRule="auto"/>
              <w:jc w:val="center"/>
              <w:rPr>
                <w:rFonts w:hint="eastAsia" w:ascii="宋体" w:hAnsi="宋体" w:cs="宋体"/>
                <w:color w:val="auto"/>
                <w:szCs w:val="21"/>
                <w:highlight w:val="none"/>
              </w:rPr>
            </w:pPr>
          </w:p>
        </w:tc>
        <w:tc>
          <w:tcPr>
            <w:tcW w:w="2616" w:type="dxa"/>
            <w:noWrap w:val="0"/>
            <w:vAlign w:val="center"/>
          </w:tcPr>
          <w:p w14:paraId="157C0FC9">
            <w:pPr>
              <w:spacing w:before="25" w:after="25" w:line="360" w:lineRule="auto"/>
              <w:jc w:val="center"/>
              <w:rPr>
                <w:rFonts w:hint="eastAsia" w:ascii="宋体" w:hAnsi="宋体" w:cs="宋体"/>
                <w:color w:val="auto"/>
                <w:szCs w:val="21"/>
                <w:highlight w:val="none"/>
              </w:rPr>
            </w:pPr>
          </w:p>
        </w:tc>
      </w:tr>
      <w:tr w14:paraId="6601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28" w:type="dxa"/>
            <w:noWrap w:val="0"/>
            <w:vAlign w:val="center"/>
          </w:tcPr>
          <w:p w14:paraId="40F4D732">
            <w:pPr>
              <w:spacing w:before="25" w:after="25" w:line="360" w:lineRule="auto"/>
              <w:jc w:val="center"/>
              <w:rPr>
                <w:rFonts w:hint="eastAsia" w:ascii="宋体" w:hAnsi="宋体" w:cs="宋体"/>
                <w:color w:val="auto"/>
                <w:szCs w:val="21"/>
                <w:highlight w:val="none"/>
              </w:rPr>
            </w:pPr>
          </w:p>
        </w:tc>
        <w:tc>
          <w:tcPr>
            <w:tcW w:w="3060" w:type="dxa"/>
            <w:gridSpan w:val="2"/>
            <w:noWrap w:val="0"/>
            <w:vAlign w:val="center"/>
          </w:tcPr>
          <w:p w14:paraId="2F821611">
            <w:pPr>
              <w:spacing w:before="25" w:after="25" w:line="360" w:lineRule="auto"/>
              <w:jc w:val="center"/>
              <w:rPr>
                <w:rFonts w:hint="eastAsia" w:ascii="宋体" w:hAnsi="宋体" w:cs="宋体"/>
                <w:color w:val="auto"/>
                <w:szCs w:val="21"/>
                <w:highlight w:val="none"/>
              </w:rPr>
            </w:pPr>
          </w:p>
        </w:tc>
        <w:tc>
          <w:tcPr>
            <w:tcW w:w="1800" w:type="dxa"/>
            <w:noWrap w:val="0"/>
            <w:vAlign w:val="center"/>
          </w:tcPr>
          <w:p w14:paraId="6099B3BC">
            <w:pPr>
              <w:spacing w:before="25" w:after="25" w:line="360" w:lineRule="auto"/>
              <w:jc w:val="center"/>
              <w:rPr>
                <w:rFonts w:hint="eastAsia" w:ascii="宋体" w:hAnsi="宋体" w:cs="宋体"/>
                <w:color w:val="auto"/>
                <w:szCs w:val="21"/>
                <w:highlight w:val="none"/>
              </w:rPr>
            </w:pPr>
          </w:p>
        </w:tc>
        <w:tc>
          <w:tcPr>
            <w:tcW w:w="2616" w:type="dxa"/>
            <w:noWrap w:val="0"/>
            <w:vAlign w:val="center"/>
          </w:tcPr>
          <w:p w14:paraId="53DA4C32">
            <w:pPr>
              <w:spacing w:before="25" w:after="25" w:line="360" w:lineRule="auto"/>
              <w:jc w:val="center"/>
              <w:rPr>
                <w:rFonts w:hint="eastAsia" w:ascii="宋体" w:hAnsi="宋体" w:cs="宋体"/>
                <w:color w:val="auto"/>
                <w:szCs w:val="21"/>
                <w:highlight w:val="none"/>
              </w:rPr>
            </w:pPr>
          </w:p>
        </w:tc>
      </w:tr>
      <w:tr w14:paraId="110A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28" w:type="dxa"/>
            <w:noWrap w:val="0"/>
            <w:vAlign w:val="center"/>
          </w:tcPr>
          <w:p w14:paraId="12CA7880">
            <w:pPr>
              <w:spacing w:before="25" w:after="25" w:line="360" w:lineRule="auto"/>
              <w:jc w:val="center"/>
              <w:rPr>
                <w:rFonts w:hint="eastAsia" w:ascii="宋体" w:hAnsi="宋体" w:cs="宋体"/>
                <w:color w:val="auto"/>
                <w:szCs w:val="21"/>
                <w:highlight w:val="none"/>
              </w:rPr>
            </w:pPr>
          </w:p>
        </w:tc>
        <w:tc>
          <w:tcPr>
            <w:tcW w:w="3060" w:type="dxa"/>
            <w:gridSpan w:val="2"/>
            <w:noWrap w:val="0"/>
            <w:vAlign w:val="center"/>
          </w:tcPr>
          <w:p w14:paraId="3621CA21">
            <w:pPr>
              <w:spacing w:before="25" w:after="25" w:line="360" w:lineRule="auto"/>
              <w:jc w:val="center"/>
              <w:rPr>
                <w:rFonts w:hint="eastAsia" w:ascii="宋体" w:hAnsi="宋体" w:cs="宋体"/>
                <w:color w:val="auto"/>
                <w:szCs w:val="21"/>
                <w:highlight w:val="none"/>
              </w:rPr>
            </w:pPr>
          </w:p>
        </w:tc>
        <w:tc>
          <w:tcPr>
            <w:tcW w:w="1800" w:type="dxa"/>
            <w:noWrap w:val="0"/>
            <w:vAlign w:val="center"/>
          </w:tcPr>
          <w:p w14:paraId="6AACA155">
            <w:pPr>
              <w:spacing w:before="25" w:after="25" w:line="360" w:lineRule="auto"/>
              <w:jc w:val="center"/>
              <w:rPr>
                <w:rFonts w:hint="eastAsia" w:ascii="宋体" w:hAnsi="宋体" w:cs="宋体"/>
                <w:color w:val="auto"/>
                <w:szCs w:val="21"/>
                <w:highlight w:val="none"/>
              </w:rPr>
            </w:pPr>
          </w:p>
        </w:tc>
        <w:tc>
          <w:tcPr>
            <w:tcW w:w="2616" w:type="dxa"/>
            <w:noWrap w:val="0"/>
            <w:vAlign w:val="center"/>
          </w:tcPr>
          <w:p w14:paraId="7A25C7E5">
            <w:pPr>
              <w:spacing w:before="25" w:after="25" w:line="360" w:lineRule="auto"/>
              <w:jc w:val="center"/>
              <w:rPr>
                <w:rFonts w:hint="eastAsia" w:ascii="宋体" w:hAnsi="宋体" w:cs="宋体"/>
                <w:color w:val="auto"/>
                <w:szCs w:val="21"/>
                <w:highlight w:val="none"/>
              </w:rPr>
            </w:pPr>
          </w:p>
        </w:tc>
      </w:tr>
    </w:tbl>
    <w:p w14:paraId="505C59E2">
      <w:pPr>
        <w:spacing w:line="360" w:lineRule="auto"/>
        <w:ind w:firstLine="240"/>
        <w:rPr>
          <w:rFonts w:ascii="宋体" w:hAnsi="宋体" w:cs="宋体"/>
          <w:color w:val="auto"/>
          <w:szCs w:val="21"/>
          <w:highlight w:val="none"/>
        </w:rPr>
      </w:pPr>
    </w:p>
    <w:p w14:paraId="4CA41F49">
      <w:pPr>
        <w:spacing w:line="360" w:lineRule="auto"/>
        <w:ind w:firstLine="240"/>
        <w:rPr>
          <w:rFonts w:ascii="宋体" w:hAnsi="宋体" w:cs="宋体"/>
          <w:color w:val="auto"/>
          <w:szCs w:val="21"/>
          <w:highlight w:val="none"/>
        </w:rPr>
      </w:pPr>
      <w:r>
        <w:rPr>
          <w:rFonts w:hint="eastAsia" w:ascii="宋体" w:hAnsi="宋体" w:cs="宋体"/>
          <w:color w:val="auto"/>
          <w:szCs w:val="21"/>
          <w:highlight w:val="none"/>
        </w:rPr>
        <w:t xml:space="preserve">投标人：（签章）                                    </w:t>
      </w:r>
    </w:p>
    <w:p w14:paraId="44739F0E">
      <w:pPr>
        <w:ind w:firstLine="210" w:firstLineChars="100"/>
        <w:rPr>
          <w:color w:val="auto"/>
          <w:szCs w:val="21"/>
          <w:highlight w:val="none"/>
        </w:rPr>
      </w:pPr>
      <w:r>
        <w:rPr>
          <w:rFonts w:hint="eastAsia" w:ascii="宋体" w:hAnsi="宋体" w:cs="宋体"/>
          <w:color w:val="auto"/>
          <w:szCs w:val="21"/>
          <w:highlight w:val="none"/>
        </w:rPr>
        <w:t>日期：　　年　　 月　　 日</w:t>
      </w:r>
    </w:p>
    <w:p w14:paraId="1B51A5BC">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附件8：商务条款偏离表</w:t>
      </w:r>
    </w:p>
    <w:p w14:paraId="20AC75C6">
      <w:pPr>
        <w:autoSpaceDE w:val="0"/>
        <w:autoSpaceDN w:val="0"/>
        <w:adjustRightInd w:val="0"/>
        <w:spacing w:line="360" w:lineRule="auto"/>
        <w:ind w:firstLine="420"/>
        <w:jc w:val="center"/>
        <w:rPr>
          <w:rFonts w:ascii="宋体" w:hAnsi="宋体" w:cs="宋体"/>
          <w:b/>
          <w:color w:val="auto"/>
          <w:szCs w:val="21"/>
          <w:highlight w:val="none"/>
        </w:rPr>
      </w:pPr>
    </w:p>
    <w:p w14:paraId="3C7B071D">
      <w:pPr>
        <w:autoSpaceDE w:val="0"/>
        <w:autoSpaceDN w:val="0"/>
        <w:adjustRightInd w:val="0"/>
        <w:spacing w:line="360" w:lineRule="auto"/>
        <w:jc w:val="center"/>
        <w:rPr>
          <w:rFonts w:ascii="宋体" w:hAnsi="宋体" w:cs="宋体"/>
          <w:color w:val="auto"/>
          <w:szCs w:val="21"/>
          <w:highlight w:val="none"/>
          <w:lang w:val="zh-CN"/>
        </w:rPr>
      </w:pPr>
      <w:r>
        <w:rPr>
          <w:rFonts w:hint="eastAsia" w:ascii="宋体" w:hAnsi="宋体" w:cs="宋体"/>
          <w:b/>
          <w:color w:val="auto"/>
          <w:szCs w:val="21"/>
          <w:highlight w:val="none"/>
        </w:rPr>
        <w:t>商务条款偏离表</w:t>
      </w:r>
    </w:p>
    <w:p w14:paraId="6531ACDE">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lang w:val="zh-CN"/>
        </w:rPr>
        <w:t>招标编号：             号</w:t>
      </w:r>
      <w:r>
        <w:rPr>
          <w:rFonts w:hint="eastAsia" w:ascii="宋体" w:hAnsi="宋体" w:cs="宋体"/>
          <w:color w:val="auto"/>
          <w:szCs w:val="21"/>
          <w:highlight w:val="none"/>
        </w:rPr>
        <w:t xml:space="preserve">                     项目名称：</w:t>
      </w:r>
    </w:p>
    <w:tbl>
      <w:tblPr>
        <w:tblStyle w:val="31"/>
        <w:tblW w:w="482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46"/>
        <w:gridCol w:w="3521"/>
        <w:gridCol w:w="2447"/>
        <w:gridCol w:w="1753"/>
      </w:tblGrid>
      <w:tr w14:paraId="1CB762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193B2BBB">
            <w:pPr>
              <w:spacing w:line="360" w:lineRule="auto"/>
              <w:rPr>
                <w:rFonts w:ascii="宋体" w:hAnsi="宋体" w:cs="宋体"/>
                <w:color w:val="auto"/>
                <w:szCs w:val="21"/>
                <w:highlight w:val="none"/>
              </w:rPr>
            </w:pPr>
            <w:r>
              <w:rPr>
                <w:rFonts w:hint="eastAsia" w:ascii="宋体" w:hAnsi="宋体" w:cs="宋体"/>
                <w:color w:val="auto"/>
                <w:szCs w:val="21"/>
                <w:highlight w:val="none"/>
              </w:rPr>
              <w:t>序号</w:t>
            </w:r>
          </w:p>
        </w:tc>
        <w:tc>
          <w:tcPr>
            <w:tcW w:w="3521" w:type="dxa"/>
            <w:vAlign w:val="center"/>
          </w:tcPr>
          <w:p w14:paraId="38804AF4">
            <w:pPr>
              <w:spacing w:line="360" w:lineRule="auto"/>
              <w:rPr>
                <w:rFonts w:ascii="宋体" w:hAnsi="宋体" w:cs="宋体"/>
                <w:color w:val="auto"/>
                <w:szCs w:val="21"/>
                <w:highlight w:val="none"/>
              </w:rPr>
            </w:pPr>
            <w:r>
              <w:rPr>
                <w:rFonts w:hint="eastAsia" w:ascii="宋体" w:hAnsi="宋体" w:cs="宋体"/>
                <w:color w:val="auto"/>
                <w:szCs w:val="21"/>
                <w:highlight w:val="none"/>
              </w:rPr>
              <w:t>招标文件的商务条款</w:t>
            </w:r>
          </w:p>
        </w:tc>
        <w:tc>
          <w:tcPr>
            <w:tcW w:w="2447" w:type="dxa"/>
            <w:vAlign w:val="center"/>
          </w:tcPr>
          <w:p w14:paraId="390FB7C1">
            <w:pPr>
              <w:spacing w:line="360" w:lineRule="auto"/>
              <w:rPr>
                <w:rFonts w:ascii="宋体" w:hAnsi="宋体" w:cs="宋体"/>
                <w:color w:val="auto"/>
                <w:szCs w:val="21"/>
                <w:highlight w:val="none"/>
              </w:rPr>
            </w:pPr>
            <w:r>
              <w:rPr>
                <w:rFonts w:hint="eastAsia" w:ascii="宋体" w:hAnsi="宋体" w:cs="宋体"/>
                <w:color w:val="auto"/>
                <w:szCs w:val="21"/>
                <w:highlight w:val="none"/>
              </w:rPr>
              <w:t>投标文件的商务条款</w:t>
            </w:r>
          </w:p>
        </w:tc>
        <w:tc>
          <w:tcPr>
            <w:tcW w:w="1753" w:type="dxa"/>
            <w:vAlign w:val="center"/>
          </w:tcPr>
          <w:p w14:paraId="6AFF6CC6">
            <w:pPr>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说明</w:t>
            </w:r>
          </w:p>
        </w:tc>
      </w:tr>
      <w:tr w14:paraId="60A7B0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5C66E581">
            <w:pPr>
              <w:spacing w:line="360" w:lineRule="auto"/>
              <w:ind w:firstLine="422"/>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3521" w:type="dxa"/>
            <w:vAlign w:val="center"/>
          </w:tcPr>
          <w:p w14:paraId="22AD9A90">
            <w:pPr>
              <w:rPr>
                <w:rFonts w:ascii="宋体" w:hAnsi="宋体" w:cs="宋体"/>
                <w:color w:val="auto"/>
                <w:szCs w:val="21"/>
                <w:highlight w:val="none"/>
              </w:rPr>
            </w:pPr>
            <w:r>
              <w:rPr>
                <w:rFonts w:hint="eastAsia" w:ascii="宋体" w:hAnsi="宋体" w:cs="宋体"/>
                <w:color w:val="auto"/>
                <w:szCs w:val="21"/>
                <w:highlight w:val="none"/>
                <w:lang w:val="en-US" w:eastAsia="zh-CN"/>
              </w:rPr>
              <w:t>交货</w:t>
            </w:r>
            <w:r>
              <w:rPr>
                <w:rFonts w:hint="eastAsia" w:ascii="宋体" w:hAnsi="宋体" w:cs="宋体"/>
                <w:color w:val="auto"/>
                <w:szCs w:val="21"/>
                <w:highlight w:val="none"/>
              </w:rPr>
              <w:t>期限</w:t>
            </w:r>
          </w:p>
        </w:tc>
        <w:tc>
          <w:tcPr>
            <w:tcW w:w="2447" w:type="dxa"/>
            <w:vAlign w:val="center"/>
          </w:tcPr>
          <w:p w14:paraId="44B647E6">
            <w:pPr>
              <w:spacing w:line="360" w:lineRule="auto"/>
              <w:ind w:firstLine="422"/>
              <w:rPr>
                <w:rFonts w:ascii="宋体" w:hAnsi="宋体" w:cs="宋体"/>
                <w:color w:val="auto"/>
                <w:szCs w:val="21"/>
                <w:highlight w:val="none"/>
              </w:rPr>
            </w:pPr>
          </w:p>
        </w:tc>
        <w:tc>
          <w:tcPr>
            <w:tcW w:w="1753" w:type="dxa"/>
            <w:vAlign w:val="center"/>
          </w:tcPr>
          <w:p w14:paraId="0E931060">
            <w:pPr>
              <w:spacing w:line="360" w:lineRule="auto"/>
              <w:ind w:firstLine="422"/>
              <w:rPr>
                <w:rFonts w:ascii="宋体" w:hAnsi="宋体" w:cs="宋体"/>
                <w:color w:val="auto"/>
                <w:szCs w:val="21"/>
                <w:highlight w:val="none"/>
              </w:rPr>
            </w:pPr>
          </w:p>
        </w:tc>
      </w:tr>
      <w:tr w14:paraId="0ADC7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2B158C03">
            <w:pPr>
              <w:spacing w:line="360" w:lineRule="auto"/>
              <w:ind w:firstLine="422"/>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3521" w:type="dxa"/>
            <w:vAlign w:val="center"/>
          </w:tcPr>
          <w:p w14:paraId="01D66A22">
            <w:pPr>
              <w:rPr>
                <w:rFonts w:ascii="宋体" w:hAnsi="宋体" w:cs="宋体"/>
                <w:color w:val="auto"/>
                <w:szCs w:val="21"/>
                <w:highlight w:val="none"/>
              </w:rPr>
            </w:pPr>
            <w:r>
              <w:rPr>
                <w:rFonts w:hint="eastAsia" w:ascii="宋体" w:hAnsi="宋体" w:cs="宋体"/>
                <w:color w:val="auto"/>
                <w:szCs w:val="21"/>
                <w:highlight w:val="none"/>
              </w:rPr>
              <w:t>付款步骤</w:t>
            </w:r>
          </w:p>
        </w:tc>
        <w:tc>
          <w:tcPr>
            <w:tcW w:w="2447" w:type="dxa"/>
            <w:vAlign w:val="center"/>
          </w:tcPr>
          <w:p w14:paraId="061B6042">
            <w:pPr>
              <w:spacing w:line="360" w:lineRule="auto"/>
              <w:ind w:firstLine="422"/>
              <w:rPr>
                <w:rFonts w:ascii="宋体" w:hAnsi="宋体" w:cs="宋体"/>
                <w:color w:val="auto"/>
                <w:szCs w:val="21"/>
                <w:highlight w:val="none"/>
              </w:rPr>
            </w:pPr>
          </w:p>
        </w:tc>
        <w:tc>
          <w:tcPr>
            <w:tcW w:w="1753" w:type="dxa"/>
            <w:vAlign w:val="center"/>
          </w:tcPr>
          <w:p w14:paraId="6012DC8A">
            <w:pPr>
              <w:spacing w:line="360" w:lineRule="auto"/>
              <w:ind w:firstLine="422"/>
              <w:rPr>
                <w:rFonts w:ascii="宋体" w:hAnsi="宋体" w:cs="宋体"/>
                <w:color w:val="auto"/>
                <w:szCs w:val="21"/>
                <w:highlight w:val="none"/>
              </w:rPr>
            </w:pPr>
          </w:p>
        </w:tc>
      </w:tr>
      <w:tr w14:paraId="4C1518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0C6DB7DD">
            <w:pPr>
              <w:spacing w:line="360" w:lineRule="auto"/>
              <w:ind w:firstLine="422"/>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3521" w:type="dxa"/>
            <w:vAlign w:val="center"/>
          </w:tcPr>
          <w:p w14:paraId="4AFC892B">
            <w:pPr>
              <w:rPr>
                <w:rFonts w:ascii="宋体" w:hAnsi="宋体" w:cs="宋体"/>
                <w:color w:val="auto"/>
                <w:szCs w:val="21"/>
                <w:highlight w:val="none"/>
              </w:rPr>
            </w:pPr>
            <w:r>
              <w:rPr>
                <w:rFonts w:hint="eastAsia" w:ascii="宋体" w:hAnsi="宋体" w:cs="宋体"/>
                <w:color w:val="auto"/>
                <w:szCs w:val="21"/>
                <w:highlight w:val="none"/>
              </w:rPr>
              <w:t>合同条款</w:t>
            </w:r>
          </w:p>
        </w:tc>
        <w:tc>
          <w:tcPr>
            <w:tcW w:w="2447" w:type="dxa"/>
            <w:vAlign w:val="center"/>
          </w:tcPr>
          <w:p w14:paraId="58C9F9D7">
            <w:pPr>
              <w:spacing w:line="360" w:lineRule="auto"/>
              <w:ind w:firstLine="422"/>
              <w:rPr>
                <w:rFonts w:ascii="宋体" w:hAnsi="宋体" w:cs="宋体"/>
                <w:color w:val="auto"/>
                <w:szCs w:val="21"/>
                <w:highlight w:val="none"/>
              </w:rPr>
            </w:pPr>
          </w:p>
        </w:tc>
        <w:tc>
          <w:tcPr>
            <w:tcW w:w="1753" w:type="dxa"/>
            <w:vAlign w:val="center"/>
          </w:tcPr>
          <w:p w14:paraId="204D03AD">
            <w:pPr>
              <w:spacing w:line="360" w:lineRule="auto"/>
              <w:ind w:firstLine="422"/>
              <w:rPr>
                <w:rFonts w:ascii="宋体" w:hAnsi="宋体" w:cs="宋体"/>
                <w:color w:val="auto"/>
                <w:szCs w:val="21"/>
                <w:highlight w:val="none"/>
              </w:rPr>
            </w:pPr>
          </w:p>
        </w:tc>
      </w:tr>
      <w:tr w14:paraId="2F020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5DAA8E58">
            <w:pPr>
              <w:spacing w:line="360" w:lineRule="auto"/>
              <w:ind w:firstLine="422"/>
              <w:rPr>
                <w:rFonts w:ascii="宋体" w:hAnsi="宋体" w:cs="宋体"/>
                <w:color w:val="auto"/>
                <w:szCs w:val="21"/>
                <w:highlight w:val="none"/>
              </w:rPr>
            </w:pPr>
            <w:r>
              <w:rPr>
                <w:rFonts w:hint="eastAsia" w:ascii="宋体" w:hAnsi="宋体" w:eastAsia="宋体" w:cs="宋体"/>
                <w:color w:val="auto"/>
                <w:szCs w:val="21"/>
                <w:highlight w:val="none"/>
                <w:lang w:val="en-US" w:eastAsia="zh-CN"/>
              </w:rPr>
              <w:t>4</w:t>
            </w:r>
          </w:p>
        </w:tc>
        <w:tc>
          <w:tcPr>
            <w:tcW w:w="3521" w:type="dxa"/>
            <w:vAlign w:val="center"/>
          </w:tcPr>
          <w:p w14:paraId="102F42CB">
            <w:pPr>
              <w:spacing w:line="360" w:lineRule="auto"/>
              <w:ind w:firstLine="422"/>
              <w:rPr>
                <w:rFonts w:ascii="宋体" w:hAnsi="宋体" w:cs="宋体"/>
                <w:color w:val="auto"/>
                <w:szCs w:val="21"/>
                <w:highlight w:val="none"/>
              </w:rPr>
            </w:pPr>
          </w:p>
        </w:tc>
        <w:tc>
          <w:tcPr>
            <w:tcW w:w="2447" w:type="dxa"/>
            <w:vAlign w:val="center"/>
          </w:tcPr>
          <w:p w14:paraId="76E3B43D">
            <w:pPr>
              <w:spacing w:line="360" w:lineRule="auto"/>
              <w:ind w:firstLine="422"/>
              <w:rPr>
                <w:rFonts w:ascii="宋体" w:hAnsi="宋体" w:cs="宋体"/>
                <w:color w:val="auto"/>
                <w:szCs w:val="21"/>
                <w:highlight w:val="none"/>
              </w:rPr>
            </w:pPr>
          </w:p>
        </w:tc>
        <w:tc>
          <w:tcPr>
            <w:tcW w:w="1753" w:type="dxa"/>
            <w:vAlign w:val="center"/>
          </w:tcPr>
          <w:p w14:paraId="6AE9FCAF">
            <w:pPr>
              <w:spacing w:line="360" w:lineRule="auto"/>
              <w:ind w:firstLine="422"/>
              <w:rPr>
                <w:rFonts w:ascii="宋体" w:hAnsi="宋体" w:cs="宋体"/>
                <w:color w:val="auto"/>
                <w:szCs w:val="21"/>
                <w:highlight w:val="none"/>
              </w:rPr>
            </w:pPr>
          </w:p>
        </w:tc>
      </w:tr>
      <w:tr w14:paraId="53A5B3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2E940895">
            <w:pPr>
              <w:spacing w:line="360" w:lineRule="auto"/>
              <w:ind w:firstLine="422"/>
              <w:rPr>
                <w:rFonts w:ascii="宋体" w:hAnsi="宋体" w:cs="宋体"/>
                <w:color w:val="auto"/>
                <w:szCs w:val="21"/>
                <w:highlight w:val="none"/>
              </w:rPr>
            </w:pPr>
            <w:r>
              <w:rPr>
                <w:rFonts w:hint="eastAsia" w:ascii="宋体" w:hAnsi="宋体" w:eastAsia="宋体" w:cs="宋体"/>
                <w:color w:val="auto"/>
                <w:szCs w:val="21"/>
                <w:highlight w:val="none"/>
              </w:rPr>
              <w:t>...</w:t>
            </w:r>
          </w:p>
        </w:tc>
        <w:tc>
          <w:tcPr>
            <w:tcW w:w="3521" w:type="dxa"/>
            <w:vAlign w:val="center"/>
          </w:tcPr>
          <w:p w14:paraId="50418FED">
            <w:pPr>
              <w:spacing w:line="360" w:lineRule="auto"/>
              <w:ind w:firstLine="422"/>
              <w:rPr>
                <w:rFonts w:ascii="宋体" w:hAnsi="宋体" w:cs="宋体"/>
                <w:color w:val="auto"/>
                <w:szCs w:val="21"/>
                <w:highlight w:val="none"/>
              </w:rPr>
            </w:pPr>
          </w:p>
        </w:tc>
        <w:tc>
          <w:tcPr>
            <w:tcW w:w="2447" w:type="dxa"/>
            <w:vAlign w:val="center"/>
          </w:tcPr>
          <w:p w14:paraId="45469F7F">
            <w:pPr>
              <w:spacing w:line="360" w:lineRule="auto"/>
              <w:ind w:firstLine="422"/>
              <w:rPr>
                <w:rFonts w:ascii="宋体" w:hAnsi="宋体" w:cs="宋体"/>
                <w:color w:val="auto"/>
                <w:szCs w:val="21"/>
                <w:highlight w:val="none"/>
              </w:rPr>
            </w:pPr>
          </w:p>
        </w:tc>
        <w:tc>
          <w:tcPr>
            <w:tcW w:w="1753" w:type="dxa"/>
            <w:vAlign w:val="center"/>
          </w:tcPr>
          <w:p w14:paraId="706CC348">
            <w:pPr>
              <w:spacing w:line="360" w:lineRule="auto"/>
              <w:ind w:firstLine="422"/>
              <w:rPr>
                <w:rFonts w:ascii="宋体" w:hAnsi="宋体" w:cs="宋体"/>
                <w:color w:val="auto"/>
                <w:szCs w:val="21"/>
                <w:highlight w:val="none"/>
              </w:rPr>
            </w:pPr>
          </w:p>
        </w:tc>
      </w:tr>
      <w:tr w14:paraId="38DACB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0AD5F88C">
            <w:pPr>
              <w:spacing w:line="360" w:lineRule="auto"/>
              <w:ind w:firstLine="422"/>
              <w:rPr>
                <w:rFonts w:ascii="宋体" w:hAnsi="宋体" w:cs="宋体"/>
                <w:color w:val="auto"/>
                <w:szCs w:val="21"/>
                <w:highlight w:val="none"/>
              </w:rPr>
            </w:pPr>
          </w:p>
        </w:tc>
        <w:tc>
          <w:tcPr>
            <w:tcW w:w="3521" w:type="dxa"/>
            <w:vAlign w:val="center"/>
          </w:tcPr>
          <w:p w14:paraId="4290C8A0">
            <w:pPr>
              <w:spacing w:line="360" w:lineRule="auto"/>
              <w:ind w:firstLine="422"/>
              <w:rPr>
                <w:rFonts w:ascii="宋体" w:hAnsi="宋体" w:cs="宋体"/>
                <w:color w:val="auto"/>
                <w:szCs w:val="21"/>
                <w:highlight w:val="none"/>
              </w:rPr>
            </w:pPr>
          </w:p>
        </w:tc>
        <w:tc>
          <w:tcPr>
            <w:tcW w:w="2447" w:type="dxa"/>
            <w:vAlign w:val="center"/>
          </w:tcPr>
          <w:p w14:paraId="5E17EB73">
            <w:pPr>
              <w:spacing w:line="360" w:lineRule="auto"/>
              <w:ind w:firstLine="422"/>
              <w:rPr>
                <w:rFonts w:ascii="宋体" w:hAnsi="宋体" w:cs="宋体"/>
                <w:color w:val="auto"/>
                <w:szCs w:val="21"/>
                <w:highlight w:val="none"/>
              </w:rPr>
            </w:pPr>
          </w:p>
        </w:tc>
        <w:tc>
          <w:tcPr>
            <w:tcW w:w="1753" w:type="dxa"/>
            <w:vAlign w:val="center"/>
          </w:tcPr>
          <w:p w14:paraId="00B623E5">
            <w:pPr>
              <w:spacing w:line="360" w:lineRule="auto"/>
              <w:ind w:firstLine="422"/>
              <w:rPr>
                <w:rFonts w:ascii="宋体" w:hAnsi="宋体" w:cs="宋体"/>
                <w:color w:val="auto"/>
                <w:szCs w:val="21"/>
                <w:highlight w:val="none"/>
              </w:rPr>
            </w:pPr>
          </w:p>
        </w:tc>
      </w:tr>
      <w:tr w14:paraId="27A0BC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429C3A70">
            <w:pPr>
              <w:spacing w:line="360" w:lineRule="auto"/>
              <w:ind w:firstLine="422"/>
              <w:rPr>
                <w:rFonts w:ascii="宋体" w:hAnsi="宋体" w:cs="宋体"/>
                <w:color w:val="auto"/>
                <w:szCs w:val="21"/>
                <w:highlight w:val="none"/>
              </w:rPr>
            </w:pPr>
          </w:p>
        </w:tc>
        <w:tc>
          <w:tcPr>
            <w:tcW w:w="3521" w:type="dxa"/>
            <w:vAlign w:val="center"/>
          </w:tcPr>
          <w:p w14:paraId="58CB83EF">
            <w:pPr>
              <w:spacing w:line="360" w:lineRule="auto"/>
              <w:ind w:firstLine="422"/>
              <w:rPr>
                <w:rFonts w:ascii="宋体" w:hAnsi="宋体" w:cs="宋体"/>
                <w:color w:val="auto"/>
                <w:szCs w:val="21"/>
                <w:highlight w:val="none"/>
              </w:rPr>
            </w:pPr>
          </w:p>
        </w:tc>
        <w:tc>
          <w:tcPr>
            <w:tcW w:w="2447" w:type="dxa"/>
            <w:vAlign w:val="center"/>
          </w:tcPr>
          <w:p w14:paraId="536DFB54">
            <w:pPr>
              <w:spacing w:line="360" w:lineRule="auto"/>
              <w:ind w:firstLine="422"/>
              <w:rPr>
                <w:rFonts w:ascii="宋体" w:hAnsi="宋体" w:cs="宋体"/>
                <w:color w:val="auto"/>
                <w:szCs w:val="21"/>
                <w:highlight w:val="none"/>
              </w:rPr>
            </w:pPr>
          </w:p>
        </w:tc>
        <w:tc>
          <w:tcPr>
            <w:tcW w:w="1753" w:type="dxa"/>
            <w:vAlign w:val="center"/>
          </w:tcPr>
          <w:p w14:paraId="5B0F9932">
            <w:pPr>
              <w:spacing w:line="360" w:lineRule="auto"/>
              <w:ind w:firstLine="422"/>
              <w:rPr>
                <w:rFonts w:ascii="宋体" w:hAnsi="宋体" w:cs="宋体"/>
                <w:color w:val="auto"/>
                <w:szCs w:val="21"/>
                <w:highlight w:val="none"/>
              </w:rPr>
            </w:pPr>
          </w:p>
        </w:tc>
      </w:tr>
      <w:tr w14:paraId="2586BF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3FB07542">
            <w:pPr>
              <w:spacing w:line="360" w:lineRule="auto"/>
              <w:ind w:firstLine="422"/>
              <w:rPr>
                <w:rFonts w:ascii="宋体" w:hAnsi="宋体" w:cs="宋体"/>
                <w:color w:val="auto"/>
                <w:szCs w:val="21"/>
                <w:highlight w:val="none"/>
              </w:rPr>
            </w:pPr>
          </w:p>
        </w:tc>
        <w:tc>
          <w:tcPr>
            <w:tcW w:w="3521" w:type="dxa"/>
            <w:vAlign w:val="center"/>
          </w:tcPr>
          <w:p w14:paraId="7E66515F">
            <w:pPr>
              <w:spacing w:line="360" w:lineRule="auto"/>
              <w:ind w:firstLine="422"/>
              <w:rPr>
                <w:rFonts w:ascii="宋体" w:hAnsi="宋体" w:cs="宋体"/>
                <w:color w:val="auto"/>
                <w:szCs w:val="21"/>
                <w:highlight w:val="none"/>
              </w:rPr>
            </w:pPr>
          </w:p>
        </w:tc>
        <w:tc>
          <w:tcPr>
            <w:tcW w:w="2447" w:type="dxa"/>
            <w:vAlign w:val="center"/>
          </w:tcPr>
          <w:p w14:paraId="35772843">
            <w:pPr>
              <w:spacing w:line="360" w:lineRule="auto"/>
              <w:ind w:firstLine="422"/>
              <w:rPr>
                <w:rFonts w:ascii="宋体" w:hAnsi="宋体" w:cs="宋体"/>
                <w:color w:val="auto"/>
                <w:szCs w:val="21"/>
                <w:highlight w:val="none"/>
              </w:rPr>
            </w:pPr>
          </w:p>
        </w:tc>
        <w:tc>
          <w:tcPr>
            <w:tcW w:w="1753" w:type="dxa"/>
            <w:vAlign w:val="center"/>
          </w:tcPr>
          <w:p w14:paraId="6B94796B">
            <w:pPr>
              <w:spacing w:line="360" w:lineRule="auto"/>
              <w:ind w:firstLine="422"/>
              <w:rPr>
                <w:rFonts w:ascii="宋体" w:hAnsi="宋体" w:cs="宋体"/>
                <w:color w:val="auto"/>
                <w:szCs w:val="21"/>
                <w:highlight w:val="none"/>
              </w:rPr>
            </w:pPr>
          </w:p>
        </w:tc>
      </w:tr>
      <w:tr w14:paraId="7C35FD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23BDBB3D">
            <w:pPr>
              <w:spacing w:line="360" w:lineRule="auto"/>
              <w:ind w:firstLine="422"/>
              <w:rPr>
                <w:rFonts w:ascii="宋体" w:hAnsi="宋体" w:cs="宋体"/>
                <w:color w:val="auto"/>
                <w:szCs w:val="21"/>
                <w:highlight w:val="none"/>
              </w:rPr>
            </w:pPr>
          </w:p>
        </w:tc>
        <w:tc>
          <w:tcPr>
            <w:tcW w:w="3521" w:type="dxa"/>
            <w:vAlign w:val="center"/>
          </w:tcPr>
          <w:p w14:paraId="19CC329F">
            <w:pPr>
              <w:spacing w:line="360" w:lineRule="auto"/>
              <w:ind w:firstLine="422"/>
              <w:rPr>
                <w:rFonts w:ascii="宋体" w:hAnsi="宋体" w:cs="宋体"/>
                <w:color w:val="auto"/>
                <w:szCs w:val="21"/>
                <w:highlight w:val="none"/>
              </w:rPr>
            </w:pPr>
          </w:p>
        </w:tc>
        <w:tc>
          <w:tcPr>
            <w:tcW w:w="2447" w:type="dxa"/>
            <w:vAlign w:val="center"/>
          </w:tcPr>
          <w:p w14:paraId="46180989">
            <w:pPr>
              <w:spacing w:line="360" w:lineRule="auto"/>
              <w:ind w:firstLine="422"/>
              <w:rPr>
                <w:rFonts w:ascii="宋体" w:hAnsi="宋体" w:cs="宋体"/>
                <w:color w:val="auto"/>
                <w:szCs w:val="21"/>
                <w:highlight w:val="none"/>
              </w:rPr>
            </w:pPr>
          </w:p>
        </w:tc>
        <w:tc>
          <w:tcPr>
            <w:tcW w:w="1753" w:type="dxa"/>
            <w:vAlign w:val="center"/>
          </w:tcPr>
          <w:p w14:paraId="32152B50">
            <w:pPr>
              <w:spacing w:line="360" w:lineRule="auto"/>
              <w:ind w:firstLine="422"/>
              <w:rPr>
                <w:rFonts w:ascii="宋体" w:hAnsi="宋体" w:cs="宋体"/>
                <w:color w:val="auto"/>
                <w:szCs w:val="21"/>
                <w:highlight w:val="none"/>
              </w:rPr>
            </w:pPr>
          </w:p>
        </w:tc>
      </w:tr>
      <w:tr w14:paraId="016A16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46" w:type="dxa"/>
            <w:vAlign w:val="center"/>
          </w:tcPr>
          <w:p w14:paraId="1C880F15">
            <w:pPr>
              <w:spacing w:line="360" w:lineRule="auto"/>
              <w:ind w:firstLine="422"/>
              <w:rPr>
                <w:rFonts w:ascii="宋体" w:hAnsi="宋体" w:cs="宋体"/>
                <w:color w:val="auto"/>
                <w:szCs w:val="21"/>
                <w:highlight w:val="none"/>
              </w:rPr>
            </w:pPr>
          </w:p>
        </w:tc>
        <w:tc>
          <w:tcPr>
            <w:tcW w:w="3521" w:type="dxa"/>
            <w:vAlign w:val="center"/>
          </w:tcPr>
          <w:p w14:paraId="4EE57192">
            <w:pPr>
              <w:spacing w:line="360" w:lineRule="auto"/>
              <w:ind w:firstLine="422"/>
              <w:rPr>
                <w:rFonts w:ascii="宋体" w:hAnsi="宋体" w:cs="宋体"/>
                <w:color w:val="auto"/>
                <w:szCs w:val="21"/>
                <w:highlight w:val="none"/>
              </w:rPr>
            </w:pPr>
          </w:p>
        </w:tc>
        <w:tc>
          <w:tcPr>
            <w:tcW w:w="2447" w:type="dxa"/>
            <w:vAlign w:val="center"/>
          </w:tcPr>
          <w:p w14:paraId="5E0736DE">
            <w:pPr>
              <w:spacing w:line="360" w:lineRule="auto"/>
              <w:ind w:firstLine="422"/>
              <w:rPr>
                <w:rFonts w:ascii="宋体" w:hAnsi="宋体" w:cs="宋体"/>
                <w:color w:val="auto"/>
                <w:szCs w:val="21"/>
                <w:highlight w:val="none"/>
              </w:rPr>
            </w:pPr>
          </w:p>
        </w:tc>
        <w:tc>
          <w:tcPr>
            <w:tcW w:w="1753" w:type="dxa"/>
            <w:vAlign w:val="center"/>
          </w:tcPr>
          <w:p w14:paraId="61B2A015">
            <w:pPr>
              <w:spacing w:line="360" w:lineRule="auto"/>
              <w:ind w:firstLine="422"/>
              <w:rPr>
                <w:rFonts w:ascii="宋体" w:hAnsi="宋体" w:cs="宋体"/>
                <w:color w:val="auto"/>
                <w:szCs w:val="21"/>
                <w:highlight w:val="none"/>
              </w:rPr>
            </w:pPr>
          </w:p>
        </w:tc>
      </w:tr>
    </w:tbl>
    <w:p w14:paraId="751F8E07">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注：投标人的投标文件（除服务要求部分）与招标文件规定的有偏离的，应在此表中说明。未在上表中说明的，如在投标文件其他内容中已有文字说明的，则以已有文字说明为准，否则，将被认为完全响应招标文件的规定。但该表不作为投标人对所投标服务关于商务条款等详细描述和说明的替代。</w:t>
      </w:r>
    </w:p>
    <w:p w14:paraId="34DAAD14">
      <w:pPr>
        <w:spacing w:line="360" w:lineRule="auto"/>
        <w:ind w:firstLine="422"/>
        <w:rPr>
          <w:rFonts w:ascii="宋体" w:hAnsi="宋体" w:cs="宋体"/>
          <w:color w:val="auto"/>
          <w:szCs w:val="21"/>
          <w:highlight w:val="none"/>
        </w:rPr>
      </w:pPr>
    </w:p>
    <w:p w14:paraId="7FAF6F39">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0AA2F451">
      <w:pPr>
        <w:spacing w:line="360" w:lineRule="auto"/>
        <w:ind w:firstLine="422"/>
        <w:rPr>
          <w:rFonts w:ascii="宋体" w:hAnsi="宋体" w:cs="宋体"/>
          <w:color w:val="auto"/>
          <w:szCs w:val="21"/>
          <w:highlight w:val="non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szCs w:val="21"/>
          <w:highlight w:val="none"/>
        </w:rPr>
        <w:t>日期：         年         月       日</w:t>
      </w:r>
    </w:p>
    <w:p w14:paraId="6B966914">
      <w:pPr>
        <w:widowControl/>
        <w:spacing w:line="360" w:lineRule="auto"/>
        <w:jc w:val="left"/>
        <w:rPr>
          <w:rFonts w:ascii="宋体" w:hAnsi="宋体" w:cs="宋体"/>
          <w:b/>
          <w:bCs/>
          <w:color w:val="auto"/>
          <w:szCs w:val="21"/>
          <w:highlight w:val="none"/>
        </w:rPr>
      </w:pPr>
      <w:r>
        <w:rPr>
          <w:rFonts w:hint="eastAsia" w:ascii="宋体" w:hAnsi="宋体" w:cs="宋体"/>
          <w:b/>
          <w:bCs/>
          <w:color w:val="auto"/>
          <w:szCs w:val="21"/>
          <w:highlight w:val="none"/>
        </w:rPr>
        <w:t>附件8、针对本项目的人员配置表</w:t>
      </w:r>
    </w:p>
    <w:p w14:paraId="0EFA6C0B">
      <w:pPr>
        <w:spacing w:line="360" w:lineRule="auto"/>
        <w:ind w:firstLine="500"/>
        <w:jc w:val="center"/>
        <w:rPr>
          <w:rFonts w:ascii="宋体" w:hAnsi="宋体" w:cs="宋体"/>
          <w:b/>
          <w:bCs/>
          <w:color w:val="auto"/>
          <w:spacing w:val="20"/>
          <w:szCs w:val="21"/>
          <w:highlight w:val="none"/>
        </w:rPr>
      </w:pPr>
    </w:p>
    <w:p w14:paraId="33DAF263">
      <w:pPr>
        <w:spacing w:line="360" w:lineRule="auto"/>
        <w:ind w:firstLine="502"/>
        <w:jc w:val="center"/>
        <w:rPr>
          <w:rFonts w:ascii="宋体" w:hAnsi="宋体" w:cs="宋体"/>
          <w:b/>
          <w:bCs/>
          <w:color w:val="auto"/>
          <w:szCs w:val="21"/>
          <w:highlight w:val="none"/>
        </w:rPr>
      </w:pPr>
      <w:r>
        <w:rPr>
          <w:rFonts w:hint="eastAsia" w:ascii="宋体" w:hAnsi="宋体" w:cs="宋体"/>
          <w:b/>
          <w:bCs/>
          <w:color w:val="auto"/>
          <w:spacing w:val="20"/>
          <w:szCs w:val="21"/>
          <w:highlight w:val="none"/>
        </w:rPr>
        <w:t>针对本项目的人员配置表</w:t>
      </w:r>
    </w:p>
    <w:p w14:paraId="05C8ADBC">
      <w:pPr>
        <w:autoSpaceDE w:val="0"/>
        <w:autoSpaceDN w:val="0"/>
        <w:adjustRightInd w:val="0"/>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项目编号：         号                         项目名称：</w:t>
      </w:r>
    </w:p>
    <w:tbl>
      <w:tblPr>
        <w:tblStyle w:val="31"/>
        <w:tblW w:w="475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29"/>
        <w:gridCol w:w="1209"/>
        <w:gridCol w:w="1269"/>
        <w:gridCol w:w="1057"/>
        <w:gridCol w:w="859"/>
        <w:gridCol w:w="850"/>
        <w:gridCol w:w="1397"/>
        <w:gridCol w:w="967"/>
      </w:tblGrid>
      <w:tr w14:paraId="0A91B4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29" w:type="dxa"/>
            <w:tcBorders>
              <w:top w:val="single" w:color="auto" w:sz="4" w:space="0"/>
              <w:left w:val="single" w:color="auto" w:sz="4" w:space="0"/>
              <w:bottom w:val="single" w:color="auto" w:sz="4" w:space="0"/>
              <w:right w:val="single" w:color="auto" w:sz="4" w:space="0"/>
            </w:tcBorders>
            <w:vAlign w:val="center"/>
          </w:tcPr>
          <w:p w14:paraId="1CFEE936">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序号</w:t>
            </w:r>
          </w:p>
        </w:tc>
        <w:tc>
          <w:tcPr>
            <w:tcW w:w="1209" w:type="dxa"/>
            <w:tcBorders>
              <w:top w:val="single" w:color="auto" w:sz="4" w:space="0"/>
              <w:left w:val="single" w:color="auto" w:sz="4" w:space="0"/>
              <w:bottom w:val="single" w:color="auto" w:sz="4" w:space="0"/>
              <w:right w:val="single" w:color="auto" w:sz="4" w:space="0"/>
            </w:tcBorders>
            <w:vAlign w:val="center"/>
          </w:tcPr>
          <w:p w14:paraId="2E8132CF">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姓名</w:t>
            </w:r>
          </w:p>
        </w:tc>
        <w:tc>
          <w:tcPr>
            <w:tcW w:w="1269" w:type="dxa"/>
            <w:tcBorders>
              <w:top w:val="single" w:color="auto" w:sz="4" w:space="0"/>
              <w:left w:val="single" w:color="auto" w:sz="4" w:space="0"/>
              <w:bottom w:val="single" w:color="auto" w:sz="4" w:space="0"/>
              <w:right w:val="single" w:color="auto" w:sz="4" w:space="0"/>
            </w:tcBorders>
            <w:vAlign w:val="center"/>
          </w:tcPr>
          <w:p w14:paraId="6FE93EE6">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性别</w:t>
            </w:r>
          </w:p>
        </w:tc>
        <w:tc>
          <w:tcPr>
            <w:tcW w:w="1057" w:type="dxa"/>
            <w:tcBorders>
              <w:top w:val="single" w:color="auto" w:sz="4" w:space="0"/>
              <w:left w:val="single" w:color="auto" w:sz="4" w:space="0"/>
              <w:bottom w:val="single" w:color="auto" w:sz="4" w:space="0"/>
              <w:right w:val="single" w:color="auto" w:sz="4" w:space="0"/>
            </w:tcBorders>
            <w:vAlign w:val="center"/>
          </w:tcPr>
          <w:p w14:paraId="3321FFA6">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学历</w:t>
            </w:r>
          </w:p>
        </w:tc>
        <w:tc>
          <w:tcPr>
            <w:tcW w:w="859" w:type="dxa"/>
            <w:tcBorders>
              <w:top w:val="single" w:color="auto" w:sz="4" w:space="0"/>
              <w:left w:val="single" w:color="auto" w:sz="4" w:space="0"/>
              <w:bottom w:val="single" w:color="auto" w:sz="4" w:space="0"/>
              <w:right w:val="single" w:color="auto" w:sz="4" w:space="0"/>
            </w:tcBorders>
            <w:vAlign w:val="center"/>
          </w:tcPr>
          <w:p w14:paraId="0DA6CD9C">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专业</w:t>
            </w:r>
          </w:p>
        </w:tc>
        <w:tc>
          <w:tcPr>
            <w:tcW w:w="850" w:type="dxa"/>
            <w:tcBorders>
              <w:top w:val="single" w:color="auto" w:sz="4" w:space="0"/>
              <w:left w:val="single" w:color="auto" w:sz="4" w:space="0"/>
              <w:bottom w:val="single" w:color="auto" w:sz="4" w:space="0"/>
              <w:right w:val="single" w:color="auto" w:sz="4" w:space="0"/>
            </w:tcBorders>
            <w:vAlign w:val="center"/>
          </w:tcPr>
          <w:p w14:paraId="6D0AB13F">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职称</w:t>
            </w:r>
          </w:p>
        </w:tc>
        <w:tc>
          <w:tcPr>
            <w:tcW w:w="1397" w:type="dxa"/>
            <w:tcBorders>
              <w:top w:val="single" w:color="auto" w:sz="4" w:space="0"/>
              <w:left w:val="single" w:color="auto" w:sz="4" w:space="0"/>
              <w:bottom w:val="single" w:color="auto" w:sz="4" w:space="0"/>
              <w:right w:val="single" w:color="auto" w:sz="4" w:space="0"/>
            </w:tcBorders>
            <w:vAlign w:val="center"/>
          </w:tcPr>
          <w:p w14:paraId="782D0E7F">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责任或分工</w:t>
            </w:r>
          </w:p>
        </w:tc>
        <w:tc>
          <w:tcPr>
            <w:tcW w:w="967" w:type="dxa"/>
            <w:tcBorders>
              <w:top w:val="single" w:color="auto" w:sz="4" w:space="0"/>
              <w:left w:val="single" w:color="auto" w:sz="4" w:space="0"/>
              <w:bottom w:val="single" w:color="auto" w:sz="4" w:space="0"/>
              <w:right w:val="single" w:color="auto" w:sz="4" w:space="0"/>
            </w:tcBorders>
            <w:vAlign w:val="center"/>
          </w:tcPr>
          <w:p w14:paraId="5DF7AAD6">
            <w:pPr>
              <w:tabs>
                <w:tab w:val="left" w:pos="9765"/>
              </w:tabs>
              <w:spacing w:line="360" w:lineRule="auto"/>
              <w:rPr>
                <w:rFonts w:ascii="宋体" w:hAnsi="宋体" w:cs="宋体"/>
                <w:color w:val="auto"/>
                <w:szCs w:val="21"/>
                <w:highlight w:val="none"/>
              </w:rPr>
            </w:pPr>
            <w:r>
              <w:rPr>
                <w:rFonts w:hint="eastAsia" w:ascii="宋体" w:hAnsi="宋体" w:cs="宋体"/>
                <w:color w:val="auto"/>
                <w:szCs w:val="21"/>
                <w:highlight w:val="none"/>
              </w:rPr>
              <w:t>备注</w:t>
            </w:r>
          </w:p>
        </w:tc>
      </w:tr>
      <w:tr w14:paraId="35E1E1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29" w:type="dxa"/>
            <w:tcBorders>
              <w:top w:val="single" w:color="auto" w:sz="4" w:space="0"/>
              <w:left w:val="single" w:color="auto" w:sz="4" w:space="0"/>
              <w:bottom w:val="single" w:color="auto" w:sz="4" w:space="0"/>
              <w:right w:val="single" w:color="auto" w:sz="4" w:space="0"/>
            </w:tcBorders>
            <w:vAlign w:val="center"/>
          </w:tcPr>
          <w:p w14:paraId="7C094983">
            <w:pPr>
              <w:tabs>
                <w:tab w:val="left" w:pos="9765"/>
              </w:tabs>
              <w:spacing w:line="360" w:lineRule="auto"/>
              <w:ind w:firstLine="422"/>
              <w:jc w:val="center"/>
              <w:rPr>
                <w:rFonts w:ascii="宋体" w:hAnsi="宋体" w:cs="宋体"/>
                <w:color w:val="auto"/>
                <w:szCs w:val="21"/>
                <w:highlight w:val="none"/>
              </w:rPr>
            </w:pPr>
          </w:p>
        </w:tc>
        <w:tc>
          <w:tcPr>
            <w:tcW w:w="1209" w:type="dxa"/>
            <w:tcBorders>
              <w:top w:val="single" w:color="auto" w:sz="4" w:space="0"/>
              <w:left w:val="single" w:color="auto" w:sz="4" w:space="0"/>
              <w:bottom w:val="single" w:color="auto" w:sz="4" w:space="0"/>
              <w:right w:val="single" w:color="auto" w:sz="4" w:space="0"/>
            </w:tcBorders>
            <w:vAlign w:val="center"/>
          </w:tcPr>
          <w:p w14:paraId="61C57C32">
            <w:pPr>
              <w:spacing w:line="360" w:lineRule="auto"/>
              <w:ind w:firstLine="422"/>
              <w:jc w:val="center"/>
              <w:rPr>
                <w:rFonts w:ascii="宋体" w:hAnsi="宋体" w:cs="宋体"/>
                <w:color w:val="auto"/>
                <w:szCs w:val="21"/>
                <w:highlight w:val="none"/>
              </w:rPr>
            </w:pPr>
          </w:p>
        </w:tc>
        <w:tc>
          <w:tcPr>
            <w:tcW w:w="1269" w:type="dxa"/>
            <w:tcBorders>
              <w:top w:val="single" w:color="auto" w:sz="4" w:space="0"/>
              <w:left w:val="single" w:color="auto" w:sz="4" w:space="0"/>
              <w:bottom w:val="single" w:color="auto" w:sz="4" w:space="0"/>
              <w:right w:val="single" w:color="auto" w:sz="4" w:space="0"/>
            </w:tcBorders>
            <w:vAlign w:val="center"/>
          </w:tcPr>
          <w:p w14:paraId="13A0F4DE">
            <w:pPr>
              <w:tabs>
                <w:tab w:val="left" w:pos="9765"/>
              </w:tabs>
              <w:spacing w:line="360" w:lineRule="auto"/>
              <w:ind w:firstLine="422"/>
              <w:rPr>
                <w:rFonts w:ascii="宋体" w:hAnsi="宋体" w:cs="宋体"/>
                <w:color w:val="auto"/>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61533ABD">
            <w:pPr>
              <w:tabs>
                <w:tab w:val="left" w:pos="9765"/>
              </w:tabs>
              <w:spacing w:line="360" w:lineRule="auto"/>
              <w:ind w:firstLine="422"/>
              <w:rPr>
                <w:rFonts w:ascii="宋体" w:hAnsi="宋体" w:cs="宋体"/>
                <w:color w:val="auto"/>
                <w:szCs w:val="21"/>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1822790C">
            <w:pPr>
              <w:tabs>
                <w:tab w:val="left" w:pos="9765"/>
              </w:tabs>
              <w:spacing w:line="360" w:lineRule="auto"/>
              <w:ind w:firstLine="422"/>
              <w:rPr>
                <w:rFonts w:ascii="宋体" w:hAnsi="宋体" w:cs="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41033F62">
            <w:pPr>
              <w:tabs>
                <w:tab w:val="left" w:pos="9765"/>
              </w:tabs>
              <w:spacing w:line="360" w:lineRule="auto"/>
              <w:ind w:firstLine="422"/>
              <w:rPr>
                <w:rFonts w:ascii="宋体" w:hAnsi="宋体" w:cs="宋体"/>
                <w:color w:val="auto"/>
                <w:szCs w:val="21"/>
                <w:highlight w:val="none"/>
              </w:rPr>
            </w:pPr>
          </w:p>
        </w:tc>
        <w:tc>
          <w:tcPr>
            <w:tcW w:w="1397" w:type="dxa"/>
            <w:tcBorders>
              <w:top w:val="single" w:color="auto" w:sz="4" w:space="0"/>
              <w:left w:val="single" w:color="auto" w:sz="4" w:space="0"/>
              <w:bottom w:val="single" w:color="auto" w:sz="4" w:space="0"/>
              <w:right w:val="single" w:color="auto" w:sz="4" w:space="0"/>
            </w:tcBorders>
            <w:vAlign w:val="center"/>
          </w:tcPr>
          <w:p w14:paraId="7E43094A">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4DBF31FE">
            <w:pPr>
              <w:tabs>
                <w:tab w:val="left" w:pos="9765"/>
              </w:tabs>
              <w:spacing w:line="360" w:lineRule="auto"/>
              <w:ind w:firstLine="422"/>
              <w:rPr>
                <w:rFonts w:ascii="宋体" w:hAnsi="宋体" w:cs="宋体"/>
                <w:color w:val="auto"/>
                <w:szCs w:val="21"/>
                <w:highlight w:val="none"/>
              </w:rPr>
            </w:pPr>
          </w:p>
        </w:tc>
      </w:tr>
      <w:tr w14:paraId="6AE6EE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29" w:type="dxa"/>
            <w:tcBorders>
              <w:top w:val="single" w:color="auto" w:sz="4" w:space="0"/>
              <w:left w:val="single" w:color="auto" w:sz="4" w:space="0"/>
              <w:bottom w:val="single" w:color="auto" w:sz="4" w:space="0"/>
              <w:right w:val="single" w:color="auto" w:sz="4" w:space="0"/>
            </w:tcBorders>
            <w:vAlign w:val="center"/>
          </w:tcPr>
          <w:p w14:paraId="6D66DB68">
            <w:pPr>
              <w:tabs>
                <w:tab w:val="left" w:pos="9765"/>
              </w:tabs>
              <w:spacing w:line="360" w:lineRule="auto"/>
              <w:ind w:firstLine="422"/>
              <w:jc w:val="center"/>
              <w:rPr>
                <w:rFonts w:ascii="宋体" w:hAnsi="宋体" w:cs="宋体"/>
                <w:color w:val="auto"/>
                <w:szCs w:val="21"/>
                <w:highlight w:val="none"/>
              </w:rPr>
            </w:pPr>
          </w:p>
        </w:tc>
        <w:tc>
          <w:tcPr>
            <w:tcW w:w="1209" w:type="dxa"/>
            <w:tcBorders>
              <w:top w:val="single" w:color="auto" w:sz="4" w:space="0"/>
              <w:left w:val="single" w:color="auto" w:sz="4" w:space="0"/>
              <w:bottom w:val="single" w:color="auto" w:sz="4" w:space="0"/>
              <w:right w:val="single" w:color="auto" w:sz="4" w:space="0"/>
            </w:tcBorders>
            <w:vAlign w:val="center"/>
          </w:tcPr>
          <w:p w14:paraId="458F18BD">
            <w:pPr>
              <w:spacing w:line="360" w:lineRule="auto"/>
              <w:ind w:firstLine="422"/>
              <w:jc w:val="center"/>
              <w:rPr>
                <w:rFonts w:ascii="宋体" w:hAnsi="宋体" w:cs="宋体"/>
                <w:color w:val="auto"/>
                <w:szCs w:val="21"/>
                <w:highlight w:val="none"/>
              </w:rPr>
            </w:pPr>
          </w:p>
        </w:tc>
        <w:tc>
          <w:tcPr>
            <w:tcW w:w="1269" w:type="dxa"/>
            <w:tcBorders>
              <w:top w:val="single" w:color="auto" w:sz="4" w:space="0"/>
              <w:left w:val="single" w:color="auto" w:sz="4" w:space="0"/>
              <w:bottom w:val="single" w:color="auto" w:sz="4" w:space="0"/>
              <w:right w:val="single" w:color="auto" w:sz="4" w:space="0"/>
            </w:tcBorders>
            <w:vAlign w:val="center"/>
          </w:tcPr>
          <w:p w14:paraId="3AA4E623">
            <w:pPr>
              <w:tabs>
                <w:tab w:val="left" w:pos="9765"/>
              </w:tabs>
              <w:spacing w:line="360" w:lineRule="auto"/>
              <w:ind w:firstLine="422"/>
              <w:rPr>
                <w:rFonts w:ascii="宋体" w:hAnsi="宋体" w:cs="宋体"/>
                <w:color w:val="auto"/>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38265CEC">
            <w:pPr>
              <w:tabs>
                <w:tab w:val="left" w:pos="9765"/>
              </w:tabs>
              <w:spacing w:line="360" w:lineRule="auto"/>
              <w:ind w:firstLine="422"/>
              <w:rPr>
                <w:rFonts w:ascii="宋体" w:hAnsi="宋体" w:cs="宋体"/>
                <w:color w:val="auto"/>
                <w:szCs w:val="21"/>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37B9EB26">
            <w:pPr>
              <w:tabs>
                <w:tab w:val="left" w:pos="9765"/>
              </w:tabs>
              <w:spacing w:line="360" w:lineRule="auto"/>
              <w:ind w:firstLine="422"/>
              <w:rPr>
                <w:rFonts w:ascii="宋体" w:hAnsi="宋体" w:cs="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0D0A54C2">
            <w:pPr>
              <w:tabs>
                <w:tab w:val="left" w:pos="9765"/>
              </w:tabs>
              <w:spacing w:line="360" w:lineRule="auto"/>
              <w:ind w:firstLine="422"/>
              <w:rPr>
                <w:rFonts w:ascii="宋体" w:hAnsi="宋体" w:cs="宋体"/>
                <w:color w:val="auto"/>
                <w:szCs w:val="21"/>
                <w:highlight w:val="none"/>
              </w:rPr>
            </w:pPr>
          </w:p>
        </w:tc>
        <w:tc>
          <w:tcPr>
            <w:tcW w:w="1397" w:type="dxa"/>
            <w:tcBorders>
              <w:top w:val="single" w:color="auto" w:sz="4" w:space="0"/>
              <w:left w:val="single" w:color="auto" w:sz="4" w:space="0"/>
              <w:bottom w:val="single" w:color="auto" w:sz="4" w:space="0"/>
              <w:right w:val="single" w:color="auto" w:sz="4" w:space="0"/>
            </w:tcBorders>
            <w:vAlign w:val="center"/>
          </w:tcPr>
          <w:p w14:paraId="21FA33FA">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60849F11">
            <w:pPr>
              <w:tabs>
                <w:tab w:val="left" w:pos="9765"/>
              </w:tabs>
              <w:spacing w:line="360" w:lineRule="auto"/>
              <w:ind w:firstLine="422"/>
              <w:rPr>
                <w:rFonts w:ascii="宋体" w:hAnsi="宋体" w:cs="宋体"/>
                <w:color w:val="auto"/>
                <w:szCs w:val="21"/>
                <w:highlight w:val="none"/>
              </w:rPr>
            </w:pPr>
          </w:p>
        </w:tc>
      </w:tr>
      <w:tr w14:paraId="78D33D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29" w:type="dxa"/>
            <w:tcBorders>
              <w:top w:val="single" w:color="auto" w:sz="4" w:space="0"/>
              <w:left w:val="single" w:color="auto" w:sz="4" w:space="0"/>
              <w:bottom w:val="single" w:color="auto" w:sz="4" w:space="0"/>
              <w:right w:val="single" w:color="auto" w:sz="4" w:space="0"/>
            </w:tcBorders>
            <w:vAlign w:val="center"/>
          </w:tcPr>
          <w:p w14:paraId="2CF43DC9">
            <w:pPr>
              <w:tabs>
                <w:tab w:val="left" w:pos="9765"/>
              </w:tabs>
              <w:spacing w:line="360" w:lineRule="auto"/>
              <w:ind w:firstLine="422"/>
              <w:jc w:val="center"/>
              <w:rPr>
                <w:rFonts w:ascii="宋体" w:hAnsi="宋体" w:cs="宋体"/>
                <w:color w:val="auto"/>
                <w:szCs w:val="21"/>
                <w:highlight w:val="none"/>
              </w:rPr>
            </w:pPr>
          </w:p>
        </w:tc>
        <w:tc>
          <w:tcPr>
            <w:tcW w:w="1209" w:type="dxa"/>
            <w:tcBorders>
              <w:top w:val="single" w:color="auto" w:sz="4" w:space="0"/>
              <w:left w:val="single" w:color="auto" w:sz="4" w:space="0"/>
              <w:bottom w:val="single" w:color="auto" w:sz="4" w:space="0"/>
              <w:right w:val="single" w:color="auto" w:sz="4" w:space="0"/>
            </w:tcBorders>
            <w:vAlign w:val="center"/>
          </w:tcPr>
          <w:p w14:paraId="58F34B49">
            <w:pPr>
              <w:spacing w:line="360" w:lineRule="auto"/>
              <w:ind w:firstLine="422"/>
              <w:jc w:val="center"/>
              <w:rPr>
                <w:rFonts w:ascii="宋体" w:hAnsi="宋体" w:cs="宋体"/>
                <w:color w:val="auto"/>
                <w:szCs w:val="21"/>
                <w:highlight w:val="none"/>
              </w:rPr>
            </w:pPr>
          </w:p>
        </w:tc>
        <w:tc>
          <w:tcPr>
            <w:tcW w:w="1269" w:type="dxa"/>
            <w:tcBorders>
              <w:top w:val="single" w:color="auto" w:sz="4" w:space="0"/>
              <w:left w:val="single" w:color="auto" w:sz="4" w:space="0"/>
              <w:bottom w:val="single" w:color="auto" w:sz="4" w:space="0"/>
              <w:right w:val="single" w:color="auto" w:sz="4" w:space="0"/>
            </w:tcBorders>
            <w:vAlign w:val="center"/>
          </w:tcPr>
          <w:p w14:paraId="6AFCD767">
            <w:pPr>
              <w:tabs>
                <w:tab w:val="left" w:pos="9765"/>
              </w:tabs>
              <w:spacing w:line="360" w:lineRule="auto"/>
              <w:ind w:firstLine="422"/>
              <w:rPr>
                <w:rFonts w:ascii="宋体" w:hAnsi="宋体" w:cs="宋体"/>
                <w:color w:val="auto"/>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3E71C2E9">
            <w:pPr>
              <w:tabs>
                <w:tab w:val="left" w:pos="9765"/>
              </w:tabs>
              <w:spacing w:line="360" w:lineRule="auto"/>
              <w:ind w:firstLine="422"/>
              <w:rPr>
                <w:rFonts w:ascii="宋体" w:hAnsi="宋体" w:cs="宋体"/>
                <w:color w:val="auto"/>
                <w:szCs w:val="21"/>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0424780F">
            <w:pPr>
              <w:tabs>
                <w:tab w:val="left" w:pos="9765"/>
              </w:tabs>
              <w:spacing w:line="360" w:lineRule="auto"/>
              <w:ind w:firstLine="422"/>
              <w:rPr>
                <w:rFonts w:ascii="宋体" w:hAnsi="宋体" w:cs="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1BB24619">
            <w:pPr>
              <w:tabs>
                <w:tab w:val="left" w:pos="9765"/>
              </w:tabs>
              <w:spacing w:line="360" w:lineRule="auto"/>
              <w:ind w:firstLine="422"/>
              <w:rPr>
                <w:rFonts w:ascii="宋体" w:hAnsi="宋体" w:cs="宋体"/>
                <w:color w:val="auto"/>
                <w:szCs w:val="21"/>
                <w:highlight w:val="none"/>
              </w:rPr>
            </w:pPr>
          </w:p>
        </w:tc>
        <w:tc>
          <w:tcPr>
            <w:tcW w:w="1397" w:type="dxa"/>
            <w:tcBorders>
              <w:top w:val="single" w:color="auto" w:sz="4" w:space="0"/>
              <w:left w:val="single" w:color="auto" w:sz="4" w:space="0"/>
              <w:bottom w:val="single" w:color="auto" w:sz="4" w:space="0"/>
              <w:right w:val="single" w:color="auto" w:sz="4" w:space="0"/>
            </w:tcBorders>
            <w:vAlign w:val="center"/>
          </w:tcPr>
          <w:p w14:paraId="3B2937EA">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10DFA6CC">
            <w:pPr>
              <w:tabs>
                <w:tab w:val="left" w:pos="9765"/>
              </w:tabs>
              <w:spacing w:line="360" w:lineRule="auto"/>
              <w:ind w:firstLine="422"/>
              <w:rPr>
                <w:rFonts w:ascii="宋体" w:hAnsi="宋体" w:cs="宋体"/>
                <w:color w:val="auto"/>
                <w:szCs w:val="21"/>
                <w:highlight w:val="none"/>
              </w:rPr>
            </w:pPr>
          </w:p>
        </w:tc>
      </w:tr>
      <w:tr w14:paraId="3E0CA0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29" w:type="dxa"/>
            <w:tcBorders>
              <w:top w:val="single" w:color="auto" w:sz="4" w:space="0"/>
              <w:left w:val="single" w:color="auto" w:sz="4" w:space="0"/>
              <w:bottom w:val="single" w:color="auto" w:sz="4" w:space="0"/>
              <w:right w:val="single" w:color="auto" w:sz="4" w:space="0"/>
            </w:tcBorders>
            <w:vAlign w:val="center"/>
          </w:tcPr>
          <w:p w14:paraId="1EDEF11F">
            <w:pPr>
              <w:tabs>
                <w:tab w:val="left" w:pos="9765"/>
              </w:tabs>
              <w:spacing w:line="360" w:lineRule="auto"/>
              <w:ind w:firstLine="422"/>
              <w:jc w:val="center"/>
              <w:rPr>
                <w:rFonts w:ascii="宋体" w:hAnsi="宋体" w:cs="宋体"/>
                <w:color w:val="auto"/>
                <w:szCs w:val="21"/>
                <w:highlight w:val="none"/>
              </w:rPr>
            </w:pPr>
          </w:p>
        </w:tc>
        <w:tc>
          <w:tcPr>
            <w:tcW w:w="1209" w:type="dxa"/>
            <w:tcBorders>
              <w:top w:val="single" w:color="auto" w:sz="4" w:space="0"/>
              <w:left w:val="single" w:color="auto" w:sz="4" w:space="0"/>
              <w:bottom w:val="single" w:color="auto" w:sz="4" w:space="0"/>
              <w:right w:val="single" w:color="auto" w:sz="4" w:space="0"/>
            </w:tcBorders>
            <w:vAlign w:val="center"/>
          </w:tcPr>
          <w:p w14:paraId="7D13B8C8">
            <w:pPr>
              <w:spacing w:line="360" w:lineRule="auto"/>
              <w:ind w:firstLine="422"/>
              <w:jc w:val="center"/>
              <w:rPr>
                <w:rFonts w:ascii="宋体" w:hAnsi="宋体" w:cs="宋体"/>
                <w:color w:val="auto"/>
                <w:szCs w:val="21"/>
                <w:highlight w:val="none"/>
              </w:rPr>
            </w:pPr>
          </w:p>
        </w:tc>
        <w:tc>
          <w:tcPr>
            <w:tcW w:w="1269" w:type="dxa"/>
            <w:tcBorders>
              <w:top w:val="single" w:color="auto" w:sz="4" w:space="0"/>
              <w:left w:val="single" w:color="auto" w:sz="4" w:space="0"/>
              <w:bottom w:val="single" w:color="auto" w:sz="4" w:space="0"/>
              <w:right w:val="single" w:color="auto" w:sz="4" w:space="0"/>
            </w:tcBorders>
            <w:vAlign w:val="center"/>
          </w:tcPr>
          <w:p w14:paraId="4F39BAA0">
            <w:pPr>
              <w:tabs>
                <w:tab w:val="left" w:pos="9765"/>
              </w:tabs>
              <w:spacing w:line="360" w:lineRule="auto"/>
              <w:ind w:firstLine="422"/>
              <w:rPr>
                <w:rFonts w:ascii="宋体" w:hAnsi="宋体" w:cs="宋体"/>
                <w:color w:val="auto"/>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40F38918">
            <w:pPr>
              <w:tabs>
                <w:tab w:val="left" w:pos="9765"/>
              </w:tabs>
              <w:spacing w:line="360" w:lineRule="auto"/>
              <w:ind w:firstLine="422"/>
              <w:rPr>
                <w:rFonts w:ascii="宋体" w:hAnsi="宋体" w:cs="宋体"/>
                <w:color w:val="auto"/>
                <w:szCs w:val="21"/>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67173ACF">
            <w:pPr>
              <w:tabs>
                <w:tab w:val="left" w:pos="9765"/>
              </w:tabs>
              <w:spacing w:line="360" w:lineRule="auto"/>
              <w:ind w:firstLine="422"/>
              <w:rPr>
                <w:rFonts w:ascii="宋体" w:hAnsi="宋体" w:cs="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5A565E33">
            <w:pPr>
              <w:tabs>
                <w:tab w:val="left" w:pos="9765"/>
              </w:tabs>
              <w:spacing w:line="360" w:lineRule="auto"/>
              <w:ind w:firstLine="422"/>
              <w:rPr>
                <w:rFonts w:ascii="宋体" w:hAnsi="宋体" w:cs="宋体"/>
                <w:color w:val="auto"/>
                <w:szCs w:val="21"/>
                <w:highlight w:val="none"/>
              </w:rPr>
            </w:pPr>
          </w:p>
        </w:tc>
        <w:tc>
          <w:tcPr>
            <w:tcW w:w="1397" w:type="dxa"/>
            <w:tcBorders>
              <w:top w:val="single" w:color="auto" w:sz="4" w:space="0"/>
              <w:left w:val="single" w:color="auto" w:sz="4" w:space="0"/>
              <w:bottom w:val="single" w:color="auto" w:sz="4" w:space="0"/>
              <w:right w:val="single" w:color="auto" w:sz="4" w:space="0"/>
            </w:tcBorders>
            <w:vAlign w:val="center"/>
          </w:tcPr>
          <w:p w14:paraId="4BAF8826">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184B86BF">
            <w:pPr>
              <w:tabs>
                <w:tab w:val="left" w:pos="9765"/>
              </w:tabs>
              <w:spacing w:line="360" w:lineRule="auto"/>
              <w:ind w:firstLine="422"/>
              <w:rPr>
                <w:rFonts w:ascii="宋体" w:hAnsi="宋体" w:cs="宋体"/>
                <w:color w:val="auto"/>
                <w:szCs w:val="21"/>
                <w:highlight w:val="none"/>
              </w:rPr>
            </w:pPr>
          </w:p>
        </w:tc>
      </w:tr>
      <w:tr w14:paraId="78BF9D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29" w:type="dxa"/>
            <w:tcBorders>
              <w:top w:val="single" w:color="auto" w:sz="4" w:space="0"/>
              <w:left w:val="single" w:color="auto" w:sz="4" w:space="0"/>
              <w:bottom w:val="single" w:color="auto" w:sz="4" w:space="0"/>
              <w:right w:val="single" w:color="auto" w:sz="4" w:space="0"/>
            </w:tcBorders>
            <w:vAlign w:val="center"/>
          </w:tcPr>
          <w:p w14:paraId="6592C9FE">
            <w:pPr>
              <w:tabs>
                <w:tab w:val="left" w:pos="9765"/>
              </w:tabs>
              <w:spacing w:line="360" w:lineRule="auto"/>
              <w:ind w:firstLine="422"/>
              <w:jc w:val="center"/>
              <w:rPr>
                <w:rFonts w:ascii="宋体" w:hAnsi="宋体" w:cs="宋体"/>
                <w:color w:val="auto"/>
                <w:szCs w:val="21"/>
                <w:highlight w:val="none"/>
              </w:rPr>
            </w:pPr>
          </w:p>
        </w:tc>
        <w:tc>
          <w:tcPr>
            <w:tcW w:w="1209" w:type="dxa"/>
            <w:tcBorders>
              <w:top w:val="single" w:color="auto" w:sz="4" w:space="0"/>
              <w:left w:val="single" w:color="auto" w:sz="4" w:space="0"/>
              <w:bottom w:val="single" w:color="auto" w:sz="4" w:space="0"/>
              <w:right w:val="single" w:color="auto" w:sz="4" w:space="0"/>
            </w:tcBorders>
            <w:vAlign w:val="center"/>
          </w:tcPr>
          <w:p w14:paraId="4344E8C1">
            <w:pPr>
              <w:spacing w:line="360" w:lineRule="auto"/>
              <w:ind w:firstLine="422"/>
              <w:jc w:val="center"/>
              <w:rPr>
                <w:rFonts w:ascii="宋体" w:hAnsi="宋体" w:cs="宋体"/>
                <w:color w:val="auto"/>
                <w:szCs w:val="21"/>
                <w:highlight w:val="none"/>
              </w:rPr>
            </w:pPr>
          </w:p>
        </w:tc>
        <w:tc>
          <w:tcPr>
            <w:tcW w:w="1269" w:type="dxa"/>
            <w:tcBorders>
              <w:top w:val="single" w:color="auto" w:sz="4" w:space="0"/>
              <w:left w:val="single" w:color="auto" w:sz="4" w:space="0"/>
              <w:bottom w:val="single" w:color="auto" w:sz="4" w:space="0"/>
              <w:right w:val="single" w:color="auto" w:sz="4" w:space="0"/>
            </w:tcBorders>
            <w:vAlign w:val="center"/>
          </w:tcPr>
          <w:p w14:paraId="1DC75191">
            <w:pPr>
              <w:tabs>
                <w:tab w:val="left" w:pos="9765"/>
              </w:tabs>
              <w:spacing w:line="360" w:lineRule="auto"/>
              <w:ind w:firstLine="422"/>
              <w:rPr>
                <w:rFonts w:ascii="宋体" w:hAnsi="宋体" w:cs="宋体"/>
                <w:color w:val="auto"/>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139B889D">
            <w:pPr>
              <w:tabs>
                <w:tab w:val="left" w:pos="9765"/>
              </w:tabs>
              <w:spacing w:line="360" w:lineRule="auto"/>
              <w:ind w:firstLine="422"/>
              <w:rPr>
                <w:rFonts w:ascii="宋体" w:hAnsi="宋体" w:cs="宋体"/>
                <w:color w:val="auto"/>
                <w:szCs w:val="21"/>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19961969">
            <w:pPr>
              <w:tabs>
                <w:tab w:val="left" w:pos="9765"/>
              </w:tabs>
              <w:spacing w:line="360" w:lineRule="auto"/>
              <w:ind w:firstLine="422"/>
              <w:rPr>
                <w:rFonts w:ascii="宋体" w:hAnsi="宋体" w:cs="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4244C5B7">
            <w:pPr>
              <w:tabs>
                <w:tab w:val="left" w:pos="9765"/>
              </w:tabs>
              <w:spacing w:line="360" w:lineRule="auto"/>
              <w:ind w:firstLine="422"/>
              <w:rPr>
                <w:rFonts w:ascii="宋体" w:hAnsi="宋体" w:cs="宋体"/>
                <w:color w:val="auto"/>
                <w:szCs w:val="21"/>
                <w:highlight w:val="none"/>
              </w:rPr>
            </w:pPr>
          </w:p>
        </w:tc>
        <w:tc>
          <w:tcPr>
            <w:tcW w:w="1397" w:type="dxa"/>
            <w:tcBorders>
              <w:top w:val="single" w:color="auto" w:sz="4" w:space="0"/>
              <w:left w:val="single" w:color="auto" w:sz="4" w:space="0"/>
              <w:bottom w:val="single" w:color="auto" w:sz="4" w:space="0"/>
              <w:right w:val="single" w:color="auto" w:sz="4" w:space="0"/>
            </w:tcBorders>
            <w:vAlign w:val="center"/>
          </w:tcPr>
          <w:p w14:paraId="0E2C92B8">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7A30BCD8">
            <w:pPr>
              <w:tabs>
                <w:tab w:val="left" w:pos="9765"/>
              </w:tabs>
              <w:spacing w:line="360" w:lineRule="auto"/>
              <w:ind w:firstLine="422"/>
              <w:rPr>
                <w:rFonts w:ascii="宋体" w:hAnsi="宋体" w:cs="宋体"/>
                <w:color w:val="auto"/>
                <w:szCs w:val="21"/>
                <w:highlight w:val="none"/>
              </w:rPr>
            </w:pPr>
          </w:p>
        </w:tc>
      </w:tr>
      <w:tr w14:paraId="4D69F7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29" w:type="dxa"/>
            <w:tcBorders>
              <w:top w:val="single" w:color="auto" w:sz="4" w:space="0"/>
              <w:left w:val="single" w:color="auto" w:sz="4" w:space="0"/>
              <w:bottom w:val="single" w:color="auto" w:sz="4" w:space="0"/>
              <w:right w:val="single" w:color="auto" w:sz="4" w:space="0"/>
            </w:tcBorders>
            <w:vAlign w:val="center"/>
          </w:tcPr>
          <w:p w14:paraId="1446A829">
            <w:pPr>
              <w:tabs>
                <w:tab w:val="left" w:pos="9765"/>
              </w:tabs>
              <w:spacing w:line="360" w:lineRule="auto"/>
              <w:ind w:firstLine="422"/>
              <w:rPr>
                <w:rFonts w:ascii="宋体" w:hAnsi="宋体" w:cs="宋体"/>
                <w:color w:val="auto"/>
                <w:szCs w:val="21"/>
                <w:highlight w:val="none"/>
              </w:rPr>
            </w:pPr>
          </w:p>
        </w:tc>
        <w:tc>
          <w:tcPr>
            <w:tcW w:w="1209" w:type="dxa"/>
            <w:tcBorders>
              <w:top w:val="single" w:color="auto" w:sz="4" w:space="0"/>
              <w:left w:val="single" w:color="auto" w:sz="4" w:space="0"/>
              <w:bottom w:val="single" w:color="auto" w:sz="4" w:space="0"/>
              <w:right w:val="single" w:color="auto" w:sz="4" w:space="0"/>
            </w:tcBorders>
            <w:vAlign w:val="center"/>
          </w:tcPr>
          <w:p w14:paraId="49A783ED">
            <w:pPr>
              <w:tabs>
                <w:tab w:val="left" w:pos="9765"/>
              </w:tabs>
              <w:spacing w:line="360" w:lineRule="auto"/>
              <w:ind w:firstLine="422"/>
              <w:rPr>
                <w:rFonts w:ascii="宋体" w:hAnsi="宋体" w:cs="宋体"/>
                <w:color w:val="auto"/>
                <w:szCs w:val="21"/>
                <w:highlight w:val="none"/>
              </w:rPr>
            </w:pPr>
          </w:p>
        </w:tc>
        <w:tc>
          <w:tcPr>
            <w:tcW w:w="1269" w:type="dxa"/>
            <w:tcBorders>
              <w:top w:val="single" w:color="auto" w:sz="4" w:space="0"/>
              <w:left w:val="single" w:color="auto" w:sz="4" w:space="0"/>
              <w:bottom w:val="single" w:color="auto" w:sz="4" w:space="0"/>
              <w:right w:val="single" w:color="auto" w:sz="4" w:space="0"/>
            </w:tcBorders>
            <w:vAlign w:val="center"/>
          </w:tcPr>
          <w:p w14:paraId="683A56DA">
            <w:pPr>
              <w:tabs>
                <w:tab w:val="left" w:pos="9765"/>
              </w:tabs>
              <w:spacing w:line="360" w:lineRule="auto"/>
              <w:ind w:firstLine="422"/>
              <w:rPr>
                <w:rFonts w:ascii="宋体" w:hAnsi="宋体" w:cs="宋体"/>
                <w:color w:val="auto"/>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6DA089F9">
            <w:pPr>
              <w:tabs>
                <w:tab w:val="left" w:pos="9765"/>
              </w:tabs>
              <w:spacing w:line="360" w:lineRule="auto"/>
              <w:ind w:firstLine="422"/>
              <w:rPr>
                <w:rFonts w:ascii="宋体" w:hAnsi="宋体" w:cs="宋体"/>
                <w:color w:val="auto"/>
                <w:szCs w:val="21"/>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516D572B">
            <w:pPr>
              <w:tabs>
                <w:tab w:val="left" w:pos="9765"/>
              </w:tabs>
              <w:spacing w:line="360" w:lineRule="auto"/>
              <w:ind w:firstLine="422"/>
              <w:rPr>
                <w:rFonts w:ascii="宋体" w:hAnsi="宋体" w:cs="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3258B1C3">
            <w:pPr>
              <w:tabs>
                <w:tab w:val="left" w:pos="9765"/>
              </w:tabs>
              <w:spacing w:line="360" w:lineRule="auto"/>
              <w:ind w:firstLine="422"/>
              <w:rPr>
                <w:rFonts w:ascii="宋体" w:hAnsi="宋体" w:cs="宋体"/>
                <w:color w:val="auto"/>
                <w:szCs w:val="21"/>
                <w:highlight w:val="none"/>
              </w:rPr>
            </w:pPr>
          </w:p>
        </w:tc>
        <w:tc>
          <w:tcPr>
            <w:tcW w:w="1397" w:type="dxa"/>
            <w:tcBorders>
              <w:top w:val="single" w:color="auto" w:sz="4" w:space="0"/>
              <w:left w:val="single" w:color="auto" w:sz="4" w:space="0"/>
              <w:bottom w:val="single" w:color="auto" w:sz="4" w:space="0"/>
              <w:right w:val="single" w:color="auto" w:sz="4" w:space="0"/>
            </w:tcBorders>
            <w:vAlign w:val="center"/>
          </w:tcPr>
          <w:p w14:paraId="36789015">
            <w:pPr>
              <w:tabs>
                <w:tab w:val="left" w:pos="9765"/>
              </w:tabs>
              <w:spacing w:line="360" w:lineRule="auto"/>
              <w:ind w:firstLine="422"/>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77293B30">
            <w:pPr>
              <w:tabs>
                <w:tab w:val="left" w:pos="9765"/>
              </w:tabs>
              <w:spacing w:line="360" w:lineRule="auto"/>
              <w:ind w:firstLine="422"/>
              <w:rPr>
                <w:rFonts w:ascii="宋体" w:hAnsi="宋体" w:cs="宋体"/>
                <w:color w:val="auto"/>
                <w:szCs w:val="21"/>
                <w:highlight w:val="none"/>
              </w:rPr>
            </w:pPr>
          </w:p>
        </w:tc>
      </w:tr>
    </w:tbl>
    <w:p w14:paraId="0BB5BF39">
      <w:pPr>
        <w:spacing w:line="360" w:lineRule="auto"/>
        <w:ind w:firstLine="422"/>
        <w:rPr>
          <w:rFonts w:hint="eastAsia" w:ascii="宋体" w:hAnsi="宋体" w:cs="宋体"/>
          <w:color w:val="auto"/>
          <w:szCs w:val="21"/>
          <w:highlight w:val="none"/>
          <w:lang w:val="zh-CN"/>
        </w:rPr>
      </w:pPr>
    </w:p>
    <w:p w14:paraId="4CD03B08">
      <w:pPr>
        <w:spacing w:line="360" w:lineRule="auto"/>
        <w:ind w:firstLine="422"/>
        <w:rPr>
          <w:rFonts w:hint="eastAsia" w:ascii="宋体" w:hAnsi="宋体" w:cs="宋体"/>
          <w:color w:val="auto"/>
          <w:szCs w:val="21"/>
          <w:highlight w:val="none"/>
          <w:lang w:val="zh-CN"/>
        </w:rPr>
      </w:pPr>
    </w:p>
    <w:p w14:paraId="20C70BB2">
      <w:pPr>
        <w:spacing w:line="360" w:lineRule="auto"/>
        <w:ind w:firstLine="422"/>
        <w:rPr>
          <w:rFonts w:ascii="宋体" w:hAnsi="宋体" w:cs="宋体"/>
          <w:color w:val="auto"/>
          <w:szCs w:val="21"/>
          <w:highlight w:val="none"/>
          <w:lang w:val="zh-CN"/>
        </w:rPr>
      </w:pPr>
      <w:r>
        <w:rPr>
          <w:rFonts w:hint="eastAsia" w:ascii="宋体" w:hAnsi="宋体" w:cs="宋体"/>
          <w:color w:val="auto"/>
          <w:szCs w:val="21"/>
          <w:highlight w:val="none"/>
          <w:lang w:val="zh-CN"/>
        </w:rPr>
        <w:t>注：</w:t>
      </w:r>
      <w:r>
        <w:rPr>
          <w:rFonts w:hint="eastAsia" w:ascii="宋体" w:hAnsi="宋体" w:cs="宋体"/>
          <w:color w:val="auto"/>
          <w:szCs w:val="21"/>
          <w:highlight w:val="none"/>
        </w:rPr>
        <w:t>1、</w:t>
      </w:r>
      <w:r>
        <w:rPr>
          <w:rFonts w:hint="eastAsia" w:ascii="宋体" w:hAnsi="宋体" w:cs="宋体"/>
          <w:color w:val="auto"/>
          <w:szCs w:val="21"/>
          <w:highlight w:val="none"/>
          <w:lang w:val="zh-CN"/>
        </w:rPr>
        <w:t>投标人自行根据项目需要配备相应的人员。</w:t>
      </w:r>
    </w:p>
    <w:p w14:paraId="5C16AE4F">
      <w:pPr>
        <w:spacing w:line="360" w:lineRule="auto"/>
        <w:ind w:firstLine="422"/>
        <w:rPr>
          <w:rFonts w:ascii="宋体" w:hAnsi="宋体" w:cs="宋体"/>
          <w:color w:val="auto"/>
          <w:szCs w:val="21"/>
          <w:highlight w:val="none"/>
        </w:rPr>
      </w:pPr>
    </w:p>
    <w:p w14:paraId="00948B8E">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47B8C0BA">
      <w:pPr>
        <w:spacing w:line="360" w:lineRule="auto"/>
        <w:ind w:firstLine="422"/>
        <w:rPr>
          <w:rFonts w:ascii="宋体" w:hAnsi="宋体" w:cs="宋体"/>
          <w:color w:val="auto"/>
          <w:szCs w:val="21"/>
          <w:highlight w:val="non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szCs w:val="21"/>
          <w:highlight w:val="none"/>
        </w:rPr>
        <w:t>日期：         年         月       日</w:t>
      </w:r>
    </w:p>
    <w:p w14:paraId="23602840">
      <w:pPr>
        <w:pageBreakBefore/>
        <w:widowControl/>
        <w:spacing w:line="360" w:lineRule="auto"/>
        <w:jc w:val="left"/>
        <w:rPr>
          <w:rFonts w:ascii="宋体" w:hAnsi="宋体" w:cs="宋体"/>
          <w:b/>
          <w:color w:val="auto"/>
          <w:szCs w:val="21"/>
          <w:highlight w:val="none"/>
        </w:rPr>
      </w:pPr>
      <w:r>
        <w:rPr>
          <w:rFonts w:hint="eastAsia" w:ascii="宋体" w:hAnsi="宋体" w:cs="宋体"/>
          <w:b/>
          <w:bCs/>
          <w:color w:val="auto"/>
          <w:szCs w:val="21"/>
          <w:highlight w:val="none"/>
        </w:rPr>
        <w:t>附件9、</w:t>
      </w:r>
      <w:r>
        <w:rPr>
          <w:rFonts w:hint="eastAsia" w:ascii="宋体" w:hAnsi="宋体" w:cs="宋体"/>
          <w:b/>
          <w:color w:val="auto"/>
          <w:szCs w:val="21"/>
          <w:highlight w:val="none"/>
        </w:rPr>
        <w:t>类似业绩一览表</w:t>
      </w:r>
    </w:p>
    <w:p w14:paraId="4775690A">
      <w:pPr>
        <w:spacing w:line="360" w:lineRule="auto"/>
        <w:ind w:firstLine="420"/>
        <w:jc w:val="center"/>
        <w:rPr>
          <w:rFonts w:ascii="宋体" w:hAnsi="宋体" w:cs="宋体"/>
          <w:b/>
          <w:color w:val="auto"/>
          <w:szCs w:val="21"/>
          <w:highlight w:val="none"/>
        </w:rPr>
      </w:pPr>
    </w:p>
    <w:p w14:paraId="0426574F">
      <w:pPr>
        <w:spacing w:line="360" w:lineRule="auto"/>
        <w:jc w:val="center"/>
        <w:rPr>
          <w:rFonts w:ascii="宋体" w:hAnsi="宋体" w:cs="宋体"/>
          <w:b/>
          <w:bCs/>
          <w:color w:val="auto"/>
          <w:szCs w:val="21"/>
          <w:highlight w:val="none"/>
        </w:rPr>
      </w:pPr>
      <w:r>
        <w:rPr>
          <w:rFonts w:hint="eastAsia" w:ascii="宋体" w:hAnsi="宋体" w:cs="宋体"/>
          <w:b/>
          <w:color w:val="auto"/>
          <w:szCs w:val="21"/>
          <w:highlight w:val="none"/>
        </w:rPr>
        <w:t>类似业绩一览表</w:t>
      </w:r>
    </w:p>
    <w:p w14:paraId="0E5B78D3">
      <w:pPr>
        <w:autoSpaceDE w:val="0"/>
        <w:autoSpaceDN w:val="0"/>
        <w:adjustRightInd w:val="0"/>
        <w:spacing w:line="360" w:lineRule="auto"/>
        <w:ind w:firstLine="422"/>
        <w:rPr>
          <w:rFonts w:ascii="宋体" w:hAnsi="宋体" w:cs="宋体"/>
          <w:b/>
          <w:color w:val="auto"/>
          <w:szCs w:val="21"/>
          <w:highlight w:val="none"/>
        </w:rPr>
      </w:pPr>
      <w:r>
        <w:rPr>
          <w:rFonts w:hint="eastAsia" w:ascii="宋体" w:hAnsi="宋体" w:cs="宋体"/>
          <w:color w:val="auto"/>
          <w:szCs w:val="21"/>
          <w:highlight w:val="none"/>
          <w:lang w:val="zh-CN"/>
        </w:rPr>
        <w:t>项目编号：         号                         项目名称：</w:t>
      </w:r>
    </w:p>
    <w:tbl>
      <w:tblPr>
        <w:tblStyle w:val="31"/>
        <w:tblW w:w="47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259"/>
        <w:gridCol w:w="2218"/>
        <w:gridCol w:w="1722"/>
        <w:gridCol w:w="1532"/>
        <w:gridCol w:w="1239"/>
      </w:tblGrid>
      <w:tr w14:paraId="68ED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5111D9A5">
            <w:pPr>
              <w:pStyle w:val="7"/>
              <w:overflowPunct w:val="0"/>
              <w:spacing w:line="360" w:lineRule="auto"/>
              <w:ind w:firstLine="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716" w:type="pct"/>
            <w:tcBorders>
              <w:top w:val="single" w:color="auto" w:sz="4" w:space="0"/>
              <w:left w:val="single" w:color="auto" w:sz="4" w:space="0"/>
              <w:bottom w:val="single" w:color="auto" w:sz="4" w:space="0"/>
              <w:right w:val="single" w:color="auto" w:sz="4" w:space="0"/>
            </w:tcBorders>
            <w:vAlign w:val="center"/>
          </w:tcPr>
          <w:p w14:paraId="396CAFBC">
            <w:pPr>
              <w:spacing w:line="360" w:lineRule="auto"/>
              <w:rPr>
                <w:rFonts w:ascii="宋体" w:hAnsi="宋体" w:cs="宋体"/>
                <w:color w:val="auto"/>
                <w:szCs w:val="21"/>
                <w:highlight w:val="none"/>
              </w:rPr>
            </w:pPr>
            <w:r>
              <w:rPr>
                <w:rFonts w:hint="eastAsia" w:ascii="宋体" w:hAnsi="宋体"/>
                <w:color w:val="auto"/>
                <w:szCs w:val="21"/>
                <w:highlight w:val="none"/>
              </w:rPr>
              <w:t>项目名称</w:t>
            </w:r>
          </w:p>
        </w:tc>
        <w:tc>
          <w:tcPr>
            <w:tcW w:w="1261" w:type="pct"/>
            <w:tcBorders>
              <w:top w:val="single" w:color="auto" w:sz="4" w:space="0"/>
              <w:left w:val="single" w:color="auto" w:sz="4" w:space="0"/>
              <w:bottom w:val="single" w:color="auto" w:sz="4" w:space="0"/>
              <w:right w:val="single" w:color="auto" w:sz="4" w:space="0"/>
            </w:tcBorders>
            <w:vAlign w:val="center"/>
          </w:tcPr>
          <w:p w14:paraId="72615497">
            <w:pPr>
              <w:spacing w:line="360" w:lineRule="auto"/>
              <w:rPr>
                <w:rFonts w:ascii="宋体" w:hAnsi="宋体" w:cs="宋体"/>
                <w:color w:val="auto"/>
                <w:szCs w:val="21"/>
                <w:highlight w:val="none"/>
              </w:rPr>
            </w:pPr>
            <w:r>
              <w:rPr>
                <w:rFonts w:hint="eastAsia" w:ascii="宋体" w:hAnsi="宋体"/>
                <w:color w:val="auto"/>
                <w:szCs w:val="21"/>
                <w:highlight w:val="none"/>
              </w:rPr>
              <w:t>业主单位（采购单位）</w:t>
            </w:r>
          </w:p>
        </w:tc>
        <w:tc>
          <w:tcPr>
            <w:tcW w:w="979" w:type="pct"/>
            <w:tcBorders>
              <w:top w:val="single" w:color="auto" w:sz="4" w:space="0"/>
              <w:left w:val="single" w:color="auto" w:sz="4" w:space="0"/>
              <w:bottom w:val="single" w:color="auto" w:sz="4" w:space="0"/>
              <w:right w:val="single" w:color="auto" w:sz="4" w:space="0"/>
            </w:tcBorders>
            <w:vAlign w:val="center"/>
          </w:tcPr>
          <w:p w14:paraId="294E8FAF">
            <w:pPr>
              <w:spacing w:line="360" w:lineRule="auto"/>
              <w:rPr>
                <w:rFonts w:ascii="宋体" w:hAnsi="宋体" w:cs="宋体"/>
                <w:color w:val="auto"/>
                <w:szCs w:val="21"/>
                <w:highlight w:val="none"/>
              </w:rPr>
            </w:pPr>
            <w:r>
              <w:rPr>
                <w:rFonts w:hint="eastAsia" w:ascii="宋体" w:hAnsi="宋体"/>
                <w:color w:val="auto"/>
                <w:szCs w:val="21"/>
                <w:highlight w:val="none"/>
              </w:rPr>
              <w:t>合同签订时间</w:t>
            </w:r>
          </w:p>
        </w:tc>
        <w:tc>
          <w:tcPr>
            <w:tcW w:w="871" w:type="pct"/>
            <w:tcBorders>
              <w:top w:val="single" w:color="auto" w:sz="4" w:space="0"/>
              <w:left w:val="single" w:color="auto" w:sz="4" w:space="0"/>
              <w:bottom w:val="single" w:color="auto" w:sz="4" w:space="0"/>
              <w:right w:val="single" w:color="auto" w:sz="4" w:space="0"/>
            </w:tcBorders>
            <w:vAlign w:val="center"/>
          </w:tcPr>
          <w:p w14:paraId="3B68C5EC">
            <w:pPr>
              <w:spacing w:line="360" w:lineRule="auto"/>
              <w:ind w:firstLine="422"/>
              <w:rPr>
                <w:rFonts w:ascii="宋体" w:hAnsi="宋体" w:cs="宋体"/>
                <w:color w:val="auto"/>
                <w:szCs w:val="21"/>
                <w:highlight w:val="none"/>
              </w:rPr>
            </w:pPr>
            <w:r>
              <w:rPr>
                <w:rFonts w:hint="eastAsia" w:ascii="宋体" w:hAnsi="宋体"/>
                <w:color w:val="auto"/>
                <w:szCs w:val="21"/>
                <w:highlight w:val="none"/>
              </w:rPr>
              <w:t>合同金额</w:t>
            </w:r>
          </w:p>
        </w:tc>
        <w:tc>
          <w:tcPr>
            <w:tcW w:w="704" w:type="pct"/>
            <w:tcBorders>
              <w:top w:val="single" w:color="auto" w:sz="4" w:space="0"/>
              <w:left w:val="single" w:color="auto" w:sz="4" w:space="0"/>
              <w:bottom w:val="single" w:color="auto" w:sz="4" w:space="0"/>
              <w:right w:val="single" w:color="auto" w:sz="4" w:space="0"/>
            </w:tcBorders>
            <w:vAlign w:val="center"/>
          </w:tcPr>
          <w:p w14:paraId="1E5983E1">
            <w:pPr>
              <w:spacing w:line="360" w:lineRule="auto"/>
              <w:ind w:firstLine="422"/>
              <w:rPr>
                <w:rFonts w:ascii="宋体" w:hAnsi="宋体" w:cs="宋体"/>
                <w:color w:val="auto"/>
                <w:szCs w:val="21"/>
                <w:highlight w:val="none"/>
              </w:rPr>
            </w:pPr>
            <w:r>
              <w:rPr>
                <w:rFonts w:hint="eastAsia" w:ascii="宋体" w:hAnsi="宋体"/>
                <w:color w:val="auto"/>
                <w:szCs w:val="21"/>
                <w:highlight w:val="none"/>
              </w:rPr>
              <w:t>备注</w:t>
            </w:r>
          </w:p>
        </w:tc>
      </w:tr>
      <w:tr w14:paraId="277D8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08668CE7">
            <w:pPr>
              <w:pStyle w:val="7"/>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5CE506C8">
            <w:pPr>
              <w:pStyle w:val="7"/>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0CD0FF4D">
            <w:pPr>
              <w:pStyle w:val="7"/>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61E16562">
            <w:pPr>
              <w:pStyle w:val="7"/>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2172A6C6">
            <w:pPr>
              <w:pStyle w:val="7"/>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53158E10">
            <w:pPr>
              <w:pStyle w:val="7"/>
              <w:overflowPunct w:val="0"/>
              <w:spacing w:line="360" w:lineRule="auto"/>
              <w:ind w:firstLine="422"/>
              <w:jc w:val="center"/>
              <w:rPr>
                <w:rFonts w:ascii="宋体" w:hAnsi="宋体" w:eastAsia="宋体" w:cs="宋体"/>
                <w:color w:val="auto"/>
                <w:sz w:val="21"/>
                <w:szCs w:val="21"/>
                <w:highlight w:val="none"/>
              </w:rPr>
            </w:pPr>
          </w:p>
        </w:tc>
      </w:tr>
      <w:tr w14:paraId="67B2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27133864">
            <w:pPr>
              <w:pStyle w:val="7"/>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6DDC7CB1">
            <w:pPr>
              <w:pStyle w:val="7"/>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4716201D">
            <w:pPr>
              <w:pStyle w:val="7"/>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6F579ED0">
            <w:pPr>
              <w:pStyle w:val="7"/>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298182C3">
            <w:pPr>
              <w:pStyle w:val="7"/>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58B550A7">
            <w:pPr>
              <w:pStyle w:val="7"/>
              <w:overflowPunct w:val="0"/>
              <w:spacing w:line="360" w:lineRule="auto"/>
              <w:ind w:firstLine="422"/>
              <w:jc w:val="center"/>
              <w:rPr>
                <w:rFonts w:ascii="宋体" w:hAnsi="宋体" w:eastAsia="宋体" w:cs="宋体"/>
                <w:color w:val="auto"/>
                <w:sz w:val="21"/>
                <w:szCs w:val="21"/>
                <w:highlight w:val="none"/>
              </w:rPr>
            </w:pPr>
          </w:p>
        </w:tc>
      </w:tr>
      <w:tr w14:paraId="1885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7CE2C431">
            <w:pPr>
              <w:pStyle w:val="7"/>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1F20CEF5">
            <w:pPr>
              <w:pStyle w:val="7"/>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20B93BE7">
            <w:pPr>
              <w:pStyle w:val="7"/>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6DA5FCBE">
            <w:pPr>
              <w:pStyle w:val="7"/>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37CFD608">
            <w:pPr>
              <w:pStyle w:val="7"/>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3D23A44D">
            <w:pPr>
              <w:pStyle w:val="7"/>
              <w:overflowPunct w:val="0"/>
              <w:spacing w:line="360" w:lineRule="auto"/>
              <w:ind w:firstLine="422"/>
              <w:jc w:val="center"/>
              <w:rPr>
                <w:rFonts w:ascii="宋体" w:hAnsi="宋体" w:eastAsia="宋体" w:cs="宋体"/>
                <w:color w:val="auto"/>
                <w:sz w:val="21"/>
                <w:szCs w:val="21"/>
                <w:highlight w:val="none"/>
              </w:rPr>
            </w:pPr>
          </w:p>
        </w:tc>
      </w:tr>
      <w:tr w14:paraId="0A46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4E7DFBEE">
            <w:pPr>
              <w:pStyle w:val="7"/>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7B004010">
            <w:pPr>
              <w:pStyle w:val="7"/>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50F5F15D">
            <w:pPr>
              <w:pStyle w:val="7"/>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4F84BB2F">
            <w:pPr>
              <w:pStyle w:val="7"/>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270881D9">
            <w:pPr>
              <w:pStyle w:val="7"/>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4A5D127F">
            <w:pPr>
              <w:pStyle w:val="7"/>
              <w:overflowPunct w:val="0"/>
              <w:spacing w:line="360" w:lineRule="auto"/>
              <w:ind w:firstLine="422"/>
              <w:jc w:val="center"/>
              <w:rPr>
                <w:rFonts w:ascii="宋体" w:hAnsi="宋体" w:eastAsia="宋体" w:cs="宋体"/>
                <w:color w:val="auto"/>
                <w:sz w:val="21"/>
                <w:szCs w:val="21"/>
                <w:highlight w:val="none"/>
              </w:rPr>
            </w:pPr>
          </w:p>
        </w:tc>
      </w:tr>
      <w:tr w14:paraId="1CCB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15670CB6">
            <w:pPr>
              <w:pStyle w:val="7"/>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26B2FDA6">
            <w:pPr>
              <w:pStyle w:val="7"/>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46B2DF77">
            <w:pPr>
              <w:pStyle w:val="7"/>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6FCE92CE">
            <w:pPr>
              <w:pStyle w:val="7"/>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34A1F806">
            <w:pPr>
              <w:pStyle w:val="7"/>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2C0A9A8F">
            <w:pPr>
              <w:pStyle w:val="7"/>
              <w:overflowPunct w:val="0"/>
              <w:spacing w:line="360" w:lineRule="auto"/>
              <w:ind w:firstLine="422"/>
              <w:jc w:val="center"/>
              <w:rPr>
                <w:rFonts w:ascii="宋体" w:hAnsi="宋体" w:eastAsia="宋体" w:cs="宋体"/>
                <w:color w:val="auto"/>
                <w:sz w:val="21"/>
                <w:szCs w:val="21"/>
                <w:highlight w:val="none"/>
              </w:rPr>
            </w:pPr>
          </w:p>
        </w:tc>
      </w:tr>
      <w:tr w14:paraId="7501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65" w:type="pct"/>
            <w:tcBorders>
              <w:top w:val="single" w:color="auto" w:sz="4" w:space="0"/>
              <w:left w:val="single" w:color="auto" w:sz="4" w:space="0"/>
              <w:bottom w:val="single" w:color="auto" w:sz="4" w:space="0"/>
              <w:right w:val="single" w:color="auto" w:sz="4" w:space="0"/>
            </w:tcBorders>
            <w:vAlign w:val="center"/>
          </w:tcPr>
          <w:p w14:paraId="09C41EE2">
            <w:pPr>
              <w:pStyle w:val="7"/>
              <w:overflowPunct w:val="0"/>
              <w:spacing w:line="360" w:lineRule="auto"/>
              <w:ind w:firstLine="422"/>
              <w:jc w:val="center"/>
              <w:rPr>
                <w:rFonts w:ascii="宋体" w:hAnsi="宋体" w:eastAsia="宋体" w:cs="宋体"/>
                <w:color w:val="auto"/>
                <w:sz w:val="21"/>
                <w:szCs w:val="21"/>
                <w:highlight w:val="none"/>
              </w:rPr>
            </w:pPr>
          </w:p>
        </w:tc>
        <w:tc>
          <w:tcPr>
            <w:tcW w:w="716" w:type="pct"/>
            <w:tcBorders>
              <w:top w:val="single" w:color="auto" w:sz="4" w:space="0"/>
              <w:left w:val="single" w:color="auto" w:sz="4" w:space="0"/>
              <w:bottom w:val="single" w:color="auto" w:sz="4" w:space="0"/>
              <w:right w:val="single" w:color="auto" w:sz="4" w:space="0"/>
            </w:tcBorders>
            <w:vAlign w:val="center"/>
          </w:tcPr>
          <w:p w14:paraId="2632ECCD">
            <w:pPr>
              <w:pStyle w:val="7"/>
              <w:overflowPunct w:val="0"/>
              <w:spacing w:line="360" w:lineRule="auto"/>
              <w:ind w:firstLine="422"/>
              <w:jc w:val="center"/>
              <w:rPr>
                <w:rFonts w:ascii="宋体" w:hAnsi="宋体" w:eastAsia="宋体" w:cs="宋体"/>
                <w:color w:val="auto"/>
                <w:sz w:val="21"/>
                <w:szCs w:val="21"/>
                <w:highlight w:val="none"/>
              </w:rPr>
            </w:pPr>
          </w:p>
        </w:tc>
        <w:tc>
          <w:tcPr>
            <w:tcW w:w="1261" w:type="pct"/>
            <w:tcBorders>
              <w:top w:val="single" w:color="auto" w:sz="4" w:space="0"/>
              <w:left w:val="single" w:color="auto" w:sz="4" w:space="0"/>
              <w:bottom w:val="single" w:color="auto" w:sz="4" w:space="0"/>
              <w:right w:val="single" w:color="auto" w:sz="4" w:space="0"/>
            </w:tcBorders>
            <w:vAlign w:val="center"/>
          </w:tcPr>
          <w:p w14:paraId="6A37C7D1">
            <w:pPr>
              <w:pStyle w:val="7"/>
              <w:overflowPunct w:val="0"/>
              <w:spacing w:line="360" w:lineRule="auto"/>
              <w:ind w:firstLine="422"/>
              <w:jc w:val="center"/>
              <w:rPr>
                <w:rFonts w:ascii="宋体" w:hAnsi="宋体" w:eastAsia="宋体" w:cs="宋体"/>
                <w:color w:val="auto"/>
                <w:sz w:val="21"/>
                <w:szCs w:val="21"/>
                <w:highlight w:val="none"/>
              </w:rPr>
            </w:pPr>
          </w:p>
        </w:tc>
        <w:tc>
          <w:tcPr>
            <w:tcW w:w="979" w:type="pct"/>
            <w:tcBorders>
              <w:top w:val="single" w:color="auto" w:sz="4" w:space="0"/>
              <w:left w:val="single" w:color="auto" w:sz="4" w:space="0"/>
              <w:bottom w:val="single" w:color="auto" w:sz="4" w:space="0"/>
              <w:right w:val="single" w:color="auto" w:sz="4" w:space="0"/>
            </w:tcBorders>
            <w:vAlign w:val="center"/>
          </w:tcPr>
          <w:p w14:paraId="218B2210">
            <w:pPr>
              <w:pStyle w:val="7"/>
              <w:overflowPunct w:val="0"/>
              <w:spacing w:line="360" w:lineRule="auto"/>
              <w:ind w:firstLine="422"/>
              <w:jc w:val="center"/>
              <w:rPr>
                <w:rFonts w:ascii="宋体" w:hAnsi="宋体" w:eastAsia="宋体" w:cs="宋体"/>
                <w:color w:val="auto"/>
                <w:sz w:val="21"/>
                <w:szCs w:val="21"/>
                <w:highlight w:val="none"/>
              </w:rPr>
            </w:pPr>
          </w:p>
        </w:tc>
        <w:tc>
          <w:tcPr>
            <w:tcW w:w="871" w:type="pct"/>
            <w:tcBorders>
              <w:top w:val="single" w:color="auto" w:sz="4" w:space="0"/>
              <w:left w:val="single" w:color="auto" w:sz="4" w:space="0"/>
              <w:bottom w:val="single" w:color="auto" w:sz="4" w:space="0"/>
              <w:right w:val="single" w:color="auto" w:sz="4" w:space="0"/>
            </w:tcBorders>
            <w:vAlign w:val="center"/>
          </w:tcPr>
          <w:p w14:paraId="40DF6FC1">
            <w:pPr>
              <w:pStyle w:val="7"/>
              <w:overflowPunct w:val="0"/>
              <w:spacing w:line="360" w:lineRule="auto"/>
              <w:ind w:firstLine="422"/>
              <w:jc w:val="center"/>
              <w:rPr>
                <w:rFonts w:ascii="宋体" w:hAnsi="宋体" w:eastAsia="宋体" w:cs="宋体"/>
                <w:color w:val="auto"/>
                <w:sz w:val="21"/>
                <w:szCs w:val="21"/>
                <w:highlight w:val="none"/>
              </w:rPr>
            </w:pPr>
          </w:p>
        </w:tc>
        <w:tc>
          <w:tcPr>
            <w:tcW w:w="704" w:type="pct"/>
            <w:tcBorders>
              <w:top w:val="single" w:color="auto" w:sz="4" w:space="0"/>
              <w:left w:val="single" w:color="auto" w:sz="4" w:space="0"/>
              <w:bottom w:val="single" w:color="auto" w:sz="4" w:space="0"/>
              <w:right w:val="single" w:color="auto" w:sz="4" w:space="0"/>
            </w:tcBorders>
            <w:vAlign w:val="center"/>
          </w:tcPr>
          <w:p w14:paraId="6D7CB815">
            <w:pPr>
              <w:pStyle w:val="7"/>
              <w:overflowPunct w:val="0"/>
              <w:spacing w:line="360" w:lineRule="auto"/>
              <w:ind w:firstLine="422"/>
              <w:jc w:val="center"/>
              <w:rPr>
                <w:rFonts w:ascii="宋体" w:hAnsi="宋体" w:eastAsia="宋体" w:cs="宋体"/>
                <w:color w:val="auto"/>
                <w:sz w:val="21"/>
                <w:szCs w:val="21"/>
                <w:highlight w:val="none"/>
              </w:rPr>
            </w:pPr>
          </w:p>
        </w:tc>
      </w:tr>
    </w:tbl>
    <w:p w14:paraId="08386B03">
      <w:pPr>
        <w:spacing w:line="360" w:lineRule="auto"/>
        <w:ind w:firstLine="422"/>
        <w:rPr>
          <w:rFonts w:ascii="宋体" w:hAnsi="宋体" w:cs="宋体"/>
          <w:color w:val="auto"/>
          <w:szCs w:val="21"/>
          <w:highlight w:val="none"/>
        </w:rPr>
      </w:pPr>
    </w:p>
    <w:p w14:paraId="5B1C861C">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17089781">
      <w:pPr>
        <w:spacing w:line="360" w:lineRule="auto"/>
        <w:ind w:firstLine="422"/>
        <w:rPr>
          <w:rFonts w:ascii="宋体" w:hAnsi="宋体" w:cs="宋体"/>
          <w:color w:val="auto"/>
          <w:szCs w:val="21"/>
          <w:highlight w:val="non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szCs w:val="21"/>
          <w:highlight w:val="none"/>
        </w:rPr>
        <w:t>日期：         年         月       日</w:t>
      </w:r>
    </w:p>
    <w:p w14:paraId="598C3C32">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附件10、关于资格文件的声明函</w:t>
      </w:r>
    </w:p>
    <w:p w14:paraId="0D82A1EE">
      <w:pPr>
        <w:pStyle w:val="7"/>
        <w:overflowPunct w:val="0"/>
        <w:spacing w:line="360" w:lineRule="auto"/>
        <w:jc w:val="center"/>
        <w:rPr>
          <w:rFonts w:ascii="宋体" w:hAnsi="宋体" w:eastAsia="宋体" w:cs="宋体"/>
          <w:b/>
          <w:color w:val="auto"/>
          <w:sz w:val="21"/>
          <w:szCs w:val="21"/>
          <w:highlight w:val="none"/>
        </w:rPr>
      </w:pPr>
    </w:p>
    <w:p w14:paraId="45D2CEA6">
      <w:pPr>
        <w:pStyle w:val="7"/>
        <w:overflowPunct w:val="0"/>
        <w:spacing w:line="360" w:lineRule="auto"/>
        <w:ind w:firstLine="422"/>
        <w:jc w:val="center"/>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关于资格文件的声明函</w:t>
      </w:r>
    </w:p>
    <w:p w14:paraId="427A7006">
      <w:pPr>
        <w:pStyle w:val="7"/>
        <w:overflowPunct w:val="0"/>
        <w:spacing w:line="360" w:lineRule="auto"/>
        <w:ind w:firstLine="422"/>
        <w:jc w:val="center"/>
        <w:rPr>
          <w:rFonts w:ascii="宋体" w:hAnsi="宋体" w:eastAsia="宋体" w:cs="宋体"/>
          <w:color w:val="auto"/>
          <w:sz w:val="21"/>
          <w:highlight w:val="none"/>
        </w:rPr>
      </w:pPr>
    </w:p>
    <w:p w14:paraId="0F6BEED0">
      <w:pPr>
        <w:pStyle w:val="7"/>
        <w:overflowPunct w:val="0"/>
        <w:spacing w:line="360" w:lineRule="auto"/>
        <w:ind w:firstLine="422"/>
        <w:rPr>
          <w:rFonts w:ascii="宋体" w:hAnsi="宋体" w:eastAsia="宋体" w:cs="宋体"/>
          <w:color w:val="auto"/>
          <w:sz w:val="21"/>
          <w:highlight w:val="none"/>
        </w:rPr>
      </w:pPr>
      <w:r>
        <w:rPr>
          <w:rFonts w:hint="eastAsia" w:ascii="宋体" w:hAnsi="宋体" w:eastAsia="宋体" w:cs="宋体"/>
          <w:color w:val="auto"/>
          <w:sz w:val="21"/>
          <w:highlight w:val="none"/>
        </w:rPr>
        <w:t>：</w:t>
      </w:r>
    </w:p>
    <w:p w14:paraId="445C55C6">
      <w:pPr>
        <w:pStyle w:val="7"/>
        <w:overflowPunct w:val="0"/>
        <w:snapToGrid w:val="0"/>
        <w:spacing w:line="360" w:lineRule="auto"/>
        <w:ind w:firstLine="422"/>
        <w:rPr>
          <w:rFonts w:ascii="宋体" w:hAnsi="宋体" w:eastAsia="宋体" w:cs="宋体"/>
          <w:color w:val="auto"/>
          <w:sz w:val="21"/>
          <w:szCs w:val="21"/>
          <w:highlight w:val="none"/>
        </w:rPr>
      </w:pPr>
      <w:r>
        <w:rPr>
          <w:rFonts w:hint="eastAsia" w:ascii="宋体" w:hAnsi="宋体" w:eastAsia="宋体" w:cs="宋体"/>
          <w:color w:val="auto"/>
          <w:sz w:val="21"/>
          <w:highlight w:val="none"/>
        </w:rPr>
        <w:t>本公司愿就由贵公司组织实施的编号为</w:t>
      </w:r>
      <w:r>
        <w:rPr>
          <w:rFonts w:hint="eastAsia" w:ascii="宋体" w:hAnsi="宋体" w:eastAsia="宋体" w:cs="宋体"/>
          <w:color w:val="auto"/>
          <w:sz w:val="21"/>
          <w:highlight w:val="none"/>
          <w:u w:val="single"/>
          <w:lang w:val="en-US" w:eastAsia="zh-CN"/>
        </w:rPr>
        <w:t xml:space="preserve">     </w:t>
      </w:r>
      <w:r>
        <w:rPr>
          <w:rFonts w:hint="eastAsia" w:ascii="宋体" w:hAnsi="宋体" w:eastAsia="宋体" w:cs="宋体"/>
          <w:color w:val="auto"/>
          <w:sz w:val="21"/>
          <w:highlight w:val="none"/>
        </w:rPr>
        <w:t>号的招标活动进行投标。本公司所提交的投标文件中所有关于投标资格的文件、证明和陈述均是真实的、有效的、准确的。本公司愿意提供招标文件中要求的所有资料，本公司承诺我单位符合招标文件投标人须知要求中“合格投标人的条件”的资格要求。若与真实情况不符，本公司愿意承担由此而产生的一切后果。</w:t>
      </w:r>
    </w:p>
    <w:p w14:paraId="1007C1F3">
      <w:pPr>
        <w:pStyle w:val="7"/>
        <w:overflowPunct w:val="0"/>
        <w:spacing w:line="360" w:lineRule="auto"/>
        <w:ind w:firstLine="422"/>
        <w:rPr>
          <w:rFonts w:ascii="宋体" w:hAnsi="宋体" w:eastAsia="宋体" w:cs="宋体"/>
          <w:color w:val="auto"/>
          <w:sz w:val="21"/>
          <w:highlight w:val="none"/>
        </w:rPr>
      </w:pPr>
    </w:p>
    <w:p w14:paraId="5FB72815">
      <w:pPr>
        <w:pStyle w:val="7"/>
        <w:overflowPunct w:val="0"/>
        <w:spacing w:line="360" w:lineRule="auto"/>
        <w:ind w:firstLine="422"/>
        <w:rPr>
          <w:rFonts w:ascii="宋体" w:hAnsi="宋体" w:eastAsia="宋体" w:cs="宋体"/>
          <w:color w:val="auto"/>
          <w:sz w:val="21"/>
          <w:highlight w:val="none"/>
        </w:rPr>
      </w:pPr>
    </w:p>
    <w:p w14:paraId="5850FC28">
      <w:pPr>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投标人：（签章）</w:t>
      </w:r>
    </w:p>
    <w:p w14:paraId="5811A350">
      <w:pPr>
        <w:spacing w:line="360" w:lineRule="auto"/>
        <w:ind w:firstLine="422"/>
        <w:rPr>
          <w:rFonts w:ascii="宋体" w:hAnsi="宋体" w:cs="宋体"/>
          <w:color w:val="auto"/>
          <w:szCs w:val="21"/>
          <w:highlight w:val="non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szCs w:val="21"/>
          <w:highlight w:val="none"/>
        </w:rPr>
        <w:t>日期：         年         月       日</w:t>
      </w:r>
    </w:p>
    <w:p w14:paraId="0F539384">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附件11、投标单位情况表</w:t>
      </w:r>
    </w:p>
    <w:p w14:paraId="24F0A64C">
      <w:pPr>
        <w:pStyle w:val="7"/>
        <w:overflowPunct w:val="0"/>
        <w:spacing w:line="360" w:lineRule="auto"/>
        <w:ind w:firstLine="422"/>
        <w:jc w:val="center"/>
        <w:rPr>
          <w:rFonts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投标单位情况表</w:t>
      </w:r>
    </w:p>
    <w:p w14:paraId="592F05F9">
      <w:pPr>
        <w:pStyle w:val="7"/>
        <w:overflowPunct w:val="0"/>
        <w:spacing w:line="360" w:lineRule="auto"/>
        <w:ind w:firstLine="422"/>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w:t>
      </w:r>
      <w:r>
        <w:rPr>
          <w:rFonts w:hint="eastAsia" w:ascii="宋体" w:hAnsi="宋体" w:eastAsia="宋体" w:cs="宋体"/>
          <w:color w:val="auto"/>
          <w:sz w:val="21"/>
          <w:highlight w:val="none"/>
        </w:rPr>
        <w:t>签章</w:t>
      </w:r>
      <w:r>
        <w:rPr>
          <w:rFonts w:hint="eastAsia" w:ascii="宋体" w:hAnsi="宋体" w:eastAsia="宋体" w:cs="宋体"/>
          <w:color w:val="auto"/>
          <w:sz w:val="21"/>
          <w:szCs w:val="21"/>
          <w:highlight w:val="none"/>
        </w:rPr>
        <w:t>）</w:t>
      </w:r>
    </w:p>
    <w:tbl>
      <w:tblPr>
        <w:tblStyle w:val="31"/>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595"/>
        <w:gridCol w:w="1930"/>
        <w:gridCol w:w="1466"/>
        <w:gridCol w:w="2057"/>
        <w:gridCol w:w="1240"/>
      </w:tblGrid>
      <w:tr w14:paraId="62B00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5BDF2320">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法定代表人</w:t>
            </w:r>
          </w:p>
        </w:tc>
        <w:tc>
          <w:tcPr>
            <w:tcW w:w="1737" w:type="dxa"/>
            <w:vAlign w:val="center"/>
          </w:tcPr>
          <w:p w14:paraId="73DEA2A6">
            <w:pPr>
              <w:pStyle w:val="7"/>
              <w:overflowPunct w:val="0"/>
              <w:spacing w:line="360" w:lineRule="auto"/>
              <w:ind w:firstLine="422"/>
              <w:rPr>
                <w:rFonts w:ascii="宋体" w:hAnsi="宋体" w:eastAsia="宋体" w:cs="宋体"/>
                <w:color w:val="auto"/>
                <w:kern w:val="2"/>
                <w:sz w:val="21"/>
                <w:szCs w:val="21"/>
                <w:highlight w:val="none"/>
              </w:rPr>
            </w:pPr>
          </w:p>
        </w:tc>
        <w:tc>
          <w:tcPr>
            <w:tcW w:w="1319" w:type="dxa"/>
            <w:vAlign w:val="center"/>
          </w:tcPr>
          <w:p w14:paraId="65F034F4">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成立日期</w:t>
            </w:r>
          </w:p>
        </w:tc>
        <w:tc>
          <w:tcPr>
            <w:tcW w:w="2967" w:type="dxa"/>
            <w:gridSpan w:val="2"/>
            <w:vAlign w:val="center"/>
          </w:tcPr>
          <w:p w14:paraId="7420DC21">
            <w:pPr>
              <w:pStyle w:val="7"/>
              <w:overflowPunct w:val="0"/>
              <w:spacing w:line="360" w:lineRule="auto"/>
              <w:ind w:firstLine="422"/>
              <w:rPr>
                <w:rFonts w:ascii="宋体" w:hAnsi="宋体" w:eastAsia="宋体" w:cs="宋体"/>
                <w:color w:val="auto"/>
                <w:kern w:val="2"/>
                <w:sz w:val="21"/>
                <w:szCs w:val="21"/>
                <w:highlight w:val="none"/>
              </w:rPr>
            </w:pPr>
          </w:p>
        </w:tc>
      </w:tr>
      <w:tr w14:paraId="00578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06ADEA31">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企业地址</w:t>
            </w:r>
          </w:p>
        </w:tc>
        <w:tc>
          <w:tcPr>
            <w:tcW w:w="1737" w:type="dxa"/>
            <w:vAlign w:val="center"/>
          </w:tcPr>
          <w:p w14:paraId="6ECD7EE8">
            <w:pPr>
              <w:pStyle w:val="7"/>
              <w:overflowPunct w:val="0"/>
              <w:spacing w:line="360" w:lineRule="auto"/>
              <w:ind w:firstLine="422"/>
              <w:rPr>
                <w:rFonts w:ascii="宋体" w:hAnsi="宋体" w:eastAsia="宋体" w:cs="宋体"/>
                <w:color w:val="auto"/>
                <w:kern w:val="2"/>
                <w:sz w:val="21"/>
                <w:szCs w:val="21"/>
                <w:highlight w:val="none"/>
              </w:rPr>
            </w:pPr>
          </w:p>
        </w:tc>
        <w:tc>
          <w:tcPr>
            <w:tcW w:w="1319" w:type="dxa"/>
            <w:vAlign w:val="center"/>
          </w:tcPr>
          <w:p w14:paraId="14816AAD">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注册资本</w:t>
            </w:r>
          </w:p>
        </w:tc>
        <w:tc>
          <w:tcPr>
            <w:tcW w:w="2967" w:type="dxa"/>
            <w:gridSpan w:val="2"/>
            <w:vAlign w:val="center"/>
          </w:tcPr>
          <w:p w14:paraId="0114A5A4">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r>
      <w:tr w14:paraId="32844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06A6653C">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经营范围</w:t>
            </w:r>
          </w:p>
        </w:tc>
        <w:tc>
          <w:tcPr>
            <w:tcW w:w="6023" w:type="dxa"/>
            <w:gridSpan w:val="4"/>
            <w:vAlign w:val="center"/>
          </w:tcPr>
          <w:p w14:paraId="1D7E25ED">
            <w:pPr>
              <w:pStyle w:val="7"/>
              <w:overflowPunct w:val="0"/>
              <w:spacing w:line="360" w:lineRule="auto"/>
              <w:ind w:firstLine="422"/>
              <w:rPr>
                <w:rFonts w:ascii="宋体" w:hAnsi="宋体" w:eastAsia="宋体" w:cs="宋体"/>
                <w:color w:val="auto"/>
                <w:kern w:val="2"/>
                <w:sz w:val="21"/>
                <w:szCs w:val="21"/>
                <w:highlight w:val="none"/>
              </w:rPr>
            </w:pPr>
          </w:p>
        </w:tc>
      </w:tr>
      <w:tr w14:paraId="7D511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3373C0F2">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职工人数</w:t>
            </w:r>
          </w:p>
        </w:tc>
        <w:tc>
          <w:tcPr>
            <w:tcW w:w="1737" w:type="dxa"/>
            <w:vAlign w:val="center"/>
          </w:tcPr>
          <w:p w14:paraId="099848BD">
            <w:pPr>
              <w:pStyle w:val="7"/>
              <w:overflowPunct w:val="0"/>
              <w:spacing w:line="360" w:lineRule="auto"/>
              <w:ind w:firstLine="422"/>
              <w:rPr>
                <w:rFonts w:ascii="宋体" w:hAnsi="宋体" w:eastAsia="宋体" w:cs="宋体"/>
                <w:color w:val="auto"/>
                <w:kern w:val="2"/>
                <w:sz w:val="21"/>
                <w:szCs w:val="21"/>
                <w:highlight w:val="none"/>
              </w:rPr>
            </w:pPr>
          </w:p>
        </w:tc>
        <w:tc>
          <w:tcPr>
            <w:tcW w:w="3170" w:type="dxa"/>
            <w:gridSpan w:val="2"/>
            <w:vAlign w:val="center"/>
          </w:tcPr>
          <w:p w14:paraId="2CBB4319">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其中：有中高级以上职称的人数</w:t>
            </w:r>
          </w:p>
        </w:tc>
        <w:tc>
          <w:tcPr>
            <w:tcW w:w="1116" w:type="dxa"/>
            <w:vAlign w:val="center"/>
          </w:tcPr>
          <w:p w14:paraId="7A58767A">
            <w:pPr>
              <w:pStyle w:val="7"/>
              <w:overflowPunct w:val="0"/>
              <w:spacing w:line="360" w:lineRule="auto"/>
              <w:ind w:firstLine="422"/>
              <w:rPr>
                <w:rFonts w:ascii="宋体" w:hAnsi="宋体" w:eastAsia="宋体" w:cs="宋体"/>
                <w:color w:val="auto"/>
                <w:kern w:val="2"/>
                <w:sz w:val="21"/>
                <w:szCs w:val="21"/>
                <w:highlight w:val="none"/>
              </w:rPr>
            </w:pPr>
          </w:p>
        </w:tc>
      </w:tr>
      <w:tr w14:paraId="68BEB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60300E25">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资产总计</w:t>
            </w:r>
          </w:p>
        </w:tc>
        <w:tc>
          <w:tcPr>
            <w:tcW w:w="1737" w:type="dxa"/>
            <w:vAlign w:val="center"/>
          </w:tcPr>
          <w:p w14:paraId="10D7EBC8">
            <w:pPr>
              <w:pStyle w:val="7"/>
              <w:overflowPunct w:val="0"/>
              <w:spacing w:line="360" w:lineRule="auto"/>
              <w:ind w:firstLine="422"/>
              <w:jc w:val="center"/>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      万元</w:t>
            </w:r>
          </w:p>
        </w:tc>
        <w:tc>
          <w:tcPr>
            <w:tcW w:w="1319" w:type="dxa"/>
            <w:vAlign w:val="center"/>
          </w:tcPr>
          <w:p w14:paraId="5DFE7DF7">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净资产</w:t>
            </w:r>
          </w:p>
        </w:tc>
        <w:tc>
          <w:tcPr>
            <w:tcW w:w="2967" w:type="dxa"/>
            <w:gridSpan w:val="2"/>
            <w:vAlign w:val="center"/>
          </w:tcPr>
          <w:p w14:paraId="0D58D3B4">
            <w:pPr>
              <w:pStyle w:val="7"/>
              <w:overflowPunct w:val="0"/>
              <w:spacing w:line="360" w:lineRule="auto"/>
              <w:ind w:firstLine="422"/>
              <w:jc w:val="center"/>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万元</w:t>
            </w:r>
          </w:p>
        </w:tc>
      </w:tr>
      <w:tr w14:paraId="1C21B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67" w:hRule="atLeast"/>
          <w:jc w:val="center"/>
        </w:trPr>
        <w:tc>
          <w:tcPr>
            <w:tcW w:w="2336" w:type="dxa"/>
            <w:vAlign w:val="center"/>
          </w:tcPr>
          <w:p w14:paraId="71DE5A06">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股东权益</w:t>
            </w:r>
          </w:p>
        </w:tc>
        <w:tc>
          <w:tcPr>
            <w:tcW w:w="1737" w:type="dxa"/>
            <w:vAlign w:val="center"/>
          </w:tcPr>
          <w:p w14:paraId="4F4D7411">
            <w:pPr>
              <w:pStyle w:val="7"/>
              <w:overflowPunct w:val="0"/>
              <w:spacing w:line="360" w:lineRule="auto"/>
              <w:ind w:firstLine="422"/>
              <w:jc w:val="center"/>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     万元</w:t>
            </w:r>
          </w:p>
        </w:tc>
        <w:tc>
          <w:tcPr>
            <w:tcW w:w="1319" w:type="dxa"/>
            <w:vAlign w:val="center"/>
          </w:tcPr>
          <w:p w14:paraId="6F6E0801">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销售收入</w:t>
            </w:r>
          </w:p>
        </w:tc>
        <w:tc>
          <w:tcPr>
            <w:tcW w:w="2967" w:type="dxa"/>
            <w:gridSpan w:val="2"/>
            <w:vAlign w:val="center"/>
          </w:tcPr>
          <w:p w14:paraId="31125019">
            <w:pPr>
              <w:pStyle w:val="7"/>
              <w:overflowPunct w:val="0"/>
              <w:spacing w:line="360" w:lineRule="auto"/>
              <w:ind w:firstLine="422"/>
              <w:jc w:val="center"/>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202</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年          万元</w:t>
            </w:r>
          </w:p>
        </w:tc>
      </w:tr>
      <w:tr w14:paraId="663A0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2E1FE901">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实现利润</w:t>
            </w:r>
          </w:p>
        </w:tc>
        <w:tc>
          <w:tcPr>
            <w:tcW w:w="1737" w:type="dxa"/>
            <w:vAlign w:val="center"/>
          </w:tcPr>
          <w:p w14:paraId="1B0E3D1E">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202</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年  万元</w:t>
            </w:r>
          </w:p>
        </w:tc>
        <w:tc>
          <w:tcPr>
            <w:tcW w:w="1319" w:type="dxa"/>
            <w:vAlign w:val="center"/>
          </w:tcPr>
          <w:p w14:paraId="2F59409F">
            <w:pPr>
              <w:pStyle w:val="7"/>
              <w:overflowPunct w:val="0"/>
              <w:spacing w:line="360" w:lineRule="auto"/>
              <w:ind w:firstLine="422"/>
              <w:rPr>
                <w:rFonts w:ascii="宋体" w:hAnsi="宋体" w:eastAsia="宋体" w:cs="宋体"/>
                <w:color w:val="auto"/>
                <w:kern w:val="2"/>
                <w:sz w:val="21"/>
                <w:szCs w:val="21"/>
                <w:highlight w:val="none"/>
              </w:rPr>
            </w:pPr>
          </w:p>
        </w:tc>
        <w:tc>
          <w:tcPr>
            <w:tcW w:w="2967" w:type="dxa"/>
            <w:gridSpan w:val="2"/>
            <w:vAlign w:val="center"/>
          </w:tcPr>
          <w:p w14:paraId="25B9049A">
            <w:pPr>
              <w:pStyle w:val="7"/>
              <w:overflowPunct w:val="0"/>
              <w:spacing w:line="360" w:lineRule="auto"/>
              <w:ind w:firstLine="422"/>
              <w:rPr>
                <w:rFonts w:ascii="宋体" w:hAnsi="宋体" w:eastAsia="宋体" w:cs="宋体"/>
                <w:color w:val="auto"/>
                <w:kern w:val="2"/>
                <w:sz w:val="21"/>
                <w:szCs w:val="21"/>
                <w:highlight w:val="none"/>
              </w:rPr>
            </w:pPr>
          </w:p>
        </w:tc>
      </w:tr>
      <w:tr w14:paraId="6D706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43486C62">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营业面积（含厂房面积）</w:t>
            </w:r>
          </w:p>
        </w:tc>
        <w:tc>
          <w:tcPr>
            <w:tcW w:w="1737" w:type="dxa"/>
            <w:vAlign w:val="center"/>
          </w:tcPr>
          <w:p w14:paraId="086EF00B">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      平方米</w:t>
            </w:r>
          </w:p>
        </w:tc>
        <w:tc>
          <w:tcPr>
            <w:tcW w:w="1319" w:type="dxa"/>
            <w:vAlign w:val="center"/>
          </w:tcPr>
          <w:p w14:paraId="13520A4E">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其中：</w:t>
            </w:r>
          </w:p>
        </w:tc>
        <w:tc>
          <w:tcPr>
            <w:tcW w:w="2967" w:type="dxa"/>
            <w:gridSpan w:val="2"/>
            <w:vAlign w:val="center"/>
          </w:tcPr>
          <w:p w14:paraId="492B5696">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自有面积         平方米</w:t>
            </w:r>
          </w:p>
          <w:p w14:paraId="5E811CB2">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承租面积         平方米</w:t>
            </w:r>
          </w:p>
        </w:tc>
      </w:tr>
      <w:tr w14:paraId="69115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0163CB0D">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单位简历及内设机构情况</w:t>
            </w:r>
          </w:p>
        </w:tc>
        <w:tc>
          <w:tcPr>
            <w:tcW w:w="6023" w:type="dxa"/>
            <w:gridSpan w:val="4"/>
            <w:vAlign w:val="center"/>
          </w:tcPr>
          <w:p w14:paraId="1322CD7E">
            <w:pPr>
              <w:pStyle w:val="7"/>
              <w:overflowPunct w:val="0"/>
              <w:spacing w:line="360" w:lineRule="auto"/>
              <w:ind w:firstLine="422"/>
              <w:rPr>
                <w:rFonts w:ascii="宋体" w:hAnsi="宋体" w:eastAsia="宋体" w:cs="宋体"/>
                <w:color w:val="auto"/>
                <w:kern w:val="2"/>
                <w:sz w:val="21"/>
                <w:szCs w:val="21"/>
                <w:highlight w:val="none"/>
              </w:rPr>
            </w:pPr>
          </w:p>
        </w:tc>
      </w:tr>
      <w:tr w14:paraId="059A7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3BBE6FA3">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单位优势及特长</w:t>
            </w:r>
          </w:p>
        </w:tc>
        <w:tc>
          <w:tcPr>
            <w:tcW w:w="6023" w:type="dxa"/>
            <w:gridSpan w:val="4"/>
            <w:vAlign w:val="center"/>
          </w:tcPr>
          <w:p w14:paraId="262A5DAE">
            <w:pPr>
              <w:pStyle w:val="7"/>
              <w:overflowPunct w:val="0"/>
              <w:spacing w:line="360" w:lineRule="auto"/>
              <w:ind w:firstLine="422"/>
              <w:rPr>
                <w:rFonts w:ascii="宋体" w:hAnsi="宋体" w:eastAsia="宋体" w:cs="宋体"/>
                <w:color w:val="auto"/>
                <w:kern w:val="2"/>
                <w:sz w:val="21"/>
                <w:szCs w:val="21"/>
                <w:highlight w:val="none"/>
              </w:rPr>
            </w:pPr>
          </w:p>
        </w:tc>
      </w:tr>
      <w:tr w14:paraId="3F4F7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5F6BFD38">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近三年来完成或正在履行的重大合同情况</w:t>
            </w:r>
          </w:p>
        </w:tc>
        <w:tc>
          <w:tcPr>
            <w:tcW w:w="6023" w:type="dxa"/>
            <w:gridSpan w:val="4"/>
            <w:vAlign w:val="center"/>
          </w:tcPr>
          <w:p w14:paraId="7B79DB5B">
            <w:pPr>
              <w:pStyle w:val="7"/>
              <w:overflowPunct w:val="0"/>
              <w:spacing w:line="360" w:lineRule="auto"/>
              <w:ind w:firstLine="422"/>
              <w:rPr>
                <w:rFonts w:ascii="宋体" w:hAnsi="宋体" w:eastAsia="宋体" w:cs="宋体"/>
                <w:color w:val="auto"/>
                <w:kern w:val="2"/>
                <w:sz w:val="21"/>
                <w:szCs w:val="21"/>
                <w:highlight w:val="none"/>
              </w:rPr>
            </w:pPr>
          </w:p>
        </w:tc>
      </w:tr>
      <w:tr w14:paraId="5891F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481D4DF1">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最近2年内在经营过程中受到何种奖励或处分</w:t>
            </w:r>
          </w:p>
        </w:tc>
        <w:tc>
          <w:tcPr>
            <w:tcW w:w="6023" w:type="dxa"/>
            <w:gridSpan w:val="4"/>
            <w:vAlign w:val="center"/>
          </w:tcPr>
          <w:p w14:paraId="7552F501">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（包括财政、工商、税务、物价、技监部门稽查情况和结果）</w:t>
            </w:r>
          </w:p>
        </w:tc>
      </w:tr>
      <w:tr w14:paraId="57D2D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1C3F3313">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最近3年内有无因售假、售劣或是其他原因被消费者投诉或起诉的情况及说明</w:t>
            </w:r>
          </w:p>
        </w:tc>
        <w:tc>
          <w:tcPr>
            <w:tcW w:w="6023" w:type="dxa"/>
            <w:gridSpan w:val="4"/>
            <w:vAlign w:val="center"/>
          </w:tcPr>
          <w:p w14:paraId="7509B53E">
            <w:pPr>
              <w:pStyle w:val="7"/>
              <w:overflowPunct w:val="0"/>
              <w:spacing w:line="360" w:lineRule="auto"/>
              <w:ind w:firstLine="422"/>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（包括解决方式和结果）</w:t>
            </w:r>
          </w:p>
        </w:tc>
      </w:tr>
      <w:tr w14:paraId="55A1A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444B9403">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参加政府采购活动前三年内，在经营活动中有无重大违法记录情况及说明</w:t>
            </w:r>
          </w:p>
        </w:tc>
        <w:tc>
          <w:tcPr>
            <w:tcW w:w="6023" w:type="dxa"/>
            <w:gridSpan w:val="4"/>
            <w:vAlign w:val="center"/>
          </w:tcPr>
          <w:p w14:paraId="2C9E9A64">
            <w:pPr>
              <w:pStyle w:val="7"/>
              <w:overflowPunct w:val="0"/>
              <w:spacing w:line="360" w:lineRule="auto"/>
              <w:ind w:firstLine="422"/>
              <w:rPr>
                <w:rFonts w:ascii="宋体" w:hAnsi="宋体" w:eastAsia="宋体" w:cs="宋体"/>
                <w:color w:val="auto"/>
                <w:kern w:val="2"/>
                <w:sz w:val="21"/>
                <w:szCs w:val="21"/>
                <w:highlight w:val="none"/>
              </w:rPr>
            </w:pPr>
          </w:p>
        </w:tc>
      </w:tr>
      <w:tr w14:paraId="463DA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336" w:type="dxa"/>
            <w:vAlign w:val="center"/>
          </w:tcPr>
          <w:p w14:paraId="4EB04FED">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获得技术认证的工程师及简介</w:t>
            </w:r>
          </w:p>
        </w:tc>
        <w:tc>
          <w:tcPr>
            <w:tcW w:w="6023" w:type="dxa"/>
            <w:gridSpan w:val="4"/>
            <w:vAlign w:val="center"/>
          </w:tcPr>
          <w:p w14:paraId="57F96ED8">
            <w:pPr>
              <w:pStyle w:val="7"/>
              <w:overflowPunct w:val="0"/>
              <w:spacing w:line="360" w:lineRule="auto"/>
              <w:ind w:firstLine="422"/>
              <w:rPr>
                <w:rFonts w:ascii="宋体" w:hAnsi="宋体" w:eastAsia="宋体" w:cs="宋体"/>
                <w:color w:val="auto"/>
                <w:kern w:val="2"/>
                <w:sz w:val="21"/>
                <w:szCs w:val="21"/>
                <w:highlight w:val="none"/>
              </w:rPr>
            </w:pPr>
          </w:p>
        </w:tc>
      </w:tr>
      <w:tr w14:paraId="34D18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0" w:hRule="atLeast"/>
          <w:jc w:val="center"/>
        </w:trPr>
        <w:tc>
          <w:tcPr>
            <w:tcW w:w="2336" w:type="dxa"/>
            <w:vAlign w:val="center"/>
          </w:tcPr>
          <w:p w14:paraId="3E0E6F97">
            <w:pPr>
              <w:pStyle w:val="7"/>
              <w:overflowPunct w:val="0"/>
              <w:spacing w:line="360" w:lineRule="auto"/>
              <w:ind w:firstLine="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其他需要说明的情况</w:t>
            </w:r>
          </w:p>
        </w:tc>
        <w:tc>
          <w:tcPr>
            <w:tcW w:w="6023" w:type="dxa"/>
            <w:gridSpan w:val="4"/>
            <w:vAlign w:val="center"/>
          </w:tcPr>
          <w:p w14:paraId="1BB39398">
            <w:pPr>
              <w:pStyle w:val="7"/>
              <w:overflowPunct w:val="0"/>
              <w:spacing w:line="360" w:lineRule="auto"/>
              <w:ind w:firstLine="422"/>
              <w:rPr>
                <w:rFonts w:ascii="宋体" w:hAnsi="宋体" w:eastAsia="宋体" w:cs="宋体"/>
                <w:color w:val="auto"/>
                <w:kern w:val="2"/>
                <w:sz w:val="21"/>
                <w:szCs w:val="21"/>
                <w:highlight w:val="none"/>
              </w:rPr>
            </w:pPr>
          </w:p>
        </w:tc>
      </w:tr>
    </w:tbl>
    <w:p w14:paraId="4C7083B3">
      <w:pPr>
        <w:widowControl/>
        <w:spacing w:line="360" w:lineRule="auto"/>
        <w:ind w:firstLine="422"/>
        <w:jc w:val="center"/>
        <w:rPr>
          <w:rFonts w:ascii="宋体" w:hAnsi="宋体" w:cs="宋体"/>
          <w:color w:val="auto"/>
          <w:kern w:val="0"/>
          <w:szCs w:val="21"/>
          <w:highlight w:val="none"/>
        </w:rPr>
        <w:sectPr>
          <w:pgSz w:w="11906" w:h="16838"/>
          <w:pgMar w:top="1440" w:right="1417" w:bottom="1440" w:left="1417" w:header="964" w:footer="1077" w:gutter="0"/>
          <w:cols w:space="720" w:num="1"/>
          <w:docGrid w:type="lines" w:linePitch="312" w:charSpace="0"/>
        </w:sectPr>
      </w:pPr>
    </w:p>
    <w:p w14:paraId="4179CD7E">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附件12、投标（响应）保证承诺书</w:t>
      </w:r>
    </w:p>
    <w:p w14:paraId="48DB65B9">
      <w:pPr>
        <w:widowControl/>
        <w:spacing w:line="360" w:lineRule="auto"/>
        <w:ind w:firstLine="422"/>
        <w:jc w:val="center"/>
        <w:rPr>
          <w:rFonts w:ascii="宋体" w:hAnsi="宋体" w:cs="宋体"/>
          <w:color w:val="auto"/>
          <w:kern w:val="0"/>
          <w:szCs w:val="21"/>
          <w:highlight w:val="none"/>
        </w:rPr>
      </w:pPr>
    </w:p>
    <w:p w14:paraId="61737CD9">
      <w:pPr>
        <w:widowControl/>
        <w:spacing w:line="360" w:lineRule="auto"/>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投标（响应）保证承诺书</w:t>
      </w:r>
    </w:p>
    <w:p w14:paraId="5A9E2616">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致：</w:t>
      </w:r>
      <w:r>
        <w:rPr>
          <w:rFonts w:hint="eastAsia" w:ascii="宋体" w:hAnsi="宋体" w:cs="宋体"/>
          <w:color w:val="auto"/>
          <w:kern w:val="0"/>
          <w:szCs w:val="21"/>
          <w:highlight w:val="none"/>
          <w:u w:val="single"/>
        </w:rPr>
        <w:t>         （采购代理机构名称）</w:t>
      </w:r>
    </w:p>
    <w:p w14:paraId="0552FD13">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我（单位/本人，以下统称我单位）自愿参加</w:t>
      </w:r>
      <w:r>
        <w:rPr>
          <w:rFonts w:hint="eastAsia" w:ascii="宋体" w:hAnsi="宋体" w:cs="宋体"/>
          <w:color w:val="auto"/>
          <w:kern w:val="0"/>
          <w:szCs w:val="21"/>
          <w:highlight w:val="none"/>
          <w:u w:val="single"/>
        </w:rPr>
        <w:t xml:space="preserve">              （项目名称和采购编号）</w:t>
      </w:r>
      <w:r>
        <w:rPr>
          <w:rFonts w:hint="eastAsia" w:ascii="宋体" w:hAnsi="宋体" w:cs="宋体"/>
          <w:color w:val="auto"/>
          <w:kern w:val="0"/>
          <w:szCs w:val="21"/>
          <w:highlight w:val="none"/>
        </w:rPr>
        <w:t>的投标（响应）,并做出如下承诺：</w:t>
      </w:r>
    </w:p>
    <w:p w14:paraId="2C23B6FA">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一、  除不可抗力外，我单位如果发生以下行为，将在行为发生的10个工作日内，向贵方</w:t>
      </w:r>
      <w:r>
        <w:rPr>
          <w:rFonts w:hint="eastAsia" w:ascii="宋体" w:hAnsi="宋体" w:cs="宋体"/>
          <w:color w:val="auto"/>
          <w:kern w:val="0"/>
          <w:szCs w:val="21"/>
          <w:highlight w:val="none"/>
          <w:u w:val="single"/>
        </w:rPr>
        <w:t>（或采购单位）</w:t>
      </w:r>
      <w:r>
        <w:rPr>
          <w:rFonts w:hint="eastAsia" w:ascii="宋体" w:hAnsi="宋体" w:cs="宋体"/>
          <w:color w:val="auto"/>
          <w:kern w:val="0"/>
          <w:szCs w:val="21"/>
          <w:highlight w:val="none"/>
        </w:rPr>
        <w:t>支付本招标文件公布的预算金额（或最高限价）的2%作为违约赔偿金（数量不确定的单价采购须约定具体金额）。</w:t>
      </w:r>
    </w:p>
    <w:p w14:paraId="6D89EEE7">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1.自投标（响应）截止时间至本项目发布中标（成交）公告为止，撤销投标（响应）；</w:t>
      </w:r>
    </w:p>
    <w:p w14:paraId="7ACEC893">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2.中标（成交）后不依法与采购单位签订合同；</w:t>
      </w:r>
    </w:p>
    <w:p w14:paraId="750CCA2F">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3.中标（成交）后不按本招标文件规定向采购单位提交履约保证金（如有）；</w:t>
      </w:r>
    </w:p>
    <w:p w14:paraId="376512FC">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4.中标（成交）后不按本招标文件规定向贵方缴纳采购代理费。</w:t>
      </w:r>
    </w:p>
    <w:p w14:paraId="038337E7">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二、  我单位知晓上述行为的法律后果，承认本承诺书作为贵方</w:t>
      </w:r>
      <w:r>
        <w:rPr>
          <w:rFonts w:hint="eastAsia" w:ascii="宋体" w:hAnsi="宋体" w:cs="宋体"/>
          <w:color w:val="auto"/>
          <w:kern w:val="0"/>
          <w:szCs w:val="21"/>
          <w:highlight w:val="none"/>
          <w:u w:val="single"/>
        </w:rPr>
        <w:t>（或采购单位）</w:t>
      </w:r>
      <w:r>
        <w:rPr>
          <w:rFonts w:hint="eastAsia" w:ascii="宋体" w:hAnsi="宋体" w:cs="宋体"/>
          <w:color w:val="auto"/>
          <w:kern w:val="0"/>
          <w:szCs w:val="21"/>
          <w:highlight w:val="none"/>
        </w:rPr>
        <w:t>要求我单位履行违约赔偿义务的依据作用。</w:t>
      </w:r>
    </w:p>
    <w:p w14:paraId="19155855">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 </w:t>
      </w:r>
    </w:p>
    <w:p w14:paraId="3DFB13E0">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投标（响应）人（</w:t>
      </w:r>
      <w:r>
        <w:rPr>
          <w:rFonts w:hint="eastAsia" w:ascii="宋体" w:hAnsi="宋体" w:cs="宋体"/>
          <w:color w:val="auto"/>
          <w:szCs w:val="20"/>
          <w:highlight w:val="none"/>
        </w:rPr>
        <w:t>签章</w:t>
      </w:r>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rPr>
        <w:t>                      </w:t>
      </w:r>
    </w:p>
    <w:p w14:paraId="7C175DC5">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r>
        <w:rPr>
          <w:rFonts w:hint="eastAsia" w:ascii="宋体" w:hAnsi="宋体" w:cs="宋体"/>
          <w:color w:val="auto"/>
          <w:kern w:val="0"/>
          <w:szCs w:val="21"/>
          <w:highlight w:val="none"/>
          <w:u w:val="single"/>
        </w:rPr>
        <w:t xml:space="preserve">                  </w:t>
      </w:r>
    </w:p>
    <w:p w14:paraId="650465AD">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168B40FA">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r>
        <w:rPr>
          <w:rFonts w:hint="eastAsia" w:ascii="宋体" w:hAnsi="宋体" w:cs="宋体"/>
          <w:color w:val="auto"/>
          <w:kern w:val="0"/>
          <w:szCs w:val="21"/>
          <w:highlight w:val="none"/>
          <w:u w:val="single"/>
        </w:rPr>
        <w:t xml:space="preserve">                      </w:t>
      </w:r>
    </w:p>
    <w:p w14:paraId="1F577203">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电子邮件：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w:t>
      </w:r>
    </w:p>
    <w:p w14:paraId="38F71854">
      <w:pPr>
        <w:widowControl/>
        <w:spacing w:line="360" w:lineRule="auto"/>
        <w:ind w:firstLine="422"/>
        <w:jc w:val="left"/>
        <w:rPr>
          <w:rFonts w:ascii="宋体" w:hAnsi="宋体" w:cs="宋体"/>
          <w:color w:val="auto"/>
          <w:kern w:val="0"/>
          <w:szCs w:val="21"/>
          <w:highlight w:val="none"/>
        </w:rPr>
      </w:pPr>
      <w:r>
        <w:rPr>
          <w:rFonts w:hint="eastAsia" w:ascii="宋体" w:hAnsi="宋体" w:cs="宋体"/>
          <w:color w:val="auto"/>
          <w:kern w:val="0"/>
          <w:szCs w:val="21"/>
          <w:highlight w:val="none"/>
        </w:rPr>
        <w:t>邮编：</w:t>
      </w:r>
      <w:r>
        <w:rPr>
          <w:rFonts w:hint="eastAsia" w:ascii="宋体" w:hAnsi="宋体" w:cs="宋体"/>
          <w:color w:val="auto"/>
          <w:kern w:val="0"/>
          <w:szCs w:val="21"/>
          <w:highlight w:val="none"/>
          <w:u w:val="single"/>
        </w:rPr>
        <w:t xml:space="preserve">                      </w:t>
      </w:r>
    </w:p>
    <w:p w14:paraId="3D39EB0F">
      <w:pPr>
        <w:widowControl/>
        <w:spacing w:line="360" w:lineRule="auto"/>
        <w:ind w:firstLine="422"/>
        <w:jc w:val="left"/>
        <w:rPr>
          <w:rFonts w:ascii="宋体" w:hAnsi="宋体" w:cs="宋体"/>
          <w:color w:val="auto"/>
          <w:kern w:val="0"/>
          <w:szCs w:val="21"/>
          <w:highlight w:val="none"/>
          <w:u w:val="singl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kern w:val="0"/>
          <w:szCs w:val="21"/>
          <w:highlight w:val="none"/>
        </w:rPr>
        <w:t>日期：</w:t>
      </w:r>
      <w:r>
        <w:rPr>
          <w:rFonts w:hint="eastAsia" w:ascii="宋体" w:hAnsi="宋体" w:cs="宋体"/>
          <w:color w:val="auto"/>
          <w:kern w:val="0"/>
          <w:szCs w:val="21"/>
          <w:highlight w:val="none"/>
          <w:u w:val="single"/>
        </w:rPr>
        <w:t>                            </w:t>
      </w:r>
    </w:p>
    <w:p w14:paraId="0AF6697A">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附件13、</w:t>
      </w:r>
      <w:r>
        <w:rPr>
          <w:rFonts w:hint="eastAsia" w:ascii="宋体" w:hAnsi="宋体" w:cs="宋体"/>
          <w:b/>
          <w:bCs/>
          <w:color w:val="auto"/>
          <w:szCs w:val="21"/>
          <w:highlight w:val="none"/>
          <w:lang w:val="zh-CN"/>
        </w:rPr>
        <w:t>合格投标人资格证明材料</w:t>
      </w:r>
    </w:p>
    <w:p w14:paraId="4BDBC945">
      <w:pPr>
        <w:autoSpaceDE w:val="0"/>
        <w:autoSpaceDN w:val="0"/>
        <w:adjustRightInd w:val="0"/>
        <w:snapToGrid w:val="0"/>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lang w:val="zh-CN"/>
        </w:rPr>
        <w:t>合格投标人资格证明材料</w:t>
      </w:r>
    </w:p>
    <w:p w14:paraId="330971C8">
      <w:pPr>
        <w:autoSpaceDE w:val="0"/>
        <w:autoSpaceDN w:val="0"/>
        <w:adjustRightInd w:val="0"/>
        <w:snapToGrid w:val="0"/>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招标编号：             号</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425"/>
        <w:gridCol w:w="1600"/>
        <w:gridCol w:w="3543"/>
      </w:tblGrid>
      <w:tr w14:paraId="0439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720" w:type="dxa"/>
            <w:vAlign w:val="center"/>
          </w:tcPr>
          <w:p w14:paraId="6D9D509D">
            <w:pPr>
              <w:autoSpaceDE w:val="0"/>
              <w:autoSpaceDN w:val="0"/>
              <w:adjustRightInd w:val="0"/>
              <w:snapToGrid w:val="0"/>
              <w:spacing w:line="360" w:lineRule="auto"/>
              <w:rPr>
                <w:rFonts w:ascii="宋体" w:hAnsi="宋体" w:cs="宋体"/>
                <w:color w:val="auto"/>
                <w:szCs w:val="21"/>
                <w:highlight w:val="none"/>
                <w:lang w:val="zh-CN"/>
              </w:rPr>
            </w:pPr>
            <w:r>
              <w:rPr>
                <w:rFonts w:hint="eastAsia" w:ascii="宋体" w:hAnsi="宋体" w:cs="宋体"/>
                <w:color w:val="auto"/>
                <w:szCs w:val="21"/>
                <w:highlight w:val="none"/>
                <w:lang w:val="zh-CN"/>
              </w:rPr>
              <w:t>序号</w:t>
            </w:r>
          </w:p>
        </w:tc>
        <w:tc>
          <w:tcPr>
            <w:tcW w:w="3425" w:type="dxa"/>
            <w:vAlign w:val="center"/>
          </w:tcPr>
          <w:p w14:paraId="329DA9D4">
            <w:pPr>
              <w:autoSpaceDE w:val="0"/>
              <w:autoSpaceDN w:val="0"/>
              <w:adjustRightInd w:val="0"/>
              <w:snapToGrid w:val="0"/>
              <w:spacing w:line="360" w:lineRule="auto"/>
              <w:ind w:firstLine="422"/>
              <w:jc w:val="center"/>
              <w:rPr>
                <w:rFonts w:ascii="宋体" w:hAnsi="宋体" w:cs="宋体"/>
                <w:color w:val="auto"/>
                <w:szCs w:val="21"/>
                <w:highlight w:val="none"/>
                <w:lang w:val="zh-CN"/>
              </w:rPr>
            </w:pPr>
            <w:r>
              <w:rPr>
                <w:rFonts w:hint="eastAsia" w:ascii="宋体" w:hAnsi="宋体" w:cs="宋体"/>
                <w:color w:val="auto"/>
                <w:szCs w:val="21"/>
                <w:highlight w:val="none"/>
                <w:lang w:val="zh-CN"/>
              </w:rPr>
              <w:t>投标单位资格要求</w:t>
            </w:r>
          </w:p>
        </w:tc>
        <w:tc>
          <w:tcPr>
            <w:tcW w:w="1600" w:type="dxa"/>
            <w:vAlign w:val="center"/>
          </w:tcPr>
          <w:p w14:paraId="746D034A">
            <w:pPr>
              <w:autoSpaceDE w:val="0"/>
              <w:autoSpaceDN w:val="0"/>
              <w:adjustRightInd w:val="0"/>
              <w:snapToGrid w:val="0"/>
              <w:spacing w:line="360" w:lineRule="auto"/>
              <w:rPr>
                <w:rFonts w:ascii="宋体" w:hAnsi="宋体" w:cs="宋体"/>
                <w:color w:val="auto"/>
                <w:szCs w:val="21"/>
                <w:highlight w:val="none"/>
                <w:lang w:val="zh-CN"/>
              </w:rPr>
            </w:pPr>
            <w:r>
              <w:rPr>
                <w:rFonts w:hint="eastAsia" w:ascii="宋体" w:hAnsi="宋体" w:cs="宋体"/>
                <w:color w:val="auto"/>
                <w:szCs w:val="21"/>
                <w:highlight w:val="none"/>
                <w:lang w:val="zh-CN"/>
              </w:rPr>
              <w:t>是否完全响应</w:t>
            </w:r>
          </w:p>
        </w:tc>
        <w:tc>
          <w:tcPr>
            <w:tcW w:w="3543" w:type="dxa"/>
            <w:vAlign w:val="center"/>
          </w:tcPr>
          <w:p w14:paraId="3DDA114E">
            <w:pPr>
              <w:autoSpaceDE w:val="0"/>
              <w:autoSpaceDN w:val="0"/>
              <w:adjustRightInd w:val="0"/>
              <w:snapToGrid w:val="0"/>
              <w:spacing w:line="360" w:lineRule="auto"/>
              <w:ind w:firstLine="422"/>
              <w:jc w:val="center"/>
              <w:rPr>
                <w:rFonts w:ascii="宋体" w:hAnsi="宋体" w:cs="宋体"/>
                <w:color w:val="auto"/>
                <w:szCs w:val="21"/>
                <w:highlight w:val="none"/>
                <w:lang w:val="zh-CN"/>
              </w:rPr>
            </w:pPr>
            <w:r>
              <w:rPr>
                <w:rFonts w:hint="eastAsia" w:ascii="宋体" w:hAnsi="宋体" w:cs="宋体"/>
                <w:color w:val="auto"/>
                <w:szCs w:val="21"/>
                <w:highlight w:val="none"/>
                <w:lang w:val="zh-CN"/>
              </w:rPr>
              <w:t>备注</w:t>
            </w:r>
          </w:p>
        </w:tc>
      </w:tr>
      <w:tr w14:paraId="7AA2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75B07B55">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1</w:t>
            </w:r>
          </w:p>
        </w:tc>
        <w:tc>
          <w:tcPr>
            <w:tcW w:w="3425" w:type="dxa"/>
            <w:vAlign w:val="center"/>
          </w:tcPr>
          <w:p w14:paraId="5ADE21A6">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具有独立承担民事责任的能力</w:t>
            </w:r>
          </w:p>
        </w:tc>
        <w:tc>
          <w:tcPr>
            <w:tcW w:w="1600" w:type="dxa"/>
            <w:vAlign w:val="center"/>
          </w:tcPr>
          <w:p w14:paraId="7ABCE089">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78C4087C">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提供包括法人或者其他组织的营业执照等证明文件，自然人的身份证明</w:t>
            </w:r>
          </w:p>
        </w:tc>
      </w:tr>
      <w:tr w14:paraId="6F7D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2F9F22BD">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2</w:t>
            </w:r>
          </w:p>
        </w:tc>
        <w:tc>
          <w:tcPr>
            <w:tcW w:w="3425" w:type="dxa"/>
            <w:vAlign w:val="center"/>
          </w:tcPr>
          <w:p w14:paraId="607BC0A0">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具有良好的商业信誉和健全的财务会计制度</w:t>
            </w:r>
          </w:p>
        </w:tc>
        <w:tc>
          <w:tcPr>
            <w:tcW w:w="1600" w:type="dxa"/>
            <w:vAlign w:val="center"/>
          </w:tcPr>
          <w:p w14:paraId="6E2DACF0">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60533FB4">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提供包括但不限于最近一期（2023年度</w:t>
            </w:r>
            <w:r>
              <w:rPr>
                <w:rFonts w:hint="eastAsia" w:ascii="宋体" w:hAnsi="宋体" w:cs="宋体"/>
                <w:color w:val="auto"/>
                <w:szCs w:val="21"/>
                <w:highlight w:val="none"/>
                <w:lang w:val="en-US" w:eastAsia="zh-CN"/>
              </w:rPr>
              <w:t>或2024年度</w:t>
            </w:r>
            <w:r>
              <w:rPr>
                <w:rFonts w:hint="eastAsia" w:ascii="宋体" w:hAnsi="宋体" w:cs="宋体"/>
                <w:color w:val="auto"/>
                <w:szCs w:val="21"/>
                <w:highlight w:val="none"/>
              </w:rPr>
              <w:t>）财务审计报告或最近一期财务报表，其他组织、自然人及成立未满一年的法人应提供银行出具的资信证明）</w:t>
            </w:r>
          </w:p>
        </w:tc>
      </w:tr>
      <w:tr w14:paraId="0634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7AC21D56">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3</w:t>
            </w:r>
          </w:p>
        </w:tc>
        <w:tc>
          <w:tcPr>
            <w:tcW w:w="3425" w:type="dxa"/>
            <w:vAlign w:val="center"/>
          </w:tcPr>
          <w:p w14:paraId="63AF5D30">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具有履行合同所必需的设备和专业技术能力</w:t>
            </w:r>
          </w:p>
        </w:tc>
        <w:tc>
          <w:tcPr>
            <w:tcW w:w="1600" w:type="dxa"/>
            <w:vAlign w:val="center"/>
          </w:tcPr>
          <w:p w14:paraId="1CCD9080">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5BDCED9B">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提供证明材料或承诺</w:t>
            </w:r>
          </w:p>
        </w:tc>
      </w:tr>
      <w:tr w14:paraId="25015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22F9427D">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4</w:t>
            </w:r>
          </w:p>
        </w:tc>
        <w:tc>
          <w:tcPr>
            <w:tcW w:w="3425" w:type="dxa"/>
            <w:vAlign w:val="center"/>
          </w:tcPr>
          <w:p w14:paraId="13D61296">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有依法缴纳税收和社会保障资金的良好记录</w:t>
            </w:r>
          </w:p>
        </w:tc>
        <w:tc>
          <w:tcPr>
            <w:tcW w:w="1600" w:type="dxa"/>
            <w:vAlign w:val="center"/>
          </w:tcPr>
          <w:p w14:paraId="2BA538CF">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60D38451">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供应商参加本次政府采购活动前半年（至少一个月）依法缴纳税收和社会保险的凭据；依法免税或不需要缴纳社会保障资金的供应商，应提供相应证明资料证明其依法免税或不需要缴纳社会保障资金，否则不予认可</w:t>
            </w:r>
          </w:p>
        </w:tc>
      </w:tr>
      <w:tr w14:paraId="0F53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66CC325D">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5</w:t>
            </w:r>
          </w:p>
        </w:tc>
        <w:tc>
          <w:tcPr>
            <w:tcW w:w="3425" w:type="dxa"/>
            <w:vAlign w:val="center"/>
          </w:tcPr>
          <w:p w14:paraId="3CDE75C8">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参加政府采购活动前三年内，在经营活动中没有重大违法记录</w:t>
            </w:r>
          </w:p>
        </w:tc>
        <w:tc>
          <w:tcPr>
            <w:tcW w:w="1600" w:type="dxa"/>
            <w:vAlign w:val="center"/>
          </w:tcPr>
          <w:p w14:paraId="3234710F">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18045518">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提供书面声明函</w:t>
            </w:r>
          </w:p>
        </w:tc>
      </w:tr>
      <w:tr w14:paraId="0784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75D14B0C">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6</w:t>
            </w:r>
          </w:p>
        </w:tc>
        <w:tc>
          <w:tcPr>
            <w:tcW w:w="3425" w:type="dxa"/>
            <w:vAlign w:val="center"/>
          </w:tcPr>
          <w:p w14:paraId="73C35F3D">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法律、行政法规规定的其他条件</w:t>
            </w:r>
          </w:p>
        </w:tc>
        <w:tc>
          <w:tcPr>
            <w:tcW w:w="1600" w:type="dxa"/>
            <w:vAlign w:val="center"/>
          </w:tcPr>
          <w:p w14:paraId="4A3FA8AC">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61EE9E6D">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提供书面声明函</w:t>
            </w:r>
          </w:p>
        </w:tc>
      </w:tr>
      <w:tr w14:paraId="4795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0" w:type="dxa"/>
            <w:vAlign w:val="center"/>
          </w:tcPr>
          <w:p w14:paraId="2AEE1D82">
            <w:pPr>
              <w:autoSpaceDE w:val="0"/>
              <w:autoSpaceDN w:val="0"/>
              <w:adjustRightInd w:val="0"/>
              <w:snapToGrid w:val="0"/>
              <w:spacing w:line="360" w:lineRule="auto"/>
              <w:ind w:firstLine="422"/>
              <w:jc w:val="center"/>
              <w:rPr>
                <w:rFonts w:ascii="宋体" w:hAnsi="宋体" w:cs="宋体"/>
                <w:color w:val="auto"/>
                <w:szCs w:val="21"/>
                <w:highlight w:val="none"/>
              </w:rPr>
            </w:pPr>
            <w:r>
              <w:rPr>
                <w:rFonts w:hint="eastAsia" w:ascii="宋体" w:hAnsi="宋体" w:cs="宋体"/>
                <w:color w:val="auto"/>
                <w:szCs w:val="21"/>
                <w:highlight w:val="none"/>
              </w:rPr>
              <w:t>7</w:t>
            </w:r>
          </w:p>
        </w:tc>
        <w:tc>
          <w:tcPr>
            <w:tcW w:w="3425" w:type="dxa"/>
            <w:vAlign w:val="center"/>
          </w:tcPr>
          <w:p w14:paraId="3719C11A">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合格投标单位其他特定资格要求（如有）</w:t>
            </w:r>
          </w:p>
        </w:tc>
        <w:tc>
          <w:tcPr>
            <w:tcW w:w="1600" w:type="dxa"/>
            <w:vAlign w:val="center"/>
          </w:tcPr>
          <w:p w14:paraId="2D4612BD">
            <w:pPr>
              <w:autoSpaceDE w:val="0"/>
              <w:autoSpaceDN w:val="0"/>
              <w:adjustRightInd w:val="0"/>
              <w:snapToGrid w:val="0"/>
              <w:spacing w:line="360" w:lineRule="auto"/>
              <w:ind w:firstLine="422"/>
              <w:jc w:val="center"/>
              <w:rPr>
                <w:rFonts w:ascii="宋体" w:hAnsi="宋体" w:cs="宋体"/>
                <w:color w:val="auto"/>
                <w:szCs w:val="21"/>
                <w:highlight w:val="none"/>
              </w:rPr>
            </w:pPr>
          </w:p>
        </w:tc>
        <w:tc>
          <w:tcPr>
            <w:tcW w:w="3543" w:type="dxa"/>
            <w:vAlign w:val="center"/>
          </w:tcPr>
          <w:p w14:paraId="0EDFA5F9">
            <w:p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按招标公告要求提供相关证明材料</w:t>
            </w:r>
          </w:p>
        </w:tc>
      </w:tr>
    </w:tbl>
    <w:p w14:paraId="429A8D73">
      <w:pPr>
        <w:pStyle w:val="28"/>
        <w:adjustRightInd w:val="0"/>
        <w:snapToGrid w:val="0"/>
        <w:spacing w:beforeAutospacing="0" w:afterAutospacing="0" w:line="360" w:lineRule="auto"/>
        <w:ind w:firstLine="630" w:firstLineChars="300"/>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投标单位：（签章）</w:t>
      </w:r>
    </w:p>
    <w:p w14:paraId="7C4D61F0">
      <w:pPr>
        <w:pStyle w:val="28"/>
        <w:adjustRightInd w:val="0"/>
        <w:snapToGrid w:val="0"/>
        <w:spacing w:beforeAutospacing="0" w:afterAutospacing="0" w:line="360" w:lineRule="auto"/>
        <w:ind w:firstLine="630" w:firstLineChars="300"/>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日期：</w:t>
      </w:r>
    </w:p>
    <w:p w14:paraId="20278399">
      <w:pPr>
        <w:pageBreakBefore/>
        <w:autoSpaceDE w:val="0"/>
        <w:autoSpaceDN w:val="0"/>
        <w:adjustRightIn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附件14、声明函</w:t>
      </w:r>
    </w:p>
    <w:p w14:paraId="45AC9CB6">
      <w:pPr>
        <w:autoSpaceDE w:val="0"/>
        <w:autoSpaceDN w:val="0"/>
        <w:ind w:firstLine="2741" w:firstLineChars="1300"/>
        <w:rPr>
          <w:rFonts w:ascii="宋体" w:hAnsi="宋体" w:cs="宋体"/>
          <w:b/>
          <w:color w:val="auto"/>
          <w:szCs w:val="21"/>
          <w:highlight w:val="none"/>
        </w:rPr>
      </w:pPr>
      <w:r>
        <w:rPr>
          <w:rFonts w:hint="eastAsia" w:ascii="宋体" w:hAnsi="宋体" w:cs="宋体"/>
          <w:b/>
          <w:color w:val="auto"/>
          <w:szCs w:val="21"/>
          <w:highlight w:val="none"/>
        </w:rPr>
        <w:t>（1）</w:t>
      </w:r>
      <w:bookmarkStart w:id="48" w:name="_Toc4028"/>
      <w:bookmarkStart w:id="49" w:name="_Toc1077"/>
      <w:r>
        <w:rPr>
          <w:rFonts w:hint="eastAsia" w:ascii="宋体" w:hAnsi="宋体" w:cs="宋体"/>
          <w:color w:val="auto"/>
          <w:szCs w:val="21"/>
          <w:highlight w:val="none"/>
        </w:rPr>
        <w:t>中小企业声明函（货物）</w:t>
      </w:r>
      <w:bookmarkEnd w:id="48"/>
      <w:bookmarkEnd w:id="49"/>
    </w:p>
    <w:p w14:paraId="79B5EED4">
      <w:pPr>
        <w:pStyle w:val="15"/>
        <w:spacing w:after="0" w:line="360" w:lineRule="auto"/>
        <w:ind w:firstLine="414"/>
        <w:rPr>
          <w:rFonts w:ascii="宋体" w:hAnsi="宋体" w:cs="宋体"/>
          <w:color w:val="auto"/>
          <w:sz w:val="21"/>
          <w:szCs w:val="21"/>
          <w:highlight w:val="none"/>
        </w:rPr>
      </w:pPr>
      <w:r>
        <w:rPr>
          <w:rFonts w:hint="eastAsia" w:ascii="宋体" w:hAnsi="宋体" w:cs="宋体"/>
          <w:color w:val="auto"/>
          <w:spacing w:val="-2"/>
          <w:sz w:val="21"/>
          <w:szCs w:val="21"/>
          <w:highlight w:val="none"/>
        </w:rPr>
        <w:t>本公司</w:t>
      </w:r>
      <w:r>
        <w:rPr>
          <w:rFonts w:hint="eastAsia" w:ascii="宋体" w:hAnsi="宋体" w:cs="宋体"/>
          <w:color w:val="auto"/>
          <w:sz w:val="21"/>
          <w:szCs w:val="21"/>
          <w:highlight w:val="none"/>
        </w:rPr>
        <w:t>（联合体</w:t>
      </w:r>
      <w:r>
        <w:rPr>
          <w:rFonts w:hint="eastAsia" w:ascii="宋体" w:hAnsi="宋体" w:cs="宋体"/>
          <w:color w:val="auto"/>
          <w:spacing w:val="-5"/>
          <w:sz w:val="21"/>
          <w:szCs w:val="21"/>
          <w:highlight w:val="none"/>
        </w:rPr>
        <w:t>）</w:t>
      </w:r>
      <w:r>
        <w:rPr>
          <w:rFonts w:hint="eastAsia" w:ascii="宋体" w:hAnsi="宋体" w:cs="宋体"/>
          <w:color w:val="auto"/>
          <w:spacing w:val="-2"/>
          <w:sz w:val="21"/>
          <w:szCs w:val="21"/>
          <w:highlight w:val="none"/>
        </w:rPr>
        <w:t>郑重声明，根据《政府采购促进中小</w:t>
      </w:r>
      <w:r>
        <w:rPr>
          <w:rFonts w:hint="eastAsia" w:ascii="宋体" w:hAnsi="宋体" w:cs="宋体"/>
          <w:color w:val="auto"/>
          <w:spacing w:val="-18"/>
          <w:sz w:val="21"/>
          <w:szCs w:val="21"/>
          <w:highlight w:val="none"/>
        </w:rPr>
        <w:t>企业发展管理办法》</w:t>
      </w:r>
      <w:r>
        <w:rPr>
          <w:rFonts w:hint="eastAsia" w:ascii="宋体" w:hAnsi="宋体" w:cs="宋体"/>
          <w:color w:val="auto"/>
          <w:sz w:val="21"/>
          <w:szCs w:val="21"/>
          <w:highlight w:val="none"/>
        </w:rPr>
        <w:t>（</w:t>
      </w:r>
      <w:r>
        <w:rPr>
          <w:rFonts w:hint="eastAsia" w:ascii="宋体" w:hAnsi="宋体" w:cs="宋体"/>
          <w:color w:val="auto"/>
          <w:spacing w:val="5"/>
          <w:sz w:val="21"/>
          <w:szCs w:val="21"/>
          <w:highlight w:val="none"/>
        </w:rPr>
        <w:t>财库</w:t>
      </w:r>
      <w:r>
        <w:rPr>
          <w:rFonts w:hint="eastAsia" w:ascii="宋体" w:hAnsi="宋体" w:cs="宋体"/>
          <w:color w:val="auto"/>
          <w:sz w:val="21"/>
          <w:szCs w:val="21"/>
          <w:highlight w:val="none"/>
        </w:rPr>
        <w:t>﹝2020﹞46</w:t>
      </w:r>
      <w:r>
        <w:rPr>
          <w:rFonts w:hint="eastAsia" w:ascii="宋体" w:hAnsi="宋体" w:cs="宋体"/>
          <w:color w:val="auto"/>
          <w:spacing w:val="-38"/>
          <w:sz w:val="21"/>
          <w:szCs w:val="21"/>
          <w:highlight w:val="none"/>
        </w:rPr>
        <w:t xml:space="preserve"> 号</w:t>
      </w:r>
      <w:r>
        <w:rPr>
          <w:rFonts w:hint="eastAsia" w:ascii="宋体" w:hAnsi="宋体" w:cs="宋体"/>
          <w:color w:val="auto"/>
          <w:spacing w:val="5"/>
          <w:sz w:val="21"/>
          <w:szCs w:val="21"/>
          <w:highlight w:val="none"/>
        </w:rPr>
        <w:t>）</w:t>
      </w:r>
      <w:r>
        <w:rPr>
          <w:rFonts w:hint="eastAsia" w:ascii="宋体" w:hAnsi="宋体" w:cs="宋体"/>
          <w:color w:val="auto"/>
          <w:sz w:val="21"/>
          <w:szCs w:val="21"/>
          <w:highlight w:val="none"/>
        </w:rPr>
        <w:t>的规定，本公司（联合体）</w:t>
      </w:r>
      <w:r>
        <w:rPr>
          <w:rFonts w:hint="eastAsia" w:ascii="宋体" w:hAnsi="宋体" w:cs="宋体"/>
          <w:color w:val="auto"/>
          <w:spacing w:val="-8"/>
          <w:sz w:val="21"/>
          <w:szCs w:val="21"/>
          <w:highlight w:val="none"/>
        </w:rPr>
        <w:t>参</w:t>
      </w:r>
      <w:r>
        <w:rPr>
          <w:rFonts w:hint="eastAsia" w:ascii="宋体" w:hAnsi="宋体" w:cs="宋体"/>
          <w:color w:val="auto"/>
          <w:spacing w:val="-2"/>
          <w:kern w:val="2"/>
          <w:sz w:val="21"/>
          <w:szCs w:val="21"/>
          <w:highlight w:val="none"/>
        </w:rPr>
        <w:t>加（单位名称）的（项目名称）采购活</w:t>
      </w:r>
      <w:r>
        <w:rPr>
          <w:rFonts w:hint="eastAsia" w:ascii="宋体" w:hAnsi="宋体" w:cs="宋体"/>
          <w:color w:val="auto"/>
          <w:spacing w:val="-1"/>
          <w:sz w:val="21"/>
          <w:szCs w:val="21"/>
          <w:highlight w:val="none"/>
        </w:rPr>
        <w:t>动，</w:t>
      </w:r>
      <w:r>
        <w:rPr>
          <w:rFonts w:hint="eastAsia" w:ascii="宋体" w:hAnsi="宋体" w:cs="宋体"/>
          <w:color w:val="auto"/>
          <w:spacing w:val="-2"/>
          <w:kern w:val="2"/>
          <w:sz w:val="21"/>
          <w:szCs w:val="21"/>
          <w:highlight w:val="none"/>
        </w:rPr>
        <w:t>提供的货物全部由符合政策要求的中小企业制造。相关企业（含联合体中的中小企业、签订分包</w:t>
      </w:r>
      <w:r>
        <w:rPr>
          <w:rFonts w:hint="eastAsia" w:ascii="宋体" w:hAnsi="宋体" w:cs="宋体"/>
          <w:color w:val="auto"/>
          <w:sz w:val="21"/>
          <w:szCs w:val="21"/>
          <w:highlight w:val="none"/>
        </w:rPr>
        <w:t>意向协议的中小企业） 的具体情况如下：</w:t>
      </w:r>
    </w:p>
    <w:p w14:paraId="7196D0F5">
      <w:pPr>
        <w:pStyle w:val="83"/>
        <w:tabs>
          <w:tab w:val="left" w:pos="1183"/>
          <w:tab w:val="left" w:pos="1484"/>
          <w:tab w:val="left" w:pos="4662"/>
          <w:tab w:val="left" w:pos="6903"/>
        </w:tabs>
        <w:spacing w:line="360" w:lineRule="auto"/>
        <w:ind w:firstLine="412"/>
        <w:jc w:val="left"/>
        <w:rPr>
          <w:rFonts w:ascii="宋体" w:hAnsi="宋体" w:cs="宋体"/>
          <w:color w:val="auto"/>
          <w:spacing w:val="-2"/>
          <w:szCs w:val="21"/>
          <w:highlight w:val="none"/>
        </w:rPr>
      </w:pPr>
      <w:r>
        <w:rPr>
          <w:rFonts w:hint="eastAsia" w:ascii="宋体" w:hAnsi="宋体" w:cs="宋体"/>
          <w:color w:val="auto"/>
          <w:spacing w:val="-2"/>
          <w:szCs w:val="21"/>
          <w:highlight w:val="none"/>
        </w:rPr>
        <w:t>1、</w:t>
      </w:r>
      <w:r>
        <w:rPr>
          <w:rFonts w:hint="eastAsia" w:ascii="宋体" w:hAnsi="宋体" w:cs="宋体"/>
          <w:color w:val="auto"/>
          <w:spacing w:val="-2"/>
          <w:szCs w:val="21"/>
          <w:highlight w:val="none"/>
          <w:u w:val="single"/>
        </w:rPr>
        <w:t>（标的名称）</w:t>
      </w:r>
      <w:r>
        <w:rPr>
          <w:rFonts w:hint="eastAsia" w:ascii="宋体" w:hAnsi="宋体" w:cs="宋体"/>
          <w:color w:val="auto"/>
          <w:spacing w:val="-2"/>
          <w:szCs w:val="21"/>
          <w:highlight w:val="none"/>
        </w:rPr>
        <w:t>，属于（工业）行业；制造商为（企业名称），从业人员人，营业收入为万元，资产总额为万元，属于</w:t>
      </w:r>
      <w:r>
        <w:rPr>
          <w:rFonts w:hint="eastAsia" w:ascii="宋体" w:hAnsi="宋体" w:cs="宋体"/>
          <w:color w:val="auto"/>
          <w:spacing w:val="-2"/>
          <w:szCs w:val="21"/>
          <w:highlight w:val="none"/>
          <w:u w:val="single"/>
        </w:rPr>
        <w:t>（中型企业、小型企业、微型企业）</w:t>
      </w:r>
      <w:r>
        <w:rPr>
          <w:rFonts w:hint="eastAsia" w:ascii="宋体" w:hAnsi="宋体" w:cs="宋体"/>
          <w:color w:val="auto"/>
          <w:spacing w:val="-2"/>
          <w:szCs w:val="21"/>
          <w:highlight w:val="none"/>
        </w:rPr>
        <w:t>；</w:t>
      </w:r>
    </w:p>
    <w:p w14:paraId="5426BE42">
      <w:pPr>
        <w:pStyle w:val="83"/>
        <w:tabs>
          <w:tab w:val="left" w:pos="1183"/>
          <w:tab w:val="left" w:pos="1484"/>
          <w:tab w:val="left" w:pos="4662"/>
          <w:tab w:val="left" w:pos="6903"/>
        </w:tabs>
        <w:spacing w:line="360" w:lineRule="auto"/>
        <w:ind w:firstLine="412"/>
        <w:jc w:val="left"/>
        <w:rPr>
          <w:rFonts w:ascii="宋体" w:hAnsi="宋体" w:cs="宋体"/>
          <w:color w:val="auto"/>
          <w:spacing w:val="-2"/>
          <w:szCs w:val="21"/>
          <w:highlight w:val="none"/>
        </w:rPr>
      </w:pPr>
      <w:r>
        <w:rPr>
          <w:rFonts w:hint="eastAsia" w:ascii="宋体" w:hAnsi="宋体" w:cs="宋体"/>
          <w:color w:val="auto"/>
          <w:spacing w:val="-2"/>
          <w:szCs w:val="21"/>
          <w:highlight w:val="none"/>
        </w:rPr>
        <w:t>2、</w:t>
      </w:r>
      <w:r>
        <w:rPr>
          <w:rFonts w:hint="eastAsia" w:ascii="宋体" w:hAnsi="宋体" w:cs="宋体"/>
          <w:color w:val="auto"/>
          <w:spacing w:val="-2"/>
          <w:szCs w:val="21"/>
          <w:highlight w:val="none"/>
          <w:u w:val="single"/>
        </w:rPr>
        <w:t>（标的名称）</w:t>
      </w:r>
      <w:r>
        <w:rPr>
          <w:rFonts w:hint="eastAsia" w:ascii="宋体" w:hAnsi="宋体" w:cs="宋体"/>
          <w:color w:val="auto"/>
          <w:spacing w:val="-2"/>
          <w:szCs w:val="21"/>
          <w:highlight w:val="none"/>
        </w:rPr>
        <w:t>，属于（工业）行业；制造商为（企业名称），从业人员人，营业收入为万元，资产总额为万元，属于</w:t>
      </w:r>
      <w:r>
        <w:rPr>
          <w:rFonts w:hint="eastAsia" w:ascii="宋体" w:hAnsi="宋体" w:cs="宋体"/>
          <w:color w:val="auto"/>
          <w:spacing w:val="-2"/>
          <w:szCs w:val="21"/>
          <w:highlight w:val="none"/>
          <w:u w:val="single"/>
        </w:rPr>
        <w:t>（中型企业、小型企业、微型企业）</w:t>
      </w:r>
      <w:r>
        <w:rPr>
          <w:rFonts w:hint="eastAsia" w:ascii="宋体" w:hAnsi="宋体" w:cs="宋体"/>
          <w:color w:val="auto"/>
          <w:spacing w:val="-2"/>
          <w:szCs w:val="21"/>
          <w:highlight w:val="none"/>
        </w:rPr>
        <w:t>；</w:t>
      </w:r>
    </w:p>
    <w:p w14:paraId="4C114DBC">
      <w:pPr>
        <w:pStyle w:val="15"/>
        <w:spacing w:after="0" w:line="360" w:lineRule="auto"/>
        <w:ind w:firstLine="414"/>
        <w:rPr>
          <w:rFonts w:ascii="宋体" w:hAnsi="宋体" w:cs="宋体"/>
          <w:color w:val="auto"/>
          <w:spacing w:val="-2"/>
          <w:kern w:val="2"/>
          <w:sz w:val="21"/>
          <w:szCs w:val="21"/>
          <w:highlight w:val="none"/>
        </w:rPr>
      </w:pPr>
      <w:r>
        <w:rPr>
          <w:rFonts w:hint="eastAsia" w:ascii="宋体" w:hAnsi="宋体" w:cs="宋体"/>
          <w:color w:val="auto"/>
          <w:spacing w:val="-2"/>
          <w:kern w:val="2"/>
          <w:sz w:val="21"/>
          <w:szCs w:val="21"/>
          <w:highlight w:val="none"/>
        </w:rPr>
        <w:t>……</w:t>
      </w:r>
    </w:p>
    <w:p w14:paraId="2326ED50">
      <w:pPr>
        <w:pStyle w:val="15"/>
        <w:spacing w:after="0" w:line="360" w:lineRule="auto"/>
        <w:ind w:firstLine="410"/>
        <w:rPr>
          <w:rFonts w:ascii="宋体" w:hAnsi="宋体" w:cs="宋体"/>
          <w:color w:val="auto"/>
          <w:sz w:val="21"/>
          <w:szCs w:val="21"/>
          <w:highlight w:val="none"/>
        </w:rPr>
      </w:pPr>
      <w:r>
        <w:rPr>
          <w:rFonts w:hint="eastAsia" w:ascii="宋体" w:hAnsi="宋体" w:cs="宋体"/>
          <w:color w:val="auto"/>
          <w:spacing w:val="-3"/>
          <w:sz w:val="21"/>
          <w:szCs w:val="21"/>
          <w:highlight w:val="none"/>
        </w:rPr>
        <w:t>以上企业，不属于大企业的分支机构，不存在控股股东</w:t>
      </w:r>
      <w:r>
        <w:rPr>
          <w:rFonts w:hint="eastAsia" w:ascii="宋体" w:hAnsi="宋体" w:cs="宋体"/>
          <w:color w:val="auto"/>
          <w:spacing w:val="-5"/>
          <w:sz w:val="21"/>
          <w:szCs w:val="21"/>
          <w:highlight w:val="none"/>
        </w:rPr>
        <w:t>为大企业的情形，也不存在与大企业的负责人为同一人的情形。</w:t>
      </w:r>
    </w:p>
    <w:p w14:paraId="3525AB25">
      <w:pPr>
        <w:pStyle w:val="15"/>
        <w:spacing w:after="0" w:line="360" w:lineRule="auto"/>
        <w:ind w:firstLine="422"/>
        <w:rPr>
          <w:rFonts w:ascii="宋体" w:hAnsi="宋体" w:cs="宋体"/>
          <w:color w:val="auto"/>
          <w:sz w:val="21"/>
          <w:szCs w:val="21"/>
          <w:highlight w:val="none"/>
        </w:rPr>
      </w:pPr>
      <w:r>
        <w:rPr>
          <w:rFonts w:hint="eastAsia" w:ascii="宋体" w:hAnsi="宋体" w:cs="宋体"/>
          <w:color w:val="auto"/>
          <w:sz w:val="21"/>
          <w:szCs w:val="21"/>
          <w:highlight w:val="none"/>
        </w:rPr>
        <w:t>本企业对上述声明内容的真实性负责。如有虚假，将依法承担相应责任。</w:t>
      </w:r>
    </w:p>
    <w:p w14:paraId="04956B16">
      <w:pPr>
        <w:adjustRightInd w:val="0"/>
        <w:snapToGrid w:val="0"/>
        <w:spacing w:line="360" w:lineRule="auto"/>
        <w:ind w:firstLine="422"/>
        <w:rPr>
          <w:rFonts w:ascii="宋体" w:hAnsi="宋体" w:cs="宋体"/>
          <w:color w:val="auto"/>
          <w:szCs w:val="21"/>
          <w:highlight w:val="none"/>
        </w:rPr>
      </w:pPr>
    </w:p>
    <w:p w14:paraId="0A21CFE3">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企业名称（盖章）：</w:t>
      </w:r>
    </w:p>
    <w:p w14:paraId="546F8176">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法定代表人或代理人：（签字或盖章）</w:t>
      </w:r>
    </w:p>
    <w:p w14:paraId="1567A95E">
      <w:pPr>
        <w:autoSpaceDE w:val="0"/>
        <w:autoSpaceDN w:val="0"/>
        <w:spacing w:line="360" w:lineRule="auto"/>
        <w:ind w:firstLine="630" w:firstLineChars="300"/>
        <w:rPr>
          <w:rFonts w:ascii="宋体" w:hAnsi="宋体" w:cs="宋体"/>
          <w:color w:val="auto"/>
          <w:szCs w:val="21"/>
          <w:highlight w:val="none"/>
          <w:lang w:val="zh-CN"/>
        </w:rPr>
      </w:pPr>
      <w:r>
        <w:rPr>
          <w:rFonts w:hint="eastAsia" w:ascii="宋体" w:hAnsi="宋体" w:cs="宋体"/>
          <w:color w:val="auto"/>
          <w:szCs w:val="21"/>
          <w:highlight w:val="none"/>
        </w:rPr>
        <w:t>日期</w:t>
      </w:r>
      <w:r>
        <w:rPr>
          <w:rFonts w:hint="eastAsia" w:ascii="宋体" w:hAnsi="宋体" w:cs="宋体"/>
          <w:color w:val="auto"/>
          <w:szCs w:val="21"/>
          <w:highlight w:val="none"/>
          <w:lang w:val="zh-CN"/>
        </w:rPr>
        <w:t>：</w:t>
      </w:r>
    </w:p>
    <w:p w14:paraId="785C1EDF">
      <w:pPr>
        <w:pStyle w:val="26"/>
        <w:spacing w:line="240" w:lineRule="auto"/>
        <w:ind w:firstLine="420"/>
        <w:rPr>
          <w:rFonts w:ascii="宋体" w:hAnsi="宋体" w:cs="宋体"/>
          <w:b w:val="0"/>
          <w:bCs w:val="0"/>
          <w:color w:val="auto"/>
          <w:kern w:val="2"/>
          <w:sz w:val="21"/>
          <w:szCs w:val="24"/>
          <w:highlight w:val="none"/>
        </w:rPr>
      </w:pPr>
      <w:bookmarkStart w:id="50" w:name="_Toc2583149"/>
      <w:bookmarkStart w:id="51" w:name="_Toc532452121"/>
      <w:bookmarkStart w:id="52" w:name="_Toc532444352"/>
      <w:bookmarkStart w:id="53" w:name="_Toc532444514"/>
    </w:p>
    <w:p w14:paraId="14BF96CD">
      <w:pPr>
        <w:pStyle w:val="26"/>
        <w:spacing w:line="240" w:lineRule="auto"/>
        <w:ind w:firstLine="420"/>
        <w:rPr>
          <w:rFonts w:ascii="宋体" w:hAnsi="宋体" w:cs="宋体"/>
          <w:b w:val="0"/>
          <w:bCs w:val="0"/>
          <w:color w:val="auto"/>
          <w:kern w:val="2"/>
          <w:sz w:val="21"/>
          <w:szCs w:val="24"/>
          <w:highlight w:val="none"/>
        </w:rPr>
      </w:pPr>
    </w:p>
    <w:p w14:paraId="69FC193B">
      <w:pPr>
        <w:pStyle w:val="26"/>
        <w:spacing w:line="240" w:lineRule="auto"/>
        <w:ind w:firstLine="420"/>
        <w:rPr>
          <w:rFonts w:ascii="宋体" w:hAnsi="宋体" w:cs="宋体"/>
          <w:b w:val="0"/>
          <w:bCs w:val="0"/>
          <w:color w:val="auto"/>
          <w:kern w:val="2"/>
          <w:sz w:val="21"/>
          <w:szCs w:val="24"/>
          <w:highlight w:val="none"/>
        </w:rPr>
      </w:pPr>
    </w:p>
    <w:p w14:paraId="738C5CCD">
      <w:pPr>
        <w:pStyle w:val="26"/>
        <w:spacing w:line="240" w:lineRule="auto"/>
        <w:ind w:firstLine="420"/>
        <w:rPr>
          <w:rFonts w:ascii="宋体" w:hAnsi="宋体" w:cs="宋体"/>
          <w:b w:val="0"/>
          <w:bCs w:val="0"/>
          <w:color w:val="auto"/>
          <w:kern w:val="2"/>
          <w:sz w:val="21"/>
          <w:szCs w:val="24"/>
          <w:highlight w:val="none"/>
        </w:rPr>
      </w:pPr>
      <w:r>
        <w:rPr>
          <w:rFonts w:hint="eastAsia" w:ascii="宋体" w:hAnsi="宋体" w:cs="宋体"/>
          <w:b w:val="0"/>
          <w:bCs w:val="0"/>
          <w:color w:val="auto"/>
          <w:kern w:val="2"/>
          <w:sz w:val="21"/>
          <w:szCs w:val="24"/>
          <w:highlight w:val="none"/>
        </w:rPr>
        <w:t>备注：1.从业人员、营业收入、资产总额填报上一年度数据，无上一年度数据的新成立企业可不填报。</w:t>
      </w:r>
    </w:p>
    <w:p w14:paraId="1F7FDFD9">
      <w:pPr>
        <w:pStyle w:val="26"/>
        <w:spacing w:line="240" w:lineRule="auto"/>
        <w:ind w:firstLine="630" w:firstLineChars="300"/>
        <w:rPr>
          <w:rFonts w:ascii="宋体" w:hAnsi="宋体" w:cs="宋体"/>
          <w:color w:val="auto"/>
          <w:kern w:val="2"/>
          <w:sz w:val="21"/>
          <w:szCs w:val="24"/>
          <w:highlight w:val="none"/>
        </w:rPr>
      </w:pPr>
      <w:r>
        <w:rPr>
          <w:rFonts w:hint="eastAsia" w:ascii="宋体" w:hAnsi="宋体" w:cs="宋体"/>
          <w:b w:val="0"/>
          <w:bCs w:val="0"/>
          <w:color w:val="auto"/>
          <w:kern w:val="2"/>
          <w:sz w:val="21"/>
          <w:szCs w:val="24"/>
          <w:highlight w:val="none"/>
        </w:rPr>
        <w:t>2.在货物采购项目中，货物由中小企业制造，即货物由中小企业生产且使用该中小企业商号或者注册商标。</w:t>
      </w:r>
      <w:r>
        <w:rPr>
          <w:rFonts w:hint="eastAsia" w:ascii="宋体" w:hAnsi="宋体" w:cs="宋体"/>
          <w:color w:val="auto"/>
          <w:kern w:val="2"/>
          <w:sz w:val="21"/>
          <w:szCs w:val="24"/>
          <w:highlight w:val="none"/>
        </w:rPr>
        <w:t>供应商提供的货物既有中小企业制造货物，也有大型企业制造货物的，不享受相应扶持政策。</w:t>
      </w:r>
    </w:p>
    <w:p w14:paraId="2966D619">
      <w:pPr>
        <w:pStyle w:val="26"/>
        <w:spacing w:line="240" w:lineRule="auto"/>
        <w:ind w:firstLine="630" w:firstLineChars="300"/>
        <w:rPr>
          <w:rFonts w:ascii="宋体" w:hAnsi="宋体" w:cs="宋体"/>
          <w:color w:val="auto"/>
          <w:kern w:val="2"/>
          <w:sz w:val="21"/>
          <w:szCs w:val="24"/>
          <w:highlight w:val="none"/>
        </w:rPr>
      </w:pPr>
      <w:r>
        <w:rPr>
          <w:rFonts w:hint="eastAsia" w:ascii="宋体" w:hAnsi="宋体" w:cs="宋体"/>
          <w:b w:val="0"/>
          <w:bCs w:val="0"/>
          <w:color w:val="auto"/>
          <w:kern w:val="2"/>
          <w:sz w:val="21"/>
          <w:szCs w:val="24"/>
          <w:highlight w:val="none"/>
        </w:rPr>
        <w:t>3.《中小企业声明函》中所填的行业应与本采购标的对应的中小企业划分标准所属行业一致，不一致的不可享受相应政策优惠。</w:t>
      </w:r>
      <w:r>
        <w:rPr>
          <w:rFonts w:hint="eastAsia" w:ascii="宋体" w:hAnsi="宋体" w:cs="宋体"/>
          <w:color w:val="auto"/>
          <w:kern w:val="2"/>
          <w:sz w:val="21"/>
          <w:szCs w:val="24"/>
          <w:highlight w:val="none"/>
        </w:rPr>
        <w:t>本采购标的对应的中小企业划分标准所属行业，以采购文件中具体规定为准。</w:t>
      </w:r>
    </w:p>
    <w:p w14:paraId="4025D56B">
      <w:pPr>
        <w:pStyle w:val="26"/>
        <w:spacing w:line="240" w:lineRule="auto"/>
        <w:ind w:firstLine="632" w:firstLineChars="300"/>
        <w:rPr>
          <w:rFonts w:ascii="宋体" w:hAnsi="宋体" w:cs="宋体"/>
          <w:color w:val="auto"/>
          <w:kern w:val="2"/>
          <w:sz w:val="21"/>
          <w:szCs w:val="24"/>
          <w:highlight w:val="none"/>
        </w:rPr>
      </w:pPr>
      <w:r>
        <w:rPr>
          <w:rFonts w:hint="eastAsia" w:ascii="宋体" w:hAnsi="宋体" w:cs="宋体"/>
          <w:color w:val="auto"/>
          <w:kern w:val="2"/>
          <w:sz w:val="21"/>
          <w:szCs w:val="24"/>
          <w:highlight w:val="none"/>
        </w:rPr>
        <w:t>4.如未对（中型企业、小型企业、微型企业）进行勾选，视同非中小微企业，不可享受相应扶持政策。</w:t>
      </w:r>
    </w:p>
    <w:p w14:paraId="6ACD4602">
      <w:pPr>
        <w:pStyle w:val="84"/>
        <w:spacing w:line="360" w:lineRule="auto"/>
        <w:ind w:left="840" w:leftChars="300" w:hanging="210" w:hangingChars="100"/>
        <w:rPr>
          <w:rFonts w:hAnsi="宋体" w:eastAsia="宋体" w:cs="宋体"/>
          <w:color w:val="auto"/>
          <w:sz w:val="21"/>
          <w:szCs w:val="24"/>
          <w:highlight w:val="none"/>
          <w:lang w:val="zh-CN"/>
        </w:rPr>
      </w:pPr>
      <w:r>
        <w:rPr>
          <w:rFonts w:hint="eastAsia" w:hAnsi="宋体" w:eastAsia="宋体" w:cs="宋体"/>
          <w:color w:val="auto"/>
          <w:sz w:val="21"/>
          <w:szCs w:val="24"/>
          <w:highlight w:val="none"/>
        </w:rPr>
        <w:t>5.中标单位为中小企业的，《中小企业声明函》将随中标结果同时公告</w:t>
      </w:r>
      <w:r>
        <w:rPr>
          <w:rFonts w:hint="eastAsia" w:hAnsi="宋体" w:eastAsia="宋体" w:cs="宋体"/>
          <w:color w:val="auto"/>
          <w:sz w:val="21"/>
          <w:szCs w:val="24"/>
          <w:highlight w:val="none"/>
          <w:lang w:val="zh-CN"/>
        </w:rPr>
        <w:t>。</w:t>
      </w:r>
    </w:p>
    <w:p w14:paraId="263CCEB6">
      <w:pPr>
        <w:pStyle w:val="84"/>
        <w:spacing w:line="360" w:lineRule="auto"/>
        <w:ind w:left="840" w:leftChars="300" w:hanging="210" w:hangingChars="100"/>
        <w:rPr>
          <w:rFonts w:hAnsi="宋体" w:eastAsia="宋体" w:cs="宋体"/>
          <w:color w:val="auto"/>
          <w:sz w:val="21"/>
          <w:szCs w:val="24"/>
          <w:highlight w:val="none"/>
          <w:lang w:val="zh-CN"/>
        </w:rPr>
      </w:pPr>
    </w:p>
    <w:p w14:paraId="65969773">
      <w:pPr>
        <w:rPr>
          <w:rFonts w:ascii="宋体" w:hAnsi="宋体"/>
          <w:b/>
          <w:color w:val="auto"/>
          <w:highlight w:val="none"/>
        </w:rPr>
      </w:pPr>
      <w:r>
        <w:rPr>
          <w:rFonts w:hint="eastAsia" w:ascii="宋体" w:hAnsi="宋体"/>
          <w:b/>
          <w:color w:val="auto"/>
          <w:highlight w:val="none"/>
        </w:rPr>
        <w:t>附：中小企业划型标准规定</w:t>
      </w:r>
    </w:p>
    <w:p w14:paraId="64BD3952">
      <w:pPr>
        <w:ind w:firstLine="422" w:firstLineChars="200"/>
        <w:rPr>
          <w:rFonts w:ascii="宋体" w:hAnsi="宋体"/>
          <w:color w:val="auto"/>
          <w:highlight w:val="none"/>
        </w:rPr>
      </w:pPr>
      <w:r>
        <w:rPr>
          <w:rFonts w:hint="eastAsia" w:ascii="宋体" w:hAnsi="宋体"/>
          <w:b/>
          <w:color w:val="auto"/>
          <w:highlight w:val="none"/>
        </w:rPr>
        <w:t>（一）农、林、牧、渔业。</w:t>
      </w:r>
      <w:r>
        <w:rPr>
          <w:rFonts w:hint="eastAsia" w:ascii="宋体" w:hAnsi="宋体"/>
          <w:color w:val="auto"/>
          <w:highlight w:val="none"/>
        </w:rPr>
        <w:t>营业收入20000万元以下的为中小微型企业。其中，营业收入500万元及以上的为中型企业，营业收入50万元及以上的为小型企业，营业收入50万元以下的为微型企业。</w:t>
      </w:r>
    </w:p>
    <w:p w14:paraId="3283FA37">
      <w:pPr>
        <w:ind w:firstLine="422" w:firstLineChars="200"/>
        <w:rPr>
          <w:rFonts w:ascii="宋体" w:hAnsi="宋体"/>
          <w:color w:val="auto"/>
          <w:highlight w:val="none"/>
        </w:rPr>
      </w:pPr>
      <w:r>
        <w:rPr>
          <w:rFonts w:hint="eastAsia" w:ascii="宋体" w:hAnsi="宋体"/>
          <w:b/>
          <w:color w:val="auto"/>
          <w:highlight w:val="none"/>
        </w:rPr>
        <w:t>（二）工业。</w:t>
      </w:r>
      <w:r>
        <w:rPr>
          <w:rFonts w:hint="eastAsia" w:ascii="宋体" w:hAnsi="宋体"/>
          <w:color w:val="auto"/>
          <w:highlight w:val="none"/>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6D7C945">
      <w:pPr>
        <w:ind w:firstLine="422" w:firstLineChars="200"/>
        <w:rPr>
          <w:rFonts w:ascii="宋体" w:hAnsi="宋体"/>
          <w:color w:val="auto"/>
          <w:highlight w:val="none"/>
        </w:rPr>
      </w:pPr>
      <w:r>
        <w:rPr>
          <w:rFonts w:hint="eastAsia" w:ascii="宋体" w:hAnsi="宋体"/>
          <w:b/>
          <w:color w:val="auto"/>
          <w:highlight w:val="none"/>
        </w:rPr>
        <w:t>（三）建筑业。</w:t>
      </w:r>
      <w:r>
        <w:rPr>
          <w:rFonts w:hint="eastAsia" w:ascii="宋体" w:hAnsi="宋体"/>
          <w:color w:val="auto"/>
          <w:highlight w:val="none"/>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1DE9D648">
      <w:pPr>
        <w:ind w:firstLine="422" w:firstLineChars="200"/>
        <w:rPr>
          <w:rFonts w:ascii="宋体" w:hAnsi="宋体"/>
          <w:color w:val="auto"/>
          <w:highlight w:val="none"/>
        </w:rPr>
      </w:pPr>
      <w:r>
        <w:rPr>
          <w:rFonts w:hint="eastAsia" w:ascii="宋体" w:hAnsi="宋体"/>
          <w:b/>
          <w:color w:val="auto"/>
          <w:highlight w:val="none"/>
        </w:rPr>
        <w:t>（四）批发业。</w:t>
      </w:r>
      <w:r>
        <w:rPr>
          <w:rFonts w:hint="eastAsia" w:ascii="宋体" w:hAnsi="宋体"/>
          <w:color w:val="auto"/>
          <w:highlight w:val="none"/>
        </w:rPr>
        <w:t>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6E565B3">
      <w:pPr>
        <w:ind w:firstLine="422" w:firstLineChars="200"/>
        <w:rPr>
          <w:rFonts w:ascii="宋体" w:hAnsi="宋体"/>
          <w:color w:val="auto"/>
          <w:highlight w:val="none"/>
        </w:rPr>
      </w:pPr>
      <w:r>
        <w:rPr>
          <w:rFonts w:hint="eastAsia" w:ascii="宋体" w:hAnsi="宋体"/>
          <w:b/>
          <w:color w:val="auto"/>
          <w:highlight w:val="none"/>
        </w:rPr>
        <w:t>（五）零售业。</w:t>
      </w:r>
      <w:r>
        <w:rPr>
          <w:rFonts w:hint="eastAsia" w:ascii="宋体" w:hAnsi="宋体"/>
          <w:color w:val="auto"/>
          <w:highlight w:val="none"/>
        </w:rPr>
        <w:t>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51B1C88">
      <w:pPr>
        <w:ind w:firstLine="422" w:firstLineChars="200"/>
        <w:rPr>
          <w:rFonts w:ascii="宋体" w:hAnsi="宋体"/>
          <w:color w:val="auto"/>
          <w:highlight w:val="none"/>
        </w:rPr>
      </w:pPr>
      <w:r>
        <w:rPr>
          <w:rFonts w:hint="eastAsia" w:ascii="宋体" w:hAnsi="宋体"/>
          <w:b/>
          <w:color w:val="auto"/>
          <w:highlight w:val="none"/>
        </w:rPr>
        <w:t>（六）交通运输业。</w:t>
      </w:r>
      <w:r>
        <w:rPr>
          <w:rFonts w:hint="eastAsia" w:ascii="宋体" w:hAnsi="宋体"/>
          <w:color w:val="auto"/>
          <w:highlight w:val="none"/>
        </w:rPr>
        <w:t>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D553E33">
      <w:pPr>
        <w:ind w:firstLine="422" w:firstLineChars="200"/>
        <w:rPr>
          <w:rFonts w:ascii="宋体" w:hAnsi="宋体"/>
          <w:color w:val="auto"/>
          <w:highlight w:val="none"/>
        </w:rPr>
      </w:pPr>
      <w:r>
        <w:rPr>
          <w:rFonts w:hint="eastAsia" w:ascii="宋体" w:hAnsi="宋体"/>
          <w:b/>
          <w:color w:val="auto"/>
          <w:highlight w:val="none"/>
        </w:rPr>
        <w:t>（七）仓储业。</w:t>
      </w:r>
      <w:r>
        <w:rPr>
          <w:rFonts w:hint="eastAsia" w:ascii="宋体" w:hAnsi="宋体"/>
          <w:color w:val="auto"/>
          <w:highlight w:val="none"/>
        </w:rPr>
        <w:t>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AA2C71C">
      <w:pPr>
        <w:ind w:firstLine="422" w:firstLineChars="200"/>
        <w:rPr>
          <w:rFonts w:ascii="宋体" w:hAnsi="宋体"/>
          <w:color w:val="auto"/>
          <w:highlight w:val="none"/>
        </w:rPr>
      </w:pPr>
      <w:r>
        <w:rPr>
          <w:rFonts w:hint="eastAsia" w:ascii="宋体" w:hAnsi="宋体"/>
          <w:b/>
          <w:color w:val="auto"/>
          <w:highlight w:val="none"/>
        </w:rPr>
        <w:t>（八）邮政业。</w:t>
      </w:r>
      <w:r>
        <w:rPr>
          <w:rFonts w:hint="eastAsia" w:ascii="宋体" w:hAnsi="宋体"/>
          <w:color w:val="auto"/>
          <w:highlight w:val="none"/>
        </w:rPr>
        <w:t>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1E70781">
      <w:pPr>
        <w:ind w:firstLine="422" w:firstLineChars="200"/>
        <w:rPr>
          <w:rFonts w:ascii="宋体" w:hAnsi="宋体"/>
          <w:color w:val="auto"/>
          <w:highlight w:val="none"/>
        </w:rPr>
      </w:pPr>
      <w:r>
        <w:rPr>
          <w:rFonts w:hint="eastAsia" w:ascii="宋体" w:hAnsi="宋体"/>
          <w:b/>
          <w:color w:val="auto"/>
          <w:highlight w:val="none"/>
        </w:rPr>
        <w:t>（九）住宿业。</w:t>
      </w:r>
      <w:r>
        <w:rPr>
          <w:rFonts w:hint="eastAsia" w:ascii="宋体" w:hAnsi="宋体"/>
          <w:color w:val="auto"/>
          <w:highlight w:val="none"/>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BF8F2EB">
      <w:pPr>
        <w:ind w:firstLine="422" w:firstLineChars="200"/>
        <w:rPr>
          <w:rFonts w:ascii="宋体" w:hAnsi="宋体"/>
          <w:color w:val="auto"/>
          <w:highlight w:val="none"/>
        </w:rPr>
      </w:pPr>
      <w:r>
        <w:rPr>
          <w:rFonts w:hint="eastAsia" w:ascii="宋体" w:hAnsi="宋体"/>
          <w:b/>
          <w:color w:val="auto"/>
          <w:highlight w:val="none"/>
        </w:rPr>
        <w:t>（十）餐饮业。</w:t>
      </w:r>
      <w:r>
        <w:rPr>
          <w:rFonts w:hint="eastAsia" w:ascii="宋体" w:hAnsi="宋体"/>
          <w:color w:val="auto"/>
          <w:highlight w:val="none"/>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5981A62">
      <w:pPr>
        <w:ind w:firstLine="422" w:firstLineChars="200"/>
        <w:rPr>
          <w:rFonts w:ascii="宋体" w:hAnsi="宋体"/>
          <w:color w:val="auto"/>
          <w:highlight w:val="none"/>
        </w:rPr>
      </w:pPr>
      <w:r>
        <w:rPr>
          <w:rFonts w:hint="eastAsia" w:ascii="宋体" w:hAnsi="宋体"/>
          <w:b/>
          <w:color w:val="auto"/>
          <w:highlight w:val="none"/>
        </w:rPr>
        <w:t>（十一）信息传输业。</w:t>
      </w:r>
      <w:r>
        <w:rPr>
          <w:rFonts w:hint="eastAsia" w:ascii="宋体" w:hAnsi="宋体"/>
          <w:color w:val="auto"/>
          <w:highlight w:val="none"/>
        </w:rPr>
        <w:t>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B080D96">
      <w:pPr>
        <w:ind w:firstLine="422" w:firstLineChars="200"/>
        <w:rPr>
          <w:rFonts w:ascii="宋体" w:hAnsi="宋体"/>
          <w:color w:val="auto"/>
          <w:highlight w:val="none"/>
        </w:rPr>
      </w:pPr>
      <w:r>
        <w:rPr>
          <w:rFonts w:hint="eastAsia" w:ascii="宋体" w:hAnsi="宋体"/>
          <w:b/>
          <w:color w:val="auto"/>
          <w:highlight w:val="none"/>
        </w:rPr>
        <w:t>（十二）软件和信息技术服务业。</w:t>
      </w:r>
      <w:r>
        <w:rPr>
          <w:rFonts w:hint="eastAsia" w:ascii="宋体" w:hAnsi="宋体"/>
          <w:color w:val="auto"/>
          <w:highlight w:val="none"/>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9F5D680">
      <w:pPr>
        <w:ind w:firstLine="422" w:firstLineChars="200"/>
        <w:rPr>
          <w:rFonts w:ascii="宋体" w:hAnsi="宋体"/>
          <w:color w:val="auto"/>
          <w:highlight w:val="none"/>
        </w:rPr>
      </w:pPr>
      <w:r>
        <w:rPr>
          <w:rFonts w:hint="eastAsia" w:ascii="宋体" w:hAnsi="宋体"/>
          <w:b/>
          <w:color w:val="auto"/>
          <w:highlight w:val="none"/>
        </w:rPr>
        <w:t>（十三）房地产开发经营。</w:t>
      </w:r>
      <w:r>
        <w:rPr>
          <w:rFonts w:hint="eastAsia" w:ascii="宋体" w:hAnsi="宋体"/>
          <w:color w:val="auto"/>
          <w:highlight w:val="none"/>
        </w:rPr>
        <w:t>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252127FE">
      <w:pPr>
        <w:ind w:firstLine="422" w:firstLineChars="200"/>
        <w:rPr>
          <w:rFonts w:ascii="宋体" w:hAnsi="宋体"/>
          <w:color w:val="auto"/>
          <w:highlight w:val="none"/>
        </w:rPr>
      </w:pPr>
      <w:r>
        <w:rPr>
          <w:rFonts w:hint="eastAsia" w:ascii="宋体" w:hAnsi="宋体"/>
          <w:b/>
          <w:color w:val="auto"/>
          <w:highlight w:val="none"/>
        </w:rPr>
        <w:t>（十四）物业管理。</w:t>
      </w:r>
      <w:r>
        <w:rPr>
          <w:rFonts w:hint="eastAsia" w:ascii="宋体" w:hAnsi="宋体"/>
          <w:color w:val="auto"/>
          <w:highlight w:val="none"/>
        </w:rPr>
        <w:t>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3EC6604">
      <w:pPr>
        <w:ind w:firstLine="422" w:firstLineChars="200"/>
        <w:rPr>
          <w:rFonts w:ascii="宋体" w:hAnsi="宋体"/>
          <w:color w:val="auto"/>
          <w:highlight w:val="none"/>
        </w:rPr>
      </w:pPr>
      <w:r>
        <w:rPr>
          <w:rFonts w:hint="eastAsia" w:ascii="宋体" w:hAnsi="宋体"/>
          <w:b/>
          <w:color w:val="auto"/>
          <w:highlight w:val="none"/>
        </w:rPr>
        <w:t>（十五）租赁和商务服务业。</w:t>
      </w:r>
      <w:r>
        <w:rPr>
          <w:rFonts w:hint="eastAsia" w:ascii="宋体" w:hAnsi="宋体"/>
          <w:color w:val="auto"/>
          <w:highlight w:val="none"/>
        </w:rPr>
        <w:t>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341B3D5">
      <w:pPr>
        <w:pStyle w:val="84"/>
        <w:adjustRightInd/>
        <w:ind w:firstLine="422" w:firstLineChars="200"/>
        <w:rPr>
          <w:rFonts w:hAnsi="宋体" w:eastAsia="宋体" w:cs="宋体"/>
          <w:color w:val="auto"/>
          <w:sz w:val="21"/>
          <w:szCs w:val="21"/>
          <w:highlight w:val="none"/>
          <w:lang w:val="zh-CN"/>
        </w:rPr>
      </w:pPr>
      <w:r>
        <w:rPr>
          <w:rFonts w:hint="eastAsia" w:hAnsi="宋体" w:eastAsia="宋体"/>
          <w:b/>
          <w:color w:val="auto"/>
          <w:sz w:val="21"/>
          <w:szCs w:val="24"/>
          <w:highlight w:val="none"/>
        </w:rPr>
        <w:t>（十六）其他未列明行业。</w:t>
      </w:r>
      <w:r>
        <w:rPr>
          <w:rFonts w:hint="eastAsia" w:hAnsi="宋体" w:eastAsia="宋体"/>
          <w:color w:val="auto"/>
          <w:sz w:val="21"/>
          <w:szCs w:val="24"/>
          <w:highlight w:val="none"/>
        </w:rPr>
        <w:t>从业人员300人以下的为中小微型企业。其中，从业人员100人及以上的为中型企业；从业人员10人及以上的为小型企业；从业人员10人以下的为微型企业。</w:t>
      </w:r>
    </w:p>
    <w:p w14:paraId="06494858">
      <w:pPr>
        <w:pageBreakBefore/>
        <w:adjustRightInd w:val="0"/>
        <w:snapToGrid w:val="0"/>
        <w:spacing w:line="360" w:lineRule="auto"/>
        <w:ind w:firstLine="444"/>
        <w:jc w:val="center"/>
        <w:rPr>
          <w:rFonts w:ascii="宋体" w:hAnsi="宋体" w:cs="宋体"/>
          <w:b/>
          <w:color w:val="auto"/>
          <w:spacing w:val="6"/>
          <w:szCs w:val="21"/>
          <w:highlight w:val="none"/>
        </w:rPr>
      </w:pPr>
    </w:p>
    <w:p w14:paraId="12413C5C">
      <w:pPr>
        <w:overflowPunct w:val="0"/>
        <w:adjustRightInd w:val="0"/>
        <w:snapToGrid w:val="0"/>
        <w:spacing w:line="360" w:lineRule="auto"/>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残疾人福利性单位声明函</w:t>
      </w:r>
    </w:p>
    <w:p w14:paraId="65DA6ED4">
      <w:pPr>
        <w:overflowPunct w:val="0"/>
        <w:adjustRightInd w:val="0"/>
        <w:snapToGrid w:val="0"/>
        <w:spacing w:line="360" w:lineRule="auto"/>
        <w:ind w:firstLine="420"/>
        <w:jc w:val="center"/>
        <w:textAlignment w:val="baseline"/>
        <w:rPr>
          <w:rFonts w:ascii="宋体" w:hAnsi="宋体" w:cs="宋体"/>
          <w:b/>
          <w:color w:val="auto"/>
          <w:szCs w:val="21"/>
          <w:highlight w:val="none"/>
        </w:rPr>
      </w:pPr>
    </w:p>
    <w:p w14:paraId="61FEB577">
      <w:pPr>
        <w:adjustRightInd w:val="0"/>
        <w:snapToGrid w:val="0"/>
        <w:spacing w:line="360" w:lineRule="auto"/>
        <w:ind w:firstLine="444" w:firstLineChars="200"/>
        <w:rPr>
          <w:rFonts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〔2017〕141</w:t>
      </w:r>
      <w:r>
        <w:rPr>
          <w:rFonts w:hint="eastAsia" w:ascii="宋体" w:hAnsi="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CD95BC">
      <w:pPr>
        <w:adjustRightInd w:val="0"/>
        <w:snapToGrid w:val="0"/>
        <w:spacing w:line="360" w:lineRule="auto"/>
        <w:ind w:firstLine="444" w:firstLineChars="200"/>
        <w:rPr>
          <w:rFonts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32977412">
      <w:pPr>
        <w:adjustRightInd w:val="0"/>
        <w:snapToGrid w:val="0"/>
        <w:spacing w:line="360" w:lineRule="auto"/>
        <w:ind w:firstLine="444" w:firstLineChars="200"/>
        <w:rPr>
          <w:rFonts w:ascii="宋体" w:hAnsi="宋体" w:cs="宋体"/>
          <w:color w:val="auto"/>
          <w:spacing w:val="6"/>
          <w:szCs w:val="21"/>
          <w:highlight w:val="none"/>
        </w:rPr>
      </w:pPr>
    </w:p>
    <w:p w14:paraId="7D9B1367">
      <w:pPr>
        <w:adjustRightInd w:val="0"/>
        <w:snapToGrid w:val="0"/>
        <w:spacing w:line="360" w:lineRule="auto"/>
        <w:ind w:firstLine="444" w:firstLineChars="200"/>
        <w:rPr>
          <w:rFonts w:ascii="宋体" w:hAnsi="宋体" w:cs="宋体"/>
          <w:color w:val="auto"/>
          <w:spacing w:val="6"/>
          <w:szCs w:val="21"/>
          <w:highlight w:val="none"/>
        </w:rPr>
      </w:pPr>
    </w:p>
    <w:p w14:paraId="2C327A61">
      <w:pPr>
        <w:tabs>
          <w:tab w:val="left" w:pos="4860"/>
        </w:tabs>
        <w:adjustRightInd w:val="0"/>
        <w:snapToGrid w:val="0"/>
        <w:spacing w:line="360" w:lineRule="auto"/>
        <w:ind w:firstLine="444" w:firstLineChars="200"/>
        <w:jc w:val="center"/>
        <w:rPr>
          <w:rFonts w:ascii="宋体" w:hAnsi="宋体" w:cs="宋体"/>
          <w:color w:val="auto"/>
          <w:spacing w:val="6"/>
          <w:szCs w:val="21"/>
          <w:highlight w:val="none"/>
        </w:rPr>
      </w:pPr>
      <w:r>
        <w:rPr>
          <w:rFonts w:hint="eastAsia" w:ascii="宋体" w:hAnsi="宋体" w:cs="宋体"/>
          <w:color w:val="auto"/>
          <w:spacing w:val="6"/>
          <w:szCs w:val="21"/>
          <w:highlight w:val="none"/>
        </w:rPr>
        <w:t xml:space="preserve">                                  单位名称（盖章）：</w:t>
      </w:r>
    </w:p>
    <w:p w14:paraId="2A7319E5">
      <w:pPr>
        <w:tabs>
          <w:tab w:val="left" w:pos="4860"/>
        </w:tabs>
        <w:adjustRightInd w:val="0"/>
        <w:snapToGrid w:val="0"/>
        <w:spacing w:line="360" w:lineRule="auto"/>
        <w:ind w:firstLine="444" w:firstLineChars="200"/>
        <w:jc w:val="center"/>
        <w:rPr>
          <w:rFonts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6E18B3A">
      <w:pPr>
        <w:adjustRightInd w:val="0"/>
        <w:snapToGrid w:val="0"/>
        <w:spacing w:line="360" w:lineRule="auto"/>
        <w:ind w:firstLine="333" w:firstLineChars="150"/>
        <w:rPr>
          <w:rFonts w:ascii="宋体" w:hAnsi="宋体" w:cs="宋体"/>
          <w:color w:val="auto"/>
          <w:spacing w:val="6"/>
          <w:szCs w:val="21"/>
          <w:highlight w:val="none"/>
        </w:rPr>
      </w:pPr>
      <w:r>
        <w:rPr>
          <w:rFonts w:hint="eastAsia" w:ascii="宋体" w:hAnsi="宋体" w:cs="宋体"/>
          <w:color w:val="auto"/>
          <w:spacing w:val="6"/>
          <w:szCs w:val="21"/>
          <w:highlight w:val="none"/>
        </w:rPr>
        <w:t>备注：符合《关于促进残疾人就业政府采购政策的通知》（财库〔2017〕141号）规定条件的残疾人福利性单位在参加政府采购活动时，应当提供《残疾人福利性单位声明函》，并对声明的真实性负责。任何单位或者个人在政府采购活动中均不得要求残疾人福利性单位提供其他证明声明函内容的材料。供应商提供的《残疾人福利性单位声明函》与事实不符的，依照《政府采购法》第七十七条第一款的规定追究法律责任。中标、中标单位为残疾人福利性单位的，采购单位或者其委托的采购代理机构应当随中标、成交结果同时公告其《残疾人福利性单位声明函》，接受社会监督。</w:t>
      </w:r>
    </w:p>
    <w:p w14:paraId="05F2619F">
      <w:pPr>
        <w:pStyle w:val="15"/>
        <w:rPr>
          <w:rFonts w:ascii="宋体" w:hAnsi="宋体" w:cs="宋体"/>
          <w:color w:val="auto"/>
          <w:spacing w:val="6"/>
          <w:szCs w:val="21"/>
          <w:highlight w:val="none"/>
        </w:rPr>
      </w:pPr>
    </w:p>
    <w:p w14:paraId="65BC87B1">
      <w:pPr>
        <w:rPr>
          <w:rFonts w:ascii="宋体" w:hAnsi="宋体" w:cs="宋体"/>
          <w:color w:val="auto"/>
          <w:spacing w:val="6"/>
          <w:szCs w:val="21"/>
          <w:highlight w:val="none"/>
        </w:rPr>
      </w:pPr>
    </w:p>
    <w:p w14:paraId="4C527F29">
      <w:pPr>
        <w:pStyle w:val="15"/>
        <w:rPr>
          <w:rFonts w:ascii="宋体" w:hAnsi="宋体" w:cs="宋体"/>
          <w:color w:val="auto"/>
          <w:spacing w:val="6"/>
          <w:szCs w:val="21"/>
          <w:highlight w:val="none"/>
        </w:rPr>
      </w:pPr>
    </w:p>
    <w:p w14:paraId="6973390A">
      <w:pPr>
        <w:rPr>
          <w:rFonts w:ascii="宋体" w:hAnsi="宋体" w:cs="宋体"/>
          <w:color w:val="auto"/>
          <w:spacing w:val="6"/>
          <w:szCs w:val="21"/>
          <w:highlight w:val="none"/>
        </w:rPr>
      </w:pPr>
    </w:p>
    <w:p w14:paraId="25718F89">
      <w:pPr>
        <w:pStyle w:val="15"/>
        <w:rPr>
          <w:rFonts w:ascii="宋体" w:hAnsi="宋体" w:cs="宋体"/>
          <w:color w:val="auto"/>
          <w:spacing w:val="6"/>
          <w:szCs w:val="21"/>
          <w:highlight w:val="none"/>
        </w:rPr>
      </w:pPr>
    </w:p>
    <w:p w14:paraId="68CF8F06">
      <w:pPr>
        <w:rPr>
          <w:rFonts w:ascii="宋体" w:hAnsi="宋体" w:cs="宋体"/>
          <w:color w:val="auto"/>
          <w:spacing w:val="6"/>
          <w:szCs w:val="21"/>
          <w:highlight w:val="none"/>
        </w:rPr>
      </w:pPr>
    </w:p>
    <w:p w14:paraId="67229062">
      <w:pPr>
        <w:pStyle w:val="15"/>
        <w:rPr>
          <w:rFonts w:ascii="宋体" w:hAnsi="宋体" w:cs="宋体"/>
          <w:color w:val="auto"/>
          <w:spacing w:val="6"/>
          <w:szCs w:val="21"/>
          <w:highlight w:val="none"/>
        </w:rPr>
      </w:pPr>
    </w:p>
    <w:p w14:paraId="7B0E6A02">
      <w:pPr>
        <w:rPr>
          <w:rFonts w:ascii="宋体" w:hAnsi="宋体" w:cs="宋体"/>
          <w:color w:val="auto"/>
          <w:spacing w:val="6"/>
          <w:szCs w:val="21"/>
          <w:highlight w:val="none"/>
        </w:rPr>
      </w:pPr>
    </w:p>
    <w:p w14:paraId="1FD60BCA">
      <w:pPr>
        <w:pStyle w:val="15"/>
        <w:rPr>
          <w:rFonts w:ascii="宋体" w:hAnsi="宋体" w:cs="宋体"/>
          <w:color w:val="auto"/>
          <w:spacing w:val="6"/>
          <w:szCs w:val="21"/>
          <w:highlight w:val="none"/>
        </w:rPr>
      </w:pPr>
    </w:p>
    <w:p w14:paraId="157FBBDB">
      <w:pPr>
        <w:rPr>
          <w:rFonts w:ascii="宋体" w:hAnsi="宋体" w:cs="宋体"/>
          <w:color w:val="auto"/>
          <w:spacing w:val="6"/>
          <w:szCs w:val="21"/>
          <w:highlight w:val="none"/>
        </w:rPr>
      </w:pPr>
    </w:p>
    <w:p w14:paraId="7B411104">
      <w:pPr>
        <w:pStyle w:val="15"/>
        <w:rPr>
          <w:rFonts w:ascii="宋体" w:hAnsi="宋体" w:cs="宋体"/>
          <w:color w:val="auto"/>
          <w:spacing w:val="6"/>
          <w:szCs w:val="21"/>
          <w:highlight w:val="none"/>
        </w:rPr>
      </w:pPr>
    </w:p>
    <w:p w14:paraId="32C5E7D3">
      <w:pPr>
        <w:rPr>
          <w:rFonts w:ascii="宋体" w:hAnsi="宋体" w:cs="宋体"/>
          <w:color w:val="auto"/>
          <w:spacing w:val="6"/>
          <w:szCs w:val="21"/>
          <w:highlight w:val="none"/>
        </w:rPr>
      </w:pPr>
    </w:p>
    <w:p w14:paraId="6D2688DF">
      <w:pPr>
        <w:pStyle w:val="15"/>
        <w:rPr>
          <w:rFonts w:ascii="宋体" w:hAnsi="宋体" w:cs="宋体"/>
          <w:color w:val="auto"/>
          <w:spacing w:val="6"/>
          <w:szCs w:val="21"/>
          <w:highlight w:val="none"/>
        </w:rPr>
      </w:pPr>
    </w:p>
    <w:p w14:paraId="47969D85">
      <w:pPr>
        <w:rPr>
          <w:rFonts w:ascii="宋体" w:hAnsi="宋体" w:cs="宋体"/>
          <w:color w:val="auto"/>
          <w:spacing w:val="6"/>
          <w:szCs w:val="21"/>
          <w:highlight w:val="none"/>
        </w:rPr>
      </w:pPr>
    </w:p>
    <w:p w14:paraId="17C1284E">
      <w:pPr>
        <w:pStyle w:val="15"/>
        <w:rPr>
          <w:rFonts w:ascii="宋体" w:hAnsi="宋体" w:cs="宋体"/>
          <w:color w:val="auto"/>
          <w:spacing w:val="6"/>
          <w:szCs w:val="21"/>
          <w:highlight w:val="none"/>
        </w:rPr>
      </w:pPr>
    </w:p>
    <w:p w14:paraId="1EC0D2FD">
      <w:pPr>
        <w:adjustRightInd w:val="0"/>
        <w:snapToGrid w:val="0"/>
        <w:spacing w:line="360" w:lineRule="auto"/>
        <w:jc w:val="left"/>
        <w:rPr>
          <w:rFonts w:ascii="宋体" w:hAnsi="宋体" w:cs="宋体"/>
          <w:b/>
          <w:color w:val="auto"/>
          <w:szCs w:val="21"/>
          <w:highlight w:val="none"/>
        </w:rPr>
      </w:pPr>
      <w:r>
        <w:rPr>
          <w:rFonts w:hint="eastAsia" w:ascii="宋体" w:hAnsi="宋体" w:cs="宋体"/>
          <w:color w:val="auto"/>
          <w:spacing w:val="6"/>
          <w:szCs w:val="21"/>
          <w:highlight w:val="none"/>
        </w:rPr>
        <w:t>附件15：政府采购合同信用融资政策告知函（本附件无需签章放置投标文件中）</w:t>
      </w:r>
    </w:p>
    <w:p w14:paraId="3A7C2A26">
      <w:pPr>
        <w:adjustRightInd w:val="0"/>
        <w:snapToGrid w:val="0"/>
        <w:spacing w:line="360" w:lineRule="auto"/>
        <w:rPr>
          <w:rFonts w:ascii="宋体" w:hAnsi="宋体" w:cs="宋体"/>
          <w:b/>
          <w:color w:val="auto"/>
          <w:szCs w:val="21"/>
          <w:highlight w:val="none"/>
        </w:rPr>
      </w:pPr>
    </w:p>
    <w:p w14:paraId="7B23E86E">
      <w:pPr>
        <w:adjustRightInd w:val="0"/>
        <w:snapToGrid w:val="0"/>
        <w:spacing w:line="360" w:lineRule="auto"/>
        <w:jc w:val="center"/>
        <w:rPr>
          <w:rFonts w:ascii="宋体" w:hAnsi="宋体" w:cs="宋体"/>
          <w:b/>
          <w:color w:val="auto"/>
          <w:szCs w:val="21"/>
          <w:highlight w:val="none"/>
        </w:rPr>
      </w:pPr>
      <w:r>
        <w:rPr>
          <w:rFonts w:hint="eastAsia" w:ascii="宋体" w:hAnsi="宋体" w:cs="宋体"/>
          <w:b/>
          <w:bCs/>
          <w:color w:val="auto"/>
          <w:spacing w:val="6"/>
          <w:szCs w:val="21"/>
          <w:highlight w:val="none"/>
        </w:rPr>
        <w:t>政府采购合同信用融资政策告知函</w:t>
      </w:r>
    </w:p>
    <w:p w14:paraId="395B4E9F">
      <w:pPr>
        <w:adjustRightInd w:val="0"/>
        <w:snapToGrid w:val="0"/>
        <w:spacing w:line="360" w:lineRule="auto"/>
        <w:rPr>
          <w:rFonts w:ascii="宋体" w:hAnsi="宋体" w:cs="宋体"/>
          <w:b/>
          <w:color w:val="auto"/>
          <w:szCs w:val="21"/>
          <w:highlight w:val="none"/>
        </w:rPr>
      </w:pPr>
    </w:p>
    <w:p w14:paraId="0004894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cs="宋体"/>
          <w:b/>
          <w:color w:val="auto"/>
          <w:szCs w:val="21"/>
          <w:highlight w:val="none"/>
        </w:rPr>
      </w:pPr>
      <w:r>
        <w:rPr>
          <w:rFonts w:hint="eastAsia" w:ascii="宋体" w:hAnsi="宋体" w:cs="宋体"/>
          <w:b/>
          <w:color w:val="auto"/>
          <w:szCs w:val="21"/>
          <w:highlight w:val="none"/>
        </w:rPr>
        <w:t>各政府采购供应商:</w:t>
      </w:r>
    </w:p>
    <w:p w14:paraId="00FEA5D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Cs w:val="21"/>
          <w:highlight w:val="none"/>
        </w:rPr>
      </w:pPr>
    </w:p>
    <w:p w14:paraId="35AEB9F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欢迎贵公司参加苏州市政府采购活动！</w:t>
      </w:r>
    </w:p>
    <w:p w14:paraId="43412800">
      <w:pPr>
        <w:pStyle w:val="15"/>
        <w:keepNext w:val="0"/>
        <w:keepLines w:val="0"/>
        <w:pageBreakBefore w:val="0"/>
        <w:widowControl w:val="0"/>
        <w:kinsoku/>
        <w:wordWrap/>
        <w:overflowPunct/>
        <w:topLinePunct w:val="0"/>
        <w:autoSpaceDE/>
        <w:autoSpaceDN/>
        <w:bidi w:val="0"/>
        <w:spacing w:line="360" w:lineRule="auto"/>
        <w:ind w:firstLine="420" w:firstLineChars="200"/>
        <w:textAlignment w:val="auto"/>
        <w:rPr>
          <w:color w:val="auto"/>
          <w:highlight w:val="none"/>
        </w:rPr>
        <w:sectPr>
          <w:pgSz w:w="11906" w:h="16838"/>
          <w:pgMar w:top="1440" w:right="1417" w:bottom="1440" w:left="1417" w:header="964" w:footer="1077" w:gutter="0"/>
          <w:cols w:space="720" w:num="1"/>
          <w:docGrid w:type="lines" w:linePitch="312" w:charSpace="0"/>
        </w:sectPr>
      </w:pPr>
      <w:r>
        <w:rPr>
          <w:rFonts w:hint="eastAsia" w:ascii="宋体" w:hAnsi="宋体" w:cs="宋体"/>
          <w:color w:val="auto"/>
          <w:sz w:val="21"/>
          <w:szCs w:val="21"/>
          <w:highlight w:val="none"/>
        </w:rPr>
        <w:t>政府采购合同信用融资是江苏省、苏州市为支持中小企业发展，缓解中小企业融资难题推出的一项融资服务举措。若贵公司经评审最终成为本次政府采购项目的合格中标(成交)供应商，可向金融机构申请贷款，无需抵押、担保，金融机构将根据江苏省财政厅 中国人民银行南京分行《关于深入推进政府采购线上合同信用融资工作的通知》(苏财购〔2021〕82号)及苏州市财政局、人民银行苏州市分行相关文件要求，按照双方自愿的原则提供便捷、优惠的贷款服务。</w:t>
      </w:r>
    </w:p>
    <w:bookmarkEnd w:id="50"/>
    <w:bookmarkEnd w:id="51"/>
    <w:bookmarkEnd w:id="52"/>
    <w:bookmarkEnd w:id="53"/>
    <w:p w14:paraId="69AE828E">
      <w:pPr>
        <w:pStyle w:val="23"/>
        <w:pageBreakBefore/>
        <w:tabs>
          <w:tab w:val="right" w:leader="dot" w:pos="8302"/>
        </w:tabs>
        <w:spacing w:line="360" w:lineRule="auto"/>
        <w:ind w:firstLine="640"/>
        <w:jc w:val="center"/>
        <w:rPr>
          <w:rStyle w:val="34"/>
          <w:rFonts w:ascii="宋体" w:hAnsi="宋体" w:cs="宋体"/>
          <w:color w:val="auto"/>
          <w:sz w:val="32"/>
          <w:szCs w:val="32"/>
          <w:highlight w:val="none"/>
        </w:rPr>
      </w:pPr>
      <w:r>
        <w:rPr>
          <w:rStyle w:val="34"/>
          <w:rFonts w:hint="eastAsia" w:ascii="宋体" w:hAnsi="宋体" w:cs="宋体"/>
          <w:color w:val="auto"/>
          <w:sz w:val="32"/>
          <w:szCs w:val="32"/>
          <w:highlight w:val="none"/>
        </w:rPr>
        <w:t>第四章 招标书</w:t>
      </w:r>
    </w:p>
    <w:p w14:paraId="42CF285C">
      <w:pPr>
        <w:spacing w:line="360" w:lineRule="auto"/>
        <w:ind w:firstLine="420" w:firstLineChars="200"/>
        <w:rPr>
          <w:rFonts w:ascii="宋体" w:hAnsi="宋体" w:cs="宋体"/>
          <w:color w:val="auto"/>
          <w:highlight w:val="none"/>
          <w:lang w:val="zh-CN"/>
        </w:rPr>
      </w:pPr>
      <w:bookmarkStart w:id="54" w:name="XTDLJG_1"/>
      <w:r>
        <w:rPr>
          <w:rFonts w:hint="eastAsia" w:ascii="宋体" w:hAnsi="宋体" w:cs="宋体"/>
          <w:color w:val="auto"/>
          <w:szCs w:val="21"/>
          <w:highlight w:val="none"/>
          <w:lang w:val="zh-CN"/>
        </w:rPr>
        <w:t>受</w:t>
      </w:r>
      <w:r>
        <w:rPr>
          <w:rFonts w:hint="eastAsia" w:ascii="宋体" w:hAnsi="宋体" w:cs="宋体"/>
          <w:bCs/>
          <w:color w:val="auto"/>
          <w:szCs w:val="21"/>
          <w:highlight w:val="none"/>
          <w:lang w:eastAsia="zh-CN"/>
        </w:rPr>
        <w:t>苏州市发展和改革委员会</w:t>
      </w:r>
      <w:r>
        <w:rPr>
          <w:rFonts w:hint="eastAsia" w:ascii="宋体" w:hAnsi="宋体" w:cs="宋体"/>
          <w:color w:val="auto"/>
          <w:szCs w:val="21"/>
          <w:highlight w:val="none"/>
          <w:lang w:val="zh-CN"/>
        </w:rPr>
        <w:t>的委托，苏州市创杰招投标咨询服务有限公司作为招标代理机构，就其委托的</w:t>
      </w:r>
      <w:r>
        <w:rPr>
          <w:rFonts w:hint="eastAsia" w:ascii="宋体" w:hAnsi="宋体" w:cs="宋体"/>
          <w:color w:val="auto"/>
          <w:highlight w:val="none"/>
          <w:lang w:eastAsia="zh-CN"/>
        </w:rPr>
        <w:t>2025年苏州市级应急物资增储项目</w:t>
      </w:r>
      <w:r>
        <w:rPr>
          <w:rFonts w:hint="eastAsia" w:ascii="宋体" w:hAnsi="宋体" w:cs="宋体"/>
          <w:color w:val="auto"/>
          <w:szCs w:val="21"/>
          <w:highlight w:val="none"/>
          <w:lang w:val="zh-CN"/>
        </w:rPr>
        <w:t>的政府采购进行国内公开招标。</w:t>
      </w:r>
    </w:p>
    <w:p w14:paraId="2868F667">
      <w:pPr>
        <w:pStyle w:val="5"/>
        <w:numPr>
          <w:ilvl w:val="1"/>
          <w:numId w:val="0"/>
        </w:numPr>
        <w:adjustRightInd/>
        <w:snapToGrid/>
        <w:spacing w:before="0" w:after="0"/>
        <w:rPr>
          <w:rFonts w:ascii="宋体" w:hAnsi="宋体" w:cs="宋体"/>
          <w:color w:val="auto"/>
          <w:kern w:val="2"/>
          <w:sz w:val="21"/>
          <w:szCs w:val="21"/>
          <w:highlight w:val="none"/>
        </w:rPr>
      </w:pPr>
      <w:r>
        <w:rPr>
          <w:rFonts w:hint="eastAsia" w:ascii="宋体" w:hAnsi="宋体" w:cs="宋体"/>
          <w:color w:val="auto"/>
          <w:kern w:val="2"/>
          <w:sz w:val="21"/>
          <w:szCs w:val="21"/>
          <w:highlight w:val="none"/>
        </w:rPr>
        <w:t>一、招标编号：</w:t>
      </w:r>
      <w:r>
        <w:rPr>
          <w:rFonts w:hint="eastAsia" w:ascii="宋体" w:hAnsi="宋体" w:cs="宋体"/>
          <w:b w:val="0"/>
          <w:bCs w:val="0"/>
          <w:color w:val="auto"/>
          <w:kern w:val="2"/>
          <w:sz w:val="21"/>
          <w:szCs w:val="21"/>
          <w:highlight w:val="none"/>
          <w:lang w:eastAsia="zh-CN"/>
        </w:rPr>
        <w:t>JSZC-320500-CJZB-G2025-0054</w:t>
      </w:r>
      <w:r>
        <w:rPr>
          <w:rFonts w:hint="eastAsia" w:ascii="宋体" w:hAnsi="宋体" w:cs="宋体"/>
          <w:b w:val="0"/>
          <w:bCs w:val="0"/>
          <w:color w:val="auto"/>
          <w:kern w:val="2"/>
          <w:sz w:val="21"/>
          <w:szCs w:val="21"/>
          <w:highlight w:val="none"/>
        </w:rPr>
        <w:t>号</w:t>
      </w:r>
    </w:p>
    <w:p w14:paraId="4232346C">
      <w:pPr>
        <w:numPr>
          <w:ilvl w:val="0"/>
          <w:numId w:val="4"/>
        </w:numPr>
        <w:autoSpaceDE w:val="0"/>
        <w:autoSpaceDN w:val="0"/>
        <w:spacing w:line="360" w:lineRule="auto"/>
        <w:rPr>
          <w:rFonts w:ascii="宋体" w:hAnsi="宋体" w:cs="宋体"/>
          <w:b/>
          <w:bCs/>
          <w:color w:val="auto"/>
          <w:szCs w:val="21"/>
          <w:highlight w:val="none"/>
        </w:rPr>
      </w:pPr>
      <w:r>
        <w:rPr>
          <w:rFonts w:hint="eastAsia" w:ascii="宋体" w:hAnsi="宋体" w:cs="宋体"/>
          <w:b/>
          <w:color w:val="auto"/>
          <w:highlight w:val="none"/>
        </w:rPr>
        <w:t>项目名称</w:t>
      </w:r>
      <w:r>
        <w:rPr>
          <w:rFonts w:hint="eastAsia" w:ascii="宋体" w:hAnsi="宋体" w:cs="宋体"/>
          <w:color w:val="auto"/>
          <w:highlight w:val="none"/>
          <w:lang w:val="zh-CN"/>
        </w:rPr>
        <w:t>：</w:t>
      </w:r>
      <w:r>
        <w:rPr>
          <w:rFonts w:hint="eastAsia" w:ascii="宋体" w:hAnsi="宋体" w:cs="宋体"/>
          <w:color w:val="auto"/>
          <w:szCs w:val="21"/>
          <w:highlight w:val="none"/>
          <w:lang w:eastAsia="zh-CN"/>
        </w:rPr>
        <w:t>2025年苏州市级应急物资增储项目</w:t>
      </w:r>
    </w:p>
    <w:p w14:paraId="03D293C6">
      <w:pPr>
        <w:spacing w:line="360" w:lineRule="auto"/>
        <w:rPr>
          <w:rFonts w:ascii="宋体" w:hAnsi="宋体" w:cs="宋体"/>
          <w:color w:val="auto"/>
          <w:szCs w:val="21"/>
          <w:highlight w:val="none"/>
        </w:rPr>
      </w:pPr>
      <w:r>
        <w:rPr>
          <w:rFonts w:hint="eastAsia" w:ascii="宋体" w:hAnsi="宋体" w:cs="宋体"/>
          <w:b/>
          <w:bCs/>
          <w:color w:val="auto"/>
          <w:highlight w:val="none"/>
          <w:lang w:val="zh-CN"/>
        </w:rPr>
        <w:t>三、预算金额</w:t>
      </w:r>
      <w:r>
        <w:rPr>
          <w:rFonts w:hint="eastAsia" w:ascii="宋体" w:hAnsi="宋体" w:cs="宋体"/>
          <w:color w:val="auto"/>
          <w:szCs w:val="21"/>
          <w:highlight w:val="none"/>
        </w:rPr>
        <w:t>（最高限价）：人民币</w:t>
      </w:r>
      <w:r>
        <w:rPr>
          <w:rFonts w:hint="eastAsia" w:ascii="宋体" w:hAnsi="宋体" w:cs="宋体"/>
          <w:color w:val="auto"/>
          <w:szCs w:val="21"/>
          <w:highlight w:val="none"/>
          <w:lang w:val="en-US" w:eastAsia="zh-CN"/>
        </w:rPr>
        <w:t>贰佰陆</w:t>
      </w:r>
      <w:r>
        <w:rPr>
          <w:rFonts w:hint="eastAsia" w:ascii="宋体" w:hAnsi="宋体" w:cs="宋体"/>
          <w:color w:val="auto"/>
          <w:szCs w:val="21"/>
          <w:highlight w:val="none"/>
        </w:rPr>
        <w:t>拾万元整（¥：</w:t>
      </w:r>
      <w:r>
        <w:rPr>
          <w:rFonts w:hint="eastAsia" w:ascii="宋体" w:hAnsi="宋体" w:cs="宋体"/>
          <w:color w:val="auto"/>
          <w:szCs w:val="21"/>
          <w:highlight w:val="none"/>
          <w:lang w:val="en-US" w:eastAsia="zh-CN"/>
        </w:rPr>
        <w:t>26</w:t>
      </w:r>
      <w:r>
        <w:rPr>
          <w:rFonts w:hint="eastAsia" w:ascii="宋体" w:hAnsi="宋体" w:cs="宋体"/>
          <w:color w:val="auto"/>
          <w:szCs w:val="21"/>
          <w:highlight w:val="none"/>
        </w:rPr>
        <w:t>00000.00）</w:t>
      </w:r>
    </w:p>
    <w:p w14:paraId="46957653">
      <w:pPr>
        <w:spacing w:line="360" w:lineRule="auto"/>
        <w:rPr>
          <w:rFonts w:ascii="宋体" w:hAnsi="宋体"/>
          <w:b/>
          <w:bCs/>
          <w:snapToGrid w:val="0"/>
          <w:color w:val="auto"/>
          <w:kern w:val="0"/>
          <w:szCs w:val="21"/>
          <w:highlight w:val="none"/>
        </w:rPr>
      </w:pPr>
      <w:r>
        <w:rPr>
          <w:rFonts w:hint="eastAsia" w:ascii="宋体" w:hAnsi="宋体"/>
          <w:b/>
          <w:bCs/>
          <w:snapToGrid w:val="0"/>
          <w:color w:val="auto"/>
          <w:kern w:val="0"/>
          <w:szCs w:val="21"/>
          <w:highlight w:val="none"/>
        </w:rPr>
        <w:t xml:space="preserve">四、采购清单及产品具体技术要求 </w:t>
      </w:r>
    </w:p>
    <w:tbl>
      <w:tblPr>
        <w:tblStyle w:val="31"/>
        <w:tblW w:w="95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054"/>
        <w:gridCol w:w="815"/>
        <w:gridCol w:w="882"/>
        <w:gridCol w:w="5268"/>
        <w:gridCol w:w="809"/>
      </w:tblGrid>
      <w:tr w14:paraId="2D29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94" w:type="dxa"/>
            <w:shd w:val="clear" w:color="auto" w:fill="FFFFFF"/>
            <w:noWrap w:val="0"/>
            <w:vAlign w:val="center"/>
          </w:tcPr>
          <w:p w14:paraId="05A5C6DA">
            <w:pPr>
              <w:widowControl/>
              <w:adjustRightInd w:val="0"/>
              <w:snapToGrid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054" w:type="dxa"/>
            <w:shd w:val="clear" w:color="auto" w:fill="FFFFFF"/>
            <w:noWrap w:val="0"/>
            <w:vAlign w:val="center"/>
          </w:tcPr>
          <w:p w14:paraId="1A301EEB">
            <w:pPr>
              <w:widowControl/>
              <w:adjustRightInd w:val="0"/>
              <w:snapToGrid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名称</w:t>
            </w:r>
          </w:p>
        </w:tc>
        <w:tc>
          <w:tcPr>
            <w:tcW w:w="815" w:type="dxa"/>
            <w:shd w:val="clear" w:color="auto" w:fill="FFFFFF"/>
            <w:noWrap w:val="0"/>
            <w:vAlign w:val="center"/>
          </w:tcPr>
          <w:p w14:paraId="39DB7D8C">
            <w:pPr>
              <w:widowControl/>
              <w:adjustRightInd w:val="0"/>
              <w:snapToGrid w:val="0"/>
              <w:spacing w:line="360" w:lineRule="auto"/>
              <w:jc w:val="center"/>
              <w:rPr>
                <w:rFonts w:hint="eastAsia" w:ascii="宋体" w:hAnsi="宋体" w:eastAsia="宋体" w:cs="宋体"/>
                <w:b/>
                <w:bCs/>
                <w:color w:val="auto"/>
                <w:kern w:val="0"/>
                <w:szCs w:val="21"/>
                <w:highlight w:val="none"/>
                <w:lang w:eastAsia="zh-CN"/>
              </w:rPr>
            </w:pPr>
            <w:r>
              <w:rPr>
                <w:rFonts w:hint="eastAsia" w:ascii="宋体" w:hAnsi="宋体" w:cs="宋体"/>
                <w:b/>
                <w:bCs/>
                <w:color w:val="auto"/>
                <w:kern w:val="0"/>
                <w:szCs w:val="21"/>
                <w:highlight w:val="none"/>
                <w:lang w:val="en-US" w:eastAsia="zh-CN"/>
              </w:rPr>
              <w:t>单位</w:t>
            </w:r>
          </w:p>
        </w:tc>
        <w:tc>
          <w:tcPr>
            <w:tcW w:w="882" w:type="dxa"/>
            <w:shd w:val="clear" w:color="auto" w:fill="FFFFFF"/>
            <w:noWrap w:val="0"/>
            <w:vAlign w:val="center"/>
          </w:tcPr>
          <w:p w14:paraId="42D4FE9D">
            <w:pPr>
              <w:widowControl/>
              <w:adjustRightInd w:val="0"/>
              <w:snapToGrid w:val="0"/>
              <w:spacing w:line="360" w:lineRule="auto"/>
              <w:jc w:val="center"/>
              <w:rPr>
                <w:rFonts w:hint="eastAsia" w:ascii="宋体" w:hAnsi="宋体" w:eastAsia="宋体" w:cs="宋体"/>
                <w:b/>
                <w:bCs/>
                <w:color w:val="auto"/>
                <w:kern w:val="0"/>
                <w:szCs w:val="21"/>
                <w:highlight w:val="none"/>
                <w:lang w:eastAsia="zh-CN"/>
              </w:rPr>
            </w:pPr>
            <w:r>
              <w:rPr>
                <w:rFonts w:hint="eastAsia" w:ascii="宋体" w:hAnsi="宋体" w:cs="宋体"/>
                <w:b/>
                <w:bCs/>
                <w:color w:val="auto"/>
                <w:kern w:val="0"/>
                <w:szCs w:val="21"/>
                <w:highlight w:val="none"/>
                <w:lang w:val="en-US" w:eastAsia="zh-CN"/>
              </w:rPr>
              <w:t>数量</w:t>
            </w:r>
          </w:p>
        </w:tc>
        <w:tc>
          <w:tcPr>
            <w:tcW w:w="5268" w:type="dxa"/>
            <w:shd w:val="clear" w:color="auto" w:fill="FFFFFF"/>
            <w:noWrap w:val="0"/>
            <w:vAlign w:val="center"/>
          </w:tcPr>
          <w:p w14:paraId="0688D49D">
            <w:pPr>
              <w:widowControl/>
              <w:adjustRightInd w:val="0"/>
              <w:snapToGrid w:val="0"/>
              <w:spacing w:line="360" w:lineRule="auto"/>
              <w:jc w:val="center"/>
              <w:rPr>
                <w:rFonts w:hint="default"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lang w:val="en-US" w:eastAsia="zh-CN"/>
              </w:rPr>
              <w:t>主要技术参数</w:t>
            </w:r>
          </w:p>
        </w:tc>
        <w:tc>
          <w:tcPr>
            <w:tcW w:w="809" w:type="dxa"/>
            <w:shd w:val="clear" w:color="auto" w:fill="FFFFFF"/>
            <w:noWrap w:val="0"/>
            <w:vAlign w:val="center"/>
          </w:tcPr>
          <w:p w14:paraId="257FFEF3">
            <w:pPr>
              <w:widowControl/>
              <w:adjustRightInd w:val="0"/>
              <w:snapToGrid w:val="0"/>
              <w:spacing w:line="360" w:lineRule="auto"/>
              <w:jc w:val="center"/>
              <w:rPr>
                <w:rFonts w:hint="default"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lang w:val="en-US" w:eastAsia="zh-CN"/>
              </w:rPr>
              <w:t>单价最高限价</w:t>
            </w:r>
          </w:p>
        </w:tc>
      </w:tr>
      <w:tr w14:paraId="5EA0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588C9ABB">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054" w:type="dxa"/>
            <w:shd w:val="clear" w:color="000000" w:fill="CCE8CF"/>
            <w:noWrap w:val="0"/>
            <w:vAlign w:val="center"/>
          </w:tcPr>
          <w:p w14:paraId="7A1D817A">
            <w:pPr>
              <w:widowControl/>
              <w:jc w:val="left"/>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手电筒</w:t>
            </w:r>
          </w:p>
        </w:tc>
        <w:tc>
          <w:tcPr>
            <w:tcW w:w="815" w:type="dxa"/>
            <w:noWrap w:val="0"/>
            <w:vAlign w:val="center"/>
          </w:tcPr>
          <w:p w14:paraId="77F457E4">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个</w:t>
            </w:r>
          </w:p>
        </w:tc>
        <w:tc>
          <w:tcPr>
            <w:tcW w:w="882" w:type="dxa"/>
            <w:noWrap w:val="0"/>
            <w:vAlign w:val="center"/>
          </w:tcPr>
          <w:p w14:paraId="136427E9">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3000</w:t>
            </w:r>
          </w:p>
        </w:tc>
        <w:tc>
          <w:tcPr>
            <w:tcW w:w="5268" w:type="dxa"/>
            <w:noWrap w:val="0"/>
            <w:vAlign w:val="center"/>
          </w:tcPr>
          <w:p w14:paraId="7F4D1695">
            <w:pPr>
              <w:widowControl/>
              <w:jc w:val="left"/>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1、具有强光、工作光、爆闪、三档光可通过旋转进行调焦；</w:t>
            </w:r>
          </w:p>
          <w:p w14:paraId="38842ABF">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val="en-US" w:eastAsia="zh-CN"/>
              </w:rPr>
              <w:t>光源类型：LED</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额定功率</w:t>
            </w:r>
            <w:r>
              <w:rPr>
                <w:rFonts w:hint="eastAsia" w:ascii="宋体" w:hAnsi="宋体" w:cs="宋体"/>
                <w:color w:val="auto"/>
                <w:kern w:val="0"/>
                <w:sz w:val="21"/>
                <w:szCs w:val="21"/>
                <w:highlight w:val="none"/>
                <w:lang w:val="en-US" w:eastAsia="zh-CN"/>
              </w:rPr>
              <w:t>≥3</w:t>
            </w:r>
            <w:r>
              <w:rPr>
                <w:rFonts w:hint="default" w:ascii="宋体" w:hAnsi="宋体" w:eastAsia="宋体" w:cs="宋体"/>
                <w:color w:val="auto"/>
                <w:kern w:val="0"/>
                <w:sz w:val="21"/>
                <w:szCs w:val="21"/>
                <w:highlight w:val="none"/>
                <w:lang w:val="en-US" w:eastAsia="zh-CN"/>
              </w:rPr>
              <w:t>W</w:t>
            </w:r>
            <w:r>
              <w:rPr>
                <w:rFonts w:hint="eastAsia" w:ascii="宋体" w:hAnsi="宋体" w:eastAsia="宋体" w:cs="宋体"/>
                <w:color w:val="auto"/>
                <w:kern w:val="0"/>
                <w:sz w:val="21"/>
                <w:szCs w:val="21"/>
                <w:highlight w:val="none"/>
                <w:lang w:val="en-US" w:eastAsia="zh-CN"/>
              </w:rPr>
              <w:t>；</w:t>
            </w:r>
          </w:p>
          <w:p w14:paraId="13B58C9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cs="宋体"/>
                <w:color w:val="auto"/>
                <w:kern w:val="0"/>
                <w:sz w:val="21"/>
                <w:szCs w:val="21"/>
                <w:highlight w:val="none"/>
                <w:lang w:val="en-US" w:eastAsia="zh-CN"/>
              </w:rPr>
              <w:t>3、</w:t>
            </w:r>
            <w:r>
              <w:rPr>
                <w:rFonts w:hint="eastAsia" w:ascii="宋体" w:hAnsi="宋体" w:eastAsia="宋体" w:cs="宋体"/>
                <w:b w:val="0"/>
                <w:bCs w:val="0"/>
                <w:color w:val="auto"/>
                <w:kern w:val="2"/>
                <w:sz w:val="21"/>
                <w:szCs w:val="21"/>
                <w:highlight w:val="none"/>
                <w:lang w:val="en-US" w:eastAsia="zh-CN" w:bidi="ar-SA"/>
              </w:rPr>
              <w:t>前灯照射距离≥150m</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光通量:≥</w:t>
            </w:r>
            <w:r>
              <w:rPr>
                <w:rFonts w:hint="eastAsia" w:ascii="宋体" w:hAnsi="宋体" w:cs="宋体"/>
                <w:b w:val="0"/>
                <w:bCs w:val="0"/>
                <w:color w:val="auto"/>
                <w:kern w:val="2"/>
                <w:sz w:val="21"/>
                <w:szCs w:val="21"/>
                <w:highlight w:val="none"/>
                <w:lang w:val="en-US" w:eastAsia="zh-CN" w:bidi="ar-SA"/>
              </w:rPr>
              <w:t>18</w:t>
            </w:r>
            <w:r>
              <w:rPr>
                <w:rFonts w:hint="eastAsia" w:ascii="宋体" w:hAnsi="宋体" w:eastAsia="宋体" w:cs="宋体"/>
                <w:b w:val="0"/>
                <w:bCs w:val="0"/>
                <w:color w:val="auto"/>
                <w:kern w:val="2"/>
                <w:sz w:val="21"/>
                <w:szCs w:val="21"/>
                <w:highlight w:val="none"/>
                <w:lang w:val="en-US" w:eastAsia="zh-CN" w:bidi="ar-SA"/>
              </w:rPr>
              <w:t>0lm</w:t>
            </w:r>
            <w:r>
              <w:rPr>
                <w:rFonts w:hint="eastAsia" w:ascii="宋体" w:hAnsi="宋体" w:cs="宋体"/>
                <w:b w:val="0"/>
                <w:bCs w:val="0"/>
                <w:color w:val="auto"/>
                <w:kern w:val="2"/>
                <w:sz w:val="21"/>
                <w:szCs w:val="21"/>
                <w:highlight w:val="none"/>
                <w:lang w:val="en-US" w:eastAsia="zh-CN" w:bidi="ar-SA"/>
              </w:rPr>
              <w:t>、距离灯5m处，前灯强光光板中心照度≥145lx；</w:t>
            </w:r>
          </w:p>
          <w:p w14:paraId="158E09C0">
            <w:pPr>
              <w:widowControl/>
              <w:jc w:val="left"/>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en-US" w:eastAsia="zh-CN"/>
              </w:rPr>
              <w:t>、额定电压</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3.7V；</w:t>
            </w:r>
          </w:p>
          <w:p w14:paraId="7C81BB02">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en-US" w:eastAsia="zh-CN"/>
              </w:rPr>
              <w:t>、额定容量≥</w:t>
            </w:r>
            <w:r>
              <w:rPr>
                <w:rFonts w:hint="eastAsia" w:ascii="宋体" w:hAnsi="宋体" w:cs="宋体"/>
                <w:color w:val="auto"/>
                <w:kern w:val="0"/>
                <w:sz w:val="21"/>
                <w:szCs w:val="21"/>
                <w:highlight w:val="none"/>
                <w:lang w:val="en-US" w:eastAsia="zh-CN"/>
              </w:rPr>
              <w:t>20</w:t>
            </w:r>
            <w:r>
              <w:rPr>
                <w:rFonts w:hint="eastAsia" w:ascii="宋体" w:hAnsi="宋体" w:eastAsia="宋体" w:cs="宋体"/>
                <w:color w:val="auto"/>
                <w:kern w:val="0"/>
                <w:sz w:val="21"/>
                <w:szCs w:val="21"/>
                <w:highlight w:val="none"/>
                <w:lang w:val="en-US" w:eastAsia="zh-CN"/>
              </w:rPr>
              <w:t>00mAh；</w:t>
            </w:r>
          </w:p>
          <w:p w14:paraId="5CA65C5D">
            <w:pPr>
              <w:widowControl/>
              <w:jc w:val="left"/>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b w:val="0"/>
                <w:bCs w:val="0"/>
                <w:color w:val="auto"/>
                <w:kern w:val="2"/>
                <w:sz w:val="21"/>
                <w:szCs w:val="21"/>
                <w:highlight w:val="none"/>
                <w:lang w:val="en-US" w:eastAsia="zh-CN" w:bidi="ar-SA"/>
              </w:rPr>
              <w:t>电池满电状态强光工作时长≥</w:t>
            </w:r>
            <w:r>
              <w:rPr>
                <w:rFonts w:hint="eastAsia" w:ascii="宋体" w:hAnsi="宋体" w:cs="宋体"/>
                <w:b w:val="0"/>
                <w:bCs w:val="0"/>
                <w:color w:val="auto"/>
                <w:kern w:val="2"/>
                <w:sz w:val="21"/>
                <w:szCs w:val="21"/>
                <w:highlight w:val="none"/>
                <w:lang w:val="en-US" w:eastAsia="zh-CN" w:bidi="ar-SA"/>
              </w:rPr>
              <w:t>4</w:t>
            </w:r>
            <w:r>
              <w:rPr>
                <w:rFonts w:hint="eastAsia" w:ascii="宋体" w:hAnsi="宋体" w:eastAsia="宋体" w:cs="宋体"/>
                <w:b w:val="0"/>
                <w:bCs w:val="0"/>
                <w:color w:val="auto"/>
                <w:kern w:val="2"/>
                <w:sz w:val="21"/>
                <w:szCs w:val="21"/>
                <w:highlight w:val="none"/>
                <w:lang w:val="en-US" w:eastAsia="zh-CN" w:bidi="ar-SA"/>
              </w:rPr>
              <w:t>h</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工作光工作时长≥</w:t>
            </w:r>
            <w:r>
              <w:rPr>
                <w:rFonts w:hint="eastAsia" w:ascii="宋体" w:hAnsi="宋体" w:cs="宋体"/>
                <w:b w:val="0"/>
                <w:bCs w:val="0"/>
                <w:color w:val="auto"/>
                <w:kern w:val="2"/>
                <w:sz w:val="21"/>
                <w:szCs w:val="21"/>
                <w:highlight w:val="none"/>
                <w:lang w:val="en-US" w:eastAsia="zh-CN" w:bidi="ar-SA"/>
              </w:rPr>
              <w:t>8爆闪</w:t>
            </w:r>
            <w:r>
              <w:rPr>
                <w:rFonts w:hint="eastAsia" w:ascii="宋体" w:hAnsi="宋体" w:eastAsia="宋体" w:cs="宋体"/>
                <w:b w:val="0"/>
                <w:bCs w:val="0"/>
                <w:color w:val="auto"/>
                <w:kern w:val="2"/>
                <w:sz w:val="21"/>
                <w:szCs w:val="21"/>
                <w:highlight w:val="none"/>
                <w:lang w:val="en-US" w:eastAsia="zh-CN" w:bidi="ar-SA"/>
              </w:rPr>
              <w:t>工作时长≥</w:t>
            </w:r>
            <w:r>
              <w:rPr>
                <w:rFonts w:hint="eastAsia" w:ascii="宋体" w:hAnsi="宋体" w:cs="宋体"/>
                <w:b w:val="0"/>
                <w:bCs w:val="0"/>
                <w:color w:val="auto"/>
                <w:kern w:val="2"/>
                <w:sz w:val="21"/>
                <w:szCs w:val="21"/>
                <w:highlight w:val="none"/>
                <w:lang w:val="en-US" w:eastAsia="zh-CN" w:bidi="ar-SA"/>
              </w:rPr>
              <w:t>7h；</w:t>
            </w:r>
          </w:p>
          <w:p w14:paraId="01F63FE7">
            <w:pPr>
              <w:widowControl/>
              <w:jc w:val="left"/>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lang w:val="en-US" w:eastAsia="zh-CN"/>
              </w:rPr>
              <w:t>、充电时间≤3h (</w:t>
            </w:r>
            <w:r>
              <w:rPr>
                <w:rFonts w:hint="default" w:ascii="宋体" w:hAnsi="宋体" w:eastAsia="宋体" w:cs="宋体"/>
                <w:color w:val="auto"/>
                <w:kern w:val="0"/>
                <w:sz w:val="21"/>
                <w:szCs w:val="21"/>
                <w:highlight w:val="none"/>
                <w:lang w:val="en-US" w:eastAsia="zh-CN"/>
              </w:rPr>
              <w:t>TYPE-C</w:t>
            </w:r>
            <w:r>
              <w:rPr>
                <w:rFonts w:hint="eastAsia" w:ascii="宋体" w:hAnsi="宋体" w:eastAsia="宋体" w:cs="宋体"/>
                <w:color w:val="auto"/>
                <w:kern w:val="0"/>
                <w:sz w:val="21"/>
                <w:szCs w:val="21"/>
                <w:highlight w:val="none"/>
                <w:lang w:val="en-US" w:eastAsia="zh-CN"/>
              </w:rPr>
              <w:t>口充电）；</w:t>
            </w:r>
          </w:p>
          <w:p w14:paraId="3E232798">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lang w:val="en-US" w:eastAsia="zh-CN"/>
              </w:rPr>
              <w:t>、材质：铝合金；</w:t>
            </w:r>
          </w:p>
          <w:p w14:paraId="2E51AD53">
            <w:pPr>
              <w:widowControl/>
              <w:jc w:val="left"/>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lang w:val="en-US" w:eastAsia="zh-CN"/>
              </w:rPr>
              <w:t>、尺寸</w:t>
            </w:r>
            <w:r>
              <w:rPr>
                <w:rFonts w:hint="eastAsia" w:ascii="宋体" w:hAnsi="宋体" w:cs="宋体"/>
                <w:color w:val="auto"/>
                <w:kern w:val="0"/>
                <w:sz w:val="21"/>
                <w:szCs w:val="21"/>
                <w:highlight w:val="none"/>
                <w:lang w:val="en-US" w:eastAsia="zh-CN"/>
              </w:rPr>
              <w:t>≤16</w:t>
            </w:r>
            <w:r>
              <w:rPr>
                <w:rFonts w:hint="default" w:ascii="宋体" w:hAnsi="宋体" w:eastAsia="宋体" w:cs="宋体"/>
                <w:color w:val="auto"/>
                <w:kern w:val="0"/>
                <w:sz w:val="21"/>
                <w:szCs w:val="21"/>
                <w:highlight w:val="none"/>
                <w:lang w:val="en-US" w:eastAsia="zh-CN"/>
              </w:rPr>
              <w:t>*</w:t>
            </w:r>
            <w:r>
              <w:rPr>
                <w:rFonts w:hint="eastAsia" w:ascii="宋体" w:hAnsi="宋体" w:cs="宋体"/>
                <w:color w:val="auto"/>
                <w:kern w:val="0"/>
                <w:sz w:val="21"/>
                <w:szCs w:val="21"/>
                <w:highlight w:val="none"/>
                <w:lang w:val="en-US" w:eastAsia="zh-CN"/>
              </w:rPr>
              <w:t>4</w:t>
            </w:r>
            <w:r>
              <w:rPr>
                <w:rFonts w:hint="default" w:ascii="宋体" w:hAnsi="宋体" w:eastAsia="宋体" w:cs="宋体"/>
                <w:color w:val="auto"/>
                <w:kern w:val="0"/>
                <w:sz w:val="21"/>
                <w:szCs w:val="21"/>
                <w:highlight w:val="none"/>
                <w:lang w:val="en-US" w:eastAsia="zh-CN"/>
              </w:rPr>
              <w:t>cm</w:t>
            </w:r>
            <w:r>
              <w:rPr>
                <w:rFonts w:hint="eastAsia" w:ascii="宋体" w:hAnsi="宋体" w:eastAsia="宋体" w:cs="宋体"/>
                <w:color w:val="auto"/>
                <w:kern w:val="0"/>
                <w:sz w:val="21"/>
                <w:szCs w:val="21"/>
                <w:highlight w:val="none"/>
                <w:lang w:val="en-US" w:eastAsia="zh-CN"/>
              </w:rPr>
              <w:t>；</w:t>
            </w:r>
          </w:p>
          <w:p w14:paraId="01F31439">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lang w:val="en-US" w:eastAsia="zh-CN"/>
              </w:rPr>
              <w:t>、重量≤</w:t>
            </w:r>
            <w:r>
              <w:rPr>
                <w:rFonts w:hint="eastAsia" w:ascii="宋体" w:hAnsi="宋体" w:cs="宋体"/>
                <w:color w:val="auto"/>
                <w:kern w:val="0"/>
                <w:sz w:val="21"/>
                <w:szCs w:val="21"/>
                <w:highlight w:val="none"/>
                <w:lang w:val="en-US" w:eastAsia="zh-CN"/>
              </w:rPr>
              <w:t>120</w:t>
            </w:r>
            <w:r>
              <w:rPr>
                <w:rFonts w:hint="eastAsia" w:ascii="宋体" w:hAnsi="宋体" w:eastAsia="宋体" w:cs="宋体"/>
                <w:color w:val="auto"/>
                <w:kern w:val="0"/>
                <w:sz w:val="21"/>
                <w:szCs w:val="21"/>
                <w:highlight w:val="none"/>
                <w:lang w:val="en-US" w:eastAsia="zh-CN"/>
              </w:rPr>
              <w:t>g；</w:t>
            </w:r>
          </w:p>
          <w:p w14:paraId="3CE71B0C">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r>
              <w:rPr>
                <w:rFonts w:hint="eastAsia" w:ascii="宋体" w:hAnsi="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lang w:val="en-US" w:eastAsia="zh-CN"/>
              </w:rPr>
              <w:t>、手电具有聚泛光可调功能；</w:t>
            </w:r>
          </w:p>
          <w:p w14:paraId="3ADE37CD">
            <w:pPr>
              <w:widowControl/>
              <w:jc w:val="left"/>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lang w:val="en-US" w:eastAsia="zh-CN"/>
              </w:rPr>
              <w:t>1</w:t>
            </w: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val="en-US" w:eastAsia="zh-CN"/>
              </w:rPr>
              <w:t>、充电锂电池和干电池可以通用；</w:t>
            </w:r>
          </w:p>
          <w:p w14:paraId="79311770">
            <w:pPr>
              <w:widowControl/>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13、防护等级≥IP65；</w:t>
            </w:r>
          </w:p>
          <w:p w14:paraId="42C2B1F3">
            <w:pPr>
              <w:widowControl/>
              <w:jc w:val="left"/>
              <w:rPr>
                <w:rFonts w:hint="eastAsia" w:ascii="宋体" w:hAnsi="宋体" w:eastAsia="宋体" w:cs="宋体"/>
                <w:color w:val="auto"/>
                <w:kern w:val="0"/>
                <w:szCs w:val="21"/>
                <w:highlight w:val="none"/>
                <w:lang w:eastAsia="zh-CN" w:bidi="ar"/>
              </w:rPr>
            </w:pPr>
            <w:r>
              <w:rPr>
                <w:rFonts w:hint="eastAsia" w:ascii="宋体" w:hAnsi="宋体" w:eastAsia="宋体" w:cs="宋体"/>
                <w:b/>
                <w:bCs/>
                <w:color w:val="auto"/>
                <w:sz w:val="21"/>
                <w:szCs w:val="21"/>
                <w:highlight w:val="none"/>
              </w:rPr>
              <w:t>标★参数需提供带CMA或者CNAS</w:t>
            </w:r>
            <w:r>
              <w:rPr>
                <w:rFonts w:hint="eastAsia" w:ascii="宋体" w:hAnsi="宋体" w:cs="宋体"/>
                <w:b/>
                <w:bCs/>
                <w:color w:val="auto"/>
                <w:sz w:val="21"/>
                <w:szCs w:val="21"/>
                <w:highlight w:val="none"/>
                <w:lang w:val="en-US" w:eastAsia="zh-CN"/>
              </w:rPr>
              <w:t>标志</w:t>
            </w:r>
            <w:r>
              <w:rPr>
                <w:rFonts w:hint="eastAsia" w:ascii="宋体" w:hAnsi="宋体" w:eastAsia="宋体" w:cs="宋体"/>
                <w:b/>
                <w:bCs/>
                <w:color w:val="auto"/>
                <w:sz w:val="21"/>
                <w:szCs w:val="21"/>
                <w:highlight w:val="none"/>
              </w:rPr>
              <w:t>的第三方检测报告。</w:t>
            </w:r>
          </w:p>
        </w:tc>
        <w:tc>
          <w:tcPr>
            <w:tcW w:w="809" w:type="dxa"/>
            <w:noWrap w:val="0"/>
            <w:vAlign w:val="center"/>
          </w:tcPr>
          <w:p w14:paraId="3369D39C">
            <w:pPr>
              <w:widowControl/>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50元/个</w:t>
            </w:r>
          </w:p>
        </w:tc>
      </w:tr>
      <w:tr w14:paraId="3B44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37D77DD1">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054" w:type="dxa"/>
            <w:shd w:val="clear" w:color="000000" w:fill="CCE8CF"/>
            <w:noWrap w:val="0"/>
            <w:vAlign w:val="center"/>
          </w:tcPr>
          <w:p w14:paraId="1A69B015">
            <w:pPr>
              <w:widowControl/>
              <w:jc w:val="left"/>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应急救灾蜡烛</w:t>
            </w:r>
          </w:p>
        </w:tc>
        <w:tc>
          <w:tcPr>
            <w:tcW w:w="815" w:type="dxa"/>
            <w:noWrap w:val="0"/>
            <w:vAlign w:val="center"/>
          </w:tcPr>
          <w:p w14:paraId="02FD0A9C">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个</w:t>
            </w:r>
          </w:p>
        </w:tc>
        <w:tc>
          <w:tcPr>
            <w:tcW w:w="882" w:type="dxa"/>
            <w:noWrap w:val="0"/>
            <w:vAlign w:val="center"/>
          </w:tcPr>
          <w:p w14:paraId="1BE7ADB1">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60000</w:t>
            </w:r>
          </w:p>
        </w:tc>
        <w:tc>
          <w:tcPr>
            <w:tcW w:w="5268" w:type="dxa"/>
            <w:noWrap w:val="0"/>
            <w:vAlign w:val="center"/>
          </w:tcPr>
          <w:p w14:paraId="7ECFC65A">
            <w:pPr>
              <w:widowControl/>
              <w:jc w:val="left"/>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1、规格≥1.5*17cm</w:t>
            </w:r>
          </w:p>
          <w:p w14:paraId="218A6263">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2、材质：石蜡</w:t>
            </w:r>
          </w:p>
          <w:p w14:paraId="692A37A8">
            <w:pPr>
              <w:widowControl/>
              <w:jc w:val="left"/>
              <w:rPr>
                <w:rFonts w:hint="eastAsia" w:ascii="宋体" w:hAnsi="宋体" w:eastAsia="宋体" w:cs="宋体"/>
                <w:color w:val="auto"/>
                <w:kern w:val="0"/>
                <w:szCs w:val="21"/>
                <w:highlight w:val="none"/>
              </w:rPr>
            </w:pPr>
          </w:p>
        </w:tc>
        <w:tc>
          <w:tcPr>
            <w:tcW w:w="809" w:type="dxa"/>
            <w:noWrap w:val="0"/>
            <w:vAlign w:val="center"/>
          </w:tcPr>
          <w:p w14:paraId="2B2C8358">
            <w:pPr>
              <w:widowControl/>
              <w:jc w:val="left"/>
              <w:textAlignment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2.5元/个</w:t>
            </w:r>
          </w:p>
        </w:tc>
      </w:tr>
      <w:tr w14:paraId="171A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1E52AB8E">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1054" w:type="dxa"/>
            <w:shd w:val="clear" w:color="000000" w:fill="CCE8CF"/>
            <w:noWrap w:val="0"/>
            <w:vAlign w:val="center"/>
          </w:tcPr>
          <w:p w14:paraId="00462147">
            <w:pPr>
              <w:widowControl/>
              <w:jc w:val="left"/>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场地照明灯</w:t>
            </w:r>
            <w:r>
              <w:rPr>
                <w:rFonts w:hint="eastAsia" w:ascii="宋体" w:hAnsi="宋体" w:cs="宋体"/>
                <w:b/>
                <w:bCs/>
                <w:color w:val="auto"/>
                <w:kern w:val="0"/>
                <w:sz w:val="21"/>
                <w:szCs w:val="21"/>
                <w:highlight w:val="none"/>
                <w:lang w:val="en-US" w:eastAsia="zh-CN"/>
              </w:rPr>
              <w:t>（核心产品）</w:t>
            </w:r>
          </w:p>
        </w:tc>
        <w:tc>
          <w:tcPr>
            <w:tcW w:w="815" w:type="dxa"/>
            <w:noWrap w:val="0"/>
            <w:vAlign w:val="center"/>
          </w:tcPr>
          <w:p w14:paraId="27C3EC86">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台</w:t>
            </w:r>
          </w:p>
        </w:tc>
        <w:tc>
          <w:tcPr>
            <w:tcW w:w="882" w:type="dxa"/>
            <w:noWrap w:val="0"/>
            <w:vAlign w:val="center"/>
          </w:tcPr>
          <w:p w14:paraId="7D87A235">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 w:val="21"/>
                <w:szCs w:val="21"/>
                <w:highlight w:val="none"/>
                <w:lang w:val="en-US" w:eastAsia="zh-CN"/>
              </w:rPr>
              <w:t>8</w:t>
            </w:r>
          </w:p>
        </w:tc>
        <w:tc>
          <w:tcPr>
            <w:tcW w:w="5268" w:type="dxa"/>
            <w:noWrap w:val="0"/>
            <w:vAlign w:val="center"/>
          </w:tcPr>
          <w:p w14:paraId="2B340EBD">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集照明、应急供电、储物功能于一体的多场景应急储能照明工作系统。便利性：下有万向轮，上有背带设计，支持背负和推行。灯光功能：长按3秒开机，长按3秒关机，开机弱光-中光-强光循环带有时间温控控制功能，在一定时间内温度上升到较高温度点时设备会自动调节灯具亮度来保护灯具不受高温而损坏。</w:t>
            </w:r>
          </w:p>
          <w:p w14:paraId="6D59851D">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2、灯具材质：塑料ABS+铝合金；</w:t>
            </w:r>
          </w:p>
          <w:p w14:paraId="1810E893">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3、电池规格≥22.2V / 40Ah；</w:t>
            </w:r>
          </w:p>
          <w:p w14:paraId="5A2C623D">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4、充电时间≤6h；</w:t>
            </w:r>
          </w:p>
          <w:p w14:paraId="1366CFDD">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★5、充满电连续工作时间：泛光强光≥10h、弱光≥72h；</w:t>
            </w:r>
            <w:r>
              <w:rPr>
                <w:rFonts w:hint="eastAsia" w:ascii="宋体" w:hAnsi="宋体" w:eastAsia="宋体" w:cs="宋体"/>
                <w:b/>
                <w:bCs/>
                <w:color w:val="auto"/>
                <w:sz w:val="21"/>
                <w:szCs w:val="21"/>
                <w:highlight w:val="none"/>
              </w:rPr>
              <w:t>标★参数需提供带CMA或者CNAS</w:t>
            </w:r>
            <w:r>
              <w:rPr>
                <w:rFonts w:hint="eastAsia" w:ascii="宋体" w:hAnsi="宋体" w:cs="宋体"/>
                <w:b/>
                <w:bCs/>
                <w:color w:val="auto"/>
                <w:sz w:val="21"/>
                <w:szCs w:val="21"/>
                <w:highlight w:val="none"/>
                <w:lang w:val="en-US" w:eastAsia="zh-CN"/>
              </w:rPr>
              <w:t>标志</w:t>
            </w:r>
            <w:r>
              <w:rPr>
                <w:rFonts w:hint="eastAsia" w:ascii="宋体" w:hAnsi="宋体" w:eastAsia="宋体" w:cs="宋体"/>
                <w:b/>
                <w:bCs/>
                <w:color w:val="auto"/>
                <w:sz w:val="21"/>
                <w:szCs w:val="21"/>
                <w:highlight w:val="none"/>
              </w:rPr>
              <w:t>的第三方检测报告</w:t>
            </w:r>
            <w:r>
              <w:rPr>
                <w:rFonts w:hint="eastAsia" w:ascii="宋体" w:hAnsi="宋体" w:eastAsia="宋体" w:cs="宋体"/>
                <w:color w:val="auto"/>
                <w:sz w:val="21"/>
                <w:szCs w:val="21"/>
                <w:highlight w:val="none"/>
                <w:lang w:eastAsia="zh-CN"/>
              </w:rPr>
              <w:t>。</w:t>
            </w:r>
          </w:p>
          <w:p w14:paraId="3BA3665B">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6、光源类型：LED；</w:t>
            </w:r>
          </w:p>
          <w:p w14:paraId="4DAE00F9">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7、灯功率：聚光≥45W、泛光≥100W；</w:t>
            </w:r>
          </w:p>
          <w:p w14:paraId="38D42FB1">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8、光通量：泛光≥14000LM、聚光≥3600LM；</w:t>
            </w:r>
          </w:p>
          <w:p w14:paraId="33078427">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9、光照度：泛光强光模式下，5米处中心光照度≥519LX,10米处中心光照度≥106LX；</w:t>
            </w:r>
          </w:p>
          <w:p w14:paraId="003E539E">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聚光强光模式下，5米处中心光照度≥648LX,10米处中心光照度≥127LX；</w:t>
            </w:r>
          </w:p>
          <w:p w14:paraId="5B433E95">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10、电量显示：设备自带电量显示功能,随时掌控电量；</w:t>
            </w:r>
          </w:p>
          <w:p w14:paraId="45B8966B">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11、输出方式：USB、Type-C、220V输出，支持USB输出快充功能；</w:t>
            </w:r>
          </w:p>
          <w:p w14:paraId="74D7F1B1">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12、输出功率：USB≥24W，Type-C≥35W；</w:t>
            </w:r>
          </w:p>
          <w:p w14:paraId="405232C1">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13、220V输出：满足各种小功率产品的户外用电需求；</w:t>
            </w:r>
          </w:p>
          <w:p w14:paraId="10815026">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★14、电池容量≥1000Wh；</w:t>
            </w:r>
          </w:p>
          <w:p w14:paraId="46D72D48">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15、防护等级≥IP65；</w:t>
            </w:r>
          </w:p>
          <w:p w14:paraId="5FD6A939">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16、灯头升降高度≥2.2m；</w:t>
            </w:r>
          </w:p>
          <w:p w14:paraId="6CDFCC26">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17、整机重量≤12Kg；</w:t>
            </w:r>
          </w:p>
          <w:p w14:paraId="56D3D697">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18、外形尺寸≥300mm*230mm *670mm  储物盒尺寸≥240mm*130mm*250mm ； </w:t>
            </w:r>
          </w:p>
          <w:p w14:paraId="348690E6">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19、带GPS定位功能；</w:t>
            </w:r>
          </w:p>
          <w:p w14:paraId="5538E280">
            <w:pPr>
              <w:numPr>
                <w:ilvl w:val="0"/>
                <w:numId w:val="0"/>
              </w:numPr>
              <w:ind w:left="0" w:leftChars="0" w:firstLine="0" w:firstLineChars="0"/>
              <w:rPr>
                <w:rFonts w:hint="eastAsia" w:ascii="宋体" w:hAnsi="宋体" w:eastAsia="宋体" w:cs="宋体"/>
                <w:color w:val="auto"/>
                <w:kern w:val="0"/>
                <w:szCs w:val="21"/>
                <w:highlight w:val="none"/>
              </w:rPr>
            </w:pPr>
            <w:r>
              <w:rPr>
                <w:rFonts w:hint="eastAsia" w:ascii="宋体" w:hAnsi="宋体" w:eastAsia="宋体" w:cs="宋体"/>
                <w:b/>
                <w:bCs/>
                <w:color w:val="auto"/>
                <w:sz w:val="21"/>
                <w:szCs w:val="21"/>
                <w:highlight w:val="none"/>
              </w:rPr>
              <w:t>标★参数需提供带CMA或者CNAS</w:t>
            </w:r>
            <w:r>
              <w:rPr>
                <w:rFonts w:hint="eastAsia" w:ascii="宋体" w:hAnsi="宋体" w:cs="宋体"/>
                <w:b/>
                <w:bCs/>
                <w:color w:val="auto"/>
                <w:sz w:val="21"/>
                <w:szCs w:val="21"/>
                <w:highlight w:val="none"/>
                <w:lang w:val="en-US" w:eastAsia="zh-CN"/>
              </w:rPr>
              <w:t>标志</w:t>
            </w:r>
            <w:r>
              <w:rPr>
                <w:rFonts w:hint="eastAsia" w:ascii="宋体" w:hAnsi="宋体" w:eastAsia="宋体" w:cs="宋体"/>
                <w:b/>
                <w:bCs/>
                <w:color w:val="auto"/>
                <w:sz w:val="21"/>
                <w:szCs w:val="21"/>
                <w:highlight w:val="none"/>
              </w:rPr>
              <w:t>的第三方检测报告</w:t>
            </w:r>
            <w:r>
              <w:rPr>
                <w:rFonts w:hint="eastAsia" w:ascii="宋体" w:hAnsi="宋体" w:eastAsia="宋体" w:cs="宋体"/>
                <w:b/>
                <w:bCs/>
                <w:color w:val="auto"/>
                <w:sz w:val="21"/>
                <w:szCs w:val="21"/>
                <w:highlight w:val="none"/>
                <w:lang w:eastAsia="zh-CN"/>
              </w:rPr>
              <w:t>。</w:t>
            </w:r>
          </w:p>
        </w:tc>
        <w:tc>
          <w:tcPr>
            <w:tcW w:w="809" w:type="dxa"/>
            <w:noWrap w:val="0"/>
            <w:vAlign w:val="center"/>
          </w:tcPr>
          <w:p w14:paraId="729762BF">
            <w:pPr>
              <w:widowControl/>
              <w:jc w:val="left"/>
              <w:textAlignment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20000元/台</w:t>
            </w:r>
          </w:p>
        </w:tc>
      </w:tr>
      <w:tr w14:paraId="5212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65816A82">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1054" w:type="dxa"/>
            <w:shd w:val="clear" w:color="000000" w:fill="CCE8CF"/>
            <w:noWrap w:val="0"/>
            <w:vAlign w:val="center"/>
          </w:tcPr>
          <w:p w14:paraId="0E9AF335">
            <w:pPr>
              <w:widowControl/>
              <w:jc w:val="left"/>
              <w:rPr>
                <w:rFonts w:hint="eastAsia" w:ascii="宋体" w:hAnsi="宋体" w:cs="宋体"/>
                <w:color w:val="auto"/>
                <w:kern w:val="0"/>
                <w:szCs w:val="21"/>
                <w:highlight w:val="none"/>
                <w:lang w:bidi="ar"/>
              </w:rPr>
            </w:pPr>
            <w:r>
              <w:rPr>
                <w:rFonts w:hint="eastAsia" w:ascii="宋体" w:hAnsi="宋体" w:eastAsia="宋体" w:cs="宋体"/>
                <w:color w:val="auto"/>
                <w:sz w:val="21"/>
                <w:szCs w:val="21"/>
                <w:highlight w:val="none"/>
              </w:rPr>
              <w:t>油锯</w:t>
            </w:r>
          </w:p>
        </w:tc>
        <w:tc>
          <w:tcPr>
            <w:tcW w:w="815" w:type="dxa"/>
            <w:noWrap w:val="0"/>
            <w:vAlign w:val="center"/>
          </w:tcPr>
          <w:p w14:paraId="2C955F98">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台</w:t>
            </w:r>
          </w:p>
        </w:tc>
        <w:tc>
          <w:tcPr>
            <w:tcW w:w="882" w:type="dxa"/>
            <w:noWrap w:val="0"/>
            <w:vAlign w:val="center"/>
          </w:tcPr>
          <w:p w14:paraId="0F5D58A2">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200</w:t>
            </w:r>
          </w:p>
        </w:tc>
        <w:tc>
          <w:tcPr>
            <w:tcW w:w="5268" w:type="dxa"/>
            <w:noWrap w:val="0"/>
            <w:vAlign w:val="center"/>
          </w:tcPr>
          <w:p w14:paraId="69259C97">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lang w:val="en-US" w:eastAsia="zh-CN"/>
              </w:rPr>
              <w:t>符合《GB/T5392-2017 林业机械 便携式手持油锯》国家标准</w:t>
            </w:r>
          </w:p>
          <w:p w14:paraId="496877BF">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lang w:val="en-US" w:eastAsia="zh-CN"/>
              </w:rPr>
              <w:t>产品发动机为二冲程环保发动机</w:t>
            </w:r>
            <w:r>
              <w:rPr>
                <w:rFonts w:hint="eastAsia" w:ascii="宋体" w:hAnsi="宋体" w:cs="宋体"/>
                <w:color w:val="auto"/>
                <w:sz w:val="21"/>
                <w:szCs w:val="21"/>
                <w:highlight w:val="none"/>
                <w:lang w:val="en-US" w:eastAsia="zh-CN"/>
              </w:rPr>
              <w:t>。</w:t>
            </w:r>
          </w:p>
          <w:p w14:paraId="0F305830">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lang w:val="en-US" w:eastAsia="zh-CN"/>
              </w:rPr>
              <w:t>发动机功率</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1.5kw</w:t>
            </w:r>
            <w:r>
              <w:rPr>
                <w:rFonts w:hint="eastAsia" w:ascii="宋体" w:hAnsi="宋体" w:cs="宋体"/>
                <w:color w:val="auto"/>
                <w:sz w:val="21"/>
                <w:szCs w:val="21"/>
                <w:highlight w:val="none"/>
                <w:lang w:val="en-US" w:eastAsia="zh-CN"/>
              </w:rPr>
              <w:t>；</w:t>
            </w:r>
          </w:p>
          <w:p w14:paraId="639543F7">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lang w:val="en-US" w:eastAsia="zh-CN"/>
              </w:rPr>
              <w:t>排量：≤39.6cc</w:t>
            </w:r>
          </w:p>
          <w:p w14:paraId="6B6CFF86">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sz w:val="21"/>
                <w:szCs w:val="21"/>
                <w:highlight w:val="none"/>
                <w:lang w:val="en-US" w:eastAsia="zh-CN"/>
              </w:rPr>
              <w:t>重量：≤4.3kg</w:t>
            </w:r>
          </w:p>
          <w:p w14:paraId="1C272735">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sz w:val="21"/>
                <w:szCs w:val="21"/>
                <w:highlight w:val="none"/>
                <w:lang w:val="en-US" w:eastAsia="zh-CN"/>
              </w:rPr>
              <w:t>常温启动时间：≤7s；低温启动时间≤15s</w:t>
            </w:r>
          </w:p>
          <w:p w14:paraId="34D16C3D">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sz w:val="21"/>
                <w:szCs w:val="21"/>
                <w:highlight w:val="none"/>
                <w:lang w:val="en-US" w:eastAsia="zh-CN"/>
              </w:rPr>
              <w:t>发动机最低燃油消耗：≤572g/kwh</w:t>
            </w:r>
            <w:r>
              <w:rPr>
                <w:rFonts w:hint="eastAsia" w:ascii="宋体" w:hAnsi="宋体" w:cs="宋体"/>
                <w:color w:val="auto"/>
                <w:sz w:val="21"/>
                <w:szCs w:val="21"/>
                <w:highlight w:val="none"/>
                <w:lang w:val="en-US" w:eastAsia="zh-CN"/>
              </w:rPr>
              <w:t>；</w:t>
            </w:r>
          </w:p>
          <w:p w14:paraId="440EE265">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8、</w:t>
            </w:r>
            <w:r>
              <w:rPr>
                <w:rFonts w:hint="eastAsia" w:ascii="宋体" w:hAnsi="宋体" w:eastAsia="宋体" w:cs="宋体"/>
                <w:color w:val="auto"/>
                <w:sz w:val="21"/>
                <w:szCs w:val="21"/>
                <w:highlight w:val="none"/>
                <w:lang w:val="en-US" w:eastAsia="zh-CN"/>
              </w:rPr>
              <w:t>锯切效率：≥52cm²/s</w:t>
            </w:r>
            <w:r>
              <w:rPr>
                <w:rFonts w:hint="eastAsia" w:ascii="宋体" w:hAnsi="宋体" w:cs="宋体"/>
                <w:color w:val="auto"/>
                <w:sz w:val="21"/>
                <w:szCs w:val="21"/>
                <w:highlight w:val="none"/>
                <w:lang w:val="en-US" w:eastAsia="zh-CN"/>
              </w:rPr>
              <w:t>；</w:t>
            </w:r>
          </w:p>
          <w:p w14:paraId="309C040B">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sz w:val="21"/>
                <w:szCs w:val="21"/>
                <w:highlight w:val="none"/>
                <w:lang w:val="en-US" w:eastAsia="zh-CN"/>
              </w:rPr>
              <w:t>锯切燃油消耗率：≤61g/m²</w:t>
            </w:r>
          </w:p>
          <w:p w14:paraId="40C8BEF5">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sz w:val="21"/>
                <w:szCs w:val="21"/>
                <w:highlight w:val="none"/>
                <w:lang w:val="en-US" w:eastAsia="zh-CN"/>
              </w:rPr>
              <w:t>链锯制动时间：≤0.15s</w:t>
            </w:r>
          </w:p>
          <w:p w14:paraId="01646F5C">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11、</w:t>
            </w:r>
            <w:r>
              <w:rPr>
                <w:rFonts w:hint="eastAsia" w:ascii="宋体" w:hAnsi="宋体" w:eastAsia="宋体" w:cs="宋体"/>
                <w:color w:val="auto"/>
                <w:sz w:val="21"/>
                <w:szCs w:val="21"/>
                <w:highlight w:val="none"/>
                <w:lang w:val="en-US" w:eastAsia="zh-CN"/>
              </w:rPr>
              <w:t>怠速性能不高于标定转速的40%</w:t>
            </w:r>
          </w:p>
          <w:p w14:paraId="2671E893">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12、</w:t>
            </w:r>
            <w:r>
              <w:rPr>
                <w:rFonts w:hint="eastAsia" w:ascii="宋体" w:hAnsi="宋体" w:eastAsia="宋体" w:cs="宋体"/>
                <w:color w:val="auto"/>
                <w:sz w:val="21"/>
                <w:szCs w:val="21"/>
                <w:highlight w:val="none"/>
                <w:lang w:val="en-US" w:eastAsia="zh-CN"/>
              </w:rPr>
              <w:t>手把振动：≤9.1m/s²</w:t>
            </w:r>
            <w:r>
              <w:rPr>
                <w:rFonts w:hint="eastAsia" w:ascii="宋体" w:hAnsi="宋体" w:cs="宋体"/>
                <w:color w:val="auto"/>
                <w:sz w:val="21"/>
                <w:szCs w:val="21"/>
                <w:highlight w:val="none"/>
                <w:lang w:val="en-US" w:eastAsia="zh-CN"/>
              </w:rPr>
              <w:t>；</w:t>
            </w:r>
          </w:p>
          <w:p w14:paraId="68450280">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13、</w:t>
            </w:r>
            <w:r>
              <w:rPr>
                <w:rFonts w:hint="eastAsia" w:ascii="宋体" w:hAnsi="宋体" w:eastAsia="宋体" w:cs="宋体"/>
                <w:color w:val="auto"/>
                <w:sz w:val="21"/>
                <w:szCs w:val="21"/>
                <w:highlight w:val="none"/>
                <w:lang w:val="en-US" w:eastAsia="zh-CN"/>
              </w:rPr>
              <w:t>噪音dB(A)：怠速≤83；高速空转≤104.5；满负荷≤102.7</w:t>
            </w:r>
          </w:p>
          <w:p w14:paraId="01440821">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14、</w:t>
            </w:r>
            <w:r>
              <w:rPr>
                <w:rFonts w:hint="eastAsia" w:ascii="宋体" w:hAnsi="宋体" w:eastAsia="宋体" w:cs="宋体"/>
                <w:color w:val="auto"/>
                <w:sz w:val="21"/>
                <w:szCs w:val="21"/>
                <w:highlight w:val="none"/>
                <w:lang w:val="en-US" w:eastAsia="zh-CN"/>
              </w:rPr>
              <w:t>配置能迅速停止运转的发动机停机开关；</w:t>
            </w:r>
          </w:p>
          <w:p w14:paraId="378AB38C">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15、</w:t>
            </w:r>
            <w:r>
              <w:rPr>
                <w:rFonts w:hint="eastAsia" w:ascii="宋体" w:hAnsi="宋体" w:eastAsia="宋体" w:cs="宋体"/>
                <w:color w:val="auto"/>
                <w:sz w:val="21"/>
                <w:szCs w:val="21"/>
                <w:highlight w:val="none"/>
              </w:rPr>
              <w:t>燃油箱容量</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410</w:t>
            </w:r>
            <w:r>
              <w:rPr>
                <w:rFonts w:hint="eastAsia" w:ascii="宋体" w:hAnsi="宋体" w:eastAsia="宋体" w:cs="宋体"/>
                <w:color w:val="auto"/>
                <w:sz w:val="21"/>
                <w:szCs w:val="21"/>
                <w:highlight w:val="none"/>
                <w:lang w:val="en-US" w:eastAsia="zh-CN"/>
              </w:rPr>
              <w:t xml:space="preserve"> ML</w:t>
            </w:r>
          </w:p>
          <w:p w14:paraId="47687B6A">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16、</w:t>
            </w:r>
            <w:r>
              <w:rPr>
                <w:rFonts w:hint="eastAsia" w:ascii="宋体" w:hAnsi="宋体" w:eastAsia="宋体" w:cs="宋体"/>
                <w:color w:val="auto"/>
                <w:sz w:val="21"/>
                <w:szCs w:val="21"/>
                <w:highlight w:val="none"/>
                <w:lang w:val="en-US" w:eastAsia="zh-CN"/>
              </w:rPr>
              <w:t>机</w:t>
            </w:r>
            <w:r>
              <w:rPr>
                <w:rFonts w:hint="eastAsia" w:ascii="宋体" w:hAnsi="宋体" w:eastAsia="宋体" w:cs="宋体"/>
                <w:color w:val="auto"/>
                <w:sz w:val="21"/>
                <w:szCs w:val="21"/>
                <w:highlight w:val="none"/>
              </w:rPr>
              <w:t>油箱容量</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240</w:t>
            </w:r>
            <w:r>
              <w:rPr>
                <w:rFonts w:hint="eastAsia" w:ascii="宋体" w:hAnsi="宋体" w:eastAsia="宋体" w:cs="宋体"/>
                <w:color w:val="auto"/>
                <w:sz w:val="21"/>
                <w:szCs w:val="21"/>
                <w:highlight w:val="none"/>
                <w:lang w:val="en-US" w:eastAsia="zh-CN"/>
              </w:rPr>
              <w:t xml:space="preserve"> ML</w:t>
            </w:r>
          </w:p>
          <w:p w14:paraId="057DE310">
            <w:pPr>
              <w:numPr>
                <w:ilvl w:val="0"/>
                <w:numId w:val="0"/>
              </w:numPr>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
              </w:rPr>
              <w:t>17、</w:t>
            </w:r>
            <w:r>
              <w:rPr>
                <w:rFonts w:hint="eastAsia" w:ascii="宋体" w:hAnsi="宋体" w:eastAsia="宋体" w:cs="宋体"/>
                <w:color w:val="auto"/>
                <w:sz w:val="21"/>
                <w:szCs w:val="21"/>
                <w:highlight w:val="none"/>
              </w:rPr>
              <w:t>燃油混合比:</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40</w:t>
            </w:r>
          </w:p>
        </w:tc>
        <w:tc>
          <w:tcPr>
            <w:tcW w:w="809" w:type="dxa"/>
            <w:noWrap w:val="0"/>
            <w:vAlign w:val="center"/>
          </w:tcPr>
          <w:p w14:paraId="58151E84">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1000元/台</w:t>
            </w:r>
          </w:p>
        </w:tc>
      </w:tr>
      <w:tr w14:paraId="44DD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09CC077F">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054" w:type="dxa"/>
            <w:shd w:val="clear" w:color="000000" w:fill="CCE8CF"/>
            <w:noWrap w:val="0"/>
            <w:vAlign w:val="center"/>
          </w:tcPr>
          <w:p w14:paraId="0F6AE2A0">
            <w:pPr>
              <w:widowControl/>
              <w:jc w:val="left"/>
              <w:rPr>
                <w:rFonts w:hint="eastAsia" w:ascii="宋体" w:hAnsi="宋体" w:cs="宋体"/>
                <w:color w:val="auto"/>
                <w:kern w:val="0"/>
                <w:szCs w:val="21"/>
                <w:highlight w:val="none"/>
                <w:lang w:bidi="ar"/>
              </w:rPr>
            </w:pPr>
            <w:r>
              <w:rPr>
                <w:rFonts w:hint="eastAsia" w:ascii="宋体" w:hAnsi="宋体" w:eastAsia="宋体" w:cs="宋体"/>
                <w:color w:val="auto"/>
                <w:sz w:val="21"/>
                <w:szCs w:val="21"/>
                <w:highlight w:val="none"/>
              </w:rPr>
              <w:t>铁锹</w:t>
            </w:r>
          </w:p>
        </w:tc>
        <w:tc>
          <w:tcPr>
            <w:tcW w:w="815" w:type="dxa"/>
            <w:noWrap w:val="0"/>
            <w:vAlign w:val="center"/>
          </w:tcPr>
          <w:p w14:paraId="0DC44AEC">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把</w:t>
            </w:r>
          </w:p>
        </w:tc>
        <w:tc>
          <w:tcPr>
            <w:tcW w:w="882" w:type="dxa"/>
            <w:noWrap w:val="0"/>
            <w:vAlign w:val="center"/>
          </w:tcPr>
          <w:p w14:paraId="301AEED4">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CN"/>
              </w:rPr>
              <w:t>000</w:t>
            </w:r>
          </w:p>
        </w:tc>
        <w:tc>
          <w:tcPr>
            <w:tcW w:w="5268" w:type="dxa"/>
            <w:noWrap w:val="0"/>
            <w:vAlign w:val="center"/>
          </w:tcPr>
          <w:p w14:paraId="44997D9E">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1、用途：应急救灾等。</w:t>
            </w:r>
          </w:p>
          <w:p w14:paraId="200A84BD">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2、材质：铁锹头采用45号高碳钢，木柄采用水曲柳。</w:t>
            </w:r>
          </w:p>
          <w:p w14:paraId="24936052">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3、铲面硬度≥HRC45-50。</w:t>
            </w:r>
          </w:p>
          <w:p w14:paraId="3A2C2677">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4、铁锹全长≥120cm。</w:t>
            </w:r>
          </w:p>
          <w:p w14:paraId="0EE67052">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5、铁锹头尺寸：长≥30cm，宽≥24cm，厚≥2mm。</w:t>
            </w:r>
          </w:p>
          <w:p w14:paraId="5AF54B25">
            <w:pPr>
              <w:widowControl/>
              <w:numPr>
                <w:ilvl w:val="0"/>
                <w:numId w:val="0"/>
              </w:numPr>
              <w:ind w:left="0" w:leftChars="0" w:firstLine="0" w:firstLineChars="0"/>
              <w:jc w:val="left"/>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en-US" w:eastAsia="zh-CN" w:bidi="ar"/>
              </w:rPr>
              <w:t>6、总重量≤1.8kg。</w:t>
            </w:r>
          </w:p>
        </w:tc>
        <w:tc>
          <w:tcPr>
            <w:tcW w:w="809" w:type="dxa"/>
            <w:noWrap w:val="0"/>
            <w:vAlign w:val="center"/>
          </w:tcPr>
          <w:p w14:paraId="2557A555">
            <w:pPr>
              <w:widowControl/>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36元/把</w:t>
            </w:r>
          </w:p>
        </w:tc>
      </w:tr>
      <w:tr w14:paraId="6D2D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738DAA6C">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054" w:type="dxa"/>
            <w:shd w:val="clear" w:color="000000" w:fill="CCE8CF"/>
            <w:noWrap w:val="0"/>
            <w:vAlign w:val="center"/>
          </w:tcPr>
          <w:p w14:paraId="014986E9">
            <w:pPr>
              <w:widowControl/>
              <w:jc w:val="left"/>
              <w:rPr>
                <w:rFonts w:hint="eastAsia" w:ascii="宋体" w:hAnsi="宋体" w:cs="宋体"/>
                <w:color w:val="auto"/>
                <w:kern w:val="0"/>
                <w:szCs w:val="21"/>
                <w:highlight w:val="none"/>
                <w:lang w:bidi="ar"/>
              </w:rPr>
            </w:pPr>
            <w:r>
              <w:rPr>
                <w:rFonts w:hint="eastAsia" w:ascii="宋体" w:hAnsi="宋体" w:eastAsia="宋体" w:cs="宋体"/>
                <w:i w:val="0"/>
                <w:iCs w:val="0"/>
                <w:color w:val="auto"/>
                <w:kern w:val="0"/>
                <w:sz w:val="21"/>
                <w:szCs w:val="21"/>
                <w:highlight w:val="none"/>
                <w:u w:val="none"/>
                <w:lang w:val="en-US" w:eastAsia="zh-CN" w:bidi="ar"/>
              </w:rPr>
              <w:t>户外大型移动电源</w:t>
            </w:r>
          </w:p>
        </w:tc>
        <w:tc>
          <w:tcPr>
            <w:tcW w:w="815" w:type="dxa"/>
            <w:noWrap w:val="0"/>
            <w:vAlign w:val="center"/>
          </w:tcPr>
          <w:p w14:paraId="5395B10A">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套</w:t>
            </w:r>
          </w:p>
        </w:tc>
        <w:tc>
          <w:tcPr>
            <w:tcW w:w="882" w:type="dxa"/>
            <w:noWrap w:val="0"/>
            <w:vAlign w:val="center"/>
          </w:tcPr>
          <w:p w14:paraId="184779E6">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20</w:t>
            </w:r>
          </w:p>
        </w:tc>
        <w:tc>
          <w:tcPr>
            <w:tcW w:w="5268" w:type="dxa"/>
            <w:noWrap w:val="0"/>
            <w:vAlign w:val="center"/>
          </w:tcPr>
          <w:p w14:paraId="7D9EDFC1">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1、产品尺寸≤409*299*307mm；</w:t>
            </w:r>
          </w:p>
          <w:p w14:paraId="14FCB3D4">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2、重量≤25.8±0.5kg；</w:t>
            </w:r>
          </w:p>
          <w:p w14:paraId="7827430D">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★3、额定容量≥2240Wh；</w:t>
            </w:r>
          </w:p>
          <w:p w14:paraId="222CCEDB">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4、电池类型：磷酸铁锂；</w:t>
            </w:r>
          </w:p>
          <w:p w14:paraId="09962668">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5、循环寿命≥4000+次（循环后容量≥80%）；</w:t>
            </w:r>
          </w:p>
          <w:p w14:paraId="5A69FE95">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6、显示器：LED显示屏；</w:t>
            </w:r>
          </w:p>
          <w:p w14:paraId="73635853">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7、材质：金属；</w:t>
            </w:r>
          </w:p>
          <w:p w14:paraId="7CF0158E">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8、最大额定输出功率≥2400W；</w:t>
            </w:r>
          </w:p>
          <w:p w14:paraId="6FA9A4E6">
            <w:pPr>
              <w:widowControl/>
              <w:numPr>
                <w:ilvl w:val="0"/>
                <w:numId w:val="0"/>
              </w:numPr>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9、充电时间≤100分钟；</w:t>
            </w:r>
          </w:p>
          <w:p w14:paraId="660FB73E">
            <w:pPr>
              <w:widowControl/>
              <w:numPr>
                <w:ilvl w:val="0"/>
                <w:numId w:val="0"/>
              </w:numPr>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10、输出口：2个type-c，2个USB，4个五孔插座，1个车充输出，2个DC输出；</w:t>
            </w:r>
          </w:p>
          <w:p w14:paraId="76B613FB">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11、配备电池管理系统，对电池过流保护、过充保护、过压保护、过温保护、过放保护、短路保护等；</w:t>
            </w:r>
          </w:p>
          <w:p w14:paraId="74BB7B10">
            <w:pPr>
              <w:widowControl/>
              <w:numPr>
                <w:ilvl w:val="0"/>
                <w:numId w:val="0"/>
              </w:numPr>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12、智能控制：支持蓝牙APP操作；</w:t>
            </w:r>
          </w:p>
          <w:p w14:paraId="3C11404A">
            <w:pPr>
              <w:widowControl/>
              <w:numPr>
                <w:ilvl w:val="0"/>
                <w:numId w:val="0"/>
              </w:numPr>
              <w:ind w:left="0" w:leftChars="0" w:firstLine="0" w:firstLineChars="0"/>
              <w:jc w:val="left"/>
              <w:rPr>
                <w:rFonts w:hint="eastAsia" w:ascii="宋体" w:hAnsi="宋体" w:eastAsia="宋体" w:cs="宋体"/>
                <w:color w:val="auto"/>
                <w:kern w:val="0"/>
                <w:szCs w:val="21"/>
                <w:highlight w:val="none"/>
              </w:rPr>
            </w:pPr>
            <w:r>
              <w:rPr>
                <w:rFonts w:hint="eastAsia" w:ascii="宋体" w:hAnsi="宋体" w:eastAsia="宋体" w:cs="宋体"/>
                <w:b/>
                <w:bCs/>
                <w:color w:val="auto"/>
                <w:sz w:val="21"/>
                <w:szCs w:val="21"/>
                <w:highlight w:val="none"/>
              </w:rPr>
              <w:t>标★参数需提供带CMA或者CNAS</w:t>
            </w:r>
            <w:r>
              <w:rPr>
                <w:rFonts w:hint="eastAsia" w:ascii="宋体" w:hAnsi="宋体" w:cs="宋体"/>
                <w:b/>
                <w:bCs/>
                <w:color w:val="auto"/>
                <w:sz w:val="21"/>
                <w:szCs w:val="21"/>
                <w:highlight w:val="none"/>
                <w:lang w:val="en-US" w:eastAsia="zh-CN"/>
              </w:rPr>
              <w:t>标志</w:t>
            </w:r>
            <w:r>
              <w:rPr>
                <w:rFonts w:hint="eastAsia" w:ascii="宋体" w:hAnsi="宋体" w:eastAsia="宋体" w:cs="宋体"/>
                <w:b/>
                <w:bCs/>
                <w:color w:val="auto"/>
                <w:sz w:val="21"/>
                <w:szCs w:val="21"/>
                <w:highlight w:val="none"/>
              </w:rPr>
              <w:t>的第三方检测报告</w:t>
            </w:r>
            <w:r>
              <w:rPr>
                <w:rFonts w:hint="eastAsia" w:ascii="宋体" w:hAnsi="宋体" w:eastAsia="宋体" w:cs="宋体"/>
                <w:b/>
                <w:bCs/>
                <w:color w:val="auto"/>
                <w:sz w:val="21"/>
                <w:szCs w:val="21"/>
                <w:highlight w:val="none"/>
                <w:lang w:eastAsia="zh-CN"/>
              </w:rPr>
              <w:t>。</w:t>
            </w:r>
          </w:p>
        </w:tc>
        <w:tc>
          <w:tcPr>
            <w:tcW w:w="809" w:type="dxa"/>
            <w:noWrap w:val="0"/>
            <w:vAlign w:val="center"/>
          </w:tcPr>
          <w:p w14:paraId="4CDBB522">
            <w:pPr>
              <w:widowControl/>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8000元/套</w:t>
            </w:r>
          </w:p>
        </w:tc>
      </w:tr>
      <w:tr w14:paraId="2B83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4F18F24F">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c>
          <w:tcPr>
            <w:tcW w:w="1054" w:type="dxa"/>
            <w:shd w:val="clear" w:color="000000" w:fill="CCE8CF"/>
            <w:noWrap w:val="0"/>
            <w:vAlign w:val="center"/>
          </w:tcPr>
          <w:p w14:paraId="6534894D">
            <w:pPr>
              <w:widowControl/>
              <w:jc w:val="left"/>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柴油发电机（50kw）</w:t>
            </w:r>
          </w:p>
        </w:tc>
        <w:tc>
          <w:tcPr>
            <w:tcW w:w="815" w:type="dxa"/>
            <w:noWrap w:val="0"/>
            <w:vAlign w:val="center"/>
          </w:tcPr>
          <w:p w14:paraId="5ED1CBAD">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套</w:t>
            </w:r>
          </w:p>
        </w:tc>
        <w:tc>
          <w:tcPr>
            <w:tcW w:w="882" w:type="dxa"/>
            <w:noWrap w:val="0"/>
            <w:vAlign w:val="center"/>
          </w:tcPr>
          <w:p w14:paraId="5C0FE2B8">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 w:val="21"/>
                <w:szCs w:val="21"/>
                <w:highlight w:val="none"/>
                <w:lang w:val="en-US" w:eastAsia="zh-CN"/>
              </w:rPr>
              <w:t>10</w:t>
            </w:r>
          </w:p>
        </w:tc>
        <w:tc>
          <w:tcPr>
            <w:tcW w:w="5268" w:type="dxa"/>
            <w:noWrap w:val="0"/>
            <w:vAlign w:val="center"/>
          </w:tcPr>
          <w:p w14:paraId="6C7938EB">
            <w:pPr>
              <w:widowControl/>
              <w:numPr>
                <w:ilvl w:val="0"/>
                <w:numId w:val="0"/>
              </w:numPr>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1、符合行业执行标准</w:t>
            </w:r>
          </w:p>
          <w:p w14:paraId="1CEAE0DC">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 xml:space="preserve">YD/T 502—2020 </w:t>
            </w:r>
            <w:r>
              <w:rPr>
                <w:rFonts w:hint="eastAsia" w:ascii="宋体" w:hAnsi="宋体" w:eastAsia="宋体" w:cs="宋体"/>
                <w:color w:val="auto"/>
                <w:kern w:val="0"/>
                <w:sz w:val="21"/>
                <w:szCs w:val="21"/>
                <w:highlight w:val="none"/>
                <w:lang w:val="en-US" w:eastAsia="zh-CN" w:bidi="ar"/>
              </w:rPr>
              <w:t>通信用低压柴油发电机组 ；</w:t>
            </w:r>
          </w:p>
          <w:p w14:paraId="0A22DA29">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GB/T 20136</w:t>
            </w:r>
            <w:r>
              <w:rPr>
                <w:rFonts w:hint="eastAsia" w:ascii="宋体" w:hAnsi="宋体" w:eastAsia="宋体" w:cs="宋体"/>
                <w:color w:val="auto"/>
                <w:kern w:val="0"/>
                <w:sz w:val="21"/>
                <w:szCs w:val="21"/>
                <w:highlight w:val="none"/>
                <w:lang w:val="en-US" w:eastAsia="zh-CN" w:bidi="ar"/>
              </w:rPr>
              <w:t>—</w:t>
            </w:r>
            <w:r>
              <w:rPr>
                <w:rFonts w:hint="default" w:ascii="宋体" w:hAnsi="宋体" w:eastAsia="宋体" w:cs="宋体"/>
                <w:color w:val="auto"/>
                <w:kern w:val="0"/>
                <w:sz w:val="21"/>
                <w:szCs w:val="21"/>
                <w:highlight w:val="none"/>
                <w:lang w:val="en-US" w:eastAsia="zh-CN" w:bidi="ar"/>
              </w:rPr>
              <w:t xml:space="preserve">2006 </w:t>
            </w:r>
            <w:r>
              <w:rPr>
                <w:rFonts w:hint="eastAsia" w:ascii="宋体" w:hAnsi="宋体" w:eastAsia="宋体" w:cs="宋体"/>
                <w:color w:val="auto"/>
                <w:kern w:val="0"/>
                <w:sz w:val="21"/>
                <w:szCs w:val="21"/>
                <w:highlight w:val="none"/>
                <w:lang w:val="en-US" w:eastAsia="zh-CN" w:bidi="ar"/>
              </w:rPr>
              <w:t>内燃机电站通用试验方法 ；</w:t>
            </w:r>
          </w:p>
          <w:p w14:paraId="1D505FE9">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 xml:space="preserve">GB/T 2820.5—2009 </w:t>
            </w:r>
            <w:r>
              <w:rPr>
                <w:rFonts w:hint="eastAsia" w:ascii="宋体" w:hAnsi="宋体" w:eastAsia="宋体" w:cs="宋体"/>
                <w:color w:val="auto"/>
                <w:kern w:val="0"/>
                <w:sz w:val="21"/>
                <w:szCs w:val="21"/>
                <w:highlight w:val="none"/>
                <w:lang w:val="en-US" w:eastAsia="zh-CN" w:bidi="ar"/>
              </w:rPr>
              <w:t xml:space="preserve">往复式内燃机驱动的交流发电机组 第 </w:t>
            </w:r>
            <w:r>
              <w:rPr>
                <w:rFonts w:hint="default" w:ascii="宋体" w:hAnsi="宋体" w:eastAsia="宋体" w:cs="宋体"/>
                <w:color w:val="auto"/>
                <w:kern w:val="0"/>
                <w:sz w:val="21"/>
                <w:szCs w:val="21"/>
                <w:highlight w:val="none"/>
                <w:lang w:val="en-US" w:eastAsia="zh-CN" w:bidi="ar"/>
              </w:rPr>
              <w:t xml:space="preserve">5 </w:t>
            </w:r>
            <w:r>
              <w:rPr>
                <w:rFonts w:hint="eastAsia" w:ascii="宋体" w:hAnsi="宋体" w:eastAsia="宋体" w:cs="宋体"/>
                <w:color w:val="auto"/>
                <w:kern w:val="0"/>
                <w:sz w:val="21"/>
                <w:szCs w:val="21"/>
                <w:highlight w:val="none"/>
                <w:lang w:val="en-US" w:eastAsia="zh-CN" w:bidi="ar"/>
              </w:rPr>
              <w:t>部分：发电机组；</w:t>
            </w:r>
          </w:p>
          <w:p w14:paraId="4EE26DD7">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机组配置清单：柴油发动机1台、交流发电机1台、智能控制屏1套、断路器1套、移动静音箱1只、底盘1个、散热器1只、减震器1套、蓄电池及连接线1组、消音器1套、发动机附件箱1套、随机说明书1套。</w:t>
            </w:r>
          </w:p>
          <w:p w14:paraId="036DE68B">
            <w:pPr>
              <w:widowControl/>
              <w:numPr>
                <w:ilvl w:val="0"/>
                <w:numId w:val="0"/>
              </w:numPr>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3、参数：</w:t>
            </w:r>
          </w:p>
          <w:p w14:paraId="5FAD6214">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额定功率≥50KW；</w:t>
            </w:r>
          </w:p>
          <w:p w14:paraId="3FCA3AE0">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额定电压：400/230V三相四线制；</w:t>
            </w:r>
          </w:p>
          <w:p w14:paraId="54C1AFD5">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额定转速≥1500rpm；</w:t>
            </w:r>
          </w:p>
          <w:p w14:paraId="221A3782">
            <w:pPr>
              <w:widowControl/>
              <w:numPr>
                <w:ilvl w:val="0"/>
                <w:numId w:val="0"/>
              </w:numPr>
              <w:jc w:val="left"/>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功率因数≥0.8；</w:t>
            </w:r>
          </w:p>
          <w:p w14:paraId="6CD33679">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噪声≤85db(A)；</w:t>
            </w:r>
          </w:p>
          <w:p w14:paraId="1E54FE73">
            <w:pPr>
              <w:widowControl/>
              <w:numPr>
                <w:ilvl w:val="0"/>
                <w:numId w:val="0"/>
              </w:numPr>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机组外形尺寸</w:t>
            </w:r>
            <w:r>
              <w:rPr>
                <w:rFonts w:hint="eastAsia" w:ascii="宋体" w:hAnsi="宋体" w:cs="宋体"/>
                <w:color w:val="auto"/>
                <w:kern w:val="0"/>
                <w:sz w:val="21"/>
                <w:szCs w:val="21"/>
                <w:highlight w:val="none"/>
                <w:lang w:val="en-US" w:eastAsia="zh-CN" w:bidi="ar"/>
              </w:rPr>
              <w:t>≤1900</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80</w:t>
            </w:r>
            <w:r>
              <w:rPr>
                <w:rFonts w:hint="eastAsia" w:ascii="宋体" w:hAnsi="宋体" w:eastAsia="宋体" w:cs="宋体"/>
                <w:color w:val="auto"/>
                <w:kern w:val="0"/>
                <w:sz w:val="21"/>
                <w:szCs w:val="21"/>
                <w:highlight w:val="none"/>
                <w:lang w:val="en-US" w:eastAsia="zh-CN" w:bidi="ar"/>
              </w:rPr>
              <w:t>0*1200mm；</w:t>
            </w:r>
          </w:p>
          <w:p w14:paraId="0B328196">
            <w:pPr>
              <w:widowControl/>
              <w:numPr>
                <w:ilvl w:val="0"/>
                <w:numId w:val="0"/>
              </w:numPr>
              <w:ind w:left="0" w:leftChars="0" w:firstLine="0" w:firstLineChars="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机组重量≤</w:t>
            </w:r>
            <w:r>
              <w:rPr>
                <w:rFonts w:hint="eastAsia" w:ascii="宋体" w:hAnsi="宋体" w:cs="宋体"/>
                <w:color w:val="auto"/>
                <w:kern w:val="0"/>
                <w:sz w:val="21"/>
                <w:szCs w:val="21"/>
                <w:highlight w:val="none"/>
                <w:lang w:val="en-US" w:eastAsia="zh-CN" w:bidi="ar"/>
              </w:rPr>
              <w:t>1000</w:t>
            </w:r>
            <w:r>
              <w:rPr>
                <w:rFonts w:hint="eastAsia" w:ascii="宋体" w:hAnsi="宋体" w:eastAsia="宋体" w:cs="宋体"/>
                <w:color w:val="auto"/>
                <w:kern w:val="0"/>
                <w:sz w:val="21"/>
                <w:szCs w:val="21"/>
                <w:highlight w:val="none"/>
                <w:lang w:val="en-US" w:eastAsia="zh-CN" w:bidi="ar"/>
              </w:rPr>
              <w:t>kg；</w:t>
            </w:r>
          </w:p>
          <w:p w14:paraId="2D1E4488">
            <w:pPr>
              <w:widowControl/>
              <w:numPr>
                <w:ilvl w:val="0"/>
                <w:numId w:val="0"/>
              </w:numPr>
              <w:ind w:left="0" w:leftChars="0" w:firstLine="0" w:firstLineChars="0"/>
              <w:jc w:val="left"/>
              <w:rPr>
                <w:rFonts w:hint="eastAsia" w:ascii="宋体" w:hAnsi="宋体" w:eastAsia="宋体" w:cs="宋体"/>
                <w:color w:val="auto"/>
                <w:kern w:val="0"/>
                <w:szCs w:val="21"/>
                <w:highlight w:val="none"/>
              </w:rPr>
            </w:pPr>
          </w:p>
        </w:tc>
        <w:tc>
          <w:tcPr>
            <w:tcW w:w="809" w:type="dxa"/>
            <w:noWrap w:val="0"/>
            <w:vAlign w:val="center"/>
          </w:tcPr>
          <w:p w14:paraId="2E8F2DCC">
            <w:pPr>
              <w:widowControl/>
              <w:textAlignment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60000元/套</w:t>
            </w:r>
          </w:p>
        </w:tc>
      </w:tr>
      <w:tr w14:paraId="40F5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03B67106">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8</w:t>
            </w:r>
          </w:p>
        </w:tc>
        <w:tc>
          <w:tcPr>
            <w:tcW w:w="1054" w:type="dxa"/>
            <w:shd w:val="clear" w:color="000000" w:fill="CCE8CF"/>
            <w:noWrap w:val="0"/>
            <w:vAlign w:val="center"/>
          </w:tcPr>
          <w:p w14:paraId="599C7F4E">
            <w:pPr>
              <w:widowControl/>
              <w:jc w:val="left"/>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汽油发电机</w:t>
            </w:r>
          </w:p>
        </w:tc>
        <w:tc>
          <w:tcPr>
            <w:tcW w:w="815" w:type="dxa"/>
            <w:noWrap w:val="0"/>
            <w:vAlign w:val="center"/>
          </w:tcPr>
          <w:p w14:paraId="2F51D59C">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台</w:t>
            </w:r>
          </w:p>
        </w:tc>
        <w:tc>
          <w:tcPr>
            <w:tcW w:w="882" w:type="dxa"/>
            <w:noWrap w:val="0"/>
            <w:vAlign w:val="center"/>
          </w:tcPr>
          <w:p w14:paraId="5178AF2D">
            <w:pPr>
              <w:widowControl/>
              <w:jc w:val="center"/>
              <w:rPr>
                <w:rFonts w:hint="default" w:ascii="宋体" w:hAnsi="宋体" w:cs="宋体"/>
                <w:color w:val="auto"/>
                <w:kern w:val="0"/>
                <w:szCs w:val="21"/>
                <w:highlight w:val="none"/>
                <w:lang w:val="en-US" w:bidi="ar"/>
              </w:rPr>
            </w:pPr>
            <w:r>
              <w:rPr>
                <w:rFonts w:hint="eastAsia" w:ascii="宋体" w:hAnsi="宋体" w:cs="宋体"/>
                <w:color w:val="auto"/>
                <w:kern w:val="0"/>
                <w:sz w:val="21"/>
                <w:szCs w:val="21"/>
                <w:highlight w:val="none"/>
                <w:lang w:val="en-US" w:eastAsia="zh-CN"/>
              </w:rPr>
              <w:t>42</w:t>
            </w:r>
          </w:p>
        </w:tc>
        <w:tc>
          <w:tcPr>
            <w:tcW w:w="5268" w:type="dxa"/>
            <w:noWrap w:val="0"/>
            <w:vAlign w:val="center"/>
          </w:tcPr>
          <w:p w14:paraId="2354C34D">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1、额定功率≥2kw，最大功率≥2.2kw</w:t>
            </w:r>
            <w:r>
              <w:rPr>
                <w:rFonts w:hint="eastAsia" w:ascii="宋体" w:hAnsi="宋体" w:eastAsia="宋体" w:cs="宋体"/>
                <w:color w:val="auto"/>
                <w:sz w:val="21"/>
                <w:szCs w:val="21"/>
                <w:highlight w:val="none"/>
                <w:lang w:eastAsia="zh-CN"/>
              </w:rPr>
              <w:t>；</w:t>
            </w:r>
          </w:p>
          <w:p w14:paraId="5B1EAA05">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2、排量≤98cc</w:t>
            </w:r>
            <w:r>
              <w:rPr>
                <w:rFonts w:hint="eastAsia" w:ascii="宋体" w:hAnsi="宋体" w:eastAsia="宋体" w:cs="宋体"/>
                <w:color w:val="auto"/>
                <w:sz w:val="21"/>
                <w:szCs w:val="21"/>
                <w:highlight w:val="none"/>
                <w:lang w:eastAsia="zh-CN"/>
              </w:rPr>
              <w:t>；</w:t>
            </w:r>
          </w:p>
          <w:p w14:paraId="4492C1CD">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3、启动方式：手启动，拉绳寿命不低于1万次</w:t>
            </w:r>
            <w:r>
              <w:rPr>
                <w:rFonts w:hint="eastAsia" w:ascii="宋体" w:hAnsi="宋体" w:eastAsia="宋体" w:cs="宋体"/>
                <w:color w:val="auto"/>
                <w:sz w:val="21"/>
                <w:szCs w:val="21"/>
                <w:highlight w:val="none"/>
                <w:lang w:eastAsia="zh-CN"/>
              </w:rPr>
              <w:t>；</w:t>
            </w:r>
          </w:p>
          <w:p w14:paraId="464355E7">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4、燃油：汽油，92#（含）以上</w:t>
            </w:r>
            <w:r>
              <w:rPr>
                <w:rFonts w:hint="eastAsia" w:ascii="宋体" w:hAnsi="宋体" w:eastAsia="宋体" w:cs="宋体"/>
                <w:color w:val="auto"/>
                <w:sz w:val="21"/>
                <w:szCs w:val="21"/>
                <w:highlight w:val="none"/>
                <w:lang w:eastAsia="zh-CN"/>
              </w:rPr>
              <w:t>；</w:t>
            </w:r>
          </w:p>
          <w:p w14:paraId="02F1475A">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5、油箱容积≥4.5L</w:t>
            </w:r>
            <w:r>
              <w:rPr>
                <w:rFonts w:hint="eastAsia" w:ascii="宋体" w:hAnsi="宋体" w:eastAsia="宋体" w:cs="宋体"/>
                <w:color w:val="auto"/>
                <w:sz w:val="21"/>
                <w:szCs w:val="21"/>
                <w:highlight w:val="none"/>
                <w:lang w:eastAsia="zh-CN"/>
              </w:rPr>
              <w:t>；</w:t>
            </w:r>
          </w:p>
          <w:p w14:paraId="084C7EF5">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6、满负荷持续工作时间≥4.5h</w:t>
            </w:r>
            <w:r>
              <w:rPr>
                <w:rFonts w:hint="eastAsia" w:ascii="宋体" w:hAnsi="宋体" w:eastAsia="宋体" w:cs="宋体"/>
                <w:color w:val="auto"/>
                <w:sz w:val="21"/>
                <w:szCs w:val="21"/>
                <w:highlight w:val="none"/>
                <w:lang w:eastAsia="zh-CN"/>
              </w:rPr>
              <w:t>；</w:t>
            </w:r>
          </w:p>
          <w:p w14:paraId="31514AEE">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7、输出方式≥1个220V输出接口,≥1个直流5V USB输出接口,≥1个直流12V/8A</w:t>
            </w:r>
            <w:r>
              <w:rPr>
                <w:rFonts w:hint="eastAsia" w:ascii="宋体" w:hAnsi="宋体" w:eastAsia="宋体" w:cs="宋体"/>
                <w:color w:val="auto"/>
                <w:sz w:val="21"/>
                <w:szCs w:val="21"/>
                <w:highlight w:val="none"/>
                <w:lang w:eastAsia="zh-CN"/>
              </w:rPr>
              <w:t>；</w:t>
            </w:r>
          </w:p>
          <w:p w14:paraId="10AFCEF6">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8、波变率THD≤2%</w:t>
            </w:r>
            <w:r>
              <w:rPr>
                <w:rFonts w:hint="eastAsia" w:ascii="宋体" w:hAnsi="宋体" w:eastAsia="宋体" w:cs="宋体"/>
                <w:color w:val="auto"/>
                <w:sz w:val="21"/>
                <w:szCs w:val="21"/>
                <w:highlight w:val="none"/>
                <w:lang w:eastAsia="zh-CN"/>
              </w:rPr>
              <w:t>；</w:t>
            </w:r>
          </w:p>
          <w:p w14:paraId="3473E4FD">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9、热态绝缘电阻＞500MΩ</w:t>
            </w:r>
            <w:r>
              <w:rPr>
                <w:rFonts w:hint="eastAsia" w:ascii="宋体" w:hAnsi="宋体" w:eastAsia="宋体" w:cs="宋体"/>
                <w:color w:val="auto"/>
                <w:sz w:val="21"/>
                <w:szCs w:val="21"/>
                <w:highlight w:val="none"/>
                <w:lang w:eastAsia="zh-CN"/>
              </w:rPr>
              <w:t>；</w:t>
            </w:r>
          </w:p>
          <w:p w14:paraId="3265963C">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10、频率恢复时间≤0.14s</w:t>
            </w:r>
            <w:r>
              <w:rPr>
                <w:rFonts w:hint="eastAsia" w:ascii="宋体" w:hAnsi="宋体" w:eastAsia="宋体" w:cs="宋体"/>
                <w:color w:val="auto"/>
                <w:sz w:val="21"/>
                <w:szCs w:val="21"/>
                <w:highlight w:val="none"/>
                <w:lang w:eastAsia="zh-CN"/>
              </w:rPr>
              <w:t>；</w:t>
            </w:r>
          </w:p>
          <w:p w14:paraId="3626DD54">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11、电压恢复时间≤1.72s</w:t>
            </w:r>
            <w:r>
              <w:rPr>
                <w:rFonts w:hint="eastAsia" w:ascii="宋体" w:hAnsi="宋体" w:eastAsia="宋体" w:cs="宋体"/>
                <w:color w:val="auto"/>
                <w:sz w:val="21"/>
                <w:szCs w:val="21"/>
                <w:highlight w:val="none"/>
                <w:lang w:eastAsia="zh-CN"/>
              </w:rPr>
              <w:t>；</w:t>
            </w:r>
          </w:p>
          <w:p w14:paraId="71A866AA">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12、噪声7米≤62.5dB</w:t>
            </w:r>
            <w:r>
              <w:rPr>
                <w:rFonts w:hint="eastAsia" w:ascii="宋体" w:hAnsi="宋体" w:eastAsia="宋体" w:cs="宋体"/>
                <w:color w:val="auto"/>
                <w:sz w:val="21"/>
                <w:szCs w:val="21"/>
                <w:highlight w:val="none"/>
                <w:lang w:eastAsia="zh-CN"/>
              </w:rPr>
              <w:t>；</w:t>
            </w:r>
          </w:p>
          <w:p w14:paraId="6BD69411">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13、符合国家标准50HZ，最大功率时不低于49HZ</w:t>
            </w:r>
            <w:r>
              <w:rPr>
                <w:rFonts w:hint="eastAsia" w:ascii="宋体" w:hAnsi="宋体" w:eastAsia="宋体" w:cs="宋体"/>
                <w:color w:val="auto"/>
                <w:sz w:val="21"/>
                <w:szCs w:val="21"/>
                <w:highlight w:val="none"/>
                <w:lang w:eastAsia="zh-CN"/>
              </w:rPr>
              <w:t>；</w:t>
            </w:r>
          </w:p>
          <w:p w14:paraId="2EE4E808">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14、发电机具有过载，断路，缺机油指示灯报警和漏电保护等保护功能</w:t>
            </w:r>
            <w:r>
              <w:rPr>
                <w:rFonts w:hint="eastAsia" w:ascii="宋体" w:hAnsi="宋体" w:eastAsia="宋体" w:cs="宋体"/>
                <w:color w:val="auto"/>
                <w:sz w:val="21"/>
                <w:szCs w:val="21"/>
                <w:highlight w:val="none"/>
                <w:lang w:eastAsia="zh-CN"/>
              </w:rPr>
              <w:t>；</w:t>
            </w:r>
          </w:p>
          <w:p w14:paraId="12813F4A">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15、电机类型：有刷同步发电机</w:t>
            </w:r>
            <w:r>
              <w:rPr>
                <w:rFonts w:hint="eastAsia" w:ascii="宋体" w:hAnsi="宋体" w:eastAsia="宋体" w:cs="宋体"/>
                <w:color w:val="auto"/>
                <w:sz w:val="21"/>
                <w:szCs w:val="21"/>
                <w:highlight w:val="none"/>
                <w:lang w:eastAsia="zh-CN"/>
              </w:rPr>
              <w:t>；</w:t>
            </w:r>
          </w:p>
          <w:p w14:paraId="4B7C70ED">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16、尺寸≤500*285*455mm </w:t>
            </w:r>
            <w:r>
              <w:rPr>
                <w:rFonts w:hint="eastAsia" w:ascii="宋体" w:hAnsi="宋体" w:eastAsia="宋体" w:cs="宋体"/>
                <w:color w:val="auto"/>
                <w:sz w:val="21"/>
                <w:szCs w:val="21"/>
                <w:highlight w:val="none"/>
                <w:lang w:eastAsia="zh-CN"/>
              </w:rPr>
              <w:t>；</w:t>
            </w:r>
          </w:p>
          <w:p w14:paraId="3D3180EC">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17、净重≤21kg</w:t>
            </w:r>
            <w:r>
              <w:rPr>
                <w:rFonts w:hint="eastAsia" w:ascii="宋体" w:hAnsi="宋体" w:eastAsia="宋体" w:cs="宋体"/>
                <w:color w:val="auto"/>
                <w:sz w:val="21"/>
                <w:szCs w:val="21"/>
                <w:highlight w:val="none"/>
                <w:lang w:eastAsia="zh-CN"/>
              </w:rPr>
              <w:t>；</w:t>
            </w:r>
          </w:p>
          <w:p w14:paraId="3AB196A1">
            <w:pPr>
              <w:spacing w:line="276" w:lineRule="auto"/>
              <w:rPr>
                <w:rFonts w:hint="eastAsia" w:ascii="宋体" w:hAnsi="宋体" w:eastAsia="宋体" w:cs="宋体"/>
                <w:color w:val="auto"/>
                <w:kern w:val="0"/>
                <w:szCs w:val="21"/>
                <w:highlight w:val="none"/>
              </w:rPr>
            </w:pPr>
            <w:r>
              <w:rPr>
                <w:rFonts w:hint="eastAsia" w:ascii="宋体" w:hAnsi="宋体" w:eastAsia="宋体" w:cs="宋体"/>
                <w:color w:val="auto"/>
                <w:sz w:val="21"/>
                <w:szCs w:val="21"/>
                <w:highlight w:val="none"/>
              </w:rPr>
              <w:t>18、可两台并联，功率达4kW，配备专用电缆线连接</w:t>
            </w:r>
            <w:r>
              <w:rPr>
                <w:rFonts w:hint="eastAsia" w:ascii="宋体" w:hAnsi="宋体" w:eastAsia="宋体" w:cs="宋体"/>
                <w:color w:val="auto"/>
                <w:sz w:val="21"/>
                <w:szCs w:val="21"/>
                <w:highlight w:val="none"/>
                <w:lang w:eastAsia="zh-CN"/>
              </w:rPr>
              <w:t>；</w:t>
            </w:r>
          </w:p>
        </w:tc>
        <w:tc>
          <w:tcPr>
            <w:tcW w:w="809" w:type="dxa"/>
            <w:noWrap w:val="0"/>
            <w:vAlign w:val="center"/>
          </w:tcPr>
          <w:p w14:paraId="6109E73C">
            <w:pPr>
              <w:widowControl/>
              <w:jc w:val="left"/>
              <w:textAlignment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4000元/台</w:t>
            </w:r>
          </w:p>
        </w:tc>
      </w:tr>
      <w:tr w14:paraId="4D4F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0437504F">
            <w:pPr>
              <w:widowControl/>
              <w:adjustRightInd w:val="0"/>
              <w:snapToGrid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9</w:t>
            </w:r>
          </w:p>
        </w:tc>
        <w:tc>
          <w:tcPr>
            <w:tcW w:w="1054" w:type="dxa"/>
            <w:shd w:val="clear" w:color="000000" w:fill="CCE8CF"/>
            <w:noWrap w:val="0"/>
            <w:vAlign w:val="center"/>
          </w:tcPr>
          <w:p w14:paraId="4FB35D85">
            <w:pPr>
              <w:widowControl/>
              <w:jc w:val="left"/>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便携移动发电机</w:t>
            </w:r>
          </w:p>
        </w:tc>
        <w:tc>
          <w:tcPr>
            <w:tcW w:w="815" w:type="dxa"/>
            <w:noWrap w:val="0"/>
            <w:vAlign w:val="center"/>
          </w:tcPr>
          <w:p w14:paraId="319CBBC4">
            <w:pPr>
              <w:widowControl/>
              <w:jc w:val="center"/>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rPr>
              <w:t>台</w:t>
            </w:r>
          </w:p>
        </w:tc>
        <w:tc>
          <w:tcPr>
            <w:tcW w:w="882" w:type="dxa"/>
            <w:noWrap w:val="0"/>
            <w:vAlign w:val="center"/>
          </w:tcPr>
          <w:p w14:paraId="74109781">
            <w:pPr>
              <w:widowControl/>
              <w:jc w:val="center"/>
              <w:rPr>
                <w:rFonts w:hint="eastAsia" w:ascii="宋体" w:hAnsi="宋体" w:cs="宋体"/>
                <w:color w:val="auto"/>
                <w:kern w:val="0"/>
                <w:szCs w:val="21"/>
                <w:highlight w:val="none"/>
                <w:lang w:bidi="ar"/>
              </w:rPr>
            </w:pPr>
            <w:r>
              <w:rPr>
                <w:rFonts w:hint="eastAsia" w:ascii="宋体" w:hAnsi="宋体" w:cs="宋体"/>
                <w:color w:val="auto"/>
                <w:kern w:val="0"/>
                <w:sz w:val="21"/>
                <w:szCs w:val="21"/>
                <w:highlight w:val="none"/>
                <w:lang w:val="en-US" w:eastAsia="zh-CN"/>
              </w:rPr>
              <w:t>10</w:t>
            </w:r>
          </w:p>
        </w:tc>
        <w:tc>
          <w:tcPr>
            <w:tcW w:w="5268" w:type="dxa"/>
            <w:noWrap w:val="0"/>
            <w:vAlign w:val="center"/>
          </w:tcPr>
          <w:p w14:paraId="5E467A85">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1、排量</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713cc</w:t>
            </w:r>
            <w:r>
              <w:rPr>
                <w:rFonts w:hint="eastAsia" w:ascii="宋体" w:hAnsi="宋体" w:eastAsia="宋体" w:cs="宋体"/>
                <w:color w:val="auto"/>
                <w:sz w:val="21"/>
                <w:szCs w:val="21"/>
                <w:highlight w:val="none"/>
                <w:lang w:eastAsia="zh-CN"/>
              </w:rPr>
              <w:t>；</w:t>
            </w:r>
          </w:p>
          <w:p w14:paraId="665A73CB">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2、启动方式：一键启动，无需钥匙</w:t>
            </w:r>
            <w:r>
              <w:rPr>
                <w:rFonts w:hint="eastAsia" w:ascii="宋体" w:hAnsi="宋体" w:eastAsia="宋体" w:cs="宋体"/>
                <w:color w:val="auto"/>
                <w:sz w:val="21"/>
                <w:szCs w:val="21"/>
                <w:highlight w:val="none"/>
                <w:lang w:eastAsia="zh-CN"/>
              </w:rPr>
              <w:t>；</w:t>
            </w:r>
          </w:p>
          <w:p w14:paraId="78E770CA">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3、额定电压</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220/380V</w:t>
            </w:r>
            <w:r>
              <w:rPr>
                <w:rFonts w:hint="eastAsia" w:ascii="宋体" w:hAnsi="宋体" w:eastAsia="宋体" w:cs="宋体"/>
                <w:color w:val="auto"/>
                <w:sz w:val="21"/>
                <w:szCs w:val="21"/>
                <w:highlight w:val="none"/>
                <w:lang w:eastAsia="zh-CN"/>
              </w:rPr>
              <w:t>；</w:t>
            </w:r>
          </w:p>
          <w:p w14:paraId="21A5E5DF">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4、相数：单相/三相</w:t>
            </w:r>
            <w:r>
              <w:rPr>
                <w:rFonts w:hint="eastAsia" w:ascii="宋体" w:hAnsi="宋体" w:eastAsia="宋体" w:cs="宋体"/>
                <w:color w:val="auto"/>
                <w:sz w:val="21"/>
                <w:szCs w:val="21"/>
                <w:highlight w:val="none"/>
                <w:lang w:eastAsia="zh-CN"/>
              </w:rPr>
              <w:t>；</w:t>
            </w:r>
          </w:p>
          <w:p w14:paraId="3AC0FA3B">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5、额定功率</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11kw，最大功率</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12kw</w:t>
            </w:r>
            <w:r>
              <w:rPr>
                <w:rFonts w:hint="eastAsia" w:ascii="宋体" w:hAnsi="宋体" w:eastAsia="宋体" w:cs="宋体"/>
                <w:color w:val="auto"/>
                <w:sz w:val="21"/>
                <w:szCs w:val="21"/>
                <w:highlight w:val="none"/>
                <w:lang w:eastAsia="zh-CN"/>
              </w:rPr>
              <w:t>；</w:t>
            </w:r>
          </w:p>
          <w:p w14:paraId="6ABAB984">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6、额定电流</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19.8A</w:t>
            </w:r>
            <w:r>
              <w:rPr>
                <w:rFonts w:hint="eastAsia" w:ascii="宋体" w:hAnsi="宋体" w:eastAsia="宋体" w:cs="宋体"/>
                <w:color w:val="auto"/>
                <w:sz w:val="21"/>
                <w:szCs w:val="21"/>
                <w:highlight w:val="none"/>
                <w:lang w:eastAsia="zh-CN"/>
              </w:rPr>
              <w:t>；</w:t>
            </w:r>
          </w:p>
          <w:p w14:paraId="65F0B8B4">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7、发动机：四冲程风冷双缸</w:t>
            </w:r>
            <w:r>
              <w:rPr>
                <w:rFonts w:hint="eastAsia" w:ascii="宋体" w:hAnsi="宋体" w:eastAsia="宋体" w:cs="宋体"/>
                <w:color w:val="auto"/>
                <w:sz w:val="21"/>
                <w:szCs w:val="21"/>
                <w:highlight w:val="none"/>
                <w:lang w:eastAsia="zh-CN"/>
              </w:rPr>
              <w:t>；</w:t>
            </w:r>
          </w:p>
          <w:p w14:paraId="35EDE87D">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8、电机类型：有刷同步发电机</w:t>
            </w:r>
            <w:r>
              <w:rPr>
                <w:rFonts w:hint="eastAsia" w:ascii="宋体" w:hAnsi="宋体" w:eastAsia="宋体" w:cs="宋体"/>
                <w:color w:val="auto"/>
                <w:sz w:val="21"/>
                <w:szCs w:val="21"/>
                <w:highlight w:val="none"/>
                <w:lang w:eastAsia="zh-CN"/>
              </w:rPr>
              <w:t>；</w:t>
            </w:r>
          </w:p>
          <w:p w14:paraId="1B2507C2">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9、噪声水平</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75dB</w:t>
            </w:r>
            <w:r>
              <w:rPr>
                <w:rFonts w:hint="eastAsia" w:ascii="宋体" w:hAnsi="宋体" w:eastAsia="宋体" w:cs="宋体"/>
                <w:color w:val="auto"/>
                <w:sz w:val="21"/>
                <w:szCs w:val="21"/>
                <w:highlight w:val="none"/>
                <w:lang w:eastAsia="zh-CN"/>
              </w:rPr>
              <w:t>；</w:t>
            </w:r>
          </w:p>
          <w:p w14:paraId="6B6C8B5F">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10、电压稳定时间</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10S</w:t>
            </w:r>
            <w:r>
              <w:rPr>
                <w:rFonts w:hint="eastAsia" w:ascii="宋体" w:hAnsi="宋体" w:eastAsia="宋体" w:cs="宋体"/>
                <w:color w:val="auto"/>
                <w:sz w:val="21"/>
                <w:szCs w:val="21"/>
                <w:highlight w:val="none"/>
                <w:lang w:eastAsia="zh-CN"/>
              </w:rPr>
              <w:t>；</w:t>
            </w:r>
          </w:p>
          <w:p w14:paraId="5C00DD08">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11、燃油：汽油</w:t>
            </w:r>
            <w:r>
              <w:rPr>
                <w:rFonts w:hint="eastAsia" w:ascii="宋体" w:hAnsi="宋体" w:eastAsia="宋体" w:cs="宋体"/>
                <w:color w:val="auto"/>
                <w:sz w:val="21"/>
                <w:szCs w:val="21"/>
                <w:highlight w:val="none"/>
                <w:lang w:eastAsia="zh-CN"/>
              </w:rPr>
              <w:t>；</w:t>
            </w:r>
          </w:p>
          <w:p w14:paraId="61B8A6E4">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12、机油容量</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1.6L</w:t>
            </w:r>
            <w:r>
              <w:rPr>
                <w:rFonts w:hint="eastAsia" w:ascii="宋体" w:hAnsi="宋体" w:eastAsia="宋体" w:cs="宋体"/>
                <w:color w:val="auto"/>
                <w:sz w:val="21"/>
                <w:szCs w:val="21"/>
                <w:highlight w:val="none"/>
                <w:lang w:eastAsia="zh-CN"/>
              </w:rPr>
              <w:t>；</w:t>
            </w:r>
          </w:p>
          <w:p w14:paraId="07B7A371">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13、油箱容积</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40L</w:t>
            </w:r>
            <w:r>
              <w:rPr>
                <w:rFonts w:hint="eastAsia" w:ascii="宋体" w:hAnsi="宋体" w:eastAsia="宋体" w:cs="宋体"/>
                <w:color w:val="auto"/>
                <w:sz w:val="21"/>
                <w:szCs w:val="21"/>
                <w:highlight w:val="none"/>
                <w:lang w:eastAsia="zh-CN"/>
              </w:rPr>
              <w:t>；</w:t>
            </w:r>
          </w:p>
          <w:p w14:paraId="4CDEA9BD">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14、加满油连续运行时间</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9h</w:t>
            </w:r>
            <w:r>
              <w:rPr>
                <w:rFonts w:hint="eastAsia" w:ascii="宋体" w:hAnsi="宋体" w:eastAsia="宋体" w:cs="宋体"/>
                <w:color w:val="auto"/>
                <w:sz w:val="21"/>
                <w:szCs w:val="21"/>
                <w:highlight w:val="none"/>
                <w:lang w:eastAsia="zh-CN"/>
              </w:rPr>
              <w:t>；</w:t>
            </w:r>
          </w:p>
          <w:p w14:paraId="07AD007B">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15、带实时电压指标表，燃油表，发电指示灯</w:t>
            </w:r>
            <w:r>
              <w:rPr>
                <w:rFonts w:hint="eastAsia" w:ascii="宋体" w:hAnsi="宋体" w:eastAsia="宋体" w:cs="宋体"/>
                <w:color w:val="auto"/>
                <w:sz w:val="21"/>
                <w:szCs w:val="21"/>
                <w:highlight w:val="none"/>
                <w:lang w:eastAsia="zh-CN"/>
              </w:rPr>
              <w:t>；</w:t>
            </w:r>
          </w:p>
          <w:p w14:paraId="257FA0BE">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16、发电机具有过载，断路，漏电保护和缺机油指示灯报警等保护功能</w:t>
            </w:r>
            <w:r>
              <w:rPr>
                <w:rFonts w:hint="eastAsia" w:ascii="宋体" w:hAnsi="宋体" w:eastAsia="宋体" w:cs="宋体"/>
                <w:color w:val="auto"/>
                <w:sz w:val="21"/>
                <w:szCs w:val="21"/>
                <w:highlight w:val="none"/>
                <w:lang w:eastAsia="zh-CN"/>
              </w:rPr>
              <w:t>；</w:t>
            </w:r>
          </w:p>
          <w:p w14:paraId="29206699">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17、净重</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146kg</w:t>
            </w:r>
            <w:r>
              <w:rPr>
                <w:rFonts w:hint="eastAsia" w:ascii="宋体" w:hAnsi="宋体" w:eastAsia="宋体" w:cs="宋体"/>
                <w:color w:val="auto"/>
                <w:sz w:val="21"/>
                <w:szCs w:val="21"/>
                <w:highlight w:val="none"/>
                <w:lang w:eastAsia="zh-CN"/>
              </w:rPr>
              <w:t>；</w:t>
            </w:r>
          </w:p>
          <w:p w14:paraId="41E88F26">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18、电瓶：12V/14AH配套发电机专用</w:t>
            </w:r>
            <w:r>
              <w:rPr>
                <w:rFonts w:hint="eastAsia" w:ascii="宋体" w:hAnsi="宋体" w:eastAsia="宋体" w:cs="宋体"/>
                <w:color w:val="auto"/>
                <w:sz w:val="21"/>
                <w:szCs w:val="21"/>
                <w:highlight w:val="none"/>
                <w:lang w:eastAsia="zh-CN"/>
              </w:rPr>
              <w:t>；</w:t>
            </w:r>
          </w:p>
          <w:p w14:paraId="7CC1E0EB">
            <w:pPr>
              <w:spacing w:line="276" w:lineRule="auto"/>
              <w:rPr>
                <w:rFonts w:hint="eastAsia" w:ascii="宋体" w:hAnsi="宋体" w:eastAsia="宋体" w:cs="宋体"/>
                <w:color w:val="auto"/>
                <w:kern w:val="0"/>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、其他附件：10寸大脚轮2个、扶手组件1套、说明书一份、合格证、三相插头1个、单相插头、火花塞扳手1套、机油漏斗1个</w:t>
            </w:r>
            <w:r>
              <w:rPr>
                <w:rFonts w:hint="eastAsia" w:ascii="宋体" w:hAnsi="宋体" w:eastAsia="宋体" w:cs="宋体"/>
                <w:color w:val="auto"/>
                <w:sz w:val="21"/>
                <w:szCs w:val="21"/>
                <w:highlight w:val="none"/>
                <w:lang w:eastAsia="zh-CN"/>
              </w:rPr>
              <w:t>；</w:t>
            </w:r>
          </w:p>
        </w:tc>
        <w:tc>
          <w:tcPr>
            <w:tcW w:w="809" w:type="dxa"/>
            <w:noWrap w:val="0"/>
            <w:vAlign w:val="center"/>
          </w:tcPr>
          <w:p w14:paraId="5D241873">
            <w:pPr>
              <w:widowControl/>
              <w:jc w:val="left"/>
              <w:textAlignment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20000元/台</w:t>
            </w:r>
          </w:p>
        </w:tc>
      </w:tr>
      <w:tr w14:paraId="73BC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1E7F5208">
            <w:pPr>
              <w:widowControl/>
              <w:adjustRightInd w:val="0"/>
              <w:snapToGrid w:val="0"/>
              <w:spacing w:line="360" w:lineRule="auto"/>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10</w:t>
            </w:r>
          </w:p>
        </w:tc>
        <w:tc>
          <w:tcPr>
            <w:tcW w:w="1054" w:type="dxa"/>
            <w:shd w:val="clear" w:color="000000" w:fill="CCE8CF"/>
            <w:noWrap w:val="0"/>
            <w:vAlign w:val="center"/>
          </w:tcPr>
          <w:p w14:paraId="3AE75956">
            <w:pPr>
              <w:widowControl/>
              <w:jc w:val="left"/>
              <w:rPr>
                <w:rFonts w:hint="eastAsia" w:ascii="宋体" w:hAnsi="宋体" w:cs="宋体"/>
                <w:color w:val="auto"/>
                <w:szCs w:val="21"/>
                <w:highlight w:val="none"/>
              </w:rPr>
            </w:pPr>
            <w:r>
              <w:rPr>
                <w:rFonts w:hint="eastAsia" w:ascii="宋体" w:hAnsi="宋体" w:eastAsia="宋体" w:cs="宋体"/>
                <w:color w:val="auto"/>
                <w:sz w:val="21"/>
                <w:szCs w:val="21"/>
                <w:highlight w:val="none"/>
              </w:rPr>
              <w:t>积木式应急保供电源组</w:t>
            </w:r>
          </w:p>
        </w:tc>
        <w:tc>
          <w:tcPr>
            <w:tcW w:w="815" w:type="dxa"/>
            <w:noWrap w:val="0"/>
            <w:vAlign w:val="center"/>
          </w:tcPr>
          <w:p w14:paraId="5A6F70B0">
            <w:pPr>
              <w:widowControl/>
              <w:jc w:val="center"/>
              <w:rPr>
                <w:rFonts w:hint="eastAsia"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台</w:t>
            </w:r>
          </w:p>
        </w:tc>
        <w:tc>
          <w:tcPr>
            <w:tcW w:w="882" w:type="dxa"/>
            <w:noWrap w:val="0"/>
            <w:vAlign w:val="center"/>
          </w:tcPr>
          <w:p w14:paraId="1A290D46">
            <w:pPr>
              <w:widowControl/>
              <w:jc w:val="center"/>
              <w:rPr>
                <w:rFonts w:hint="eastAsia"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5</w:t>
            </w:r>
          </w:p>
        </w:tc>
        <w:tc>
          <w:tcPr>
            <w:tcW w:w="5268" w:type="dxa"/>
            <w:noWrap w:val="0"/>
            <w:vAlign w:val="center"/>
          </w:tcPr>
          <w:p w14:paraId="5016E104">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积木式应急保供电电源组组成：主机1台，电池模组3台组成。</w:t>
            </w:r>
          </w:p>
          <w:p w14:paraId="6E135394">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模块化设计，将主机与电池包分离设计，解决大容量太重搬运不便的困难；</w:t>
            </w:r>
          </w:p>
          <w:p w14:paraId="55244CC9">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依托扩容技术，解决智能扩容问题，支持单个和多个电池包随意扩容，用户根据不同场景DIY容量，最大可支持6度电（3个电池包）；</w:t>
            </w:r>
          </w:p>
          <w:p w14:paraId="577AA9AA">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依托扩容技术，可以实现输出功率并机（2主机相并），达到额定≥4000W峰值≥8000W的功率输出，满足现场更大功率需要；</w:t>
            </w:r>
          </w:p>
          <w:p w14:paraId="56A5D10C">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依托充电技术，充电时不受并入电池包数量限制，还能保证充电时间不变，可在3小时内充电到80%以上，极大方便用户充电；</w:t>
            </w:r>
          </w:p>
          <w:p w14:paraId="40F08190">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输出接口丰富，多路交流220V输出，支持PD、QC快充输出及DC输出；</w:t>
            </w:r>
          </w:p>
          <w:p w14:paraId="5E9582F1">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支持市电充电及太阳能电池板充电，采用MPPT技术进行充电管理；</w:t>
            </w:r>
          </w:p>
          <w:p w14:paraId="2FC9ABDE">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采用多重智能保护技术，有效解决短路、过充、过放、过温、过载保护，防止用电安全事故发生；</w:t>
            </w:r>
          </w:p>
          <w:p w14:paraId="653C8018">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拉杆箱式设计，采用工程重载滚轮，方便搬运及携带。</w:t>
            </w:r>
          </w:p>
          <w:p w14:paraId="7C683F21">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主机（1台）技术参数：</w:t>
            </w:r>
          </w:p>
          <w:p w14:paraId="1B660B4E">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（1）交流输入（充电）：输入电压范186~256V（标准220V），输入频率50Hz，工作方式：恒流恒压</w:t>
            </w:r>
          </w:p>
          <w:p w14:paraId="40E84FDA">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（2）太阳能输入（充电）：输入电压60~120V，输出功率≤240W，控制方式MPPT。</w:t>
            </w:r>
          </w:p>
          <w:p w14:paraId="5AEB7693">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★（3）逆变输出：国标插座≥6个：输出电压范围（交流）216~229V，输出频率50HZ，转换效率≤92%，输出功率范围≤2000W，带低压和高压保护功能，过温度保护：主板温度超过≥50 度自动开启散热，超过≥85 度自动保护。</w:t>
            </w:r>
          </w:p>
          <w:p w14:paraId="19F7880C">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（4）DC（点烟器口）输出≥2个：输出电压（直流）12~12.9V，输出电流（直流）范围8.0~10.0A，过流保护≥10A.</w:t>
            </w:r>
          </w:p>
          <w:p w14:paraId="44821533">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（5）输出端口：</w:t>
            </w:r>
          </w:p>
          <w:p w14:paraId="658DC837">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QC3.0-A 口输出≥4个：输出电压标准≥5V/3A 9V/2A 12V/1.5A。</w:t>
            </w:r>
          </w:p>
          <w:p w14:paraId="3006729E">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PD 输出≥2个：输出电压标准≥5V/3A 9V/2.5A 12V/3A  15V/3A  20V/3A。</w:t>
            </w:r>
          </w:p>
          <w:p w14:paraId="5A8DAD93">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★（6）EPS 转制换功能：输入电压186~256V，转换时间≤50ms，双相逆变。</w:t>
            </w:r>
          </w:p>
          <w:p w14:paraId="1E10A2FF">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（7）磷酸铁锂电池组参数（主机自带）：</w:t>
            </w:r>
          </w:p>
          <w:p w14:paraId="48405C7E">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额定电压(DC)≥51.2V</w:t>
            </w:r>
          </w:p>
          <w:p w14:paraId="46C29396">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工作电压范围48~57.6V</w:t>
            </w:r>
          </w:p>
          <w:p w14:paraId="705B3525">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电池类型：磷酸铁锂</w:t>
            </w:r>
          </w:p>
          <w:p w14:paraId="2E405D2D">
            <w:pPr>
              <w:spacing w:line="276"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循环寿命：2000 次容量保持率≥75%</w:t>
            </w:r>
            <w:r>
              <w:rPr>
                <w:rFonts w:hint="eastAsia" w:ascii="宋体" w:hAnsi="宋体" w:cs="宋体"/>
                <w:color w:val="auto"/>
                <w:sz w:val="21"/>
                <w:szCs w:val="21"/>
                <w:highlight w:val="none"/>
                <w:lang w:eastAsia="zh-CN"/>
              </w:rPr>
              <w:t>；</w:t>
            </w:r>
          </w:p>
          <w:p w14:paraId="4DFB4910">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单体电池容量≥15Ah</w:t>
            </w:r>
          </w:p>
          <w:p w14:paraId="1D804295">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电池组合方式：16 串 2 并</w:t>
            </w:r>
          </w:p>
          <w:p w14:paraId="446DD40F">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★电池总容量≥1536Wh</w:t>
            </w:r>
          </w:p>
          <w:p w14:paraId="17E62958">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机器规格（长宽高）≤420*280*225mm</w:t>
            </w:r>
          </w:p>
          <w:p w14:paraId="3BF1F568">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净重（主机）≤22.8kg</w:t>
            </w:r>
          </w:p>
          <w:p w14:paraId="50AD033F">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（8）电池模组（外加电池箱）部分技术参数：</w:t>
            </w:r>
          </w:p>
          <w:p w14:paraId="4729AC70">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额定电压(DC)≥51.2V</w:t>
            </w:r>
          </w:p>
          <w:p w14:paraId="7466BFA0">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工作电压范围48~57.6V</w:t>
            </w:r>
          </w:p>
          <w:p w14:paraId="4CB476E7">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电池类型：磷酸铁锂</w:t>
            </w:r>
          </w:p>
          <w:p w14:paraId="3E43AB8E">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循环寿命：2000 次容量保持率≥75%</w:t>
            </w:r>
          </w:p>
          <w:p w14:paraId="10E18711">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单体电池容量≥15Ah</w:t>
            </w:r>
          </w:p>
          <w:p w14:paraId="19CEF5A6">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电池组合方式：16 串 2 并</w:t>
            </w:r>
          </w:p>
          <w:p w14:paraId="03D8B672">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电池总容量≥1536Wh</w:t>
            </w:r>
          </w:p>
          <w:p w14:paraId="4D7559D6">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机器规格（长宽高）≤420*280*130mm</w:t>
            </w:r>
          </w:p>
          <w:p w14:paraId="3465695E">
            <w:pPr>
              <w:spacing w:line="276"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净重（电池箱）≤14.2Kg</w:t>
            </w:r>
          </w:p>
          <w:p w14:paraId="797077D1">
            <w:pPr>
              <w:widowControl/>
              <w:jc w:val="left"/>
              <w:rPr>
                <w:rFonts w:hint="eastAsia" w:ascii="宋体" w:hAnsi="宋体" w:eastAsia="宋体" w:cs="宋体"/>
                <w:color w:val="auto"/>
                <w:kern w:val="0"/>
                <w:szCs w:val="21"/>
                <w:highlight w:val="none"/>
              </w:rPr>
            </w:pPr>
            <w:r>
              <w:rPr>
                <w:rFonts w:hint="eastAsia" w:ascii="宋体" w:hAnsi="宋体" w:eastAsia="宋体"/>
                <w:b/>
                <w:bCs/>
                <w:color w:val="auto"/>
                <w:spacing w:val="-6"/>
                <w:sz w:val="21"/>
                <w:szCs w:val="21"/>
                <w:highlight w:val="none"/>
              </w:rPr>
              <w:t>以上</w:t>
            </w:r>
            <w:r>
              <w:rPr>
                <w:rFonts w:hint="eastAsia" w:ascii="宋体" w:hAnsi="宋体" w:eastAsia="宋体"/>
                <w:b/>
                <w:bCs/>
                <w:color w:val="auto"/>
                <w:sz w:val="21"/>
                <w:szCs w:val="21"/>
                <w:highlight w:val="none"/>
              </w:rPr>
              <w:t>标</w:t>
            </w:r>
            <w:r>
              <w:rPr>
                <w:rFonts w:hint="eastAsia" w:ascii="宋体" w:hAnsi="宋体" w:eastAsia="宋体" w:cs="宋体"/>
                <w:color w:val="auto"/>
                <w:sz w:val="21"/>
                <w:szCs w:val="21"/>
                <w:highlight w:val="none"/>
              </w:rPr>
              <w:t>★</w:t>
            </w:r>
            <w:r>
              <w:rPr>
                <w:rFonts w:hint="eastAsia" w:ascii="宋体" w:hAnsi="宋体" w:eastAsia="宋体"/>
                <w:b/>
                <w:bCs/>
                <w:color w:val="auto"/>
                <w:sz w:val="21"/>
                <w:szCs w:val="21"/>
                <w:highlight w:val="none"/>
              </w:rPr>
              <w:t>参数需要提供带</w:t>
            </w:r>
            <w:r>
              <w:rPr>
                <w:rFonts w:ascii="宋体" w:hAnsi="宋体" w:eastAsia="宋体"/>
                <w:b/>
                <w:bCs/>
                <w:color w:val="auto"/>
                <w:sz w:val="21"/>
                <w:szCs w:val="21"/>
                <w:highlight w:val="none"/>
              </w:rPr>
              <w:t>CMA或者CNAS章的</w:t>
            </w:r>
            <w:r>
              <w:rPr>
                <w:rFonts w:hint="eastAsia" w:ascii="宋体" w:hAnsi="宋体" w:eastAsia="宋体"/>
                <w:b/>
                <w:bCs/>
                <w:color w:val="auto"/>
                <w:sz w:val="21"/>
                <w:szCs w:val="21"/>
                <w:highlight w:val="none"/>
              </w:rPr>
              <w:t>第三方检测机构出具的检测报告复印件</w:t>
            </w:r>
            <w:r>
              <w:rPr>
                <w:rFonts w:hint="eastAsia" w:ascii="宋体" w:hAnsi="宋体" w:eastAsia="宋体" w:cs="宋体"/>
                <w:color w:val="auto"/>
                <w:sz w:val="21"/>
                <w:szCs w:val="21"/>
                <w:highlight w:val="none"/>
              </w:rPr>
              <w:t>。</w:t>
            </w:r>
          </w:p>
        </w:tc>
        <w:tc>
          <w:tcPr>
            <w:tcW w:w="809" w:type="dxa"/>
            <w:noWrap w:val="0"/>
            <w:vAlign w:val="center"/>
          </w:tcPr>
          <w:p w14:paraId="4B0C84AF">
            <w:pPr>
              <w:widowControl/>
              <w:spacing w:line="360" w:lineRule="auto"/>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30000元/台</w:t>
            </w:r>
          </w:p>
        </w:tc>
      </w:tr>
      <w:tr w14:paraId="601C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484D75DB">
            <w:pPr>
              <w:widowControl/>
              <w:adjustRightInd w:val="0"/>
              <w:snapToGrid w:val="0"/>
              <w:spacing w:line="360" w:lineRule="auto"/>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w:t>
            </w:r>
          </w:p>
        </w:tc>
        <w:tc>
          <w:tcPr>
            <w:tcW w:w="1054" w:type="dxa"/>
            <w:shd w:val="clear" w:color="000000" w:fill="CCE8CF"/>
            <w:noWrap w:val="0"/>
            <w:vAlign w:val="center"/>
          </w:tcPr>
          <w:p w14:paraId="4D227C35">
            <w:pPr>
              <w:keepNext w:val="0"/>
              <w:keepLines w:val="0"/>
              <w:widowControl/>
              <w:suppressLineNumbers w:val="0"/>
              <w:jc w:val="center"/>
              <w:textAlignment w:val="center"/>
              <w:rPr>
                <w:rFonts w:hint="eastAsia" w:ascii="宋体" w:hAnsi="宋体" w:cs="宋体"/>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电源盘</w:t>
            </w:r>
          </w:p>
        </w:tc>
        <w:tc>
          <w:tcPr>
            <w:tcW w:w="815" w:type="dxa"/>
            <w:noWrap w:val="0"/>
            <w:vAlign w:val="center"/>
          </w:tcPr>
          <w:p w14:paraId="60440358">
            <w:pPr>
              <w:keepNext w:val="0"/>
              <w:keepLines w:val="0"/>
              <w:widowControl/>
              <w:suppressLineNumbers w:val="0"/>
              <w:jc w:val="center"/>
              <w:textAlignment w:val="center"/>
              <w:rPr>
                <w:rFonts w:hint="eastAsia" w:ascii="宋体" w:hAnsi="宋体" w:cs="宋体"/>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882" w:type="dxa"/>
            <w:noWrap w:val="0"/>
            <w:vAlign w:val="center"/>
          </w:tcPr>
          <w:p w14:paraId="73C19777">
            <w:pPr>
              <w:keepNext w:val="0"/>
              <w:keepLines w:val="0"/>
              <w:widowControl/>
              <w:suppressLineNumbers w:val="0"/>
              <w:jc w:val="center"/>
              <w:textAlignment w:val="center"/>
              <w:rPr>
                <w:rFonts w:hint="eastAsia" w:ascii="宋体" w:hAnsi="宋体" w:cs="宋体"/>
                <w:color w:val="auto"/>
                <w:szCs w:val="21"/>
                <w:highlight w:val="none"/>
              </w:rPr>
            </w:pPr>
            <w:r>
              <w:rPr>
                <w:rFonts w:hint="eastAsia" w:ascii="宋体" w:hAnsi="宋体" w:cs="宋体"/>
                <w:i w:val="0"/>
                <w:iCs w:val="0"/>
                <w:color w:val="auto"/>
                <w:kern w:val="0"/>
                <w:sz w:val="21"/>
                <w:szCs w:val="21"/>
                <w:highlight w:val="none"/>
                <w:u w:val="none"/>
                <w:lang w:val="en-US" w:eastAsia="zh-CN" w:bidi="ar"/>
              </w:rPr>
              <w:t>50</w:t>
            </w:r>
          </w:p>
        </w:tc>
        <w:tc>
          <w:tcPr>
            <w:tcW w:w="5268" w:type="dxa"/>
            <w:noWrap w:val="0"/>
            <w:vAlign w:val="center"/>
          </w:tcPr>
          <w:p w14:paraId="64A0EAA4">
            <w:pPr>
              <w:rPr>
                <w:rFonts w:hint="eastAsia" w:ascii="宋体" w:hAnsi="宋体" w:eastAsia="宋体" w:cs="宋体"/>
                <w:color w:val="auto"/>
                <w:kern w:val="0"/>
                <w:szCs w:val="21"/>
                <w:highlight w:val="none"/>
              </w:rPr>
            </w:pPr>
            <w:r>
              <w:rPr>
                <w:rFonts w:hint="eastAsia" w:ascii="宋体" w:hAnsi="宋体" w:eastAsia="宋体" w:cs="宋体"/>
                <w:color w:val="auto"/>
                <w:sz w:val="21"/>
                <w:szCs w:val="21"/>
                <w:highlight w:val="none"/>
              </w:rPr>
              <w:t>双相380V拖线盘一套：拖线盘长度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30m，国标双相380V，一体化防水盖与ABS面板，三节伸缩式拉杆可自由伸缩，搭配两个精密轴承橡胶静音轮，无缝钢管支架一次弯折成型精细耐用，具有220V/16A插座1只、220V/10A插座2只、电磁式漏电保护器、过热过载保护器和LED电源指示灯</w:t>
            </w:r>
          </w:p>
        </w:tc>
        <w:tc>
          <w:tcPr>
            <w:tcW w:w="809" w:type="dxa"/>
            <w:noWrap w:val="0"/>
            <w:vAlign w:val="center"/>
          </w:tcPr>
          <w:p w14:paraId="770E3C0C">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1000元/个</w:t>
            </w:r>
          </w:p>
        </w:tc>
      </w:tr>
      <w:tr w14:paraId="6076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4" w:type="dxa"/>
            <w:shd w:val="clear" w:color="auto" w:fill="auto"/>
            <w:noWrap w:val="0"/>
            <w:vAlign w:val="center"/>
          </w:tcPr>
          <w:p w14:paraId="41323631">
            <w:pPr>
              <w:widowControl/>
              <w:adjustRightInd w:val="0"/>
              <w:snapToGrid w:val="0"/>
              <w:spacing w:line="360" w:lineRule="auto"/>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12</w:t>
            </w:r>
          </w:p>
        </w:tc>
        <w:tc>
          <w:tcPr>
            <w:tcW w:w="1054" w:type="dxa"/>
            <w:shd w:val="clear" w:color="000000" w:fill="CCE8CF"/>
            <w:noWrap w:val="0"/>
            <w:vAlign w:val="center"/>
          </w:tcPr>
          <w:p w14:paraId="14BFB63D">
            <w:pPr>
              <w:widowControl/>
              <w:jc w:val="left"/>
              <w:rPr>
                <w:rFonts w:hint="eastAsia" w:ascii="宋体" w:hAnsi="宋体" w:cs="宋体"/>
                <w:color w:val="auto"/>
                <w:szCs w:val="21"/>
                <w:highlight w:val="none"/>
              </w:rPr>
            </w:pPr>
            <w:r>
              <w:rPr>
                <w:rFonts w:hint="eastAsia" w:ascii="宋体" w:hAnsi="宋体" w:eastAsia="宋体" w:cs="宋体"/>
                <w:color w:val="auto"/>
                <w:sz w:val="21"/>
                <w:szCs w:val="21"/>
                <w:highlight w:val="none"/>
              </w:rPr>
              <w:t>汽油抽水泵</w:t>
            </w:r>
          </w:p>
        </w:tc>
        <w:tc>
          <w:tcPr>
            <w:tcW w:w="815" w:type="dxa"/>
            <w:noWrap w:val="0"/>
            <w:vAlign w:val="center"/>
          </w:tcPr>
          <w:p w14:paraId="593193CF">
            <w:pPr>
              <w:keepNext w:val="0"/>
              <w:keepLines w:val="0"/>
              <w:widowControl/>
              <w:suppressLineNumbers w:val="0"/>
              <w:jc w:val="center"/>
              <w:textAlignment w:val="center"/>
              <w:rPr>
                <w:rFonts w:hint="eastAsia" w:ascii="宋体" w:hAnsi="宋体" w:cs="宋体"/>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882" w:type="dxa"/>
            <w:noWrap w:val="0"/>
            <w:vAlign w:val="center"/>
          </w:tcPr>
          <w:p w14:paraId="67C27F02">
            <w:pPr>
              <w:keepNext w:val="0"/>
              <w:keepLines w:val="0"/>
              <w:widowControl/>
              <w:suppressLineNumbers w:val="0"/>
              <w:jc w:val="center"/>
              <w:textAlignment w:val="center"/>
              <w:rPr>
                <w:rFonts w:hint="eastAsia" w:ascii="宋体" w:hAnsi="宋体" w:cs="宋体"/>
                <w:color w:val="auto"/>
                <w:szCs w:val="21"/>
                <w:highlight w:val="none"/>
              </w:rPr>
            </w:pPr>
            <w:r>
              <w:rPr>
                <w:rFonts w:hint="eastAsia" w:ascii="宋体" w:hAnsi="宋体" w:cs="宋体"/>
                <w:i w:val="0"/>
                <w:iCs w:val="0"/>
                <w:color w:val="auto"/>
                <w:kern w:val="0"/>
                <w:sz w:val="21"/>
                <w:szCs w:val="21"/>
                <w:highlight w:val="none"/>
                <w:u w:val="none"/>
                <w:lang w:val="en-US" w:eastAsia="zh-CN" w:bidi="ar"/>
              </w:rPr>
              <w:t>50</w:t>
            </w:r>
          </w:p>
        </w:tc>
        <w:tc>
          <w:tcPr>
            <w:tcW w:w="5268" w:type="dxa"/>
            <w:noWrap w:val="0"/>
            <w:vAlign w:val="center"/>
          </w:tcPr>
          <w:p w14:paraId="13CE422E">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产品生产需满足GB/T3216-2016《回转动力泵 水力性能验收试验1级、2级和3级》、JB/T6664.3-2014《自吸泵第3部分:自吸性能试验方法》等标准要求。</w:t>
            </w:r>
          </w:p>
          <w:p w14:paraId="3D7830D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1.发动机型式：单缸四冲程风冷</w:t>
            </w:r>
          </w:p>
          <w:p w14:paraId="4CF2C22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2.发动机排气量（cc）：≥212</w:t>
            </w:r>
          </w:p>
          <w:p w14:paraId="31F11A8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3.发动机缸径*行程：≥70mm×55mm</w:t>
            </w:r>
          </w:p>
          <w:p w14:paraId="7F941B4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4.发动机最大输出功率(kw/rpm)：≥4.0/3600 </w:t>
            </w:r>
          </w:p>
          <w:p w14:paraId="31D7709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5.起动系统：手启动</w:t>
            </w:r>
          </w:p>
          <w:p w14:paraId="1D68E6D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6.燃油箱容量(L)：≥3.5L </w:t>
            </w:r>
          </w:p>
          <w:p w14:paraId="2EECB5B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8.连续工作时间（Hr）：≥4h </w:t>
            </w:r>
          </w:p>
          <w:p w14:paraId="3460D68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9.机油容量(L) ：≥0.6L</w:t>
            </w:r>
          </w:p>
          <w:p w14:paraId="6E0F10A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10.燃油 ：汽油</w:t>
            </w:r>
          </w:p>
          <w:p w14:paraId="57F4CE3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11.出/入水口径（mm）：80mm（3寸） </w:t>
            </w:r>
          </w:p>
          <w:p w14:paraId="78D2C09D">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12.最大扬程（m）：≥30m </w:t>
            </w:r>
          </w:p>
          <w:p w14:paraId="7E11501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13.吸水扬程（m）：≥8m </w:t>
            </w:r>
          </w:p>
          <w:p w14:paraId="47B11E1E">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14.最大流量： ≥60m³/h</w:t>
            </w:r>
          </w:p>
          <w:p w14:paraId="668C989A">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15.当水泵处于某一规定点时，流量≥40 m³/h扬程≥17m </w:t>
            </w:r>
          </w:p>
          <w:p w14:paraId="4E4AEFD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 机组尺寸：≤540*420*470mm</w:t>
            </w:r>
          </w:p>
          <w:p w14:paraId="3B76E4F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17.毛重/净重(kg): ≤30kg </w:t>
            </w:r>
          </w:p>
          <w:p w14:paraId="747A7A61">
            <w:pPr>
              <w:rPr>
                <w:rFonts w:hint="eastAsia" w:ascii="宋体" w:hAnsi="宋体" w:eastAsia="宋体" w:cs="宋体"/>
                <w:color w:val="auto"/>
                <w:kern w:val="0"/>
                <w:szCs w:val="21"/>
                <w:highlight w:val="none"/>
              </w:rPr>
            </w:pPr>
            <w:r>
              <w:rPr>
                <w:rFonts w:hint="eastAsia" w:ascii="宋体" w:hAnsi="宋体" w:eastAsia="宋体" w:cs="宋体"/>
                <w:color w:val="auto"/>
                <w:sz w:val="21"/>
                <w:szCs w:val="21"/>
                <w:highlight w:val="none"/>
              </w:rPr>
              <w:t>18.每台汽油水泵配一根6米进水钢丝软管，和一卷20米/卷出水带。</w:t>
            </w:r>
          </w:p>
        </w:tc>
        <w:tc>
          <w:tcPr>
            <w:tcW w:w="809" w:type="dxa"/>
            <w:noWrap w:val="0"/>
            <w:vAlign w:val="center"/>
          </w:tcPr>
          <w:p w14:paraId="5080A22D">
            <w:pPr>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2000元/台</w:t>
            </w:r>
          </w:p>
        </w:tc>
      </w:tr>
      <w:tr w14:paraId="3CFB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94" w:type="dxa"/>
            <w:shd w:val="clear" w:color="auto" w:fill="auto"/>
            <w:noWrap w:val="0"/>
            <w:vAlign w:val="center"/>
          </w:tcPr>
          <w:p w14:paraId="5C828ED0">
            <w:pPr>
              <w:widowControl/>
              <w:adjustRightInd w:val="0"/>
              <w:snapToGrid w:val="0"/>
              <w:spacing w:line="360" w:lineRule="auto"/>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13</w:t>
            </w:r>
          </w:p>
        </w:tc>
        <w:tc>
          <w:tcPr>
            <w:tcW w:w="1054" w:type="dxa"/>
            <w:shd w:val="clear" w:color="000000" w:fill="CCE8CF"/>
            <w:noWrap w:val="0"/>
            <w:vAlign w:val="center"/>
          </w:tcPr>
          <w:p w14:paraId="2532CE9D">
            <w:pPr>
              <w:widowControl/>
              <w:jc w:val="left"/>
              <w:rPr>
                <w:rFonts w:hint="eastAsia" w:ascii="宋体" w:hAnsi="宋体" w:cs="宋体"/>
                <w:color w:val="auto"/>
                <w:szCs w:val="21"/>
                <w:highlight w:val="none"/>
              </w:rPr>
            </w:pPr>
            <w:r>
              <w:rPr>
                <w:rFonts w:hint="eastAsia" w:ascii="宋体" w:hAnsi="宋体" w:eastAsia="宋体" w:cs="宋体"/>
                <w:color w:val="auto"/>
                <w:sz w:val="21"/>
                <w:szCs w:val="21"/>
                <w:highlight w:val="none"/>
              </w:rPr>
              <w:t>柴油抽水泵</w:t>
            </w:r>
          </w:p>
        </w:tc>
        <w:tc>
          <w:tcPr>
            <w:tcW w:w="815" w:type="dxa"/>
            <w:noWrap w:val="0"/>
            <w:vAlign w:val="center"/>
          </w:tcPr>
          <w:p w14:paraId="29D8E291">
            <w:pPr>
              <w:keepNext w:val="0"/>
              <w:keepLines w:val="0"/>
              <w:widowControl/>
              <w:suppressLineNumbers w:val="0"/>
              <w:jc w:val="center"/>
              <w:textAlignment w:val="center"/>
              <w:rPr>
                <w:rFonts w:hint="eastAsia"/>
                <w:color w:val="auto"/>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882" w:type="dxa"/>
            <w:noWrap w:val="0"/>
            <w:vAlign w:val="center"/>
          </w:tcPr>
          <w:p w14:paraId="319D6AC1">
            <w:pPr>
              <w:keepNext w:val="0"/>
              <w:keepLines w:val="0"/>
              <w:widowControl/>
              <w:suppressLineNumbers w:val="0"/>
              <w:jc w:val="center"/>
              <w:textAlignment w:val="center"/>
              <w:rPr>
                <w:rFonts w:hint="eastAsia" w:ascii="宋体" w:hAnsi="宋体" w:cs="宋体"/>
                <w:color w:val="auto"/>
                <w:szCs w:val="21"/>
                <w:highlight w:val="none"/>
              </w:rPr>
            </w:pPr>
            <w:r>
              <w:rPr>
                <w:rFonts w:hint="eastAsia" w:ascii="宋体" w:hAnsi="宋体" w:cs="宋体"/>
                <w:i w:val="0"/>
                <w:iCs w:val="0"/>
                <w:color w:val="auto"/>
                <w:kern w:val="0"/>
                <w:sz w:val="21"/>
                <w:szCs w:val="21"/>
                <w:highlight w:val="none"/>
                <w:u w:val="none"/>
                <w:lang w:val="en-US" w:eastAsia="zh-CN" w:bidi="ar"/>
              </w:rPr>
              <w:t>30</w:t>
            </w:r>
          </w:p>
        </w:tc>
        <w:tc>
          <w:tcPr>
            <w:tcW w:w="5268" w:type="dxa"/>
            <w:noWrap w:val="0"/>
            <w:vAlign w:val="center"/>
          </w:tcPr>
          <w:p w14:paraId="6261E77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产品生产需满足GB/T3216-2016《回转动力泵 水力性能验收试验1级、2级和3级》、JB/T6664-2017《自吸泵》等标准要求。</w:t>
            </w:r>
          </w:p>
          <w:p w14:paraId="18E14844">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1.发动机型式：单缸四冲程风冷直喷式柴油机</w:t>
            </w:r>
          </w:p>
          <w:p w14:paraId="33FCE6C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2.发动机排气量（cc）：≥418</w:t>
            </w:r>
          </w:p>
          <w:p w14:paraId="1412F8AB">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3.发动机缸径*行程：≥86mm×72mm</w:t>
            </w:r>
          </w:p>
          <w:p w14:paraId="19060E77">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4.发动机最大输出功率(kw/rpm)：≥6.5/3600 </w:t>
            </w:r>
          </w:p>
          <w:p w14:paraId="2262AD6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5.起动系统：手启动/电启动</w:t>
            </w:r>
          </w:p>
          <w:p w14:paraId="197BF652">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6.燃油箱容量(L)：≥5.5L </w:t>
            </w:r>
          </w:p>
          <w:p w14:paraId="52862112">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8.连续工作时间（Hr）：≥4h </w:t>
            </w:r>
          </w:p>
          <w:p w14:paraId="26759FA9">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9.机油容量(L) ：≥1.5L</w:t>
            </w:r>
          </w:p>
          <w:p w14:paraId="78BA0F5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10.燃油 ：柴油</w:t>
            </w:r>
          </w:p>
          <w:p w14:paraId="7598D8B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11.出/入水口径（mm）： 100mm（4寸） </w:t>
            </w:r>
          </w:p>
          <w:p w14:paraId="7C0741F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12.最大扬程（m）：≥30m </w:t>
            </w:r>
          </w:p>
          <w:p w14:paraId="187E0112">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13.吸水扬程（m）：≥8m </w:t>
            </w:r>
          </w:p>
          <w:p w14:paraId="5DD34E5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14.最大流量： ≥85m³/h </w:t>
            </w:r>
          </w:p>
          <w:p w14:paraId="49AFE789">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15.当水泵处于某一规定点时，流量≥50 m³/h扬程≥16m </w:t>
            </w:r>
          </w:p>
          <w:p w14:paraId="41705A5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 机组尺寸：≤690*490*650mm</w:t>
            </w:r>
          </w:p>
          <w:p w14:paraId="2365011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17.毛重/净重(kg): ≤85kg </w:t>
            </w:r>
          </w:p>
          <w:p w14:paraId="78F673F5">
            <w:pPr>
              <w:rPr>
                <w:rFonts w:hint="eastAsia" w:ascii="宋体" w:hAnsi="宋体" w:eastAsia="宋体" w:cs="宋体"/>
                <w:color w:val="auto"/>
                <w:kern w:val="0"/>
                <w:szCs w:val="21"/>
                <w:highlight w:val="none"/>
              </w:rPr>
            </w:pPr>
            <w:r>
              <w:rPr>
                <w:rFonts w:hint="eastAsia" w:ascii="宋体" w:hAnsi="宋体" w:eastAsia="宋体" w:cs="宋体"/>
                <w:color w:val="auto"/>
                <w:sz w:val="21"/>
                <w:szCs w:val="21"/>
                <w:highlight w:val="none"/>
              </w:rPr>
              <w:t>18.每台柴油水泵配一根6米进水钢丝软管，和一卷20米/卷出水带。</w:t>
            </w:r>
          </w:p>
        </w:tc>
        <w:tc>
          <w:tcPr>
            <w:tcW w:w="809" w:type="dxa"/>
            <w:noWrap w:val="0"/>
            <w:vAlign w:val="center"/>
          </w:tcPr>
          <w:p w14:paraId="48A4ACC8">
            <w:pPr>
              <w:widowControl/>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8000元/台</w:t>
            </w:r>
          </w:p>
        </w:tc>
      </w:tr>
      <w:tr w14:paraId="6BB9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94" w:type="dxa"/>
            <w:shd w:val="clear" w:color="auto" w:fill="auto"/>
            <w:noWrap w:val="0"/>
            <w:vAlign w:val="center"/>
          </w:tcPr>
          <w:p w14:paraId="06FFA901">
            <w:pPr>
              <w:widowControl/>
              <w:adjustRightInd w:val="0"/>
              <w:snapToGrid w:val="0"/>
              <w:spacing w:line="360" w:lineRule="auto"/>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14</w:t>
            </w:r>
          </w:p>
        </w:tc>
        <w:tc>
          <w:tcPr>
            <w:tcW w:w="1054" w:type="dxa"/>
            <w:shd w:val="clear" w:color="000000" w:fill="CCE8CF"/>
            <w:noWrap w:val="0"/>
            <w:vAlign w:val="center"/>
          </w:tcPr>
          <w:p w14:paraId="7733DCB4">
            <w:pPr>
              <w:widowControl/>
              <w:jc w:val="left"/>
              <w:rPr>
                <w:rFonts w:hint="eastAsia" w:ascii="宋体" w:hAnsi="宋体" w:cs="宋体"/>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汽油桶（</w:t>
            </w:r>
            <w:r>
              <w:rPr>
                <w:rStyle w:val="93"/>
                <w:rFonts w:hint="eastAsia" w:ascii="宋体" w:hAnsi="宋体" w:eastAsia="宋体" w:cs="宋体"/>
                <w:color w:val="auto"/>
                <w:sz w:val="21"/>
                <w:szCs w:val="21"/>
                <w:highlight w:val="none"/>
                <w:lang w:val="en-US" w:eastAsia="zh-CN" w:bidi="ar"/>
              </w:rPr>
              <w:t>30L</w:t>
            </w:r>
            <w:r>
              <w:rPr>
                <w:rStyle w:val="97"/>
                <w:rFonts w:hint="eastAsia" w:ascii="宋体" w:hAnsi="宋体" w:eastAsia="宋体" w:cs="宋体"/>
                <w:color w:val="auto"/>
                <w:sz w:val="21"/>
                <w:szCs w:val="21"/>
                <w:highlight w:val="none"/>
                <w:lang w:val="en-US" w:eastAsia="zh-CN" w:bidi="ar"/>
              </w:rPr>
              <w:t>）</w:t>
            </w:r>
          </w:p>
        </w:tc>
        <w:tc>
          <w:tcPr>
            <w:tcW w:w="815" w:type="dxa"/>
            <w:noWrap w:val="0"/>
            <w:vAlign w:val="center"/>
          </w:tcPr>
          <w:p w14:paraId="2162CAA7">
            <w:pPr>
              <w:widowControl/>
              <w:jc w:val="center"/>
              <w:rPr>
                <w:rFonts w:hint="eastAsia"/>
                <w:color w:val="auto"/>
                <w:highlight w:val="none"/>
              </w:rPr>
            </w:pPr>
            <w:r>
              <w:rPr>
                <w:rFonts w:hint="eastAsia" w:ascii="宋体" w:hAnsi="宋体" w:eastAsia="宋体" w:cs="宋体"/>
                <w:color w:val="auto"/>
                <w:kern w:val="0"/>
                <w:sz w:val="21"/>
                <w:szCs w:val="21"/>
                <w:highlight w:val="none"/>
                <w:lang w:val="en-US" w:eastAsia="zh-CN"/>
              </w:rPr>
              <w:t>个</w:t>
            </w:r>
          </w:p>
        </w:tc>
        <w:tc>
          <w:tcPr>
            <w:tcW w:w="882" w:type="dxa"/>
            <w:noWrap w:val="0"/>
            <w:vAlign w:val="center"/>
          </w:tcPr>
          <w:p w14:paraId="53CB5438">
            <w:pPr>
              <w:widowControl/>
              <w:jc w:val="center"/>
              <w:rPr>
                <w:rFonts w:hint="eastAsia"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100</w:t>
            </w:r>
          </w:p>
        </w:tc>
        <w:tc>
          <w:tcPr>
            <w:tcW w:w="5268" w:type="dxa"/>
            <w:noWrap w:val="0"/>
            <w:vAlign w:val="center"/>
          </w:tcPr>
          <w:p w14:paraId="1E93F419">
            <w:pPr>
              <w:numPr>
                <w:ilvl w:val="0"/>
                <w:numId w:val="5"/>
              </w:numP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容量≥30升</w:t>
            </w:r>
          </w:p>
          <w:p w14:paraId="73C39ADB">
            <w:pPr>
              <w:numPr>
                <w:ilvl w:val="0"/>
                <w:numId w:val="5"/>
              </w:numPr>
              <w:rPr>
                <w:rFonts w:hint="eastAsia" w:ascii="宋体" w:hAnsi="宋体" w:eastAsia="宋体" w:cs="宋体"/>
                <w:color w:val="auto"/>
                <w:kern w:val="0"/>
                <w:szCs w:val="21"/>
                <w:highlight w:val="none"/>
              </w:rPr>
            </w:pPr>
            <w:r>
              <w:rPr>
                <w:rFonts w:hint="eastAsia" w:ascii="宋体" w:hAnsi="宋体" w:cs="宋体"/>
                <w:color w:val="auto"/>
                <w:sz w:val="21"/>
                <w:szCs w:val="21"/>
                <w:highlight w:val="none"/>
                <w:lang w:val="en-US" w:eastAsia="zh-CN"/>
              </w:rPr>
              <w:t>材质：冷轧钢</w:t>
            </w:r>
          </w:p>
        </w:tc>
        <w:tc>
          <w:tcPr>
            <w:tcW w:w="809" w:type="dxa"/>
            <w:noWrap w:val="0"/>
            <w:vAlign w:val="center"/>
          </w:tcPr>
          <w:p w14:paraId="2C7064A2">
            <w:pP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120元/个</w:t>
            </w:r>
          </w:p>
        </w:tc>
      </w:tr>
      <w:tr w14:paraId="1453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94" w:type="dxa"/>
            <w:shd w:val="clear" w:color="auto" w:fill="auto"/>
            <w:noWrap w:val="0"/>
            <w:vAlign w:val="center"/>
          </w:tcPr>
          <w:p w14:paraId="1138B83C">
            <w:pPr>
              <w:widowControl/>
              <w:adjustRightInd w:val="0"/>
              <w:snapToGrid w:val="0"/>
              <w:spacing w:line="360" w:lineRule="auto"/>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15</w:t>
            </w:r>
          </w:p>
        </w:tc>
        <w:tc>
          <w:tcPr>
            <w:tcW w:w="1054" w:type="dxa"/>
            <w:shd w:val="clear" w:color="000000" w:fill="CCE8CF"/>
            <w:noWrap w:val="0"/>
            <w:vAlign w:val="center"/>
          </w:tcPr>
          <w:p w14:paraId="0671D028">
            <w:pPr>
              <w:widowControl/>
              <w:jc w:val="left"/>
              <w:rPr>
                <w:rFonts w:hint="eastAsia" w:ascii="宋体" w:hAnsi="宋体" w:cs="宋体"/>
                <w:color w:val="auto"/>
                <w:szCs w:val="21"/>
                <w:highlight w:val="none"/>
              </w:rPr>
            </w:pPr>
            <w:r>
              <w:rPr>
                <w:rFonts w:hint="eastAsia" w:ascii="宋体" w:hAnsi="宋体" w:eastAsia="宋体" w:cs="宋体"/>
                <w:color w:val="auto"/>
                <w:sz w:val="21"/>
                <w:szCs w:val="21"/>
                <w:highlight w:val="none"/>
              </w:rPr>
              <w:t>橡皮艇套装</w:t>
            </w:r>
          </w:p>
        </w:tc>
        <w:tc>
          <w:tcPr>
            <w:tcW w:w="815" w:type="dxa"/>
            <w:noWrap w:val="0"/>
            <w:vAlign w:val="center"/>
          </w:tcPr>
          <w:p w14:paraId="110DF7FD">
            <w:pPr>
              <w:widowControl/>
              <w:jc w:val="center"/>
              <w:rPr>
                <w:rFonts w:hint="eastAsia"/>
                <w:color w:val="auto"/>
                <w:sz w:val="21"/>
                <w:szCs w:val="22"/>
                <w:highlight w:val="none"/>
              </w:rPr>
            </w:pPr>
            <w:r>
              <w:rPr>
                <w:rFonts w:hint="eastAsia" w:ascii="宋体" w:hAnsi="宋体" w:eastAsia="宋体" w:cs="宋体"/>
                <w:color w:val="auto"/>
                <w:kern w:val="0"/>
                <w:sz w:val="21"/>
                <w:szCs w:val="21"/>
                <w:highlight w:val="none"/>
                <w:lang w:val="en-US" w:eastAsia="zh-CN"/>
              </w:rPr>
              <w:t>套</w:t>
            </w:r>
          </w:p>
        </w:tc>
        <w:tc>
          <w:tcPr>
            <w:tcW w:w="882" w:type="dxa"/>
            <w:noWrap w:val="0"/>
            <w:vAlign w:val="center"/>
          </w:tcPr>
          <w:p w14:paraId="3CB8ED06">
            <w:pPr>
              <w:widowControl/>
              <w:jc w:val="center"/>
              <w:rPr>
                <w:rFonts w:hint="eastAsia" w:ascii="宋体" w:hAnsi="宋体" w:cs="宋体"/>
                <w:color w:val="auto"/>
                <w:szCs w:val="21"/>
                <w:highlight w:val="none"/>
              </w:rPr>
            </w:pPr>
            <w:r>
              <w:rPr>
                <w:rFonts w:hint="eastAsia" w:ascii="宋体" w:hAnsi="宋体" w:cs="宋体"/>
                <w:color w:val="auto"/>
                <w:kern w:val="0"/>
                <w:sz w:val="21"/>
                <w:szCs w:val="21"/>
                <w:highlight w:val="none"/>
                <w:lang w:val="en-US" w:eastAsia="zh-CN"/>
              </w:rPr>
              <w:t>4</w:t>
            </w:r>
          </w:p>
        </w:tc>
        <w:tc>
          <w:tcPr>
            <w:tcW w:w="5268" w:type="dxa"/>
            <w:noWrap w:val="0"/>
            <w:vAlign w:val="center"/>
          </w:tcPr>
          <w:p w14:paraId="49561FE5">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橡皮艇套装</w:t>
            </w:r>
            <w:r>
              <w:rPr>
                <w:rFonts w:hint="eastAsia" w:ascii="宋体" w:hAnsi="宋体" w:eastAsia="宋体" w:cs="宋体"/>
                <w:color w:val="auto"/>
                <w:sz w:val="21"/>
                <w:szCs w:val="21"/>
                <w:highlight w:val="none"/>
                <w:lang w:val="en-US" w:eastAsia="zh-CN"/>
              </w:rPr>
              <w:t>由一套橡皮艇</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一台船外机</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组成。</w:t>
            </w:r>
          </w:p>
          <w:p w14:paraId="6856BAFA">
            <w:pPr>
              <w:numPr>
                <w:ilvl w:val="0"/>
                <w:numId w:val="0"/>
              </w:numP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一、橡皮艇参数</w:t>
            </w:r>
          </w:p>
          <w:p w14:paraId="39CEEA36">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lang w:eastAsia="zh-CN"/>
              </w:rPr>
              <w:t xml:space="preserve">外长≥400cm，外宽≥180cm； </w:t>
            </w:r>
          </w:p>
          <w:p w14:paraId="4AF17E83">
            <w:pPr>
              <w:numPr>
                <w:ilvl w:val="0"/>
                <w:numId w:val="0"/>
              </w:num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 xml:space="preserve">2.气囊数≥4个，辅助D型扣数量9个，船首拖拽装置1套，最大载荷1000kg； </w:t>
            </w:r>
          </w:p>
          <w:p w14:paraId="146E9101">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3.艇底结构：船底深V型设计，水阻小； </w:t>
            </w:r>
          </w:p>
          <w:p w14:paraId="5D3B6ED5">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4.艇身材质≥0.9mmPVC复合加网材质； </w:t>
            </w:r>
          </w:p>
          <w:p w14:paraId="2AC6BFCA">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5.底板材质：防滑铝合金拼装底板； </w:t>
            </w:r>
          </w:p>
          <w:p w14:paraId="03C74318">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6.耐压性：满载状态时，船艇各气囊加压至1.15倍额定压力后静置30min，无异样；气密性：额定压力为0.025Mpa，空载状态下浮筒静置60min后剩余压力为0.025Mpa；额定压力为0.035Mpa，空载状态下充气底板静置60min后剩余压力为0.035Mpa；安全及性能要求：静态稳性满载10人当所有人移至船体一舷时，倾斜角度≤10°，满载排水量≥978kg， 配30马力船外机最大航速空载≥46km/h,载重400kg时航速≥ 38km/h。回转直径：载重75kg，航速11km/h时，左转≤3.0m，右转≤3.8m； </w:t>
            </w:r>
          </w:p>
          <w:p w14:paraId="41EAFDF4">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7.橡胶涂覆织物物理性能检测:经向拉伸强度≥110kN/m，纬向拉伸强度≥105kN/m、经向梯形撕裂强度≥700N，纬向撕裂强度≥700N； </w:t>
            </w:r>
          </w:p>
          <w:p w14:paraId="343E7514">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kern w:val="2"/>
                <w:sz w:val="21"/>
                <w:szCs w:val="21"/>
                <w:highlight w:val="none"/>
                <w:lang w:val="en-US" w:eastAsia="zh-CN" w:bidi="ar-SA"/>
              </w:rPr>
              <w:t>8.</w:t>
            </w:r>
            <w:r>
              <w:rPr>
                <w:rFonts w:hint="eastAsia" w:ascii="宋体" w:hAnsi="宋体" w:eastAsia="宋体" w:cs="宋体"/>
                <w:color w:val="auto"/>
                <w:sz w:val="21"/>
                <w:szCs w:val="21"/>
                <w:highlight w:val="none"/>
                <w:lang w:eastAsia="zh-CN"/>
              </w:rPr>
              <w:t>安全性:依据GB/T26572-2011、GB8410-2006 对四种限用物质铅、镉、汞、六价铬及邻苯二甲酸酯均未检出；</w:t>
            </w:r>
          </w:p>
          <w:p w14:paraId="44FB5407">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9.为防止橡皮艇污染水体，依据GB6675.4-2014对下列八大重金属材质:可溶性铅、可溶性锑、可溶性砷、可溶性钡、可溶性镉、可溶性铬、可溶性汞、可溶性硒，均未检出；</w:t>
            </w:r>
          </w:p>
          <w:p w14:paraId="4750ED81">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10.耐磨性：依据GB/T19089-2012、GB/T19089-2012检测，在12kPa压力下，PVC材料的耐磨性≥1000次摩擦后无变化，抗刺穿性≥166N，经48H盐雾试验后，金属件未出现红锈和其他明显可见的腐蚀痕迹；</w:t>
            </w:r>
          </w:p>
          <w:p w14:paraId="2F111DE2">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11.依据GB/T16422.3-2022对原材料进行UV灯照射24h后，结果无褪色、无变形；</w:t>
            </w:r>
          </w:p>
          <w:p w14:paraId="0A40BB79">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 12.原材料在72℃环境内存放，24h后试样外观完好；原材料在﹣50℃环境内存放，24h后试样外观完好；</w:t>
            </w:r>
          </w:p>
          <w:p w14:paraId="5D1AAC19">
            <w:pPr>
              <w:numPr>
                <w:ilvl w:val="0"/>
                <w:numId w:val="0"/>
              </w:numP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 13.采用GC-MS方法，DBP、BBP、DEHP、DNOP四项均低于0.005%；</w:t>
            </w:r>
          </w:p>
          <w:p w14:paraId="4E7DAA2B">
            <w:pPr>
              <w:numPr>
                <w:ilvl w:val="0"/>
                <w:numId w:val="0"/>
              </w:numP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lang w:val="en-US" w:eastAsia="zh-CN"/>
              </w:rPr>
              <w:t>船外机技术参数：</w:t>
            </w:r>
          </w:p>
          <w:p w14:paraId="060516F3">
            <w:pPr>
              <w:numPr>
                <w:ilvl w:val="0"/>
                <w:numId w:val="0"/>
              </w:numPr>
              <w:rPr>
                <w:rFonts w:hint="eastAsia"/>
                <w:color w:val="auto"/>
                <w:highlight w:val="none"/>
              </w:rPr>
            </w:pPr>
            <w:r>
              <w:rPr>
                <w:rFonts w:hint="eastAsia"/>
                <w:color w:val="auto"/>
                <w:highlight w:val="none"/>
                <w:lang w:val="en-US" w:eastAsia="zh-CN"/>
              </w:rPr>
              <w:t>1、</w:t>
            </w:r>
            <w:r>
              <w:rPr>
                <w:rFonts w:hint="eastAsia"/>
                <w:color w:val="auto"/>
                <w:highlight w:val="none"/>
              </w:rPr>
              <w:t>产品为2冲程；</w:t>
            </w:r>
            <w:r>
              <w:rPr>
                <w:rFonts w:hint="eastAsia" w:ascii="Times New Roman" w:hAnsi="Times New Roman" w:eastAsia="宋体" w:cs="Times New Roman"/>
                <w:color w:val="auto"/>
                <w:kern w:val="2"/>
                <w:sz w:val="21"/>
                <w:szCs w:val="24"/>
                <w:highlight w:val="none"/>
                <w:lang w:val="en-US" w:eastAsia="zh-CN" w:bidi="ar-SA"/>
              </w:rPr>
              <w:t>.</w:t>
            </w:r>
            <w:r>
              <w:rPr>
                <w:rFonts w:hint="eastAsia"/>
                <w:color w:val="auto"/>
                <w:highlight w:val="none"/>
              </w:rPr>
              <w:t xml:space="preserve">气缸数：2； </w:t>
            </w:r>
          </w:p>
          <w:p w14:paraId="0895B64B">
            <w:pPr>
              <w:numPr>
                <w:ilvl w:val="0"/>
                <w:numId w:val="0"/>
              </w:numPr>
              <w:rPr>
                <w:rFonts w:hint="default" w:ascii="宋体" w:hAnsi="宋体" w:cs="宋体"/>
                <w:color w:val="auto"/>
                <w:sz w:val="21"/>
                <w:szCs w:val="21"/>
                <w:highlight w:val="none"/>
                <w:lang w:val="en-US" w:eastAsia="zh-CN"/>
              </w:rPr>
            </w:pPr>
            <w:r>
              <w:rPr>
                <w:rFonts w:hint="eastAsia"/>
                <w:color w:val="auto"/>
                <w:highlight w:val="none"/>
                <w:lang w:val="en-US" w:eastAsia="zh-CN"/>
              </w:rPr>
              <w:t>2、</w:t>
            </w:r>
            <w:r>
              <w:rPr>
                <w:rFonts w:hint="eastAsia"/>
                <w:color w:val="auto"/>
                <w:highlight w:val="none"/>
              </w:rPr>
              <w:t xml:space="preserve">额定功率： ≥22kw； </w:t>
            </w:r>
          </w:p>
          <w:p w14:paraId="641EB3A9">
            <w:pPr>
              <w:numPr>
                <w:ilvl w:val="0"/>
                <w:numId w:val="0"/>
              </w:numPr>
              <w:rPr>
                <w:rFonts w:hint="eastAsia"/>
                <w:color w:val="auto"/>
                <w:highlight w:val="none"/>
              </w:rPr>
            </w:pPr>
            <w:r>
              <w:rPr>
                <w:rFonts w:hint="eastAsia" w:ascii="宋体" w:hAnsi="宋体" w:cs="宋体"/>
                <w:color w:val="auto"/>
                <w:kern w:val="2"/>
                <w:sz w:val="21"/>
                <w:szCs w:val="21"/>
                <w:highlight w:val="none"/>
                <w:lang w:val="en-US" w:eastAsia="zh-CN" w:bidi="ar-SA"/>
              </w:rPr>
              <w:t>3、</w:t>
            </w:r>
            <w:r>
              <w:rPr>
                <w:rFonts w:hint="eastAsia"/>
                <w:color w:val="auto"/>
                <w:highlight w:val="none"/>
              </w:rPr>
              <w:t>额定转速：≥5400rpm；</w:t>
            </w:r>
          </w:p>
          <w:p w14:paraId="312AA934">
            <w:pPr>
              <w:numPr>
                <w:ilvl w:val="0"/>
                <w:numId w:val="0"/>
              </w:numPr>
              <w:rPr>
                <w:rFonts w:hint="eastAsia"/>
                <w:color w:val="auto"/>
                <w:highlight w:val="none"/>
              </w:rPr>
            </w:pPr>
            <w:r>
              <w:rPr>
                <w:rFonts w:hint="eastAsia"/>
                <w:color w:val="auto"/>
                <w:highlight w:val="none"/>
                <w:lang w:val="en-US" w:eastAsia="zh-CN"/>
              </w:rPr>
              <w:t>4</w:t>
            </w:r>
            <w:r>
              <w:rPr>
                <w:rFonts w:hint="eastAsia"/>
                <w:color w:val="auto"/>
                <w:highlight w:val="none"/>
              </w:rPr>
              <w:t>.</w:t>
            </w:r>
            <w:r>
              <w:rPr>
                <w:rFonts w:hint="eastAsia"/>
                <w:color w:val="auto"/>
                <w:highlight w:val="none"/>
                <w:lang w:eastAsia="zh-CN"/>
              </w:rPr>
              <w:t>、</w:t>
            </w:r>
            <w:r>
              <w:rPr>
                <w:rFonts w:hint="eastAsia"/>
                <w:color w:val="auto"/>
                <w:highlight w:val="none"/>
              </w:rPr>
              <w:t xml:space="preserve">排气量 ：≥460cc； </w:t>
            </w:r>
          </w:p>
          <w:p w14:paraId="4B58651F">
            <w:pPr>
              <w:numPr>
                <w:ilvl w:val="0"/>
                <w:numId w:val="0"/>
              </w:numPr>
              <w:rPr>
                <w:rFonts w:hint="eastAsia"/>
                <w:color w:val="auto"/>
                <w:highlight w:val="none"/>
              </w:rPr>
            </w:pPr>
            <w:r>
              <w:rPr>
                <w:rFonts w:hint="eastAsia"/>
                <w:color w:val="auto"/>
                <w:highlight w:val="none"/>
                <w:lang w:val="en-US" w:eastAsia="zh-CN"/>
              </w:rPr>
              <w:t>5、</w:t>
            </w:r>
            <w:r>
              <w:rPr>
                <w:rFonts w:hint="eastAsia"/>
                <w:color w:val="auto"/>
                <w:highlight w:val="none"/>
              </w:rPr>
              <w:t xml:space="preserve">启动方式：手动； </w:t>
            </w:r>
          </w:p>
          <w:p w14:paraId="4ECA6036">
            <w:pPr>
              <w:numPr>
                <w:ilvl w:val="0"/>
                <w:numId w:val="0"/>
              </w:numPr>
              <w:rPr>
                <w:rFonts w:hint="eastAsia"/>
                <w:color w:val="auto"/>
                <w:highlight w:val="none"/>
              </w:rPr>
            </w:pPr>
            <w:r>
              <w:rPr>
                <w:rFonts w:hint="eastAsia"/>
                <w:color w:val="auto"/>
                <w:highlight w:val="none"/>
                <w:lang w:val="en-US" w:eastAsia="zh-CN"/>
              </w:rPr>
              <w:t>6、</w:t>
            </w:r>
            <w:r>
              <w:rPr>
                <w:rFonts w:hint="eastAsia"/>
                <w:color w:val="auto"/>
                <w:highlight w:val="none"/>
              </w:rPr>
              <w:t xml:space="preserve">操作方式：后操； </w:t>
            </w:r>
          </w:p>
          <w:p w14:paraId="483FAF4A">
            <w:pPr>
              <w:numPr>
                <w:ilvl w:val="0"/>
                <w:numId w:val="0"/>
              </w:numPr>
              <w:rPr>
                <w:rFonts w:hint="eastAsia"/>
                <w:color w:val="auto"/>
                <w:highlight w:val="none"/>
              </w:rPr>
            </w:pPr>
            <w:r>
              <w:rPr>
                <w:rFonts w:hint="eastAsia"/>
                <w:color w:val="auto"/>
                <w:highlight w:val="none"/>
                <w:lang w:val="en-US" w:eastAsia="zh-CN"/>
              </w:rPr>
              <w:t>7</w:t>
            </w:r>
            <w:r>
              <w:rPr>
                <w:rFonts w:hint="eastAsia"/>
                <w:color w:val="auto"/>
                <w:highlight w:val="none"/>
                <w:lang w:eastAsia="zh-CN"/>
              </w:rPr>
              <w:t>、</w:t>
            </w:r>
            <w:r>
              <w:rPr>
                <w:rFonts w:hint="eastAsia"/>
                <w:color w:val="auto"/>
                <w:highlight w:val="none"/>
              </w:rPr>
              <w:t xml:space="preserve">档位： 前--空--倒档； </w:t>
            </w:r>
          </w:p>
          <w:p w14:paraId="0E6BC898">
            <w:pPr>
              <w:numPr>
                <w:ilvl w:val="0"/>
                <w:numId w:val="0"/>
              </w:numPr>
              <w:rPr>
                <w:rFonts w:hint="eastAsia"/>
                <w:color w:val="auto"/>
                <w:highlight w:val="none"/>
              </w:rPr>
            </w:pPr>
            <w:r>
              <w:rPr>
                <w:rFonts w:hint="eastAsia"/>
                <w:color w:val="auto"/>
                <w:highlight w:val="none"/>
                <w:lang w:val="en-US" w:eastAsia="zh-CN"/>
              </w:rPr>
              <w:t>8、</w:t>
            </w:r>
            <w:r>
              <w:rPr>
                <w:rFonts w:hint="eastAsia"/>
                <w:color w:val="auto"/>
                <w:highlight w:val="none"/>
              </w:rPr>
              <w:t xml:space="preserve">起动发动机落水后1分钟，通过沥干、排水措施，2次拉发能正常起动； </w:t>
            </w:r>
          </w:p>
          <w:p w14:paraId="5C5C9938">
            <w:pPr>
              <w:numPr>
                <w:ilvl w:val="0"/>
                <w:numId w:val="0"/>
              </w:numPr>
              <w:rPr>
                <w:rFonts w:hint="eastAsia"/>
                <w:color w:val="auto"/>
                <w:highlight w:val="none"/>
              </w:rPr>
            </w:pPr>
            <w:r>
              <w:rPr>
                <w:rFonts w:hint="eastAsia"/>
                <w:color w:val="auto"/>
                <w:highlight w:val="none"/>
                <w:lang w:val="en-US" w:eastAsia="zh-CN"/>
              </w:rPr>
              <w:t>9、</w:t>
            </w:r>
            <w:r>
              <w:rPr>
                <w:rFonts w:hint="eastAsia"/>
                <w:color w:val="auto"/>
                <w:highlight w:val="none"/>
              </w:rPr>
              <w:t>操舵灵活，左满舵角度≥40°，右满舵角度≥40°；</w:t>
            </w:r>
          </w:p>
          <w:p w14:paraId="66134004">
            <w:pPr>
              <w:numPr>
                <w:ilvl w:val="0"/>
                <w:numId w:val="0"/>
              </w:numPr>
              <w:rPr>
                <w:rFonts w:hint="eastAsia"/>
                <w:color w:val="auto"/>
                <w:highlight w:val="none"/>
              </w:rPr>
            </w:pPr>
            <w:r>
              <w:rPr>
                <w:rFonts w:hint="eastAsia"/>
                <w:color w:val="auto"/>
                <w:highlight w:val="none"/>
                <w:lang w:val="en-US" w:eastAsia="zh-CN"/>
              </w:rPr>
              <w:t>10、</w:t>
            </w:r>
            <w:r>
              <w:rPr>
                <w:rFonts w:hint="eastAsia"/>
                <w:color w:val="auto"/>
                <w:highlight w:val="none"/>
              </w:rPr>
              <w:t xml:space="preserve">舷外机横倾10°，纵倾5°，时长10分钟，舷外机能正常工作； </w:t>
            </w:r>
          </w:p>
          <w:p w14:paraId="449A6570">
            <w:pPr>
              <w:numPr>
                <w:ilvl w:val="0"/>
                <w:numId w:val="0"/>
              </w:numPr>
              <w:rPr>
                <w:rFonts w:hint="eastAsia"/>
                <w:color w:val="auto"/>
                <w:highlight w:val="none"/>
              </w:rPr>
            </w:pPr>
            <w:r>
              <w:rPr>
                <w:rFonts w:hint="eastAsia" w:cs="Times New Roman"/>
                <w:color w:val="auto"/>
                <w:kern w:val="2"/>
                <w:sz w:val="21"/>
                <w:szCs w:val="24"/>
                <w:highlight w:val="none"/>
                <w:lang w:val="en-US" w:eastAsia="zh-CN" w:bidi="ar-SA"/>
              </w:rPr>
              <w:t>11、</w:t>
            </w:r>
            <w:r>
              <w:rPr>
                <w:rFonts w:hint="eastAsia"/>
                <w:color w:val="auto"/>
                <w:highlight w:val="none"/>
              </w:rPr>
              <w:t>燃油 ：汽油；</w:t>
            </w:r>
          </w:p>
          <w:p w14:paraId="255E9312">
            <w:pPr>
              <w:numPr>
                <w:ilvl w:val="0"/>
                <w:numId w:val="0"/>
              </w:numPr>
              <w:rPr>
                <w:rFonts w:hint="eastAsia"/>
                <w:color w:val="auto"/>
                <w:highlight w:val="none"/>
              </w:rPr>
            </w:pPr>
            <w:r>
              <w:rPr>
                <w:rFonts w:hint="eastAsia"/>
                <w:color w:val="auto"/>
                <w:highlight w:val="none"/>
                <w:lang w:val="en-US" w:eastAsia="zh-CN"/>
              </w:rPr>
              <w:t>12、</w:t>
            </w:r>
            <w:r>
              <w:rPr>
                <w:rFonts w:hint="eastAsia"/>
                <w:color w:val="auto"/>
                <w:highlight w:val="none"/>
              </w:rPr>
              <w:t xml:space="preserve">冷确系统：水冷； </w:t>
            </w:r>
          </w:p>
          <w:p w14:paraId="3A5CADF4">
            <w:pPr>
              <w:numPr>
                <w:ilvl w:val="0"/>
                <w:numId w:val="0"/>
              </w:numPr>
              <w:rPr>
                <w:rFonts w:hint="eastAsia"/>
                <w:color w:val="auto"/>
                <w:highlight w:val="none"/>
              </w:rPr>
            </w:pPr>
            <w:r>
              <w:rPr>
                <w:rFonts w:hint="eastAsia"/>
                <w:color w:val="auto"/>
                <w:highlight w:val="none"/>
                <w:lang w:val="en-US" w:eastAsia="zh-CN"/>
              </w:rPr>
              <w:t>13、</w:t>
            </w:r>
            <w:r>
              <w:rPr>
                <w:rFonts w:hint="eastAsia"/>
                <w:color w:val="auto"/>
                <w:highlight w:val="none"/>
              </w:rPr>
              <w:t xml:space="preserve">重量：＜55KG； </w:t>
            </w:r>
          </w:p>
          <w:p w14:paraId="1EE1AE9B">
            <w:pPr>
              <w:numPr>
                <w:ilvl w:val="0"/>
                <w:numId w:val="0"/>
              </w:numPr>
              <w:rPr>
                <w:rFonts w:hint="eastAsia"/>
                <w:color w:val="auto"/>
                <w:highlight w:val="none"/>
              </w:rPr>
            </w:pPr>
            <w:r>
              <w:rPr>
                <w:rFonts w:hint="eastAsia"/>
                <w:color w:val="auto"/>
                <w:highlight w:val="none"/>
                <w:lang w:val="en-US" w:eastAsia="zh-CN"/>
              </w:rPr>
              <w:t>14、</w:t>
            </w:r>
            <w:r>
              <w:rPr>
                <w:rFonts w:hint="eastAsia"/>
                <w:color w:val="auto"/>
                <w:highlight w:val="none"/>
              </w:rPr>
              <w:t xml:space="preserve">最大转速范围（RPM）：4500-5500 ； </w:t>
            </w:r>
          </w:p>
          <w:p w14:paraId="6C22E10E">
            <w:pPr>
              <w:numPr>
                <w:ilvl w:val="0"/>
                <w:numId w:val="0"/>
              </w:numPr>
              <w:rPr>
                <w:rFonts w:hint="eastAsia" w:ascii="宋体" w:hAnsi="宋体" w:eastAsia="宋体" w:cs="宋体"/>
                <w:color w:val="auto"/>
                <w:kern w:val="0"/>
                <w:szCs w:val="21"/>
                <w:highlight w:val="none"/>
              </w:rPr>
            </w:pPr>
            <w:r>
              <w:rPr>
                <w:rFonts w:hint="eastAsia"/>
                <w:color w:val="auto"/>
                <w:highlight w:val="none"/>
                <w:lang w:val="en-US" w:eastAsia="zh-CN"/>
              </w:rPr>
              <w:t>15、</w:t>
            </w:r>
            <w:r>
              <w:rPr>
                <w:rFonts w:hint="eastAsia"/>
                <w:color w:val="auto"/>
                <w:highlight w:val="none"/>
              </w:rPr>
              <w:t>需提供中国船级社型式认可证书复印件；</w:t>
            </w:r>
          </w:p>
        </w:tc>
        <w:tc>
          <w:tcPr>
            <w:tcW w:w="809" w:type="dxa"/>
            <w:noWrap w:val="0"/>
            <w:vAlign w:val="center"/>
          </w:tcPr>
          <w:p w14:paraId="513445BD">
            <w:pPr>
              <w:widowControl/>
              <w:jc w:val="center"/>
              <w:textAlignment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38000元/套</w:t>
            </w:r>
          </w:p>
        </w:tc>
      </w:tr>
    </w:tbl>
    <w:p w14:paraId="5E2CFC81">
      <w:pPr>
        <w:kinsoku w:val="0"/>
        <w:overflowPunct w:val="0"/>
        <w:autoSpaceDE w:val="0"/>
        <w:autoSpaceDN w:val="0"/>
        <w:adjustRightInd w:val="0"/>
        <w:snapToGrid w:val="0"/>
        <w:spacing w:line="360" w:lineRule="auto"/>
        <w:textAlignment w:val="baseline"/>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rPr>
        <w:t>注：上述所有技术参数中涉及的型号仅为参考型号，投标人可以投其他型号，但所投产品的功能及技术参数应等于或高于参考型号的要求。</w:t>
      </w:r>
      <w:r>
        <w:rPr>
          <w:rFonts w:hint="eastAsia" w:ascii="宋体" w:hAnsi="宋体" w:cs="宋体"/>
          <w:b/>
          <w:bCs/>
          <w:color w:val="auto"/>
          <w:szCs w:val="21"/>
          <w:highlight w:val="none"/>
          <w:lang w:val="en-US" w:eastAsia="zh-CN"/>
        </w:rPr>
        <w:t>招标文件中涉及到的标准如有最新标准，按最新标准执行。</w:t>
      </w:r>
    </w:p>
    <w:p w14:paraId="1DD054D9">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五、综合说明：</w:t>
      </w:r>
    </w:p>
    <w:p w14:paraId="0BEE42EC">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（一）货物要求</w:t>
      </w:r>
    </w:p>
    <w:p w14:paraId="4E406237">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1、货物应能确保在正常的使用过程中安全、可靠并符合国家颁布的货物、质量、技术、安全等标准。</w:t>
      </w:r>
    </w:p>
    <w:p w14:paraId="1FC03710">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2、报价产品应是全新的、未使用过的、原包装未拆封的商品，完全符合采购规定的质量、规格、性能的相应要求。所提供货物质量必须符合国家相关标准，必须满足本次采购的要求。所有报价的产品，各项技术应当符合国家（强制性）标准及各项规范要求；国家没有相应标准、规范的，可使用行业标准、规定；非标准设备按招标约定的技术要求和规范。“采购清单及技术要求”中涉及到的规范标准如有最新版的应按最新版本标准执行。如质量出现问题，中标方负责“三包”，费用由中标方负责。</w:t>
      </w:r>
    </w:p>
    <w:p w14:paraId="4D334D3F">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3、本次采购的供货范围，除包括上述货物外，还应包括货物使用所必需的配件。</w:t>
      </w:r>
    </w:p>
    <w:p w14:paraId="0B42C3FE">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（二）特别说明</w:t>
      </w:r>
    </w:p>
    <w:p w14:paraId="0D781E80">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1、“采购清单及技术要求”及相关要求是投标单位投标报价的基础，投标单位不得对“采购清单及技术要求”序号进行任何修改。</w:t>
      </w:r>
    </w:p>
    <w:p w14:paraId="54BBD9B2">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2、投标单位应对 “采购清单及技术要求”中的所有货物进行报价。</w:t>
      </w:r>
    </w:p>
    <w:p w14:paraId="491ACDA3">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3、投标单位根据按照招标文件提供的技术响应表格式对技术指标逐条进行应答，如果以其中某些条款不响应时，应在文件中逐条列出，未列出的视同响应。</w:t>
      </w:r>
    </w:p>
    <w:p w14:paraId="3991CD41">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4、投标单位所投报的货物应明确所投货物的型号、规格和外形、尺寸、安装尺寸、重量及一些必须说明的技术参数，以及使用的材料的清单，同时明确生产厂家、型号规格等，并提供详细的技术参数及性能说明书。</w:t>
      </w:r>
    </w:p>
    <w:p w14:paraId="5976DC28">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5、采购单位有权不定期对中标标的物的生产过程等进行查看,如果发现中标单位存在违反本次采购标的物要求的,采购单位有权终止合同履行,相关损失由中标单位承担。</w:t>
      </w:r>
    </w:p>
    <w:p w14:paraId="1A530C7F">
      <w:pPr>
        <w:spacing w:line="360" w:lineRule="auto"/>
        <w:ind w:firstLine="420" w:firstLineChars="200"/>
        <w:rPr>
          <w:rFonts w:hint="default" w:ascii="宋体" w:hAnsi="宋体" w:eastAsia="宋体"/>
          <w:snapToGrid w:val="0"/>
          <w:color w:val="auto"/>
          <w:kern w:val="0"/>
          <w:szCs w:val="21"/>
          <w:highlight w:val="none"/>
          <w:lang w:val="en-US" w:eastAsia="zh-CN"/>
        </w:rPr>
      </w:pPr>
      <w:r>
        <w:rPr>
          <w:rFonts w:hint="eastAsia" w:ascii="宋体" w:hAnsi="宋体"/>
          <w:snapToGrid w:val="0"/>
          <w:color w:val="auto"/>
          <w:kern w:val="0"/>
          <w:szCs w:val="21"/>
          <w:highlight w:val="none"/>
          <w:lang w:val="en-US" w:eastAsia="zh-CN"/>
        </w:rPr>
        <w:t>6、验收过程中，所供产品如需做破坏性试验，乙方须无条件按照采购清单数量补全产品。</w:t>
      </w:r>
    </w:p>
    <w:p w14:paraId="2214F25B">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（三）报价要求</w:t>
      </w:r>
    </w:p>
    <w:p w14:paraId="7AE8022D">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1、投标总报价一次报定，包括全部产品及其备品、备件和专用工具费用、税费及包装、运至最终目的地的运输、保险、现场吊装、检测验收、安装、调试、维修、技术支持与培训、售后服务与维保及相关劳务支出等工作所发生的全部费用以及投标人企业利润、税金和政策性文件规定及合同包含的所有风险、责任等各项应有费用。</w:t>
      </w:r>
    </w:p>
    <w:p w14:paraId="3D75393A">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（四）包装和装运</w:t>
      </w:r>
    </w:p>
    <w:p w14:paraId="4F7739A1">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1、外包装</w:t>
      </w:r>
    </w:p>
    <w:p w14:paraId="060E9354">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1.</w:t>
      </w:r>
      <w:r>
        <w:rPr>
          <w:rFonts w:hint="eastAsia" w:ascii="宋体" w:hAnsi="宋体"/>
          <w:snapToGrid w:val="0"/>
          <w:color w:val="auto"/>
          <w:kern w:val="0"/>
          <w:szCs w:val="21"/>
          <w:highlight w:val="none"/>
        </w:rPr>
        <w:t>1、标志：供货时外包装袋需标注产品名称、数量、重量、生产批号、承制单位名称、江苏储备字样以及采购人批准的log</w:t>
      </w:r>
      <w:r>
        <w:rPr>
          <w:rFonts w:hint="eastAsia" w:ascii="宋体" w:hAnsi="宋体"/>
          <w:snapToGrid w:val="0"/>
          <w:color w:val="auto"/>
          <w:kern w:val="0"/>
          <w:szCs w:val="21"/>
          <w:highlight w:val="none"/>
          <w:lang w:val="en-US" w:eastAsia="zh-CN"/>
        </w:rPr>
        <w:t>o</w:t>
      </w:r>
      <w:r>
        <w:rPr>
          <w:rFonts w:hint="eastAsia" w:ascii="宋体" w:hAnsi="宋体"/>
          <w:snapToGrid w:val="0"/>
          <w:color w:val="auto"/>
          <w:kern w:val="0"/>
          <w:szCs w:val="21"/>
          <w:highlight w:val="none"/>
        </w:rPr>
        <w:t>标识。其产品名称、承制方名称为黑体字，其余为宋体字，字体大小适宜，布局合理。具体相关标志要求在中标后根据采购人要求实施。</w:t>
      </w:r>
    </w:p>
    <w:p w14:paraId="6EBB2C39">
      <w:pPr>
        <w:spacing w:line="360" w:lineRule="auto"/>
        <w:ind w:firstLine="420" w:firstLineChars="200"/>
        <w:rPr>
          <w:rFonts w:hint="eastAsia" w:ascii="宋体" w:hAnsi="宋体" w:eastAsia="宋体"/>
          <w:snapToGrid w:val="0"/>
          <w:color w:val="auto"/>
          <w:kern w:val="0"/>
          <w:szCs w:val="21"/>
          <w:highlight w:val="none"/>
          <w:lang w:eastAsia="zh-CN"/>
        </w:rPr>
      </w:pPr>
      <w:r>
        <w:rPr>
          <w:rFonts w:hint="eastAsia" w:ascii="宋体" w:hAnsi="宋体"/>
          <w:snapToGrid w:val="0"/>
          <w:color w:val="auto"/>
          <w:kern w:val="0"/>
          <w:szCs w:val="21"/>
          <w:highlight w:val="none"/>
          <w:lang w:val="en-US" w:eastAsia="zh-CN"/>
        </w:rPr>
        <w:t>1.</w:t>
      </w:r>
      <w:r>
        <w:rPr>
          <w:rFonts w:hint="eastAsia" w:ascii="宋体" w:hAnsi="宋体"/>
          <w:snapToGrid w:val="0"/>
          <w:color w:val="auto"/>
          <w:kern w:val="0"/>
          <w:szCs w:val="21"/>
          <w:highlight w:val="none"/>
        </w:rPr>
        <w:t>2、外包装：包装材料应防潮、防水、防老化、结实可靠。外包装袋由供应商负责免费提供，一般为牛津布，特别产品不适合牛津布包装的，供应商可提供其他包装袋，使用纸盒包装的，应选择环保纸盒。招标文件技术指标另有要求的，则按要求执行</w:t>
      </w:r>
      <w:r>
        <w:rPr>
          <w:rFonts w:hint="eastAsia" w:ascii="宋体" w:hAnsi="宋体"/>
          <w:snapToGrid w:val="0"/>
          <w:color w:val="auto"/>
          <w:kern w:val="0"/>
          <w:szCs w:val="21"/>
          <w:highlight w:val="none"/>
          <w:lang w:eastAsia="zh-CN"/>
        </w:rPr>
        <w:t>。</w:t>
      </w:r>
    </w:p>
    <w:p w14:paraId="6B0CCF46">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2、</w:t>
      </w:r>
      <w:r>
        <w:rPr>
          <w:rFonts w:hint="eastAsia" w:ascii="宋体" w:hAnsi="宋体"/>
          <w:snapToGrid w:val="0"/>
          <w:color w:val="auto"/>
          <w:kern w:val="0"/>
          <w:szCs w:val="21"/>
          <w:highlight w:val="none"/>
        </w:rPr>
        <w:t>包装必须与运输方式相适应，包装方式的确定由中标单位负责；由于不适当的包装而造成货物在运输过程中有任何损坏由中标单位负责。</w:t>
      </w:r>
    </w:p>
    <w:p w14:paraId="4750E45C">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3</w:t>
      </w:r>
      <w:r>
        <w:rPr>
          <w:rFonts w:hint="eastAsia" w:ascii="宋体" w:hAnsi="宋体"/>
          <w:snapToGrid w:val="0"/>
          <w:color w:val="auto"/>
          <w:kern w:val="0"/>
          <w:szCs w:val="21"/>
          <w:highlight w:val="none"/>
        </w:rPr>
        <w:t>、包装应足以承受整个过程中的运输、转运、装卸、储存等，充分考虑到运输途中的各种情况（如暴露于恶劣气候等）和苏州地区的气候特点。</w:t>
      </w:r>
    </w:p>
    <w:p w14:paraId="325F979B">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（五）交货时间: 自合同签订之日起</w:t>
      </w:r>
      <w:r>
        <w:rPr>
          <w:rFonts w:hint="eastAsia" w:ascii="宋体" w:hAnsi="宋体"/>
          <w:snapToGrid w:val="0"/>
          <w:color w:val="auto"/>
          <w:kern w:val="0"/>
          <w:szCs w:val="21"/>
          <w:highlight w:val="none"/>
          <w:lang w:val="en-US" w:eastAsia="zh-CN"/>
        </w:rPr>
        <w:t>30</w:t>
      </w:r>
      <w:r>
        <w:rPr>
          <w:rFonts w:hint="eastAsia" w:ascii="宋体" w:hAnsi="宋体"/>
          <w:snapToGrid w:val="0"/>
          <w:color w:val="auto"/>
          <w:kern w:val="0"/>
          <w:szCs w:val="21"/>
          <w:highlight w:val="none"/>
        </w:rPr>
        <w:t>天内完成所有货物的</w:t>
      </w:r>
      <w:r>
        <w:rPr>
          <w:rFonts w:hint="eastAsia" w:ascii="宋体" w:hAnsi="宋体"/>
          <w:snapToGrid w:val="0"/>
          <w:color w:val="auto"/>
          <w:kern w:val="0"/>
          <w:szCs w:val="21"/>
          <w:highlight w:val="none"/>
          <w:lang w:val="en-US" w:eastAsia="zh-CN"/>
        </w:rPr>
        <w:t>安装调试</w:t>
      </w:r>
      <w:r>
        <w:rPr>
          <w:rFonts w:hint="eastAsia" w:ascii="宋体" w:hAnsi="宋体"/>
          <w:snapToGrid w:val="0"/>
          <w:color w:val="auto"/>
          <w:kern w:val="0"/>
          <w:szCs w:val="21"/>
          <w:highlight w:val="none"/>
        </w:rPr>
        <w:t>（具体按照采购单位要求）。</w:t>
      </w:r>
    </w:p>
    <w:p w14:paraId="4162A254">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（六）交货地点:苏州市</w:t>
      </w:r>
      <w:r>
        <w:rPr>
          <w:rFonts w:hint="eastAsia" w:ascii="宋体" w:hAnsi="宋体"/>
          <w:snapToGrid w:val="0"/>
          <w:color w:val="auto"/>
          <w:kern w:val="0"/>
          <w:szCs w:val="21"/>
          <w:highlight w:val="none"/>
          <w:lang w:eastAsia="zh-CN"/>
        </w:rPr>
        <w:t>发展和改革委员会</w:t>
      </w:r>
      <w:r>
        <w:rPr>
          <w:rFonts w:hint="eastAsia" w:ascii="宋体" w:hAnsi="宋体"/>
          <w:snapToGrid w:val="0"/>
          <w:color w:val="auto"/>
          <w:kern w:val="0"/>
          <w:szCs w:val="21"/>
          <w:highlight w:val="none"/>
        </w:rPr>
        <w:t>指定地点。</w:t>
      </w:r>
    </w:p>
    <w:p w14:paraId="2D1A54EC">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（七）安装、检验与质量保证</w:t>
      </w:r>
    </w:p>
    <w:p w14:paraId="09FA6B96">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1、安装</w:t>
      </w:r>
    </w:p>
    <w:p w14:paraId="39A191A0">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1.1如有需要安装的货物，中标单位必须派技术人员到现场安装，并检查安装质量。</w:t>
      </w:r>
    </w:p>
    <w:p w14:paraId="37F05484">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1.2中标单位应负责现场安装人员的安全管理并提供安装中全部所需的工具。</w:t>
      </w:r>
    </w:p>
    <w:p w14:paraId="1883BC79">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2、验收依据</w:t>
      </w:r>
    </w:p>
    <w:p w14:paraId="7507ADCF">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2.1招标文件、中标单位的投标文件、双方签订的合同文件及其附件。</w:t>
      </w:r>
    </w:p>
    <w:p w14:paraId="12A5C88C">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2.2中国政府颁布的相关国家标准和行业标准。</w:t>
      </w:r>
    </w:p>
    <w:p w14:paraId="72F1BFB4">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3、如双方对验收结果有分歧，则以苏州市市场监督管理局下属法定检验机构的检验结果为准，检验费用由有过失的一方支付。</w:t>
      </w:r>
    </w:p>
    <w:p w14:paraId="653FEBAD">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4、质量保证</w:t>
      </w:r>
    </w:p>
    <w:p w14:paraId="124BCF23">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4.1中标单位保证合同货物是全新的，配件为原装的，完全符合国家有关质量标准和合同规定的质量、规格和性能的要求，并有货物“合格证”或“产品质量保证书”，严禁提供假冒伪劣货物，一经发现，采购单位有权解除本合同，且因此而产生的一切费用和责任由中标单位承担。</w:t>
      </w:r>
    </w:p>
    <w:p w14:paraId="07C0839A">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4.2 履行中标单位在其投标文件中的服务承诺。</w:t>
      </w:r>
    </w:p>
    <w:p w14:paraId="331EB860">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4.3若货物验收时货物质量不能满足要求，采购单位有权要求更换，同时有权提出索赔，所产生的一切费用（含所有检验费用）由中标单位承担。</w:t>
      </w:r>
    </w:p>
    <w:p w14:paraId="25FDF6FC">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（八）售后服务</w:t>
      </w:r>
    </w:p>
    <w:p w14:paraId="57322198">
      <w:pPr>
        <w:spacing w:line="360" w:lineRule="auto"/>
        <w:ind w:firstLine="420" w:firstLineChars="200"/>
        <w:rPr>
          <w:rFonts w:hint="default" w:ascii="宋体" w:hAnsi="宋体" w:eastAsia="宋体"/>
          <w:snapToGrid w:val="0"/>
          <w:color w:val="auto"/>
          <w:kern w:val="0"/>
          <w:szCs w:val="21"/>
          <w:highlight w:val="none"/>
          <w:lang w:val="en-US" w:eastAsia="zh-CN"/>
        </w:rPr>
      </w:pPr>
      <w:r>
        <w:rPr>
          <w:rFonts w:hint="eastAsia" w:ascii="宋体" w:hAnsi="宋体"/>
          <w:snapToGrid w:val="0"/>
          <w:color w:val="auto"/>
          <w:kern w:val="0"/>
          <w:szCs w:val="21"/>
          <w:highlight w:val="none"/>
        </w:rPr>
        <w:t>1、中标单位货物经过双方检验认可后，签署验收报告，除特别要求外免费</w:t>
      </w:r>
      <w:r>
        <w:rPr>
          <w:rFonts w:hint="eastAsia" w:ascii="宋体" w:hAnsi="宋体"/>
          <w:snapToGrid w:val="0"/>
          <w:color w:val="auto"/>
          <w:kern w:val="0"/>
          <w:szCs w:val="21"/>
          <w:highlight w:val="none"/>
          <w:lang w:eastAsia="zh-CN"/>
        </w:rPr>
        <w:t>质保期不低于五年</w:t>
      </w:r>
      <w:r>
        <w:rPr>
          <w:rFonts w:hint="eastAsia" w:ascii="宋体" w:hAnsi="宋体"/>
          <w:snapToGrid w:val="0"/>
          <w:color w:val="auto"/>
          <w:kern w:val="0"/>
          <w:szCs w:val="21"/>
          <w:highlight w:val="none"/>
        </w:rPr>
        <w:t>（招标文件特别说明除外），质量保证期自货物验收合格之日起算，由中标单位提供货物保修文件。</w:t>
      </w:r>
      <w:r>
        <w:rPr>
          <w:rFonts w:hint="eastAsia" w:ascii="宋体" w:hAnsi="宋体"/>
          <w:snapToGrid w:val="0"/>
          <w:color w:val="auto"/>
          <w:kern w:val="0"/>
          <w:szCs w:val="21"/>
          <w:highlight w:val="none"/>
          <w:lang w:val="en-US" w:eastAsia="zh-CN"/>
        </w:rPr>
        <w:t>质保期内，电池类设备6个月免费保养一次。</w:t>
      </w:r>
    </w:p>
    <w:p w14:paraId="0CBC96E3">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2、在</w:t>
      </w:r>
      <w:r>
        <w:rPr>
          <w:rFonts w:hint="eastAsia" w:ascii="宋体" w:hAnsi="宋体"/>
          <w:snapToGrid w:val="0"/>
          <w:color w:val="auto"/>
          <w:kern w:val="0"/>
          <w:szCs w:val="21"/>
          <w:highlight w:val="none"/>
          <w:lang w:eastAsia="zh-CN"/>
        </w:rPr>
        <w:t>维保</w:t>
      </w:r>
      <w:r>
        <w:rPr>
          <w:rFonts w:hint="eastAsia" w:ascii="宋体" w:hAnsi="宋体"/>
          <w:snapToGrid w:val="0"/>
          <w:color w:val="auto"/>
          <w:kern w:val="0"/>
          <w:szCs w:val="21"/>
          <w:highlight w:val="none"/>
        </w:rPr>
        <w:t>期内出现质量问题，中标单位需在2小时内响应，8小时内赶到现场提供免费服务,并在2天内完成修复或更换，无法修复或经过两次修复仍出现质量问题，予以换货，造成采购单位的损失，由中标单位负责，采购单位应尽快以书面形式或口头通知中标单位，并向中标单位提出索赔。如中标单位在接到通知后3天内没有答复或处理问题，则视为中标单位承认质量问题并承担由此而发生的一切费用。</w:t>
      </w:r>
    </w:p>
    <w:p w14:paraId="2259CBC1">
      <w:pPr>
        <w:spacing w:line="360" w:lineRule="auto"/>
        <w:ind w:firstLine="420" w:firstLineChars="200"/>
        <w:rPr>
          <w:rFonts w:hint="default" w:ascii="宋体" w:hAnsi="宋体"/>
          <w:snapToGrid w:val="0"/>
          <w:color w:val="auto"/>
          <w:kern w:val="0"/>
          <w:szCs w:val="21"/>
          <w:highlight w:val="none"/>
          <w:lang w:val="en-US" w:eastAsia="zh-CN"/>
        </w:rPr>
      </w:pPr>
      <w:r>
        <w:rPr>
          <w:rFonts w:hint="eastAsia" w:ascii="宋体" w:hAnsi="宋体"/>
          <w:snapToGrid w:val="0"/>
          <w:color w:val="auto"/>
          <w:kern w:val="0"/>
          <w:szCs w:val="21"/>
          <w:highlight w:val="none"/>
          <w:lang w:val="en-US" w:eastAsia="zh-CN"/>
        </w:rPr>
        <w:t>3、应急配套服务要求：为了保证及时有效应对灾害和提供灾区人民所需的物资和服务，中标单位需配合采购单位为本项目提供配套的应急保障人员团队服务，应急服务保障作业人员的储备,应具有专业的素质及技能，能够确保紧急情况下，满足所调用最多数量物资的应急照明、发电保障需求，负责应急调用物资时的作业人员，必须随车抵达现场进行应急操作布置，确保及时配合提供采购单位所需的应急保障服务。</w:t>
      </w:r>
    </w:p>
    <w:p w14:paraId="2BA38F60">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4、</w:t>
      </w:r>
      <w:r>
        <w:rPr>
          <w:rFonts w:hint="eastAsia" w:ascii="宋体" w:hAnsi="宋体"/>
          <w:snapToGrid w:val="0"/>
          <w:color w:val="auto"/>
          <w:kern w:val="0"/>
          <w:szCs w:val="21"/>
          <w:highlight w:val="none"/>
        </w:rPr>
        <w:t>中标单位须提供全面使用、维护培训。</w:t>
      </w:r>
    </w:p>
    <w:p w14:paraId="7514124A">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5</w:t>
      </w:r>
      <w:r>
        <w:rPr>
          <w:rFonts w:hint="eastAsia" w:ascii="宋体" w:hAnsi="宋体"/>
          <w:snapToGrid w:val="0"/>
          <w:color w:val="auto"/>
          <w:kern w:val="0"/>
          <w:szCs w:val="21"/>
          <w:highlight w:val="none"/>
        </w:rPr>
        <w:t>、质保期满以后，卖方应按同类货物的优惠价格提供保修服务。</w:t>
      </w:r>
    </w:p>
    <w:p w14:paraId="05E9E654">
      <w:pPr>
        <w:spacing w:line="360" w:lineRule="auto"/>
        <w:ind w:firstLine="420" w:firstLineChars="200"/>
        <w:rPr>
          <w:rFonts w:hint="eastAsia" w:ascii="宋体" w:hAnsi="宋体"/>
          <w:snapToGrid w:val="0"/>
          <w:color w:val="auto"/>
          <w:kern w:val="0"/>
          <w:szCs w:val="21"/>
          <w:highlight w:val="none"/>
        </w:rPr>
      </w:pPr>
      <w:r>
        <w:rPr>
          <w:rFonts w:hint="eastAsia" w:ascii="宋体" w:hAnsi="宋体"/>
          <w:snapToGrid w:val="0"/>
          <w:color w:val="auto"/>
          <w:kern w:val="0"/>
          <w:szCs w:val="21"/>
          <w:highlight w:val="none"/>
        </w:rPr>
        <w:t>（九）知识产权：供方应保证采购人免除且供方承担由于采购人在其本国使用该设备或设备任何一部分时而引起第三方提出的侵犯专利权、商标权或工业设计权的起诉、行动、行政程序索赔、请求等以及采购人为此而产生的损失和损害、费用和支出（包括律师费）。</w:t>
      </w:r>
    </w:p>
    <w:p w14:paraId="302E87C0">
      <w:pPr>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六、凡涉及招标文件的补充说明和修改，均以招标代理机构网上公示通知为准。</w:t>
      </w:r>
    </w:p>
    <w:p w14:paraId="39BFB590">
      <w:pPr>
        <w:spacing w:line="360" w:lineRule="auto"/>
        <w:rPr>
          <w:rFonts w:ascii="宋体" w:hAnsi="宋体"/>
          <w:b/>
          <w:bCs/>
          <w:color w:val="auto"/>
          <w:szCs w:val="21"/>
          <w:highlight w:val="none"/>
        </w:rPr>
      </w:pPr>
      <w:r>
        <w:rPr>
          <w:rFonts w:hint="eastAsia" w:ascii="宋体" w:hAnsi="宋体"/>
          <w:b/>
          <w:bCs/>
          <w:snapToGrid w:val="0"/>
          <w:color w:val="auto"/>
          <w:kern w:val="0"/>
          <w:szCs w:val="21"/>
          <w:highlight w:val="none"/>
        </w:rPr>
        <w:t>八</w:t>
      </w:r>
      <w:r>
        <w:rPr>
          <w:rFonts w:hint="eastAsia" w:ascii="宋体" w:hAnsi="宋体"/>
          <w:b/>
          <w:bCs/>
          <w:color w:val="auto"/>
          <w:szCs w:val="21"/>
          <w:highlight w:val="none"/>
        </w:rPr>
        <w:t>、政策执行</w:t>
      </w:r>
    </w:p>
    <w:p w14:paraId="54208722">
      <w:pPr>
        <w:spacing w:line="360" w:lineRule="auto"/>
        <w:ind w:firstLine="420" w:firstLineChars="200"/>
        <w:rPr>
          <w:rFonts w:ascii="宋体" w:hAnsi="宋体"/>
          <w:snapToGrid w:val="0"/>
          <w:color w:val="auto"/>
          <w:kern w:val="0"/>
          <w:szCs w:val="21"/>
          <w:highlight w:val="none"/>
        </w:rPr>
      </w:pPr>
      <w:r>
        <w:rPr>
          <w:rFonts w:hint="eastAsia" w:ascii="宋体" w:hAnsi="宋体"/>
          <w:color w:val="auto"/>
          <w:szCs w:val="21"/>
          <w:highlight w:val="none"/>
        </w:rPr>
        <w:t>1、</w:t>
      </w:r>
      <w:r>
        <w:rPr>
          <w:rFonts w:hint="eastAsia"/>
          <w:color w:val="auto"/>
          <w:szCs w:val="21"/>
          <w:highlight w:val="none"/>
        </w:rPr>
        <w:t>本次招标</w:t>
      </w:r>
      <w:r>
        <w:rPr>
          <w:rFonts w:hint="eastAsia" w:ascii="宋体" w:hAnsi="宋体"/>
          <w:color w:val="auto"/>
          <w:szCs w:val="21"/>
          <w:highlight w:val="none"/>
        </w:rPr>
        <w:t>均</w:t>
      </w:r>
      <w:r>
        <w:rPr>
          <w:rFonts w:hint="eastAsia"/>
          <w:color w:val="auto"/>
          <w:szCs w:val="21"/>
          <w:highlight w:val="none"/>
        </w:rPr>
        <w:t>不接受全进口设备的投标，进口产品的定义为：指通过中国海关报关验收进入中国境内且产自境外的产品，具体按照苏财购〔2008〕14号江苏省财政厅转发财政部</w:t>
      </w:r>
      <w:r>
        <w:rPr>
          <w:rFonts w:hint="eastAsia" w:ascii="宋体" w:hAnsi="宋体"/>
          <w:snapToGrid w:val="0"/>
          <w:color w:val="auto"/>
          <w:kern w:val="0"/>
          <w:szCs w:val="21"/>
          <w:highlight w:val="none"/>
        </w:rPr>
        <w:t>办公厅关于政府采购进口产品管理有关问题的通知的规定。</w:t>
      </w:r>
    </w:p>
    <w:p w14:paraId="71EAE324">
      <w:pPr>
        <w:tabs>
          <w:tab w:val="left" w:pos="567"/>
        </w:tabs>
        <w:spacing w:line="360" w:lineRule="auto"/>
        <w:ind w:firstLine="420"/>
        <w:rPr>
          <w:rFonts w:ascii="宋体" w:hAnsi="宋体" w:cs="宋体"/>
          <w:color w:val="auto"/>
          <w:szCs w:val="21"/>
          <w:highlight w:val="none"/>
        </w:rPr>
      </w:pPr>
      <w:r>
        <w:rPr>
          <w:rFonts w:hint="eastAsia" w:ascii="宋体" w:hAnsi="宋体"/>
          <w:color w:val="auto"/>
          <w:szCs w:val="21"/>
          <w:highlight w:val="none"/>
        </w:rPr>
        <w:t>2、</w:t>
      </w:r>
      <w:r>
        <w:rPr>
          <w:rFonts w:hint="eastAsia" w:ascii="宋体" w:hAnsi="宋体" w:cs="宋体"/>
          <w:color w:val="auto"/>
          <w:szCs w:val="21"/>
          <w:highlight w:val="none"/>
        </w:rPr>
        <w:t>中、小、微企业</w:t>
      </w:r>
      <w:r>
        <w:rPr>
          <w:rFonts w:hint="eastAsia" w:ascii="宋体" w:hAnsi="宋体" w:cs="宋体"/>
          <w:b/>
          <w:bCs/>
          <w:color w:val="auto"/>
          <w:szCs w:val="21"/>
          <w:highlight w:val="none"/>
        </w:rPr>
        <w:t>（若为专门面向中小企业采购的项目或者采购包，不再执行价格评审优惠的扶持政策；中小企业依据预留项目和价格扣除等优惠政策获取政府采购合同后，小型、微型企业不得分包或转包给大型、中型企业，中型企业不得分包或转包给大型企业）</w:t>
      </w:r>
    </w:p>
    <w:p w14:paraId="3C7F340F">
      <w:pPr>
        <w:tabs>
          <w:tab w:val="left" w:pos="567"/>
        </w:tabs>
        <w:spacing w:line="360" w:lineRule="auto"/>
        <w:ind w:firstLine="420"/>
        <w:rPr>
          <w:rFonts w:ascii="宋体" w:hAnsi="宋体" w:cs="宋体"/>
          <w:color w:val="auto"/>
          <w:highlight w:val="none"/>
        </w:rPr>
      </w:pPr>
      <w:r>
        <w:rPr>
          <w:rFonts w:hint="eastAsia" w:ascii="宋体" w:hAnsi="宋体" w:cs="宋体"/>
          <w:color w:val="auto"/>
          <w:highlight w:val="none"/>
        </w:rPr>
        <w:t>根据《政府采购促进中小企业发展管理办法》（财库〔2020〕46号）、《关于做好政府采购支持企业发展有关事项的通知》（苏财购〔2020〕52号）及《关于印发&lt;苏州市政府采购促进中小企业发展实施意见&gt;的通知》（苏财购〔2022〕16号）的相关规定，如供应商认定本企业提供的货物、工程或服务符合上述文件规定情形，可以享受中小企业扶持政策的，则需根据《中小企业划型标准规定》（工信部联企业〔2011〕300号）提交《中小企业声明函》并加盖公章，</w:t>
      </w:r>
      <w:r>
        <w:rPr>
          <w:rFonts w:hint="eastAsia" w:ascii="宋体" w:hAnsi="宋体" w:cs="宋体"/>
          <w:color w:val="auto"/>
          <w:szCs w:val="21"/>
          <w:highlight w:val="none"/>
        </w:rPr>
        <w:t>小型企业和微型企业的投标报价扣除20%后参与评审。</w:t>
      </w:r>
      <w:r>
        <w:rPr>
          <w:rFonts w:hint="eastAsia" w:ascii="宋体" w:hAnsi="宋体" w:cs="宋体"/>
          <w:b/>
          <w:color w:val="auto"/>
          <w:highlight w:val="none"/>
        </w:rPr>
        <w:t>《中小企业声明函》中所填的行业应与本采购标的对应的中小企业划分标准所属行业一致，未提交声明函或所提交的声明函中行业与本采购标的对应的中小企业划分标准所属行业不一致不享受相关政策。</w:t>
      </w:r>
    </w:p>
    <w:p w14:paraId="6F65BB01">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在政府采购活动中，供应商提供的服务符合下列情形的，享受《政府采购促进中小企业发展管理办法》规定的中小企业扶持政策：在服务采购项目中，服务由中小企业承接，即提供服务的人员为中小企业依照《中华人民共和国劳动合同法》订立劳动合同的从业人员。</w:t>
      </w:r>
      <w:r>
        <w:rPr>
          <w:rFonts w:hint="eastAsia" w:ascii="宋体" w:hAnsi="宋体" w:cs="宋体"/>
          <w:b/>
          <w:color w:val="auto"/>
          <w:szCs w:val="21"/>
          <w:highlight w:val="none"/>
        </w:rPr>
        <w:t>服务类项目中供应商若使用退休人员，将不享受相关扶持政策。</w:t>
      </w:r>
    </w:p>
    <w:p w14:paraId="1CB3EDD3">
      <w:pPr>
        <w:tabs>
          <w:tab w:val="left" w:pos="567"/>
        </w:tabs>
        <w:spacing w:line="360" w:lineRule="auto"/>
        <w:ind w:firstLine="422"/>
        <w:rPr>
          <w:rFonts w:ascii="宋体" w:hAnsi="宋体" w:cs="宋体"/>
          <w:b/>
          <w:bCs/>
          <w:color w:val="auto"/>
          <w:szCs w:val="21"/>
          <w:highlight w:val="none"/>
        </w:rPr>
      </w:pPr>
      <w:r>
        <w:rPr>
          <w:rFonts w:hint="eastAsia" w:ascii="宋体" w:hAnsi="宋体" w:cs="宋体"/>
          <w:b/>
          <w:bCs/>
          <w:color w:val="auto"/>
          <w:szCs w:val="21"/>
          <w:highlight w:val="none"/>
        </w:rPr>
        <w:t>根据《政府采购促进中小企业发展管理办法》（财库〔2020〕46号）及《中小企业划型标准规定》（工信部联企业〔2011〕300号），本采购项目对应的中小企业划分标准所属行业为：</w:t>
      </w:r>
      <w:r>
        <w:rPr>
          <w:rFonts w:hint="eastAsia" w:ascii="宋体" w:hAnsi="宋体" w:cs="宋体"/>
          <w:b/>
          <w:bCs/>
          <w:color w:val="auto"/>
          <w:szCs w:val="21"/>
          <w:highlight w:val="none"/>
          <w:lang w:val="en-US" w:eastAsia="zh-CN"/>
        </w:rPr>
        <w:t>工业</w:t>
      </w:r>
      <w:r>
        <w:rPr>
          <w:rFonts w:hint="eastAsia" w:ascii="宋体" w:hAnsi="宋体" w:cs="宋体"/>
          <w:b/>
          <w:bCs/>
          <w:color w:val="auto"/>
          <w:szCs w:val="21"/>
          <w:highlight w:val="none"/>
        </w:rPr>
        <w:t>。</w:t>
      </w:r>
    </w:p>
    <w:p w14:paraId="3C126219">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（3）残疾人福利性单位</w:t>
      </w:r>
      <w:r>
        <w:rPr>
          <w:rFonts w:hint="eastAsia" w:ascii="宋体" w:hAnsi="宋体" w:cs="宋体"/>
          <w:b/>
          <w:bCs/>
          <w:color w:val="auto"/>
          <w:szCs w:val="21"/>
          <w:highlight w:val="none"/>
        </w:rPr>
        <w:t>（若为专门面向中小企业采购的项目或者采购包，不再执行价格评审优惠的扶持政策）</w:t>
      </w:r>
    </w:p>
    <w:p w14:paraId="7EDB5413">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根据《关于促进残疾人就业政府采购政策的通知》（财库〔2017〕141号）的相关规定，在政府采购活动中残疾人福利性单位视同小型、微型企业，享受预留份额、评审中价格扣除（其投标报价扣除20%后参与评审）等促进中小企业发展的政府采购政策，残疾人福利性单位属于小型、微型企业的，不重复享受政策。符合条件的残疾人福利性单位，应提交《残疾人福利性单位声明函》，并对声明的真实性负责，未提交则不享受相关政策。</w:t>
      </w:r>
    </w:p>
    <w:p w14:paraId="3B079615">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（4）监狱企业</w:t>
      </w:r>
      <w:r>
        <w:rPr>
          <w:rFonts w:hint="eastAsia" w:ascii="宋体" w:hAnsi="宋体" w:cs="宋体"/>
          <w:b/>
          <w:bCs/>
          <w:color w:val="auto"/>
          <w:szCs w:val="21"/>
          <w:highlight w:val="none"/>
        </w:rPr>
        <w:t>（若为专门面向中小企业采购的项目或者采购包，不再执行价格评审优惠的扶持政策）</w:t>
      </w:r>
    </w:p>
    <w:p w14:paraId="408F016D">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根据《关于政府采购支持监狱企业发展有关问题的通知》（财库〔2014〕68号）的相关规定，在政府采购活动中，监狱企业视同小型、微型企业，享受预留份额、评审中价格扣除（其投标报价扣除20%后参与评审）等促进中小企业发展的政府采购政策，监狱企业属于小型、微型企业的，不重复享受政策。监狱企业应当提供由省级以上监狱管理局、戒毒管理局（含新疆生产建设兵团）出具的属于监狱企业的证明文件，未提交则不享受相关政策。</w:t>
      </w:r>
    </w:p>
    <w:p w14:paraId="11012562">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（5）绿色采购</w:t>
      </w:r>
    </w:p>
    <w:p w14:paraId="2976FC91">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1）根据《关于调整优化节能产品、环境标志产品政府采购执行机制的通知》（财库〔2019〕9号）等相关文件的规定，</w:t>
      </w:r>
      <w:r>
        <w:rPr>
          <w:rFonts w:hint="eastAsia" w:ascii="宋体" w:hAnsi="宋体" w:cs="宋体"/>
          <w:b/>
          <w:color w:val="auto"/>
          <w:szCs w:val="21"/>
          <w:highlight w:val="none"/>
        </w:rPr>
        <w:t>对属于《节能产品政府采购品目清单》中强制采购范围内产品的，供应商须提供由国家确定的认证机构出具的、处于有效期之内的节能产品认证证书，上述品目清单可通过“中国政府采购网”（http://www.ccgp.gov.cn）查询,并在响应文件中提供由国家确定的认证机构出具的、处于有效期之内的节能产品认证证书复印件，否则视为未实质性响应。</w:t>
      </w:r>
    </w:p>
    <w:p w14:paraId="12A219C7">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为加快数据中心绿色转型，根据财政部、生态环境部、工业和信息化部关于印发《绿色数据中心政府采购需求标准（试行）》的通知（财库〔2023〕7号）文件规定，采购数据中心相关设备、运维服务，应当有利于节约能源、环境保护和资源循环利用，按照标准要求实施相关采购活动，供应商应提供符合标准要求的设备或服务。</w:t>
      </w:r>
    </w:p>
    <w:p w14:paraId="585ED0D0">
      <w:pPr>
        <w:tabs>
          <w:tab w:val="left" w:pos="567"/>
        </w:tabs>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3）为助力打好污染防治攻坚战，推广使用绿色包装，根据财政部办公厅、生态环境部办公厅、国家邮政局办公室关于印发《商品包装政府采购需求标准（试行）》、《快递包装政府采购需求标准（试行）》的通知（财办库〔2020〕123 号文）文件规定，供应商提供产品及相关快递服务的包装应符合标准要求。</w:t>
      </w:r>
    </w:p>
    <w:bookmarkEnd w:id="54"/>
    <w:p w14:paraId="76185EC1">
      <w:pPr>
        <w:pageBreakBefore/>
        <w:ind w:firstLine="883"/>
        <w:jc w:val="center"/>
        <w:rPr>
          <w:rFonts w:ascii="宋体" w:hAnsi="宋体"/>
          <w:b/>
          <w:color w:val="auto"/>
          <w:sz w:val="44"/>
          <w:highlight w:val="none"/>
        </w:rPr>
      </w:pPr>
      <w:r>
        <w:rPr>
          <w:rFonts w:hint="eastAsia" w:ascii="宋体" w:hAnsi="宋体"/>
          <w:b/>
          <w:color w:val="auto"/>
          <w:sz w:val="44"/>
          <w:highlight w:val="none"/>
        </w:rPr>
        <w:t>第五章合同一般条款</w:t>
      </w:r>
      <w:bookmarkStart w:id="55" w:name="_Toc13543213"/>
    </w:p>
    <w:p w14:paraId="3ABDC78D">
      <w:pPr>
        <w:ind w:firstLine="420"/>
        <w:rPr>
          <w:rFonts w:ascii="宋体" w:hAnsi="宋体"/>
          <w:b/>
          <w:color w:val="auto"/>
          <w:highlight w:val="none"/>
        </w:rPr>
      </w:pPr>
    </w:p>
    <w:bookmarkEnd w:id="55"/>
    <w:p w14:paraId="6ACDE76A">
      <w:pPr>
        <w:spacing w:line="360" w:lineRule="auto"/>
        <w:rPr>
          <w:rFonts w:ascii="宋体" w:hAnsi="宋体"/>
          <w:b/>
          <w:color w:val="auto"/>
          <w:szCs w:val="21"/>
          <w:highlight w:val="none"/>
        </w:rPr>
      </w:pPr>
      <w:bookmarkStart w:id="56" w:name="_Toc13889377"/>
      <w:bookmarkStart w:id="57" w:name="_Toc13642117"/>
      <w:r>
        <w:rPr>
          <w:rFonts w:hint="eastAsia" w:ascii="宋体" w:hAnsi="宋体"/>
          <w:b/>
          <w:color w:val="auto"/>
          <w:szCs w:val="21"/>
          <w:highlight w:val="none"/>
        </w:rPr>
        <w:t>一、合同文件</w:t>
      </w:r>
    </w:p>
    <w:p w14:paraId="6C384AC7">
      <w:pPr>
        <w:spacing w:line="360" w:lineRule="auto"/>
        <w:rPr>
          <w:rFonts w:ascii="宋体" w:hAnsi="宋体"/>
          <w:b/>
          <w:color w:val="auto"/>
          <w:szCs w:val="21"/>
          <w:highlight w:val="none"/>
        </w:rPr>
      </w:pPr>
      <w:r>
        <w:rPr>
          <w:rFonts w:ascii="宋体" w:hAnsi="宋体"/>
          <w:b/>
          <w:color w:val="auto"/>
          <w:szCs w:val="21"/>
          <w:highlight w:val="none"/>
        </w:rPr>
        <w:t>3</w:t>
      </w:r>
      <w:r>
        <w:rPr>
          <w:rFonts w:hint="eastAsia" w:ascii="宋体" w:hAnsi="宋体"/>
          <w:b/>
          <w:color w:val="auto"/>
          <w:szCs w:val="21"/>
          <w:highlight w:val="none"/>
        </w:rPr>
        <w:t>8</w:t>
      </w:r>
      <w:r>
        <w:rPr>
          <w:rFonts w:ascii="宋体" w:hAnsi="宋体"/>
          <w:b/>
          <w:color w:val="auto"/>
          <w:szCs w:val="21"/>
          <w:highlight w:val="none"/>
        </w:rPr>
        <w:t xml:space="preserve">.  </w:t>
      </w:r>
      <w:r>
        <w:rPr>
          <w:rFonts w:hint="eastAsia" w:ascii="宋体" w:hAnsi="宋体"/>
          <w:b/>
          <w:color w:val="auto"/>
          <w:szCs w:val="21"/>
          <w:highlight w:val="none"/>
        </w:rPr>
        <w:t>合同文件适用法律</w:t>
      </w:r>
    </w:p>
    <w:p w14:paraId="169930A3">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8</w:t>
      </w:r>
      <w:r>
        <w:rPr>
          <w:rFonts w:ascii="宋体" w:hAnsi="宋体"/>
          <w:color w:val="auto"/>
          <w:szCs w:val="21"/>
          <w:highlight w:val="none"/>
        </w:rPr>
        <w:t xml:space="preserve">.1  </w:t>
      </w:r>
      <w:r>
        <w:rPr>
          <w:rFonts w:hint="eastAsia" w:ascii="宋体" w:hAnsi="宋体"/>
          <w:color w:val="auto"/>
          <w:szCs w:val="21"/>
          <w:highlight w:val="none"/>
        </w:rPr>
        <w:t>适用于合同文件的法律是中华人民共和国现行法律、法规及甲方所在地的地方性法规。</w:t>
      </w:r>
    </w:p>
    <w:p w14:paraId="614C4688">
      <w:pPr>
        <w:spacing w:line="360" w:lineRule="auto"/>
        <w:rPr>
          <w:rFonts w:ascii="宋体" w:hAnsi="宋体"/>
          <w:b/>
          <w:color w:val="auto"/>
          <w:szCs w:val="21"/>
          <w:highlight w:val="none"/>
        </w:rPr>
      </w:pPr>
      <w:r>
        <w:rPr>
          <w:rFonts w:ascii="宋体" w:hAnsi="宋体"/>
          <w:b/>
          <w:color w:val="auto"/>
          <w:szCs w:val="21"/>
          <w:highlight w:val="none"/>
        </w:rPr>
        <w:t>3</w:t>
      </w:r>
      <w:r>
        <w:rPr>
          <w:rFonts w:hint="eastAsia" w:ascii="宋体" w:hAnsi="宋体"/>
          <w:b/>
          <w:color w:val="auto"/>
          <w:szCs w:val="21"/>
          <w:highlight w:val="none"/>
        </w:rPr>
        <w:t>9</w:t>
      </w:r>
      <w:r>
        <w:rPr>
          <w:rFonts w:ascii="宋体" w:hAnsi="宋体"/>
          <w:b/>
          <w:color w:val="auto"/>
          <w:szCs w:val="21"/>
          <w:highlight w:val="none"/>
        </w:rPr>
        <w:t xml:space="preserve">.  </w:t>
      </w:r>
      <w:r>
        <w:rPr>
          <w:rFonts w:hint="eastAsia" w:ascii="宋体" w:hAnsi="宋体"/>
          <w:b/>
          <w:color w:val="auto"/>
          <w:szCs w:val="21"/>
          <w:highlight w:val="none"/>
        </w:rPr>
        <w:t>合同文件组成和解释顺序</w:t>
      </w:r>
    </w:p>
    <w:p w14:paraId="6479CAA6">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  </w:t>
      </w:r>
      <w:r>
        <w:rPr>
          <w:rFonts w:hint="eastAsia" w:ascii="宋体" w:hAnsi="宋体"/>
          <w:color w:val="auto"/>
          <w:szCs w:val="21"/>
          <w:highlight w:val="none"/>
        </w:rPr>
        <w:t>合同文件的组成和解释顺序如下：</w:t>
      </w:r>
    </w:p>
    <w:p w14:paraId="20EC833C">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.1.1 </w:t>
      </w:r>
      <w:r>
        <w:rPr>
          <w:rFonts w:hint="eastAsia" w:ascii="宋体" w:hAnsi="宋体"/>
          <w:color w:val="auto"/>
          <w:szCs w:val="21"/>
          <w:highlight w:val="none"/>
        </w:rPr>
        <w:t>合同的特殊性条款</w:t>
      </w:r>
    </w:p>
    <w:p w14:paraId="66FF565F">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.1.2 </w:t>
      </w:r>
      <w:r>
        <w:rPr>
          <w:rFonts w:hint="eastAsia" w:ascii="宋体" w:hAnsi="宋体"/>
          <w:color w:val="auto"/>
          <w:szCs w:val="21"/>
          <w:highlight w:val="none"/>
        </w:rPr>
        <w:t>合同的一般性条款</w:t>
      </w:r>
    </w:p>
    <w:p w14:paraId="38C52AA9">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.1.3 </w:t>
      </w:r>
      <w:r>
        <w:rPr>
          <w:rFonts w:hint="eastAsia" w:ascii="宋体" w:hAnsi="宋体"/>
          <w:color w:val="auto"/>
          <w:szCs w:val="21"/>
          <w:highlight w:val="none"/>
        </w:rPr>
        <w:t>洽商、变更等明确双方权利义务的纪要、协议</w:t>
      </w:r>
    </w:p>
    <w:p w14:paraId="6349A6E5">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.1.4 </w:t>
      </w:r>
      <w:r>
        <w:rPr>
          <w:rFonts w:hint="eastAsia" w:ascii="宋体" w:hAnsi="宋体"/>
          <w:color w:val="auto"/>
          <w:szCs w:val="21"/>
          <w:highlight w:val="none"/>
        </w:rPr>
        <w:t>中标通知书、投标书和招标文件</w:t>
      </w:r>
    </w:p>
    <w:p w14:paraId="1E583F93">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.1.5 </w:t>
      </w:r>
      <w:r>
        <w:rPr>
          <w:rFonts w:hint="eastAsia" w:ascii="宋体" w:hAnsi="宋体"/>
          <w:color w:val="auto"/>
          <w:szCs w:val="21"/>
          <w:highlight w:val="none"/>
        </w:rPr>
        <w:t>有关图纸</w:t>
      </w:r>
    </w:p>
    <w:p w14:paraId="5D8512C2">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.1.6 </w:t>
      </w:r>
      <w:r>
        <w:rPr>
          <w:rFonts w:hint="eastAsia" w:ascii="宋体" w:hAnsi="宋体"/>
          <w:color w:val="auto"/>
          <w:szCs w:val="21"/>
          <w:highlight w:val="none"/>
        </w:rPr>
        <w:t>标准、规范和其它有关技术资料、技术要求</w:t>
      </w:r>
    </w:p>
    <w:p w14:paraId="2744FE1B">
      <w:pPr>
        <w:spacing w:line="360" w:lineRule="auto"/>
        <w:ind w:firstLine="422"/>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9</w:t>
      </w:r>
      <w:r>
        <w:rPr>
          <w:rFonts w:ascii="宋体" w:hAnsi="宋体"/>
          <w:color w:val="auto"/>
          <w:szCs w:val="21"/>
          <w:highlight w:val="none"/>
        </w:rPr>
        <w:t xml:space="preserve">.2 </w:t>
      </w:r>
      <w:r>
        <w:rPr>
          <w:rFonts w:hint="eastAsia" w:ascii="宋体" w:hAnsi="宋体"/>
          <w:color w:val="auto"/>
          <w:szCs w:val="21"/>
          <w:highlight w:val="none"/>
        </w:rPr>
        <w:t>合同的特殊性条款的效力优于合同的一般性条款的效力</w:t>
      </w:r>
    </w:p>
    <w:p w14:paraId="3AAB04F7">
      <w:pPr>
        <w:spacing w:line="360" w:lineRule="auto"/>
        <w:rPr>
          <w:rFonts w:ascii="宋体" w:hAnsi="宋体"/>
          <w:b/>
          <w:color w:val="auto"/>
          <w:szCs w:val="21"/>
          <w:highlight w:val="none"/>
        </w:rPr>
      </w:pPr>
      <w:r>
        <w:rPr>
          <w:rFonts w:hint="eastAsia" w:ascii="宋体" w:hAnsi="宋体"/>
          <w:b/>
          <w:color w:val="auto"/>
          <w:szCs w:val="21"/>
          <w:highlight w:val="none"/>
        </w:rPr>
        <w:t>40</w:t>
      </w:r>
      <w:r>
        <w:rPr>
          <w:rFonts w:ascii="宋体" w:hAnsi="宋体"/>
          <w:b/>
          <w:color w:val="auto"/>
          <w:szCs w:val="21"/>
          <w:highlight w:val="none"/>
        </w:rPr>
        <w:t xml:space="preserve">. </w:t>
      </w:r>
      <w:r>
        <w:rPr>
          <w:rFonts w:hint="eastAsia" w:ascii="宋体" w:hAnsi="宋体"/>
          <w:b/>
          <w:color w:val="auto"/>
          <w:szCs w:val="21"/>
          <w:highlight w:val="none"/>
        </w:rPr>
        <w:t>合同文件使用文字</w:t>
      </w:r>
    </w:p>
    <w:p w14:paraId="29B44F24">
      <w:pPr>
        <w:pStyle w:val="7"/>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40</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合同文件使用中文书写、解释和说明</w:t>
      </w:r>
    </w:p>
    <w:p w14:paraId="331599B1">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40</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合同文件使用特殊性条款约定的国家标准和规范；国家没有相应标准、规范时，可使用特殊性条款约定的行业或甲方所在地地方的标准、规范。甲方应按特殊性条款约定的时间向乙方提供一式两份约定的标准和规范。</w:t>
      </w:r>
    </w:p>
    <w:p w14:paraId="659C6CD1">
      <w:pPr>
        <w:spacing w:line="360" w:lineRule="auto"/>
        <w:rPr>
          <w:rFonts w:ascii="宋体" w:hAnsi="宋体"/>
          <w:b/>
          <w:color w:val="auto"/>
          <w:szCs w:val="21"/>
          <w:highlight w:val="none"/>
        </w:rPr>
      </w:pPr>
      <w:bookmarkStart w:id="58" w:name="_Toc13543214"/>
      <w:r>
        <w:rPr>
          <w:rFonts w:hint="eastAsia" w:ascii="宋体" w:hAnsi="宋体"/>
          <w:b/>
          <w:color w:val="auto"/>
          <w:szCs w:val="21"/>
          <w:highlight w:val="none"/>
        </w:rPr>
        <w:t>二、标的物的一般条款</w:t>
      </w:r>
      <w:bookmarkEnd w:id="58"/>
    </w:p>
    <w:p w14:paraId="40AAA369">
      <w:pPr>
        <w:spacing w:line="360" w:lineRule="auto"/>
        <w:rPr>
          <w:rFonts w:ascii="宋体" w:hAnsi="宋体"/>
          <w:b/>
          <w:color w:val="auto"/>
          <w:szCs w:val="21"/>
          <w:highlight w:val="none"/>
        </w:rPr>
      </w:pPr>
      <w:r>
        <w:rPr>
          <w:rFonts w:hint="eastAsia" w:ascii="宋体" w:hAnsi="宋体"/>
          <w:b/>
          <w:color w:val="auto"/>
          <w:szCs w:val="21"/>
          <w:highlight w:val="none"/>
        </w:rPr>
        <w:t>41</w:t>
      </w:r>
      <w:r>
        <w:rPr>
          <w:rFonts w:ascii="宋体" w:hAnsi="宋体"/>
          <w:b/>
          <w:color w:val="auto"/>
          <w:szCs w:val="21"/>
          <w:highlight w:val="none"/>
        </w:rPr>
        <w:t xml:space="preserve">.  </w:t>
      </w:r>
      <w:r>
        <w:rPr>
          <w:rFonts w:hint="eastAsia" w:ascii="宋体" w:hAnsi="宋体"/>
          <w:b/>
          <w:color w:val="auto"/>
          <w:szCs w:val="21"/>
          <w:highlight w:val="none"/>
        </w:rPr>
        <w:t>完整物权</w:t>
      </w:r>
    </w:p>
    <w:p w14:paraId="7809DE20">
      <w:pPr>
        <w:spacing w:line="360" w:lineRule="auto"/>
        <w:ind w:firstLine="422"/>
        <w:rPr>
          <w:rFonts w:ascii="宋体" w:hAnsi="宋体"/>
          <w:color w:val="auto"/>
          <w:szCs w:val="21"/>
          <w:highlight w:val="none"/>
        </w:rPr>
      </w:pPr>
      <w:r>
        <w:rPr>
          <w:rFonts w:hint="eastAsia" w:ascii="宋体" w:hAnsi="宋体"/>
          <w:color w:val="auto"/>
          <w:szCs w:val="21"/>
          <w:highlight w:val="none"/>
        </w:rPr>
        <w:t>对于出卖的标的物，乙方应当拥有完整物权，并且乙方负有保证第三人不得向甲方主张任何权利（包括知识产权）的义务。</w:t>
      </w:r>
    </w:p>
    <w:p w14:paraId="1D714D46">
      <w:pPr>
        <w:spacing w:line="360" w:lineRule="auto"/>
        <w:rPr>
          <w:rFonts w:ascii="宋体" w:hAnsi="宋体"/>
          <w:b/>
          <w:color w:val="auto"/>
          <w:szCs w:val="21"/>
          <w:highlight w:val="none"/>
        </w:rPr>
      </w:pPr>
      <w:r>
        <w:rPr>
          <w:rFonts w:hint="eastAsia" w:ascii="宋体" w:hAnsi="宋体"/>
          <w:b/>
          <w:color w:val="auto"/>
          <w:szCs w:val="21"/>
          <w:highlight w:val="none"/>
        </w:rPr>
        <w:t>42</w:t>
      </w:r>
      <w:r>
        <w:rPr>
          <w:rFonts w:ascii="宋体" w:hAnsi="宋体"/>
          <w:b/>
          <w:color w:val="auto"/>
          <w:szCs w:val="21"/>
          <w:highlight w:val="none"/>
        </w:rPr>
        <w:t xml:space="preserve">.  </w:t>
      </w:r>
      <w:r>
        <w:rPr>
          <w:rFonts w:hint="eastAsia" w:ascii="宋体" w:hAnsi="宋体"/>
          <w:b/>
          <w:color w:val="auto"/>
          <w:szCs w:val="21"/>
          <w:highlight w:val="none"/>
        </w:rPr>
        <w:t>质量保证</w:t>
      </w:r>
    </w:p>
    <w:p w14:paraId="62CFFDF6">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42</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乙方应保证所供标的物是全新的，未使用过的，并且是非长期积压的库存商品，完全符合合同规定的质量、规格和性能的要求，乙方应保证其提供的标的物在正确安装，正常使用和保养条件下，在其标称的使用寿命期内应具有满意的性能。在乙方承诺的质量保证期限内，乙方应对由于设计、工艺或材料的缺陷及伴随服务而造成的任何不足或故障负责。</w:t>
      </w:r>
    </w:p>
    <w:p w14:paraId="0B32D264">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42</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根据甲方按检验标准或行业标准自己检验的结果或当地技监部门的检验结果，或者在质量保证期内，如果标的物的数量、质量或规格与合同不符或证实标的物是有缺陷的，包括潜在缺陷或使用不符合要求的材料等，甲方应尽快以书面形式通知乙方并提出索赔。</w:t>
      </w:r>
    </w:p>
    <w:p w14:paraId="546BF636">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42</w:t>
      </w:r>
      <w:r>
        <w:rPr>
          <w:rFonts w:ascii="宋体" w:hAnsi="宋体" w:eastAsia="宋体"/>
          <w:color w:val="auto"/>
          <w:sz w:val="21"/>
          <w:szCs w:val="21"/>
          <w:highlight w:val="none"/>
        </w:rPr>
        <w:t>.3</w:t>
      </w:r>
      <w:r>
        <w:rPr>
          <w:rFonts w:hint="eastAsia" w:ascii="宋体" w:hAnsi="宋体" w:eastAsia="宋体"/>
          <w:color w:val="auto"/>
          <w:sz w:val="21"/>
          <w:szCs w:val="21"/>
          <w:highlight w:val="none"/>
        </w:rPr>
        <w:t>除合同特殊条款规定外，合同条款中标的物的质量保证期均自相应批次标的物交货并通过最终验收之日起计算，具体按招标文件中规定的质量保证期为准或中标单位承诺更高于招标要求的质量保证期为准。</w:t>
      </w:r>
    </w:p>
    <w:p w14:paraId="58538F5A">
      <w:pPr>
        <w:spacing w:line="360" w:lineRule="auto"/>
        <w:rPr>
          <w:rFonts w:ascii="宋体" w:hAnsi="宋体"/>
          <w:b/>
          <w:color w:val="auto"/>
          <w:szCs w:val="21"/>
          <w:highlight w:val="none"/>
        </w:rPr>
      </w:pPr>
      <w:r>
        <w:rPr>
          <w:rFonts w:hint="eastAsia" w:ascii="宋体" w:hAnsi="宋体"/>
          <w:b/>
          <w:color w:val="auto"/>
          <w:szCs w:val="21"/>
          <w:highlight w:val="none"/>
        </w:rPr>
        <w:t>43</w:t>
      </w:r>
      <w:r>
        <w:rPr>
          <w:rFonts w:ascii="宋体" w:hAnsi="宋体"/>
          <w:b/>
          <w:color w:val="auto"/>
          <w:szCs w:val="21"/>
          <w:highlight w:val="none"/>
        </w:rPr>
        <w:t xml:space="preserve">.  </w:t>
      </w:r>
      <w:r>
        <w:rPr>
          <w:rFonts w:hint="eastAsia" w:ascii="宋体" w:hAnsi="宋体"/>
          <w:b/>
          <w:color w:val="auto"/>
          <w:szCs w:val="21"/>
          <w:highlight w:val="none"/>
        </w:rPr>
        <w:t>包装</w:t>
      </w:r>
    </w:p>
    <w:p w14:paraId="62C39FEC">
      <w:pPr>
        <w:pStyle w:val="7"/>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乙方应当按照约定的包装方式交付标的物。对包装方式没有约定或者约定不明确的，应当按照双方补充协议约定的方式包装，或者按照通用的方式包装，没有通用方式的，应当采取足以保护标的物的包装方式。</w:t>
      </w:r>
    </w:p>
    <w:p w14:paraId="7D5BF438">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4</w:t>
      </w:r>
      <w:r>
        <w:rPr>
          <w:rFonts w:ascii="宋体" w:hAnsi="宋体"/>
          <w:b/>
          <w:color w:val="auto"/>
          <w:szCs w:val="21"/>
          <w:highlight w:val="none"/>
        </w:rPr>
        <w:t xml:space="preserve">.  </w:t>
      </w:r>
      <w:r>
        <w:rPr>
          <w:rFonts w:hint="eastAsia" w:ascii="宋体" w:hAnsi="宋体"/>
          <w:b/>
          <w:color w:val="auto"/>
          <w:szCs w:val="21"/>
          <w:highlight w:val="none"/>
        </w:rPr>
        <w:t>伴随服务</w:t>
      </w:r>
    </w:p>
    <w:p w14:paraId="552895B0">
      <w:pPr>
        <w:pStyle w:val="7"/>
        <w:overflowPunct w:val="0"/>
        <w:spacing w:line="360" w:lineRule="auto"/>
        <w:ind w:firstLineChars="200"/>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乙方除应履行按期按量交付合格标的物的义务之外，还应提供下列服务。</w:t>
      </w:r>
    </w:p>
    <w:p w14:paraId="3C5EA5B1">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.1.1 </w:t>
      </w:r>
      <w:r>
        <w:rPr>
          <w:rFonts w:hint="eastAsia" w:ascii="宋体" w:hAnsi="宋体" w:eastAsia="宋体"/>
          <w:color w:val="auto"/>
          <w:sz w:val="21"/>
          <w:szCs w:val="21"/>
          <w:highlight w:val="none"/>
        </w:rPr>
        <w:t>标的物的现场启动、调试、监督；</w:t>
      </w:r>
    </w:p>
    <w:p w14:paraId="0261DD98">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.1.2 </w:t>
      </w:r>
      <w:r>
        <w:rPr>
          <w:rFonts w:hint="eastAsia" w:ascii="宋体" w:hAnsi="宋体" w:eastAsia="宋体"/>
          <w:color w:val="auto"/>
          <w:sz w:val="21"/>
          <w:szCs w:val="21"/>
          <w:highlight w:val="none"/>
        </w:rPr>
        <w:t>提供标的物组装和一般维修所必须的工具；</w:t>
      </w:r>
    </w:p>
    <w:p w14:paraId="6DDD54CA">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.1.3 </w:t>
      </w:r>
      <w:r>
        <w:rPr>
          <w:rFonts w:hint="eastAsia" w:ascii="宋体" w:hAnsi="宋体" w:eastAsia="宋体"/>
          <w:color w:val="auto"/>
          <w:sz w:val="21"/>
          <w:szCs w:val="21"/>
          <w:highlight w:val="none"/>
        </w:rPr>
        <w:t>在合同规定的期限内对所提供标的物实行运行监督、维修服务的前提条件是该服务并不能免除乙方在质量保证期内所承担的义务；</w:t>
      </w:r>
    </w:p>
    <w:p w14:paraId="1EE8177D">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.1.4 </w:t>
      </w:r>
      <w:r>
        <w:rPr>
          <w:rFonts w:hint="eastAsia" w:ascii="宋体" w:hAnsi="宋体" w:eastAsia="宋体"/>
          <w:color w:val="auto"/>
          <w:sz w:val="21"/>
          <w:szCs w:val="21"/>
          <w:highlight w:val="none"/>
        </w:rPr>
        <w:t>对甲方技术人员的技术指导或培训。</w:t>
      </w:r>
    </w:p>
    <w:p w14:paraId="1EFAC296">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4</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除合同另有规定之外，伴随服务的费用均已含在合同价款中，甲方不再另行进行支付。</w:t>
      </w:r>
    </w:p>
    <w:p w14:paraId="7032D81E">
      <w:pPr>
        <w:spacing w:line="360" w:lineRule="auto"/>
        <w:rPr>
          <w:rFonts w:ascii="宋体" w:hAnsi="宋体"/>
          <w:b/>
          <w:color w:val="auto"/>
          <w:szCs w:val="21"/>
          <w:highlight w:val="none"/>
        </w:rPr>
      </w:pPr>
      <w:bookmarkStart w:id="59" w:name="_Toc13543215"/>
      <w:r>
        <w:rPr>
          <w:rFonts w:hint="eastAsia" w:ascii="宋体" w:hAnsi="宋体"/>
          <w:b/>
          <w:color w:val="auto"/>
          <w:szCs w:val="21"/>
          <w:highlight w:val="none"/>
        </w:rPr>
        <w:t>三、标的物的交付、检验和验收</w:t>
      </w:r>
      <w:bookmarkEnd w:id="59"/>
    </w:p>
    <w:p w14:paraId="716FA807">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5</w:t>
      </w:r>
      <w:r>
        <w:rPr>
          <w:rFonts w:ascii="宋体" w:hAnsi="宋体"/>
          <w:b/>
          <w:color w:val="auto"/>
          <w:szCs w:val="21"/>
          <w:highlight w:val="none"/>
        </w:rPr>
        <w:t xml:space="preserve">.  </w:t>
      </w:r>
      <w:r>
        <w:rPr>
          <w:rFonts w:hint="eastAsia" w:ascii="宋体" w:hAnsi="宋体"/>
          <w:b/>
          <w:color w:val="auto"/>
          <w:szCs w:val="21"/>
          <w:highlight w:val="none"/>
        </w:rPr>
        <w:t>标的物的交付</w:t>
      </w:r>
    </w:p>
    <w:p w14:paraId="100113F7">
      <w:pPr>
        <w:pStyle w:val="7"/>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5</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标的物的所有权自标的物交付时转移。</w:t>
      </w:r>
    </w:p>
    <w:p w14:paraId="5C755D1F">
      <w:pPr>
        <w:pStyle w:val="7"/>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5</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乙方应当按照约定的期限和约定的地点交付标的物。</w:t>
      </w:r>
    </w:p>
    <w:p w14:paraId="2F9D1290">
      <w:pPr>
        <w:pStyle w:val="7"/>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5</w:t>
      </w:r>
      <w:r>
        <w:rPr>
          <w:rFonts w:ascii="宋体" w:hAnsi="宋体" w:eastAsia="宋体"/>
          <w:color w:val="auto"/>
          <w:sz w:val="21"/>
          <w:szCs w:val="21"/>
          <w:highlight w:val="none"/>
        </w:rPr>
        <w:t xml:space="preserve">.3 </w:t>
      </w:r>
      <w:r>
        <w:rPr>
          <w:rFonts w:hint="eastAsia" w:ascii="宋体" w:hAnsi="宋体" w:eastAsia="宋体"/>
          <w:color w:val="auto"/>
          <w:sz w:val="21"/>
          <w:szCs w:val="21"/>
          <w:highlight w:val="none"/>
        </w:rPr>
        <w:t>乙方应当按照约定或者交易习惯向甲方交付提取标的物单证以外的有关单证和资料。</w:t>
      </w:r>
    </w:p>
    <w:p w14:paraId="0B4ADE9C">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6</w:t>
      </w:r>
      <w:r>
        <w:rPr>
          <w:rFonts w:ascii="宋体" w:hAnsi="宋体"/>
          <w:b/>
          <w:color w:val="auto"/>
          <w:szCs w:val="21"/>
          <w:highlight w:val="none"/>
        </w:rPr>
        <w:t xml:space="preserve">.  </w:t>
      </w:r>
      <w:r>
        <w:rPr>
          <w:rFonts w:hint="eastAsia" w:ascii="宋体" w:hAnsi="宋体"/>
          <w:b/>
          <w:color w:val="auto"/>
          <w:szCs w:val="21"/>
          <w:highlight w:val="none"/>
        </w:rPr>
        <w:t>检验和验收</w:t>
      </w:r>
    </w:p>
    <w:p w14:paraId="71D721D7">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6</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在交货前，乙方应对标的物的质量、规格、性能、数量等进行详细而全面的检验，并出具一份合格检验证明，合格检验证明作为甲方验收的依据，但不能作为有关标的物质量、规格、数量或性能的最终检验结果。</w:t>
      </w:r>
    </w:p>
    <w:p w14:paraId="3DCFA142">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6</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甲方根据合同规定的内容和验收标准进行验收，同时比较乙方出具的检验证明，经检验无误后出具验收合格证明，该证明作为最终付款所需文件的组成部分。</w:t>
      </w:r>
    </w:p>
    <w:p w14:paraId="0AA758D3">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6</w:t>
      </w:r>
      <w:r>
        <w:rPr>
          <w:rFonts w:ascii="宋体" w:hAnsi="宋体" w:eastAsia="宋体"/>
          <w:color w:val="auto"/>
          <w:sz w:val="21"/>
          <w:szCs w:val="21"/>
          <w:highlight w:val="none"/>
        </w:rPr>
        <w:t xml:space="preserve">.3 </w:t>
      </w:r>
      <w:r>
        <w:rPr>
          <w:rFonts w:hint="eastAsia" w:ascii="宋体" w:hAnsi="宋体" w:eastAsia="宋体"/>
          <w:color w:val="auto"/>
          <w:sz w:val="21"/>
          <w:szCs w:val="21"/>
          <w:highlight w:val="none"/>
        </w:rPr>
        <w:t>验收期限自标的物交付之日起30日内。特殊情况需延长的，双方应在合同的特殊条款中约定。</w:t>
      </w:r>
    </w:p>
    <w:p w14:paraId="3ED6ED4F">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6</w:t>
      </w:r>
      <w:r>
        <w:rPr>
          <w:rFonts w:ascii="宋体" w:hAnsi="宋体" w:eastAsia="宋体"/>
          <w:color w:val="auto"/>
          <w:sz w:val="21"/>
          <w:szCs w:val="21"/>
          <w:highlight w:val="none"/>
        </w:rPr>
        <w:t xml:space="preserve">.4 </w:t>
      </w:r>
      <w:r>
        <w:rPr>
          <w:rFonts w:hint="eastAsia" w:ascii="宋体" w:hAnsi="宋体" w:eastAsia="宋体"/>
          <w:color w:val="auto"/>
          <w:sz w:val="21"/>
          <w:szCs w:val="21"/>
          <w:highlight w:val="none"/>
        </w:rPr>
        <w:t>如双方对验收结果有分歧，则以苏州市市场监督管理局下属法定检验机构的检验结果为准，检验费用由有过失的一方支付。</w:t>
      </w:r>
    </w:p>
    <w:p w14:paraId="27B4DA4E">
      <w:pPr>
        <w:spacing w:line="360" w:lineRule="auto"/>
        <w:rPr>
          <w:rFonts w:ascii="宋体" w:hAnsi="宋体"/>
          <w:b/>
          <w:color w:val="auto"/>
          <w:szCs w:val="21"/>
          <w:highlight w:val="none"/>
        </w:rPr>
      </w:pPr>
      <w:bookmarkStart w:id="60" w:name="_Toc13543216"/>
      <w:r>
        <w:rPr>
          <w:rFonts w:hint="eastAsia" w:ascii="宋体" w:hAnsi="宋体"/>
          <w:b/>
          <w:color w:val="auto"/>
          <w:szCs w:val="21"/>
          <w:highlight w:val="none"/>
        </w:rPr>
        <w:t>四、对标的物提出异议的时间和办法</w:t>
      </w:r>
      <w:bookmarkEnd w:id="60"/>
    </w:p>
    <w:p w14:paraId="02619564">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7</w:t>
      </w:r>
      <w:r>
        <w:rPr>
          <w:rFonts w:ascii="宋体" w:hAnsi="宋体"/>
          <w:b/>
          <w:color w:val="auto"/>
          <w:szCs w:val="21"/>
          <w:highlight w:val="none"/>
        </w:rPr>
        <w:t xml:space="preserve">.  </w:t>
      </w:r>
      <w:r>
        <w:rPr>
          <w:rFonts w:hint="eastAsia" w:ascii="宋体" w:hAnsi="宋体"/>
          <w:b/>
          <w:color w:val="auto"/>
          <w:szCs w:val="21"/>
          <w:highlight w:val="none"/>
        </w:rPr>
        <w:t>对标的物提出异议的时间和办法</w:t>
      </w:r>
    </w:p>
    <w:p w14:paraId="435F11AD">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7</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甲方在验收过程中，应当于双方约定的检验期间内将标的物的数量或质量不符合约定的情形及处理方式以书面形式通知乙方。</w:t>
      </w:r>
    </w:p>
    <w:p w14:paraId="0A8492A3">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7</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如甲方在验收期满后既不出具验收合格证明又未提出书面异议的视为乙方所交标的物符合合同规定。</w:t>
      </w:r>
    </w:p>
    <w:p w14:paraId="17E56FB6">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7</w:t>
      </w:r>
      <w:r>
        <w:rPr>
          <w:rFonts w:ascii="宋体" w:hAnsi="宋体" w:eastAsia="宋体"/>
          <w:color w:val="auto"/>
          <w:sz w:val="21"/>
          <w:szCs w:val="21"/>
          <w:highlight w:val="none"/>
        </w:rPr>
        <w:t xml:space="preserve">.3 </w:t>
      </w:r>
      <w:r>
        <w:rPr>
          <w:rFonts w:hint="eastAsia" w:ascii="宋体" w:hAnsi="宋体" w:eastAsia="宋体"/>
          <w:color w:val="auto"/>
          <w:sz w:val="21"/>
          <w:szCs w:val="21"/>
          <w:highlight w:val="none"/>
        </w:rPr>
        <w:t>乙方应在收到甲方书面异议后2天内（双方在合同特殊条款另行规定的除外）负责处理问题，否则将视为默认甲方提出的异议和处理意见。</w:t>
      </w:r>
    </w:p>
    <w:p w14:paraId="4CF16CCF">
      <w:pPr>
        <w:spacing w:line="360" w:lineRule="auto"/>
        <w:rPr>
          <w:rFonts w:ascii="宋体" w:hAnsi="宋体"/>
          <w:b/>
          <w:color w:val="auto"/>
          <w:szCs w:val="21"/>
          <w:highlight w:val="none"/>
        </w:rPr>
      </w:pPr>
      <w:bookmarkStart w:id="61" w:name="_Toc13543217"/>
      <w:r>
        <w:rPr>
          <w:rFonts w:hint="eastAsia" w:ascii="宋体" w:hAnsi="宋体"/>
          <w:b/>
          <w:color w:val="auto"/>
          <w:szCs w:val="21"/>
          <w:highlight w:val="none"/>
        </w:rPr>
        <w:t>五、合同价款和支付</w:t>
      </w:r>
      <w:bookmarkEnd w:id="61"/>
    </w:p>
    <w:p w14:paraId="48B9E995">
      <w:pPr>
        <w:spacing w:line="360" w:lineRule="auto"/>
        <w:rPr>
          <w:rFonts w:ascii="宋体" w:hAnsi="宋体"/>
          <w:b/>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8</w:t>
      </w:r>
      <w:r>
        <w:rPr>
          <w:rFonts w:ascii="宋体" w:hAnsi="宋体"/>
          <w:b/>
          <w:color w:val="auto"/>
          <w:szCs w:val="21"/>
          <w:highlight w:val="none"/>
        </w:rPr>
        <w:t xml:space="preserve">.  </w:t>
      </w:r>
      <w:r>
        <w:rPr>
          <w:rFonts w:hint="eastAsia" w:ascii="宋体" w:hAnsi="宋体"/>
          <w:b/>
          <w:color w:val="auto"/>
          <w:szCs w:val="21"/>
          <w:highlight w:val="none"/>
        </w:rPr>
        <w:t>合同价款和支付</w:t>
      </w:r>
    </w:p>
    <w:p w14:paraId="636A121E">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本合同的结算货币为人民币，单位元。</w:t>
      </w:r>
    </w:p>
    <w:p w14:paraId="2C32D5C5">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乙方应按照双方签订的合同规定交货并在合同特殊条款规定的期限内持下列单据结算货款。</w:t>
      </w:r>
    </w:p>
    <w:p w14:paraId="1DAF573E">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.2.1 </w:t>
      </w:r>
      <w:r>
        <w:rPr>
          <w:rFonts w:hint="eastAsia" w:ascii="宋体" w:hAnsi="宋体" w:eastAsia="宋体"/>
          <w:color w:val="auto"/>
          <w:sz w:val="21"/>
          <w:szCs w:val="21"/>
          <w:highlight w:val="none"/>
        </w:rPr>
        <w:t>正式的发票。</w:t>
      </w:r>
    </w:p>
    <w:p w14:paraId="13E8665C">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.2.2 </w:t>
      </w:r>
      <w:r>
        <w:rPr>
          <w:rFonts w:hint="eastAsia" w:ascii="宋体" w:hAnsi="宋体" w:eastAsia="宋体"/>
          <w:color w:val="auto"/>
          <w:sz w:val="21"/>
          <w:szCs w:val="21"/>
          <w:highlight w:val="none"/>
        </w:rPr>
        <w:t>甲方盖章签收后的送货回单和验收合格证明。</w:t>
      </w:r>
    </w:p>
    <w:p w14:paraId="1FC2B1BF">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.3 </w:t>
      </w:r>
      <w:r>
        <w:rPr>
          <w:rFonts w:hint="eastAsia" w:ascii="宋体" w:hAnsi="宋体" w:eastAsia="宋体"/>
          <w:color w:val="auto"/>
          <w:sz w:val="21"/>
          <w:szCs w:val="21"/>
          <w:highlight w:val="none"/>
        </w:rPr>
        <w:t>甲方应按合同特殊条款规定的期限和方式付款。</w:t>
      </w:r>
    </w:p>
    <w:p w14:paraId="4B961890">
      <w:pPr>
        <w:pStyle w:val="7"/>
        <w:overflowPunct w:val="0"/>
        <w:spacing w:line="360" w:lineRule="auto"/>
        <w:ind w:firstLine="422"/>
        <w:rPr>
          <w:rFonts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8</w:t>
      </w:r>
      <w:r>
        <w:rPr>
          <w:rFonts w:ascii="宋体" w:hAnsi="宋体" w:eastAsia="宋体"/>
          <w:color w:val="auto"/>
          <w:sz w:val="21"/>
          <w:szCs w:val="21"/>
          <w:highlight w:val="none"/>
        </w:rPr>
        <w:t xml:space="preserve">.4 </w:t>
      </w:r>
      <w:r>
        <w:rPr>
          <w:rFonts w:hint="eastAsia" w:ascii="宋体" w:hAnsi="宋体" w:eastAsia="宋体"/>
          <w:color w:val="auto"/>
          <w:sz w:val="21"/>
          <w:szCs w:val="21"/>
          <w:highlight w:val="none"/>
        </w:rPr>
        <w:t>根据现行税法对甲方征收的与本合同有关的一切税费均由甲方承担；根据现行税法对乙方征收的与本合同有关的一切税费均由乙方承担。</w:t>
      </w:r>
    </w:p>
    <w:p w14:paraId="441FAC3B">
      <w:pPr>
        <w:spacing w:line="360" w:lineRule="auto"/>
        <w:rPr>
          <w:rFonts w:ascii="宋体" w:hAnsi="宋体"/>
          <w:b/>
          <w:color w:val="auto"/>
          <w:szCs w:val="21"/>
          <w:highlight w:val="none"/>
        </w:rPr>
      </w:pPr>
      <w:bookmarkStart w:id="62" w:name="_Toc13543218"/>
      <w:r>
        <w:rPr>
          <w:rFonts w:hint="eastAsia" w:ascii="宋体" w:hAnsi="宋体"/>
          <w:b/>
          <w:color w:val="auto"/>
          <w:szCs w:val="21"/>
          <w:highlight w:val="none"/>
        </w:rPr>
        <w:t>六、违约责任</w:t>
      </w:r>
      <w:bookmarkEnd w:id="62"/>
    </w:p>
    <w:p w14:paraId="3FBE4F1C">
      <w:pPr>
        <w:spacing w:line="360" w:lineRule="auto"/>
        <w:rPr>
          <w:rFonts w:ascii="宋体" w:hAnsi="宋体"/>
          <w:b/>
          <w:color w:val="auto"/>
          <w:szCs w:val="21"/>
          <w:highlight w:val="none"/>
        </w:rPr>
      </w:pPr>
      <w:r>
        <w:rPr>
          <w:rFonts w:hint="eastAsia" w:ascii="宋体" w:hAnsi="宋体"/>
          <w:b/>
          <w:color w:val="auto"/>
          <w:szCs w:val="21"/>
          <w:highlight w:val="none"/>
          <w:lang w:val="en-US" w:eastAsia="zh-CN"/>
        </w:rPr>
        <w:t>49</w:t>
      </w:r>
      <w:r>
        <w:rPr>
          <w:rFonts w:ascii="宋体" w:hAnsi="宋体"/>
          <w:b/>
          <w:color w:val="auto"/>
          <w:szCs w:val="21"/>
          <w:highlight w:val="none"/>
        </w:rPr>
        <w:t xml:space="preserve">.  </w:t>
      </w:r>
      <w:r>
        <w:rPr>
          <w:rFonts w:hint="eastAsia" w:ascii="宋体" w:hAnsi="宋体"/>
          <w:b/>
          <w:color w:val="auto"/>
          <w:szCs w:val="21"/>
          <w:highlight w:val="none"/>
        </w:rPr>
        <w:t>甲方违约责任</w:t>
      </w:r>
    </w:p>
    <w:p w14:paraId="432F1E95">
      <w:pPr>
        <w:autoSpaceDE w:val="0"/>
        <w:autoSpaceDN w:val="0"/>
        <w:adjustRightInd w:val="0"/>
        <w:spacing w:line="360" w:lineRule="auto"/>
        <w:ind w:left="199" w:leftChars="95" w:firstLine="210" w:firstLineChars="100"/>
        <w:jc w:val="left"/>
        <w:rPr>
          <w:rFonts w:ascii="宋体" w:hAnsi="宋体"/>
          <w:color w:val="auto"/>
          <w:szCs w:val="21"/>
          <w:highlight w:val="none"/>
        </w:rPr>
      </w:pPr>
      <w:r>
        <w:rPr>
          <w:rFonts w:hint="eastAsia" w:ascii="宋体" w:hAnsi="宋体"/>
          <w:color w:val="auto"/>
          <w:szCs w:val="21"/>
          <w:highlight w:val="none"/>
          <w:lang w:val="en-US" w:eastAsia="zh-CN"/>
        </w:rPr>
        <w:t>49</w:t>
      </w:r>
      <w:r>
        <w:rPr>
          <w:rFonts w:ascii="宋体" w:hAnsi="宋体"/>
          <w:color w:val="auto"/>
          <w:szCs w:val="21"/>
          <w:highlight w:val="none"/>
        </w:rPr>
        <w:t xml:space="preserve">.1  </w:t>
      </w:r>
      <w:r>
        <w:rPr>
          <w:rFonts w:hint="eastAsia" w:ascii="宋体" w:hAnsi="宋体"/>
          <w:color w:val="auto"/>
          <w:szCs w:val="21"/>
          <w:highlight w:val="none"/>
        </w:rPr>
        <w:t>甲方逾期付款的（正当拒付、供方同意延期付款时除外），应按同期银行贷款利率支付拖欠材料款的利息。但乙方不得因拖欠材料款而停止供货。</w:t>
      </w:r>
    </w:p>
    <w:p w14:paraId="5A5A2227">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49</w:t>
      </w:r>
      <w:r>
        <w:rPr>
          <w:rFonts w:ascii="宋体" w:hAnsi="宋体" w:eastAsia="宋体"/>
          <w:color w:val="auto"/>
          <w:sz w:val="21"/>
          <w:szCs w:val="21"/>
          <w:highlight w:val="none"/>
        </w:rPr>
        <w:t>.</w:t>
      </w:r>
      <w:r>
        <w:rPr>
          <w:rFonts w:hint="eastAsia" w:ascii="宋体" w:hAnsi="宋体" w:eastAsia="宋体"/>
          <w:color w:val="auto"/>
          <w:sz w:val="21"/>
          <w:szCs w:val="21"/>
          <w:highlight w:val="none"/>
        </w:rPr>
        <w:t>2甲方违反合同规定，拒绝接收乙方交付的合格标的物，应当承担乙方由此造成的损失，包括运输部门的罚款。</w:t>
      </w:r>
    </w:p>
    <w:p w14:paraId="076EEB19">
      <w:pPr>
        <w:spacing w:line="360" w:lineRule="auto"/>
        <w:rPr>
          <w:rFonts w:ascii="宋体" w:hAnsi="宋体"/>
          <w:b/>
          <w:color w:val="auto"/>
          <w:szCs w:val="21"/>
          <w:highlight w:val="none"/>
        </w:rPr>
      </w:pPr>
      <w:r>
        <w:rPr>
          <w:rFonts w:hint="eastAsia" w:ascii="宋体" w:hAnsi="宋体"/>
          <w:b/>
          <w:color w:val="auto"/>
          <w:szCs w:val="21"/>
          <w:highlight w:val="none"/>
        </w:rPr>
        <w:t>5</w:t>
      </w:r>
      <w:r>
        <w:rPr>
          <w:rFonts w:hint="eastAsia" w:ascii="宋体" w:hAnsi="宋体"/>
          <w:b/>
          <w:color w:val="auto"/>
          <w:szCs w:val="21"/>
          <w:highlight w:val="none"/>
          <w:lang w:val="en-US" w:eastAsia="zh-CN"/>
        </w:rPr>
        <w:t>0</w:t>
      </w:r>
      <w:r>
        <w:rPr>
          <w:rFonts w:ascii="宋体" w:hAnsi="宋体"/>
          <w:b/>
          <w:color w:val="auto"/>
          <w:szCs w:val="21"/>
          <w:highlight w:val="none"/>
        </w:rPr>
        <w:t xml:space="preserve">.  </w:t>
      </w:r>
      <w:r>
        <w:rPr>
          <w:rFonts w:hint="eastAsia" w:ascii="宋体" w:hAnsi="宋体"/>
          <w:b/>
          <w:color w:val="auto"/>
          <w:szCs w:val="21"/>
          <w:highlight w:val="none"/>
        </w:rPr>
        <w:t>乙方违约责任</w:t>
      </w:r>
    </w:p>
    <w:p w14:paraId="56839BF9">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0</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乙方不能交货（逾期超过十五天视为不能交货），或交货不合格从而影响甲方按期正常使用的，甲方有权解除合同，乙方必须承担甲方由此引起的一切额外损失（包括但不限于货物差价、运输费用、建设承包方的窝工损失、设备闲置及其他赔偿要求），赔偿金额不低于合同价格。</w:t>
      </w:r>
    </w:p>
    <w:p w14:paraId="1529625D">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0</w:t>
      </w:r>
      <w:r>
        <w:rPr>
          <w:rFonts w:ascii="宋体" w:hAnsi="宋体" w:eastAsia="宋体"/>
          <w:color w:val="auto"/>
          <w:sz w:val="21"/>
          <w:szCs w:val="21"/>
          <w:highlight w:val="none"/>
        </w:rPr>
        <w:t>.2 乙方逾期完工</w:t>
      </w:r>
      <w:r>
        <w:rPr>
          <w:rFonts w:hint="eastAsia" w:ascii="宋体" w:hAnsi="宋体" w:eastAsia="宋体"/>
          <w:color w:val="auto"/>
          <w:sz w:val="21"/>
          <w:szCs w:val="21"/>
          <w:highlight w:val="none"/>
        </w:rPr>
        <w:t>（</w:t>
      </w:r>
      <w:r>
        <w:rPr>
          <w:rFonts w:ascii="宋体" w:hAnsi="宋体" w:eastAsia="宋体"/>
          <w:color w:val="auto"/>
          <w:sz w:val="21"/>
          <w:szCs w:val="21"/>
          <w:highlight w:val="none"/>
        </w:rPr>
        <w:t>即项目全部安装调试完成，整体验收合格并提交竣工资料）</w:t>
      </w:r>
      <w:r>
        <w:rPr>
          <w:rFonts w:hint="eastAsia" w:ascii="宋体" w:hAnsi="宋体" w:eastAsia="宋体"/>
          <w:color w:val="auto"/>
          <w:sz w:val="21"/>
          <w:szCs w:val="21"/>
          <w:highlight w:val="none"/>
        </w:rPr>
        <w:t>，应在完工前与甲方协商，甲方仍需求的，乙方应立即完工并应按照逾期完工部分货款的每天千分之四支付逾期完工违约金，同时承担甲方因此遭致的损失费用。甲方原因引起的工期延误甲方应予以顺延工期，但甲方不承担乙方因此可能发生的任何经济损失。</w:t>
      </w:r>
    </w:p>
    <w:p w14:paraId="528CC985">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0</w:t>
      </w:r>
      <w:r>
        <w:rPr>
          <w:rFonts w:hint="eastAsia" w:ascii="宋体" w:hAnsi="宋体" w:eastAsia="宋体"/>
          <w:color w:val="auto"/>
          <w:sz w:val="21"/>
          <w:szCs w:val="21"/>
          <w:highlight w:val="none"/>
        </w:rPr>
        <w:t>.3乙方提前交货的，须经甲方同意，接货后，仍可按合同规定的付款时间付款。</w:t>
      </w:r>
    </w:p>
    <w:p w14:paraId="25761665">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0</w:t>
      </w:r>
      <w:r>
        <w:rPr>
          <w:rFonts w:hint="eastAsia" w:ascii="宋体" w:hAnsi="宋体" w:eastAsia="宋体"/>
          <w:color w:val="auto"/>
          <w:sz w:val="21"/>
          <w:szCs w:val="21"/>
          <w:highlight w:val="none"/>
        </w:rPr>
        <w:t>.4甲方凭乙方出具的检验证明及质量担保书收货后，有权基于公共利益的考虑和对质量担保书的信任立即将相应标的物应用于施工。但在质量保证期限内，已使用的标的物被证明不符合合同规定的要求，则甲方有权选择下列一种方法追究乙方的违约责任：</w:t>
      </w:r>
    </w:p>
    <w:p w14:paraId="6195E1F9">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0</w:t>
      </w:r>
      <w:r>
        <w:rPr>
          <w:rFonts w:hint="eastAsia" w:ascii="宋体" w:hAnsi="宋体" w:eastAsia="宋体"/>
          <w:color w:val="auto"/>
          <w:sz w:val="21"/>
          <w:szCs w:val="21"/>
          <w:highlight w:val="none"/>
        </w:rPr>
        <w:t>.4.1另行采购相应标的物、开挖、重新铺埋等所发生的一切费用均由乙方承担，乙方并应赔偿甲方的其他损失。</w:t>
      </w:r>
    </w:p>
    <w:p w14:paraId="61488C3A">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0</w:t>
      </w:r>
      <w:r>
        <w:rPr>
          <w:rFonts w:hint="eastAsia" w:ascii="宋体" w:hAnsi="宋体" w:eastAsia="宋体"/>
          <w:color w:val="auto"/>
          <w:sz w:val="21"/>
          <w:szCs w:val="21"/>
          <w:highlight w:val="none"/>
        </w:rPr>
        <w:t>.4.2乙方向甲方一次性赔偿相当于被证明不符合合同规定批次标的物价款的300%的赔偿金。</w:t>
      </w:r>
    </w:p>
    <w:p w14:paraId="0B3DB5E0">
      <w:pPr>
        <w:spacing w:line="360" w:lineRule="auto"/>
        <w:rPr>
          <w:rFonts w:ascii="宋体" w:hAnsi="宋体"/>
          <w:b/>
          <w:color w:val="auto"/>
          <w:szCs w:val="21"/>
          <w:highlight w:val="none"/>
        </w:rPr>
      </w:pPr>
      <w:r>
        <w:rPr>
          <w:rFonts w:hint="eastAsia" w:ascii="宋体" w:hAnsi="宋体"/>
          <w:b/>
          <w:color w:val="auto"/>
          <w:szCs w:val="21"/>
          <w:highlight w:val="none"/>
        </w:rPr>
        <w:t>5</w:t>
      </w:r>
      <w:r>
        <w:rPr>
          <w:rFonts w:hint="eastAsia" w:ascii="宋体" w:hAnsi="宋体"/>
          <w:b/>
          <w:color w:val="auto"/>
          <w:szCs w:val="21"/>
          <w:highlight w:val="none"/>
          <w:lang w:val="en-US" w:eastAsia="zh-CN"/>
        </w:rPr>
        <w:t>1</w:t>
      </w:r>
      <w:r>
        <w:rPr>
          <w:rFonts w:ascii="宋体" w:hAnsi="宋体"/>
          <w:b/>
          <w:color w:val="auto"/>
          <w:szCs w:val="21"/>
          <w:highlight w:val="none"/>
        </w:rPr>
        <w:t xml:space="preserve">.  </w:t>
      </w:r>
      <w:r>
        <w:rPr>
          <w:rFonts w:hint="eastAsia" w:ascii="宋体" w:hAnsi="宋体"/>
          <w:b/>
          <w:color w:val="auto"/>
          <w:szCs w:val="21"/>
          <w:highlight w:val="none"/>
        </w:rPr>
        <w:t>不可抗力</w:t>
      </w:r>
    </w:p>
    <w:p w14:paraId="398AB6E9">
      <w:pPr>
        <w:pStyle w:val="7"/>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1</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如果双方中任何一方由于战争，自然灾害、政治原因、禁止性法律规定以及其它经双方同意属于不可抗力的事故，致使合同履行受阻时，履行合同的期限应可延长，延长的期限应不超过14日，延长期内甲方有权另行购买，乙方必须承担甲方包括施工费用在内的所有损失。但由于一方违约或疏忽不属于不可抗力，应按违约责任条款予以处理。</w:t>
      </w:r>
    </w:p>
    <w:p w14:paraId="0F65EEEC">
      <w:pPr>
        <w:pStyle w:val="7"/>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1</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受不可抗力影响的一方应在不可抗力发生后以尽快的方式通知另一方，如果不可抗力的时间超过14日，双方有权终止履行合同。</w:t>
      </w:r>
    </w:p>
    <w:p w14:paraId="2CF4A5F0">
      <w:pPr>
        <w:spacing w:line="360" w:lineRule="auto"/>
        <w:rPr>
          <w:rFonts w:ascii="宋体" w:hAnsi="宋体"/>
          <w:b/>
          <w:color w:val="auto"/>
          <w:szCs w:val="21"/>
          <w:highlight w:val="none"/>
        </w:rPr>
      </w:pPr>
      <w:bookmarkStart w:id="63" w:name="_Toc13543219"/>
      <w:r>
        <w:rPr>
          <w:rFonts w:hint="eastAsia" w:ascii="宋体" w:hAnsi="宋体"/>
          <w:b/>
          <w:color w:val="auto"/>
          <w:szCs w:val="21"/>
          <w:highlight w:val="none"/>
        </w:rPr>
        <w:t>七、索赔</w:t>
      </w:r>
      <w:bookmarkEnd w:id="63"/>
    </w:p>
    <w:p w14:paraId="7E449384">
      <w:pPr>
        <w:spacing w:line="360" w:lineRule="auto"/>
        <w:rPr>
          <w:rFonts w:ascii="宋体" w:hAnsi="宋体"/>
          <w:b/>
          <w:color w:val="auto"/>
          <w:szCs w:val="21"/>
          <w:highlight w:val="none"/>
        </w:rPr>
      </w:pPr>
      <w:r>
        <w:rPr>
          <w:rFonts w:hint="eastAsia" w:ascii="宋体" w:hAnsi="宋体"/>
          <w:b/>
          <w:color w:val="auto"/>
          <w:szCs w:val="21"/>
          <w:highlight w:val="none"/>
        </w:rPr>
        <w:t>5</w:t>
      </w:r>
      <w:r>
        <w:rPr>
          <w:rFonts w:hint="eastAsia" w:ascii="宋体" w:hAnsi="宋体"/>
          <w:b/>
          <w:color w:val="auto"/>
          <w:szCs w:val="21"/>
          <w:highlight w:val="none"/>
          <w:lang w:val="en-US" w:eastAsia="zh-CN"/>
        </w:rPr>
        <w:t>2</w:t>
      </w:r>
      <w:r>
        <w:rPr>
          <w:rFonts w:ascii="宋体" w:hAnsi="宋体"/>
          <w:b/>
          <w:color w:val="auto"/>
          <w:szCs w:val="21"/>
          <w:highlight w:val="none"/>
        </w:rPr>
        <w:t xml:space="preserve">.  </w:t>
      </w:r>
      <w:r>
        <w:rPr>
          <w:rFonts w:hint="eastAsia" w:ascii="宋体" w:hAnsi="宋体"/>
          <w:b/>
          <w:color w:val="auto"/>
          <w:szCs w:val="21"/>
          <w:highlight w:val="none"/>
        </w:rPr>
        <w:t>索赔</w:t>
      </w:r>
    </w:p>
    <w:p w14:paraId="702F848D">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2</w:t>
      </w:r>
      <w:r>
        <w:rPr>
          <w:rFonts w:ascii="宋体" w:hAnsi="宋体" w:eastAsia="宋体"/>
          <w:color w:val="auto"/>
          <w:sz w:val="21"/>
          <w:szCs w:val="21"/>
          <w:highlight w:val="none"/>
        </w:rPr>
        <w:t>.</w:t>
      </w:r>
      <w:r>
        <w:rPr>
          <w:rFonts w:hint="eastAsia" w:ascii="宋体" w:hAnsi="宋体" w:eastAsia="宋体"/>
          <w:color w:val="auto"/>
          <w:sz w:val="21"/>
          <w:szCs w:val="21"/>
          <w:highlight w:val="none"/>
          <w:lang w:val="en-US" w:eastAsia="zh-CN"/>
        </w:rPr>
        <w:t>1</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在本合同规定的检验期和质量保证期内，如果乙方对甲方提出的索赔或差异有责任，则乙方应按甲方同意的下列一种或多种方式解决索赔事宜：</w:t>
      </w:r>
    </w:p>
    <w:p w14:paraId="4DAC2683">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2</w:t>
      </w:r>
      <w:r>
        <w:rPr>
          <w:rFonts w:ascii="宋体" w:hAnsi="宋体" w:eastAsia="宋体"/>
          <w:color w:val="auto"/>
          <w:sz w:val="21"/>
          <w:szCs w:val="21"/>
          <w:highlight w:val="none"/>
        </w:rPr>
        <w:t>.</w:t>
      </w:r>
      <w:r>
        <w:rPr>
          <w:rFonts w:hint="eastAsia" w:ascii="宋体" w:hAnsi="宋体" w:eastAsia="宋体"/>
          <w:color w:val="auto"/>
          <w:sz w:val="21"/>
          <w:szCs w:val="21"/>
          <w:highlight w:val="none"/>
          <w:lang w:val="en-US" w:eastAsia="zh-CN"/>
        </w:rPr>
        <w:t>1</w:t>
      </w:r>
      <w:r>
        <w:rPr>
          <w:rFonts w:ascii="宋体" w:hAnsi="宋体" w:eastAsia="宋体"/>
          <w:color w:val="auto"/>
          <w:sz w:val="21"/>
          <w:szCs w:val="21"/>
          <w:highlight w:val="none"/>
        </w:rPr>
        <w:t xml:space="preserve">.1 </w:t>
      </w:r>
      <w:r>
        <w:rPr>
          <w:rFonts w:hint="eastAsia" w:ascii="宋体" w:hAnsi="宋体" w:eastAsia="宋体"/>
          <w:color w:val="auto"/>
          <w:sz w:val="21"/>
          <w:szCs w:val="21"/>
          <w:highlight w:val="none"/>
        </w:rPr>
        <w:t>乙方同意退货，并按合同规定的货币将货款退还给乙方，并承担由此发生的一切损失和费用，包括利息、银行手续费、运费、保险费、检验费、仓储费、装卸费、工程损失费以及为保护退回标的物所需的其他必要费用。</w:t>
      </w:r>
    </w:p>
    <w:p w14:paraId="207EF840">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2</w:t>
      </w:r>
      <w:r>
        <w:rPr>
          <w:rFonts w:ascii="宋体" w:hAnsi="宋体" w:eastAsia="宋体"/>
          <w:color w:val="auto"/>
          <w:sz w:val="21"/>
          <w:szCs w:val="21"/>
          <w:highlight w:val="none"/>
        </w:rPr>
        <w:t>.</w:t>
      </w:r>
      <w:r>
        <w:rPr>
          <w:rFonts w:hint="eastAsia" w:ascii="宋体" w:hAnsi="宋体" w:eastAsia="宋体"/>
          <w:color w:val="auto"/>
          <w:sz w:val="21"/>
          <w:szCs w:val="21"/>
          <w:highlight w:val="none"/>
          <w:lang w:val="en-US" w:eastAsia="zh-CN"/>
        </w:rPr>
        <w:t>1</w:t>
      </w:r>
      <w:r>
        <w:rPr>
          <w:rFonts w:ascii="宋体" w:hAnsi="宋体" w:eastAsia="宋体"/>
          <w:color w:val="auto"/>
          <w:sz w:val="21"/>
          <w:szCs w:val="21"/>
          <w:highlight w:val="none"/>
        </w:rPr>
        <w:t xml:space="preserve">.2 </w:t>
      </w:r>
      <w:r>
        <w:rPr>
          <w:rFonts w:hint="eastAsia" w:ascii="宋体" w:hAnsi="宋体" w:eastAsia="宋体"/>
          <w:color w:val="auto"/>
          <w:sz w:val="21"/>
          <w:szCs w:val="21"/>
          <w:highlight w:val="none"/>
        </w:rPr>
        <w:t>根据标的物的低劣程度、损坏程度以及甲方遭受损失的数额，经供需双方可商定降低标的物的价格，对已交付的货款多退少补。</w:t>
      </w:r>
    </w:p>
    <w:p w14:paraId="0A6E36C2">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2</w:t>
      </w:r>
      <w:r>
        <w:rPr>
          <w:rFonts w:ascii="宋体" w:hAnsi="宋体" w:eastAsia="宋体"/>
          <w:color w:val="auto"/>
          <w:sz w:val="21"/>
          <w:szCs w:val="21"/>
          <w:highlight w:val="none"/>
        </w:rPr>
        <w:t>.</w:t>
      </w:r>
      <w:r>
        <w:rPr>
          <w:rFonts w:hint="eastAsia" w:ascii="宋体" w:hAnsi="宋体" w:eastAsia="宋体"/>
          <w:color w:val="auto"/>
          <w:sz w:val="21"/>
          <w:szCs w:val="21"/>
          <w:highlight w:val="none"/>
          <w:lang w:val="en-US" w:eastAsia="zh-CN"/>
        </w:rPr>
        <w:t>1</w:t>
      </w:r>
      <w:r>
        <w:rPr>
          <w:rFonts w:ascii="宋体" w:hAnsi="宋体" w:eastAsia="宋体"/>
          <w:color w:val="auto"/>
          <w:sz w:val="21"/>
          <w:szCs w:val="21"/>
          <w:highlight w:val="none"/>
        </w:rPr>
        <w:t>.3</w:t>
      </w:r>
      <w:r>
        <w:rPr>
          <w:rFonts w:hint="eastAsia" w:ascii="宋体" w:hAnsi="宋体" w:eastAsia="宋体"/>
          <w:color w:val="auto"/>
          <w:sz w:val="21"/>
          <w:szCs w:val="21"/>
          <w:highlight w:val="none"/>
        </w:rPr>
        <w:t>用符合规格、质量和性能要求的标的物来更换有缺陷的部分或修补缺陷部分，乙方应承担一切费用和风险并负担甲方所发生的一切直接费用。同时，供方应按合同规定，相应延长修补或被更换部件或标的物的质量保证期。</w:t>
      </w:r>
    </w:p>
    <w:p w14:paraId="755B5FDC">
      <w:pPr>
        <w:pStyle w:val="7"/>
        <w:overflowPunct w:val="0"/>
        <w:spacing w:line="360" w:lineRule="auto"/>
        <w:ind w:firstLine="422"/>
        <w:rPr>
          <w:rFonts w:ascii="宋体" w:hAnsi="宋体" w:eastAsia="宋体"/>
          <w:color w:val="auto"/>
          <w:sz w:val="21"/>
          <w:szCs w:val="21"/>
          <w:highlight w:val="none"/>
        </w:rPr>
      </w:pPr>
      <w:r>
        <w:rPr>
          <w:rFonts w:hint="eastAsia" w:ascii="宋体" w:hAnsi="宋体" w:eastAsia="宋体"/>
          <w:color w:val="auto"/>
          <w:sz w:val="21"/>
          <w:szCs w:val="21"/>
          <w:highlight w:val="none"/>
        </w:rPr>
        <w:t>5</w:t>
      </w:r>
      <w:r>
        <w:rPr>
          <w:rFonts w:hint="eastAsia" w:ascii="宋体" w:hAnsi="宋体" w:eastAsia="宋体"/>
          <w:color w:val="auto"/>
          <w:sz w:val="21"/>
          <w:szCs w:val="21"/>
          <w:highlight w:val="none"/>
          <w:lang w:val="en-US" w:eastAsia="zh-CN"/>
        </w:rPr>
        <w:t>2</w:t>
      </w:r>
      <w:r>
        <w:rPr>
          <w:rFonts w:ascii="宋体" w:hAnsi="宋体" w:eastAsia="宋体"/>
          <w:color w:val="auto"/>
          <w:sz w:val="21"/>
          <w:szCs w:val="21"/>
          <w:highlight w:val="none"/>
        </w:rPr>
        <w:t>.</w:t>
      </w:r>
      <w:r>
        <w:rPr>
          <w:rFonts w:hint="eastAsia" w:ascii="宋体" w:hAnsi="宋体" w:eastAsia="宋体"/>
          <w:color w:val="auto"/>
          <w:sz w:val="21"/>
          <w:szCs w:val="21"/>
          <w:highlight w:val="none"/>
          <w:lang w:val="en-US" w:eastAsia="zh-CN"/>
        </w:rPr>
        <w:t>2</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如果在甲方发出索赔通知后七天内，乙方未能答复，上述索赔应视为已被乙方接受。若乙方未在甲方提出索赔通知后七天内或甲方同意的更长时间内，按照合同规定的任何一种方法解决索赔事宜，甲方将从未付款中扣回索赔金额，如果这些金额不足以补偿索赔金额，甲方有权向乙方提出对不足部分的补偿。</w:t>
      </w:r>
    </w:p>
    <w:p w14:paraId="50D37F6C">
      <w:pPr>
        <w:spacing w:line="360" w:lineRule="auto"/>
        <w:rPr>
          <w:rFonts w:ascii="宋体" w:hAnsi="宋体"/>
          <w:b/>
          <w:color w:val="auto"/>
          <w:szCs w:val="21"/>
          <w:highlight w:val="none"/>
        </w:rPr>
      </w:pPr>
      <w:bookmarkStart w:id="64" w:name="_Toc13543220"/>
      <w:r>
        <w:rPr>
          <w:rFonts w:hint="eastAsia" w:ascii="宋体" w:hAnsi="宋体"/>
          <w:b/>
          <w:color w:val="auto"/>
          <w:szCs w:val="21"/>
          <w:highlight w:val="none"/>
        </w:rPr>
        <w:t>八、履约保证金</w:t>
      </w:r>
      <w:bookmarkEnd w:id="64"/>
      <w:r>
        <w:rPr>
          <w:rFonts w:hint="eastAsia" w:ascii="宋体" w:hAnsi="宋体"/>
          <w:b/>
          <w:color w:val="auto"/>
          <w:szCs w:val="21"/>
          <w:highlight w:val="none"/>
          <w:lang w:eastAsia="zh-CN"/>
        </w:rPr>
        <w:t>：</w:t>
      </w:r>
      <w:r>
        <w:rPr>
          <w:rFonts w:hint="eastAsia" w:ascii="宋体" w:hAnsi="宋体"/>
          <w:b/>
          <w:color w:val="auto"/>
          <w:szCs w:val="21"/>
          <w:highlight w:val="none"/>
        </w:rPr>
        <w:t>无</w:t>
      </w:r>
    </w:p>
    <w:p w14:paraId="2601D836">
      <w:pPr>
        <w:pStyle w:val="16"/>
        <w:ind w:left="422" w:firstLine="420"/>
        <w:rPr>
          <w:rFonts w:ascii="宋体" w:hAnsi="宋体"/>
          <w:b/>
          <w:bCs/>
          <w:color w:val="auto"/>
          <w:sz w:val="21"/>
          <w:szCs w:val="21"/>
          <w:highlight w:val="none"/>
        </w:rPr>
      </w:pPr>
    </w:p>
    <w:p w14:paraId="5048E9D3">
      <w:pPr>
        <w:spacing w:line="360" w:lineRule="auto"/>
        <w:ind w:firstLine="420"/>
        <w:jc w:val="center"/>
        <w:rPr>
          <w:rFonts w:ascii="宋体" w:hAnsi="宋体"/>
          <w:b/>
          <w:color w:val="auto"/>
          <w:szCs w:val="21"/>
          <w:highlight w:val="none"/>
        </w:rPr>
      </w:pPr>
    </w:p>
    <w:p w14:paraId="7E941692">
      <w:pPr>
        <w:spacing w:line="360" w:lineRule="auto"/>
        <w:ind w:firstLine="420"/>
        <w:jc w:val="center"/>
        <w:rPr>
          <w:rFonts w:ascii="宋体" w:hAnsi="宋体"/>
          <w:b/>
          <w:color w:val="auto"/>
          <w:highlight w:val="none"/>
        </w:rPr>
      </w:pPr>
    </w:p>
    <w:p w14:paraId="455E96C3">
      <w:pPr>
        <w:spacing w:line="360" w:lineRule="auto"/>
        <w:ind w:firstLine="420"/>
        <w:jc w:val="center"/>
        <w:rPr>
          <w:rFonts w:ascii="宋体" w:hAnsi="宋体"/>
          <w:b/>
          <w:color w:val="auto"/>
          <w:highlight w:val="none"/>
        </w:rPr>
      </w:pPr>
    </w:p>
    <w:p w14:paraId="7688F1D7">
      <w:pPr>
        <w:spacing w:line="360" w:lineRule="auto"/>
        <w:ind w:firstLine="420"/>
        <w:jc w:val="center"/>
        <w:rPr>
          <w:rFonts w:ascii="宋体" w:hAnsi="宋体"/>
          <w:b/>
          <w:color w:val="auto"/>
          <w:highlight w:val="none"/>
        </w:rPr>
      </w:pPr>
    </w:p>
    <w:p w14:paraId="1A949120">
      <w:pPr>
        <w:spacing w:line="360" w:lineRule="auto"/>
        <w:ind w:firstLine="420"/>
        <w:jc w:val="center"/>
        <w:rPr>
          <w:rFonts w:ascii="宋体" w:hAnsi="宋体"/>
          <w:b/>
          <w:color w:val="auto"/>
          <w:highlight w:val="none"/>
        </w:rPr>
      </w:pPr>
    </w:p>
    <w:p w14:paraId="47EE869D">
      <w:pPr>
        <w:spacing w:line="360" w:lineRule="auto"/>
        <w:ind w:firstLine="420"/>
        <w:jc w:val="center"/>
        <w:rPr>
          <w:rFonts w:ascii="宋体" w:hAnsi="宋体"/>
          <w:b/>
          <w:color w:val="auto"/>
          <w:highlight w:val="none"/>
        </w:rPr>
      </w:pPr>
    </w:p>
    <w:p w14:paraId="1BEBBF4C">
      <w:pPr>
        <w:spacing w:line="360" w:lineRule="auto"/>
        <w:ind w:firstLine="420"/>
        <w:jc w:val="center"/>
        <w:rPr>
          <w:rFonts w:ascii="宋体" w:hAnsi="宋体"/>
          <w:b/>
          <w:color w:val="auto"/>
          <w:highlight w:val="none"/>
        </w:rPr>
      </w:pPr>
    </w:p>
    <w:p w14:paraId="21E825B5">
      <w:pPr>
        <w:spacing w:line="360" w:lineRule="auto"/>
        <w:ind w:firstLine="420"/>
        <w:jc w:val="center"/>
        <w:rPr>
          <w:rFonts w:ascii="宋体" w:hAnsi="宋体"/>
          <w:b/>
          <w:color w:val="auto"/>
          <w:highlight w:val="none"/>
        </w:rPr>
      </w:pPr>
    </w:p>
    <w:p w14:paraId="4284649D">
      <w:pPr>
        <w:spacing w:line="360" w:lineRule="auto"/>
        <w:ind w:firstLine="420"/>
        <w:jc w:val="center"/>
        <w:rPr>
          <w:rFonts w:ascii="宋体" w:hAnsi="宋体"/>
          <w:b/>
          <w:color w:val="auto"/>
          <w:highlight w:val="none"/>
        </w:rPr>
      </w:pPr>
    </w:p>
    <w:p w14:paraId="5615954B">
      <w:pPr>
        <w:spacing w:line="360" w:lineRule="auto"/>
        <w:ind w:firstLine="420"/>
        <w:jc w:val="center"/>
        <w:rPr>
          <w:rFonts w:ascii="宋体" w:hAnsi="宋体"/>
          <w:b/>
          <w:color w:val="auto"/>
          <w:highlight w:val="none"/>
        </w:rPr>
      </w:pPr>
    </w:p>
    <w:p w14:paraId="7FD76D0B">
      <w:pPr>
        <w:spacing w:line="360" w:lineRule="auto"/>
        <w:ind w:firstLine="420"/>
        <w:jc w:val="center"/>
        <w:rPr>
          <w:rFonts w:ascii="宋体" w:hAnsi="宋体"/>
          <w:b/>
          <w:color w:val="auto"/>
          <w:highlight w:val="none"/>
        </w:rPr>
      </w:pPr>
    </w:p>
    <w:p w14:paraId="0E673C4B">
      <w:pPr>
        <w:spacing w:line="360" w:lineRule="auto"/>
        <w:ind w:firstLine="420"/>
        <w:jc w:val="center"/>
        <w:rPr>
          <w:rFonts w:ascii="宋体" w:hAnsi="宋体"/>
          <w:b/>
          <w:color w:val="auto"/>
          <w:highlight w:val="none"/>
        </w:rPr>
      </w:pPr>
    </w:p>
    <w:p w14:paraId="45CEE2B2">
      <w:pPr>
        <w:spacing w:line="360" w:lineRule="auto"/>
        <w:ind w:firstLine="420"/>
        <w:jc w:val="center"/>
        <w:rPr>
          <w:rFonts w:ascii="宋体" w:hAnsi="宋体"/>
          <w:b/>
          <w:color w:val="auto"/>
          <w:highlight w:val="none"/>
        </w:rPr>
      </w:pPr>
    </w:p>
    <w:p w14:paraId="52DCC41B">
      <w:pPr>
        <w:pStyle w:val="15"/>
        <w:ind w:firstLine="400"/>
        <w:rPr>
          <w:rFonts w:ascii="宋体" w:hAnsi="宋体"/>
          <w:b/>
          <w:color w:val="auto"/>
          <w:highlight w:val="none"/>
        </w:rPr>
      </w:pPr>
    </w:p>
    <w:p w14:paraId="5737CD83">
      <w:pPr>
        <w:pStyle w:val="15"/>
        <w:ind w:firstLine="400"/>
        <w:rPr>
          <w:rFonts w:ascii="宋体" w:hAnsi="宋体"/>
          <w:b/>
          <w:color w:val="auto"/>
          <w:highlight w:val="none"/>
        </w:rPr>
      </w:pPr>
    </w:p>
    <w:p w14:paraId="4CAC1E9F">
      <w:pPr>
        <w:pStyle w:val="15"/>
        <w:ind w:firstLine="400"/>
        <w:rPr>
          <w:rFonts w:ascii="宋体" w:hAnsi="宋体"/>
          <w:b/>
          <w:color w:val="auto"/>
          <w:highlight w:val="none"/>
        </w:rPr>
      </w:pPr>
    </w:p>
    <w:p w14:paraId="3D3211F8">
      <w:pPr>
        <w:pStyle w:val="15"/>
        <w:ind w:firstLine="400"/>
        <w:rPr>
          <w:rFonts w:ascii="宋体" w:hAnsi="宋体"/>
          <w:b/>
          <w:color w:val="auto"/>
          <w:highlight w:val="none"/>
        </w:rPr>
      </w:pPr>
    </w:p>
    <w:p w14:paraId="139F3A56">
      <w:pPr>
        <w:pStyle w:val="15"/>
        <w:ind w:firstLine="400"/>
        <w:rPr>
          <w:rFonts w:ascii="宋体" w:hAnsi="宋体"/>
          <w:b/>
          <w:color w:val="auto"/>
          <w:highlight w:val="none"/>
        </w:rPr>
      </w:pPr>
    </w:p>
    <w:p w14:paraId="4C6D19F7">
      <w:pPr>
        <w:pStyle w:val="15"/>
        <w:ind w:firstLine="400"/>
        <w:rPr>
          <w:rFonts w:ascii="宋体" w:hAnsi="宋体"/>
          <w:b/>
          <w:color w:val="auto"/>
          <w:highlight w:val="none"/>
        </w:rPr>
      </w:pPr>
    </w:p>
    <w:p w14:paraId="6C8EDDE0">
      <w:pPr>
        <w:pStyle w:val="15"/>
        <w:ind w:firstLine="400"/>
        <w:rPr>
          <w:rFonts w:ascii="宋体" w:hAnsi="宋体"/>
          <w:b/>
          <w:color w:val="auto"/>
          <w:highlight w:val="none"/>
        </w:rPr>
      </w:pPr>
    </w:p>
    <w:p w14:paraId="2C1B3696">
      <w:pPr>
        <w:pStyle w:val="15"/>
        <w:ind w:firstLine="400"/>
        <w:rPr>
          <w:rFonts w:ascii="宋体" w:hAnsi="宋体"/>
          <w:b/>
          <w:color w:val="auto"/>
          <w:highlight w:val="none"/>
        </w:rPr>
      </w:pPr>
    </w:p>
    <w:p w14:paraId="7C2C0E49">
      <w:pPr>
        <w:pStyle w:val="15"/>
        <w:ind w:firstLine="400"/>
        <w:rPr>
          <w:rFonts w:ascii="宋体" w:hAnsi="宋体"/>
          <w:b/>
          <w:color w:val="auto"/>
          <w:highlight w:val="none"/>
        </w:rPr>
      </w:pPr>
    </w:p>
    <w:p w14:paraId="056158E5">
      <w:pPr>
        <w:pStyle w:val="15"/>
        <w:ind w:firstLine="400"/>
        <w:rPr>
          <w:rFonts w:ascii="宋体" w:hAnsi="宋体"/>
          <w:b/>
          <w:color w:val="auto"/>
          <w:highlight w:val="none"/>
        </w:rPr>
      </w:pPr>
    </w:p>
    <w:p w14:paraId="0914EBC0">
      <w:pPr>
        <w:pStyle w:val="15"/>
        <w:ind w:firstLine="400"/>
        <w:rPr>
          <w:rFonts w:ascii="宋体" w:hAnsi="宋体"/>
          <w:b/>
          <w:color w:val="auto"/>
          <w:highlight w:val="none"/>
        </w:rPr>
      </w:pPr>
    </w:p>
    <w:p w14:paraId="78A74C48">
      <w:pPr>
        <w:pStyle w:val="15"/>
        <w:ind w:firstLine="400"/>
        <w:rPr>
          <w:rFonts w:ascii="宋体" w:hAnsi="宋体"/>
          <w:b/>
          <w:color w:val="auto"/>
          <w:highlight w:val="none"/>
        </w:rPr>
      </w:pPr>
    </w:p>
    <w:p w14:paraId="0AFF0FCE">
      <w:pPr>
        <w:pStyle w:val="15"/>
        <w:ind w:firstLine="400"/>
        <w:rPr>
          <w:rFonts w:ascii="宋体" w:hAnsi="宋体"/>
          <w:b/>
          <w:color w:val="auto"/>
          <w:highlight w:val="none"/>
        </w:rPr>
      </w:pPr>
    </w:p>
    <w:p w14:paraId="4A2D3AD1">
      <w:pPr>
        <w:spacing w:line="360" w:lineRule="auto"/>
        <w:ind w:firstLine="420"/>
        <w:jc w:val="center"/>
        <w:rPr>
          <w:rFonts w:ascii="宋体" w:hAnsi="宋体"/>
          <w:b/>
          <w:color w:val="auto"/>
          <w:highlight w:val="none"/>
        </w:rPr>
      </w:pPr>
    </w:p>
    <w:p w14:paraId="5B4E76A6">
      <w:pPr>
        <w:spacing w:line="360" w:lineRule="auto"/>
        <w:ind w:firstLine="883"/>
        <w:jc w:val="center"/>
        <w:rPr>
          <w:rFonts w:ascii="宋体" w:hAnsi="宋体"/>
          <w:color w:val="auto"/>
          <w:sz w:val="44"/>
          <w:highlight w:val="none"/>
        </w:rPr>
      </w:pPr>
      <w:r>
        <w:rPr>
          <w:rFonts w:hint="eastAsia" w:ascii="宋体" w:hAnsi="宋体"/>
          <w:b/>
          <w:color w:val="auto"/>
          <w:sz w:val="44"/>
          <w:highlight w:val="none"/>
        </w:rPr>
        <w:t>第六章 合同特殊条款</w:t>
      </w:r>
      <w:bookmarkEnd w:id="56"/>
      <w:bookmarkEnd w:id="57"/>
    </w:p>
    <w:p w14:paraId="03B532B7">
      <w:pPr>
        <w:adjustRightInd w:val="0"/>
        <w:snapToGrid w:val="0"/>
        <w:spacing w:line="360" w:lineRule="auto"/>
        <w:ind w:firstLine="422" w:firstLineChars="200"/>
        <w:jc w:val="left"/>
        <w:rPr>
          <w:rFonts w:ascii="宋体" w:hAnsi="宋体" w:cs="宋体"/>
          <w:b/>
          <w:color w:val="auto"/>
          <w:szCs w:val="21"/>
          <w:highlight w:val="none"/>
        </w:rPr>
      </w:pPr>
      <w:r>
        <w:rPr>
          <w:rFonts w:hint="eastAsia" w:ascii="宋体" w:hAnsi="宋体" w:cs="宋体"/>
          <w:b/>
          <w:color w:val="auto"/>
          <w:szCs w:val="21"/>
          <w:highlight w:val="none"/>
        </w:rPr>
        <w:t>甲方 ：</w:t>
      </w:r>
      <w:r>
        <w:rPr>
          <w:rFonts w:hint="eastAsia" w:ascii="宋体" w:hAnsi="宋体" w:cs="宋体"/>
          <w:b/>
          <w:color w:val="auto"/>
          <w:szCs w:val="21"/>
          <w:highlight w:val="none"/>
          <w:lang w:eastAsia="zh-CN"/>
        </w:rPr>
        <w:t>苏州市发展和改革委员会</w:t>
      </w:r>
      <w:r>
        <w:rPr>
          <w:rFonts w:hint="eastAsia" w:ascii="宋体" w:hAnsi="宋体" w:cs="宋体"/>
          <w:b/>
          <w:color w:val="auto"/>
          <w:szCs w:val="21"/>
          <w:highlight w:val="none"/>
        </w:rPr>
        <w:t xml:space="preserve"> </w:t>
      </w:r>
    </w:p>
    <w:p w14:paraId="674AFB8E">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 xml:space="preserve">联系人： </w:t>
      </w:r>
    </w:p>
    <w:p w14:paraId="075706FB">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 xml:space="preserve">联系电话：  </w:t>
      </w:r>
    </w:p>
    <w:p w14:paraId="0C11AB48">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 xml:space="preserve">地址：  </w:t>
      </w:r>
    </w:p>
    <w:p w14:paraId="4D74E150">
      <w:pPr>
        <w:adjustRightInd w:val="0"/>
        <w:snapToGrid w:val="0"/>
        <w:spacing w:line="360" w:lineRule="auto"/>
        <w:ind w:firstLine="422" w:firstLineChars="200"/>
        <w:jc w:val="left"/>
        <w:rPr>
          <w:rFonts w:ascii="宋体" w:hAnsi="宋体" w:cs="宋体"/>
          <w:bCs/>
          <w:color w:val="auto"/>
          <w:szCs w:val="21"/>
          <w:highlight w:val="none"/>
        </w:rPr>
      </w:pPr>
      <w:r>
        <w:rPr>
          <w:rFonts w:hint="eastAsia" w:ascii="宋体" w:hAnsi="宋体" w:cs="宋体"/>
          <w:b/>
          <w:color w:val="auto"/>
          <w:szCs w:val="21"/>
          <w:highlight w:val="none"/>
        </w:rPr>
        <w:t>乙方 ：</w:t>
      </w:r>
    </w:p>
    <w:p w14:paraId="24B83660">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 xml:space="preserve">联系人： </w:t>
      </w:r>
    </w:p>
    <w:p w14:paraId="6356E6A7">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 xml:space="preserve">联系电话： </w:t>
      </w:r>
    </w:p>
    <w:p w14:paraId="2B269CDF">
      <w:pPr>
        <w:kinsoku w:val="0"/>
        <w:overflowPunct w:val="0"/>
        <w:autoSpaceDE w:val="0"/>
        <w:autoSpaceDN w:val="0"/>
        <w:adjustRightInd w:val="0"/>
        <w:snapToGrid w:val="0"/>
        <w:spacing w:line="360" w:lineRule="auto"/>
        <w:ind w:right="31" w:rightChars="15" w:firstLine="420" w:firstLineChars="200"/>
        <w:jc w:val="left"/>
        <w:rPr>
          <w:color w:val="auto"/>
          <w:highlight w:val="none"/>
        </w:rPr>
      </w:pPr>
      <w:r>
        <w:rPr>
          <w:rFonts w:hint="eastAsia" w:ascii="宋体" w:hAnsi="宋体" w:cs="宋体"/>
          <w:bCs/>
          <w:color w:val="auto"/>
          <w:szCs w:val="21"/>
          <w:highlight w:val="none"/>
        </w:rPr>
        <w:t xml:space="preserve">地址： </w:t>
      </w:r>
    </w:p>
    <w:p w14:paraId="692532CA">
      <w:pPr>
        <w:kinsoku w:val="0"/>
        <w:overflowPunct w:val="0"/>
        <w:autoSpaceDE w:val="0"/>
        <w:autoSpaceDN w:val="0"/>
        <w:adjustRightInd w:val="0"/>
        <w:snapToGrid w:val="0"/>
        <w:spacing w:line="360" w:lineRule="auto"/>
        <w:ind w:right="31" w:rightChars="15" w:firstLine="420" w:firstLineChars="200"/>
        <w:jc w:val="left"/>
        <w:rPr>
          <w:rFonts w:ascii="宋体" w:hAnsi="宋体" w:cs="宋体"/>
          <w:color w:val="auto"/>
          <w:szCs w:val="21"/>
          <w:highlight w:val="none"/>
        </w:rPr>
      </w:pPr>
      <w:r>
        <w:rPr>
          <w:rFonts w:hint="eastAsia" w:ascii="宋体" w:hAnsi="宋体" w:cs="宋体"/>
          <w:color w:val="auto"/>
          <w:szCs w:val="21"/>
          <w:highlight w:val="none"/>
        </w:rPr>
        <w:t>根据《中华人民共和国政府采购法》、《中华人民共和国民法典》等相关法律法规的规定、苏州市创杰招投标咨询服务有限公司采购编号号公开招标文件及乙方的投标文件和中标通知书,甲乙双方就此次中标的</w:t>
      </w:r>
      <w:r>
        <w:rPr>
          <w:rFonts w:hint="eastAsia" w:ascii="宋体" w:hAnsi="宋体" w:cs="宋体"/>
          <w:bCs/>
          <w:color w:val="auto"/>
          <w:szCs w:val="21"/>
          <w:highlight w:val="none"/>
          <w:u w:val="single"/>
        </w:rPr>
        <w:t xml:space="preserve">    项目</w:t>
      </w:r>
      <w:r>
        <w:rPr>
          <w:rFonts w:hint="eastAsia" w:ascii="宋体" w:hAnsi="宋体" w:cs="宋体"/>
          <w:color w:val="auto"/>
          <w:szCs w:val="21"/>
          <w:highlight w:val="none"/>
        </w:rPr>
        <w:t>的购销事宜，签订本合同书。</w:t>
      </w:r>
    </w:p>
    <w:p w14:paraId="0216555E">
      <w:pPr>
        <w:numPr>
          <w:ilvl w:val="0"/>
          <w:numId w:val="6"/>
        </w:numPr>
        <w:adjustRightInd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项目内容：</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796"/>
        <w:gridCol w:w="1424"/>
        <w:gridCol w:w="921"/>
        <w:gridCol w:w="792"/>
        <w:gridCol w:w="1111"/>
        <w:gridCol w:w="898"/>
        <w:gridCol w:w="896"/>
      </w:tblGrid>
      <w:tr w14:paraId="62B5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762" w:type="dxa"/>
            <w:vAlign w:val="center"/>
          </w:tcPr>
          <w:p w14:paraId="44992443">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序号</w:t>
            </w:r>
          </w:p>
        </w:tc>
        <w:tc>
          <w:tcPr>
            <w:tcW w:w="1796" w:type="dxa"/>
            <w:vAlign w:val="center"/>
          </w:tcPr>
          <w:p w14:paraId="239923BC">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项目名称</w:t>
            </w:r>
          </w:p>
        </w:tc>
        <w:tc>
          <w:tcPr>
            <w:tcW w:w="1424" w:type="dxa"/>
            <w:vAlign w:val="center"/>
          </w:tcPr>
          <w:p w14:paraId="68F2D725">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规格、型号</w:t>
            </w:r>
          </w:p>
        </w:tc>
        <w:tc>
          <w:tcPr>
            <w:tcW w:w="921" w:type="dxa"/>
            <w:vAlign w:val="center"/>
          </w:tcPr>
          <w:p w14:paraId="070F5D83">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单位</w:t>
            </w:r>
          </w:p>
        </w:tc>
        <w:tc>
          <w:tcPr>
            <w:tcW w:w="792" w:type="dxa"/>
            <w:vAlign w:val="center"/>
          </w:tcPr>
          <w:p w14:paraId="2CFDA17B">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数量</w:t>
            </w:r>
          </w:p>
        </w:tc>
        <w:tc>
          <w:tcPr>
            <w:tcW w:w="1111" w:type="dxa"/>
            <w:vAlign w:val="center"/>
          </w:tcPr>
          <w:p w14:paraId="7C1F8711">
            <w:pPr>
              <w:widowControl/>
              <w:adjustRightInd w:val="0"/>
              <w:snapToGrid w:val="0"/>
              <w:rPr>
                <w:rFonts w:ascii="宋体" w:hAnsi="宋体" w:cs="宋体"/>
                <w:color w:val="auto"/>
                <w:kern w:val="0"/>
                <w:szCs w:val="21"/>
                <w:highlight w:val="none"/>
              </w:rPr>
            </w:pPr>
            <w:r>
              <w:rPr>
                <w:rFonts w:hint="eastAsia" w:ascii="宋体" w:hAnsi="宋体" w:cs="宋体"/>
                <w:color w:val="auto"/>
                <w:kern w:val="0"/>
                <w:szCs w:val="21"/>
                <w:highlight w:val="none"/>
              </w:rPr>
              <w:t>生产厂家</w:t>
            </w:r>
          </w:p>
        </w:tc>
        <w:tc>
          <w:tcPr>
            <w:tcW w:w="898" w:type="dxa"/>
            <w:vAlign w:val="center"/>
          </w:tcPr>
          <w:p w14:paraId="0CBC4544">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单价</w:t>
            </w:r>
          </w:p>
          <w:p w14:paraId="2AB18E18">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（元）</w:t>
            </w:r>
          </w:p>
        </w:tc>
        <w:tc>
          <w:tcPr>
            <w:tcW w:w="896" w:type="dxa"/>
            <w:vAlign w:val="center"/>
          </w:tcPr>
          <w:p w14:paraId="5F9503F8">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总价</w:t>
            </w:r>
          </w:p>
          <w:p w14:paraId="5D2D18FE">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（元）</w:t>
            </w:r>
          </w:p>
        </w:tc>
      </w:tr>
      <w:tr w14:paraId="3984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62" w:type="dxa"/>
            <w:vAlign w:val="center"/>
          </w:tcPr>
          <w:p w14:paraId="4385499E">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796" w:type="dxa"/>
            <w:vAlign w:val="center"/>
          </w:tcPr>
          <w:p w14:paraId="5AEE6484">
            <w:pPr>
              <w:widowControl/>
              <w:adjustRightInd w:val="0"/>
              <w:snapToGrid w:val="0"/>
              <w:jc w:val="center"/>
              <w:rPr>
                <w:rFonts w:ascii="宋体" w:hAnsi="宋体" w:cs="宋体"/>
                <w:color w:val="auto"/>
                <w:kern w:val="0"/>
                <w:szCs w:val="21"/>
                <w:highlight w:val="none"/>
              </w:rPr>
            </w:pPr>
          </w:p>
        </w:tc>
        <w:tc>
          <w:tcPr>
            <w:tcW w:w="1424" w:type="dxa"/>
            <w:vAlign w:val="center"/>
          </w:tcPr>
          <w:p w14:paraId="55CF4CA0">
            <w:pPr>
              <w:widowControl/>
              <w:adjustRightInd w:val="0"/>
              <w:snapToGrid w:val="0"/>
              <w:jc w:val="center"/>
              <w:rPr>
                <w:rFonts w:ascii="宋体" w:hAnsi="宋体" w:cs="宋体"/>
                <w:color w:val="auto"/>
                <w:kern w:val="0"/>
                <w:szCs w:val="21"/>
                <w:highlight w:val="none"/>
              </w:rPr>
            </w:pPr>
          </w:p>
        </w:tc>
        <w:tc>
          <w:tcPr>
            <w:tcW w:w="921" w:type="dxa"/>
            <w:vAlign w:val="center"/>
          </w:tcPr>
          <w:p w14:paraId="489F3224">
            <w:pPr>
              <w:widowControl/>
              <w:adjustRightInd w:val="0"/>
              <w:snapToGrid w:val="0"/>
              <w:jc w:val="center"/>
              <w:rPr>
                <w:rFonts w:ascii="宋体" w:hAnsi="宋体" w:cs="宋体"/>
                <w:color w:val="auto"/>
                <w:kern w:val="0"/>
                <w:szCs w:val="21"/>
                <w:highlight w:val="none"/>
              </w:rPr>
            </w:pPr>
          </w:p>
        </w:tc>
        <w:tc>
          <w:tcPr>
            <w:tcW w:w="792" w:type="dxa"/>
            <w:vAlign w:val="center"/>
          </w:tcPr>
          <w:p w14:paraId="2106713A">
            <w:pPr>
              <w:widowControl/>
              <w:adjustRightInd w:val="0"/>
              <w:snapToGrid w:val="0"/>
              <w:jc w:val="center"/>
              <w:rPr>
                <w:rFonts w:ascii="宋体" w:hAnsi="宋体" w:cs="宋体"/>
                <w:color w:val="auto"/>
                <w:kern w:val="0"/>
                <w:szCs w:val="21"/>
                <w:highlight w:val="none"/>
              </w:rPr>
            </w:pPr>
          </w:p>
        </w:tc>
        <w:tc>
          <w:tcPr>
            <w:tcW w:w="1111" w:type="dxa"/>
            <w:vAlign w:val="center"/>
          </w:tcPr>
          <w:p w14:paraId="5B9A4E2A">
            <w:pPr>
              <w:widowControl/>
              <w:jc w:val="center"/>
              <w:rPr>
                <w:rFonts w:ascii="宋体" w:hAnsi="宋体" w:cs="宋体"/>
                <w:color w:val="auto"/>
                <w:kern w:val="0"/>
                <w:szCs w:val="21"/>
                <w:highlight w:val="none"/>
              </w:rPr>
            </w:pPr>
          </w:p>
        </w:tc>
        <w:tc>
          <w:tcPr>
            <w:tcW w:w="898" w:type="dxa"/>
            <w:vAlign w:val="center"/>
          </w:tcPr>
          <w:p w14:paraId="4252A328">
            <w:pPr>
              <w:widowControl/>
              <w:jc w:val="center"/>
              <w:rPr>
                <w:rFonts w:ascii="宋体" w:hAnsi="宋体" w:cs="宋体"/>
                <w:color w:val="auto"/>
                <w:kern w:val="0"/>
                <w:szCs w:val="21"/>
                <w:highlight w:val="none"/>
              </w:rPr>
            </w:pPr>
          </w:p>
        </w:tc>
        <w:tc>
          <w:tcPr>
            <w:tcW w:w="896" w:type="dxa"/>
            <w:vAlign w:val="center"/>
          </w:tcPr>
          <w:p w14:paraId="4D8E48F0">
            <w:pPr>
              <w:widowControl/>
              <w:jc w:val="center"/>
              <w:rPr>
                <w:rFonts w:ascii="宋体" w:hAnsi="宋体" w:cs="宋体"/>
                <w:color w:val="auto"/>
                <w:kern w:val="0"/>
                <w:szCs w:val="21"/>
                <w:highlight w:val="none"/>
              </w:rPr>
            </w:pPr>
          </w:p>
        </w:tc>
      </w:tr>
      <w:tr w14:paraId="17C7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62" w:type="dxa"/>
            <w:vAlign w:val="center"/>
          </w:tcPr>
          <w:p w14:paraId="62506C2F">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1796" w:type="dxa"/>
            <w:vAlign w:val="center"/>
          </w:tcPr>
          <w:p w14:paraId="69D1C8F6">
            <w:pPr>
              <w:widowControl/>
              <w:adjustRightInd w:val="0"/>
              <w:snapToGrid w:val="0"/>
              <w:jc w:val="center"/>
              <w:rPr>
                <w:rFonts w:ascii="宋体" w:hAnsi="宋体" w:cs="宋体"/>
                <w:color w:val="auto"/>
                <w:kern w:val="0"/>
                <w:szCs w:val="21"/>
                <w:highlight w:val="none"/>
              </w:rPr>
            </w:pPr>
          </w:p>
        </w:tc>
        <w:tc>
          <w:tcPr>
            <w:tcW w:w="1424" w:type="dxa"/>
            <w:vAlign w:val="center"/>
          </w:tcPr>
          <w:p w14:paraId="3BCF4067">
            <w:pPr>
              <w:widowControl/>
              <w:adjustRightInd w:val="0"/>
              <w:snapToGrid w:val="0"/>
              <w:jc w:val="center"/>
              <w:rPr>
                <w:rFonts w:ascii="宋体" w:hAnsi="宋体" w:cs="宋体"/>
                <w:color w:val="auto"/>
                <w:kern w:val="0"/>
                <w:szCs w:val="21"/>
                <w:highlight w:val="none"/>
              </w:rPr>
            </w:pPr>
          </w:p>
        </w:tc>
        <w:tc>
          <w:tcPr>
            <w:tcW w:w="921" w:type="dxa"/>
            <w:vAlign w:val="center"/>
          </w:tcPr>
          <w:p w14:paraId="7340B449">
            <w:pPr>
              <w:widowControl/>
              <w:adjustRightInd w:val="0"/>
              <w:snapToGrid w:val="0"/>
              <w:jc w:val="center"/>
              <w:rPr>
                <w:rFonts w:ascii="宋体" w:hAnsi="宋体" w:cs="宋体"/>
                <w:color w:val="auto"/>
                <w:kern w:val="0"/>
                <w:szCs w:val="21"/>
                <w:highlight w:val="none"/>
              </w:rPr>
            </w:pPr>
          </w:p>
        </w:tc>
        <w:tc>
          <w:tcPr>
            <w:tcW w:w="792" w:type="dxa"/>
            <w:vAlign w:val="center"/>
          </w:tcPr>
          <w:p w14:paraId="1373CAE0">
            <w:pPr>
              <w:widowControl/>
              <w:adjustRightInd w:val="0"/>
              <w:snapToGrid w:val="0"/>
              <w:jc w:val="center"/>
              <w:rPr>
                <w:rFonts w:ascii="宋体" w:hAnsi="宋体" w:cs="宋体"/>
                <w:color w:val="auto"/>
                <w:kern w:val="0"/>
                <w:szCs w:val="21"/>
                <w:highlight w:val="none"/>
              </w:rPr>
            </w:pPr>
          </w:p>
        </w:tc>
        <w:tc>
          <w:tcPr>
            <w:tcW w:w="1111" w:type="dxa"/>
            <w:vAlign w:val="center"/>
          </w:tcPr>
          <w:p w14:paraId="1661BD64">
            <w:pPr>
              <w:widowControl/>
              <w:jc w:val="center"/>
              <w:rPr>
                <w:rFonts w:ascii="宋体" w:hAnsi="宋体" w:cs="宋体"/>
                <w:color w:val="auto"/>
                <w:kern w:val="0"/>
                <w:szCs w:val="21"/>
                <w:highlight w:val="none"/>
              </w:rPr>
            </w:pPr>
          </w:p>
        </w:tc>
        <w:tc>
          <w:tcPr>
            <w:tcW w:w="898" w:type="dxa"/>
            <w:vAlign w:val="center"/>
          </w:tcPr>
          <w:p w14:paraId="25764214">
            <w:pPr>
              <w:widowControl/>
              <w:jc w:val="center"/>
              <w:rPr>
                <w:rFonts w:ascii="宋体" w:hAnsi="宋体" w:cs="宋体"/>
                <w:color w:val="auto"/>
                <w:kern w:val="0"/>
                <w:szCs w:val="21"/>
                <w:highlight w:val="none"/>
              </w:rPr>
            </w:pPr>
          </w:p>
        </w:tc>
        <w:tc>
          <w:tcPr>
            <w:tcW w:w="896" w:type="dxa"/>
            <w:vAlign w:val="center"/>
          </w:tcPr>
          <w:p w14:paraId="1215764A">
            <w:pPr>
              <w:widowControl/>
              <w:jc w:val="center"/>
              <w:rPr>
                <w:rFonts w:ascii="宋体" w:hAnsi="宋体" w:cs="宋体"/>
                <w:color w:val="auto"/>
                <w:kern w:val="0"/>
                <w:szCs w:val="21"/>
                <w:highlight w:val="none"/>
              </w:rPr>
            </w:pPr>
          </w:p>
        </w:tc>
      </w:tr>
      <w:tr w14:paraId="0E30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62" w:type="dxa"/>
            <w:vAlign w:val="center"/>
          </w:tcPr>
          <w:p w14:paraId="7C5B1364">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1796" w:type="dxa"/>
            <w:vAlign w:val="center"/>
          </w:tcPr>
          <w:p w14:paraId="2F801D27">
            <w:pPr>
              <w:widowControl/>
              <w:adjustRightInd w:val="0"/>
              <w:snapToGrid w:val="0"/>
              <w:jc w:val="center"/>
              <w:rPr>
                <w:rFonts w:ascii="宋体" w:hAnsi="宋体" w:cs="宋体"/>
                <w:color w:val="auto"/>
                <w:kern w:val="0"/>
                <w:szCs w:val="21"/>
                <w:highlight w:val="none"/>
              </w:rPr>
            </w:pPr>
          </w:p>
        </w:tc>
        <w:tc>
          <w:tcPr>
            <w:tcW w:w="1424" w:type="dxa"/>
            <w:vAlign w:val="center"/>
          </w:tcPr>
          <w:p w14:paraId="1E7ECE8B">
            <w:pPr>
              <w:widowControl/>
              <w:adjustRightInd w:val="0"/>
              <w:snapToGrid w:val="0"/>
              <w:jc w:val="center"/>
              <w:rPr>
                <w:rFonts w:ascii="宋体" w:hAnsi="宋体" w:cs="宋体"/>
                <w:color w:val="auto"/>
                <w:kern w:val="0"/>
                <w:szCs w:val="21"/>
                <w:highlight w:val="none"/>
              </w:rPr>
            </w:pPr>
          </w:p>
        </w:tc>
        <w:tc>
          <w:tcPr>
            <w:tcW w:w="921" w:type="dxa"/>
            <w:vAlign w:val="center"/>
          </w:tcPr>
          <w:p w14:paraId="1EB64B05">
            <w:pPr>
              <w:widowControl/>
              <w:adjustRightInd w:val="0"/>
              <w:snapToGrid w:val="0"/>
              <w:jc w:val="center"/>
              <w:rPr>
                <w:rFonts w:ascii="宋体" w:hAnsi="宋体" w:cs="宋体"/>
                <w:color w:val="auto"/>
                <w:kern w:val="0"/>
                <w:szCs w:val="21"/>
                <w:highlight w:val="none"/>
              </w:rPr>
            </w:pPr>
          </w:p>
        </w:tc>
        <w:tc>
          <w:tcPr>
            <w:tcW w:w="792" w:type="dxa"/>
            <w:vAlign w:val="center"/>
          </w:tcPr>
          <w:p w14:paraId="39A306F0">
            <w:pPr>
              <w:widowControl/>
              <w:adjustRightInd w:val="0"/>
              <w:snapToGrid w:val="0"/>
              <w:jc w:val="center"/>
              <w:rPr>
                <w:rFonts w:ascii="宋体" w:hAnsi="宋体" w:cs="宋体"/>
                <w:color w:val="auto"/>
                <w:kern w:val="0"/>
                <w:szCs w:val="21"/>
                <w:highlight w:val="none"/>
              </w:rPr>
            </w:pPr>
          </w:p>
        </w:tc>
        <w:tc>
          <w:tcPr>
            <w:tcW w:w="1111" w:type="dxa"/>
            <w:vAlign w:val="center"/>
          </w:tcPr>
          <w:p w14:paraId="02981013">
            <w:pPr>
              <w:widowControl/>
              <w:jc w:val="center"/>
              <w:rPr>
                <w:rFonts w:ascii="宋体" w:hAnsi="宋体" w:cs="宋体"/>
                <w:color w:val="auto"/>
                <w:kern w:val="0"/>
                <w:szCs w:val="21"/>
                <w:highlight w:val="none"/>
              </w:rPr>
            </w:pPr>
          </w:p>
        </w:tc>
        <w:tc>
          <w:tcPr>
            <w:tcW w:w="898" w:type="dxa"/>
            <w:vAlign w:val="center"/>
          </w:tcPr>
          <w:p w14:paraId="42369499">
            <w:pPr>
              <w:widowControl/>
              <w:jc w:val="center"/>
              <w:rPr>
                <w:rFonts w:ascii="宋体" w:hAnsi="宋体" w:cs="宋体"/>
                <w:color w:val="auto"/>
                <w:kern w:val="0"/>
                <w:szCs w:val="21"/>
                <w:highlight w:val="none"/>
              </w:rPr>
            </w:pPr>
          </w:p>
        </w:tc>
        <w:tc>
          <w:tcPr>
            <w:tcW w:w="896" w:type="dxa"/>
            <w:vAlign w:val="center"/>
          </w:tcPr>
          <w:p w14:paraId="02582366">
            <w:pPr>
              <w:widowControl/>
              <w:jc w:val="center"/>
              <w:rPr>
                <w:rFonts w:ascii="宋体" w:hAnsi="宋体" w:cs="宋体"/>
                <w:color w:val="auto"/>
                <w:kern w:val="0"/>
                <w:szCs w:val="21"/>
                <w:highlight w:val="none"/>
              </w:rPr>
            </w:pPr>
          </w:p>
        </w:tc>
      </w:tr>
      <w:tr w14:paraId="1B45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762" w:type="dxa"/>
            <w:vAlign w:val="center"/>
          </w:tcPr>
          <w:p w14:paraId="0D9FCF5A">
            <w:pPr>
              <w:widowControl/>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796" w:type="dxa"/>
            <w:vAlign w:val="center"/>
          </w:tcPr>
          <w:p w14:paraId="183D156B">
            <w:pPr>
              <w:widowControl/>
              <w:adjustRightInd w:val="0"/>
              <w:snapToGrid w:val="0"/>
              <w:jc w:val="center"/>
              <w:rPr>
                <w:rFonts w:ascii="宋体" w:hAnsi="宋体" w:cs="宋体"/>
                <w:color w:val="auto"/>
                <w:kern w:val="0"/>
                <w:szCs w:val="21"/>
                <w:highlight w:val="none"/>
              </w:rPr>
            </w:pPr>
          </w:p>
        </w:tc>
        <w:tc>
          <w:tcPr>
            <w:tcW w:w="1424" w:type="dxa"/>
            <w:vAlign w:val="center"/>
          </w:tcPr>
          <w:p w14:paraId="46B1A353">
            <w:pPr>
              <w:widowControl/>
              <w:adjustRightInd w:val="0"/>
              <w:snapToGrid w:val="0"/>
              <w:jc w:val="center"/>
              <w:rPr>
                <w:rFonts w:ascii="宋体" w:hAnsi="宋体" w:cs="宋体"/>
                <w:color w:val="auto"/>
                <w:kern w:val="0"/>
                <w:szCs w:val="21"/>
                <w:highlight w:val="none"/>
              </w:rPr>
            </w:pPr>
          </w:p>
        </w:tc>
        <w:tc>
          <w:tcPr>
            <w:tcW w:w="921" w:type="dxa"/>
            <w:vAlign w:val="center"/>
          </w:tcPr>
          <w:p w14:paraId="23BAB256">
            <w:pPr>
              <w:widowControl/>
              <w:adjustRightInd w:val="0"/>
              <w:snapToGrid w:val="0"/>
              <w:jc w:val="center"/>
              <w:rPr>
                <w:rFonts w:ascii="宋体" w:hAnsi="宋体" w:cs="宋体"/>
                <w:color w:val="auto"/>
                <w:kern w:val="0"/>
                <w:szCs w:val="21"/>
                <w:highlight w:val="none"/>
              </w:rPr>
            </w:pPr>
          </w:p>
        </w:tc>
        <w:tc>
          <w:tcPr>
            <w:tcW w:w="792" w:type="dxa"/>
            <w:vAlign w:val="center"/>
          </w:tcPr>
          <w:p w14:paraId="1CBC82C5">
            <w:pPr>
              <w:widowControl/>
              <w:adjustRightInd w:val="0"/>
              <w:snapToGrid w:val="0"/>
              <w:jc w:val="center"/>
              <w:rPr>
                <w:rFonts w:ascii="宋体" w:hAnsi="宋体" w:cs="宋体"/>
                <w:color w:val="auto"/>
                <w:kern w:val="0"/>
                <w:szCs w:val="21"/>
                <w:highlight w:val="none"/>
              </w:rPr>
            </w:pPr>
          </w:p>
        </w:tc>
        <w:tc>
          <w:tcPr>
            <w:tcW w:w="1111" w:type="dxa"/>
            <w:vAlign w:val="center"/>
          </w:tcPr>
          <w:p w14:paraId="26152A1C">
            <w:pPr>
              <w:widowControl/>
              <w:jc w:val="center"/>
              <w:rPr>
                <w:rFonts w:ascii="宋体" w:hAnsi="宋体" w:cs="宋体"/>
                <w:color w:val="auto"/>
                <w:kern w:val="0"/>
                <w:szCs w:val="21"/>
                <w:highlight w:val="none"/>
              </w:rPr>
            </w:pPr>
          </w:p>
        </w:tc>
        <w:tc>
          <w:tcPr>
            <w:tcW w:w="898" w:type="dxa"/>
            <w:vAlign w:val="center"/>
          </w:tcPr>
          <w:p w14:paraId="1A7F405E">
            <w:pPr>
              <w:widowControl/>
              <w:jc w:val="center"/>
              <w:rPr>
                <w:rFonts w:ascii="宋体" w:hAnsi="宋体" w:cs="宋体"/>
                <w:color w:val="auto"/>
                <w:kern w:val="0"/>
                <w:szCs w:val="21"/>
                <w:highlight w:val="none"/>
              </w:rPr>
            </w:pPr>
          </w:p>
        </w:tc>
        <w:tc>
          <w:tcPr>
            <w:tcW w:w="896" w:type="dxa"/>
            <w:vAlign w:val="center"/>
          </w:tcPr>
          <w:p w14:paraId="4FE28B8B">
            <w:pPr>
              <w:widowControl/>
              <w:jc w:val="center"/>
              <w:rPr>
                <w:rFonts w:ascii="宋体" w:hAnsi="宋体" w:cs="宋体"/>
                <w:color w:val="auto"/>
                <w:kern w:val="0"/>
                <w:szCs w:val="21"/>
                <w:highlight w:val="none"/>
              </w:rPr>
            </w:pPr>
          </w:p>
        </w:tc>
      </w:tr>
      <w:tr w14:paraId="4270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8600" w:type="dxa"/>
            <w:gridSpan w:val="8"/>
            <w:vAlign w:val="center"/>
          </w:tcPr>
          <w:p w14:paraId="71AE78C7">
            <w:pPr>
              <w:widowControl/>
              <w:jc w:val="left"/>
              <w:rPr>
                <w:rFonts w:ascii="宋体" w:hAnsi="宋体" w:cs="宋体"/>
                <w:b/>
                <w:color w:val="auto"/>
                <w:kern w:val="0"/>
                <w:szCs w:val="21"/>
                <w:highlight w:val="none"/>
              </w:rPr>
            </w:pPr>
            <w:r>
              <w:rPr>
                <w:rFonts w:hint="eastAsia" w:ascii="宋体" w:hAnsi="宋体" w:cs="宋体"/>
                <w:b/>
                <w:color w:val="auto"/>
                <w:kern w:val="0"/>
                <w:szCs w:val="21"/>
                <w:highlight w:val="none"/>
              </w:rPr>
              <w:t>合计金额大写：</w:t>
            </w:r>
          </w:p>
        </w:tc>
      </w:tr>
    </w:tbl>
    <w:p w14:paraId="686F31F6">
      <w:pPr>
        <w:pStyle w:val="42"/>
        <w:ind w:firstLine="400"/>
        <w:rPr>
          <w:rFonts w:hAnsi="宋体" w:cs="宋体"/>
          <w:color w:val="auto"/>
          <w:highlight w:val="none"/>
        </w:rPr>
      </w:pPr>
    </w:p>
    <w:p w14:paraId="093F6E06">
      <w:pPr>
        <w:adjustRightInd w:val="0"/>
        <w:snapToGrid w:val="0"/>
        <w:spacing w:line="360" w:lineRule="auto"/>
        <w:rPr>
          <w:rFonts w:ascii="宋体" w:hAnsi="宋体" w:cs="宋体"/>
          <w:b/>
          <w:color w:val="auto"/>
          <w:highlight w:val="none"/>
        </w:rPr>
      </w:pPr>
      <w:r>
        <w:rPr>
          <w:rFonts w:hint="eastAsia" w:ascii="宋体" w:hAnsi="宋体" w:cs="宋体"/>
          <w:b/>
          <w:color w:val="auto"/>
          <w:highlight w:val="none"/>
        </w:rPr>
        <w:t>二、下列文件为本合同不可分割部分：</w:t>
      </w:r>
    </w:p>
    <w:p w14:paraId="4AC772AA">
      <w:pPr>
        <w:pStyle w:val="19"/>
        <w:adjustRightInd w:val="0"/>
        <w:snapToGrid w:val="0"/>
        <w:spacing w:line="360" w:lineRule="auto"/>
        <w:ind w:firstLine="420" w:firstLineChars="200"/>
        <w:rPr>
          <w:rFonts w:cs="宋体"/>
          <w:b w:val="0"/>
          <w:color w:val="auto"/>
          <w:spacing w:val="0"/>
          <w:sz w:val="21"/>
          <w:highlight w:val="none"/>
        </w:rPr>
      </w:pPr>
      <w:r>
        <w:rPr>
          <w:rFonts w:hint="eastAsia" w:cs="宋体"/>
          <w:b w:val="0"/>
          <w:color w:val="auto"/>
          <w:spacing w:val="0"/>
          <w:sz w:val="21"/>
          <w:highlight w:val="none"/>
        </w:rPr>
        <w:t>（一）中标通知书；</w:t>
      </w:r>
    </w:p>
    <w:p w14:paraId="15E847A4">
      <w:pPr>
        <w:pStyle w:val="19"/>
        <w:adjustRightInd w:val="0"/>
        <w:snapToGrid w:val="0"/>
        <w:spacing w:line="360" w:lineRule="auto"/>
        <w:ind w:firstLine="420" w:firstLineChars="200"/>
        <w:rPr>
          <w:rFonts w:cs="宋体"/>
          <w:b w:val="0"/>
          <w:color w:val="auto"/>
          <w:spacing w:val="0"/>
          <w:sz w:val="21"/>
          <w:highlight w:val="none"/>
        </w:rPr>
      </w:pPr>
      <w:r>
        <w:rPr>
          <w:rFonts w:hint="eastAsia" w:cs="宋体"/>
          <w:b w:val="0"/>
          <w:color w:val="auto"/>
          <w:spacing w:val="0"/>
          <w:sz w:val="21"/>
          <w:highlight w:val="none"/>
        </w:rPr>
        <w:t>（二）招标文件、技术要求及补充通知（如有）；</w:t>
      </w:r>
    </w:p>
    <w:p w14:paraId="7014DC20">
      <w:pPr>
        <w:pStyle w:val="19"/>
        <w:adjustRightInd w:val="0"/>
        <w:snapToGrid w:val="0"/>
        <w:spacing w:line="360" w:lineRule="auto"/>
        <w:ind w:firstLine="420" w:firstLineChars="200"/>
        <w:rPr>
          <w:rFonts w:cs="宋体"/>
          <w:b w:val="0"/>
          <w:color w:val="auto"/>
          <w:spacing w:val="0"/>
          <w:sz w:val="21"/>
          <w:highlight w:val="none"/>
        </w:rPr>
      </w:pPr>
      <w:r>
        <w:rPr>
          <w:rFonts w:hint="eastAsia" w:cs="宋体"/>
          <w:b w:val="0"/>
          <w:color w:val="auto"/>
          <w:spacing w:val="0"/>
          <w:sz w:val="21"/>
          <w:highlight w:val="none"/>
        </w:rPr>
        <w:t>（三）中标文件和其它承诺、书面澄清等；</w:t>
      </w:r>
    </w:p>
    <w:p w14:paraId="741DF380">
      <w:pPr>
        <w:pStyle w:val="19"/>
        <w:adjustRightInd w:val="0"/>
        <w:snapToGrid w:val="0"/>
        <w:spacing w:line="360" w:lineRule="auto"/>
        <w:ind w:firstLine="420" w:firstLineChars="200"/>
        <w:rPr>
          <w:rFonts w:cs="宋体"/>
          <w:b w:val="0"/>
          <w:color w:val="auto"/>
          <w:spacing w:val="0"/>
          <w:sz w:val="21"/>
          <w:highlight w:val="none"/>
        </w:rPr>
      </w:pPr>
      <w:r>
        <w:rPr>
          <w:rFonts w:hint="eastAsia" w:cs="宋体"/>
          <w:b w:val="0"/>
          <w:color w:val="auto"/>
          <w:spacing w:val="0"/>
          <w:sz w:val="21"/>
          <w:highlight w:val="none"/>
        </w:rPr>
        <w:t>（四）技术文件；</w:t>
      </w:r>
    </w:p>
    <w:p w14:paraId="1902E98B">
      <w:pPr>
        <w:pStyle w:val="19"/>
        <w:adjustRightInd w:val="0"/>
        <w:snapToGrid w:val="0"/>
        <w:spacing w:line="360" w:lineRule="auto"/>
        <w:ind w:firstLine="420" w:firstLineChars="200"/>
        <w:rPr>
          <w:rFonts w:cs="宋体"/>
          <w:b w:val="0"/>
          <w:color w:val="auto"/>
          <w:spacing w:val="0"/>
          <w:sz w:val="21"/>
          <w:highlight w:val="none"/>
        </w:rPr>
      </w:pPr>
      <w:r>
        <w:rPr>
          <w:rFonts w:hint="eastAsia" w:cs="宋体"/>
          <w:b w:val="0"/>
          <w:color w:val="auto"/>
          <w:spacing w:val="0"/>
          <w:sz w:val="21"/>
          <w:highlight w:val="none"/>
        </w:rPr>
        <w:t>（五）其他约定文件等。</w:t>
      </w:r>
    </w:p>
    <w:p w14:paraId="28894022">
      <w:pPr>
        <w:pStyle w:val="19"/>
        <w:adjustRightInd w:val="0"/>
        <w:snapToGrid w:val="0"/>
        <w:spacing w:line="360" w:lineRule="auto"/>
        <w:rPr>
          <w:rFonts w:cs="宋体"/>
          <w:color w:val="auto"/>
          <w:spacing w:val="0"/>
          <w:sz w:val="21"/>
          <w:highlight w:val="none"/>
        </w:rPr>
      </w:pPr>
      <w:r>
        <w:rPr>
          <w:rFonts w:hint="eastAsia" w:cs="宋体"/>
          <w:color w:val="auto"/>
          <w:spacing w:val="0"/>
          <w:sz w:val="21"/>
          <w:highlight w:val="none"/>
        </w:rPr>
        <w:t xml:space="preserve">三、合同价格与支付：  </w:t>
      </w:r>
    </w:p>
    <w:p w14:paraId="63B7FF61">
      <w:pPr>
        <w:tabs>
          <w:tab w:val="left" w:pos="630"/>
        </w:tabs>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（一）本合同价格为</w:t>
      </w:r>
      <w:r>
        <w:rPr>
          <w:rFonts w:hint="eastAsia" w:ascii="宋体" w:hAnsi="宋体" w:cs="宋体"/>
          <w:color w:val="auto"/>
          <w:szCs w:val="28"/>
          <w:highlight w:val="none"/>
        </w:rPr>
        <w:t>项目所在地</w:t>
      </w:r>
      <w:r>
        <w:rPr>
          <w:rFonts w:hint="eastAsia" w:ascii="宋体" w:hAnsi="宋体" w:cs="宋体"/>
          <w:color w:val="auto"/>
          <w:highlight w:val="none"/>
        </w:rPr>
        <w:t>含税价，本合同价格按人民币结算。</w:t>
      </w:r>
    </w:p>
    <w:p w14:paraId="5ED337BD">
      <w:pPr>
        <w:spacing w:line="360" w:lineRule="auto"/>
        <w:ind w:firstLine="420" w:firstLineChars="200"/>
        <w:jc w:val="left"/>
        <w:rPr>
          <w:rFonts w:ascii="宋体" w:hAnsi="宋体" w:cs="宋体"/>
          <w:color w:val="auto"/>
          <w:highlight w:val="none"/>
        </w:rPr>
      </w:pPr>
      <w:r>
        <w:rPr>
          <w:rFonts w:hint="eastAsia" w:ascii="宋体" w:hAnsi="宋体" w:cs="宋体"/>
          <w:color w:val="auto"/>
          <w:highlight w:val="none"/>
        </w:rPr>
        <w:t>（二）本合同总价为：</w:t>
      </w:r>
      <w:r>
        <w:rPr>
          <w:rFonts w:hint="eastAsia" w:ascii="宋体" w:hAnsi="宋体" w:cs="宋体"/>
          <w:b/>
          <w:color w:val="auto"/>
          <w:szCs w:val="21"/>
          <w:highlight w:val="none"/>
          <w:u w:val="single"/>
        </w:rPr>
        <w:t xml:space="preserve">         （￥    ）</w:t>
      </w:r>
      <w:r>
        <w:rPr>
          <w:rFonts w:hint="eastAsia" w:ascii="宋体" w:hAnsi="宋体" w:cs="宋体"/>
          <w:color w:val="auto"/>
          <w:highlight w:val="none"/>
        </w:rPr>
        <w:t>，合同总价</w:t>
      </w:r>
      <w:r>
        <w:rPr>
          <w:rFonts w:hint="eastAsia" w:ascii="宋体" w:hAnsi="宋体" w:cs="宋体"/>
          <w:color w:val="auto"/>
          <w:szCs w:val="21"/>
          <w:highlight w:val="none"/>
        </w:rPr>
        <w:t>包括全部</w:t>
      </w:r>
      <w:r>
        <w:rPr>
          <w:rFonts w:hint="eastAsia" w:ascii="宋体" w:hAnsi="宋体" w:cs="宋体"/>
          <w:color w:val="auto"/>
          <w:highlight w:val="none"/>
        </w:rPr>
        <w:t xml:space="preserve">产品供货、辅助材料、备品备件、运输、仓储、发货、送货、安装、调试、人工、机械、装卸、培训、保险、运费、各种税费、劳保、专利技术及质保等完成本次项目所需的一切费用。 </w:t>
      </w:r>
    </w:p>
    <w:p w14:paraId="76F5BE1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（三）付款方式：</w:t>
      </w:r>
      <w:bookmarkStart w:id="65" w:name="_Hlk166669467"/>
    </w:p>
    <w:p w14:paraId="13D53B9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1.付款步骤：</w:t>
      </w:r>
    </w:p>
    <w:bookmarkEnd w:id="65"/>
    <w:p w14:paraId="05554E73">
      <w:pPr>
        <w:autoSpaceDE w:val="0"/>
        <w:autoSpaceDN w:val="0"/>
        <w:adjustRightInd w:val="0"/>
        <w:spacing w:line="360" w:lineRule="auto"/>
        <w:ind w:firstLine="420" w:firstLineChars="200"/>
        <w:rPr>
          <w:rFonts w:ascii="宋体" w:hAnsi="宋体"/>
          <w:color w:val="auto"/>
          <w:szCs w:val="21"/>
          <w:highlight w:val="none"/>
        </w:rPr>
      </w:pPr>
      <w:r>
        <w:rPr>
          <w:rFonts w:hint="eastAsia" w:hAnsi="宋体"/>
          <w:color w:val="auto"/>
          <w:szCs w:val="21"/>
          <w:highlight w:val="none"/>
          <w:lang w:val="zh-CN"/>
        </w:rPr>
        <w:t>在政府采购合同签订生效后，待全部货物到达甲方指定地点，经验收合格，并向甲方提供下列单据（A、B、C）后，由甲方向乙方一次性</w:t>
      </w:r>
      <w:r>
        <w:rPr>
          <w:rFonts w:hint="eastAsia" w:hAnsi="宋体"/>
          <w:color w:val="auto"/>
          <w:szCs w:val="21"/>
          <w:highlight w:val="none"/>
          <w:lang w:val="en-US" w:eastAsia="zh-CN"/>
        </w:rPr>
        <w:t>支</w:t>
      </w:r>
      <w:r>
        <w:rPr>
          <w:rFonts w:hint="eastAsia" w:hAnsi="宋体"/>
          <w:color w:val="auto"/>
          <w:szCs w:val="21"/>
          <w:highlight w:val="none"/>
          <w:lang w:val="zh-CN"/>
        </w:rPr>
        <w:t>付</w:t>
      </w:r>
      <w:r>
        <w:rPr>
          <w:rFonts w:hint="eastAsia" w:hAnsi="宋体"/>
          <w:color w:val="auto"/>
          <w:szCs w:val="21"/>
          <w:highlight w:val="none"/>
          <w:lang w:val="en-US" w:eastAsia="zh-CN"/>
        </w:rPr>
        <w:t>全部款项</w:t>
      </w:r>
      <w:r>
        <w:rPr>
          <w:rFonts w:hint="eastAsia" w:ascii="宋体" w:hAnsi="宋体"/>
          <w:color w:val="auto"/>
          <w:szCs w:val="21"/>
          <w:highlight w:val="none"/>
        </w:rPr>
        <w:t>。</w:t>
      </w:r>
    </w:p>
    <w:p w14:paraId="5C56D0A3">
      <w:pPr>
        <w:widowControl/>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 xml:space="preserve">A、甲方签收的送货回单。 </w:t>
      </w:r>
    </w:p>
    <w:p w14:paraId="120BEC27">
      <w:pPr>
        <w:widowControl/>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B、正式的发票。</w:t>
      </w:r>
    </w:p>
    <w:p w14:paraId="5EE80A74">
      <w:pPr>
        <w:spacing w:line="360" w:lineRule="auto"/>
        <w:ind w:firstLine="420" w:firstLineChars="200"/>
        <w:rPr>
          <w:rFonts w:ascii="宋体" w:hAnsi="宋体"/>
          <w:color w:val="auto"/>
          <w:highlight w:val="none"/>
        </w:rPr>
      </w:pPr>
      <w:r>
        <w:rPr>
          <w:rFonts w:hint="eastAsia" w:ascii="宋体" w:hAnsi="宋体" w:cs="宋体"/>
          <w:bCs/>
          <w:color w:val="auto"/>
          <w:highlight w:val="none"/>
        </w:rPr>
        <w:t>C、由甲乙双方及招标代理机构签章的《政府采购履约验收书》</w:t>
      </w:r>
    </w:p>
    <w:p w14:paraId="1640B87F">
      <w:pPr>
        <w:autoSpaceDE w:val="0"/>
        <w:autoSpaceDN w:val="0"/>
        <w:adjustRightIn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2.付款前，乙方应开具正规合格的增值税专用发票原件提交甲方，甲方将支付相应款项。</w:t>
      </w:r>
    </w:p>
    <w:p w14:paraId="000C6BF2">
      <w:pPr>
        <w:spacing w:line="360" w:lineRule="auto"/>
        <w:ind w:right="-161" w:firstLine="420" w:firstLineChars="200"/>
        <w:rPr>
          <w:rFonts w:ascii="宋体" w:hAnsi="宋体" w:cs="宋体"/>
          <w:color w:val="auto"/>
          <w:highlight w:val="none"/>
        </w:rPr>
      </w:pPr>
      <w:r>
        <w:rPr>
          <w:rFonts w:hint="eastAsia" w:ascii="宋体" w:hAnsi="宋体"/>
          <w:color w:val="auto"/>
          <w:szCs w:val="21"/>
          <w:highlight w:val="none"/>
        </w:rPr>
        <w:t>3.</w:t>
      </w:r>
      <w:r>
        <w:rPr>
          <w:rFonts w:hint="eastAsia" w:ascii="宋体" w:hAnsi="宋体" w:cs="宋体"/>
          <w:color w:val="auto"/>
          <w:highlight w:val="none"/>
        </w:rPr>
        <w:t>付款方式：银行转账、银行汇票或转帐支票。</w:t>
      </w:r>
    </w:p>
    <w:p w14:paraId="6EE6BA5D">
      <w:pPr>
        <w:spacing w:line="360" w:lineRule="auto"/>
        <w:ind w:right="-161" w:firstLine="420" w:firstLineChars="200"/>
        <w:rPr>
          <w:rFonts w:ascii="宋体" w:hAnsi="宋体" w:cs="宋体"/>
          <w:color w:val="auto"/>
          <w:highlight w:val="none"/>
        </w:rPr>
      </w:pPr>
      <w:r>
        <w:rPr>
          <w:rFonts w:hint="eastAsia" w:ascii="宋体" w:hAnsi="宋体" w:cs="宋体"/>
          <w:color w:val="auto"/>
          <w:highlight w:val="none"/>
        </w:rPr>
        <w:t>4.乙方账户信息如下：</w:t>
      </w:r>
    </w:p>
    <w:p w14:paraId="7446E166">
      <w:pPr>
        <w:spacing w:line="360" w:lineRule="auto"/>
        <w:ind w:right="-161" w:firstLine="630" w:firstLineChars="300"/>
        <w:rPr>
          <w:rFonts w:ascii="宋体" w:hAnsi="宋体" w:cs="宋体"/>
          <w:color w:val="auto"/>
          <w:highlight w:val="none"/>
        </w:rPr>
      </w:pPr>
      <w:r>
        <w:rPr>
          <w:rFonts w:hint="eastAsia" w:ascii="宋体" w:hAnsi="宋体" w:cs="宋体"/>
          <w:color w:val="auto"/>
          <w:highlight w:val="none"/>
        </w:rPr>
        <w:t>开户名称：</w:t>
      </w:r>
    </w:p>
    <w:p w14:paraId="35ED0A19">
      <w:pPr>
        <w:spacing w:line="360" w:lineRule="auto"/>
        <w:ind w:right="-161" w:firstLine="630" w:firstLineChars="300"/>
        <w:rPr>
          <w:rFonts w:ascii="宋体" w:hAnsi="宋体" w:cs="宋体"/>
          <w:color w:val="auto"/>
          <w:highlight w:val="none"/>
        </w:rPr>
      </w:pPr>
      <w:r>
        <w:rPr>
          <w:rFonts w:hint="eastAsia" w:ascii="宋体" w:hAnsi="宋体" w:cs="宋体"/>
          <w:color w:val="auto"/>
          <w:highlight w:val="none"/>
        </w:rPr>
        <w:t>开户银行：</w:t>
      </w:r>
    </w:p>
    <w:p w14:paraId="7818C71E">
      <w:pPr>
        <w:widowControl/>
        <w:spacing w:line="360" w:lineRule="auto"/>
        <w:ind w:firstLine="630" w:firstLineChars="300"/>
        <w:rPr>
          <w:rFonts w:ascii="宋体" w:hAnsi="宋体" w:cs="宋体"/>
          <w:color w:val="auto"/>
          <w:highlight w:val="none"/>
        </w:rPr>
      </w:pPr>
      <w:r>
        <w:rPr>
          <w:rFonts w:hint="eastAsia" w:ascii="宋体" w:hAnsi="宋体" w:cs="宋体"/>
          <w:color w:val="auto"/>
          <w:highlight w:val="none"/>
        </w:rPr>
        <w:t>银行账号：</w:t>
      </w:r>
    </w:p>
    <w:p w14:paraId="0E5B1C03">
      <w:pPr>
        <w:kinsoku w:val="0"/>
        <w:overflowPunct w:val="0"/>
        <w:autoSpaceDE w:val="0"/>
        <w:autoSpaceDN w:val="0"/>
        <w:adjustRightInd w:val="0"/>
        <w:snapToGrid w:val="0"/>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 xml:space="preserve">四、交付时间、地点、方式： </w:t>
      </w:r>
    </w:p>
    <w:p w14:paraId="6250A2A2">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（一）交付方式：所有合同货物均由乙方装运至甲方指定地点，所有货物的包装费用、运输费用及运输安全均由乙方负责。货物装运后由乙方办理保险，费用已含在合同总价中。</w:t>
      </w:r>
    </w:p>
    <w:p w14:paraId="4B824EE3">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（二）交货期限：</w:t>
      </w:r>
      <w:r>
        <w:rPr>
          <w:rFonts w:hint="eastAsia" w:ascii="宋体" w:hAnsi="宋体"/>
          <w:snapToGrid w:val="0"/>
          <w:color w:val="auto"/>
          <w:kern w:val="0"/>
          <w:szCs w:val="21"/>
          <w:highlight w:val="none"/>
        </w:rPr>
        <w:t>自合同签订之日起</w:t>
      </w:r>
      <w:r>
        <w:rPr>
          <w:rFonts w:hint="eastAsia" w:ascii="宋体" w:hAnsi="宋体"/>
          <w:snapToGrid w:val="0"/>
          <w:color w:val="auto"/>
          <w:kern w:val="0"/>
          <w:szCs w:val="21"/>
          <w:highlight w:val="none"/>
          <w:lang w:val="en-US" w:eastAsia="zh-CN"/>
        </w:rPr>
        <w:t>3</w:t>
      </w:r>
      <w:r>
        <w:rPr>
          <w:rFonts w:hint="eastAsia" w:ascii="宋体" w:hAnsi="宋体"/>
          <w:snapToGrid w:val="0"/>
          <w:color w:val="auto"/>
          <w:kern w:val="0"/>
          <w:szCs w:val="21"/>
          <w:highlight w:val="none"/>
        </w:rPr>
        <w:t>0天内完成所有货物的</w:t>
      </w:r>
      <w:r>
        <w:rPr>
          <w:rFonts w:hint="eastAsia" w:ascii="宋体" w:hAnsi="宋体"/>
          <w:snapToGrid w:val="0"/>
          <w:color w:val="auto"/>
          <w:kern w:val="0"/>
          <w:szCs w:val="21"/>
          <w:highlight w:val="none"/>
          <w:lang w:val="en-US" w:eastAsia="zh-CN"/>
        </w:rPr>
        <w:t>安装调试</w:t>
      </w:r>
      <w:r>
        <w:rPr>
          <w:rFonts w:hint="eastAsia" w:ascii="宋体" w:hAnsi="宋体"/>
          <w:snapToGrid w:val="0"/>
          <w:color w:val="auto"/>
          <w:kern w:val="0"/>
          <w:szCs w:val="21"/>
          <w:highlight w:val="none"/>
        </w:rPr>
        <w:t>（具体按照</w:t>
      </w:r>
      <w:r>
        <w:rPr>
          <w:rFonts w:hint="eastAsia" w:ascii="宋体" w:hAnsi="宋体"/>
          <w:snapToGrid w:val="0"/>
          <w:color w:val="auto"/>
          <w:kern w:val="0"/>
          <w:szCs w:val="21"/>
          <w:highlight w:val="none"/>
          <w:lang w:val="en-US" w:eastAsia="zh-CN"/>
        </w:rPr>
        <w:t>甲方</w:t>
      </w:r>
      <w:r>
        <w:rPr>
          <w:rFonts w:hint="eastAsia" w:ascii="宋体" w:hAnsi="宋体"/>
          <w:snapToGrid w:val="0"/>
          <w:color w:val="auto"/>
          <w:kern w:val="0"/>
          <w:szCs w:val="21"/>
          <w:highlight w:val="none"/>
        </w:rPr>
        <w:t>要求）</w:t>
      </w:r>
      <w:r>
        <w:rPr>
          <w:rFonts w:hint="eastAsia" w:ascii="宋体" w:hAnsi="宋体" w:cs="宋体"/>
          <w:color w:val="auto"/>
          <w:highlight w:val="none"/>
        </w:rPr>
        <w:t>。</w:t>
      </w:r>
    </w:p>
    <w:p w14:paraId="55F72ADC">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（三）交货地点：苏州市发展和改革委员会</w:t>
      </w:r>
      <w:r>
        <w:rPr>
          <w:rFonts w:hint="eastAsia" w:ascii="宋体" w:hAnsi="宋体" w:cs="宋体"/>
          <w:color w:val="auto"/>
          <w:highlight w:val="none"/>
          <w:lang w:val="en-US" w:eastAsia="zh-CN"/>
        </w:rPr>
        <w:t>指定地点</w:t>
      </w:r>
      <w:r>
        <w:rPr>
          <w:rFonts w:hint="eastAsia" w:ascii="宋体" w:hAnsi="宋体" w:cs="宋体"/>
          <w:color w:val="auto"/>
          <w:highlight w:val="none"/>
        </w:rPr>
        <w:t>。</w:t>
      </w:r>
    </w:p>
    <w:p w14:paraId="4AF319E6">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四）乙方发货到甲方指定地点前，应先与甲方确认，并确定实际到场时间，乙方提前于甲方通知日期运货到现场，若发生有关现场额外的保管费等费用支出，均由乙方承担。若甲方根据现场进度，推迟货物进场时间，乙方不得因此提出任何费用增加的申请。</w:t>
      </w:r>
    </w:p>
    <w:p w14:paraId="044860A1">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（五）所有货物的外观、包装、运输应按国家规定或部颁标准执行。任何由于乙方包装及保护措施不足或不当以及其它原因造成的损坏或丢失，均由乙方负责修复或补缺。</w:t>
      </w:r>
    </w:p>
    <w:p w14:paraId="75F95AF8">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（六）货物交货时，包装须完整无破损，乙方还必须提供以下材料：</w:t>
      </w:r>
    </w:p>
    <w:p w14:paraId="246C7AA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A、货物装箱清单                    B、质量检验合格文件</w:t>
      </w:r>
    </w:p>
    <w:p w14:paraId="6A2B1A6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C、中英文技术资料                  D、使用维修保养中文说明书</w:t>
      </w:r>
    </w:p>
    <w:p w14:paraId="747E8FF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E、其它必备材料和必备工具等        F、保修单等其它必须材料</w:t>
      </w:r>
    </w:p>
    <w:p w14:paraId="688D74EC">
      <w:pPr>
        <w:spacing w:line="360" w:lineRule="auto"/>
        <w:ind w:left="99" w:leftChars="47" w:firstLine="420" w:firstLineChars="200"/>
        <w:rPr>
          <w:rFonts w:ascii="宋体" w:hAnsi="宋体" w:cs="宋体"/>
          <w:color w:val="auto"/>
          <w:highlight w:val="none"/>
        </w:rPr>
      </w:pPr>
      <w:r>
        <w:rPr>
          <w:rFonts w:hint="eastAsia" w:ascii="宋体" w:hAnsi="宋体" w:cs="宋体"/>
          <w:color w:val="auto"/>
          <w:highlight w:val="none"/>
        </w:rPr>
        <w:t>（七）如因甲方原因货物不能在规定时间内进场，乙方承诺免费提供货物寄存场所一个月，货物寄存于乙方仓库。如超过一个月时间，所产生的仓储费用双方将协商另计。</w:t>
      </w:r>
    </w:p>
    <w:p w14:paraId="63EB9B28">
      <w:pPr>
        <w:kinsoku w:val="0"/>
        <w:overflowPunct w:val="0"/>
        <w:autoSpaceDE w:val="0"/>
        <w:autoSpaceDN w:val="0"/>
        <w:adjustRightInd w:val="0"/>
        <w:snapToGrid w:val="0"/>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五、验收要求：</w:t>
      </w:r>
    </w:p>
    <w:p w14:paraId="5956AB74">
      <w:pPr>
        <w:spacing w:line="360" w:lineRule="auto"/>
        <w:ind w:firstLine="420" w:firstLineChars="200"/>
        <w:jc w:val="left"/>
        <w:rPr>
          <w:rFonts w:hint="eastAsia" w:ascii="宋体" w:hAnsi="宋体" w:cs="宋体"/>
          <w:bCs/>
          <w:color w:val="auto"/>
          <w:highlight w:val="none"/>
        </w:rPr>
      </w:pPr>
      <w:r>
        <w:rPr>
          <w:rFonts w:hint="eastAsia" w:ascii="宋体" w:hAnsi="宋体" w:cs="宋体"/>
          <w:bCs/>
          <w:color w:val="auto"/>
          <w:highlight w:val="none"/>
          <w:lang w:val="en-US" w:eastAsia="zh-CN"/>
        </w:rPr>
        <w:t>1.</w:t>
      </w:r>
      <w:r>
        <w:rPr>
          <w:rFonts w:hint="eastAsia" w:ascii="宋体" w:hAnsi="宋体" w:cs="宋体"/>
          <w:bCs/>
          <w:color w:val="auto"/>
          <w:highlight w:val="none"/>
        </w:rPr>
        <w:t>履约验收标准：根据政府采购合同要求、招标文件要求、投标文件、承诺及有关行业规定。</w:t>
      </w:r>
    </w:p>
    <w:p w14:paraId="67CE982D">
      <w:pPr>
        <w:spacing w:line="360" w:lineRule="auto"/>
        <w:ind w:firstLine="420" w:firstLineChars="200"/>
        <w:jc w:val="left"/>
        <w:rPr>
          <w:rFonts w:hint="eastAsia" w:ascii="宋体" w:hAnsi="宋体" w:cs="宋体"/>
          <w:bCs/>
          <w:color w:val="auto"/>
          <w:highlight w:val="none"/>
        </w:rPr>
      </w:pPr>
      <w:r>
        <w:rPr>
          <w:rFonts w:hint="eastAsia" w:ascii="宋体" w:hAnsi="宋体" w:cs="宋体"/>
          <w:bCs/>
          <w:color w:val="auto"/>
          <w:highlight w:val="none"/>
        </w:rPr>
        <w:t>2.履约验收主体：由甲方或委托专家（或第三方机构）组成的验收小组进行验收。</w:t>
      </w:r>
    </w:p>
    <w:p w14:paraId="61B208D1">
      <w:pPr>
        <w:spacing w:line="360" w:lineRule="auto"/>
        <w:ind w:firstLine="420" w:firstLineChars="200"/>
        <w:jc w:val="left"/>
        <w:rPr>
          <w:rFonts w:hint="eastAsia" w:ascii="宋体" w:hAnsi="宋体" w:cs="宋体"/>
          <w:bCs/>
          <w:color w:val="auto"/>
          <w:highlight w:val="none"/>
        </w:rPr>
      </w:pPr>
      <w:r>
        <w:rPr>
          <w:rFonts w:hint="eastAsia" w:ascii="宋体" w:hAnsi="宋体" w:cs="宋体"/>
          <w:bCs/>
          <w:color w:val="auto"/>
          <w:highlight w:val="none"/>
        </w:rPr>
        <w:t>3.履约验收方式：严格按照本合同约定对每一项技术、服务、安全标准的履约情况进行确认，验收结束后，出具验收书，列明各分项标准的验收情况及项目总体评价，由验收双方共同签署。相关检测（检验）费用或验收小组成员中的专业技术人员费用由乙方承担，并在报价时综合考虑。</w:t>
      </w:r>
    </w:p>
    <w:p w14:paraId="60C32F60">
      <w:pPr>
        <w:spacing w:line="360" w:lineRule="auto"/>
        <w:ind w:firstLine="420" w:firstLineChars="200"/>
        <w:jc w:val="left"/>
        <w:rPr>
          <w:rFonts w:hint="eastAsia" w:ascii="宋体" w:hAnsi="宋体" w:cs="宋体"/>
          <w:bCs/>
          <w:color w:val="auto"/>
          <w:highlight w:val="none"/>
        </w:rPr>
      </w:pPr>
      <w:r>
        <w:rPr>
          <w:rFonts w:hint="eastAsia" w:ascii="宋体" w:hAnsi="宋体" w:cs="宋体"/>
          <w:bCs/>
          <w:color w:val="auto"/>
          <w:highlight w:val="none"/>
        </w:rPr>
        <w:t>4.验收时间：</w:t>
      </w:r>
    </w:p>
    <w:p w14:paraId="32F60F93">
      <w:pPr>
        <w:spacing w:line="360" w:lineRule="auto"/>
        <w:ind w:firstLine="420" w:firstLineChars="200"/>
        <w:jc w:val="left"/>
        <w:rPr>
          <w:rFonts w:hint="eastAsia" w:ascii="宋体" w:hAnsi="宋体" w:cs="宋体"/>
          <w:bCs/>
          <w:color w:val="auto"/>
          <w:highlight w:val="none"/>
        </w:rPr>
      </w:pPr>
      <w:r>
        <w:rPr>
          <w:rFonts w:hint="eastAsia" w:ascii="宋体" w:hAnsi="宋体" w:cs="宋体"/>
          <w:bCs/>
          <w:color w:val="auto"/>
          <w:highlight w:val="none"/>
        </w:rPr>
        <w:t>4.1政府采购合同约定的履约验收条件达到时，甲方应当在 5 个工作日内启动履约验收工作，并向乙方发出《政府采购履约验收通知单》。</w:t>
      </w:r>
    </w:p>
    <w:p w14:paraId="0489E743">
      <w:pPr>
        <w:spacing w:line="360" w:lineRule="auto"/>
        <w:ind w:firstLine="420" w:firstLineChars="200"/>
        <w:jc w:val="left"/>
        <w:rPr>
          <w:rFonts w:hint="eastAsia" w:ascii="宋体" w:hAnsi="宋体" w:cs="宋体"/>
          <w:bCs/>
          <w:color w:val="auto"/>
          <w:highlight w:val="none"/>
        </w:rPr>
      </w:pPr>
      <w:r>
        <w:rPr>
          <w:rFonts w:hint="eastAsia" w:ascii="宋体" w:hAnsi="宋体" w:cs="宋体"/>
          <w:bCs/>
          <w:color w:val="auto"/>
          <w:highlight w:val="none"/>
        </w:rPr>
        <w:t>4.2在政府采购合同约定的履行验收条件达到时，乙方可以主动联系甲方启动履约验收工作。</w:t>
      </w:r>
    </w:p>
    <w:p w14:paraId="0A3D3459">
      <w:pPr>
        <w:spacing w:line="360" w:lineRule="auto"/>
        <w:ind w:firstLine="420" w:firstLineChars="200"/>
        <w:jc w:val="left"/>
        <w:rPr>
          <w:rFonts w:ascii="宋体" w:hAnsi="宋体" w:cs="宋体"/>
          <w:bCs/>
          <w:color w:val="auto"/>
          <w:highlight w:val="none"/>
        </w:rPr>
      </w:pPr>
      <w:r>
        <w:rPr>
          <w:rFonts w:hint="eastAsia" w:ascii="宋体" w:hAnsi="宋体" w:cs="宋体"/>
          <w:bCs/>
          <w:color w:val="auto"/>
          <w:highlight w:val="none"/>
        </w:rPr>
        <w:t>5.其他验收要求按照《江苏省政府采购履约验收管理办法》规定执行</w:t>
      </w:r>
      <w:r>
        <w:rPr>
          <w:rFonts w:hint="eastAsia" w:ascii="宋体" w:hAnsi="宋体" w:cs="宋体"/>
          <w:color w:val="auto"/>
          <w:szCs w:val="21"/>
          <w:highlight w:val="none"/>
        </w:rPr>
        <w:t>。</w:t>
      </w:r>
    </w:p>
    <w:p w14:paraId="13B3D0E7">
      <w:pPr>
        <w:spacing w:line="360" w:lineRule="auto"/>
        <w:rPr>
          <w:rFonts w:ascii="宋体" w:hAnsi="宋体" w:cs="宋体"/>
          <w:b/>
          <w:color w:val="auto"/>
          <w:highlight w:val="none"/>
        </w:rPr>
      </w:pPr>
      <w:r>
        <w:rPr>
          <w:rFonts w:hint="eastAsia" w:ascii="宋体" w:hAnsi="宋体" w:cs="宋体"/>
          <w:b/>
          <w:color w:val="auto"/>
          <w:highlight w:val="none"/>
        </w:rPr>
        <w:t>六、售后服务及其他要求：</w:t>
      </w:r>
    </w:p>
    <w:p w14:paraId="7176A948">
      <w:pPr>
        <w:tabs>
          <w:tab w:val="left" w:pos="630"/>
        </w:tabs>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rPr>
        <w:t>（一）具体按招标文件售后服务条款。</w:t>
      </w:r>
    </w:p>
    <w:p w14:paraId="17C1B697">
      <w:pPr>
        <w:tabs>
          <w:tab w:val="left" w:pos="900"/>
        </w:tabs>
        <w:spacing w:line="360" w:lineRule="auto"/>
        <w:ind w:firstLine="420" w:firstLineChars="200"/>
        <w:rPr>
          <w:rFonts w:ascii="宋体" w:hAnsi="宋体" w:cs="宋体"/>
          <w:color w:val="auto"/>
          <w:highlight w:val="none"/>
        </w:rPr>
      </w:pPr>
      <w:r>
        <w:rPr>
          <w:rFonts w:hint="eastAsia" w:ascii="宋体" w:hAnsi="宋体" w:cs="宋体"/>
          <w:color w:val="auto"/>
          <w:highlight w:val="none"/>
        </w:rPr>
        <w:t>（二）其他要求按乙方投标文件承诺的条款执行。</w:t>
      </w:r>
    </w:p>
    <w:p w14:paraId="2824BF91">
      <w:pPr>
        <w:spacing w:line="360" w:lineRule="auto"/>
        <w:rPr>
          <w:rFonts w:ascii="宋体" w:hAnsi="宋体" w:cs="宋体"/>
          <w:bCs/>
          <w:color w:val="auto"/>
          <w:highlight w:val="none"/>
        </w:rPr>
      </w:pPr>
      <w:r>
        <w:rPr>
          <w:rFonts w:hint="eastAsia" w:ascii="宋体" w:hAnsi="宋体" w:cs="宋体"/>
          <w:b/>
          <w:bCs/>
          <w:color w:val="auto"/>
          <w:szCs w:val="28"/>
          <w:highlight w:val="none"/>
          <w:lang w:val="en-US" w:eastAsia="zh-CN"/>
        </w:rPr>
        <w:t>七</w:t>
      </w:r>
      <w:r>
        <w:rPr>
          <w:rFonts w:hint="eastAsia" w:ascii="宋体" w:hAnsi="宋体" w:cs="宋体"/>
          <w:b/>
          <w:bCs/>
          <w:color w:val="auto"/>
          <w:szCs w:val="28"/>
          <w:highlight w:val="none"/>
          <w:lang w:val="zh-CN"/>
        </w:rPr>
        <w:t>、</w:t>
      </w:r>
      <w:r>
        <w:rPr>
          <w:rFonts w:hint="eastAsia" w:ascii="宋体" w:hAnsi="宋体" w:cs="宋体"/>
          <w:b/>
          <w:color w:val="auto"/>
          <w:highlight w:val="none"/>
        </w:rPr>
        <w:t>合同生效及其它</w:t>
      </w:r>
    </w:p>
    <w:p w14:paraId="651B8374">
      <w:pPr>
        <w:spacing w:line="360" w:lineRule="auto"/>
        <w:ind w:firstLine="422"/>
        <w:rPr>
          <w:rFonts w:ascii="宋体" w:hAnsi="宋体" w:cs="宋体"/>
          <w:color w:val="auto"/>
          <w:highlight w:val="none"/>
          <w:lang w:val="zh-CN"/>
        </w:rPr>
      </w:pPr>
      <w:r>
        <w:rPr>
          <w:rFonts w:hint="eastAsia" w:ascii="宋体" w:hAnsi="宋体" w:cs="宋体"/>
          <w:color w:val="auto"/>
          <w:highlight w:val="none"/>
        </w:rPr>
        <w:t xml:space="preserve"> 1、</w:t>
      </w:r>
      <w:r>
        <w:rPr>
          <w:rFonts w:hint="eastAsia" w:ascii="宋体" w:hAnsi="宋体" w:cs="宋体"/>
          <w:color w:val="auto"/>
          <w:highlight w:val="none"/>
          <w:lang w:val="zh-CN"/>
        </w:rPr>
        <w:t>本合同经甲乙双方法定代表人或其委托代理人签字并加盖公章（或合同章）后生效，</w:t>
      </w:r>
      <w:r>
        <w:rPr>
          <w:rFonts w:hint="eastAsia" w:ascii="宋体" w:hAnsi="宋体" w:cs="宋体"/>
          <w:color w:val="auto"/>
          <w:highlight w:val="none"/>
        </w:rPr>
        <w:t>生效后的合同在2个工作日内上传系统公示</w:t>
      </w:r>
      <w:r>
        <w:rPr>
          <w:rFonts w:hint="eastAsia" w:ascii="宋体" w:hAnsi="宋体" w:cs="宋体"/>
          <w:color w:val="auto"/>
          <w:highlight w:val="none"/>
          <w:lang w:val="zh-CN"/>
        </w:rPr>
        <w:t>。</w:t>
      </w:r>
    </w:p>
    <w:p w14:paraId="6D1362C2">
      <w:pPr>
        <w:spacing w:line="360" w:lineRule="auto"/>
        <w:ind w:firstLine="422"/>
        <w:rPr>
          <w:rFonts w:ascii="宋体" w:hAnsi="宋体" w:cs="宋体"/>
          <w:color w:val="auto"/>
          <w:highlight w:val="none"/>
        </w:rPr>
      </w:pPr>
      <w:r>
        <w:rPr>
          <w:rFonts w:hint="eastAsia" w:ascii="宋体" w:hAnsi="宋体" w:cs="宋体"/>
          <w:color w:val="auto"/>
          <w:highlight w:val="none"/>
        </w:rPr>
        <w:t xml:space="preserve">  2、合同在执行过程中出现的未尽事宜，双方在不违背本合同和招标文件的原则下协商解决，协商结果以书面形式盖章记录在案，作为本合同的附件，与本合同具有同等效力，但需向招标代理机构和政府采购管理部门提交一份备存。</w:t>
      </w:r>
    </w:p>
    <w:p w14:paraId="6D1E8A49">
      <w:pPr>
        <w:spacing w:line="360" w:lineRule="auto"/>
        <w:ind w:firstLine="422"/>
        <w:rPr>
          <w:rFonts w:ascii="宋体" w:hAnsi="宋体" w:cs="宋体"/>
          <w:color w:val="auto"/>
          <w:highlight w:val="none"/>
        </w:rPr>
      </w:pPr>
      <w:r>
        <w:rPr>
          <w:rFonts w:hint="eastAsia" w:ascii="宋体" w:hAnsi="宋体" w:cs="宋体"/>
          <w:color w:val="auto"/>
          <w:highlight w:val="none"/>
        </w:rPr>
        <w:t>3、未尽事宜：本合同未尽事宜应按《中华人民共和国民法典》、《中华人民共和国政府采购法》以及其同相关法律、法规之规定解释。</w:t>
      </w:r>
    </w:p>
    <w:p w14:paraId="41B04FFF">
      <w:pPr>
        <w:spacing w:line="360" w:lineRule="auto"/>
        <w:ind w:firstLine="422"/>
        <w:rPr>
          <w:rFonts w:ascii="宋体" w:hAnsi="宋体" w:cs="宋体"/>
          <w:color w:val="auto"/>
          <w:highlight w:val="none"/>
          <w:lang w:val="zh-CN"/>
        </w:rPr>
      </w:pPr>
      <w:r>
        <w:rPr>
          <w:rFonts w:hint="eastAsia" w:ascii="宋体" w:hAnsi="宋体" w:cs="宋体"/>
          <w:color w:val="auto"/>
          <w:highlight w:val="none"/>
        </w:rPr>
        <w:t>4、本合同一式肆份，甲方贰份、乙方壹份、招标代理机构执壹份，具备同等法律效力</w:t>
      </w:r>
      <w:r>
        <w:rPr>
          <w:rFonts w:hint="eastAsia" w:ascii="宋体" w:hAnsi="宋体" w:cs="宋体"/>
          <w:color w:val="auto"/>
          <w:highlight w:val="none"/>
          <w:lang w:val="zh-CN"/>
        </w:rPr>
        <w:t>。</w:t>
      </w:r>
    </w:p>
    <w:p w14:paraId="57DB594B">
      <w:pPr>
        <w:pStyle w:val="42"/>
        <w:ind w:firstLine="400"/>
        <w:rPr>
          <w:color w:val="auto"/>
          <w:highlight w:val="none"/>
          <w:lang w:val="zh-CN"/>
        </w:rPr>
      </w:pPr>
    </w:p>
    <w:p w14:paraId="4CE8A500">
      <w:pPr>
        <w:tabs>
          <w:tab w:val="left" w:pos="0"/>
        </w:tabs>
        <w:autoSpaceDE w:val="0"/>
        <w:autoSpaceDN w:val="0"/>
        <w:spacing w:line="480" w:lineRule="auto"/>
        <w:rPr>
          <w:rFonts w:ascii="宋体" w:hAnsi="宋体"/>
          <w:b/>
          <w:bCs/>
          <w:color w:val="auto"/>
          <w:szCs w:val="21"/>
          <w:highlight w:val="none"/>
        </w:rPr>
      </w:pPr>
      <w:r>
        <w:rPr>
          <w:rFonts w:hint="eastAsia" w:ascii="宋体" w:hAnsi="宋体"/>
          <w:b/>
          <w:bCs/>
          <w:color w:val="auto"/>
          <w:szCs w:val="21"/>
          <w:highlight w:val="none"/>
          <w:lang w:val="zh-CN"/>
        </w:rPr>
        <w:t>甲方</w:t>
      </w:r>
      <w:r>
        <w:rPr>
          <w:rFonts w:ascii="宋体" w:hAnsi="宋体"/>
          <w:b/>
          <w:bCs/>
          <w:color w:val="auto"/>
          <w:szCs w:val="21"/>
          <w:highlight w:val="none"/>
        </w:rPr>
        <w:t>(</w:t>
      </w:r>
      <w:r>
        <w:rPr>
          <w:rFonts w:hint="eastAsia" w:ascii="宋体" w:hAnsi="宋体"/>
          <w:b/>
          <w:bCs/>
          <w:color w:val="auto"/>
          <w:szCs w:val="21"/>
          <w:highlight w:val="none"/>
          <w:lang w:val="zh-CN"/>
        </w:rPr>
        <w:t>公章或合同章</w:t>
      </w:r>
      <w:r>
        <w:rPr>
          <w:rFonts w:ascii="宋体" w:hAnsi="宋体"/>
          <w:b/>
          <w:bCs/>
          <w:color w:val="auto"/>
          <w:szCs w:val="21"/>
          <w:highlight w:val="none"/>
        </w:rPr>
        <w:t>)</w:t>
      </w:r>
      <w:r>
        <w:rPr>
          <w:rFonts w:hint="eastAsia" w:ascii="宋体" w:hAnsi="宋体"/>
          <w:b/>
          <w:bCs/>
          <w:color w:val="auto"/>
          <w:szCs w:val="21"/>
          <w:highlight w:val="none"/>
        </w:rPr>
        <w:t xml:space="preserve">：                        </w:t>
      </w:r>
      <w:r>
        <w:rPr>
          <w:rFonts w:hint="eastAsia" w:ascii="宋体" w:hAnsi="宋体"/>
          <w:b/>
          <w:bCs/>
          <w:color w:val="auto"/>
          <w:szCs w:val="21"/>
          <w:highlight w:val="none"/>
          <w:lang w:val="zh-CN"/>
        </w:rPr>
        <w:t>乙方</w:t>
      </w:r>
      <w:r>
        <w:rPr>
          <w:rFonts w:hint="eastAsia" w:ascii="宋体" w:hAnsi="宋体"/>
          <w:b/>
          <w:bCs/>
          <w:color w:val="auto"/>
          <w:szCs w:val="21"/>
          <w:highlight w:val="none"/>
        </w:rPr>
        <w:t>（</w:t>
      </w:r>
      <w:r>
        <w:rPr>
          <w:rFonts w:hint="eastAsia" w:ascii="宋体" w:hAnsi="宋体"/>
          <w:b/>
          <w:bCs/>
          <w:color w:val="auto"/>
          <w:szCs w:val="21"/>
          <w:highlight w:val="none"/>
          <w:lang w:val="zh-CN"/>
        </w:rPr>
        <w:t>公章或合同章</w:t>
      </w:r>
      <w:r>
        <w:rPr>
          <w:rFonts w:hint="eastAsia" w:ascii="宋体" w:hAnsi="宋体"/>
          <w:b/>
          <w:bCs/>
          <w:color w:val="auto"/>
          <w:szCs w:val="21"/>
          <w:highlight w:val="none"/>
        </w:rPr>
        <w:t>）：</w:t>
      </w:r>
    </w:p>
    <w:p w14:paraId="55500656">
      <w:pPr>
        <w:pStyle w:val="42"/>
        <w:ind w:firstLine="400"/>
        <w:rPr>
          <w:color w:val="auto"/>
          <w:highlight w:val="none"/>
        </w:rPr>
      </w:pPr>
    </w:p>
    <w:p w14:paraId="0FEF01C9">
      <w:pPr>
        <w:tabs>
          <w:tab w:val="left" w:pos="0"/>
        </w:tabs>
        <w:autoSpaceDE w:val="0"/>
        <w:autoSpaceDN w:val="0"/>
        <w:spacing w:line="480" w:lineRule="auto"/>
        <w:rPr>
          <w:rFonts w:ascii="宋体" w:hAnsi="宋体"/>
          <w:b/>
          <w:bCs/>
          <w:color w:val="auto"/>
          <w:szCs w:val="21"/>
          <w:highlight w:val="none"/>
          <w:lang w:val="zh-CN"/>
        </w:rPr>
      </w:pPr>
      <w:r>
        <w:rPr>
          <w:rFonts w:hint="eastAsia" w:ascii="宋体" w:hAnsi="宋体"/>
          <w:b/>
          <w:bCs/>
          <w:color w:val="auto"/>
          <w:szCs w:val="21"/>
          <w:highlight w:val="none"/>
        </w:rPr>
        <w:t>法定代表人或</w:t>
      </w:r>
      <w:r>
        <w:rPr>
          <w:rFonts w:hint="eastAsia" w:ascii="宋体" w:hAnsi="宋体"/>
          <w:b/>
          <w:bCs/>
          <w:color w:val="auto"/>
          <w:szCs w:val="21"/>
          <w:highlight w:val="none"/>
          <w:lang w:val="zh-CN"/>
        </w:rPr>
        <w:t>授权代理人（签字或盖章）：</w:t>
      </w:r>
      <w:r>
        <w:rPr>
          <w:rFonts w:ascii="宋体" w:hAnsi="宋体"/>
          <w:b/>
          <w:bCs/>
          <w:color w:val="auto"/>
          <w:szCs w:val="21"/>
          <w:highlight w:val="none"/>
          <w:lang w:val="zh-CN"/>
        </w:rPr>
        <w:tab/>
      </w:r>
      <w:r>
        <w:rPr>
          <w:rFonts w:ascii="宋体" w:hAnsi="宋体"/>
          <w:b/>
          <w:bCs/>
          <w:color w:val="auto"/>
          <w:szCs w:val="21"/>
          <w:highlight w:val="none"/>
          <w:lang w:val="zh-CN"/>
        </w:rPr>
        <w:tab/>
      </w:r>
      <w:r>
        <w:rPr>
          <w:rFonts w:hint="eastAsia" w:ascii="宋体" w:hAnsi="宋体"/>
          <w:b/>
          <w:bCs/>
          <w:color w:val="auto"/>
          <w:szCs w:val="21"/>
          <w:highlight w:val="none"/>
        </w:rPr>
        <w:t>法定代表人或</w:t>
      </w:r>
      <w:r>
        <w:rPr>
          <w:rFonts w:hint="eastAsia" w:ascii="宋体" w:hAnsi="宋体"/>
          <w:b/>
          <w:bCs/>
          <w:color w:val="auto"/>
          <w:szCs w:val="21"/>
          <w:highlight w:val="none"/>
          <w:lang w:val="zh-CN"/>
        </w:rPr>
        <w:t>授权代理人（签字或盖章）：</w:t>
      </w:r>
      <w:r>
        <w:rPr>
          <w:rFonts w:ascii="宋体" w:hAnsi="宋体"/>
          <w:b/>
          <w:bCs/>
          <w:color w:val="auto"/>
          <w:szCs w:val="21"/>
          <w:highlight w:val="none"/>
          <w:lang w:val="zh-CN"/>
        </w:rPr>
        <w:tab/>
      </w:r>
    </w:p>
    <w:p w14:paraId="22EF7751">
      <w:pPr>
        <w:pStyle w:val="43"/>
        <w:ind w:firstLine="420"/>
        <w:rPr>
          <w:color w:val="auto"/>
          <w:highlight w:val="none"/>
        </w:rPr>
      </w:pPr>
    </w:p>
    <w:p w14:paraId="3FA13E01">
      <w:pPr>
        <w:spacing w:line="360" w:lineRule="auto"/>
        <w:rPr>
          <w:rFonts w:ascii="宋体" w:hAnsi="宋体" w:cs="宋体"/>
          <w:color w:val="auto"/>
          <w:kern w:val="0"/>
          <w:szCs w:val="21"/>
          <w:highlight w:val="none"/>
        </w:rPr>
      </w:pPr>
      <w:r>
        <w:rPr>
          <w:rFonts w:hint="eastAsia" w:ascii="宋体" w:hAnsi="宋体"/>
          <w:b/>
          <w:bCs/>
          <w:color w:val="auto"/>
          <w:szCs w:val="21"/>
          <w:highlight w:val="none"/>
        </w:rPr>
        <w:t xml:space="preserve">合同签订日期： </w:t>
      </w:r>
      <w:r>
        <w:rPr>
          <w:rFonts w:hint="eastAsia" w:ascii="宋体" w:hAnsi="宋体"/>
          <w:b/>
          <w:bCs/>
          <w:color w:val="auto"/>
          <w:szCs w:val="21"/>
          <w:highlight w:val="none"/>
          <w:lang w:val="zh-CN"/>
        </w:rPr>
        <w:t xml:space="preserve">     年月日                  </w:t>
      </w:r>
      <w:r>
        <w:rPr>
          <w:rFonts w:hint="eastAsia" w:ascii="宋体" w:hAnsi="宋体"/>
          <w:b/>
          <w:bCs/>
          <w:color w:val="auto"/>
          <w:szCs w:val="21"/>
          <w:highlight w:val="none"/>
        </w:rPr>
        <w:t xml:space="preserve">合同签订日期： </w:t>
      </w:r>
      <w:r>
        <w:rPr>
          <w:rFonts w:hint="eastAsia" w:ascii="宋体" w:hAnsi="宋体"/>
          <w:b/>
          <w:bCs/>
          <w:color w:val="auto"/>
          <w:szCs w:val="21"/>
          <w:highlight w:val="none"/>
          <w:lang w:val="zh-CN"/>
        </w:rPr>
        <w:t xml:space="preserve">     年月日</w:t>
      </w:r>
    </w:p>
    <w:p w14:paraId="15D52EE1">
      <w:pPr>
        <w:pStyle w:val="21"/>
        <w:spacing w:line="360" w:lineRule="auto"/>
        <w:ind w:firstLine="522"/>
        <w:rPr>
          <w:color w:val="auto"/>
          <w:highlight w:val="none"/>
        </w:rPr>
      </w:pPr>
    </w:p>
    <w:p w14:paraId="1EDB22E3">
      <w:pPr>
        <w:pStyle w:val="21"/>
        <w:spacing w:line="360" w:lineRule="auto"/>
        <w:ind w:firstLine="522"/>
        <w:rPr>
          <w:color w:val="auto"/>
          <w:highlight w:val="none"/>
        </w:rPr>
      </w:pPr>
    </w:p>
    <w:p w14:paraId="3E1ECA56">
      <w:pPr>
        <w:pStyle w:val="23"/>
        <w:pageBreakBefore/>
        <w:tabs>
          <w:tab w:val="right" w:leader="dot" w:pos="8302"/>
        </w:tabs>
        <w:spacing w:line="360" w:lineRule="auto"/>
        <w:ind w:firstLine="640"/>
        <w:jc w:val="center"/>
        <w:rPr>
          <w:rFonts w:ascii="宋体" w:hAnsi="宋体" w:eastAsia="宋体" w:cs="宋体"/>
          <w:b/>
          <w:color w:val="auto"/>
          <w:sz w:val="32"/>
          <w:szCs w:val="32"/>
          <w:highlight w:val="none"/>
        </w:rPr>
      </w:pPr>
      <w:r>
        <w:rPr>
          <w:rStyle w:val="34"/>
          <w:rFonts w:hint="eastAsia" w:ascii="宋体" w:hAnsi="宋体" w:cs="宋体"/>
          <w:color w:val="auto"/>
          <w:sz w:val="32"/>
          <w:szCs w:val="32"/>
          <w:highlight w:val="none"/>
        </w:rPr>
        <w:t>第七章  评标办法及评分标准</w:t>
      </w:r>
    </w:p>
    <w:p w14:paraId="3C4596F7">
      <w:pPr>
        <w:autoSpaceDE w:val="0"/>
        <w:autoSpaceDN w:val="0"/>
        <w:adjustRightInd w:val="0"/>
        <w:snapToGrid w:val="0"/>
        <w:spacing w:line="360" w:lineRule="auto"/>
        <w:rPr>
          <w:rFonts w:ascii="宋体" w:hAnsi="宋体" w:cs="宋体"/>
          <w:b/>
          <w:color w:val="auto"/>
          <w:szCs w:val="21"/>
          <w:highlight w:val="none"/>
          <w:lang w:val="zh-CN"/>
        </w:rPr>
      </w:pPr>
      <w:r>
        <w:rPr>
          <w:rFonts w:hint="eastAsia" w:ascii="宋体" w:hAnsi="宋体" w:cs="宋体"/>
          <w:b/>
          <w:color w:val="auto"/>
          <w:szCs w:val="21"/>
          <w:highlight w:val="none"/>
          <w:lang w:val="zh-CN"/>
        </w:rPr>
        <w:t>一、评标办法：</w:t>
      </w:r>
    </w:p>
    <w:p w14:paraId="263D270A">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1．本次招标评标采用综合评分法，即在响应招标文件实质性要求前提下，按照招标文件中规定的评分标准和各项因素进行综合评审后，以评标总得分最高的投标单位作为中标单位。</w:t>
      </w:r>
    </w:p>
    <w:p w14:paraId="6B9CDD4B">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 xml:space="preserve">2．评标委员会各成员独立对每个进入打分程序的有效投标单位的标书技术和资质部分以打分的形式进行评审和评价。 </w:t>
      </w:r>
    </w:p>
    <w:p w14:paraId="23DF80B1">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rPr>
        <w:t xml:space="preserve">3．对评委的评分(除价格分外)进行统计汇总，直接算术平均计算得分，计算出每个投标单位的得分（四舍五入保留两位小数），加上价格得分即为每个投标单位的综合得分（四舍五入保留两位小数）。 </w:t>
      </w:r>
    </w:p>
    <w:p w14:paraId="1621D7E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4．如出现评标总得分最高的投标单位有两个或两个以上的，以实际投标报价较低者优先作为中标单位，如果实际投标报价也相同的，则由评标委员会以抽签方式确定中标单位。</w:t>
      </w:r>
    </w:p>
    <w:p w14:paraId="511031EC">
      <w:pPr>
        <w:spacing w:line="360" w:lineRule="auto"/>
        <w:ind w:firstLine="420" w:firstLineChars="200"/>
        <w:rPr>
          <w:rFonts w:ascii="宋体" w:hAnsi="宋体"/>
          <w:b/>
          <w:color w:val="auto"/>
          <w:highlight w:val="none"/>
        </w:rPr>
      </w:pPr>
      <w:r>
        <w:rPr>
          <w:rFonts w:hint="eastAsia" w:ascii="宋体" w:hAnsi="宋体" w:cs="宋体"/>
          <w:color w:val="auto"/>
          <w:szCs w:val="21"/>
          <w:highlight w:val="none"/>
        </w:rPr>
        <w:t>5.</w:t>
      </w:r>
      <w:r>
        <w:rPr>
          <w:rFonts w:hint="eastAsia" w:ascii="宋体" w:hAnsi="宋体" w:cs="宋体"/>
          <w:b/>
          <w:bCs/>
          <w:color w:val="auto"/>
          <w:szCs w:val="21"/>
          <w:highlight w:val="none"/>
        </w:rPr>
        <w:t>本项目核心产品为序号</w:t>
      </w:r>
      <w:r>
        <w:rPr>
          <w:rFonts w:hint="eastAsia" w:ascii="宋体" w:hAnsi="宋体" w:cs="宋体"/>
          <w:b/>
          <w:bCs/>
          <w:color w:val="auto"/>
          <w:szCs w:val="21"/>
          <w:highlight w:val="none"/>
          <w:lang w:val="en-US" w:eastAsia="zh-CN"/>
        </w:rPr>
        <w:t>3</w:t>
      </w:r>
      <w:r>
        <w:rPr>
          <w:rFonts w:hint="eastAsia" w:ascii="宋体" w:hAnsi="宋体" w:cs="宋体"/>
          <w:b/>
          <w:bCs/>
          <w:color w:val="auto"/>
          <w:szCs w:val="21"/>
          <w:highlight w:val="none"/>
        </w:rPr>
        <w:t>场地照明灯</w:t>
      </w:r>
      <w:r>
        <w:rPr>
          <w:rFonts w:hint="eastAsia" w:ascii="宋体" w:hAnsi="宋体" w:cs="宋体"/>
          <w:color w:val="auto"/>
          <w:szCs w:val="21"/>
          <w:highlight w:val="none"/>
        </w:rPr>
        <w:t>。</w:t>
      </w:r>
      <w:r>
        <w:rPr>
          <w:rFonts w:hint="eastAsia" w:ascii="宋体" w:hAnsi="宋体"/>
          <w:color w:val="auto"/>
          <w:highlight w:val="none"/>
        </w:rPr>
        <w:t>使用综合评分法的采购项目，提供相同品牌产品且通过资格审查、符合性审查的不同投标人参加同一合同项下投标的，按一家投标人计算，评审后得分最高的同品牌投标人获得中标人推荐资格。</w:t>
      </w:r>
      <w:r>
        <w:rPr>
          <w:rFonts w:hint="eastAsia" w:ascii="宋体" w:hAnsi="宋体"/>
          <w:b/>
          <w:color w:val="auto"/>
          <w:highlight w:val="none"/>
        </w:rPr>
        <w:t>非单一产品采购项目，多家投标人提供的核心产品品牌相同的，按照此规定处理。</w:t>
      </w:r>
    </w:p>
    <w:p w14:paraId="7E52BC02">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lang w:val="zh-CN"/>
        </w:rPr>
        <w:t>二、评分标准：</w:t>
      </w:r>
    </w:p>
    <w:p w14:paraId="6D25E852">
      <w:pPr>
        <w:adjustRightInd w:val="0"/>
        <w:snapToGrid w:val="0"/>
        <w:spacing w:line="360" w:lineRule="auto"/>
        <w:ind w:firstLine="422"/>
        <w:rPr>
          <w:rFonts w:ascii="宋体" w:hAnsi="宋体" w:cs="宋体"/>
          <w:color w:val="auto"/>
          <w:szCs w:val="21"/>
          <w:highlight w:val="none"/>
        </w:rPr>
      </w:pPr>
      <w:r>
        <w:rPr>
          <w:rFonts w:hint="eastAsia" w:ascii="宋体" w:hAnsi="宋体" w:cs="宋体"/>
          <w:b/>
          <w:bCs/>
          <w:color w:val="auto"/>
          <w:szCs w:val="21"/>
          <w:highlight w:val="none"/>
          <w:lang w:val="zh-CN"/>
        </w:rPr>
        <w:t>（一）价格分：最高为30分</w:t>
      </w:r>
    </w:p>
    <w:p w14:paraId="60E6B720">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lang w:val="zh-CN"/>
        </w:rPr>
        <w:t>第一步：投标总报价低于或等于采购预算</w:t>
      </w:r>
      <w:r>
        <w:rPr>
          <w:rFonts w:hint="eastAsia" w:ascii="宋体" w:hAnsi="宋体" w:cs="宋体"/>
          <w:color w:val="auto"/>
          <w:szCs w:val="21"/>
          <w:highlight w:val="none"/>
          <w:lang w:val="en-US" w:eastAsia="zh-CN"/>
        </w:rPr>
        <w:t>及单价最高限价</w:t>
      </w:r>
      <w:r>
        <w:rPr>
          <w:rFonts w:hint="eastAsia" w:ascii="宋体" w:hAnsi="宋体" w:cs="宋体"/>
          <w:color w:val="auto"/>
          <w:szCs w:val="21"/>
          <w:highlight w:val="none"/>
          <w:lang w:val="zh-CN"/>
        </w:rPr>
        <w:t>的，为有效投标报价。超采购预算</w:t>
      </w:r>
      <w:r>
        <w:rPr>
          <w:rFonts w:hint="eastAsia" w:ascii="宋体" w:hAnsi="宋体" w:cs="宋体"/>
          <w:color w:val="auto"/>
          <w:szCs w:val="21"/>
          <w:highlight w:val="none"/>
          <w:lang w:val="en-US" w:eastAsia="zh-CN"/>
        </w:rPr>
        <w:t>及单价最高限价</w:t>
      </w:r>
      <w:r>
        <w:rPr>
          <w:rFonts w:hint="eastAsia" w:ascii="宋体" w:hAnsi="宋体" w:cs="宋体"/>
          <w:color w:val="auto"/>
          <w:szCs w:val="21"/>
          <w:highlight w:val="none"/>
          <w:lang w:val="zh-CN"/>
        </w:rPr>
        <w:t>的投标报价为无效投标报价。无效投标报价的投标文件不得中标。</w:t>
      </w:r>
    </w:p>
    <w:p w14:paraId="24DB987F">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lang w:val="zh-CN"/>
        </w:rPr>
        <w:t>第二步：价格分采用低价优先法计算，即满足招标文件要求且投标价格最低的投标报价为评标基准价（报价按评审价格调整后的价格为最低价的作为评标基准价，中标金额则以实际投标报价为准），其价格分为满分。其他投标人的价格分统一按照下列公式计算：</w:t>
      </w:r>
    </w:p>
    <w:p w14:paraId="2A6DE667">
      <w:pPr>
        <w:adjustRightInd w:val="0"/>
        <w:snapToGrid w:val="0"/>
        <w:spacing w:line="360" w:lineRule="auto"/>
        <w:ind w:firstLine="422"/>
        <w:rPr>
          <w:rFonts w:ascii="宋体" w:hAnsi="宋体" w:cs="宋体"/>
          <w:color w:val="auto"/>
          <w:szCs w:val="21"/>
          <w:highlight w:val="none"/>
        </w:rPr>
      </w:pPr>
      <w:r>
        <w:rPr>
          <w:rFonts w:hint="eastAsia" w:ascii="宋体" w:hAnsi="宋体" w:cs="宋体"/>
          <w:color w:val="auto"/>
          <w:szCs w:val="21"/>
          <w:highlight w:val="none"/>
          <w:lang w:val="zh-CN"/>
        </w:rPr>
        <w:t>投标报价得分=（评标基准价/投标报价）*价格权值*100，小数点后保留两位（价格权值为30%）</w:t>
      </w:r>
    </w:p>
    <w:p w14:paraId="3E578B43">
      <w:pPr>
        <w:adjustRightInd w:val="0"/>
        <w:snapToGrid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（二）投标产品技术质量（</w:t>
      </w:r>
      <w:r>
        <w:rPr>
          <w:rFonts w:hint="eastAsia" w:ascii="宋体" w:hAnsi="宋体" w:cs="宋体"/>
          <w:b/>
          <w:color w:val="auto"/>
          <w:szCs w:val="21"/>
          <w:highlight w:val="none"/>
          <w:lang w:val="en-US" w:eastAsia="zh-CN"/>
        </w:rPr>
        <w:t>36</w:t>
      </w:r>
      <w:r>
        <w:rPr>
          <w:rFonts w:hint="eastAsia" w:ascii="宋体" w:hAnsi="宋体" w:cs="宋体"/>
          <w:b/>
          <w:color w:val="auto"/>
          <w:szCs w:val="21"/>
          <w:highlight w:val="none"/>
        </w:rPr>
        <w:t>分）</w:t>
      </w:r>
    </w:p>
    <w:p w14:paraId="47E14295">
      <w:pPr>
        <w:tabs>
          <w:tab w:val="left" w:pos="630"/>
        </w:tabs>
        <w:snapToGrid w:val="0"/>
        <w:spacing w:line="360" w:lineRule="auto"/>
        <w:ind w:firstLine="420" w:firstLineChars="200"/>
        <w:rPr>
          <w:rStyle w:val="77"/>
          <w:rFonts w:ascii="宋体" w:hAnsi="宋体"/>
          <w:bCs/>
          <w:color w:val="auto"/>
          <w:szCs w:val="21"/>
          <w:highlight w:val="none"/>
        </w:rPr>
      </w:pPr>
      <w:r>
        <w:rPr>
          <w:rFonts w:hint="eastAsia" w:ascii="宋体" w:hAnsi="宋体" w:cs="宋体"/>
          <w:bCs/>
          <w:color w:val="auto"/>
          <w:szCs w:val="21"/>
          <w:highlight w:val="none"/>
        </w:rPr>
        <w:t>1、</w:t>
      </w:r>
      <w:r>
        <w:rPr>
          <w:rFonts w:hint="eastAsia" w:ascii="宋体" w:hAnsi="宋体"/>
          <w:color w:val="auto"/>
          <w:szCs w:val="22"/>
          <w:highlight w:val="none"/>
          <w:lang w:val="zh-CN"/>
        </w:rPr>
        <w:t>技术参数符合性情况（</w:t>
      </w:r>
      <w:r>
        <w:rPr>
          <w:rFonts w:hint="eastAsia" w:ascii="宋体" w:hAnsi="宋体"/>
          <w:color w:val="auto"/>
          <w:szCs w:val="22"/>
          <w:highlight w:val="none"/>
          <w:lang w:val="en-US" w:eastAsia="zh-CN"/>
        </w:rPr>
        <w:t>36</w:t>
      </w:r>
      <w:r>
        <w:rPr>
          <w:rFonts w:hint="eastAsia" w:ascii="宋体" w:hAnsi="宋体"/>
          <w:color w:val="auto"/>
          <w:szCs w:val="22"/>
          <w:highlight w:val="none"/>
          <w:lang w:val="zh-CN"/>
        </w:rPr>
        <w:t>分）：所投设备的技术参数满足或高于招标文件要求的得</w:t>
      </w:r>
      <w:r>
        <w:rPr>
          <w:rFonts w:hint="eastAsia" w:ascii="宋体" w:hAnsi="宋体"/>
          <w:color w:val="auto"/>
          <w:szCs w:val="22"/>
          <w:highlight w:val="none"/>
          <w:lang w:val="en-US" w:eastAsia="zh-CN"/>
        </w:rPr>
        <w:t>36</w:t>
      </w:r>
      <w:r>
        <w:rPr>
          <w:rFonts w:hint="eastAsia" w:ascii="宋体" w:hAnsi="宋体"/>
          <w:color w:val="auto"/>
          <w:szCs w:val="22"/>
          <w:highlight w:val="none"/>
          <w:lang w:val="zh-CN"/>
        </w:rPr>
        <w:t>分；</w:t>
      </w:r>
      <w:r>
        <w:rPr>
          <w:rFonts w:hint="eastAsia" w:ascii="宋体" w:hAnsi="宋体" w:cs="宋体"/>
          <w:color w:val="auto"/>
          <w:szCs w:val="21"/>
          <w:highlight w:val="none"/>
          <w:lang w:val="zh-CN"/>
        </w:rPr>
        <w:t>打“</w:t>
      </w:r>
      <w:r>
        <w:rPr>
          <w:rFonts w:hint="eastAsia" w:ascii="宋体" w:hAnsi="宋体" w:cs="宋体"/>
          <w:color w:val="auto"/>
          <w:highlight w:val="none"/>
        </w:rPr>
        <w:t>★</w:t>
      </w:r>
      <w:r>
        <w:rPr>
          <w:rFonts w:hint="eastAsia" w:ascii="宋体" w:hAnsi="宋体" w:cs="宋体"/>
          <w:color w:val="auto"/>
          <w:szCs w:val="21"/>
          <w:highlight w:val="none"/>
          <w:lang w:val="zh-CN"/>
        </w:rPr>
        <w:t>”</w:t>
      </w:r>
      <w:r>
        <w:rPr>
          <w:rFonts w:hint="eastAsia" w:ascii="宋体" w:hAnsi="宋体" w:cs="宋体"/>
          <w:color w:val="auto"/>
          <w:szCs w:val="21"/>
          <w:highlight w:val="none"/>
          <w:lang w:val="en-US" w:eastAsia="zh-CN"/>
        </w:rPr>
        <w:t>技术参数</w:t>
      </w:r>
      <w:r>
        <w:rPr>
          <w:rFonts w:hint="eastAsia" w:ascii="宋体" w:hAnsi="宋体" w:cs="宋体"/>
          <w:color w:val="auto"/>
          <w:szCs w:val="21"/>
          <w:highlight w:val="none"/>
          <w:lang w:val="zh-CN"/>
        </w:rPr>
        <w:t>出现一个负偏离扣</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val="zh-CN"/>
        </w:rPr>
        <w:t>分；</w:t>
      </w:r>
      <w:r>
        <w:rPr>
          <w:rFonts w:hint="eastAsia" w:ascii="宋体" w:hAnsi="宋体" w:cs="宋体"/>
          <w:color w:val="auto"/>
          <w:szCs w:val="21"/>
          <w:highlight w:val="none"/>
          <w:lang w:val="en-US" w:eastAsia="zh-CN"/>
        </w:rPr>
        <w:t>其余技术参数</w:t>
      </w:r>
      <w:r>
        <w:rPr>
          <w:rFonts w:hint="eastAsia" w:ascii="宋体" w:hAnsi="宋体" w:cs="宋体"/>
          <w:color w:val="auto"/>
          <w:szCs w:val="21"/>
          <w:highlight w:val="none"/>
          <w:lang w:val="zh-CN"/>
        </w:rPr>
        <w:t>出现一个负偏离扣</w:t>
      </w:r>
      <w:r>
        <w:rPr>
          <w:rFonts w:hint="eastAsia" w:ascii="宋体" w:hAnsi="宋体" w:cs="宋体"/>
          <w:color w:val="auto"/>
          <w:szCs w:val="21"/>
          <w:highlight w:val="none"/>
          <w:lang w:val="en-US" w:eastAsia="zh-CN"/>
        </w:rPr>
        <w:t>0.2</w:t>
      </w:r>
      <w:r>
        <w:rPr>
          <w:rFonts w:hint="eastAsia" w:ascii="宋体" w:hAnsi="宋体" w:cs="宋体"/>
          <w:color w:val="auto"/>
          <w:szCs w:val="21"/>
          <w:highlight w:val="none"/>
          <w:lang w:val="zh-CN"/>
        </w:rPr>
        <w:t>分，扣完为止。</w:t>
      </w:r>
    </w:p>
    <w:p w14:paraId="6E349591">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注：打“★”项参数供应商需按照招标文件技术参数要求提供相应的证明材料，未按照要求提供材料的，视为负偏离。</w:t>
      </w:r>
    </w:p>
    <w:p w14:paraId="7943A805">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供应商须对照招标技术参数逐条列出并对比，并详细说明投标产品的具体量化要求，如照抄招标文件要求或只写“完全响应“等字样的评标小组有权评定不得分。</w:t>
      </w:r>
    </w:p>
    <w:p w14:paraId="1389C448">
      <w:pPr>
        <w:spacing w:line="360" w:lineRule="auto"/>
        <w:ind w:firstLine="422" w:firstLineChars="200"/>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所有产品的产品性能、质量和配置必须如实填写，一经发现为故意虚假响应招标要求,将作无效标处理。如评标小组一致认为属实质性负偏离的亦为无效投标</w:t>
      </w:r>
      <w:r>
        <w:rPr>
          <w:rFonts w:hint="eastAsia" w:ascii="宋体" w:hAnsi="宋体" w:cs="宋体"/>
          <w:b/>
          <w:color w:val="auto"/>
          <w:szCs w:val="21"/>
          <w:highlight w:val="none"/>
          <w:lang w:eastAsia="zh-CN"/>
        </w:rPr>
        <w:t>。</w:t>
      </w:r>
    </w:p>
    <w:p w14:paraId="7C7CE68B">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（三）项目实施方案及售后服务（</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p w14:paraId="3D1AA74B">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1、针对本项目的项目实施方案（最高为</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分）：</w:t>
      </w:r>
    </w:p>
    <w:p w14:paraId="165A23AA">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根据投标单位针对本项目的项目实施方案评定，包括项目货源组织、产品质量控制、交货进度计划及安装调试验收方案等：项目实施方案内容完整不漏项、有针对性说明、切实可行、能切实提供项目进度及质量保证承诺及措施的得</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分；方案各项内容阐述不够全面有缺漏项、针对性说明较为简单、可行性一般、项目进度及质量保证措施一般的得</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分；方案各项内容粗略、有缺漏、缺乏针对性说明、项目进度及质量保证措施较差的得1分；未提供相关说明或存在逻辑错误、前后矛盾的不得分。</w:t>
      </w:r>
    </w:p>
    <w:p w14:paraId="081D0A0C">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2、针对本项目的售后服务方案（最高为6分）</w:t>
      </w:r>
    </w:p>
    <w:p w14:paraId="369D41EA">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根据投标单位针对本项目的售后服务方案评定，包括售后服务范围、售后服务点设置、售后服务人员配备、响应时间、售后服务承诺等情况：售后服务各项内容阐述全面无缺项、合理、内容详细，符合项目实际需求情况，可行性高的得6分；售后服务各项内容阐述不全面、有缺项漏项，内容较为简要，针对性、可行性一般的得3分；售后服务各项内容阐述粗略或无阐述，无针对性，可行性较差的得1分；未提供相关说明或或存在逻辑错误、前后矛盾的不得分。</w:t>
      </w:r>
    </w:p>
    <w:p w14:paraId="539D077F">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3、针对本项目的应急和重大故障解决方案（最高为</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分）</w:t>
      </w:r>
    </w:p>
    <w:p w14:paraId="7A0A2437">
      <w:pPr>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根据投标单位针对本项目的应急和重大故障解决方案评定，包括应急和重大故障预防措施，以及出现问题的响应时间、补救措施等：应急和重大故障解决方案内容阐述全面无缺项、合理、内容详细，符合项目实际情况，可行性高的得</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分；应急和重大故障解决方案内容阐述不全面、有缺项漏项，内容较为简要，针对性一般，可行性一般的得</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分；应急和重大故障解决方案内容阐述粗略或无阐述，无针对性，可行性较差的得1分；未提供相关说明或或存在逻辑错误、前后矛盾的不得分。</w:t>
      </w:r>
    </w:p>
    <w:p w14:paraId="276AF3DC">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4、针对本项目使用方人员的技术培训方案（最高为</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分）</w:t>
      </w:r>
    </w:p>
    <w:p w14:paraId="35E04A73">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根据投标单位提供的针对本项目使用方人员的技术培训方案评定，包括但不限于使用操作、常规检查、保养内容、日常使用注意事项等方面：技术培训服务方案考虑全面周到，针对性强，实操性强的得6分；技术培训服务方案较为全面，针对性和实操性较好的得3分；技术培训服务方案简略笼统，无针对性或可操作性较差的得1分。未提供相关说明或存在逻辑错误、前后矛盾的不得分。</w:t>
      </w:r>
    </w:p>
    <w:p w14:paraId="227A2487">
      <w:pPr>
        <w:spacing w:line="360" w:lineRule="auto"/>
        <w:ind w:firstLine="420" w:firstLineChars="200"/>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5、针对本项目应急服务团队人员的配置（最高为</w:t>
      </w:r>
      <w:r>
        <w:rPr>
          <w:rFonts w:hint="eastAsia" w:ascii="宋体" w:hAnsi="宋体" w:cs="宋体"/>
          <w:bCs/>
          <w:color w:val="auto"/>
          <w:szCs w:val="21"/>
          <w:highlight w:val="none"/>
          <w:lang w:val="en-US" w:eastAsia="zh-CN"/>
        </w:rPr>
        <w:t>6</w:t>
      </w:r>
      <w:r>
        <w:rPr>
          <w:rFonts w:hint="eastAsia" w:ascii="宋体" w:hAnsi="宋体" w:eastAsia="宋体" w:cs="宋体"/>
          <w:bCs/>
          <w:color w:val="auto"/>
          <w:szCs w:val="21"/>
          <w:highlight w:val="none"/>
          <w:lang w:val="en-US" w:eastAsia="zh-CN"/>
        </w:rPr>
        <w:t>分）</w:t>
      </w:r>
    </w:p>
    <w:p w14:paraId="5A933391">
      <w:pPr>
        <w:spacing w:line="360" w:lineRule="auto"/>
        <w:ind w:firstLine="420" w:firstLineChars="200"/>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5.1.</w:t>
      </w:r>
      <w:r>
        <w:rPr>
          <w:rFonts w:hint="eastAsia" w:ascii="宋体" w:hAnsi="宋体" w:cs="宋体"/>
          <w:bCs/>
          <w:color w:val="auto"/>
          <w:szCs w:val="21"/>
          <w:highlight w:val="none"/>
          <w:lang w:val="en-US" w:eastAsia="zh-CN"/>
        </w:rPr>
        <w:t>投标单位配置的</w:t>
      </w:r>
      <w:r>
        <w:rPr>
          <w:rFonts w:hint="eastAsia" w:ascii="宋体" w:hAnsi="宋体" w:eastAsia="宋体" w:cs="宋体"/>
          <w:bCs/>
          <w:color w:val="auto"/>
          <w:szCs w:val="21"/>
          <w:highlight w:val="none"/>
          <w:lang w:val="en-US" w:eastAsia="zh-CN"/>
        </w:rPr>
        <w:t>应急服务团队人员</w:t>
      </w:r>
      <w:r>
        <w:rPr>
          <w:rFonts w:hint="eastAsia" w:ascii="宋体" w:hAnsi="宋体" w:cs="宋体"/>
          <w:bCs/>
          <w:color w:val="auto"/>
          <w:szCs w:val="21"/>
          <w:highlight w:val="none"/>
          <w:lang w:val="en-US" w:eastAsia="zh-CN"/>
        </w:rPr>
        <w:t>能熟悉</w:t>
      </w:r>
      <w:r>
        <w:rPr>
          <w:rFonts w:hint="eastAsia" w:ascii="宋体" w:hAnsi="宋体" w:eastAsia="宋体" w:cs="宋体"/>
          <w:bCs/>
          <w:color w:val="auto"/>
          <w:szCs w:val="21"/>
          <w:highlight w:val="none"/>
          <w:lang w:val="en-US" w:eastAsia="zh-CN"/>
        </w:rPr>
        <w:t>应急发电机和场地照明灯操作使用规范规程，能妥善保证满足应急救灾时保障需求的，根据上述资料及说明情况，详实具体、科学合理可行，与本项目具有可比性的得</w:t>
      </w:r>
      <w:r>
        <w:rPr>
          <w:rFonts w:hint="eastAsia" w:ascii="宋体" w:hAnsi="宋体" w:cs="宋体"/>
          <w:bCs/>
          <w:color w:val="auto"/>
          <w:szCs w:val="21"/>
          <w:highlight w:val="none"/>
          <w:lang w:val="en-US" w:eastAsia="zh-CN"/>
        </w:rPr>
        <w:t>3</w:t>
      </w:r>
      <w:r>
        <w:rPr>
          <w:rFonts w:hint="eastAsia" w:ascii="宋体" w:hAnsi="宋体" w:eastAsia="宋体" w:cs="宋体"/>
          <w:bCs/>
          <w:color w:val="auto"/>
          <w:szCs w:val="21"/>
          <w:highlight w:val="none"/>
          <w:lang w:val="en-US" w:eastAsia="zh-CN"/>
        </w:rPr>
        <w:t>分；较为详细，较为贴合本项目需求的得</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lang w:val="en-US" w:eastAsia="zh-CN"/>
        </w:rPr>
        <w:t>分；内容不够具体，内容简单，不合理或与本项目贴合度较差的得</w:t>
      </w:r>
      <w:r>
        <w:rPr>
          <w:rFonts w:hint="eastAsia" w:ascii="宋体" w:hAnsi="宋体" w:cs="宋体"/>
          <w:bCs/>
          <w:color w:val="auto"/>
          <w:szCs w:val="21"/>
          <w:highlight w:val="none"/>
          <w:lang w:val="en-US" w:eastAsia="zh-CN"/>
        </w:rPr>
        <w:t>1</w:t>
      </w:r>
      <w:r>
        <w:rPr>
          <w:rFonts w:hint="eastAsia" w:ascii="宋体" w:hAnsi="宋体" w:eastAsia="宋体" w:cs="宋体"/>
          <w:bCs/>
          <w:color w:val="auto"/>
          <w:szCs w:val="21"/>
          <w:highlight w:val="none"/>
          <w:lang w:val="en-US" w:eastAsia="zh-CN"/>
        </w:rPr>
        <w:t>分；未提供任何相关资料的不得分。</w:t>
      </w:r>
      <w:r>
        <w:rPr>
          <w:rFonts w:hint="eastAsia" w:ascii="宋体" w:hAnsi="宋体" w:cs="宋体"/>
          <w:bCs/>
          <w:color w:val="auto"/>
          <w:szCs w:val="21"/>
          <w:highlight w:val="none"/>
          <w:lang w:val="en-US" w:eastAsia="zh-CN"/>
        </w:rPr>
        <w:t>最高为3分。</w:t>
      </w:r>
    </w:p>
    <w:p w14:paraId="48103D27">
      <w:pPr>
        <w:spacing w:line="360" w:lineRule="auto"/>
        <w:ind w:firstLine="420" w:firstLineChars="200"/>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5.2配置的应急服务团队中具有政府部门颁发的应急救援员或紧急救助员相关证书人员的，每配置1人得1分，最高为3分。</w:t>
      </w:r>
    </w:p>
    <w:p w14:paraId="41FF5D06">
      <w:pPr>
        <w:spacing w:line="360" w:lineRule="auto"/>
        <w:ind w:firstLine="420" w:firstLineChars="200"/>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注：投标文件中提供以上</w:t>
      </w:r>
      <w:r>
        <w:rPr>
          <w:rFonts w:hint="eastAsia" w:ascii="宋体" w:hAnsi="宋体" w:cs="宋体"/>
          <w:bCs/>
          <w:color w:val="auto"/>
          <w:szCs w:val="21"/>
          <w:highlight w:val="none"/>
          <w:lang w:val="en-US" w:eastAsia="zh-CN"/>
        </w:rPr>
        <w:t>序号5.2</w:t>
      </w:r>
      <w:bookmarkStart w:id="66" w:name="_GoBack"/>
      <w:bookmarkEnd w:id="66"/>
      <w:r>
        <w:rPr>
          <w:rFonts w:hint="eastAsia" w:ascii="宋体" w:hAnsi="宋体" w:eastAsia="宋体" w:cs="宋体"/>
          <w:bCs/>
          <w:color w:val="auto"/>
          <w:szCs w:val="21"/>
          <w:highlight w:val="none"/>
          <w:lang w:val="en-US" w:eastAsia="zh-CN"/>
        </w:rPr>
        <w:t>人员相关证书及投标单位为其缴纳的2025年1月至今的任一期社保证明，资料不全不得分。</w:t>
      </w:r>
    </w:p>
    <w:p w14:paraId="68163DED">
      <w:pPr>
        <w:adjustRightInd w:val="0"/>
        <w:snapToGrid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（四）投标单位综合履约能力（</w:t>
      </w:r>
      <w:r>
        <w:rPr>
          <w:rFonts w:hint="eastAsia" w:ascii="宋体" w:hAnsi="宋体" w:cs="宋体"/>
          <w:b/>
          <w:color w:val="auto"/>
          <w:szCs w:val="21"/>
          <w:highlight w:val="none"/>
          <w:lang w:val="en-US" w:eastAsia="zh-CN"/>
        </w:rPr>
        <w:t>4</w:t>
      </w:r>
      <w:r>
        <w:rPr>
          <w:rFonts w:hint="eastAsia" w:ascii="宋体" w:hAnsi="宋体" w:cs="宋体"/>
          <w:b/>
          <w:color w:val="auto"/>
          <w:szCs w:val="21"/>
          <w:highlight w:val="none"/>
        </w:rPr>
        <w:t>分）</w:t>
      </w:r>
    </w:p>
    <w:p w14:paraId="37D6506F">
      <w:pPr>
        <w:spacing w:line="360" w:lineRule="auto"/>
        <w:ind w:firstLine="420" w:firstLineChars="200"/>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1、</w:t>
      </w:r>
      <w:r>
        <w:rPr>
          <w:rFonts w:hint="eastAsia" w:ascii="宋体" w:hAnsi="宋体" w:eastAsia="宋体" w:cs="宋体"/>
          <w:bCs/>
          <w:color w:val="auto"/>
          <w:szCs w:val="21"/>
          <w:highlight w:val="none"/>
          <w:lang w:val="en-US" w:eastAsia="zh-CN"/>
        </w:rPr>
        <w:t>体系证书，1.5分</w:t>
      </w:r>
    </w:p>
    <w:p w14:paraId="5EB05806">
      <w:pPr>
        <w:spacing w:line="360" w:lineRule="auto"/>
        <w:ind w:firstLine="420" w:firstLineChars="200"/>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投标单位具有有效期内的质量管理体系证书、环境管理体系认证书、职业健康安全管理体系认证证书，每具备一个得</w:t>
      </w:r>
      <w:r>
        <w:rPr>
          <w:rFonts w:hint="eastAsia" w:ascii="宋体" w:hAnsi="宋体" w:eastAsia="宋体" w:cs="宋体"/>
          <w:bCs/>
          <w:color w:val="auto"/>
          <w:szCs w:val="21"/>
          <w:highlight w:val="none"/>
          <w:lang w:val="en-US" w:eastAsia="zh-CN"/>
        </w:rPr>
        <w:t>0.5</w:t>
      </w:r>
      <w:r>
        <w:rPr>
          <w:rFonts w:hint="eastAsia" w:ascii="宋体" w:hAnsi="宋体" w:eastAsia="宋体" w:cs="宋体"/>
          <w:bCs/>
          <w:color w:val="auto"/>
          <w:szCs w:val="21"/>
          <w:highlight w:val="none"/>
        </w:rPr>
        <w:t>分，最高为</w:t>
      </w:r>
      <w:r>
        <w:rPr>
          <w:rFonts w:hint="eastAsia" w:ascii="宋体" w:hAnsi="宋体" w:eastAsia="宋体" w:cs="宋体"/>
          <w:bCs/>
          <w:color w:val="auto"/>
          <w:szCs w:val="21"/>
          <w:highlight w:val="none"/>
          <w:lang w:val="en-US" w:eastAsia="zh-CN"/>
        </w:rPr>
        <w:t>1.5</w:t>
      </w:r>
      <w:r>
        <w:rPr>
          <w:rFonts w:hint="eastAsia" w:ascii="宋体" w:hAnsi="宋体" w:eastAsia="宋体" w:cs="宋体"/>
          <w:bCs/>
          <w:color w:val="auto"/>
          <w:szCs w:val="21"/>
          <w:highlight w:val="none"/>
        </w:rPr>
        <w:t>分。（投标文件中提供证书复印件及在中国国家认证认可监督管理委员会官网查询截图，否则对应评分项不得分）</w:t>
      </w:r>
    </w:p>
    <w:p w14:paraId="1F1F4F55">
      <w:pPr>
        <w:spacing w:line="360" w:lineRule="auto"/>
        <w:ind w:firstLine="420" w:firstLineChars="200"/>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2.类似业绩情况，2.5分</w:t>
      </w:r>
    </w:p>
    <w:p w14:paraId="77C8B68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投标单位202</w:t>
      </w: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年1月1日起至今（以合同签订时间为准）签订的类似项目，每提供一个业绩得</w:t>
      </w:r>
      <w:r>
        <w:rPr>
          <w:rFonts w:hint="eastAsia" w:ascii="宋体" w:hAnsi="宋体" w:eastAsia="宋体" w:cs="宋体"/>
          <w:bCs/>
          <w:color w:val="auto"/>
          <w:szCs w:val="21"/>
          <w:highlight w:val="none"/>
          <w:lang w:val="en-US" w:eastAsia="zh-CN"/>
        </w:rPr>
        <w:t>0.5</w:t>
      </w:r>
      <w:r>
        <w:rPr>
          <w:rFonts w:hint="eastAsia" w:ascii="宋体" w:hAnsi="宋体" w:eastAsia="宋体" w:cs="宋体"/>
          <w:bCs/>
          <w:color w:val="auto"/>
          <w:szCs w:val="21"/>
          <w:highlight w:val="none"/>
        </w:rPr>
        <w:t>分，最高得</w:t>
      </w:r>
      <w:r>
        <w:rPr>
          <w:rFonts w:hint="eastAsia" w:ascii="宋体" w:hAnsi="宋体" w:eastAsia="宋体" w:cs="宋体"/>
          <w:bCs/>
          <w:color w:val="auto"/>
          <w:szCs w:val="21"/>
          <w:highlight w:val="none"/>
          <w:lang w:val="en-US" w:eastAsia="zh-CN"/>
        </w:rPr>
        <w:t>2.5</w:t>
      </w:r>
      <w:r>
        <w:rPr>
          <w:rFonts w:hint="eastAsia" w:ascii="宋体" w:hAnsi="宋体" w:eastAsia="宋体" w:cs="宋体"/>
          <w:bCs/>
          <w:color w:val="auto"/>
          <w:szCs w:val="21"/>
          <w:highlight w:val="none"/>
        </w:rPr>
        <w:t>分。投标文件中提供完整合同</w:t>
      </w:r>
      <w:r>
        <w:rPr>
          <w:rFonts w:hint="eastAsia" w:ascii="宋体" w:hAnsi="宋体" w:eastAsia="宋体" w:cs="宋体"/>
          <w:bCs/>
          <w:color w:val="auto"/>
          <w:szCs w:val="21"/>
          <w:highlight w:val="none"/>
          <w:lang w:val="en-US" w:eastAsia="zh-CN"/>
        </w:rPr>
        <w:t>及发票</w:t>
      </w:r>
      <w:r>
        <w:rPr>
          <w:rFonts w:hint="eastAsia" w:ascii="宋体" w:hAnsi="宋体" w:eastAsia="宋体" w:cs="宋体"/>
          <w:bCs/>
          <w:color w:val="auto"/>
          <w:szCs w:val="21"/>
          <w:highlight w:val="none"/>
        </w:rPr>
        <w:t>复印件，否则不得分。</w:t>
      </w:r>
    </w:p>
    <w:p w14:paraId="4C209820">
      <w:pPr>
        <w:pStyle w:val="7"/>
        <w:overflowPunct w:val="0"/>
        <w:adjustRightInd w:val="0"/>
        <w:snapToGrid w:val="0"/>
        <w:spacing w:line="360" w:lineRule="auto"/>
        <w:ind w:firstLine="422"/>
        <w:jc w:val="right"/>
        <w:rPr>
          <w:rFonts w:ascii="宋体" w:hAnsi="宋体" w:eastAsia="宋体" w:cs="宋体"/>
          <w:b/>
          <w:bCs/>
          <w:color w:val="auto"/>
          <w:sz w:val="21"/>
          <w:szCs w:val="21"/>
          <w:highlight w:val="none"/>
        </w:rPr>
      </w:pPr>
    </w:p>
    <w:p w14:paraId="0EA117EB">
      <w:pPr>
        <w:pStyle w:val="7"/>
        <w:overflowPunct w:val="0"/>
        <w:adjustRightInd w:val="0"/>
        <w:snapToGrid w:val="0"/>
        <w:spacing w:line="360" w:lineRule="auto"/>
        <w:ind w:firstLine="422"/>
        <w:jc w:val="left"/>
        <w:rPr>
          <w:rFonts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备注</w:t>
      </w:r>
      <w:r>
        <w:rPr>
          <w:rFonts w:hint="eastAsia" w:ascii="宋体" w:hAnsi="宋体" w:eastAsia="宋体" w:cs="宋体"/>
          <w:color w:val="auto"/>
          <w:sz w:val="21"/>
          <w:szCs w:val="21"/>
          <w:highlight w:val="none"/>
        </w:rPr>
        <w:t>：1.付款步骤、</w:t>
      </w:r>
      <w:r>
        <w:rPr>
          <w:rFonts w:hint="eastAsia" w:ascii="宋体" w:hAnsi="宋体" w:eastAsia="宋体" w:cs="宋体"/>
          <w:color w:val="auto"/>
          <w:sz w:val="21"/>
          <w:szCs w:val="21"/>
          <w:highlight w:val="none"/>
          <w:lang w:val="en-US" w:eastAsia="zh-CN"/>
        </w:rPr>
        <w:t>交货</w:t>
      </w:r>
      <w:r>
        <w:rPr>
          <w:rFonts w:hint="eastAsia" w:ascii="宋体" w:hAnsi="宋体" w:eastAsia="宋体" w:cs="宋体"/>
          <w:color w:val="auto"/>
          <w:sz w:val="21"/>
          <w:szCs w:val="21"/>
          <w:highlight w:val="none"/>
        </w:rPr>
        <w:t>期限如有负偏离的不得中标。</w:t>
      </w:r>
    </w:p>
    <w:p w14:paraId="3BAFF14C">
      <w:pPr>
        <w:pStyle w:val="7"/>
        <w:overflowPunct w:val="0"/>
        <w:adjustRightInd w:val="0"/>
        <w:snapToGrid w:val="0"/>
        <w:spacing w:line="360" w:lineRule="auto"/>
        <w:ind w:firstLine="422"/>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针对评分标准中评分的每一条，投标单位在投标文件中应提供清晰明了的相关资料并做出相应说明供评委评判，不提供相关资料或提供的资料不清晰或评委无法判断是否满足评分要求的视为不具备该项得分的条件。</w:t>
      </w:r>
    </w:p>
    <w:p w14:paraId="7D401E54">
      <w:pPr>
        <w:pStyle w:val="7"/>
        <w:overflowPunct w:val="0"/>
        <w:adjustRightInd w:val="0"/>
        <w:snapToGrid w:val="0"/>
        <w:spacing w:line="360" w:lineRule="auto"/>
        <w:ind w:firstLine="422"/>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单位必须保证全部投标资料的真实性，采购人有权在采购的任何阶段进行调查和核实，如有虚假或对招标文件所要求说明的情况故意隐瞒或虚报，视为不实质性响应招标文件，为无效投标。已中标的将取消中标资格，并按《中华人民共和国政府采购法》第七十七条“提供虚假材料谋取中标、成交”相关处理办法处理。</w:t>
      </w:r>
    </w:p>
    <w:p w14:paraId="63A5825B">
      <w:pPr>
        <w:pStyle w:val="7"/>
        <w:overflowPunct w:val="0"/>
        <w:adjustRightInd w:val="0"/>
        <w:snapToGrid w:val="0"/>
        <w:spacing w:line="360" w:lineRule="auto"/>
        <w:ind w:firstLine="422"/>
        <w:jc w:val="right"/>
        <w:rPr>
          <w:rFonts w:ascii="宋体" w:hAnsi="宋体" w:eastAsia="宋体" w:cs="宋体"/>
          <w:b/>
          <w:bCs/>
          <w:color w:val="auto"/>
          <w:sz w:val="21"/>
          <w:szCs w:val="21"/>
          <w:highlight w:val="none"/>
        </w:rPr>
      </w:pPr>
    </w:p>
    <w:p w14:paraId="022B345F">
      <w:pPr>
        <w:pStyle w:val="7"/>
        <w:overflowPunct w:val="0"/>
        <w:adjustRightInd w:val="0"/>
        <w:snapToGrid w:val="0"/>
        <w:spacing w:line="360" w:lineRule="auto"/>
        <w:ind w:firstLine="422"/>
        <w:jc w:val="right"/>
        <w:rPr>
          <w:rFonts w:ascii="宋体" w:hAnsi="宋体" w:eastAsia="宋体" w:cs="宋体"/>
          <w:b/>
          <w:bCs/>
          <w:color w:val="auto"/>
          <w:sz w:val="21"/>
          <w:szCs w:val="21"/>
          <w:highlight w:val="none"/>
        </w:rPr>
      </w:pPr>
    </w:p>
    <w:p w14:paraId="1E6A3EE8">
      <w:pPr>
        <w:pStyle w:val="7"/>
        <w:overflowPunct w:val="0"/>
        <w:adjustRightInd w:val="0"/>
        <w:snapToGrid w:val="0"/>
        <w:spacing w:line="360" w:lineRule="auto"/>
        <w:ind w:firstLine="422"/>
        <w:jc w:val="right"/>
        <w:rPr>
          <w:rFonts w:ascii="宋体" w:hAnsi="宋体" w:eastAsia="宋体" w:cs="宋体"/>
          <w:b/>
          <w:bCs/>
          <w:color w:val="auto"/>
          <w:sz w:val="21"/>
          <w:szCs w:val="21"/>
          <w:highlight w:val="none"/>
        </w:rPr>
      </w:pPr>
    </w:p>
    <w:p w14:paraId="4721778A">
      <w:pPr>
        <w:pStyle w:val="7"/>
        <w:overflowPunct w:val="0"/>
        <w:adjustRightInd w:val="0"/>
        <w:snapToGrid w:val="0"/>
        <w:spacing w:line="360" w:lineRule="auto"/>
        <w:ind w:firstLine="422"/>
        <w:jc w:val="right"/>
        <w:rPr>
          <w:rFonts w:ascii="宋体" w:hAnsi="宋体" w:eastAsia="宋体" w:cs="宋体"/>
          <w:b/>
          <w:bCs/>
          <w:color w:val="auto"/>
          <w:sz w:val="21"/>
          <w:szCs w:val="21"/>
          <w:highlight w:val="none"/>
        </w:rPr>
      </w:pPr>
    </w:p>
    <w:p w14:paraId="350AE678">
      <w:pPr>
        <w:pStyle w:val="7"/>
        <w:overflowPunct w:val="0"/>
        <w:adjustRightInd w:val="0"/>
        <w:snapToGrid w:val="0"/>
        <w:spacing w:line="360" w:lineRule="auto"/>
        <w:ind w:firstLine="422"/>
        <w:jc w:val="right"/>
        <w:rPr>
          <w:rFonts w:ascii="宋体" w:hAnsi="宋体" w:eastAsia="宋体" w:cs="宋体"/>
          <w:b/>
          <w:bCs/>
          <w:color w:val="auto"/>
          <w:sz w:val="21"/>
          <w:szCs w:val="21"/>
          <w:highlight w:val="none"/>
        </w:rPr>
      </w:pPr>
    </w:p>
    <w:p w14:paraId="154E0091">
      <w:pPr>
        <w:pStyle w:val="7"/>
        <w:overflowPunct w:val="0"/>
        <w:adjustRightInd w:val="0"/>
        <w:snapToGrid w:val="0"/>
        <w:spacing w:line="360" w:lineRule="auto"/>
        <w:ind w:firstLine="422"/>
        <w:jc w:val="right"/>
        <w:rPr>
          <w:color w:val="auto"/>
          <w:highlight w:val="none"/>
        </w:rPr>
      </w:pPr>
      <w:r>
        <w:rPr>
          <w:rFonts w:hint="eastAsia" w:ascii="宋体" w:hAnsi="宋体" w:eastAsia="宋体" w:cs="宋体"/>
          <w:b/>
          <w:bCs/>
          <w:color w:val="auto"/>
          <w:sz w:val="21"/>
          <w:szCs w:val="21"/>
          <w:highlight w:val="none"/>
        </w:rPr>
        <w:t>（全文完）</w:t>
      </w:r>
    </w:p>
    <w:sectPr>
      <w:headerReference r:id="rId5" w:type="default"/>
      <w:footerReference r:id="rId6" w:type="default"/>
      <w:pgSz w:w="11906" w:h="16838"/>
      <w:pgMar w:top="1440" w:right="1417" w:bottom="1440" w:left="1020" w:header="964"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B7E0B">
    <w:pPr>
      <w:pStyle w:val="2"/>
    </w:pPr>
    <w:r>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CPqRfjCgIAAAEEAAAOAAAAAAAAAAEAIAAAAB8BAABk&#10;cnMvZTJvRG9jLnhtbFBLBQYAAAAABgAGAFkBAACbBQAAAAA=&#10;">
          <v:path/>
          <v:fill on="f" focussize="0,0"/>
          <v:stroke on="f" joinstyle="miter"/>
          <v:imagedata o:title=""/>
          <o:lock v:ext="edit"/>
          <v:textbox inset="0mm,0mm,0mm,0mm" style="mso-fit-shape-to-text:t;">
            <w:txbxContent>
              <w:p w14:paraId="2B8B8EB7">
                <w:pPr>
                  <w:pStyle w:val="2"/>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77060">
    <w:pPr>
      <w:pStyle w:val="2"/>
      <w:ind w:firstLine="361"/>
    </w:pPr>
    <w:r>
      <w:pict>
        <v:shape id="_x0000_s1027" o:spid="_x0000_s1027"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PlfknQAAAAAwEAAA8AAAAAAAAAAQAgAAAAIgAAAGRycy9k&#10;b3ducmV2LnhtbFBLAQIUABQAAAAIAIdO4kAuT9QsCgIAAAIEAAAOAAAAAAAAAAEAIAAAAB8BAABk&#10;cnMvZTJvRG9jLnhtbFBLBQYAAAAABgAGAFkBAACbBQAAAAA=&#10;">
          <v:path/>
          <v:fill on="f" focussize="0,0"/>
          <v:stroke on="f" joinstyle="miter"/>
          <v:imagedata o:title=""/>
          <o:lock v:ext="edit"/>
          <v:textbox inset="0mm,0mm,0mm,0mm" style="mso-fit-shape-to-text:t;">
            <w:txbxContent>
              <w:p w14:paraId="0D93A319">
                <w:pPr>
                  <w:pStyle w:val="2"/>
                </w:pPr>
                <w:r>
                  <w:rPr>
                    <w:rFonts w:hint="eastAsia"/>
                  </w:rPr>
                  <w:fldChar w:fldCharType="begin"/>
                </w:r>
                <w:r>
                  <w:rPr>
                    <w:rFonts w:hint="eastAsia"/>
                  </w:rPr>
                  <w:instrText xml:space="preserve"> PAGE  \* MERGEFORMAT </w:instrText>
                </w:r>
                <w:r>
                  <w:rPr>
                    <w:rFonts w:hint="eastAsia"/>
                  </w:rPr>
                  <w:fldChar w:fldCharType="separate"/>
                </w:r>
                <w:r>
                  <w:t>89</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010E8">
    <w:pPr>
      <w:pStyle w:val="22"/>
      <w:jc w:val="both"/>
      <w:rPr>
        <w:rFonts w:hint="eastAsia" w:ascii="宋体" w:hAnsi="宋体" w:eastAsia="宋体" w:cs="宋体"/>
        <w:lang w:eastAsia="zh-CN"/>
      </w:rPr>
    </w:pPr>
    <w:r>
      <w:rPr>
        <w:rFonts w:hint="eastAsia" w:ascii="宋体" w:hAnsi="宋体" w:cs="宋体"/>
      </w:rPr>
      <w:drawing>
        <wp:inline distT="0" distB="0" distL="0" distR="0">
          <wp:extent cx="323850" cy="247650"/>
          <wp:effectExtent l="0" t="0" r="0" b="0"/>
          <wp:docPr id="2" name="图片 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23850" cy="247650"/>
                  </a:xfrm>
                  <a:prstGeom prst="rect">
                    <a:avLst/>
                  </a:prstGeom>
                  <a:noFill/>
                  <a:ln>
                    <a:noFill/>
                  </a:ln>
                </pic:spPr>
              </pic:pic>
            </a:graphicData>
          </a:graphic>
        </wp:inline>
      </w:drawing>
    </w:r>
    <w:r>
      <w:rPr>
        <w:rFonts w:hint="eastAsia" w:ascii="宋体" w:hAnsi="宋体" w:cs="宋体"/>
      </w:rPr>
      <w:t>苏州市创杰招投标咨询服务有限公司                             标号：</w:t>
    </w:r>
    <w:r>
      <w:rPr>
        <w:rFonts w:hint="eastAsia" w:ascii="宋体" w:hAnsi="宋体" w:cs="宋体"/>
        <w:lang w:eastAsia="zh-CN"/>
      </w:rPr>
      <w:t>JSZC-320500-CJZB-G2025-0054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FEF26">
    <w:pPr>
      <w:pStyle w:val="22"/>
      <w:ind w:firstLine="361"/>
      <w:jc w:val="both"/>
      <w:rPr>
        <w:rFonts w:ascii="宋体" w:hAnsi="宋体" w:cs="宋体"/>
      </w:rPr>
    </w:pPr>
    <w:r>
      <w:rPr>
        <w:rFonts w:hint="eastAsia" w:ascii="宋体" w:hAnsi="宋体" w:cs="宋体"/>
      </w:rPr>
      <w:drawing>
        <wp:inline distT="0" distB="0" distL="0" distR="0">
          <wp:extent cx="323850" cy="247650"/>
          <wp:effectExtent l="0" t="0" r="0" b="0"/>
          <wp:docPr id="1" name="图片 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23850" cy="247650"/>
                  </a:xfrm>
                  <a:prstGeom prst="rect">
                    <a:avLst/>
                  </a:prstGeom>
                  <a:noFill/>
                  <a:ln>
                    <a:noFill/>
                  </a:ln>
                </pic:spPr>
              </pic:pic>
            </a:graphicData>
          </a:graphic>
        </wp:inline>
      </w:drawing>
    </w:r>
    <w:r>
      <w:rPr>
        <w:rFonts w:hint="eastAsia" w:ascii="宋体" w:hAnsi="宋体" w:cs="宋体"/>
      </w:rPr>
      <w:t>苏州市创杰招投标咨询服务有限公司                  标号：</w:t>
    </w:r>
    <w:r>
      <w:rPr>
        <w:rFonts w:hint="eastAsia" w:ascii="宋体" w:hAnsi="宋体" w:cs="宋体"/>
        <w:lang w:eastAsia="zh-CN"/>
      </w:rPr>
      <w:t>JSZC-320500-CJZB-G2025-0054</w:t>
    </w:r>
    <w:r>
      <w:rPr>
        <w:rFonts w:hint="eastAsia" w:ascii="宋体" w:hAnsi="宋体" w:cs="宋体"/>
      </w:rPr>
      <w:t>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633CD"/>
    <w:multiLevelType w:val="singleLevel"/>
    <w:tmpl w:val="992633CD"/>
    <w:lvl w:ilvl="0" w:tentative="0">
      <w:start w:val="1"/>
      <w:numFmt w:val="chineseCounting"/>
      <w:suff w:val="nothing"/>
      <w:lvlText w:val="%1、"/>
      <w:lvlJc w:val="left"/>
      <w:rPr>
        <w:rFonts w:hint="eastAsia"/>
      </w:rPr>
    </w:lvl>
  </w:abstractNum>
  <w:abstractNum w:abstractNumId="1">
    <w:nsid w:val="E26AC3FA"/>
    <w:multiLevelType w:val="singleLevel"/>
    <w:tmpl w:val="E26AC3FA"/>
    <w:lvl w:ilvl="0" w:tentative="0">
      <w:start w:val="6"/>
      <w:numFmt w:val="chineseCounting"/>
      <w:suff w:val="nothing"/>
      <w:lvlText w:val="%1、"/>
      <w:lvlJc w:val="left"/>
      <w:rPr>
        <w:rFonts w:hint="eastAsia"/>
      </w:rPr>
    </w:lvl>
  </w:abstractNum>
  <w:abstractNum w:abstractNumId="2">
    <w:nsid w:val="FE46B233"/>
    <w:multiLevelType w:val="singleLevel"/>
    <w:tmpl w:val="FE46B233"/>
    <w:lvl w:ilvl="0" w:tentative="0">
      <w:start w:val="1"/>
      <w:numFmt w:val="decimal"/>
      <w:suff w:val="nothing"/>
      <w:lvlText w:val="%1、"/>
      <w:lvlJc w:val="left"/>
    </w:lvl>
  </w:abstractNum>
  <w:abstractNum w:abstractNumId="3">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pStyle w:val="8"/>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4">
    <w:nsid w:val="41943A10"/>
    <w:multiLevelType w:val="singleLevel"/>
    <w:tmpl w:val="41943A10"/>
    <w:lvl w:ilvl="0" w:tentative="0">
      <w:start w:val="2"/>
      <w:numFmt w:val="chineseCounting"/>
      <w:suff w:val="nothing"/>
      <w:lvlText w:val="%1、"/>
      <w:lvlJc w:val="left"/>
      <w:rPr>
        <w:rFonts w:hint="eastAsia"/>
      </w:rPr>
    </w:lvl>
  </w:abstractNum>
  <w:abstractNum w:abstractNumId="5">
    <w:nsid w:val="63DC2F4B"/>
    <w:multiLevelType w:val="multilevel"/>
    <w:tmpl w:val="63DC2F4B"/>
    <w:lvl w:ilvl="0" w:tentative="0">
      <w:start w:val="1"/>
      <w:numFmt w:val="chineseCountingThousand"/>
      <w:suff w:val="nothing"/>
      <w:lvlText w:val="第%1章  "/>
      <w:lvlJc w:val="left"/>
      <w:pPr>
        <w:ind w:left="3119" w:firstLine="0"/>
      </w:pPr>
      <w:rPr>
        <w:rFonts w:hint="eastAsia"/>
      </w:rPr>
    </w:lvl>
    <w:lvl w:ilvl="1" w:tentative="0">
      <w:start w:val="1"/>
      <w:numFmt w:val="none"/>
      <w:pStyle w:val="5"/>
      <w:suff w:val="nothing"/>
      <w:lvlText w:val=""/>
      <w:lvlJc w:val="left"/>
      <w:pPr>
        <w:ind w:left="-2520" w:firstLine="0"/>
      </w:pPr>
      <w:rPr>
        <w:rFonts w:hint="eastAsia"/>
      </w:rPr>
    </w:lvl>
    <w:lvl w:ilvl="2" w:tentative="0">
      <w:start w:val="1"/>
      <w:numFmt w:val="upperRoman"/>
      <w:lvlText w:val="%3."/>
      <w:lvlJc w:val="left"/>
      <w:pPr>
        <w:tabs>
          <w:tab w:val="left" w:pos="-2100"/>
        </w:tabs>
        <w:ind w:left="-2100" w:hanging="420"/>
      </w:pPr>
      <w:rPr>
        <w:rFonts w:hint="eastAsia"/>
      </w:rPr>
    </w:lvl>
    <w:lvl w:ilvl="3" w:tentative="0">
      <w:start w:val="1"/>
      <w:numFmt w:val="none"/>
      <w:suff w:val="nothing"/>
      <w:lvlText w:val=""/>
      <w:lvlJc w:val="left"/>
      <w:pPr>
        <w:ind w:left="-2520" w:firstLine="0"/>
      </w:pPr>
      <w:rPr>
        <w:rFonts w:hint="eastAsia"/>
      </w:rPr>
    </w:lvl>
    <w:lvl w:ilvl="4" w:tentative="0">
      <w:start w:val="1"/>
      <w:numFmt w:val="none"/>
      <w:suff w:val="nothing"/>
      <w:lvlText w:val=""/>
      <w:lvlJc w:val="left"/>
      <w:pPr>
        <w:ind w:left="-2520" w:firstLine="0"/>
      </w:pPr>
      <w:rPr>
        <w:rFonts w:hint="eastAsia"/>
      </w:rPr>
    </w:lvl>
    <w:lvl w:ilvl="5" w:tentative="0">
      <w:start w:val="1"/>
      <w:numFmt w:val="none"/>
      <w:pStyle w:val="10"/>
      <w:suff w:val="nothing"/>
      <w:lvlText w:val=""/>
      <w:lvlJc w:val="left"/>
      <w:pPr>
        <w:ind w:left="-2520" w:firstLine="0"/>
      </w:pPr>
      <w:rPr>
        <w:rFonts w:hint="eastAsia"/>
      </w:rPr>
    </w:lvl>
    <w:lvl w:ilvl="6" w:tentative="0">
      <w:start w:val="1"/>
      <w:numFmt w:val="none"/>
      <w:suff w:val="nothing"/>
      <w:lvlText w:val=""/>
      <w:lvlJc w:val="left"/>
      <w:pPr>
        <w:ind w:left="-2520" w:firstLine="0"/>
      </w:pPr>
      <w:rPr>
        <w:rFonts w:hint="eastAsia"/>
      </w:rPr>
    </w:lvl>
    <w:lvl w:ilvl="7" w:tentative="0">
      <w:start w:val="1"/>
      <w:numFmt w:val="none"/>
      <w:suff w:val="nothing"/>
      <w:lvlText w:val=""/>
      <w:lvlJc w:val="left"/>
      <w:pPr>
        <w:ind w:left="-2520" w:firstLine="0"/>
      </w:pPr>
      <w:rPr>
        <w:rFonts w:hint="eastAsia"/>
      </w:rPr>
    </w:lvl>
    <w:lvl w:ilvl="8" w:tentative="0">
      <w:start w:val="1"/>
      <w:numFmt w:val="none"/>
      <w:suff w:val="nothing"/>
      <w:lvlText w:val=""/>
      <w:lvlJc w:val="left"/>
      <w:pPr>
        <w:ind w:left="-2520" w:firstLine="0"/>
      </w:pPr>
      <w:rPr>
        <w:rFonts w:hint="eastAsia"/>
      </w:r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hideSpellingError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g2ZGIyZWRmZTk5MGEyN2Y5Y2Y2MjllNTgyNjIzMzUifQ=="/>
    <w:docVar w:name="KSO_WPS_MARK_KEY" w:val="c1054f3b-6daf-4cd3-ab07-76b027c27892"/>
  </w:docVars>
  <w:rsids>
    <w:rsidRoot w:val="00AF4119"/>
    <w:rsid w:val="000025C2"/>
    <w:rsid w:val="00003FFE"/>
    <w:rsid w:val="00014939"/>
    <w:rsid w:val="00021AC7"/>
    <w:rsid w:val="00022221"/>
    <w:rsid w:val="00041E30"/>
    <w:rsid w:val="000552F2"/>
    <w:rsid w:val="0005689B"/>
    <w:rsid w:val="00062D2E"/>
    <w:rsid w:val="0007581C"/>
    <w:rsid w:val="000926B9"/>
    <w:rsid w:val="000A1496"/>
    <w:rsid w:val="000B153D"/>
    <w:rsid w:val="000E23D7"/>
    <w:rsid w:val="00143047"/>
    <w:rsid w:val="001666EA"/>
    <w:rsid w:val="001668B9"/>
    <w:rsid w:val="00175BCA"/>
    <w:rsid w:val="00181A0F"/>
    <w:rsid w:val="001950A4"/>
    <w:rsid w:val="001A357B"/>
    <w:rsid w:val="001D5C51"/>
    <w:rsid w:val="001D6873"/>
    <w:rsid w:val="00206D40"/>
    <w:rsid w:val="00211896"/>
    <w:rsid w:val="00215AD3"/>
    <w:rsid w:val="002212DD"/>
    <w:rsid w:val="00225716"/>
    <w:rsid w:val="00241287"/>
    <w:rsid w:val="00244F4F"/>
    <w:rsid w:val="0029525B"/>
    <w:rsid w:val="002A1005"/>
    <w:rsid w:val="002E55B0"/>
    <w:rsid w:val="002E742F"/>
    <w:rsid w:val="002F2D61"/>
    <w:rsid w:val="00314036"/>
    <w:rsid w:val="003172B2"/>
    <w:rsid w:val="00342BC7"/>
    <w:rsid w:val="00351550"/>
    <w:rsid w:val="0039165B"/>
    <w:rsid w:val="003A12F6"/>
    <w:rsid w:val="00415184"/>
    <w:rsid w:val="00481DB7"/>
    <w:rsid w:val="00487F84"/>
    <w:rsid w:val="004F6761"/>
    <w:rsid w:val="00505AF5"/>
    <w:rsid w:val="0051397E"/>
    <w:rsid w:val="00524C8B"/>
    <w:rsid w:val="00560A81"/>
    <w:rsid w:val="005877CC"/>
    <w:rsid w:val="00594B8F"/>
    <w:rsid w:val="005E11C3"/>
    <w:rsid w:val="005E6707"/>
    <w:rsid w:val="005F70EE"/>
    <w:rsid w:val="00610409"/>
    <w:rsid w:val="00612ED0"/>
    <w:rsid w:val="006241FD"/>
    <w:rsid w:val="00647211"/>
    <w:rsid w:val="00655A6F"/>
    <w:rsid w:val="00695372"/>
    <w:rsid w:val="006B6B7C"/>
    <w:rsid w:val="006D64FC"/>
    <w:rsid w:val="006E4A62"/>
    <w:rsid w:val="0077057E"/>
    <w:rsid w:val="007705CB"/>
    <w:rsid w:val="00775603"/>
    <w:rsid w:val="00801551"/>
    <w:rsid w:val="008037C1"/>
    <w:rsid w:val="00807D46"/>
    <w:rsid w:val="0082333C"/>
    <w:rsid w:val="00880959"/>
    <w:rsid w:val="008953F8"/>
    <w:rsid w:val="008A3F2D"/>
    <w:rsid w:val="008C1577"/>
    <w:rsid w:val="008C772C"/>
    <w:rsid w:val="008F1F0E"/>
    <w:rsid w:val="009113AB"/>
    <w:rsid w:val="0092371C"/>
    <w:rsid w:val="0094742B"/>
    <w:rsid w:val="00977868"/>
    <w:rsid w:val="009B455C"/>
    <w:rsid w:val="009C153F"/>
    <w:rsid w:val="009D1580"/>
    <w:rsid w:val="00A0065D"/>
    <w:rsid w:val="00A74EEE"/>
    <w:rsid w:val="00A95819"/>
    <w:rsid w:val="00A97022"/>
    <w:rsid w:val="00AA449A"/>
    <w:rsid w:val="00AA7FE6"/>
    <w:rsid w:val="00AD0136"/>
    <w:rsid w:val="00AF4119"/>
    <w:rsid w:val="00B146CF"/>
    <w:rsid w:val="00B42FB5"/>
    <w:rsid w:val="00BA1D7C"/>
    <w:rsid w:val="00BB23CE"/>
    <w:rsid w:val="00BC331A"/>
    <w:rsid w:val="00BD04E7"/>
    <w:rsid w:val="00BF5249"/>
    <w:rsid w:val="00C11035"/>
    <w:rsid w:val="00C17643"/>
    <w:rsid w:val="00C23FEE"/>
    <w:rsid w:val="00C41C05"/>
    <w:rsid w:val="00C67BC3"/>
    <w:rsid w:val="00C72973"/>
    <w:rsid w:val="00C9018B"/>
    <w:rsid w:val="00C908AF"/>
    <w:rsid w:val="00CF79B5"/>
    <w:rsid w:val="00D0304C"/>
    <w:rsid w:val="00D1263B"/>
    <w:rsid w:val="00D43550"/>
    <w:rsid w:val="00D65FBA"/>
    <w:rsid w:val="00D80B76"/>
    <w:rsid w:val="00DC247A"/>
    <w:rsid w:val="00DC258E"/>
    <w:rsid w:val="00DF23CD"/>
    <w:rsid w:val="00E00A0F"/>
    <w:rsid w:val="00E11D2C"/>
    <w:rsid w:val="00E14617"/>
    <w:rsid w:val="00E14C6E"/>
    <w:rsid w:val="00E60A09"/>
    <w:rsid w:val="00E72CEA"/>
    <w:rsid w:val="00EB2F0E"/>
    <w:rsid w:val="00EC3BC3"/>
    <w:rsid w:val="00ED29A8"/>
    <w:rsid w:val="00F15A81"/>
    <w:rsid w:val="00F73B6E"/>
    <w:rsid w:val="00F83EBC"/>
    <w:rsid w:val="00F87825"/>
    <w:rsid w:val="00F9548D"/>
    <w:rsid w:val="00FA03BF"/>
    <w:rsid w:val="00FD68A2"/>
    <w:rsid w:val="01115B19"/>
    <w:rsid w:val="01250DD2"/>
    <w:rsid w:val="012A4E2C"/>
    <w:rsid w:val="013730A5"/>
    <w:rsid w:val="013D6444"/>
    <w:rsid w:val="01443FE5"/>
    <w:rsid w:val="0147778C"/>
    <w:rsid w:val="014D4677"/>
    <w:rsid w:val="016043AA"/>
    <w:rsid w:val="016730BA"/>
    <w:rsid w:val="01687703"/>
    <w:rsid w:val="018A7679"/>
    <w:rsid w:val="01B30A69"/>
    <w:rsid w:val="01C942EF"/>
    <w:rsid w:val="01CB7BB3"/>
    <w:rsid w:val="01D20A5A"/>
    <w:rsid w:val="01D805AA"/>
    <w:rsid w:val="01D9415D"/>
    <w:rsid w:val="020A342D"/>
    <w:rsid w:val="0237246F"/>
    <w:rsid w:val="02585D19"/>
    <w:rsid w:val="02587777"/>
    <w:rsid w:val="027D56FD"/>
    <w:rsid w:val="02833FE6"/>
    <w:rsid w:val="029D518A"/>
    <w:rsid w:val="029E162E"/>
    <w:rsid w:val="02A10414"/>
    <w:rsid w:val="02A364FD"/>
    <w:rsid w:val="02C866AB"/>
    <w:rsid w:val="02E132C9"/>
    <w:rsid w:val="02ED7EC0"/>
    <w:rsid w:val="030D1D54"/>
    <w:rsid w:val="03200295"/>
    <w:rsid w:val="03207CAC"/>
    <w:rsid w:val="0321400D"/>
    <w:rsid w:val="03804BE0"/>
    <w:rsid w:val="038E7C3E"/>
    <w:rsid w:val="03971147"/>
    <w:rsid w:val="03AD764F"/>
    <w:rsid w:val="04096F7B"/>
    <w:rsid w:val="04583A5F"/>
    <w:rsid w:val="045C7712"/>
    <w:rsid w:val="049A7BD3"/>
    <w:rsid w:val="04A23F13"/>
    <w:rsid w:val="04A2489A"/>
    <w:rsid w:val="04AB1A5C"/>
    <w:rsid w:val="04D778DD"/>
    <w:rsid w:val="04E16104"/>
    <w:rsid w:val="04E672BC"/>
    <w:rsid w:val="05183285"/>
    <w:rsid w:val="05214350"/>
    <w:rsid w:val="055B49B5"/>
    <w:rsid w:val="05B64EE1"/>
    <w:rsid w:val="05BC3F88"/>
    <w:rsid w:val="05DA7467"/>
    <w:rsid w:val="060C57EB"/>
    <w:rsid w:val="06112117"/>
    <w:rsid w:val="062C0CFF"/>
    <w:rsid w:val="063A78C0"/>
    <w:rsid w:val="0645316C"/>
    <w:rsid w:val="06914C54"/>
    <w:rsid w:val="06BA27AF"/>
    <w:rsid w:val="06CE625A"/>
    <w:rsid w:val="06EA76C4"/>
    <w:rsid w:val="070665C4"/>
    <w:rsid w:val="070D645A"/>
    <w:rsid w:val="07945E06"/>
    <w:rsid w:val="07AC659B"/>
    <w:rsid w:val="07B812CB"/>
    <w:rsid w:val="07C71696"/>
    <w:rsid w:val="07F30A3C"/>
    <w:rsid w:val="07FF6802"/>
    <w:rsid w:val="08091A32"/>
    <w:rsid w:val="082523BB"/>
    <w:rsid w:val="082553C9"/>
    <w:rsid w:val="08275C22"/>
    <w:rsid w:val="082D2F84"/>
    <w:rsid w:val="083E11BD"/>
    <w:rsid w:val="083E4D1A"/>
    <w:rsid w:val="086329D2"/>
    <w:rsid w:val="086A2AF6"/>
    <w:rsid w:val="086D37A3"/>
    <w:rsid w:val="0874698D"/>
    <w:rsid w:val="08840D3E"/>
    <w:rsid w:val="08A2174C"/>
    <w:rsid w:val="08A23260"/>
    <w:rsid w:val="08E27D9B"/>
    <w:rsid w:val="09112914"/>
    <w:rsid w:val="091C675B"/>
    <w:rsid w:val="09322116"/>
    <w:rsid w:val="09972C13"/>
    <w:rsid w:val="09C62C84"/>
    <w:rsid w:val="09CA3756"/>
    <w:rsid w:val="09CA3964"/>
    <w:rsid w:val="0A116B8A"/>
    <w:rsid w:val="0A1C72DC"/>
    <w:rsid w:val="0A54477F"/>
    <w:rsid w:val="0A6131CD"/>
    <w:rsid w:val="0A882A3D"/>
    <w:rsid w:val="0A901DB7"/>
    <w:rsid w:val="0A904177"/>
    <w:rsid w:val="0AB1211B"/>
    <w:rsid w:val="0AB15C77"/>
    <w:rsid w:val="0AD35BED"/>
    <w:rsid w:val="0AE67E56"/>
    <w:rsid w:val="0B48113B"/>
    <w:rsid w:val="0B4F7104"/>
    <w:rsid w:val="0B5331D2"/>
    <w:rsid w:val="0B9579E1"/>
    <w:rsid w:val="0B9F65F9"/>
    <w:rsid w:val="0BA85AFD"/>
    <w:rsid w:val="0BC74D9D"/>
    <w:rsid w:val="0C2B3807"/>
    <w:rsid w:val="0C41302A"/>
    <w:rsid w:val="0C760E15"/>
    <w:rsid w:val="0C775950"/>
    <w:rsid w:val="0C835C78"/>
    <w:rsid w:val="0C8C43AE"/>
    <w:rsid w:val="0C923886"/>
    <w:rsid w:val="0C9B62D5"/>
    <w:rsid w:val="0CBB4B8B"/>
    <w:rsid w:val="0D0712A6"/>
    <w:rsid w:val="0D0E41FB"/>
    <w:rsid w:val="0D133464"/>
    <w:rsid w:val="0D2941EA"/>
    <w:rsid w:val="0D540CC6"/>
    <w:rsid w:val="0D7625B5"/>
    <w:rsid w:val="0D7665BD"/>
    <w:rsid w:val="0D7C1107"/>
    <w:rsid w:val="0DA576D4"/>
    <w:rsid w:val="0DAB24E0"/>
    <w:rsid w:val="0DC76586"/>
    <w:rsid w:val="0DCA4332"/>
    <w:rsid w:val="0DEF2DBD"/>
    <w:rsid w:val="0E3D4A20"/>
    <w:rsid w:val="0E3F0792"/>
    <w:rsid w:val="0E7E7B9D"/>
    <w:rsid w:val="0E8155AB"/>
    <w:rsid w:val="0E903981"/>
    <w:rsid w:val="0E9A4A19"/>
    <w:rsid w:val="0E9A563D"/>
    <w:rsid w:val="0E9B2EC6"/>
    <w:rsid w:val="0EBE2577"/>
    <w:rsid w:val="0ED62150"/>
    <w:rsid w:val="0EDB32C2"/>
    <w:rsid w:val="0EEE7499"/>
    <w:rsid w:val="0F2725F2"/>
    <w:rsid w:val="0F296723"/>
    <w:rsid w:val="0F6E04A6"/>
    <w:rsid w:val="0F9A4354"/>
    <w:rsid w:val="0F9A650E"/>
    <w:rsid w:val="0FA1568B"/>
    <w:rsid w:val="0FC71A98"/>
    <w:rsid w:val="0FCC4C10"/>
    <w:rsid w:val="0FED3F88"/>
    <w:rsid w:val="10680D57"/>
    <w:rsid w:val="10795897"/>
    <w:rsid w:val="108B4FFD"/>
    <w:rsid w:val="10D85F43"/>
    <w:rsid w:val="10EC7A09"/>
    <w:rsid w:val="10EE56E4"/>
    <w:rsid w:val="11122CD2"/>
    <w:rsid w:val="11462A61"/>
    <w:rsid w:val="114A174A"/>
    <w:rsid w:val="11B477E6"/>
    <w:rsid w:val="11FD2B0C"/>
    <w:rsid w:val="12316BDB"/>
    <w:rsid w:val="12445B3A"/>
    <w:rsid w:val="12962136"/>
    <w:rsid w:val="129B16E6"/>
    <w:rsid w:val="12D15108"/>
    <w:rsid w:val="12D70244"/>
    <w:rsid w:val="130628D8"/>
    <w:rsid w:val="131C78EB"/>
    <w:rsid w:val="13202823"/>
    <w:rsid w:val="132C67CE"/>
    <w:rsid w:val="134D00AF"/>
    <w:rsid w:val="134F757D"/>
    <w:rsid w:val="13A45C16"/>
    <w:rsid w:val="13AA7707"/>
    <w:rsid w:val="13B103A3"/>
    <w:rsid w:val="13B16CE7"/>
    <w:rsid w:val="13C40341"/>
    <w:rsid w:val="13DD1895"/>
    <w:rsid w:val="13DE50F9"/>
    <w:rsid w:val="13FA4FC1"/>
    <w:rsid w:val="142E658A"/>
    <w:rsid w:val="14317F8B"/>
    <w:rsid w:val="145D7972"/>
    <w:rsid w:val="146D70B2"/>
    <w:rsid w:val="14700951"/>
    <w:rsid w:val="14733869"/>
    <w:rsid w:val="14741CD6"/>
    <w:rsid w:val="14E029D3"/>
    <w:rsid w:val="15136129"/>
    <w:rsid w:val="151A123D"/>
    <w:rsid w:val="1534372C"/>
    <w:rsid w:val="15344D3E"/>
    <w:rsid w:val="155A67CD"/>
    <w:rsid w:val="15657D89"/>
    <w:rsid w:val="15671D54"/>
    <w:rsid w:val="157D50D3"/>
    <w:rsid w:val="15891CCA"/>
    <w:rsid w:val="158C3568"/>
    <w:rsid w:val="15E566B9"/>
    <w:rsid w:val="16542FC2"/>
    <w:rsid w:val="1662251B"/>
    <w:rsid w:val="166B5873"/>
    <w:rsid w:val="1683496B"/>
    <w:rsid w:val="169673B2"/>
    <w:rsid w:val="16E3365C"/>
    <w:rsid w:val="16ED6288"/>
    <w:rsid w:val="1713632F"/>
    <w:rsid w:val="171F353F"/>
    <w:rsid w:val="17683B61"/>
    <w:rsid w:val="17BF5854"/>
    <w:rsid w:val="17E124AA"/>
    <w:rsid w:val="17E46943"/>
    <w:rsid w:val="1808630A"/>
    <w:rsid w:val="18827C69"/>
    <w:rsid w:val="18EE5AED"/>
    <w:rsid w:val="18FF01C7"/>
    <w:rsid w:val="19123750"/>
    <w:rsid w:val="191E4E1F"/>
    <w:rsid w:val="1949568C"/>
    <w:rsid w:val="197C1B46"/>
    <w:rsid w:val="198B32A7"/>
    <w:rsid w:val="199840FC"/>
    <w:rsid w:val="19BB5C5A"/>
    <w:rsid w:val="19C36978"/>
    <w:rsid w:val="19E157F6"/>
    <w:rsid w:val="1A1A3838"/>
    <w:rsid w:val="1A286908"/>
    <w:rsid w:val="1A4D23D1"/>
    <w:rsid w:val="1AC92B69"/>
    <w:rsid w:val="1AD67034"/>
    <w:rsid w:val="1AE71241"/>
    <w:rsid w:val="1AF43675"/>
    <w:rsid w:val="1B46240B"/>
    <w:rsid w:val="1BF66A42"/>
    <w:rsid w:val="1C0E117B"/>
    <w:rsid w:val="1C327CE6"/>
    <w:rsid w:val="1C543911"/>
    <w:rsid w:val="1C56667E"/>
    <w:rsid w:val="1C997EC2"/>
    <w:rsid w:val="1CA13D9D"/>
    <w:rsid w:val="1CC24CDD"/>
    <w:rsid w:val="1CC40B0B"/>
    <w:rsid w:val="1CCD3064"/>
    <w:rsid w:val="1CE20060"/>
    <w:rsid w:val="1D1C7C6E"/>
    <w:rsid w:val="1D765717"/>
    <w:rsid w:val="1D775FFF"/>
    <w:rsid w:val="1D927536"/>
    <w:rsid w:val="1DBB2FF4"/>
    <w:rsid w:val="1DBC534F"/>
    <w:rsid w:val="1DBE5351"/>
    <w:rsid w:val="1DC1221D"/>
    <w:rsid w:val="1DCB4AA3"/>
    <w:rsid w:val="1E090E74"/>
    <w:rsid w:val="1E1B36DB"/>
    <w:rsid w:val="1E3E3B82"/>
    <w:rsid w:val="1E705D59"/>
    <w:rsid w:val="1E7F010E"/>
    <w:rsid w:val="1EDB4007"/>
    <w:rsid w:val="1F390F44"/>
    <w:rsid w:val="1F547872"/>
    <w:rsid w:val="1F560D6D"/>
    <w:rsid w:val="1F5C1060"/>
    <w:rsid w:val="1FCC3AEE"/>
    <w:rsid w:val="1FF413F1"/>
    <w:rsid w:val="2031432C"/>
    <w:rsid w:val="20684BD2"/>
    <w:rsid w:val="20B44DA5"/>
    <w:rsid w:val="20BB04B1"/>
    <w:rsid w:val="214D441A"/>
    <w:rsid w:val="21DC7625"/>
    <w:rsid w:val="21FE657E"/>
    <w:rsid w:val="21FE759C"/>
    <w:rsid w:val="22347461"/>
    <w:rsid w:val="22614BEE"/>
    <w:rsid w:val="22825DB5"/>
    <w:rsid w:val="22837AA1"/>
    <w:rsid w:val="228E06B6"/>
    <w:rsid w:val="2295181B"/>
    <w:rsid w:val="22B16442"/>
    <w:rsid w:val="22B46A4F"/>
    <w:rsid w:val="22E12104"/>
    <w:rsid w:val="230010F2"/>
    <w:rsid w:val="23191203"/>
    <w:rsid w:val="236647F3"/>
    <w:rsid w:val="23825FAA"/>
    <w:rsid w:val="2391082F"/>
    <w:rsid w:val="23A87387"/>
    <w:rsid w:val="24255BBA"/>
    <w:rsid w:val="242706BD"/>
    <w:rsid w:val="24942C96"/>
    <w:rsid w:val="249A59EC"/>
    <w:rsid w:val="24F15196"/>
    <w:rsid w:val="253C54D3"/>
    <w:rsid w:val="254A5001"/>
    <w:rsid w:val="255C5D31"/>
    <w:rsid w:val="257D525E"/>
    <w:rsid w:val="25844DB9"/>
    <w:rsid w:val="25874182"/>
    <w:rsid w:val="259124D5"/>
    <w:rsid w:val="259D07B6"/>
    <w:rsid w:val="25CE54D7"/>
    <w:rsid w:val="260158AC"/>
    <w:rsid w:val="262B1274"/>
    <w:rsid w:val="26304DF6"/>
    <w:rsid w:val="265B43D9"/>
    <w:rsid w:val="265C29D1"/>
    <w:rsid w:val="267438DD"/>
    <w:rsid w:val="26C64400"/>
    <w:rsid w:val="26CD578F"/>
    <w:rsid w:val="26CF59AB"/>
    <w:rsid w:val="26DD74CC"/>
    <w:rsid w:val="26DE799C"/>
    <w:rsid w:val="26E43059"/>
    <w:rsid w:val="26F471BF"/>
    <w:rsid w:val="26F62F37"/>
    <w:rsid w:val="270417B7"/>
    <w:rsid w:val="272B1389"/>
    <w:rsid w:val="27335F39"/>
    <w:rsid w:val="27435B0C"/>
    <w:rsid w:val="274719E5"/>
    <w:rsid w:val="276708D2"/>
    <w:rsid w:val="277C2A92"/>
    <w:rsid w:val="278F0983"/>
    <w:rsid w:val="27932534"/>
    <w:rsid w:val="27C43134"/>
    <w:rsid w:val="27FD02F5"/>
    <w:rsid w:val="27FF6920"/>
    <w:rsid w:val="2839206B"/>
    <w:rsid w:val="284C7D86"/>
    <w:rsid w:val="28683AFD"/>
    <w:rsid w:val="28E21E48"/>
    <w:rsid w:val="29001E4B"/>
    <w:rsid w:val="2907650B"/>
    <w:rsid w:val="291D0C4F"/>
    <w:rsid w:val="29253660"/>
    <w:rsid w:val="293146FB"/>
    <w:rsid w:val="2954794D"/>
    <w:rsid w:val="29583A35"/>
    <w:rsid w:val="295F3CD2"/>
    <w:rsid w:val="29602A26"/>
    <w:rsid w:val="29982084"/>
    <w:rsid w:val="29B175E9"/>
    <w:rsid w:val="29DF2D05"/>
    <w:rsid w:val="2A042B68"/>
    <w:rsid w:val="2A1B7227"/>
    <w:rsid w:val="2A385A03"/>
    <w:rsid w:val="2A3D49F6"/>
    <w:rsid w:val="2A4915D0"/>
    <w:rsid w:val="2AA75D04"/>
    <w:rsid w:val="2AB23619"/>
    <w:rsid w:val="2ABE430E"/>
    <w:rsid w:val="2AD25A69"/>
    <w:rsid w:val="2AE268AE"/>
    <w:rsid w:val="2AF63382"/>
    <w:rsid w:val="2B2A1401"/>
    <w:rsid w:val="2B342153"/>
    <w:rsid w:val="2BA40F2D"/>
    <w:rsid w:val="2BB331A5"/>
    <w:rsid w:val="2BDB7453"/>
    <w:rsid w:val="2BEF3ED2"/>
    <w:rsid w:val="2C0D087E"/>
    <w:rsid w:val="2C5B55EB"/>
    <w:rsid w:val="2C7843EE"/>
    <w:rsid w:val="2CB74F17"/>
    <w:rsid w:val="2CC30472"/>
    <w:rsid w:val="2CF33A75"/>
    <w:rsid w:val="2D2814AA"/>
    <w:rsid w:val="2D3D184D"/>
    <w:rsid w:val="2D67693D"/>
    <w:rsid w:val="2D737F53"/>
    <w:rsid w:val="2D80355B"/>
    <w:rsid w:val="2DAE170A"/>
    <w:rsid w:val="2DD6329A"/>
    <w:rsid w:val="2E4A6D63"/>
    <w:rsid w:val="2E505623"/>
    <w:rsid w:val="2E5642BC"/>
    <w:rsid w:val="2E6115DE"/>
    <w:rsid w:val="2E9C3F84"/>
    <w:rsid w:val="2EEE7319"/>
    <w:rsid w:val="2F307927"/>
    <w:rsid w:val="2F380E26"/>
    <w:rsid w:val="2F9F236E"/>
    <w:rsid w:val="2FB367FC"/>
    <w:rsid w:val="2FB94059"/>
    <w:rsid w:val="2FBE480E"/>
    <w:rsid w:val="2FCD654A"/>
    <w:rsid w:val="2FDB53C0"/>
    <w:rsid w:val="30032221"/>
    <w:rsid w:val="302402CB"/>
    <w:rsid w:val="30405223"/>
    <w:rsid w:val="304810B0"/>
    <w:rsid w:val="304F4E77"/>
    <w:rsid w:val="305132FD"/>
    <w:rsid w:val="30550CCF"/>
    <w:rsid w:val="30AC23DA"/>
    <w:rsid w:val="30EF5ABF"/>
    <w:rsid w:val="30FC739C"/>
    <w:rsid w:val="30FD3B52"/>
    <w:rsid w:val="31053A08"/>
    <w:rsid w:val="3144724F"/>
    <w:rsid w:val="317433D6"/>
    <w:rsid w:val="3191286B"/>
    <w:rsid w:val="31AF59A8"/>
    <w:rsid w:val="31D2634F"/>
    <w:rsid w:val="31DC6833"/>
    <w:rsid w:val="31F97D80"/>
    <w:rsid w:val="32215C0F"/>
    <w:rsid w:val="322F3A97"/>
    <w:rsid w:val="32444435"/>
    <w:rsid w:val="324F174E"/>
    <w:rsid w:val="32615418"/>
    <w:rsid w:val="32731A71"/>
    <w:rsid w:val="32A51969"/>
    <w:rsid w:val="32B83A2F"/>
    <w:rsid w:val="32CB304D"/>
    <w:rsid w:val="33107F03"/>
    <w:rsid w:val="33440FC3"/>
    <w:rsid w:val="334D2A0A"/>
    <w:rsid w:val="335214F5"/>
    <w:rsid w:val="33627E8C"/>
    <w:rsid w:val="339A4C4A"/>
    <w:rsid w:val="33B95A18"/>
    <w:rsid w:val="33DE0FDB"/>
    <w:rsid w:val="33E60450"/>
    <w:rsid w:val="341A0402"/>
    <w:rsid w:val="34244A1E"/>
    <w:rsid w:val="344C063B"/>
    <w:rsid w:val="34572B3B"/>
    <w:rsid w:val="345F5048"/>
    <w:rsid w:val="347F6410"/>
    <w:rsid w:val="34896632"/>
    <w:rsid w:val="348E6A9E"/>
    <w:rsid w:val="34A264AC"/>
    <w:rsid w:val="34AA33DF"/>
    <w:rsid w:val="34B61F58"/>
    <w:rsid w:val="34DB376C"/>
    <w:rsid w:val="34F767F8"/>
    <w:rsid w:val="351C625F"/>
    <w:rsid w:val="35393AEA"/>
    <w:rsid w:val="35690D78"/>
    <w:rsid w:val="35DA7E95"/>
    <w:rsid w:val="35E854C3"/>
    <w:rsid w:val="35F1149A"/>
    <w:rsid w:val="364E27CA"/>
    <w:rsid w:val="368D0EDC"/>
    <w:rsid w:val="36A0684C"/>
    <w:rsid w:val="36A90048"/>
    <w:rsid w:val="36AE7685"/>
    <w:rsid w:val="36CA1CEB"/>
    <w:rsid w:val="36EC3A0F"/>
    <w:rsid w:val="36F513FE"/>
    <w:rsid w:val="375241BA"/>
    <w:rsid w:val="379C02C5"/>
    <w:rsid w:val="37B87666"/>
    <w:rsid w:val="37C03732"/>
    <w:rsid w:val="37D95FAB"/>
    <w:rsid w:val="37E312B6"/>
    <w:rsid w:val="381253DE"/>
    <w:rsid w:val="3866592D"/>
    <w:rsid w:val="386B565D"/>
    <w:rsid w:val="38B76EC4"/>
    <w:rsid w:val="38BB1AA5"/>
    <w:rsid w:val="38CC1D4A"/>
    <w:rsid w:val="38E37EE8"/>
    <w:rsid w:val="38E718F0"/>
    <w:rsid w:val="39132A1A"/>
    <w:rsid w:val="3918001E"/>
    <w:rsid w:val="392044A0"/>
    <w:rsid w:val="394321A3"/>
    <w:rsid w:val="39443580"/>
    <w:rsid w:val="395B3EA8"/>
    <w:rsid w:val="397B2C2C"/>
    <w:rsid w:val="397F5A7B"/>
    <w:rsid w:val="399C796E"/>
    <w:rsid w:val="39A607ED"/>
    <w:rsid w:val="39B0341A"/>
    <w:rsid w:val="39C82B7D"/>
    <w:rsid w:val="3A051BD9"/>
    <w:rsid w:val="3A080B60"/>
    <w:rsid w:val="3A0C2253"/>
    <w:rsid w:val="3AA00637"/>
    <w:rsid w:val="3AB3217D"/>
    <w:rsid w:val="3AC61CBE"/>
    <w:rsid w:val="3ADB7844"/>
    <w:rsid w:val="3B0949EF"/>
    <w:rsid w:val="3B0F5F1E"/>
    <w:rsid w:val="3B196D9D"/>
    <w:rsid w:val="3B1B30D7"/>
    <w:rsid w:val="3C031BC3"/>
    <w:rsid w:val="3C3E4D0D"/>
    <w:rsid w:val="3C6C5FB5"/>
    <w:rsid w:val="3CD4741F"/>
    <w:rsid w:val="3CDC4526"/>
    <w:rsid w:val="3D77622A"/>
    <w:rsid w:val="3DF15DAF"/>
    <w:rsid w:val="3DFD13D8"/>
    <w:rsid w:val="3E067AAC"/>
    <w:rsid w:val="3E236E18"/>
    <w:rsid w:val="3E2469ED"/>
    <w:rsid w:val="3E370817"/>
    <w:rsid w:val="3E393F26"/>
    <w:rsid w:val="3E6B13D8"/>
    <w:rsid w:val="3EB412B6"/>
    <w:rsid w:val="3EF9316D"/>
    <w:rsid w:val="3F0E5AA7"/>
    <w:rsid w:val="3F285800"/>
    <w:rsid w:val="3F375A43"/>
    <w:rsid w:val="3F381EE7"/>
    <w:rsid w:val="3F541174"/>
    <w:rsid w:val="3F5900B0"/>
    <w:rsid w:val="3F5D36FC"/>
    <w:rsid w:val="3F784711"/>
    <w:rsid w:val="3FC31CB6"/>
    <w:rsid w:val="3FCE5BF6"/>
    <w:rsid w:val="3FE71217"/>
    <w:rsid w:val="40083B08"/>
    <w:rsid w:val="402F1DCE"/>
    <w:rsid w:val="404701D6"/>
    <w:rsid w:val="40630701"/>
    <w:rsid w:val="40687A30"/>
    <w:rsid w:val="40DF55D9"/>
    <w:rsid w:val="40E7445D"/>
    <w:rsid w:val="40F00730"/>
    <w:rsid w:val="40F2190D"/>
    <w:rsid w:val="41045905"/>
    <w:rsid w:val="41116E38"/>
    <w:rsid w:val="4132246F"/>
    <w:rsid w:val="413B46F3"/>
    <w:rsid w:val="4152165F"/>
    <w:rsid w:val="41605FC4"/>
    <w:rsid w:val="417E4BBE"/>
    <w:rsid w:val="419D0727"/>
    <w:rsid w:val="41B72F65"/>
    <w:rsid w:val="41E2438C"/>
    <w:rsid w:val="41F2416D"/>
    <w:rsid w:val="41FC528F"/>
    <w:rsid w:val="42064F4F"/>
    <w:rsid w:val="42321CF9"/>
    <w:rsid w:val="423900B2"/>
    <w:rsid w:val="42672AE3"/>
    <w:rsid w:val="42A70444"/>
    <w:rsid w:val="42B35EB3"/>
    <w:rsid w:val="42BA743D"/>
    <w:rsid w:val="42CC2ADD"/>
    <w:rsid w:val="42D31F27"/>
    <w:rsid w:val="42EF38FA"/>
    <w:rsid w:val="42F73E67"/>
    <w:rsid w:val="43036E8D"/>
    <w:rsid w:val="43313F74"/>
    <w:rsid w:val="433475D8"/>
    <w:rsid w:val="43362BE2"/>
    <w:rsid w:val="433E3844"/>
    <w:rsid w:val="43AC6A00"/>
    <w:rsid w:val="43CE2E1A"/>
    <w:rsid w:val="43EE526A"/>
    <w:rsid w:val="440C0BD4"/>
    <w:rsid w:val="44112D07"/>
    <w:rsid w:val="44356037"/>
    <w:rsid w:val="443B59BB"/>
    <w:rsid w:val="443E4727"/>
    <w:rsid w:val="44601EBA"/>
    <w:rsid w:val="44867251"/>
    <w:rsid w:val="448D446A"/>
    <w:rsid w:val="448F26E1"/>
    <w:rsid w:val="449A2CFC"/>
    <w:rsid w:val="44C95A60"/>
    <w:rsid w:val="44D646CD"/>
    <w:rsid w:val="450D1720"/>
    <w:rsid w:val="452C71DC"/>
    <w:rsid w:val="456B28EB"/>
    <w:rsid w:val="45985604"/>
    <w:rsid w:val="45AC7E7F"/>
    <w:rsid w:val="45BE16E7"/>
    <w:rsid w:val="45C14E33"/>
    <w:rsid w:val="45C87D92"/>
    <w:rsid w:val="45D264C6"/>
    <w:rsid w:val="45EF7078"/>
    <w:rsid w:val="4642004E"/>
    <w:rsid w:val="46476EB4"/>
    <w:rsid w:val="46535EBC"/>
    <w:rsid w:val="468204D7"/>
    <w:rsid w:val="46C94C8B"/>
    <w:rsid w:val="46EF5BD2"/>
    <w:rsid w:val="46FB4D8B"/>
    <w:rsid w:val="46FE4EBD"/>
    <w:rsid w:val="47051BD2"/>
    <w:rsid w:val="47436DD0"/>
    <w:rsid w:val="475E78D5"/>
    <w:rsid w:val="476D46F8"/>
    <w:rsid w:val="47F123CD"/>
    <w:rsid w:val="47F15329"/>
    <w:rsid w:val="47FB4FF5"/>
    <w:rsid w:val="48142A06"/>
    <w:rsid w:val="481D69AF"/>
    <w:rsid w:val="483A14AB"/>
    <w:rsid w:val="484A67E7"/>
    <w:rsid w:val="48693111"/>
    <w:rsid w:val="48B14AB8"/>
    <w:rsid w:val="48BD432F"/>
    <w:rsid w:val="48BE5E92"/>
    <w:rsid w:val="48D255CD"/>
    <w:rsid w:val="49154405"/>
    <w:rsid w:val="49650B5B"/>
    <w:rsid w:val="497A3D4B"/>
    <w:rsid w:val="49825E03"/>
    <w:rsid w:val="49AC1386"/>
    <w:rsid w:val="49B52245"/>
    <w:rsid w:val="49B77EAC"/>
    <w:rsid w:val="49CF3448"/>
    <w:rsid w:val="49F050CC"/>
    <w:rsid w:val="49F66B64"/>
    <w:rsid w:val="4A293453"/>
    <w:rsid w:val="4A2D0083"/>
    <w:rsid w:val="4A2F7826"/>
    <w:rsid w:val="4A317C5F"/>
    <w:rsid w:val="4A396B13"/>
    <w:rsid w:val="4A3A6E38"/>
    <w:rsid w:val="4A6E480F"/>
    <w:rsid w:val="4A845265"/>
    <w:rsid w:val="4A8F42DF"/>
    <w:rsid w:val="4A981A8C"/>
    <w:rsid w:val="4AA06B93"/>
    <w:rsid w:val="4B013AD5"/>
    <w:rsid w:val="4B123C64"/>
    <w:rsid w:val="4B1F7F43"/>
    <w:rsid w:val="4B36368B"/>
    <w:rsid w:val="4B775B45"/>
    <w:rsid w:val="4B78733B"/>
    <w:rsid w:val="4B86222C"/>
    <w:rsid w:val="4B956108"/>
    <w:rsid w:val="4BCB04AF"/>
    <w:rsid w:val="4BD032F4"/>
    <w:rsid w:val="4BD452E5"/>
    <w:rsid w:val="4C7B3413"/>
    <w:rsid w:val="4C820C46"/>
    <w:rsid w:val="4C83676C"/>
    <w:rsid w:val="4C8E694C"/>
    <w:rsid w:val="4CDB3FBB"/>
    <w:rsid w:val="4CDD0DC9"/>
    <w:rsid w:val="4CF136D5"/>
    <w:rsid w:val="4D27266D"/>
    <w:rsid w:val="4D5F3D23"/>
    <w:rsid w:val="4D813A2C"/>
    <w:rsid w:val="4DA62712"/>
    <w:rsid w:val="4DB776F0"/>
    <w:rsid w:val="4DCC5D15"/>
    <w:rsid w:val="4DEB72BD"/>
    <w:rsid w:val="4DF321DE"/>
    <w:rsid w:val="4DFE7486"/>
    <w:rsid w:val="4E754349"/>
    <w:rsid w:val="4E936EFC"/>
    <w:rsid w:val="4EB901F5"/>
    <w:rsid w:val="4EBE7F2F"/>
    <w:rsid w:val="4F18404B"/>
    <w:rsid w:val="4F781E8C"/>
    <w:rsid w:val="4F942783"/>
    <w:rsid w:val="4FE2061A"/>
    <w:rsid w:val="4FE439C5"/>
    <w:rsid w:val="4FFB57ED"/>
    <w:rsid w:val="502010A5"/>
    <w:rsid w:val="502D54DA"/>
    <w:rsid w:val="50956205"/>
    <w:rsid w:val="51040A5A"/>
    <w:rsid w:val="51422A36"/>
    <w:rsid w:val="51515235"/>
    <w:rsid w:val="51542485"/>
    <w:rsid w:val="51804FFF"/>
    <w:rsid w:val="518C7FC3"/>
    <w:rsid w:val="51CA3B60"/>
    <w:rsid w:val="51EB2DE9"/>
    <w:rsid w:val="52287BBD"/>
    <w:rsid w:val="5237602E"/>
    <w:rsid w:val="524E5126"/>
    <w:rsid w:val="525D6A63"/>
    <w:rsid w:val="5283399F"/>
    <w:rsid w:val="52AF2F70"/>
    <w:rsid w:val="52BB3538"/>
    <w:rsid w:val="531C243C"/>
    <w:rsid w:val="533E7A99"/>
    <w:rsid w:val="53487A1C"/>
    <w:rsid w:val="534E34FB"/>
    <w:rsid w:val="537868FE"/>
    <w:rsid w:val="5380308B"/>
    <w:rsid w:val="53A771E4"/>
    <w:rsid w:val="53C03E02"/>
    <w:rsid w:val="53C2401E"/>
    <w:rsid w:val="53D968CC"/>
    <w:rsid w:val="54441D23"/>
    <w:rsid w:val="54484C47"/>
    <w:rsid w:val="544C2353"/>
    <w:rsid w:val="54745318"/>
    <w:rsid w:val="5488491F"/>
    <w:rsid w:val="54AF6E20"/>
    <w:rsid w:val="54B971CF"/>
    <w:rsid w:val="54D32DA8"/>
    <w:rsid w:val="54DC110F"/>
    <w:rsid w:val="54F5071A"/>
    <w:rsid w:val="551B5245"/>
    <w:rsid w:val="552A59CF"/>
    <w:rsid w:val="55380B74"/>
    <w:rsid w:val="553A0159"/>
    <w:rsid w:val="555002C2"/>
    <w:rsid w:val="5567603D"/>
    <w:rsid w:val="557355CF"/>
    <w:rsid w:val="557F79C3"/>
    <w:rsid w:val="558512B9"/>
    <w:rsid w:val="558D7E67"/>
    <w:rsid w:val="55AE1142"/>
    <w:rsid w:val="55BD5E19"/>
    <w:rsid w:val="55D77761"/>
    <w:rsid w:val="55E21242"/>
    <w:rsid w:val="55E95892"/>
    <w:rsid w:val="55EB643B"/>
    <w:rsid w:val="55F715B6"/>
    <w:rsid w:val="55FE0E8A"/>
    <w:rsid w:val="56222B52"/>
    <w:rsid w:val="562C17E0"/>
    <w:rsid w:val="567C4958"/>
    <w:rsid w:val="56982E14"/>
    <w:rsid w:val="56AF0889"/>
    <w:rsid w:val="56E867B6"/>
    <w:rsid w:val="56E86942"/>
    <w:rsid w:val="57034728"/>
    <w:rsid w:val="5703618B"/>
    <w:rsid w:val="572256A8"/>
    <w:rsid w:val="574A3FAA"/>
    <w:rsid w:val="578357DD"/>
    <w:rsid w:val="578515EA"/>
    <w:rsid w:val="579828D0"/>
    <w:rsid w:val="57BF184F"/>
    <w:rsid w:val="57E64726"/>
    <w:rsid w:val="581331F6"/>
    <w:rsid w:val="582B025E"/>
    <w:rsid w:val="584C2AC7"/>
    <w:rsid w:val="589462A5"/>
    <w:rsid w:val="58A81369"/>
    <w:rsid w:val="58BB6BE5"/>
    <w:rsid w:val="58E157DF"/>
    <w:rsid w:val="59113809"/>
    <w:rsid w:val="59351B2D"/>
    <w:rsid w:val="59491213"/>
    <w:rsid w:val="5949373A"/>
    <w:rsid w:val="59590653"/>
    <w:rsid w:val="5973562F"/>
    <w:rsid w:val="59745DBA"/>
    <w:rsid w:val="59853B23"/>
    <w:rsid w:val="5991071A"/>
    <w:rsid w:val="599F364A"/>
    <w:rsid w:val="59B33F49"/>
    <w:rsid w:val="59BF5E11"/>
    <w:rsid w:val="5A054934"/>
    <w:rsid w:val="5A1F12C9"/>
    <w:rsid w:val="5A2834F3"/>
    <w:rsid w:val="5A3B2434"/>
    <w:rsid w:val="5A673229"/>
    <w:rsid w:val="5A6E6BC7"/>
    <w:rsid w:val="5A8E6A07"/>
    <w:rsid w:val="5AA94F9B"/>
    <w:rsid w:val="5AEC231F"/>
    <w:rsid w:val="5AEE0F16"/>
    <w:rsid w:val="5AFF3461"/>
    <w:rsid w:val="5B0E07D9"/>
    <w:rsid w:val="5B2335F4"/>
    <w:rsid w:val="5B392E17"/>
    <w:rsid w:val="5B757F2A"/>
    <w:rsid w:val="5B974B50"/>
    <w:rsid w:val="5BAD16DB"/>
    <w:rsid w:val="5BB26726"/>
    <w:rsid w:val="5BCD4F5D"/>
    <w:rsid w:val="5BCE1093"/>
    <w:rsid w:val="5BD14DFE"/>
    <w:rsid w:val="5BD963A8"/>
    <w:rsid w:val="5BF642FF"/>
    <w:rsid w:val="5C1E3DBB"/>
    <w:rsid w:val="5C270EC2"/>
    <w:rsid w:val="5C3444F3"/>
    <w:rsid w:val="5C3B2BBF"/>
    <w:rsid w:val="5C5736B9"/>
    <w:rsid w:val="5C621EFA"/>
    <w:rsid w:val="5C8005D2"/>
    <w:rsid w:val="5C844566"/>
    <w:rsid w:val="5C9355B0"/>
    <w:rsid w:val="5CA867EF"/>
    <w:rsid w:val="5CB16B89"/>
    <w:rsid w:val="5CBE333F"/>
    <w:rsid w:val="5CE2128D"/>
    <w:rsid w:val="5D131446"/>
    <w:rsid w:val="5D471925"/>
    <w:rsid w:val="5D67131A"/>
    <w:rsid w:val="5D797289"/>
    <w:rsid w:val="5D7E0FB5"/>
    <w:rsid w:val="5D9B3A9D"/>
    <w:rsid w:val="5DB06C95"/>
    <w:rsid w:val="5DCF1811"/>
    <w:rsid w:val="5DD5494D"/>
    <w:rsid w:val="5DDD630B"/>
    <w:rsid w:val="5DE828D3"/>
    <w:rsid w:val="5E14191A"/>
    <w:rsid w:val="5E192A8C"/>
    <w:rsid w:val="5E1A0D5F"/>
    <w:rsid w:val="5E39312E"/>
    <w:rsid w:val="5E3B0C54"/>
    <w:rsid w:val="5EA470C3"/>
    <w:rsid w:val="5EB756AA"/>
    <w:rsid w:val="5EB84053"/>
    <w:rsid w:val="5EC32410"/>
    <w:rsid w:val="5ED35331"/>
    <w:rsid w:val="5ED370DF"/>
    <w:rsid w:val="5EFE3BFD"/>
    <w:rsid w:val="5F0A6041"/>
    <w:rsid w:val="5F136A11"/>
    <w:rsid w:val="5F3C4C84"/>
    <w:rsid w:val="5F6E04EA"/>
    <w:rsid w:val="5F9C1BC7"/>
    <w:rsid w:val="5FD52B92"/>
    <w:rsid w:val="5FF92B75"/>
    <w:rsid w:val="6037544B"/>
    <w:rsid w:val="604F6C39"/>
    <w:rsid w:val="60BB73D8"/>
    <w:rsid w:val="60DB04CD"/>
    <w:rsid w:val="60E3046B"/>
    <w:rsid w:val="60EC04CD"/>
    <w:rsid w:val="613568F7"/>
    <w:rsid w:val="61367612"/>
    <w:rsid w:val="61520215"/>
    <w:rsid w:val="615F2EAC"/>
    <w:rsid w:val="61774699"/>
    <w:rsid w:val="617F70AA"/>
    <w:rsid w:val="61956C85"/>
    <w:rsid w:val="619E03D3"/>
    <w:rsid w:val="61C40F61"/>
    <w:rsid w:val="61DC44FC"/>
    <w:rsid w:val="61FC4B9F"/>
    <w:rsid w:val="622A42CA"/>
    <w:rsid w:val="62397BA1"/>
    <w:rsid w:val="623F6839"/>
    <w:rsid w:val="624A590A"/>
    <w:rsid w:val="625C6D3B"/>
    <w:rsid w:val="62603351"/>
    <w:rsid w:val="62621C66"/>
    <w:rsid w:val="62742987"/>
    <w:rsid w:val="627B4140"/>
    <w:rsid w:val="6287090C"/>
    <w:rsid w:val="62A3290C"/>
    <w:rsid w:val="62CB7B1F"/>
    <w:rsid w:val="62F02A67"/>
    <w:rsid w:val="63333902"/>
    <w:rsid w:val="633D0FCB"/>
    <w:rsid w:val="63505D00"/>
    <w:rsid w:val="639D7478"/>
    <w:rsid w:val="63AD1E6B"/>
    <w:rsid w:val="63B70D7D"/>
    <w:rsid w:val="63C90AB0"/>
    <w:rsid w:val="63D731CD"/>
    <w:rsid w:val="63F30BF7"/>
    <w:rsid w:val="64436AB5"/>
    <w:rsid w:val="6454481E"/>
    <w:rsid w:val="64685CF0"/>
    <w:rsid w:val="646B7905"/>
    <w:rsid w:val="646E5E6C"/>
    <w:rsid w:val="64A216CA"/>
    <w:rsid w:val="64C463A3"/>
    <w:rsid w:val="64EC051E"/>
    <w:rsid w:val="661D2BEC"/>
    <w:rsid w:val="663F57BE"/>
    <w:rsid w:val="6646463A"/>
    <w:rsid w:val="66615D50"/>
    <w:rsid w:val="666457CA"/>
    <w:rsid w:val="666D201C"/>
    <w:rsid w:val="66795BD6"/>
    <w:rsid w:val="6699267D"/>
    <w:rsid w:val="66BC0131"/>
    <w:rsid w:val="66C33EDD"/>
    <w:rsid w:val="66CA6FFF"/>
    <w:rsid w:val="66CF7178"/>
    <w:rsid w:val="67301881"/>
    <w:rsid w:val="6744501E"/>
    <w:rsid w:val="675E7762"/>
    <w:rsid w:val="67B850C4"/>
    <w:rsid w:val="67C96032"/>
    <w:rsid w:val="67DE5980"/>
    <w:rsid w:val="684823C0"/>
    <w:rsid w:val="684E2DD5"/>
    <w:rsid w:val="684F7C21"/>
    <w:rsid w:val="686F6439"/>
    <w:rsid w:val="68FB5BB0"/>
    <w:rsid w:val="69180510"/>
    <w:rsid w:val="69917AF1"/>
    <w:rsid w:val="69A41DA4"/>
    <w:rsid w:val="69D67302"/>
    <w:rsid w:val="69E21EF8"/>
    <w:rsid w:val="69E63E67"/>
    <w:rsid w:val="69FE1AD8"/>
    <w:rsid w:val="69FF4F21"/>
    <w:rsid w:val="6A3550F2"/>
    <w:rsid w:val="6A415844"/>
    <w:rsid w:val="6A5042D7"/>
    <w:rsid w:val="6A673F17"/>
    <w:rsid w:val="6A775BFA"/>
    <w:rsid w:val="6A9D4BE3"/>
    <w:rsid w:val="6AC850FC"/>
    <w:rsid w:val="6AFA0B85"/>
    <w:rsid w:val="6B203F54"/>
    <w:rsid w:val="6B454371"/>
    <w:rsid w:val="6B59096C"/>
    <w:rsid w:val="6B65108E"/>
    <w:rsid w:val="6B8404EB"/>
    <w:rsid w:val="6B995DC7"/>
    <w:rsid w:val="6BC905D3"/>
    <w:rsid w:val="6BCA7D47"/>
    <w:rsid w:val="6BCC33F8"/>
    <w:rsid w:val="6BCF0E3E"/>
    <w:rsid w:val="6BD91AAD"/>
    <w:rsid w:val="6BDC56DE"/>
    <w:rsid w:val="6BE165AE"/>
    <w:rsid w:val="6C042FCD"/>
    <w:rsid w:val="6C375151"/>
    <w:rsid w:val="6C5A499B"/>
    <w:rsid w:val="6C6C4EF1"/>
    <w:rsid w:val="6C7672FB"/>
    <w:rsid w:val="6C7F08A6"/>
    <w:rsid w:val="6CA247C8"/>
    <w:rsid w:val="6CC4275D"/>
    <w:rsid w:val="6D21195D"/>
    <w:rsid w:val="6D864CDF"/>
    <w:rsid w:val="6DB74FDB"/>
    <w:rsid w:val="6E2B7982"/>
    <w:rsid w:val="6E607369"/>
    <w:rsid w:val="6E6C47A7"/>
    <w:rsid w:val="6EBA62DE"/>
    <w:rsid w:val="6ED13200"/>
    <w:rsid w:val="6EEA46FD"/>
    <w:rsid w:val="6F1C418A"/>
    <w:rsid w:val="6F307C36"/>
    <w:rsid w:val="6F4162E7"/>
    <w:rsid w:val="6F420EF4"/>
    <w:rsid w:val="6FA26D85"/>
    <w:rsid w:val="6FBE09E8"/>
    <w:rsid w:val="70520763"/>
    <w:rsid w:val="7056191E"/>
    <w:rsid w:val="705E4F6B"/>
    <w:rsid w:val="70B14DA6"/>
    <w:rsid w:val="70D02631"/>
    <w:rsid w:val="70D72A5F"/>
    <w:rsid w:val="70D95624"/>
    <w:rsid w:val="70EE1A61"/>
    <w:rsid w:val="70F829D5"/>
    <w:rsid w:val="70FF70A3"/>
    <w:rsid w:val="713619F4"/>
    <w:rsid w:val="71410D84"/>
    <w:rsid w:val="71431D83"/>
    <w:rsid w:val="715355C9"/>
    <w:rsid w:val="716C6446"/>
    <w:rsid w:val="7172764C"/>
    <w:rsid w:val="719E7D41"/>
    <w:rsid w:val="71A86EFD"/>
    <w:rsid w:val="71AD7E9F"/>
    <w:rsid w:val="71B903B6"/>
    <w:rsid w:val="71D31517"/>
    <w:rsid w:val="721101F2"/>
    <w:rsid w:val="721A6929"/>
    <w:rsid w:val="725837C7"/>
    <w:rsid w:val="728C4004"/>
    <w:rsid w:val="729C3F60"/>
    <w:rsid w:val="729F135A"/>
    <w:rsid w:val="72D609D7"/>
    <w:rsid w:val="72F86B4E"/>
    <w:rsid w:val="72F86CBC"/>
    <w:rsid w:val="733B1948"/>
    <w:rsid w:val="73502252"/>
    <w:rsid w:val="73F73418"/>
    <w:rsid w:val="741714DE"/>
    <w:rsid w:val="741F53A0"/>
    <w:rsid w:val="742C1313"/>
    <w:rsid w:val="747D391D"/>
    <w:rsid w:val="748205CB"/>
    <w:rsid w:val="74A25132"/>
    <w:rsid w:val="74C57D45"/>
    <w:rsid w:val="751469A8"/>
    <w:rsid w:val="75270280"/>
    <w:rsid w:val="75722DB1"/>
    <w:rsid w:val="757A1C0A"/>
    <w:rsid w:val="759727BC"/>
    <w:rsid w:val="75AD3D8E"/>
    <w:rsid w:val="75AE64BE"/>
    <w:rsid w:val="760722CC"/>
    <w:rsid w:val="760836BA"/>
    <w:rsid w:val="760E58D6"/>
    <w:rsid w:val="762A7BF5"/>
    <w:rsid w:val="7640420A"/>
    <w:rsid w:val="764861AD"/>
    <w:rsid w:val="76550F8F"/>
    <w:rsid w:val="766A1FB1"/>
    <w:rsid w:val="76A96C4B"/>
    <w:rsid w:val="76AE64E0"/>
    <w:rsid w:val="76CB565B"/>
    <w:rsid w:val="76E9529A"/>
    <w:rsid w:val="76F105F2"/>
    <w:rsid w:val="76F53C05"/>
    <w:rsid w:val="76F93DFD"/>
    <w:rsid w:val="772A140E"/>
    <w:rsid w:val="773A78A3"/>
    <w:rsid w:val="774618A0"/>
    <w:rsid w:val="775315C2"/>
    <w:rsid w:val="777059BB"/>
    <w:rsid w:val="778154D2"/>
    <w:rsid w:val="778B45A3"/>
    <w:rsid w:val="779A47E6"/>
    <w:rsid w:val="77AD4519"/>
    <w:rsid w:val="77D23F80"/>
    <w:rsid w:val="77E65C7D"/>
    <w:rsid w:val="7833439E"/>
    <w:rsid w:val="78393FFF"/>
    <w:rsid w:val="78471F36"/>
    <w:rsid w:val="78670B6C"/>
    <w:rsid w:val="78844B3A"/>
    <w:rsid w:val="78852989"/>
    <w:rsid w:val="78EF2C12"/>
    <w:rsid w:val="79246A5D"/>
    <w:rsid w:val="79344EA7"/>
    <w:rsid w:val="79675CFF"/>
    <w:rsid w:val="79A05F57"/>
    <w:rsid w:val="79AA674E"/>
    <w:rsid w:val="79B95367"/>
    <w:rsid w:val="79BD5AFC"/>
    <w:rsid w:val="79C81472"/>
    <w:rsid w:val="79D97CE5"/>
    <w:rsid w:val="79F34C45"/>
    <w:rsid w:val="7A0917AF"/>
    <w:rsid w:val="7A170370"/>
    <w:rsid w:val="7A23637B"/>
    <w:rsid w:val="7A236D15"/>
    <w:rsid w:val="7A2D7B93"/>
    <w:rsid w:val="7A4A5703"/>
    <w:rsid w:val="7A521057"/>
    <w:rsid w:val="7A9235AF"/>
    <w:rsid w:val="7A94551C"/>
    <w:rsid w:val="7AA315F1"/>
    <w:rsid w:val="7AFA19DE"/>
    <w:rsid w:val="7B2F16E9"/>
    <w:rsid w:val="7B542E0B"/>
    <w:rsid w:val="7B647611"/>
    <w:rsid w:val="7B9E7492"/>
    <w:rsid w:val="7BB120FE"/>
    <w:rsid w:val="7BB73BB8"/>
    <w:rsid w:val="7BD11589"/>
    <w:rsid w:val="7BD925C6"/>
    <w:rsid w:val="7C0F4BA2"/>
    <w:rsid w:val="7C320AAE"/>
    <w:rsid w:val="7C422600"/>
    <w:rsid w:val="7C4E5B9F"/>
    <w:rsid w:val="7C741AA9"/>
    <w:rsid w:val="7C8F243F"/>
    <w:rsid w:val="7D21599B"/>
    <w:rsid w:val="7D304995"/>
    <w:rsid w:val="7D4C007B"/>
    <w:rsid w:val="7D4E22FA"/>
    <w:rsid w:val="7D7653AD"/>
    <w:rsid w:val="7D853842"/>
    <w:rsid w:val="7D8E26F7"/>
    <w:rsid w:val="7D9C12B8"/>
    <w:rsid w:val="7DC73E5B"/>
    <w:rsid w:val="7E182384"/>
    <w:rsid w:val="7E2D1F10"/>
    <w:rsid w:val="7E31202A"/>
    <w:rsid w:val="7E4554E8"/>
    <w:rsid w:val="7E492AC2"/>
    <w:rsid w:val="7E49707C"/>
    <w:rsid w:val="7E543C85"/>
    <w:rsid w:val="7E5B077B"/>
    <w:rsid w:val="7E626956"/>
    <w:rsid w:val="7EBF2AEE"/>
    <w:rsid w:val="7ED21BE2"/>
    <w:rsid w:val="7ED405DD"/>
    <w:rsid w:val="7EDC1B88"/>
    <w:rsid w:val="7EDE0D97"/>
    <w:rsid w:val="7EED78F1"/>
    <w:rsid w:val="7EFC7D41"/>
    <w:rsid w:val="7F0013D2"/>
    <w:rsid w:val="7F093ABB"/>
    <w:rsid w:val="7F0D1AE4"/>
    <w:rsid w:val="7F3C597F"/>
    <w:rsid w:val="7F882F4E"/>
    <w:rsid w:val="7FCB5E84"/>
    <w:rsid w:val="7FD30895"/>
    <w:rsid w:val="7FD75B2A"/>
    <w:rsid w:val="7FF86DDE"/>
    <w:rsid w:val="C9D70D26"/>
    <w:rsid w:val="F864A7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46"/>
    <w:qFormat/>
    <w:uiPriority w:val="0"/>
    <w:pPr>
      <w:numPr>
        <w:ilvl w:val="1"/>
        <w:numId w:val="1"/>
      </w:numPr>
      <w:adjustRightInd w:val="0"/>
      <w:snapToGrid w:val="0"/>
      <w:spacing w:before="156" w:after="156" w:line="360" w:lineRule="auto"/>
      <w:outlineLvl w:val="1"/>
    </w:pPr>
    <w:rPr>
      <w:rFonts w:ascii="Cambria" w:hAnsi="Cambria"/>
      <w:b/>
      <w:bCs/>
      <w:kern w:val="0"/>
      <w:sz w:val="32"/>
      <w:szCs w:val="32"/>
    </w:rPr>
  </w:style>
  <w:style w:type="paragraph" w:styleId="6">
    <w:name w:val="heading 3"/>
    <w:basedOn w:val="1"/>
    <w:next w:val="7"/>
    <w:link w:val="48"/>
    <w:qFormat/>
    <w:uiPriority w:val="0"/>
    <w:pPr>
      <w:keepNext/>
      <w:keepLines/>
      <w:spacing w:before="260" w:after="260" w:line="416" w:lineRule="auto"/>
      <w:outlineLvl w:val="2"/>
    </w:pPr>
    <w:rPr>
      <w:b/>
      <w:kern w:val="0"/>
      <w:sz w:val="32"/>
      <w:szCs w:val="20"/>
    </w:rPr>
  </w:style>
  <w:style w:type="paragraph" w:styleId="8">
    <w:name w:val="heading 4"/>
    <w:basedOn w:val="1"/>
    <w:next w:val="1"/>
    <w:qFormat/>
    <w:uiPriority w:val="0"/>
    <w:pPr>
      <w:keepNext/>
      <w:keepLines/>
      <w:numPr>
        <w:ilvl w:val="3"/>
        <w:numId w:val="2"/>
      </w:numPr>
      <w:spacing w:before="280" w:after="290" w:line="376" w:lineRule="auto"/>
      <w:outlineLvl w:val="3"/>
    </w:pPr>
    <w:rPr>
      <w:rFonts w:ascii="Cambria" w:hAnsi="Cambria"/>
      <w:b/>
      <w:bCs/>
      <w:sz w:val="28"/>
      <w:szCs w:val="28"/>
    </w:rPr>
  </w:style>
  <w:style w:type="paragraph" w:styleId="9">
    <w:name w:val="heading 5"/>
    <w:basedOn w:val="1"/>
    <w:next w:val="1"/>
    <w:link w:val="49"/>
    <w:qFormat/>
    <w:uiPriority w:val="0"/>
    <w:pPr>
      <w:keepNext/>
      <w:keepLines/>
      <w:widowControl/>
      <w:spacing w:before="280" w:after="290" w:line="376" w:lineRule="auto"/>
      <w:jc w:val="left"/>
      <w:outlineLvl w:val="4"/>
    </w:pPr>
    <w:rPr>
      <w:b/>
      <w:bCs/>
      <w:kern w:val="0"/>
      <w:sz w:val="28"/>
      <w:szCs w:val="28"/>
    </w:rPr>
  </w:style>
  <w:style w:type="paragraph" w:styleId="10">
    <w:name w:val="heading 6"/>
    <w:basedOn w:val="1"/>
    <w:next w:val="1"/>
    <w:link w:val="50"/>
    <w:qFormat/>
    <w:uiPriority w:val="9"/>
    <w:pPr>
      <w:keepNext/>
      <w:keepLines/>
      <w:numPr>
        <w:ilvl w:val="5"/>
        <w:numId w:val="1"/>
      </w:numPr>
      <w:adjustRightInd w:val="0"/>
      <w:snapToGrid w:val="0"/>
      <w:spacing w:before="120" w:after="64" w:line="300" w:lineRule="auto"/>
      <w:outlineLvl w:val="5"/>
    </w:pPr>
    <w:rPr>
      <w:rFonts w:ascii="Arial" w:hAnsi="Arial"/>
      <w:bCs/>
      <w:kern w:val="0"/>
      <w:sz w:val="24"/>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56"/>
    <w:qFormat/>
    <w:uiPriority w:val="99"/>
    <w:pPr>
      <w:tabs>
        <w:tab w:val="center" w:pos="4153"/>
        <w:tab w:val="right" w:pos="8306"/>
      </w:tabs>
      <w:snapToGrid w:val="0"/>
      <w:jc w:val="left"/>
    </w:pPr>
    <w:rPr>
      <w:kern w:val="0"/>
      <w:sz w:val="18"/>
      <w:szCs w:val="18"/>
    </w:rPr>
  </w:style>
  <w:style w:type="paragraph" w:customStyle="1" w:styleId="3">
    <w:name w:val="TOC Heading1"/>
    <w:next w:val="1"/>
    <w:qFormat/>
    <w:uiPriority w:val="0"/>
    <w:pPr>
      <w:wordWrap w:val="0"/>
    </w:pPr>
    <w:rPr>
      <w:rFonts w:ascii="Times New Roman" w:hAnsi="Times New Roman" w:eastAsia="宋体" w:cs="Times New Roman"/>
      <w:sz w:val="32"/>
      <w:lang w:val="en-US" w:eastAsia="zh-CN" w:bidi="ar-SA"/>
    </w:rPr>
  </w:style>
  <w:style w:type="paragraph" w:styleId="7">
    <w:name w:val="Normal Indent"/>
    <w:basedOn w:val="1"/>
    <w:next w:val="1"/>
    <w:link w:val="47"/>
    <w:qFormat/>
    <w:uiPriority w:val="0"/>
    <w:pPr>
      <w:ind w:firstLine="420"/>
    </w:pPr>
    <w:rPr>
      <w:rFonts w:eastAsia="楷体_GB2312"/>
      <w:kern w:val="0"/>
      <w:sz w:val="24"/>
      <w:szCs w:val="20"/>
    </w:rPr>
  </w:style>
  <w:style w:type="paragraph" w:styleId="11">
    <w:name w:val="table of authorities"/>
    <w:basedOn w:val="1"/>
    <w:next w:val="1"/>
    <w:unhideWhenUsed/>
    <w:qFormat/>
    <w:uiPriority w:val="99"/>
    <w:pPr>
      <w:ind w:left="420" w:leftChars="200"/>
    </w:pPr>
  </w:style>
  <w:style w:type="paragraph" w:styleId="12">
    <w:name w:val="Document Map"/>
    <w:basedOn w:val="1"/>
    <w:next w:val="13"/>
    <w:qFormat/>
    <w:uiPriority w:val="0"/>
    <w:rPr>
      <w:rFonts w:ascii="宋体"/>
      <w:kern w:val="0"/>
      <w:sz w:val="18"/>
      <w:szCs w:val="18"/>
    </w:rPr>
  </w:style>
  <w:style w:type="paragraph" w:styleId="13">
    <w:name w:val="annotation subject"/>
    <w:basedOn w:val="14"/>
    <w:next w:val="1"/>
    <w:link w:val="60"/>
    <w:qFormat/>
    <w:uiPriority w:val="0"/>
    <w:rPr>
      <w:b/>
      <w:bCs/>
    </w:rPr>
  </w:style>
  <w:style w:type="paragraph" w:styleId="14">
    <w:name w:val="annotation text"/>
    <w:basedOn w:val="1"/>
    <w:link w:val="51"/>
    <w:qFormat/>
    <w:uiPriority w:val="0"/>
    <w:pPr>
      <w:jc w:val="left"/>
    </w:pPr>
  </w:style>
  <w:style w:type="paragraph" w:styleId="15">
    <w:name w:val="Body Text"/>
    <w:basedOn w:val="1"/>
    <w:link w:val="52"/>
    <w:unhideWhenUsed/>
    <w:qFormat/>
    <w:uiPriority w:val="99"/>
    <w:pPr>
      <w:spacing w:after="120"/>
    </w:pPr>
    <w:rPr>
      <w:kern w:val="0"/>
      <w:sz w:val="20"/>
    </w:rPr>
  </w:style>
  <w:style w:type="paragraph" w:styleId="16">
    <w:name w:val="Body Text Indent"/>
    <w:basedOn w:val="1"/>
    <w:link w:val="44"/>
    <w:qFormat/>
    <w:uiPriority w:val="0"/>
    <w:pPr>
      <w:spacing w:line="360" w:lineRule="auto"/>
      <w:ind w:firstLine="425"/>
    </w:pPr>
    <w:rPr>
      <w:sz w:val="24"/>
    </w:rPr>
  </w:style>
  <w:style w:type="paragraph" w:styleId="17">
    <w:name w:val="Block Text"/>
    <w:basedOn w:val="4"/>
    <w:next w:val="1"/>
    <w:qFormat/>
    <w:uiPriority w:val="0"/>
    <w:pPr>
      <w:adjustRightInd w:val="0"/>
      <w:spacing w:line="360" w:lineRule="auto"/>
      <w:ind w:left="630" w:right="-609" w:firstLine="420"/>
    </w:pPr>
    <w:rPr>
      <w:rFonts w:hint="eastAsia" w:ascii="仿宋_GB2312" w:eastAsia="仿宋_GB2312"/>
      <w:kern w:val="0"/>
      <w:szCs w:val="20"/>
    </w:rPr>
  </w:style>
  <w:style w:type="paragraph" w:styleId="18">
    <w:name w:val="Plain Text"/>
    <w:basedOn w:val="1"/>
    <w:link w:val="53"/>
    <w:qFormat/>
    <w:uiPriority w:val="0"/>
    <w:rPr>
      <w:rFonts w:ascii="宋体" w:hAnsi="Courier New" w:eastAsia="楷体_GB2312"/>
      <w:kern w:val="0"/>
      <w:sz w:val="26"/>
    </w:rPr>
  </w:style>
  <w:style w:type="paragraph" w:styleId="19">
    <w:name w:val="Date"/>
    <w:basedOn w:val="1"/>
    <w:next w:val="1"/>
    <w:link w:val="54"/>
    <w:qFormat/>
    <w:uiPriority w:val="0"/>
    <w:rPr>
      <w:b/>
      <w:bCs/>
      <w:spacing w:val="20"/>
      <w:kern w:val="0"/>
      <w:sz w:val="20"/>
    </w:rPr>
  </w:style>
  <w:style w:type="paragraph" w:styleId="20">
    <w:name w:val="Balloon Text"/>
    <w:basedOn w:val="1"/>
    <w:link w:val="55"/>
    <w:qFormat/>
    <w:uiPriority w:val="0"/>
    <w:rPr>
      <w:kern w:val="0"/>
      <w:sz w:val="18"/>
      <w:szCs w:val="18"/>
    </w:rPr>
  </w:style>
  <w:style w:type="paragraph" w:styleId="21">
    <w:name w:val="envelope return"/>
    <w:basedOn w:val="1"/>
    <w:qFormat/>
    <w:uiPriority w:val="0"/>
    <w:pPr>
      <w:snapToGrid w:val="0"/>
    </w:pPr>
    <w:rPr>
      <w:rFonts w:ascii="Arial" w:hAnsi="Arial" w:eastAsia="楷体_GB2312"/>
      <w:sz w:val="26"/>
    </w:rPr>
  </w:style>
  <w:style w:type="paragraph" w:styleId="22">
    <w:name w:val="header"/>
    <w:basedOn w:val="1"/>
    <w:link w:val="57"/>
    <w:qFormat/>
    <w:uiPriority w:val="0"/>
    <w:pPr>
      <w:pBdr>
        <w:bottom w:val="single" w:color="auto" w:sz="6" w:space="1"/>
      </w:pBdr>
      <w:tabs>
        <w:tab w:val="center" w:pos="4153"/>
        <w:tab w:val="right" w:pos="8306"/>
      </w:tabs>
      <w:snapToGrid w:val="0"/>
      <w:jc w:val="center"/>
    </w:pPr>
    <w:rPr>
      <w:kern w:val="0"/>
      <w:sz w:val="18"/>
      <w:szCs w:val="18"/>
    </w:rPr>
  </w:style>
  <w:style w:type="paragraph" w:styleId="23">
    <w:name w:val="toc 1"/>
    <w:basedOn w:val="1"/>
    <w:next w:val="1"/>
    <w:qFormat/>
    <w:uiPriority w:val="0"/>
    <w:pPr>
      <w:adjustRightInd w:val="0"/>
      <w:jc w:val="left"/>
    </w:pPr>
    <w:rPr>
      <w:rFonts w:eastAsia="楷体_GB2312"/>
      <w:sz w:val="24"/>
      <w:szCs w:val="20"/>
    </w:rPr>
  </w:style>
  <w:style w:type="paragraph" w:styleId="24">
    <w:name w:val="toc 4"/>
    <w:basedOn w:val="1"/>
    <w:next w:val="1"/>
    <w:qFormat/>
    <w:uiPriority w:val="0"/>
    <w:pPr>
      <w:ind w:left="1260" w:leftChars="600"/>
    </w:pPr>
  </w:style>
  <w:style w:type="paragraph" w:styleId="25">
    <w:name w:val="Subtitle"/>
    <w:basedOn w:val="1"/>
    <w:next w:val="1"/>
    <w:link w:val="58"/>
    <w:qFormat/>
    <w:uiPriority w:val="0"/>
    <w:pPr>
      <w:spacing w:before="240" w:after="60" w:line="312" w:lineRule="auto"/>
      <w:jc w:val="center"/>
      <w:outlineLvl w:val="1"/>
    </w:pPr>
    <w:rPr>
      <w:rFonts w:ascii="宋体" w:hAnsi="Courier New" w:eastAsia="楷体_GB2312"/>
      <w:sz w:val="26"/>
      <w:szCs w:val="20"/>
    </w:rPr>
  </w:style>
  <w:style w:type="paragraph" w:styleId="26">
    <w:name w:val="footnote text"/>
    <w:basedOn w:val="4"/>
    <w:next w:val="17"/>
    <w:qFormat/>
    <w:uiPriority w:val="0"/>
    <w:pPr>
      <w:spacing w:before="0" w:after="0" w:line="360" w:lineRule="auto"/>
      <w:ind w:firstLine="3584"/>
    </w:pPr>
  </w:style>
  <w:style w:type="paragraph" w:styleId="27">
    <w:name w:val="Body Text Indent 3"/>
    <w:basedOn w:val="1"/>
    <w:link w:val="59"/>
    <w:qFormat/>
    <w:uiPriority w:val="0"/>
    <w:pPr>
      <w:spacing w:line="440" w:lineRule="atLeast"/>
      <w:ind w:firstLine="480" w:firstLineChars="200"/>
      <w:jc w:val="left"/>
    </w:pPr>
    <w:rPr>
      <w:kern w:val="0"/>
      <w:sz w:val="24"/>
    </w:rPr>
  </w:style>
  <w:style w:type="paragraph" w:styleId="28">
    <w:name w:val="Normal (Web)"/>
    <w:basedOn w:val="1"/>
    <w:qFormat/>
    <w:uiPriority w:val="99"/>
    <w:pPr>
      <w:spacing w:beforeAutospacing="1" w:afterAutospacing="1"/>
      <w:jc w:val="left"/>
    </w:pPr>
    <w:rPr>
      <w:kern w:val="0"/>
      <w:sz w:val="24"/>
    </w:rPr>
  </w:style>
  <w:style w:type="paragraph" w:styleId="29">
    <w:name w:val="Body Text First Indent"/>
    <w:basedOn w:val="15"/>
    <w:next w:val="1"/>
    <w:qFormat/>
    <w:uiPriority w:val="0"/>
    <w:pPr>
      <w:ind w:firstLine="420" w:firstLineChars="100"/>
    </w:pPr>
  </w:style>
  <w:style w:type="paragraph" w:styleId="30">
    <w:name w:val="Body Text First Indent 2"/>
    <w:basedOn w:val="16"/>
    <w:qFormat/>
    <w:uiPriority w:val="0"/>
    <w:pPr>
      <w:spacing w:after="120" w:line="240" w:lineRule="auto"/>
      <w:ind w:left="420" w:firstLine="210"/>
    </w:pPr>
    <w:rPr>
      <w:rFonts w:eastAsia="仿宋_GB2312"/>
      <w:sz w:val="30"/>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qFormat/>
    <w:uiPriority w:val="0"/>
    <w:rPr>
      <w:rFonts w:ascii="Calibri" w:hAnsi="Calibri" w:eastAsia="宋体" w:cs="Times New Roman"/>
      <w:b/>
    </w:rPr>
  </w:style>
  <w:style w:type="character" w:styleId="35">
    <w:name w:val="FollowedHyperlink"/>
    <w:qFormat/>
    <w:uiPriority w:val="0"/>
    <w:rPr>
      <w:color w:val="337AB7"/>
      <w:u w:val="none"/>
    </w:rPr>
  </w:style>
  <w:style w:type="character" w:styleId="36">
    <w:name w:val="HTML Definition"/>
    <w:qFormat/>
    <w:uiPriority w:val="0"/>
    <w:rPr>
      <w:i/>
    </w:rPr>
  </w:style>
  <w:style w:type="character" w:styleId="37">
    <w:name w:val="Hyperlink"/>
    <w:basedOn w:val="33"/>
    <w:qFormat/>
    <w:uiPriority w:val="0"/>
    <w:rPr>
      <w:color w:val="337AB7"/>
      <w:u w:val="none"/>
    </w:rPr>
  </w:style>
  <w:style w:type="character" w:styleId="38">
    <w:name w:val="HTML Code"/>
    <w:qFormat/>
    <w:uiPriority w:val="0"/>
    <w:rPr>
      <w:rFonts w:hint="default" w:ascii="Consolas" w:hAnsi="Consolas" w:eastAsia="Consolas" w:cs="Consolas"/>
      <w:color w:val="C7254E"/>
      <w:sz w:val="21"/>
      <w:szCs w:val="21"/>
      <w:shd w:val="clear" w:color="auto" w:fill="F9F2F4"/>
    </w:rPr>
  </w:style>
  <w:style w:type="character" w:styleId="39">
    <w:name w:val="annotation reference"/>
    <w:qFormat/>
    <w:uiPriority w:val="0"/>
    <w:rPr>
      <w:rFonts w:ascii="Calibri" w:hAnsi="Calibri" w:eastAsia="宋体" w:cs="Times New Roman"/>
      <w:sz w:val="21"/>
      <w:szCs w:val="21"/>
    </w:rPr>
  </w:style>
  <w:style w:type="character" w:styleId="40">
    <w:name w:val="HTML Keyboard"/>
    <w:qFormat/>
    <w:uiPriority w:val="0"/>
    <w:rPr>
      <w:rFonts w:ascii="Consolas" w:hAnsi="Consolas" w:eastAsia="Consolas" w:cs="Consolas"/>
      <w:color w:val="FFFFFF"/>
      <w:sz w:val="21"/>
      <w:szCs w:val="21"/>
      <w:shd w:val="clear" w:color="auto" w:fill="333333"/>
    </w:rPr>
  </w:style>
  <w:style w:type="character" w:styleId="41">
    <w:name w:val="HTML Sample"/>
    <w:qFormat/>
    <w:uiPriority w:val="0"/>
    <w:rPr>
      <w:rFonts w:hint="default" w:ascii="Consolas" w:hAnsi="Consolas" w:eastAsia="Consolas" w:cs="Consolas"/>
      <w:sz w:val="21"/>
      <w:szCs w:val="21"/>
    </w:rPr>
  </w:style>
  <w:style w:type="paragraph" w:customStyle="1" w:styleId="42">
    <w:name w:val="段"/>
    <w:next w:val="1"/>
    <w:qFormat/>
    <w:uiPriority w:val="0"/>
    <w:pPr>
      <w:tabs>
        <w:tab w:val="center" w:pos="4201"/>
        <w:tab w:val="right" w:leader="dot" w:pos="9298"/>
      </w:tabs>
      <w:autoSpaceDE w:val="0"/>
      <w:autoSpaceDN w:val="0"/>
      <w:ind w:firstLine="420" w:firstLineChars="200"/>
      <w:jc w:val="both"/>
    </w:pPr>
    <w:rPr>
      <w:rFonts w:ascii="宋体" w:hAnsi="Times New Roman" w:eastAsia="Times New Roman" w:cs="Times New Roman"/>
      <w:lang w:val="en-US" w:eastAsia="zh-CN" w:bidi="ar-SA"/>
    </w:rPr>
  </w:style>
  <w:style w:type="paragraph" w:customStyle="1" w:styleId="43">
    <w:name w:val="首行缩进"/>
    <w:basedOn w:val="1"/>
    <w:qFormat/>
    <w:uiPriority w:val="99"/>
    <w:pPr>
      <w:ind w:firstLine="480" w:firstLineChars="200"/>
    </w:pPr>
    <w:rPr>
      <w:szCs w:val="20"/>
      <w:lang w:val="zh-CN"/>
    </w:rPr>
  </w:style>
  <w:style w:type="character" w:customStyle="1" w:styleId="44">
    <w:name w:val="正文文本缩进 Char"/>
    <w:basedOn w:val="33"/>
    <w:link w:val="16"/>
    <w:qFormat/>
    <w:uiPriority w:val="0"/>
    <w:rPr>
      <w:rFonts w:ascii="Times New Roman" w:hAnsi="Times New Roman" w:eastAsia="宋体" w:cs="Times New Roman"/>
      <w:sz w:val="24"/>
      <w:szCs w:val="24"/>
    </w:rPr>
  </w:style>
  <w:style w:type="character" w:customStyle="1" w:styleId="45">
    <w:name w:val="标题 1 Char"/>
    <w:basedOn w:val="33"/>
    <w:link w:val="4"/>
    <w:qFormat/>
    <w:uiPriority w:val="0"/>
    <w:rPr>
      <w:rFonts w:ascii="Times New Roman" w:hAnsi="Times New Roman" w:eastAsia="宋体" w:cs="Times New Roman"/>
      <w:b/>
      <w:bCs/>
      <w:kern w:val="44"/>
      <w:sz w:val="44"/>
      <w:szCs w:val="44"/>
    </w:rPr>
  </w:style>
  <w:style w:type="character" w:customStyle="1" w:styleId="46">
    <w:name w:val="标题 2 Char"/>
    <w:basedOn w:val="33"/>
    <w:link w:val="5"/>
    <w:qFormat/>
    <w:uiPriority w:val="0"/>
    <w:rPr>
      <w:rFonts w:ascii="Cambria" w:hAnsi="Cambria" w:eastAsia="宋体" w:cs="Times New Roman"/>
      <w:b/>
      <w:bCs/>
      <w:kern w:val="0"/>
      <w:sz w:val="32"/>
      <w:szCs w:val="32"/>
    </w:rPr>
  </w:style>
  <w:style w:type="character" w:customStyle="1" w:styleId="47">
    <w:name w:val="正文缩进 Char"/>
    <w:link w:val="7"/>
    <w:qFormat/>
    <w:uiPriority w:val="0"/>
    <w:rPr>
      <w:rFonts w:ascii="Times New Roman" w:hAnsi="Times New Roman" w:eastAsia="楷体_GB2312" w:cs="Times New Roman"/>
      <w:kern w:val="0"/>
      <w:sz w:val="24"/>
      <w:szCs w:val="20"/>
    </w:rPr>
  </w:style>
  <w:style w:type="character" w:customStyle="1" w:styleId="48">
    <w:name w:val="标题 3 Char"/>
    <w:basedOn w:val="33"/>
    <w:link w:val="6"/>
    <w:qFormat/>
    <w:uiPriority w:val="0"/>
    <w:rPr>
      <w:rFonts w:ascii="Times New Roman" w:hAnsi="Times New Roman" w:eastAsia="宋体" w:cs="Times New Roman"/>
      <w:b/>
      <w:kern w:val="0"/>
      <w:sz w:val="32"/>
      <w:szCs w:val="20"/>
    </w:rPr>
  </w:style>
  <w:style w:type="character" w:customStyle="1" w:styleId="49">
    <w:name w:val="标题 5 Char"/>
    <w:basedOn w:val="33"/>
    <w:link w:val="9"/>
    <w:qFormat/>
    <w:uiPriority w:val="0"/>
    <w:rPr>
      <w:rFonts w:ascii="Times New Roman" w:hAnsi="Times New Roman" w:eastAsia="宋体" w:cs="Times New Roman"/>
      <w:b/>
      <w:bCs/>
      <w:kern w:val="0"/>
      <w:sz w:val="28"/>
      <w:szCs w:val="28"/>
    </w:rPr>
  </w:style>
  <w:style w:type="character" w:customStyle="1" w:styleId="50">
    <w:name w:val="标题 6 Char"/>
    <w:basedOn w:val="33"/>
    <w:link w:val="10"/>
    <w:qFormat/>
    <w:uiPriority w:val="9"/>
    <w:rPr>
      <w:rFonts w:ascii="Arial" w:hAnsi="Arial" w:eastAsia="宋体" w:cs="Times New Roman"/>
      <w:bCs/>
      <w:kern w:val="0"/>
      <w:sz w:val="24"/>
      <w:szCs w:val="24"/>
    </w:rPr>
  </w:style>
  <w:style w:type="character" w:customStyle="1" w:styleId="51">
    <w:name w:val="批注文字 Char"/>
    <w:basedOn w:val="33"/>
    <w:link w:val="14"/>
    <w:qFormat/>
    <w:uiPriority w:val="0"/>
    <w:rPr>
      <w:rFonts w:ascii="Times New Roman" w:hAnsi="Times New Roman" w:eastAsia="宋体" w:cs="Times New Roman"/>
      <w:szCs w:val="24"/>
    </w:rPr>
  </w:style>
  <w:style w:type="character" w:customStyle="1" w:styleId="52">
    <w:name w:val="正文文本 Char1"/>
    <w:basedOn w:val="33"/>
    <w:link w:val="15"/>
    <w:qFormat/>
    <w:uiPriority w:val="99"/>
    <w:rPr>
      <w:rFonts w:ascii="Times New Roman" w:hAnsi="Times New Roman" w:eastAsia="宋体" w:cs="Times New Roman"/>
      <w:kern w:val="0"/>
      <w:sz w:val="20"/>
      <w:szCs w:val="24"/>
    </w:rPr>
  </w:style>
  <w:style w:type="character" w:customStyle="1" w:styleId="53">
    <w:name w:val="纯文本 Char1"/>
    <w:basedOn w:val="33"/>
    <w:link w:val="18"/>
    <w:qFormat/>
    <w:uiPriority w:val="0"/>
    <w:rPr>
      <w:rFonts w:ascii="宋体" w:hAnsi="Courier New" w:eastAsia="楷体_GB2312" w:cs="Times New Roman"/>
      <w:kern w:val="0"/>
      <w:sz w:val="26"/>
      <w:szCs w:val="24"/>
    </w:rPr>
  </w:style>
  <w:style w:type="character" w:customStyle="1" w:styleId="54">
    <w:name w:val="日期 Char"/>
    <w:basedOn w:val="33"/>
    <w:link w:val="19"/>
    <w:qFormat/>
    <w:uiPriority w:val="0"/>
    <w:rPr>
      <w:rFonts w:ascii="Times New Roman" w:hAnsi="Times New Roman" w:eastAsia="宋体" w:cs="Times New Roman"/>
      <w:b/>
      <w:bCs/>
      <w:spacing w:val="20"/>
      <w:kern w:val="0"/>
      <w:sz w:val="20"/>
      <w:szCs w:val="24"/>
    </w:rPr>
  </w:style>
  <w:style w:type="character" w:customStyle="1" w:styleId="55">
    <w:name w:val="批注框文本 Char"/>
    <w:basedOn w:val="33"/>
    <w:link w:val="20"/>
    <w:qFormat/>
    <w:uiPriority w:val="0"/>
    <w:rPr>
      <w:rFonts w:ascii="Times New Roman" w:hAnsi="Times New Roman" w:eastAsia="宋体" w:cs="Times New Roman"/>
      <w:kern w:val="0"/>
      <w:sz w:val="18"/>
      <w:szCs w:val="18"/>
    </w:rPr>
  </w:style>
  <w:style w:type="character" w:customStyle="1" w:styleId="56">
    <w:name w:val="页脚 Char"/>
    <w:basedOn w:val="33"/>
    <w:link w:val="2"/>
    <w:qFormat/>
    <w:uiPriority w:val="99"/>
    <w:rPr>
      <w:rFonts w:ascii="Times New Roman" w:hAnsi="Times New Roman" w:eastAsia="宋体" w:cs="Times New Roman"/>
      <w:kern w:val="0"/>
      <w:sz w:val="18"/>
      <w:szCs w:val="18"/>
    </w:rPr>
  </w:style>
  <w:style w:type="character" w:customStyle="1" w:styleId="57">
    <w:name w:val="页眉 Char"/>
    <w:basedOn w:val="33"/>
    <w:link w:val="22"/>
    <w:qFormat/>
    <w:uiPriority w:val="0"/>
    <w:rPr>
      <w:rFonts w:ascii="Times New Roman" w:hAnsi="Times New Roman" w:eastAsia="宋体" w:cs="Times New Roman"/>
      <w:kern w:val="0"/>
      <w:sz w:val="18"/>
      <w:szCs w:val="18"/>
    </w:rPr>
  </w:style>
  <w:style w:type="character" w:customStyle="1" w:styleId="58">
    <w:name w:val="副标题 Char"/>
    <w:basedOn w:val="33"/>
    <w:link w:val="25"/>
    <w:qFormat/>
    <w:uiPriority w:val="0"/>
    <w:rPr>
      <w:rFonts w:ascii="宋体" w:hAnsi="Courier New" w:eastAsia="楷体_GB2312" w:cs="Times New Roman"/>
      <w:sz w:val="26"/>
      <w:szCs w:val="20"/>
    </w:rPr>
  </w:style>
  <w:style w:type="character" w:customStyle="1" w:styleId="59">
    <w:name w:val="正文文本缩进 3 Char"/>
    <w:basedOn w:val="33"/>
    <w:link w:val="27"/>
    <w:qFormat/>
    <w:uiPriority w:val="0"/>
    <w:rPr>
      <w:rFonts w:ascii="Times New Roman" w:hAnsi="Times New Roman" w:eastAsia="宋体" w:cs="Times New Roman"/>
      <w:kern w:val="0"/>
      <w:sz w:val="24"/>
      <w:szCs w:val="24"/>
    </w:rPr>
  </w:style>
  <w:style w:type="character" w:customStyle="1" w:styleId="60">
    <w:name w:val="批注主题 Char"/>
    <w:basedOn w:val="51"/>
    <w:link w:val="13"/>
    <w:qFormat/>
    <w:uiPriority w:val="0"/>
    <w:rPr>
      <w:rFonts w:ascii="Times New Roman" w:hAnsi="Times New Roman" w:eastAsia="宋体" w:cs="Times New Roman"/>
      <w:b/>
      <w:bCs/>
      <w:szCs w:val="24"/>
    </w:rPr>
  </w:style>
  <w:style w:type="character" w:customStyle="1" w:styleId="61">
    <w:name w:val="hover14"/>
    <w:qFormat/>
    <w:uiPriority w:val="0"/>
    <w:rPr>
      <w:shd w:val="clear" w:color="auto" w:fill="EEEEEE"/>
    </w:rPr>
  </w:style>
  <w:style w:type="character" w:customStyle="1" w:styleId="62">
    <w:name w:val="hour_pm"/>
    <w:qFormat/>
    <w:uiPriority w:val="0"/>
  </w:style>
  <w:style w:type="character" w:customStyle="1" w:styleId="63">
    <w:name w:val="first-child"/>
    <w:qFormat/>
    <w:uiPriority w:val="0"/>
  </w:style>
  <w:style w:type="character" w:customStyle="1" w:styleId="64">
    <w:name w:val="正文文本 Char"/>
    <w:qFormat/>
    <w:uiPriority w:val="99"/>
    <w:rPr>
      <w:rFonts w:ascii="Calibri" w:hAnsi="Calibri" w:eastAsia="宋体" w:cs="Times New Roman"/>
      <w:szCs w:val="24"/>
    </w:rPr>
  </w:style>
  <w:style w:type="character" w:customStyle="1" w:styleId="65">
    <w:name w:val="font81"/>
    <w:qFormat/>
    <w:uiPriority w:val="0"/>
    <w:rPr>
      <w:rFonts w:hint="eastAsia" w:ascii="宋体" w:hAnsi="宋体" w:eastAsia="宋体" w:cs="宋体"/>
      <w:b/>
      <w:color w:val="000000"/>
      <w:sz w:val="22"/>
      <w:szCs w:val="22"/>
      <w:u w:val="none"/>
    </w:rPr>
  </w:style>
  <w:style w:type="character" w:customStyle="1" w:styleId="66">
    <w:name w:val="日期 Char1"/>
    <w:qFormat/>
    <w:uiPriority w:val="0"/>
    <w:rPr>
      <w:rFonts w:ascii="Calibri" w:hAnsi="Calibri" w:eastAsia="宋体" w:cs="Times New Roman"/>
      <w:szCs w:val="24"/>
    </w:rPr>
  </w:style>
  <w:style w:type="character" w:customStyle="1" w:styleId="67">
    <w:name w:val="hover13"/>
    <w:qFormat/>
    <w:uiPriority w:val="0"/>
    <w:rPr>
      <w:shd w:val="clear" w:color="auto" w:fill="EEEEEE"/>
    </w:rPr>
  </w:style>
  <w:style w:type="character" w:customStyle="1" w:styleId="68">
    <w:name w:val="font71"/>
    <w:qFormat/>
    <w:uiPriority w:val="0"/>
    <w:rPr>
      <w:rFonts w:hint="eastAsia" w:ascii="宋体" w:hAnsi="宋体" w:eastAsia="宋体" w:cs="宋体"/>
      <w:b/>
      <w:color w:val="000000"/>
      <w:sz w:val="22"/>
      <w:szCs w:val="22"/>
      <w:u w:val="none"/>
      <w:vertAlign w:val="superscript"/>
    </w:rPr>
  </w:style>
  <w:style w:type="character" w:customStyle="1" w:styleId="69">
    <w:name w:val="纯文本 Char"/>
    <w:qFormat/>
    <w:uiPriority w:val="0"/>
    <w:rPr>
      <w:rFonts w:ascii="宋体" w:hAnsi="Courier New" w:eastAsia="宋体" w:cs="Courier New"/>
      <w:szCs w:val="21"/>
    </w:rPr>
  </w:style>
  <w:style w:type="character" w:customStyle="1" w:styleId="70">
    <w:name w:val="select2-selection__rendered"/>
    <w:qFormat/>
    <w:uiPriority w:val="0"/>
    <w:rPr>
      <w:sz w:val="18"/>
      <w:szCs w:val="18"/>
    </w:rPr>
  </w:style>
  <w:style w:type="character" w:customStyle="1" w:styleId="71">
    <w:name w:val="first-child1"/>
    <w:qFormat/>
    <w:uiPriority w:val="0"/>
  </w:style>
  <w:style w:type="character" w:customStyle="1" w:styleId="72">
    <w:name w:val="old"/>
    <w:qFormat/>
    <w:uiPriority w:val="0"/>
    <w:rPr>
      <w:color w:val="999999"/>
    </w:rPr>
  </w:style>
  <w:style w:type="character" w:customStyle="1" w:styleId="73">
    <w:name w:val="time"/>
    <w:qFormat/>
    <w:uiPriority w:val="0"/>
    <w:rPr>
      <w:rFonts w:ascii="Arial" w:hAnsi="Arial" w:cs="Arial"/>
    </w:rPr>
  </w:style>
  <w:style w:type="character" w:customStyle="1" w:styleId="74">
    <w:name w:val="Plain Text Char"/>
    <w:link w:val="75"/>
    <w:qFormat/>
    <w:uiPriority w:val="0"/>
    <w:rPr>
      <w:rFonts w:ascii="宋体" w:hAnsi="Courier New" w:eastAsia="楷体_GB2312" w:cs="Times New Roman"/>
      <w:sz w:val="26"/>
    </w:rPr>
  </w:style>
  <w:style w:type="paragraph" w:customStyle="1" w:styleId="75">
    <w:name w:val="纯文本3"/>
    <w:basedOn w:val="1"/>
    <w:link w:val="74"/>
    <w:qFormat/>
    <w:uiPriority w:val="0"/>
    <w:pPr>
      <w:adjustRightInd w:val="0"/>
      <w:textAlignment w:val="baseline"/>
    </w:pPr>
    <w:rPr>
      <w:rFonts w:ascii="宋体" w:hAnsi="Courier New" w:eastAsia="楷体_GB2312"/>
      <w:sz w:val="26"/>
      <w:szCs w:val="22"/>
    </w:rPr>
  </w:style>
  <w:style w:type="character" w:customStyle="1" w:styleId="76">
    <w:name w:val="hour_am"/>
    <w:qFormat/>
    <w:uiPriority w:val="0"/>
  </w:style>
  <w:style w:type="character" w:customStyle="1" w:styleId="77">
    <w:name w:val="NormalCharacter"/>
    <w:semiHidden/>
    <w:qFormat/>
    <w:uiPriority w:val="0"/>
    <w:rPr>
      <w:rFonts w:ascii="Times New Roman" w:hAnsi="Times New Roman" w:eastAsia="宋体" w:cs="Times New Roman"/>
    </w:rPr>
  </w:style>
  <w:style w:type="paragraph" w:customStyle="1" w:styleId="78">
    <w:name w:val="纯文本2"/>
    <w:basedOn w:val="1"/>
    <w:qFormat/>
    <w:uiPriority w:val="0"/>
    <w:pPr>
      <w:adjustRightInd w:val="0"/>
      <w:textAlignment w:val="baseline"/>
    </w:pPr>
    <w:rPr>
      <w:rFonts w:ascii="宋体" w:hAnsi="Courier New"/>
    </w:rPr>
  </w:style>
  <w:style w:type="paragraph" w:customStyle="1" w:styleId="79">
    <w:name w:val="文本正文"/>
    <w:basedOn w:val="1"/>
    <w:qFormat/>
    <w:uiPriority w:val="0"/>
    <w:pPr>
      <w:snapToGrid w:val="0"/>
      <w:spacing w:line="360" w:lineRule="auto"/>
      <w:ind w:firstLine="560" w:firstLineChars="200"/>
      <w:jc w:val="left"/>
    </w:pPr>
    <w:rPr>
      <w:kern w:val="0"/>
      <w:sz w:val="28"/>
      <w:szCs w:val="28"/>
    </w:rPr>
  </w:style>
  <w:style w:type="paragraph" w:customStyle="1" w:styleId="80">
    <w:name w:val="Plain Text1"/>
    <w:basedOn w:val="1"/>
    <w:qFormat/>
    <w:uiPriority w:val="0"/>
    <w:pPr>
      <w:widowControl/>
      <w:adjustRightInd w:val="0"/>
      <w:jc w:val="left"/>
      <w:textAlignment w:val="baseline"/>
    </w:pPr>
    <w:rPr>
      <w:rFonts w:ascii="宋体" w:hAnsi="Courier New" w:eastAsia="楷体_GB2312"/>
      <w:kern w:val="0"/>
      <w:sz w:val="26"/>
      <w:szCs w:val="20"/>
    </w:rPr>
  </w:style>
  <w:style w:type="paragraph" w:customStyle="1" w:styleId="81">
    <w:name w:val="纯文本4"/>
    <w:basedOn w:val="1"/>
    <w:qFormat/>
    <w:uiPriority w:val="0"/>
    <w:pPr>
      <w:adjustRightInd w:val="0"/>
      <w:textAlignment w:val="baseline"/>
    </w:pPr>
    <w:rPr>
      <w:rFonts w:ascii="宋体" w:hAnsi="Courier New" w:eastAsia="楷体_GB2312"/>
      <w:sz w:val="26"/>
      <w:szCs w:val="20"/>
    </w:rPr>
  </w:style>
  <w:style w:type="paragraph" w:customStyle="1" w:styleId="8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83">
    <w:name w:val="List Paragraph"/>
    <w:basedOn w:val="1"/>
    <w:qFormat/>
    <w:uiPriority w:val="99"/>
    <w:pPr>
      <w:ind w:firstLine="420" w:firstLineChars="200"/>
    </w:pPr>
  </w:style>
  <w:style w:type="paragraph" w:customStyle="1" w:styleId="84">
    <w:name w:val="纯文本1"/>
    <w:basedOn w:val="1"/>
    <w:qFormat/>
    <w:uiPriority w:val="0"/>
    <w:pPr>
      <w:adjustRightInd w:val="0"/>
    </w:pPr>
    <w:rPr>
      <w:rFonts w:ascii="宋体" w:hAnsi="Courier New" w:eastAsia="楷体_GB2312"/>
      <w:sz w:val="28"/>
      <w:szCs w:val="20"/>
    </w:rPr>
  </w:style>
  <w:style w:type="paragraph" w:customStyle="1" w:styleId="85">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86">
    <w:name w:val="纯文本5"/>
    <w:basedOn w:val="1"/>
    <w:qFormat/>
    <w:uiPriority w:val="0"/>
    <w:pPr>
      <w:adjustRightInd w:val="0"/>
      <w:textAlignment w:val="baseline"/>
    </w:pPr>
    <w:rPr>
      <w:rFonts w:ascii="宋体" w:hAnsi="Courier New" w:eastAsia="楷体_GB2312"/>
      <w:sz w:val="26"/>
      <w:szCs w:val="20"/>
    </w:rPr>
  </w:style>
  <w:style w:type="paragraph" w:customStyle="1" w:styleId="87">
    <w:name w:val="纯文本6"/>
    <w:basedOn w:val="1"/>
    <w:qFormat/>
    <w:uiPriority w:val="0"/>
    <w:pPr>
      <w:adjustRightInd w:val="0"/>
      <w:textAlignment w:val="baseline"/>
    </w:pPr>
    <w:rPr>
      <w:rFonts w:ascii="宋体" w:hAnsi="Courier New" w:eastAsia="楷体_GB2312"/>
      <w:sz w:val="26"/>
      <w:szCs w:val="20"/>
    </w:rPr>
  </w:style>
  <w:style w:type="character" w:customStyle="1" w:styleId="88">
    <w:name w:val="font21"/>
    <w:basedOn w:val="33"/>
    <w:qFormat/>
    <w:uiPriority w:val="0"/>
    <w:rPr>
      <w:rFonts w:hint="eastAsia" w:ascii="宋体" w:hAnsi="宋体" w:eastAsia="宋体" w:cs="宋体"/>
      <w:color w:val="000000"/>
      <w:sz w:val="22"/>
      <w:szCs w:val="22"/>
      <w:u w:val="none"/>
    </w:rPr>
  </w:style>
  <w:style w:type="paragraph" w:customStyle="1" w:styleId="89">
    <w:name w:val="正文1"/>
    <w:basedOn w:val="1"/>
    <w:qFormat/>
    <w:uiPriority w:val="0"/>
    <w:rPr>
      <w:rFonts w:ascii="宋体" w:hAnsi="宋体" w:cs="宋体"/>
      <w:kern w:val="0"/>
      <w:sz w:val="24"/>
      <w:szCs w:val="20"/>
      <w:lang w:eastAsia="en-US"/>
    </w:rPr>
  </w:style>
  <w:style w:type="paragraph" w:customStyle="1" w:styleId="90">
    <w:name w:val="Table Paragraph"/>
    <w:basedOn w:val="1"/>
    <w:qFormat/>
    <w:uiPriority w:val="1"/>
    <w:rPr>
      <w:rFonts w:ascii="宋体" w:hAnsi="宋体" w:cs="宋体"/>
      <w:lang w:val="zh-CN" w:bidi="zh-CN"/>
    </w:rPr>
  </w:style>
  <w:style w:type="paragraph" w:customStyle="1" w:styleId="91">
    <w:name w:val="Andy_3级"/>
    <w:basedOn w:val="1"/>
    <w:qFormat/>
    <w:uiPriority w:val="0"/>
    <w:pPr>
      <w:spacing w:line="360" w:lineRule="auto"/>
      <w:ind w:firstLine="510"/>
    </w:pPr>
    <w:rPr>
      <w:rFonts w:ascii="Calibri" w:hAnsi="Calibri"/>
      <w:kern w:val="0"/>
      <w:sz w:val="24"/>
    </w:rPr>
  </w:style>
  <w:style w:type="character" w:customStyle="1" w:styleId="92">
    <w:name w:val="font51"/>
    <w:basedOn w:val="33"/>
    <w:qFormat/>
    <w:uiPriority w:val="0"/>
    <w:rPr>
      <w:rFonts w:hint="eastAsia" w:ascii="宋体" w:hAnsi="宋体" w:eastAsia="宋体" w:cs="宋体"/>
      <w:color w:val="000000"/>
      <w:sz w:val="22"/>
      <w:szCs w:val="22"/>
      <w:u w:val="none"/>
    </w:rPr>
  </w:style>
  <w:style w:type="character" w:customStyle="1" w:styleId="93">
    <w:name w:val="font31"/>
    <w:basedOn w:val="33"/>
    <w:qFormat/>
    <w:uiPriority w:val="0"/>
    <w:rPr>
      <w:rFonts w:hint="default" w:ascii="Times New Roman" w:hAnsi="Times New Roman" w:cs="Times New Roman"/>
      <w:color w:val="000000"/>
      <w:sz w:val="22"/>
      <w:szCs w:val="22"/>
      <w:u w:val="none"/>
    </w:rPr>
  </w:style>
  <w:style w:type="character" w:customStyle="1" w:styleId="94">
    <w:name w:val="font11"/>
    <w:basedOn w:val="33"/>
    <w:qFormat/>
    <w:uiPriority w:val="0"/>
    <w:rPr>
      <w:rFonts w:hint="eastAsia" w:ascii="宋体" w:hAnsi="宋体" w:eastAsia="宋体" w:cs="宋体"/>
      <w:color w:val="000000"/>
      <w:sz w:val="22"/>
      <w:szCs w:val="22"/>
      <w:u w:val="none"/>
    </w:rPr>
  </w:style>
  <w:style w:type="paragraph" w:customStyle="1" w:styleId="95">
    <w:name w:val="文档结构图1"/>
    <w:basedOn w:val="1"/>
    <w:qFormat/>
    <w:uiPriority w:val="99"/>
    <w:pPr>
      <w:shd w:val="clear" w:color="auto" w:fill="000080"/>
    </w:pPr>
  </w:style>
  <w:style w:type="paragraph" w:customStyle="1" w:styleId="96">
    <w:name w:val="纯文本7"/>
    <w:basedOn w:val="1"/>
    <w:qFormat/>
    <w:uiPriority w:val="0"/>
    <w:pPr>
      <w:adjustRightInd w:val="0"/>
      <w:textAlignment w:val="baseline"/>
    </w:pPr>
    <w:rPr>
      <w:rFonts w:ascii="宋体" w:hAnsi="Courier New" w:eastAsia="楷体_GB2312"/>
      <w:sz w:val="26"/>
      <w:szCs w:val="20"/>
    </w:rPr>
  </w:style>
  <w:style w:type="character" w:customStyle="1" w:styleId="97">
    <w:name w:val="font41"/>
    <w:basedOn w:val="33"/>
    <w:qFormat/>
    <w:uiPriority w:val="0"/>
    <w:rPr>
      <w:rFonts w:ascii="Arial" w:hAnsi="Arial" w:cs="Arial"/>
      <w:color w:val="000000"/>
      <w:sz w:val="20"/>
      <w:szCs w:val="20"/>
      <w:u w:val="none"/>
    </w:rPr>
  </w:style>
  <w:style w:type="character" w:customStyle="1" w:styleId="98">
    <w:name w:val="font61"/>
    <w:basedOn w:val="3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65</Pages>
  <Words>15685</Words>
  <Characters>17235</Characters>
  <Lines>486</Lines>
  <Paragraphs>137</Paragraphs>
  <TotalTime>0</TotalTime>
  <ScaleCrop>false</ScaleCrop>
  <LinksUpToDate>false</LinksUpToDate>
  <CharactersWithSpaces>17638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2024-11-11T18:36:00Z</dcterms:created>
  <dc:creator>Windows User</dc:creator>
  <cp:lastModifiedBy>lu</cp:lastModifiedBy>
  <cp:lastPrinted>2025-03-18T20:32:00Z</cp:lastPrinted>
  <dcterms:modified xsi:type="dcterms:W3CDTF">2025-04-28T02:51:24Z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4857B6A0C04A49AAB292A6202993A55E_13</vt:lpwstr>
  </property>
  <property fmtid="{D5CDD505-2E9C-101B-9397-08002B2CF9AE}" pid="4" name="KSOTemplateDocerSaveRecord">
    <vt:lpwstr>eyJoZGlkIjoiYTg2ZGIyZWRmZTk5MGEyN2Y5Y2Y2MjllNTgyNjIzMzUifQ==</vt:lpwstr>
  </property>
</Properties>
</file>