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bookmarkStart w:id="8" w:name="_GoBack"/>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公开</w:t>
      </w:r>
      <w:r/>
    </w:p>
    <w:p>
      <w:pPr>
        <w:jc w:val="center"/>
        <w:rPr>
          <w:rFonts w:hint="eastAsia"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-114300</wp:posOffset>
                </wp:positionH>
                <wp:positionV relativeFrom="paragraph">
                  <wp:posOffset>198120</wp:posOffset>
                </wp:positionV>
                <wp:extent cx="1270" cy="0"/>
                <wp:effectExtent l="0" t="4445" r="0" b="5080"/>
                <wp:wrapNone/>
                <wp:docPr id="1" name="shape 0"/>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0.0pt;mso-wrap-distance-top:0.0pt;mso-wrap-distance-right:0.0pt;mso-wrap-distance-bottom:0.0pt;visibility:visible;" from="-9.0pt,15.6pt" to="-8.9pt,15.6pt" filled="f" strokecolor="#000000" strokeweight="0.75pt">
                <v:stroke dashstyle="solid"/>
              </v:line>
            </w:pict>
          </mc:Fallback>
        </mc:AlternateContent>
      </w:r>
      <w:r>
        <w:rPr>
          <w:rFonts w:hint="eastAsia" w:ascii="黑体" w:hAnsi="华文中宋" w:eastAsia="黑体"/>
          <w:bCs/>
          <w:color w:val="auto"/>
          <w:spacing w:val="20"/>
          <w:sz w:val="52"/>
          <w:szCs w:val="52"/>
          <w:highlight w:val="none"/>
        </w:rPr>
        <w:t xml:space="preserve">招标文件</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pStyle w:val="718"/>
        <w:rPr>
          <w:color w:val="auto"/>
          <w:highlight w:val="none"/>
        </w:rPr>
      </w:pPr>
      <w:r>
        <w:rPr>
          <w:color w:val="auto"/>
          <w:highlight w:val="none"/>
        </w:rPr>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18"/>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18"/>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JSZC-320214-JSZH-G2025-0021</w:t>
      </w:r>
      <w:r/>
    </w:p>
    <w:p>
      <w:pPr>
        <w:ind w:firstLine="9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2025年新吴区农产品质量安全风险监测及监督抽查项目</w:t>
      </w:r>
      <w:r/>
    </w:p>
    <w:p>
      <w:pPr>
        <w:ind w:firstLine="9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jc w:val="left"/>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采购代理机构：江苏智汇锡建工程项目管理有限公司</w:t>
      </w:r>
      <w:r/>
    </w:p>
    <w:p>
      <w:pPr>
        <w:rPr>
          <w:rFonts w:ascii="华文中宋" w:hAnsi="华文中宋" w:eastAsia="华文中宋"/>
          <w:bCs/>
          <w:color w:val="auto"/>
          <w:sz w:val="32"/>
          <w:highlight w:val="none"/>
        </w:rPr>
      </w:pPr>
      <w:r>
        <w:rPr>
          <w:rFonts w:ascii="华文中宋" w:hAnsi="华文中宋" w:eastAsia="华文中宋"/>
          <w:bCs/>
          <w:color w:val="auto"/>
          <w:sz w:val="32"/>
          <w:highlight w:val="none"/>
        </w:rPr>
      </w:r>
      <w:r/>
    </w:p>
    <w:p>
      <w:pPr>
        <w:jc w:val="center"/>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二○二</w:t>
      </w:r>
      <w:r>
        <w:rPr>
          <w:rFonts w:hint="eastAsia" w:ascii="黑体" w:hAnsi="华文中宋" w:eastAsia="黑体"/>
          <w:bCs/>
          <w:color w:val="auto"/>
          <w:sz w:val="30"/>
          <w:szCs w:val="30"/>
          <w:highlight w:val="none"/>
          <w:lang w:val="en-US" w:eastAsia="zh-CN"/>
        </w:rPr>
        <w:t xml:space="preserve">五</w:t>
      </w:r>
      <w:r>
        <w:rPr>
          <w:rFonts w:hint="eastAsia" w:ascii="黑体" w:hAnsi="华文中宋" w:eastAsia="黑体"/>
          <w:bCs/>
          <w:color w:val="auto"/>
          <w:sz w:val="30"/>
          <w:szCs w:val="30"/>
          <w:highlight w:val="none"/>
        </w:rPr>
        <w:t xml:space="preserve">年</w:t>
      </w:r>
      <w:r>
        <w:rPr>
          <w:rFonts w:hint="eastAsia" w:ascii="黑体" w:hAnsi="华文中宋" w:eastAsia="黑体"/>
          <w:bCs/>
          <w:color w:val="auto"/>
          <w:sz w:val="30"/>
          <w:szCs w:val="30"/>
          <w:highlight w:val="none"/>
          <w:lang w:val="en-US" w:eastAsia="zh-CN"/>
        </w:rPr>
        <w:t xml:space="preserve">二</w:t>
      </w:r>
      <w:r>
        <w:rPr>
          <w:rFonts w:hint="eastAsia" w:ascii="黑体" w:hAnsi="华文中宋" w:eastAsia="黑体"/>
          <w:bCs/>
          <w:color w:val="auto"/>
          <w:sz w:val="30"/>
          <w:szCs w:val="30"/>
          <w:highlight w:val="none"/>
        </w:rPr>
        <w:t xml:space="preserve">月</w:t>
      </w:r>
      <w:r/>
    </w:p>
    <w:p>
      <w:pPr>
        <w:jc w:val="center"/>
        <w:rPr>
          <w:rStyle w:val="756"/>
          <w:rFonts w:eastAsia="黑体"/>
          <w:bCs/>
          <w:color w:val="auto"/>
          <w:sz w:val="48"/>
          <w:highlight w:val="none"/>
        </w:rPr>
      </w:pPr>
      <w:r>
        <w:rPr>
          <w:rStyle w:val="756"/>
          <w:rFonts w:eastAsia="黑体"/>
          <w:bCs/>
          <w:color w:val="auto"/>
          <w:sz w:val="48"/>
          <w:highlight w:val="none"/>
        </w:rPr>
        <w:br w:type="page" w:clear="all"/>
      </w:r>
      <w:r>
        <w:rPr>
          <w:rStyle w:val="756"/>
          <w:rFonts w:hint="eastAsia" w:eastAsia="黑体"/>
          <w:bCs/>
          <w:color w:val="auto"/>
          <w:sz w:val="48"/>
          <w:highlight w:val="none"/>
        </w:rPr>
        <w:t xml:space="preserve">目录</w:t>
      </w:r>
      <w:r/>
    </w:p>
    <w:p>
      <w:pPr>
        <w:jc w:val="center"/>
        <w:rPr>
          <w:rFonts w:ascii="黑体" w:eastAsia="黑体"/>
          <w:bCs/>
          <w:color w:val="auto"/>
          <w:sz w:val="30"/>
          <w:highlight w:val="none"/>
        </w:rPr>
      </w:pPr>
      <w:r>
        <w:rPr>
          <w:rFonts w:ascii="黑体" w:eastAsia="黑体"/>
          <w:bCs/>
          <w:color w:val="auto"/>
          <w:sz w:val="30"/>
          <w:highlight w:val="none"/>
        </w:rPr>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lang w:eastAsia="zh-CN"/>
        </w:rPr>
        <w:t xml:space="preserve">一、</w:t>
      </w:r>
      <w:r>
        <w:rPr>
          <w:rFonts w:hint="eastAsia" w:ascii="宋体" w:hAnsi="宋体"/>
          <w:bCs/>
          <w:color w:val="auto"/>
          <w:sz w:val="30"/>
          <w:szCs w:val="30"/>
          <w:highlight w:val="none"/>
        </w:rPr>
        <w:t xml:space="preserve">投标邀请函</w:t>
      </w:r>
      <w:r>
        <w:rPr>
          <w:rFonts w:ascii="宋体"/>
          <w:bCs/>
          <w:color w:val="auto"/>
          <w:sz w:val="30"/>
          <w:szCs w:val="30"/>
          <w:highlight w:val="none"/>
        </w:rPr>
        <w:t xml:space="preserve">-----------------------------------</w:t>
      </w:r>
      <w:r>
        <w:rPr>
          <w:rFonts w:hint="eastAsia" w:ascii="宋体" w:hAnsi="宋体"/>
          <w:bCs/>
          <w:color w:val="auto"/>
          <w:sz w:val="30"/>
          <w:szCs w:val="30"/>
          <w:highlight w:val="none"/>
        </w:rPr>
        <w:t xml:space="preserve">（3）</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lang w:eastAsia="zh-CN"/>
        </w:rPr>
        <w:t xml:space="preserve">二、</w:t>
      </w:r>
      <w:r>
        <w:rPr>
          <w:rFonts w:hint="eastAsia" w:ascii="宋体" w:hAnsi="宋体"/>
          <w:bCs/>
          <w:color w:val="auto"/>
          <w:sz w:val="30"/>
          <w:szCs w:val="30"/>
          <w:highlight w:val="none"/>
        </w:rPr>
        <w:t xml:space="preserve">投标人须知</w:t>
      </w:r>
      <w:r>
        <w:rPr>
          <w:rFonts w:ascii="宋体"/>
          <w:bCs/>
          <w:color w:val="auto"/>
          <w:sz w:val="30"/>
          <w:szCs w:val="30"/>
          <w:highlight w:val="none"/>
        </w:rPr>
        <w:t xml:space="preserve">-----------------------------------</w:t>
      </w:r>
      <w:r>
        <w:rPr>
          <w:rFonts w:hint="eastAsia" w:ascii="宋体" w:hAnsi="宋体"/>
          <w:bCs/>
          <w:color w:val="auto"/>
          <w:sz w:val="30"/>
          <w:szCs w:val="30"/>
          <w:highlight w:val="none"/>
        </w:rPr>
        <w:t xml:space="preserve">（7）</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lang w:eastAsia="zh-CN"/>
        </w:rPr>
        <w:t xml:space="preserve">三、</w:t>
      </w:r>
      <w:r>
        <w:rPr>
          <w:rFonts w:hint="eastAsia" w:ascii="宋体" w:hAnsi="宋体"/>
          <w:bCs/>
          <w:color w:val="auto"/>
          <w:sz w:val="30"/>
          <w:szCs w:val="30"/>
          <w:highlight w:val="none"/>
        </w:rPr>
        <w:t xml:space="preserve">项目技术要求和有关说明</w:t>
      </w:r>
      <w:r>
        <w:rPr>
          <w:rFonts w:ascii="宋体"/>
          <w:bCs/>
          <w:color w:val="auto"/>
          <w:sz w:val="30"/>
          <w:szCs w:val="30"/>
          <w:highlight w:val="none"/>
        </w:rPr>
        <w:t xml:space="preserve">-----------------------</w:t>
      </w:r>
      <w:r>
        <w:rPr>
          <w:rFonts w:hint="eastAsia" w:ascii="宋体" w:hAnsi="宋体"/>
          <w:bCs/>
          <w:color w:val="auto"/>
          <w:sz w:val="30"/>
          <w:szCs w:val="30"/>
          <w:highlight w:val="none"/>
        </w:rPr>
        <w:t xml:space="preserve">（1</w:t>
      </w:r>
      <w:r>
        <w:rPr>
          <w:rFonts w:hint="eastAsia" w:ascii="宋体" w:hAnsi="宋体"/>
          <w:bCs/>
          <w:color w:val="auto"/>
          <w:sz w:val="30"/>
          <w:szCs w:val="30"/>
          <w:highlight w:val="none"/>
          <w:lang w:val="en-US" w:eastAsia="zh-CN"/>
        </w:rPr>
        <w:t xml:space="preserve">8</w:t>
      </w:r>
      <w:r>
        <w:rPr>
          <w:rFonts w:hint="eastAsia" w:ascii="宋体" w:hAnsi="宋体"/>
          <w:bCs/>
          <w:color w:val="auto"/>
          <w:sz w:val="30"/>
          <w:szCs w:val="30"/>
          <w:highlight w:val="none"/>
        </w:rPr>
        <w:t xml:space="preserve">）</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lang w:eastAsia="zh-CN"/>
        </w:rPr>
        <w:t xml:space="preserve">四、</w:t>
      </w:r>
      <w:r>
        <w:rPr>
          <w:rFonts w:hint="eastAsia" w:ascii="宋体" w:hAnsi="宋体"/>
          <w:bCs/>
          <w:color w:val="auto"/>
          <w:sz w:val="30"/>
          <w:szCs w:val="30"/>
          <w:highlight w:val="none"/>
        </w:rPr>
        <w:t xml:space="preserve">合同书（格式文本）</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23</w:t>
      </w:r>
      <w:r>
        <w:rPr>
          <w:rFonts w:hint="eastAsia" w:ascii="宋体" w:hAnsi="宋体"/>
          <w:bCs/>
          <w:color w:val="auto"/>
          <w:sz w:val="30"/>
          <w:szCs w:val="30"/>
          <w:highlight w:val="none"/>
        </w:rPr>
        <w:t xml:space="preserve">）</w:t>
      </w:r>
      <w:r/>
    </w:p>
    <w:p>
      <w:pPr>
        <w:ind w:firstLine="450"/>
        <w:spacing w:line="720" w:lineRule="auto"/>
        <w:rPr>
          <w:rFonts w:ascii="宋体" w:hAnsi="宋体"/>
          <w:bCs/>
          <w:color w:val="auto"/>
          <w:sz w:val="30"/>
          <w:szCs w:val="30"/>
          <w:highlight w:val="none"/>
        </w:rPr>
      </w:pPr>
      <w:r>
        <w:rPr>
          <w:rFonts w:hint="eastAsia" w:ascii="宋体" w:hAnsi="宋体"/>
          <w:bCs/>
          <w:color w:val="auto"/>
          <w:sz w:val="30"/>
          <w:szCs w:val="30"/>
          <w:highlight w:val="none"/>
          <w:lang w:eastAsia="zh-CN"/>
        </w:rPr>
        <w:t xml:space="preserve">五、</w:t>
      </w:r>
      <w:r>
        <w:rPr>
          <w:rFonts w:hint="eastAsia" w:ascii="宋体" w:hAnsi="宋体"/>
          <w:bCs/>
          <w:color w:val="auto"/>
          <w:sz w:val="30"/>
          <w:szCs w:val="30"/>
          <w:highlight w:val="none"/>
        </w:rPr>
        <w:t xml:space="preserve">合同条款（格式）</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24</w:t>
      </w:r>
      <w:r>
        <w:rPr>
          <w:rFonts w:hint="eastAsia" w:ascii="宋体" w:hAnsi="宋体"/>
          <w:bCs/>
          <w:color w:val="auto"/>
          <w:sz w:val="30"/>
          <w:szCs w:val="30"/>
          <w:highlight w:val="none"/>
        </w:rPr>
        <w:t xml:space="preserve">）</w:t>
      </w:r>
      <w:r/>
    </w:p>
    <w:p>
      <w:pPr>
        <w:ind w:firstLine="450"/>
        <w:spacing w:line="720" w:lineRule="auto"/>
        <w:rPr>
          <w:rFonts w:ascii="宋体" w:hAnsi="宋体"/>
          <w:bCs/>
          <w:color w:val="auto"/>
          <w:sz w:val="30"/>
          <w:szCs w:val="30"/>
          <w:highlight w:val="none"/>
        </w:rPr>
      </w:pPr>
      <w:r>
        <w:rPr>
          <w:rFonts w:hint="eastAsia" w:ascii="宋体" w:hAnsi="宋体"/>
          <w:bCs/>
          <w:color w:val="auto"/>
          <w:sz w:val="30"/>
          <w:szCs w:val="30"/>
          <w:highlight w:val="none"/>
          <w:lang w:eastAsia="zh-CN"/>
        </w:rPr>
        <w:t xml:space="preserve">六、</w:t>
      </w:r>
      <w:r>
        <w:rPr>
          <w:rFonts w:hint="eastAsia" w:ascii="宋体" w:hAnsi="宋体"/>
          <w:bCs/>
          <w:color w:val="auto"/>
          <w:sz w:val="30"/>
          <w:szCs w:val="30"/>
          <w:highlight w:val="none"/>
        </w:rPr>
        <w:t xml:space="preserve">附件</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27</w:t>
      </w:r>
      <w:r>
        <w:rPr>
          <w:rFonts w:hint="eastAsia" w:ascii="宋体" w:hAnsi="宋体"/>
          <w:bCs/>
          <w:color w:val="auto"/>
          <w:sz w:val="30"/>
          <w:szCs w:val="30"/>
          <w:highlight w:val="none"/>
        </w:rPr>
        <w:t xml:space="preserve">）</w:t>
      </w:r>
      <w:r/>
    </w:p>
    <w:p>
      <w:pPr>
        <w:spacing w:line="720" w:lineRule="auto"/>
        <w:rPr>
          <w:rFonts w:ascii="宋体"/>
          <w:bCs/>
          <w:color w:val="auto"/>
          <w:sz w:val="28"/>
          <w:szCs w:val="28"/>
          <w:highlight w:val="none"/>
        </w:rPr>
      </w:pPr>
      <w:r>
        <w:rPr>
          <w:rFonts w:ascii="宋体"/>
          <w:bCs/>
          <w:color w:val="auto"/>
          <w:sz w:val="28"/>
          <w:szCs w:val="28"/>
          <w:highlight w:val="none"/>
        </w:rPr>
      </w:r>
      <w:r/>
    </w:p>
    <w:p>
      <w:pPr>
        <w:spacing w:line="720" w:lineRule="auto"/>
        <w:rPr>
          <w:rFonts w:ascii="宋体"/>
          <w:bCs/>
          <w:color w:val="auto"/>
          <w:sz w:val="30"/>
          <w:highlight w:val="none"/>
        </w:rPr>
      </w:pPr>
      <w:r>
        <w:rPr>
          <w:rFonts w:ascii="宋体"/>
          <w:bCs/>
          <w:color w:val="auto"/>
          <w:sz w:val="30"/>
          <w:highlight w:val="none"/>
        </w:rPr>
      </w:r>
      <w:r/>
    </w:p>
    <w:p>
      <w:pPr>
        <w:spacing w:line="480" w:lineRule="auto"/>
        <w:rPr>
          <w:rFonts w:ascii="宋体"/>
          <w:bCs/>
          <w:color w:val="auto"/>
          <w:sz w:val="30"/>
          <w:highlight w:val="none"/>
        </w:rPr>
      </w:pPr>
      <w:r>
        <w:rPr>
          <w:rFonts w:ascii="宋体"/>
          <w:bCs/>
          <w:color w:val="auto"/>
          <w:sz w:val="30"/>
          <w:highlight w:val="none"/>
        </w:rPr>
      </w:r>
      <w:r/>
    </w:p>
    <w:p>
      <w:pPr>
        <w:rPr>
          <w:rFonts w:ascii="宋体"/>
          <w:bCs/>
          <w:color w:val="auto"/>
          <w:sz w:val="28"/>
          <w:highlight w:val="none"/>
        </w:rPr>
      </w:pPr>
      <w:r>
        <w:rPr>
          <w:rFonts w:ascii="宋体"/>
          <w:bCs/>
          <w:color w:val="auto"/>
          <w:sz w:val="28"/>
          <w:highlight w:val="none"/>
        </w:rPr>
      </w:r>
      <w:r/>
    </w:p>
    <w:p>
      <w:pPr>
        <w:rPr>
          <w:rFonts w:ascii="宋体"/>
          <w:bCs/>
          <w:color w:val="auto"/>
          <w:sz w:val="32"/>
          <w:highlight w:val="none"/>
        </w:rPr>
      </w:pPr>
      <w:r>
        <w:rPr>
          <w:rFonts w:ascii="宋体"/>
          <w:bCs/>
          <w:color w:val="auto"/>
          <w:sz w:val="32"/>
          <w:highlight w:val="none"/>
        </w:rPr>
      </w:r>
      <w:r/>
    </w:p>
    <w:p>
      <w:pPr>
        <w:rPr>
          <w:rFonts w:ascii="宋体"/>
          <w:bCs/>
          <w:color w:val="auto"/>
          <w:sz w:val="32"/>
          <w:highlight w:val="none"/>
        </w:rPr>
      </w:pPr>
      <w:r>
        <w:rPr>
          <w:rFonts w:ascii="宋体"/>
          <w:bCs/>
          <w:color w:val="auto"/>
          <w:sz w:val="32"/>
          <w:highlight w:val="none"/>
        </w:rPr>
      </w:r>
      <w:r/>
    </w:p>
    <w:p>
      <w:pPr>
        <w:jc w:val="center"/>
        <w:spacing w:line="360" w:lineRule="auto"/>
        <w:rPr>
          <w:rFonts w:ascii="黑体" w:eastAsia="黑体"/>
          <w:bCs/>
          <w:color w:val="auto"/>
          <w:sz w:val="28"/>
          <w:szCs w:val="28"/>
          <w:highlight w:val="none"/>
        </w:rPr>
        <w:outlineLvl w:val="0"/>
      </w:pPr>
      <w:r/>
      <w:bookmarkStart w:id="0" w:name="报价方须知前附表"/>
      <w:r/>
      <w:bookmarkEnd w:id="0"/>
      <w:r>
        <w:rPr>
          <w:rFonts w:ascii="黑体" w:eastAsia="黑体"/>
          <w:bCs/>
          <w:color w:val="auto"/>
          <w:sz w:val="28"/>
          <w:szCs w:val="28"/>
          <w:highlight w:val="none"/>
        </w:rPr>
        <w:br w:type="page" w:clear="all"/>
      </w:r>
      <w:r>
        <w:rPr>
          <w:rFonts w:hint="eastAsia" w:ascii="黑体" w:eastAsia="黑体"/>
          <w:bCs/>
          <w:color w:val="auto"/>
          <w:sz w:val="28"/>
          <w:szCs w:val="28"/>
          <w:highlight w:val="none"/>
          <w:lang w:eastAsia="zh-CN"/>
        </w:rPr>
        <w:t xml:space="preserve">一、</w:t>
      </w:r>
      <w:r>
        <w:rPr>
          <w:rFonts w:hint="eastAsia" w:ascii="黑体" w:eastAsia="黑体"/>
          <w:bCs/>
          <w:color w:val="auto"/>
          <w:sz w:val="28"/>
          <w:szCs w:val="28"/>
          <w:highlight w:val="none"/>
        </w:rPr>
        <w:t xml:space="preserve">投标邀请函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江苏智汇锡建工程项目管理有限公司受</w:t>
      </w:r>
      <w:r>
        <w:rPr>
          <w:rFonts w:hint="eastAsia" w:ascii="宋体" w:hAnsi="宋体"/>
          <w:bCs/>
          <w:color w:val="auto"/>
          <w:sz w:val="24"/>
          <w:szCs w:val="24"/>
          <w:highlight w:val="none"/>
          <w:lang w:eastAsia="zh-CN"/>
        </w:rPr>
        <w:t xml:space="preserve">无锡国家高新技术产业开发区（无锡市新吴区）农业农村局</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2025年新吴区农产品质量安全风险监测及监督抽查项目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2025年新吴区农产品质量安全风险监测及监督抽查项目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JSZC-320214-JSZH-G2025-0021</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3.合同履行期限：</w:t>
      </w:r>
      <w:r>
        <w:rPr>
          <w:rFonts w:hint="eastAsia" w:ascii="宋体" w:hAnsi="宋体" w:cs="宋体"/>
          <w:color w:val="auto"/>
          <w:sz w:val="24"/>
          <w:szCs w:val="24"/>
          <w:highlight w:val="none"/>
          <w:lang w:eastAsia="zh-CN"/>
        </w:rPr>
        <w:t xml:space="preserve">自合同签订之日起至2025年12月31日</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4.项目预算：</w:t>
      </w:r>
      <w:r>
        <w:rPr>
          <w:rFonts w:hint="eastAsia" w:ascii="宋体" w:hAnsi="宋体" w:cs="宋体"/>
          <w:color w:val="auto"/>
          <w:sz w:val="24"/>
          <w:szCs w:val="24"/>
          <w:highlight w:val="none"/>
          <w:lang w:val="en-US" w:eastAsia="zh-CN"/>
        </w:rPr>
        <w:t xml:space="preserve">91.0996万元（一标段：68.3247万元，二标段：22.7749万元）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5.最高限价：</w:t>
      </w:r>
      <w:r>
        <w:rPr>
          <w:rFonts w:hint="eastAsia" w:ascii="宋体" w:hAnsi="宋体" w:cs="宋体"/>
          <w:color w:val="auto"/>
          <w:sz w:val="24"/>
          <w:szCs w:val="24"/>
          <w:highlight w:val="none"/>
          <w:lang w:val="en-US" w:eastAsia="zh-CN"/>
        </w:rPr>
        <w:t xml:space="preserve">91.0996万元（一标段：68.3247万元，二标段：22.7749万元）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7.采购人：</w:t>
      </w:r>
      <w:r>
        <w:rPr>
          <w:rFonts w:hint="eastAsia" w:ascii="宋体" w:hAnsi="宋体" w:cs="宋体"/>
          <w:color w:val="auto"/>
          <w:sz w:val="24"/>
          <w:szCs w:val="24"/>
          <w:highlight w:val="none"/>
          <w:lang w:eastAsia="zh-CN"/>
        </w:rPr>
        <w:t xml:space="preserve">无锡国家高新技术产业开发区（无锡市新吴区）农业农村局</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8.本项目标的所属行业：其他未列明行业；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9.本项目是否专门面向中小企业：是；</w:t>
      </w:r>
      <w:r/>
    </w:p>
    <w:p>
      <w:pPr>
        <w:ind w:firstLine="480"/>
        <w:jc w:val="left"/>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本项目共设两个标段：一标段：含地产稻麦专项、葡萄专项、鸿山街道地产蔬菜、水产品和旺庄街道、江溪街道、新安街道、梅村街道、硕放街道市场经营的蔬菜风险监测共1020批次；二标段：区级监督抽查340批次</w:t>
      </w:r>
      <w:r>
        <w:rPr>
          <w:rFonts w:hint="eastAsia" w:ascii="宋体" w:hAnsi="宋体" w:cs="宋体"/>
          <w:color w:val="auto"/>
          <w:sz w:val="24"/>
          <w:szCs w:val="24"/>
          <w:highlight w:val="none"/>
        </w:rPr>
        <w:t xml:space="preserve">；详见招标文件“</w:t>
      </w:r>
      <w:r>
        <w:rPr>
          <w:rFonts w:hint="eastAsia" w:ascii="宋体" w:hAnsi="宋体" w:cs="宋体"/>
          <w:color w:val="auto"/>
          <w:sz w:val="24"/>
          <w:szCs w:val="24"/>
          <w:highlight w:val="none"/>
          <w:lang w:eastAsia="zh-CN"/>
        </w:rPr>
        <w:t xml:space="preserve">三、</w:t>
      </w:r>
      <w:r>
        <w:rPr>
          <w:rFonts w:hint="eastAsia" w:ascii="宋体" w:hAnsi="宋体" w:cs="宋体"/>
          <w:color w:val="auto"/>
          <w:sz w:val="24"/>
          <w:szCs w:val="24"/>
          <w:highlight w:val="none"/>
        </w:rPr>
        <w:t xml:space="preserve">项目技术要求和有关说明”</w:t>
      </w:r>
      <w:r>
        <w:rPr>
          <w:rFonts w:hint="eastAsia" w:ascii="宋体" w:hAnsi="宋体" w:cs="宋体"/>
          <w:color w:val="auto"/>
          <w:sz w:val="24"/>
          <w:szCs w:val="24"/>
          <w:highlight w:val="none"/>
          <w:lang w:val="en-US" w:eastAsia="zh-CN"/>
        </w:rPr>
        <w:t xml:space="preserve">。</w:t>
      </w:r>
      <w:r/>
    </w:p>
    <w:p>
      <w:pPr>
        <w:ind w:firstLine="480"/>
        <w:jc w:val="left"/>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供应商可以参加本次采购所有符合报名条件的2个标段的投标报名，但中标最多只能中1个标段，由评分排名第1名中标。评分排名均在前的情况下根据投标单位在投标文件中的承诺确定中标标段。如某标段排名第一的投标人已经中了其他标段，则该标段由排名第二的投标人中标，依次类推。</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（1）投标人为在中华人民共和国境内合法注册的法人企业、其他组织或自然人；（2）未被“信用中国”网站列入失信</w:t>
      </w:r>
      <w:r>
        <w:rPr>
          <w:rFonts w:hint="eastAsia" w:ascii="宋体" w:hAnsi="宋体"/>
          <w:color w:val="auto"/>
          <w:sz w:val="24"/>
          <w:szCs w:val="24"/>
          <w:highlight w:val="none"/>
          <w:lang w:val="en-US" w:eastAsia="zh-CN"/>
        </w:rPr>
        <w:t xml:space="preserve">被</w:t>
      </w:r>
      <w:r>
        <w:rPr>
          <w:rFonts w:hint="eastAsia" w:ascii="宋体" w:hAnsi="宋体"/>
          <w:color w:val="auto"/>
          <w:sz w:val="24"/>
          <w:szCs w:val="24"/>
          <w:highlight w:val="none"/>
        </w:rPr>
        <w:t xml:space="preserve">执行人、重大税收违法案件当事人名单、政府采购严重违法失信行为记录名单；</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）投标供应商具有有效的省级及以上主管部门颁发的检验机构认证资质；</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）授权委托人应为投标供应商企业在职员工；</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）本项目不接受联合体投标。</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1.请有意参加本项目采购活动的供应商按以下流程进行操作：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（3）CA驱动下载：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在“江苏省政府采购（苏采云）平台”</w:t>
      </w:r>
      <w:r>
        <w:rPr>
          <w:rFonts w:hint="eastAsia" w:ascii="宋体" w:hAnsi="宋体"/>
          <w:color w:val="auto"/>
          <w:sz w:val="24"/>
          <w:szCs w:val="24"/>
          <w:highlight w:val="none"/>
          <w:lang w:eastAsia="zh-CN"/>
        </w:rPr>
        <w:t xml:space="preserve">账号登录</w:t>
      </w:r>
      <w:r>
        <w:rPr>
          <w:rFonts w:hint="eastAsia"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技术服务电话：0510-81827781（服务时间：工作日 9:00-11:30，13:00-17:00）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（四）完成项目报名，获取采购文件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1.潜在投标供应商可在项目招标公告附件中查看公开招标文件，如确定投标，必须在苏采云平台（http://jszfcg.jscz.gov.cn/jszc/login）中免费下载公开招标文件（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无锡政府采购网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--江苏省政府采购（苏采云）平台或“政府采购客户端（苏采云）”中免费下载文件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“项目参与”——找到需要获取招标文件的项目，点击“我要参与”——“参与投标”——“下载文件”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2.招标文件（后缀名为“.kedt”）、“苏采云”系统供应商操作手册及政府采购客户端工具也可通过“苏采云”系统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已参与项目</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报名详情页面内相应链接进行下载。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3.政府采购客户端工具及“苏采云”系统供应商操作手册可访问江苏政府采购网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办事指南</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“资料下载”进行下载《“苏采云”系统供应商操作手册及政府采购客户端工具》或可至无锡政府采购网-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下载专区--“苏采云”栏目下载《“苏采云”系统供应商操作手册》。</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rPr>
        <w:t xml:space="preserve">江苏智汇锡建工程项目管理有限公司</w:t>
      </w:r>
      <w:r>
        <w:rPr>
          <w:rFonts w:hint="eastAsia" w:ascii="宋体" w:hAnsi="宋体"/>
          <w:bCs/>
          <w:color w:val="auto"/>
          <w:sz w:val="24"/>
          <w:szCs w:val="24"/>
          <w:highlight w:val="none"/>
        </w:rPr>
        <w:t xml:space="preserve">将以线上不见面、电话咨询、传真等方式开展线上答疑服务。截止至</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年3</w:t>
      </w:r>
      <w:r>
        <w:rPr>
          <w:rFonts w:hint="eastAsia" w:ascii="宋体" w:hAnsi="宋体" w:cs="宋体"/>
          <w:color w:val="auto"/>
          <w:sz w:val="24"/>
          <w:szCs w:val="24"/>
          <w:highlight w:val="none"/>
        </w:rPr>
        <w:t xml:space="preserve">月4</w:t>
      </w:r>
      <w:r>
        <w:rPr>
          <w:rFonts w:hint="eastAsia" w:ascii="宋体" w:hAnsi="宋体" w:cs="宋体"/>
          <w:color w:val="auto"/>
          <w:sz w:val="24"/>
          <w:szCs w:val="24"/>
          <w:highlight w:val="none"/>
        </w:rPr>
        <w:t xml:space="preserve">日17</w:t>
      </w:r>
      <w:r>
        <w:rPr>
          <w:rFonts w:hint="eastAsia" w:ascii="宋体" w:hAnsi="宋体" w:cs="宋体"/>
          <w:color w:val="auto"/>
          <w:sz w:val="24"/>
          <w:szCs w:val="24"/>
          <w:highlight w:val="none"/>
        </w:rPr>
        <w:t xml:space="preserve">:00前，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JSZC-320214-JSZH-G2025-0021</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年3</w:t>
      </w:r>
      <w:r>
        <w:rPr>
          <w:rFonts w:hint="eastAsia" w:ascii="宋体" w:hAnsi="宋体" w:cs="宋体"/>
          <w:color w:val="auto"/>
          <w:sz w:val="24"/>
          <w:szCs w:val="24"/>
          <w:highlight w:val="none"/>
        </w:rPr>
        <w:t xml:space="preserve">月24</w:t>
      </w:r>
      <w:r>
        <w:rPr>
          <w:rFonts w:hint="eastAsia" w:ascii="宋体" w:hAnsi="宋体" w:cs="宋体"/>
          <w:color w:val="auto"/>
          <w:sz w:val="24"/>
          <w:szCs w:val="24"/>
          <w:highlight w:val="none"/>
        </w:rPr>
        <w:t xml:space="preserve">日13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 xml:space="preserve">月24</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rPr>
        <w:t xml:space="preserve">开启解密后半小时。</w:t>
      </w:r>
      <w:r/>
    </w:p>
    <w:p>
      <w:pPr>
        <w:ind w:firstLine="480"/>
        <w:jc w:val="left"/>
        <w:spacing w:line="360" w:lineRule="auto"/>
        <w:widowControl/>
        <w:rPr>
          <w:rFonts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1" w:name="_Toc28359007"/>
      <w:r>
        <w:rPr>
          <w:rFonts w:hint="eastAsia" w:ascii="宋体" w:hAnsi="宋体" w:cs="宋体"/>
          <w:color w:val="auto"/>
          <w:sz w:val="24"/>
          <w:szCs w:val="24"/>
          <w:highlight w:val="none"/>
        </w:rPr>
        <w:t xml:space="preserve">“苏采云”系统（网址：http://jszfcg.jsczt.cn/）</w:t>
      </w:r>
      <w:bookmarkEnd w:id="1"/>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w:t>
      </w:r>
      <w:r>
        <w:rPr>
          <w:rFonts w:hint="eastAsia" w:ascii="黑体" w:hAnsi="黑体" w:eastAsia="黑体"/>
          <w:bCs/>
          <w:color w:val="auto"/>
          <w:sz w:val="24"/>
          <w:szCs w:val="24"/>
          <w:highlight w:val="none"/>
          <w:lang w:eastAsia="zh-CN"/>
        </w:rPr>
        <w:t xml:space="preserve">其他</w:t>
      </w:r>
      <w:r/>
    </w:p>
    <w:p>
      <w:pPr>
        <w:pStyle w:val="747"/>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747"/>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采购人：无锡国家高新技术产业开发区（无锡市新吴区）农业农村局</w:t>
      </w:r>
      <w:r/>
    </w:p>
    <w:p>
      <w:pPr>
        <w:pStyle w:val="747"/>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采购人地址：无锡市新吴区净慧东道70号</w:t>
      </w:r>
      <w:r/>
    </w:p>
    <w:p>
      <w:pPr>
        <w:pStyle w:val="747"/>
        <w:ind w:firstLine="480"/>
        <w:spacing w:before="0" w:beforeAutospacing="0" w:after="0" w:afterAutospacing="0" w:line="460" w:lineRule="exact"/>
        <w:tabs>
          <w:tab w:val="left" w:pos="0" w:leader="none"/>
        </w:tabs>
        <w:rPr>
          <w:rFonts w:hint="eastAsia" w:eastAsia="宋体" w:cs="宋体"/>
          <w:color w:val="auto"/>
          <w:highlight w:val="none"/>
          <w:lang w:eastAsia="zh-CN"/>
        </w:rPr>
      </w:pPr>
      <w:r>
        <w:rPr>
          <w:rFonts w:hint="eastAsia" w:cs="宋体"/>
          <w:color w:val="auto"/>
          <w:highlight w:val="none"/>
          <w:lang w:val="zh-CN"/>
        </w:rPr>
        <w:t xml:space="preserve">联系人：</w:t>
      </w:r>
      <w:r>
        <w:rPr>
          <w:rFonts w:hint="eastAsia" w:cs="宋体"/>
          <w:color w:val="auto"/>
          <w:highlight w:val="none"/>
          <w:lang w:eastAsia="zh-CN"/>
        </w:rPr>
        <w:t xml:space="preserve">华嘉</w:t>
      </w:r>
      <w:r/>
    </w:p>
    <w:p>
      <w:pPr>
        <w:pStyle w:val="747"/>
        <w:ind w:firstLine="480"/>
        <w:spacing w:before="0" w:beforeAutospacing="0" w:after="0" w:afterAutospacing="0" w:line="460" w:lineRule="exact"/>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联系电话：0510-81890938</w:t>
      </w:r>
      <w:r/>
    </w:p>
    <w:p>
      <w:pPr>
        <w:pStyle w:val="747"/>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采购代理机构：江苏智汇锡建工程项目管理有限公司</w:t>
      </w:r>
      <w:r/>
    </w:p>
    <w:p>
      <w:pPr>
        <w:pStyle w:val="747"/>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采购代理机构统一社会信用代码：91320214727400523L</w:t>
      </w:r>
      <w:r/>
    </w:p>
    <w:p>
      <w:pPr>
        <w:pStyle w:val="747"/>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联系人：徐丽平、吴雨洁</w:t>
      </w:r>
      <w:r/>
    </w:p>
    <w:p>
      <w:pPr>
        <w:pStyle w:val="747"/>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联系电话：0510-82796055</w:t>
      </w:r>
      <w:r/>
    </w:p>
    <w:p>
      <w:pPr>
        <w:pStyle w:val="747"/>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联系地址：</w:t>
      </w:r>
      <w:r>
        <w:rPr>
          <w:rFonts w:hint="eastAsia"/>
          <w:bCs/>
          <w:color w:val="auto"/>
          <w:highlight w:val="none"/>
        </w:rPr>
        <w:t xml:space="preserve">无锡市新吴区太湖国际科技园菱湖大道180-8号B栋9楼</w:t>
      </w:r>
      <w:r/>
    </w:p>
    <w:p>
      <w:pPr>
        <w:pStyle w:val="747"/>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邮政编码：214000</w:t>
      </w:r>
      <w:r/>
    </w:p>
    <w:p>
      <w:pPr>
        <w:pStyle w:val="747"/>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电子邮件地址：jszh009@163.com</w:t>
      </w:r>
      <w:r/>
    </w:p>
    <w:p>
      <w:pPr>
        <w:pStyle w:val="747"/>
        <w:ind w:firstLine="480"/>
        <w:spacing w:before="0" w:beforeAutospacing="0" w:after="0" w:afterAutospacing="0" w:line="460" w:lineRule="exact"/>
        <w:tabs>
          <w:tab w:val="left" w:pos="0" w:leader="none"/>
        </w:tabs>
        <w:rPr>
          <w:rFonts w:ascii="黑体" w:hAnsi="黑体" w:eastAsia="黑体"/>
          <w:bCs/>
          <w:color w:val="auto"/>
          <w:highlight w:val="none"/>
        </w:rPr>
      </w:pPr>
      <w:r>
        <w:rPr>
          <w:rFonts w:hint="eastAsia" w:ascii="黑体" w:hAnsi="黑体" w:eastAsia="黑体"/>
          <w:bCs/>
          <w:color w:val="auto"/>
          <w:highlight w:val="none"/>
        </w:rPr>
        <w:t xml:space="preserve">（十）</w:t>
      </w:r>
      <w:r>
        <w:rPr>
          <w:rFonts w:hint="eastAsia" w:ascii="黑体" w:hAnsi="黑体" w:eastAsia="黑体"/>
          <w:bCs/>
          <w:color w:val="auto"/>
          <w:highlight w:val="none"/>
          <w:lang w:eastAsia="zh-CN"/>
        </w:rPr>
        <w:t xml:space="preserve">其他</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纸质投标文件：本项目为不见面开标，报价人无需递交纸质投标文件至现场，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ascii="黑体" w:eastAsia="黑体"/>
          <w:bCs/>
          <w:color w:val="auto"/>
          <w:sz w:val="28"/>
          <w:szCs w:val="28"/>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747"/>
        <w:ind w:firstLine="560"/>
        <w:jc w:val="center"/>
        <w:spacing w:before="0" w:beforeAutospacing="0" w:after="0" w:afterAutospacing="0" w:line="460" w:lineRule="exact"/>
        <w:tabs>
          <w:tab w:val="left" w:pos="0" w:leader="none"/>
        </w:tabs>
        <w:rPr>
          <w:rFonts w:ascii="黑体" w:eastAsia="黑体"/>
          <w:bCs/>
          <w:color w:val="auto"/>
          <w:sz w:val="28"/>
          <w:szCs w:val="28"/>
          <w:highlight w:val="none"/>
        </w:rPr>
        <w:outlineLvl w:val="0"/>
      </w:pPr>
      <w:r>
        <w:rPr>
          <w:rFonts w:ascii="黑体" w:eastAsia="黑体"/>
          <w:bCs/>
          <w:color w:val="auto"/>
          <w:sz w:val="28"/>
          <w:szCs w:val="28"/>
          <w:highlight w:val="none"/>
        </w:rPr>
        <w:br w:type="page" w:clear="all"/>
      </w:r>
      <w:r>
        <w:rPr>
          <w:rFonts w:hint="eastAsia" w:ascii="黑体" w:eastAsia="黑体"/>
          <w:bCs/>
          <w:color w:val="auto"/>
          <w:sz w:val="28"/>
          <w:szCs w:val="28"/>
          <w:highlight w:val="none"/>
          <w:lang w:eastAsia="zh-CN"/>
        </w:rPr>
        <w:t xml:space="preserve">二、</w:t>
      </w:r>
      <w:r>
        <w:rPr>
          <w:rFonts w:hint="eastAsia" w:ascii="黑体" w:eastAsia="黑体"/>
          <w:bCs/>
          <w:color w:val="auto"/>
          <w:sz w:val="28"/>
          <w:szCs w:val="28"/>
          <w:highlight w:val="none"/>
        </w:rPr>
        <w:t xml:space="preserve">投标人须知</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w:t>
      </w:r>
      <w:r>
        <w:rPr>
          <w:rFonts w:hint="eastAsia" w:ascii="黑体" w:hAnsi="宋体" w:eastAsia="黑体"/>
          <w:bCs/>
          <w:color w:val="auto"/>
          <w:sz w:val="24"/>
          <w:szCs w:val="24"/>
          <w:highlight w:val="none"/>
        </w:rPr>
        <w:t xml:space="preserve">招标文件：</w:t>
      </w:r>
      <w:r/>
    </w:p>
    <w:p>
      <w:pPr>
        <w:numPr>
          <w:ilvl w:val="0"/>
          <w:numId w:val="4"/>
        </w:numPr>
        <w:ind w:left="0" w:firstLine="523"/>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4"/>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numPr>
          <w:ilvl w:val="0"/>
          <w:numId w:val="4"/>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投标供应商应在苏采云平台（http://jszfcg.jscz.gov.cn/jszc/login）下载招标文件及有关资料，按要求制作、上传投标文件，对招标文件各项内容做出实质性响应，否则投标无效。</w:t>
      </w:r>
      <w:r/>
    </w:p>
    <w:p>
      <w:pPr>
        <w:numPr>
          <w:ilvl w:val="0"/>
          <w:numId w:val="4"/>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1.江苏智汇锡建工程项目管理有限公司可在投标截止时间十五日前对招标文件进行必要的澄清或者修改，不足15日的，将顺延提交投标文件的截止时间。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2.如需对招标文件进行澄清或修正，江苏智汇锡建工程项目管理有限公司将在无锡政府采购网、江苏政府采购网发布更正公告，该澄清或修正的内容为招标文件的组成部分。投标人应在投标截止时间前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答复。投标人在法定质疑期限外送达的质疑函或法定质疑期限内送达的质疑函不符合上述要求的均为无效质疑，江苏智汇锡建工程项目管理有限公司对无效质疑不予受理。</w:t>
      </w:r>
      <w:r/>
    </w:p>
    <w:p>
      <w:pPr>
        <w:ind w:left="1200" w:hanging="72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lang w:eastAsia="zh-CN"/>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接收单位：江苏智汇锡建工程项目管理有限公司</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地址：无锡市新吴区太湖国际科技园菱湖大道180-8号B栋9楼</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联系人：吴雨洁</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电话：0510-82796055</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968"/>
        <w:numPr>
          <w:ilvl w:val="1"/>
          <w:numId w:val="5"/>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968"/>
        <w:numPr>
          <w:ilvl w:val="1"/>
          <w:numId w:val="5"/>
        </w:numPr>
        <w:ind w:left="0" w:firstLine="567"/>
        <w:spacing w:line="360" w:lineRule="auto"/>
        <w:tabs>
          <w:tab w:val="left" w:pos="1276" w:leader="none"/>
        </w:tabs>
        <w:rPr>
          <w:rFonts w:ascii="宋体"/>
          <w:bCs/>
          <w:color w:val="auto"/>
          <w:sz w:val="24"/>
          <w:szCs w:val="24"/>
          <w:highlight w:val="none"/>
        </w:rPr>
      </w:pPr>
      <w:r>
        <w:rPr>
          <w:bCs/>
          <w:color w:val="auto"/>
          <w:sz w:val="24"/>
          <w:szCs w:val="24"/>
          <w:highlight w:val="none"/>
        </w:rPr>
        <w:t xml:space="preserve">具有独立承担民事责任能力的投标供应商营业执照或相关部门的登记证明文件（投标供应商</w:t>
      </w:r>
      <w:r>
        <w:rPr>
          <w:rFonts w:hint="eastAsia"/>
          <w:bCs/>
          <w:color w:val="auto"/>
          <w:sz w:val="24"/>
          <w:szCs w:val="24"/>
          <w:highlight w:val="none"/>
          <w:lang w:eastAsia="zh-CN"/>
        </w:rPr>
        <w:t xml:space="preserve">如</w:t>
      </w:r>
      <w:r>
        <w:rPr>
          <w:color w:val="auto"/>
          <w:sz w:val="24"/>
          <w:szCs w:val="24"/>
          <w:highlight w:val="none"/>
        </w:rPr>
        <w:t xml:space="preserve">允许以分支机构身份参加投标的，提供投标供应商分支机构的营业执照</w:t>
      </w:r>
      <w:r>
        <w:rPr>
          <w:bCs/>
          <w:color w:val="auto"/>
          <w:sz w:val="24"/>
          <w:szCs w:val="24"/>
          <w:highlight w:val="none"/>
        </w:rPr>
        <w:t xml:space="preserve">）</w:t>
      </w:r>
      <w:r>
        <w:rPr>
          <w:rFonts w:hint="eastAsia"/>
          <w:bCs/>
          <w:color w:val="auto"/>
          <w:sz w:val="24"/>
          <w:szCs w:val="24"/>
          <w:highlight w:val="none"/>
          <w:lang w:eastAsia="zh-CN"/>
        </w:rPr>
        <w:t xml:space="preserve">；</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bCs/>
          <w:color w:val="auto"/>
          <w:sz w:val="24"/>
          <w:szCs w:val="24"/>
          <w:highlight w:val="none"/>
        </w:rPr>
        <w:t xml:space="preserve">投标供应商法定代表人授权委托书</w:t>
      </w:r>
      <w:r>
        <w:rPr>
          <w:color w:val="auto"/>
          <w:sz w:val="24"/>
          <w:szCs w:val="24"/>
          <w:highlight w:val="none"/>
        </w:rPr>
        <w:t xml:space="preserve">（</w:t>
      </w:r>
      <w:r>
        <w:rPr>
          <w:b/>
          <w:bCs/>
          <w:color w:val="auto"/>
          <w:sz w:val="24"/>
          <w:szCs w:val="24"/>
          <w:highlight w:val="none"/>
        </w:rPr>
        <w:t xml:space="preserve">格式见附件，法定代表人亲自参加投标的</w:t>
      </w:r>
      <w:r>
        <w:rPr>
          <w:rFonts w:hint="eastAsia"/>
          <w:b/>
          <w:bCs/>
          <w:color w:val="auto"/>
          <w:sz w:val="24"/>
          <w:szCs w:val="24"/>
          <w:highlight w:val="none"/>
          <w:lang w:eastAsia="zh-CN"/>
        </w:rPr>
        <w:t xml:space="preserve">、投标人如是自然人情形的，可不提供</w:t>
      </w:r>
      <w:r>
        <w:rPr>
          <w:color w:val="auto"/>
          <w:sz w:val="24"/>
          <w:szCs w:val="24"/>
          <w:highlight w:val="none"/>
        </w:rPr>
        <w:t xml:space="preserve">）（投标供应商</w:t>
      </w:r>
      <w:r>
        <w:rPr>
          <w:rFonts w:hint="eastAsia"/>
          <w:color w:val="auto"/>
          <w:sz w:val="24"/>
          <w:szCs w:val="24"/>
          <w:highlight w:val="none"/>
          <w:lang w:eastAsia="zh-CN"/>
        </w:rPr>
        <w:t xml:space="preserve">如</w:t>
      </w:r>
      <w:r>
        <w:rPr>
          <w:color w:val="auto"/>
          <w:sz w:val="24"/>
          <w:szCs w:val="24"/>
          <w:highlight w:val="none"/>
        </w:rPr>
        <w:t xml:space="preserve">允许以分支机构身份参加投标的，请自行将“法定代表人”更改为“负责人”，分支机构投标时</w:t>
      </w:r>
      <w:r>
        <w:rPr>
          <w:rFonts w:hint="eastAsia"/>
          <w:color w:val="auto"/>
          <w:sz w:val="24"/>
          <w:szCs w:val="24"/>
          <w:highlight w:val="none"/>
          <w:lang w:eastAsia="zh-CN"/>
        </w:rPr>
        <w:t xml:space="preserve">涉及</w:t>
      </w:r>
      <w:r>
        <w:rPr>
          <w:color w:val="auto"/>
          <w:sz w:val="24"/>
          <w:szCs w:val="24"/>
          <w:highlight w:val="none"/>
        </w:rPr>
        <w:t xml:space="preserve">招标文件“法定代表人”要求的部分，其具体要求视同本条规定</w:t>
      </w:r>
      <w:r>
        <w:rPr>
          <w:rFonts w:hint="eastAsia"/>
          <w:color w:val="auto"/>
          <w:sz w:val="24"/>
          <w:szCs w:val="24"/>
          <w:highlight w:val="none"/>
          <w:lang w:eastAsia="zh-CN"/>
        </w:rPr>
        <w:t xml:space="preserve">；</w:t>
      </w:r>
      <w:r>
        <w:rPr>
          <w:rFonts w:hint="eastAsia"/>
          <w:color w:val="auto"/>
          <w:sz w:val="24"/>
          <w:szCs w:val="24"/>
          <w:highlight w:val="none"/>
        </w:rPr>
        <w:t xml:space="preserve">投标人</w:t>
      </w:r>
      <w:r>
        <w:rPr>
          <w:rFonts w:hint="eastAsia"/>
          <w:color w:val="auto"/>
          <w:sz w:val="24"/>
          <w:szCs w:val="24"/>
          <w:highlight w:val="none"/>
          <w:lang w:val="en-US" w:eastAsia="zh-CN"/>
        </w:rPr>
        <w:t xml:space="preserve">如</w:t>
      </w:r>
      <w:r>
        <w:rPr>
          <w:rFonts w:hint="eastAsia"/>
          <w:color w:val="auto"/>
          <w:sz w:val="24"/>
          <w:szCs w:val="24"/>
          <w:highlight w:val="none"/>
        </w:rPr>
        <w:t xml:space="preserve">是自然人情形的，提供有效身份证扫描件</w:t>
      </w:r>
      <w:r>
        <w:rPr>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近一年中任意一个月份（不含投标当月）</w:t>
      </w:r>
      <w:r>
        <w:rPr>
          <w:rFonts w:hint="eastAsia" w:ascii="宋体" w:hAnsi="宋体"/>
          <w:bCs/>
          <w:color w:val="auto"/>
          <w:sz w:val="24"/>
          <w:szCs w:val="24"/>
          <w:highlight w:val="none"/>
        </w:rPr>
        <w:t xml:space="preserve">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bCs/>
          <w:color w:val="auto"/>
          <w:sz w:val="24"/>
          <w:szCs w:val="24"/>
          <w:highlight w:val="none"/>
        </w:rPr>
        <w:t xml:space="preserve">投标供</w:t>
      </w:r>
      <w:r>
        <w:rPr>
          <w:rFonts w:hint="eastAsia" w:ascii="宋体" w:hAnsi="宋体" w:eastAsia="宋体" w:cs="宋体"/>
          <w:bCs/>
          <w:color w:val="auto"/>
          <w:sz w:val="24"/>
          <w:szCs w:val="24"/>
          <w:highlight w:val="none"/>
        </w:rPr>
        <w:t xml:space="preserve">应商</w:t>
      </w:r>
      <w:r>
        <w:rPr>
          <w:rFonts w:hint="eastAsia" w:ascii="宋体" w:hAnsi="宋体" w:cs="宋体"/>
          <w:bCs/>
          <w:color w:val="auto"/>
          <w:sz w:val="24"/>
          <w:szCs w:val="24"/>
          <w:highlight w:val="none"/>
          <w:lang w:eastAsia="zh-CN"/>
        </w:rPr>
        <w:t xml:space="preserve">近一年中任意一个月份（不含投标当月）</w:t>
      </w:r>
      <w:r>
        <w:rPr>
          <w:rFonts w:hint="eastAsia" w:ascii="宋体" w:hAnsi="宋体" w:eastAsia="宋体" w:cs="宋体"/>
          <w:bCs/>
          <w:color w:val="auto"/>
          <w:sz w:val="24"/>
          <w:szCs w:val="24"/>
          <w:highlight w:val="none"/>
        </w:rPr>
        <w:t xml:space="preserve">的财务状况报告（资产负债表和利润表）或由会计师事务所出具的近两年中（</w:t>
      </w:r>
      <w:r>
        <w:rPr>
          <w:rFonts w:hint="eastAsia" w:ascii="宋体" w:hAnsi="宋体" w:cs="宋体"/>
          <w:bCs/>
          <w:color w:val="auto"/>
          <w:sz w:val="24"/>
          <w:szCs w:val="24"/>
          <w:highlight w:val="none"/>
          <w:lang w:eastAsia="zh-CN"/>
        </w:rPr>
        <w:t xml:space="preserve">2023年或2024年</w:t>
      </w:r>
      <w:r>
        <w:rPr>
          <w:bCs/>
          <w:color w:val="auto"/>
          <w:sz w:val="24"/>
          <w:szCs w:val="24"/>
          <w:highlight w:val="none"/>
        </w:rPr>
        <w:t xml:space="preserve">）任意一个年度的审计报告和所附已审财务报告</w:t>
      </w:r>
      <w:r>
        <w:rPr>
          <w:rFonts w:hint="eastAsia"/>
          <w:bCs/>
          <w:color w:val="auto"/>
          <w:sz w:val="24"/>
          <w:szCs w:val="24"/>
          <w:highlight w:val="none"/>
          <w:lang w:eastAsia="zh-CN"/>
        </w:rPr>
        <w:t xml:space="preserve">（</w:t>
      </w:r>
      <w:r>
        <w:rPr>
          <w:rFonts w:hint="eastAsia"/>
          <w:bCs/>
          <w:color w:val="auto"/>
          <w:sz w:val="24"/>
          <w:szCs w:val="24"/>
          <w:highlight w:val="none"/>
        </w:rPr>
        <w:t xml:space="preserve">新成立企业只需提供从成立之年份起经审计的财务报告</w:t>
      </w:r>
      <w:r>
        <w:rPr>
          <w:rFonts w:hint="eastAsia"/>
          <w:bCs/>
          <w:color w:val="auto"/>
          <w:sz w:val="24"/>
          <w:szCs w:val="24"/>
          <w:highlight w:val="none"/>
          <w:lang w:eastAsia="zh-CN"/>
        </w:rPr>
        <w:t xml:space="preserve">，投标人</w:t>
      </w:r>
      <w:r>
        <w:rPr>
          <w:rFonts w:hint="eastAsia"/>
          <w:bCs/>
          <w:color w:val="auto"/>
          <w:sz w:val="24"/>
          <w:szCs w:val="24"/>
          <w:highlight w:val="none"/>
          <w:lang w:val="en-US" w:eastAsia="zh-CN"/>
        </w:rPr>
        <w:t xml:space="preserve">如</w:t>
      </w:r>
      <w:r>
        <w:rPr>
          <w:rFonts w:hint="eastAsia"/>
          <w:bCs/>
          <w:color w:val="auto"/>
          <w:sz w:val="24"/>
          <w:szCs w:val="24"/>
          <w:highlight w:val="none"/>
          <w:lang w:eastAsia="zh-CN"/>
        </w:rPr>
        <w:t xml:space="preserve">是自然人情形的，没有经审计的财务报告的，可以提供银行出具的资信证明）</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近一年中任意一个月份（不含投标当月）</w:t>
      </w:r>
      <w:r>
        <w:rPr>
          <w:rFonts w:hint="eastAsia" w:ascii="宋体" w:hAnsi="宋体"/>
          <w:bCs/>
          <w:color w:val="auto"/>
          <w:sz w:val="24"/>
          <w:szCs w:val="24"/>
          <w:highlight w:val="none"/>
        </w:rPr>
        <w:t xml:space="preserve">的依法缴纳税收的相关材料（提供相关主管部门证明或银行代扣证明）；</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近一年中任意一个月份（不含投标当月）</w:t>
      </w:r>
      <w:r>
        <w:rPr>
          <w:rFonts w:hint="eastAsia" w:ascii="宋体" w:hAnsi="宋体"/>
          <w:bCs/>
          <w:color w:val="auto"/>
          <w:sz w:val="24"/>
          <w:szCs w:val="24"/>
          <w:highlight w:val="none"/>
        </w:rPr>
        <w:t xml:space="preserve">的依法缴纳社会保障资金的相关材料（提供相关主管部门证明或银行代扣证明）；</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投标</w:t>
      </w:r>
      <w:r>
        <w:rPr>
          <w:rFonts w:hint="eastAsia" w:ascii="宋体"/>
          <w:bCs/>
          <w:color w:val="auto"/>
          <w:sz w:val="24"/>
          <w:szCs w:val="24"/>
          <w:highlight w:val="none"/>
          <w:lang w:val="en-US" w:eastAsia="zh-CN"/>
        </w:rPr>
        <w:t xml:space="preserve">人</w:t>
      </w:r>
      <w:r>
        <w:rPr>
          <w:rFonts w:hint="eastAsia" w:ascii="宋体"/>
          <w:bCs/>
          <w:color w:val="auto"/>
          <w:sz w:val="24"/>
          <w:szCs w:val="24"/>
          <w:highlight w:val="none"/>
        </w:rPr>
        <w:t xml:space="preserve">如为中小微企业的提供中小企业声明函（</w:t>
      </w:r>
      <w:r>
        <w:rPr>
          <w:rFonts w:hint="eastAsia" w:ascii="宋体"/>
          <w:b/>
          <w:color w:val="auto"/>
          <w:sz w:val="24"/>
          <w:szCs w:val="24"/>
          <w:highlight w:val="none"/>
        </w:rPr>
        <w:t xml:space="preserve">格式见附件</w:t>
      </w:r>
      <w:r>
        <w:rPr>
          <w:rFonts w:hint="eastAsia" w:ascii="宋体"/>
          <w:bCs/>
          <w:color w:val="auto"/>
          <w:sz w:val="24"/>
          <w:szCs w:val="24"/>
          <w:highlight w:val="none"/>
        </w:rPr>
        <w:t xml:space="preserve">）；投标</w:t>
      </w:r>
      <w:r>
        <w:rPr>
          <w:rFonts w:hint="eastAsia" w:ascii="宋体"/>
          <w:bCs/>
          <w:color w:val="auto"/>
          <w:sz w:val="24"/>
          <w:szCs w:val="24"/>
          <w:highlight w:val="none"/>
          <w:lang w:val="en-US" w:eastAsia="zh-CN"/>
        </w:rPr>
        <w:t xml:space="preserve">人</w:t>
      </w:r>
      <w:r>
        <w:rPr>
          <w:rFonts w:hint="eastAsia" w:ascii="宋体"/>
          <w:bCs/>
          <w:color w:val="auto"/>
          <w:sz w:val="24"/>
          <w:szCs w:val="24"/>
          <w:highlight w:val="none"/>
        </w:rPr>
        <w:t xml:space="preserve">如为监狱和戒毒企业的，按照财政部《司法部关于政府采购支持监狱企业发展有关问题》（财库〔2014〕68号）的规定提供由省级以上监狱管理局、戒毒管理局（含新疆生产建设兵团）出具的属于监狱企业的证明文件</w:t>
      </w:r>
      <w:r>
        <w:rPr>
          <w:rFonts w:hint="eastAsia" w:ascii="宋体"/>
          <w:bCs/>
          <w:color w:val="auto"/>
          <w:sz w:val="24"/>
          <w:szCs w:val="24"/>
          <w:highlight w:val="none"/>
          <w:lang w:val="en-US" w:eastAsia="zh-CN"/>
        </w:rPr>
        <w:t xml:space="preserve">扫描件</w:t>
      </w:r>
      <w:r>
        <w:rPr>
          <w:rFonts w:hint="eastAsia" w:ascii="宋体"/>
          <w:bCs/>
          <w:color w:val="auto"/>
          <w:sz w:val="24"/>
          <w:szCs w:val="24"/>
          <w:highlight w:val="none"/>
        </w:rPr>
        <w:t xml:space="preserve">；投标供应商如为残疾人福利性单位的提供《残疾人福利性单位声明函》。</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“投标人资格要求”之3中要求）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4、报价明细表（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6、中标标段优先顺序承诺函（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、投标单位情况表（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人员配置表及拟派项目负责人简历表（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spacing w:line="360" w:lineRule="auto"/>
        <w:rPr>
          <w:rFonts w:hint="eastAsia" w:ascii="宋体" w:hAnsi="宋体"/>
          <w:b/>
          <w:bCs w:val="0"/>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、技术文件</w:t>
      </w:r>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格式自拟，</w:t>
      </w:r>
      <w:r>
        <w:rPr>
          <w:rFonts w:hint="eastAsia" w:ascii="宋体" w:hAnsi="宋体"/>
          <w:b/>
          <w:bCs w:val="0"/>
          <w:color w:val="auto"/>
          <w:sz w:val="24"/>
          <w:szCs w:val="24"/>
          <w:highlight w:val="none"/>
        </w:rPr>
        <w:t xml:space="preserve">内容参照评标办法）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、评分标准中对应</w:t>
      </w:r>
      <w:r>
        <w:rPr>
          <w:rFonts w:hint="eastAsia" w:ascii="宋体" w:hAnsi="宋体"/>
          <w:bCs/>
          <w:color w:val="auto"/>
          <w:sz w:val="24"/>
          <w:szCs w:val="24"/>
          <w:highlight w:val="none"/>
          <w:lang w:eastAsia="zh-CN"/>
        </w:rPr>
        <w:t xml:space="preserve">的其他</w:t>
      </w:r>
      <w:r>
        <w:rPr>
          <w:rFonts w:hint="eastAsia" w:ascii="宋体" w:hAnsi="宋体"/>
          <w:bCs/>
          <w:color w:val="auto"/>
          <w:sz w:val="24"/>
          <w:szCs w:val="24"/>
          <w:highlight w:val="none"/>
        </w:rPr>
        <w:t xml:space="preserve">所需证明材料（如有自行添加）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、要求采购人提供的配合（如有自拟并自行添加）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12、</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（报价人认为有必要提供的声明和文件，如有自拟并自行添加）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上述1-</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w:t>
      </w:r>
      <w:r>
        <w:rPr>
          <w:rFonts w:hint="eastAsia" w:ascii="宋体" w:hAnsi="宋体"/>
          <w:bCs/>
          <w:color w:val="auto"/>
          <w:sz w:val="24"/>
          <w:szCs w:val="24"/>
          <w:highlight w:val="none"/>
          <w:lang w:eastAsia="zh-CN"/>
        </w:rPr>
        <w:t xml:space="preserve">或其他</w:t>
      </w:r>
      <w:r>
        <w:rPr>
          <w:rFonts w:hint="eastAsia" w:ascii="宋体" w:hAnsi="宋体"/>
          <w:bCs/>
          <w:color w:val="auto"/>
          <w:sz w:val="24"/>
          <w:szCs w:val="24"/>
          <w:highlight w:val="none"/>
        </w:rPr>
        <w:t xml:space="preserve">可在中国大陆有效居留的许可证明。</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（七）投标文件的制作：</w:t>
      </w:r>
      <w:r/>
    </w:p>
    <w:p>
      <w:pPr>
        <w:numPr>
          <w:ilvl w:val="0"/>
          <w:numId w:val="6"/>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6"/>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6"/>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结算单位为“元”。</w:t>
      </w:r>
      <w:r/>
    </w:p>
    <w:p>
      <w:pPr>
        <w:numPr>
          <w:ilvl w:val="0"/>
          <w:numId w:val="6"/>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投标供应商应由其法定代表人或法定代表人授权代表在规定的网上投标时间内，凭CA数字证书登陆苏采云平台获取招标文件，在投标客户端制作投标文件（电子数据），并在投标截止时间之前上传投标文件。</w:t>
      </w:r>
      <w:r/>
    </w:p>
    <w:p>
      <w:pPr>
        <w:numPr>
          <w:ilvl w:val="0"/>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投标供应商进行网上投标请参照《政府采购项目电子交易管理操作指南-供应商》。</w:t>
      </w:r>
      <w:r/>
    </w:p>
    <w:p>
      <w:pPr>
        <w:numPr>
          <w:ilvl w:val="0"/>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8"/>
        </w:numPr>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未按规定在江苏省政府采购（苏采云）平台注册的；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投标人未按招标文件要求解密电子投标文件的；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投标人的法定代表人授权代表，无法定代表人授权委托书的；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电子投标文件中技术文件暗标部分有体现投标人身份的内容；</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不同投标人委托同一单位或者个人办理投标事宜的；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不同投标人的单位负责人为同一人或者存在直接控股、管理关系的；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项目（标段）投标总价超过本项目（标段）预算或最高限价的；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评标委员会认定投标人的报价明显低于其他通过符合性审</w:t>
      </w:r>
      <w:r>
        <w:rPr>
          <w:rFonts w:hint="eastAsia" w:ascii="宋体" w:hAnsi="宋体"/>
          <w:bCs/>
          <w:color w:val="auto"/>
          <w:sz w:val="24"/>
          <w:szCs w:val="24"/>
          <w:highlight w:val="none"/>
          <w:lang w:eastAsia="zh-CN"/>
        </w:rPr>
        <w:t xml:space="preserve">查的</w:t>
      </w:r>
      <w:r>
        <w:rPr>
          <w:rFonts w:hint="eastAsia" w:ascii="宋体" w:hAnsi="宋体"/>
          <w:bCs/>
          <w:color w:val="auto"/>
          <w:sz w:val="24"/>
          <w:szCs w:val="24"/>
          <w:highlight w:val="none"/>
        </w:rPr>
        <w:t xml:space="preserve">投标人的报价，有可能影响产品质量或者不能诚信履约，且投标人不能应评标委员会要求在评标现场合理的时间内提供书面说明（必要时评标委员会可要求投标人提交相关证明材料）证明其报价合理性的；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投标文件内容不全或不符合招标文件中规定</w:t>
      </w:r>
      <w:r>
        <w:rPr>
          <w:rFonts w:hint="eastAsia" w:ascii="宋体" w:hAnsi="宋体"/>
          <w:bCs/>
          <w:color w:val="auto"/>
          <w:sz w:val="24"/>
          <w:szCs w:val="24"/>
          <w:highlight w:val="none"/>
          <w:lang w:eastAsia="zh-CN"/>
        </w:rPr>
        <w:t xml:space="preserve">的其他</w:t>
      </w:r>
      <w:r>
        <w:rPr>
          <w:rFonts w:hint="eastAsia" w:ascii="宋体" w:hAnsi="宋体"/>
          <w:bCs/>
          <w:color w:val="auto"/>
          <w:sz w:val="24"/>
          <w:szCs w:val="24"/>
          <w:highlight w:val="none"/>
        </w:rPr>
        <w:t xml:space="preserve">实质性要求的；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法律法规和招标文件规定</w:t>
      </w:r>
      <w:r>
        <w:rPr>
          <w:rFonts w:hint="eastAsia" w:ascii="宋体" w:hAnsi="宋体"/>
          <w:bCs/>
          <w:color w:val="auto"/>
          <w:sz w:val="24"/>
          <w:szCs w:val="24"/>
          <w:highlight w:val="none"/>
          <w:lang w:eastAsia="zh-CN"/>
        </w:rPr>
        <w:t xml:space="preserve">的其他</w:t>
      </w:r>
      <w:r>
        <w:rPr>
          <w:rFonts w:hint="eastAsia" w:ascii="宋体" w:hAnsi="宋体"/>
          <w:bCs/>
          <w:color w:val="auto"/>
          <w:sz w:val="24"/>
          <w:szCs w:val="24"/>
          <w:highlight w:val="none"/>
        </w:rPr>
        <w:t xml:space="preserve">无效情形。</w:t>
      </w:r>
      <w:r/>
    </w:p>
    <w:p>
      <w:pPr>
        <w:ind w:firstLine="480"/>
        <w:spacing w:line="360" w:lineRule="auto"/>
        <w:tabs>
          <w:tab w:val="left" w:pos="945" w:leader="none"/>
        </w:tabs>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（十）开标、评标：</w:t>
      </w:r>
      <w:r/>
    </w:p>
    <w:p>
      <w:pPr>
        <w:numPr>
          <w:ilvl w:val="1"/>
          <w:numId w:val="9"/>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9"/>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9"/>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9"/>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9"/>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投标人未参加开标的，视同认可开标结果。</w:t>
      </w:r>
      <w:r/>
    </w:p>
    <w:p>
      <w:pPr>
        <w:numPr>
          <w:ilvl w:val="1"/>
          <w:numId w:val="9"/>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评标工作由江苏智汇锡建工程项目管理有限公司负责组织，具体评标事务由依法组建的评标委员会负责。</w:t>
      </w:r>
      <w:r/>
    </w:p>
    <w:p>
      <w:pPr>
        <w:numPr>
          <w:ilvl w:val="0"/>
          <w:numId w:val="10"/>
        </w:numPr>
        <w:ind w:left="0" w:firstLine="523"/>
        <w:spacing w:line="360" w:lineRule="auto"/>
        <w:tabs>
          <w:tab w:val="left" w:pos="630"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投标文件初审。初审分为资格性检查和符合性检查。</w:t>
      </w:r>
      <w:r/>
    </w:p>
    <w:p>
      <w:pPr>
        <w:numPr>
          <w:ilvl w:val="0"/>
          <w:numId w:val="11"/>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11"/>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10"/>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10"/>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9"/>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9"/>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（十一）定标：</w:t>
      </w:r>
      <w:r/>
    </w:p>
    <w:p>
      <w:pPr>
        <w:numPr>
          <w:ilvl w:val="0"/>
          <w:numId w:val="12"/>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outlineLvl w:val="9"/>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江苏智汇锡建工程项目管理有限公司将在无锡政府采购网、江苏政府采购网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w:t>
      </w:r>
      <w:r>
        <w:rPr>
          <w:rFonts w:hint="eastAsia" w:ascii="宋体" w:hAnsi="宋体"/>
          <w:bCs/>
          <w:color w:val="auto"/>
          <w:sz w:val="24"/>
          <w:szCs w:val="24"/>
          <w:highlight w:val="none"/>
          <w:lang w:eastAsia="zh-CN"/>
        </w:rPr>
        <w:t xml:space="preserve">事宜</w:t>
      </w:r>
      <w:r>
        <w:rPr>
          <w:rFonts w:hint="eastAsia" w:ascii="宋体" w:hAnsi="宋体"/>
          <w:bCs/>
          <w:color w:val="auto"/>
          <w:sz w:val="24"/>
          <w:szCs w:val="24"/>
          <w:highlight w:val="none"/>
        </w:rPr>
        <w:t xml:space="preserve">的，将记入投标供应商在江苏省和无锡市的政府采购“供应商诚信记录”，并按相关规定处理。</w:t>
      </w:r>
      <w:r/>
    </w:p>
    <w:p>
      <w:pPr>
        <w:numPr>
          <w:ilvl w:val="0"/>
          <w:numId w:val="12"/>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outlineLvl w:val="9"/>
      </w:pPr>
      <w:r>
        <w:rPr>
          <w:rFonts w:hint="eastAsia" w:ascii="宋体" w:hAnsi="宋体"/>
          <w:bCs/>
          <w:color w:val="auto"/>
          <w:sz w:val="24"/>
          <w:szCs w:val="24"/>
          <w:highlight w:val="none"/>
        </w:rPr>
        <w:t xml:space="preserve">江苏智汇锡建工程项目管理有限公司向中标供应商</w:t>
      </w:r>
      <w:r>
        <w:rPr>
          <w:rFonts w:hint="eastAsia" w:ascii="宋体" w:hAnsi="宋体"/>
          <w:bCs/>
          <w:color w:val="auto"/>
          <w:sz w:val="24"/>
          <w:szCs w:val="24"/>
          <w:highlight w:val="none"/>
          <w:lang w:eastAsia="zh-CN"/>
        </w:rPr>
        <w:t xml:space="preserve">发出</w:t>
      </w:r>
      <w:r>
        <w:rPr>
          <w:rFonts w:hint="eastAsia" w:ascii="宋体" w:hAnsi="宋体"/>
          <w:bCs/>
          <w:color w:val="auto"/>
          <w:sz w:val="24"/>
          <w:szCs w:val="24"/>
          <w:highlight w:val="none"/>
        </w:rPr>
        <w:t xml:space="preserve">中标通知书。</w:t>
      </w:r>
      <w:r/>
    </w:p>
    <w:p>
      <w:pPr>
        <w:numPr>
          <w:ilvl w:val="0"/>
          <w:numId w:val="12"/>
        </w:numPr>
        <w:ind w:left="0" w:firstLine="523"/>
        <w:spacing w:line="360" w:lineRule="auto"/>
        <w:tabs>
          <w:tab w:val="left" w:pos="525" w:leader="none"/>
          <w:tab w:val="left" w:pos="945" w:leader="none"/>
          <w:tab w:val="left" w:pos="1155"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（十二）废标的确认：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13"/>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（十三）中标无效的确认：</w:t>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采取不正当手段诋毁、排挤其他投标人的；</w:t>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与招标采购单位、其他投标人恶意串通的；</w:t>
      </w:r>
      <w:r/>
    </w:p>
    <w:p>
      <w:pPr>
        <w:numPr>
          <w:ilvl w:val="2"/>
          <w:numId w:val="9"/>
        </w:numPr>
        <w:ind w:left="0" w:firstLine="523"/>
        <w:spacing w:line="360" w:lineRule="auto"/>
        <w:tabs>
          <w:tab w:val="clear" w:pos="1140" w:leader="none"/>
        </w:tabs>
        <w:rPr>
          <w:rFonts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2"/>
          <w:numId w:val="9"/>
        </w:numPr>
        <w:ind w:left="0" w:firstLine="523"/>
        <w:spacing w:line="360" w:lineRule="auto"/>
        <w:tabs>
          <w:tab w:val="clear" w:pos="1140" w:leader="none"/>
        </w:tabs>
        <w:rPr>
          <w:rFonts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9"/>
        </w:numPr>
        <w:ind w:left="0" w:firstLine="523"/>
        <w:spacing w:line="360" w:lineRule="auto"/>
        <w:tabs>
          <w:tab w:val="clear" w:pos="1140" w:leader="none"/>
        </w:tabs>
        <w:rPr>
          <w:rFonts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5"/>
        </w:numPr>
        <w:ind w:left="-105" w:firstLine="525"/>
        <w:spacing w:line="360" w:lineRule="auto"/>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0"/>
          <w:numId w:val="15"/>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15"/>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江苏智汇锡建工程项目管理有限公司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9"/>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9"/>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9"/>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spacing w:line="360" w:lineRule="auto"/>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ascii="宋体" w:hAnsi="宋体"/>
          <w:bCs/>
          <w:color w:val="auto"/>
          <w:sz w:val="24"/>
          <w:highlight w:val="none"/>
        </w:rPr>
      </w:pPr>
      <w:r>
        <w:rPr>
          <w:rFonts w:hint="eastAsia" w:ascii="宋体" w:hAnsi="宋体"/>
          <w:color w:val="auto"/>
          <w:sz w:val="24"/>
          <w:highlight w:val="none"/>
        </w:rPr>
        <w:t xml:space="preserve">1.</w:t>
      </w:r>
      <w:r>
        <w:rPr>
          <w:rFonts w:hint="eastAsia" w:ascii="宋体" w:hAnsi="宋体" w:eastAsia="宋体" w:cs="宋体"/>
          <w:color w:val="auto"/>
          <w:sz w:val="24"/>
          <w:szCs w:val="24"/>
          <w:highlight w:val="none"/>
        </w:rPr>
        <w:t xml:space="preserve">本项目招标代理服务费按各标段预算金额进行计算：100万以下费率为1.5%；在此基础上打七折计取。</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2.领取中标通知书时由中标供应商向采购代理机构一次性付清。</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采购代理机构将保留诉讼的权利。</w:t>
      </w:r>
      <w:r/>
    </w:p>
    <w:p>
      <w:pPr>
        <w:ind w:firstLine="480"/>
        <w:spacing w:line="360" w:lineRule="auto"/>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pStyle w:val="718"/>
        <w:rPr>
          <w:color w:val="auto"/>
          <w:highlight w:val="none"/>
        </w:rPr>
      </w:pPr>
      <w:r>
        <w:rPr>
          <w:color w:val="auto"/>
          <w:highlight w:val="none"/>
        </w:rPr>
      </w:r>
      <w:r/>
    </w:p>
    <w:p>
      <w:pPr>
        <w:jc w:val="center"/>
        <w:spacing w:line="360" w:lineRule="auto"/>
        <w:rPr>
          <w:rFonts w:ascii="黑体" w:eastAsia="黑体"/>
          <w:bCs/>
          <w:color w:val="auto"/>
          <w:sz w:val="30"/>
          <w:szCs w:val="30"/>
          <w:highlight w:val="none"/>
        </w:rPr>
        <w:outlineLvl w:val="0"/>
      </w:pPr>
      <w:r>
        <w:rPr>
          <w:rFonts w:hint="eastAsia" w:ascii="宋体" w:hAnsi="宋体"/>
          <w:bCs/>
          <w:color w:val="auto"/>
          <w:sz w:val="24"/>
          <w:szCs w:val="24"/>
          <w:highlight w:val="none"/>
        </w:rPr>
        <w:br w:type="page" w:clear="all"/>
      </w:r>
      <w:r>
        <w:rPr>
          <w:rFonts w:hint="eastAsia" w:ascii="黑体" w:eastAsia="黑体"/>
          <w:bCs/>
          <w:color w:val="auto"/>
          <w:sz w:val="30"/>
          <w:szCs w:val="30"/>
          <w:highlight w:val="none"/>
        </w:rPr>
        <w:t xml:space="preserve">三</w:t>
      </w:r>
      <w:r>
        <w:rPr>
          <w:rFonts w:hint="eastAsia" w:ascii="黑体" w:eastAsia="黑体"/>
          <w:bCs/>
          <w:color w:val="auto"/>
          <w:sz w:val="30"/>
          <w:szCs w:val="30"/>
          <w:highlight w:val="none"/>
          <w:lang w:val="en-US" w:eastAsia="zh-CN"/>
        </w:rPr>
        <w:t xml:space="preserve">、</w:t>
      </w:r>
      <w:r>
        <w:rPr>
          <w:rFonts w:hint="eastAsia" w:ascii="黑体" w:eastAsia="黑体"/>
          <w:b/>
          <w:color w:val="auto"/>
          <w:sz w:val="30"/>
          <w:szCs w:val="30"/>
          <w:highlight w:val="none"/>
        </w:rPr>
        <w:t xml:space="preserve">项目技术要求和有关说明</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一、项目概况</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省市农产品质量安全监管</w:t>
      </w:r>
      <w:r>
        <w:rPr>
          <w:rFonts w:hint="eastAsia" w:ascii="宋体" w:hAnsi="宋体" w:eastAsia="宋体" w:cs="宋体"/>
          <w:color w:val="auto"/>
          <w:sz w:val="24"/>
          <w:szCs w:val="24"/>
          <w:highlight w:val="none"/>
        </w:rPr>
        <w:t xml:space="preserve">工作要求，202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年度我区食用农产品千人抽检率需达到</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批次/千人以上</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我区食用农产品</w:t>
      </w:r>
      <w:r>
        <w:rPr>
          <w:rFonts w:hint="eastAsia" w:ascii="宋体" w:hAnsi="宋体" w:eastAsia="宋体" w:cs="宋体"/>
          <w:color w:val="auto"/>
          <w:sz w:val="24"/>
          <w:szCs w:val="24"/>
          <w:highlight w:val="none"/>
          <w:lang w:val="en-US" w:eastAsia="zh-CN"/>
        </w:rPr>
        <w:t xml:space="preserve">定量</w:t>
      </w:r>
      <w:r>
        <w:rPr>
          <w:rFonts w:hint="eastAsia" w:ascii="宋体" w:hAnsi="宋体" w:eastAsia="宋体" w:cs="宋体"/>
          <w:color w:val="auto"/>
          <w:sz w:val="24"/>
          <w:szCs w:val="24"/>
          <w:highlight w:val="none"/>
        </w:rPr>
        <w:t xml:space="preserve">抽检总数需完成1</w:t>
      </w: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rPr>
        <w:t xml:space="preserve">0批次（含监督抽检）。本项目共设两个标段：一标段：含地产稻麦专项、葡萄专项、鸿山街道地产蔬菜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水产品</w:t>
      </w:r>
      <w:r>
        <w:rPr>
          <w:rFonts w:hint="eastAsia" w:ascii="宋体" w:hAnsi="宋体" w:eastAsia="宋体" w:cs="宋体"/>
          <w:color w:val="auto"/>
          <w:sz w:val="24"/>
          <w:szCs w:val="24"/>
          <w:highlight w:val="none"/>
        </w:rPr>
        <w:t xml:space="preserve">和旺庄街道、江溪街道、新安街道、梅村街道、硕放街道</w:t>
      </w:r>
      <w:r>
        <w:rPr>
          <w:rFonts w:hint="eastAsia" w:ascii="宋体" w:hAnsi="宋体" w:eastAsia="宋体" w:cs="宋体"/>
          <w:color w:val="auto"/>
          <w:sz w:val="24"/>
          <w:szCs w:val="24"/>
          <w:highlight w:val="none"/>
          <w:lang w:val="en-US" w:eastAsia="zh-CN"/>
        </w:rPr>
        <w:t xml:space="preserve">市场</w:t>
      </w:r>
      <w:r>
        <w:rPr>
          <w:rFonts w:hint="eastAsia" w:ascii="宋体" w:hAnsi="宋体" w:eastAsia="宋体" w:cs="宋体"/>
          <w:color w:val="auto"/>
          <w:sz w:val="24"/>
          <w:szCs w:val="24"/>
          <w:highlight w:val="none"/>
        </w:rPr>
        <w:t xml:space="preserve">经营的蔬菜风险监测共</w:t>
      </w:r>
      <w:r>
        <w:rPr>
          <w:rFonts w:hint="eastAsia" w:ascii="宋体" w:hAnsi="宋体" w:eastAsia="宋体" w:cs="宋体"/>
          <w:color w:val="auto"/>
          <w:sz w:val="24"/>
          <w:szCs w:val="24"/>
          <w:highlight w:val="none"/>
          <w:lang w:val="en-US" w:eastAsia="zh-CN"/>
        </w:rPr>
        <w:t xml:space="preserve">1020</w:t>
      </w:r>
      <w:r>
        <w:rPr>
          <w:rFonts w:hint="eastAsia" w:ascii="宋体" w:hAnsi="宋体" w:eastAsia="宋体" w:cs="宋体"/>
          <w:color w:val="auto"/>
          <w:sz w:val="24"/>
          <w:szCs w:val="24"/>
          <w:highlight w:val="none"/>
        </w:rPr>
        <w:t xml:space="preserve">批次；二标段：区级监督抽查</w:t>
      </w:r>
      <w:r>
        <w:rPr>
          <w:rFonts w:hint="eastAsia" w:ascii="宋体" w:hAnsi="宋体" w:eastAsia="宋体" w:cs="宋体"/>
          <w:color w:val="auto"/>
          <w:sz w:val="24"/>
          <w:szCs w:val="24"/>
          <w:highlight w:val="none"/>
          <w:lang w:val="en-US" w:eastAsia="zh-CN"/>
        </w:rPr>
        <w:t xml:space="preserve">340</w:t>
      </w:r>
      <w:r>
        <w:rPr>
          <w:rFonts w:hint="eastAsia" w:ascii="宋体" w:hAnsi="宋体" w:eastAsia="宋体" w:cs="宋体"/>
          <w:color w:val="auto"/>
          <w:sz w:val="24"/>
          <w:szCs w:val="24"/>
          <w:highlight w:val="none"/>
        </w:rPr>
        <w:t xml:space="preserve">批次。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w:t>
      </w:r>
      <w:r>
        <w:rPr>
          <w:rFonts w:hint="eastAsia" w:ascii="宋体" w:hAnsi="宋体" w:eastAsia="宋体" w:cs="宋体"/>
          <w:color w:val="auto"/>
          <w:sz w:val="24"/>
          <w:szCs w:val="24"/>
          <w:highlight w:val="none"/>
        </w:rPr>
        <w:t xml:space="preserve">自合同签订之日起至</w:t>
      </w:r>
      <w:r>
        <w:rPr>
          <w:rFonts w:hint="eastAsia" w:ascii="宋体" w:hAnsi="宋体" w:eastAsia="宋体" w:cs="宋体"/>
          <w:color w:val="auto"/>
          <w:sz w:val="24"/>
          <w:szCs w:val="24"/>
          <w:highlight w:val="none"/>
          <w:lang w:val="en-US" w:eastAsia="zh-CN"/>
        </w:rPr>
        <w:t xml:space="preserve">2025</w:t>
      </w:r>
      <w:r>
        <w:rPr>
          <w:rFonts w:hint="eastAsia" w:ascii="宋体" w:hAnsi="宋体" w:eastAsia="宋体" w:cs="宋体"/>
          <w:color w:val="auto"/>
          <w:sz w:val="24"/>
          <w:szCs w:val="24"/>
          <w:highlight w:val="none"/>
        </w:rPr>
        <w:t xml:space="preserve">年12月31日</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服务地点：采购人指定地点；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服务质量要求：符合国家相关标准，满足采购人需求；</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二、风险监测指标</w:t>
      </w:r>
      <w:r/>
    </w:p>
    <w:p>
      <w:pPr>
        <w:pStyle w:val="728"/>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2025年食用农产品风险监测数量为1020个样品。检测农产品品种涉及</w:t>
      </w:r>
      <w:r>
        <w:rPr>
          <w:rFonts w:hint="eastAsia" w:ascii="宋体" w:hAnsi="宋体" w:eastAsia="宋体" w:cs="宋体"/>
          <w:bCs/>
          <w:color w:val="auto"/>
          <w:sz w:val="24"/>
          <w:szCs w:val="24"/>
          <w:highlight w:val="none"/>
          <w:lang w:val="en-US" w:eastAsia="zh-CN"/>
        </w:rPr>
        <w:t xml:space="preserve">种植业产品</w:t>
      </w:r>
      <w:r>
        <w:rPr>
          <w:rFonts w:hint="eastAsia" w:ascii="宋体" w:hAnsi="宋体" w:eastAsia="宋体" w:cs="宋体"/>
          <w:bCs/>
          <w:color w:val="auto"/>
          <w:sz w:val="24"/>
          <w:szCs w:val="24"/>
          <w:highlight w:val="none"/>
        </w:rPr>
        <w:t xml:space="preserve">及水产品。计划检测的农产品</w:t>
      </w:r>
      <w:r>
        <w:rPr>
          <w:rFonts w:hint="eastAsia" w:ascii="宋体" w:hAnsi="宋体" w:eastAsia="宋体" w:cs="宋体"/>
          <w:bCs/>
          <w:color w:val="auto"/>
          <w:sz w:val="24"/>
          <w:szCs w:val="24"/>
          <w:highlight w:val="none"/>
          <w:lang w:val="en-US" w:eastAsia="zh-CN"/>
        </w:rPr>
        <w:t xml:space="preserve">包含地</w:t>
      </w:r>
      <w:r>
        <w:rPr>
          <w:rFonts w:hint="eastAsia" w:ascii="宋体" w:hAnsi="宋体" w:eastAsia="宋体" w:cs="宋体"/>
          <w:bCs/>
          <w:color w:val="auto"/>
          <w:sz w:val="24"/>
          <w:szCs w:val="24"/>
          <w:highlight w:val="none"/>
        </w:rPr>
        <w:t xml:space="preserve">产农产品</w:t>
      </w:r>
      <w:r>
        <w:rPr>
          <w:rFonts w:hint="eastAsia" w:ascii="宋体" w:hAnsi="宋体" w:eastAsia="宋体" w:cs="宋体"/>
          <w:bCs/>
          <w:color w:val="auto"/>
          <w:sz w:val="24"/>
          <w:szCs w:val="24"/>
          <w:highlight w:val="none"/>
          <w:lang w:val="en-US" w:eastAsia="zh-CN"/>
        </w:rPr>
        <w:t xml:space="preserve">和市场经营农产品</w:t>
      </w:r>
      <w:r>
        <w:rPr>
          <w:rFonts w:hint="eastAsia" w:ascii="宋体" w:hAnsi="宋体" w:eastAsia="宋体" w:cs="宋体"/>
          <w:bCs/>
          <w:color w:val="auto"/>
          <w:sz w:val="24"/>
          <w:szCs w:val="24"/>
          <w:highlight w:val="none"/>
        </w:rPr>
        <w:t xml:space="preserve">，具有一定的动态性。如抽检样品品种不能满足数量要求，可调整抽检其他样品。</w:t>
      </w:r>
      <w:r/>
    </w:p>
    <w:p>
      <w:pPr>
        <w:pStyle w:val="728"/>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种植业产品</w:t>
      </w:r>
      <w:r>
        <w:rPr>
          <w:rFonts w:hint="eastAsia" w:ascii="宋体" w:hAnsi="宋体" w:eastAsia="宋体" w:cs="宋体"/>
          <w:bCs/>
          <w:color w:val="auto"/>
          <w:sz w:val="24"/>
          <w:szCs w:val="24"/>
          <w:highlight w:val="none"/>
        </w:rPr>
        <w:t xml:space="preserve">监测指标：</w:t>
      </w:r>
      <w:r/>
    </w:p>
    <w:p>
      <w:pPr>
        <w:pStyle w:val="728"/>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胺磷、对硫磷、甲基对硫磷、六六六、甲拌磷（包括甲拌磷砜和甲拌磷亚砜）、水胺硫磷、甲基异柳磷、灭线磷；氧乐果、克百威（包括3-羟基克百威）、涕灭威（包括涕灭威砜和涕灭威亚砜）、毒死蜱、三唑磷、乐果、乙酰甲胺磷、灭多威、内吸磷、硫环磷、氯唑磷；敌敌畏</w:t>
      </w:r>
      <w:r>
        <w:rPr>
          <w:rFonts w:hint="eastAsia" w:ascii="宋体" w:hAnsi="宋体" w:eastAsia="宋体" w:cs="宋体"/>
          <w:bCs/>
          <w:color w:val="auto"/>
          <w:sz w:val="24"/>
          <w:szCs w:val="24"/>
          <w:highlight w:val="none"/>
        </w:rPr>
        <w:t xml:space="preserve">、丙溴磷、辛硫磷、氰戊菊酯、甲氰菊酯、溴氰菊酯、联苯菊酯、三唑酮、异菌脲、腐霉利、多菌灵、吡虫啉、倍硫磷、敌百虫、三氯杀螨醇；氯氰菊酯、氯氟氰菊酯、氟氯氰菊酯、百菌清、五氯硝基苯、氟虫腈（包括氟甲腈、氟虫腈硫醚、氟虫腈砜）；啶虫脒、哒螨灵、苯醚甲环唑、嘧霉胺、甲氨基阿维菌素苯甲酸盐、烯酰吗啉、咪鲜胺、嘧菌酯、二甲戊灵、噻虫嗪、氟啶脲、灭幼脲、甲霜灵、霜霉威、多效唑、氯吡脲、氯虫苯甲酰胺、戊唑醇、虫酰肼、吡唑醚菌酯、除虫脲、抑霉唑、丙环唑、虫螨腈、灭蝇胺、阿维菌素、丁硫克百威、乙基多杀菌素、多杀霉素、噻苯隆；</w:t>
      </w:r>
      <w:r/>
    </w:p>
    <w:p>
      <w:pPr>
        <w:pStyle w:val="728"/>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2、稻麦监测指标：</w:t>
      </w:r>
      <w:r/>
    </w:p>
    <w:p>
      <w:pPr>
        <w:pStyle w:val="728"/>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稻丰散、溴氰菊酯、三环唑、杀螟硫磷、多菌灵、甲基毒死蜱、重金属（铅、砷、镉、汞、铬）；</w:t>
      </w:r>
      <w:r/>
    </w:p>
    <w:p>
      <w:pPr>
        <w:pStyle w:val="728"/>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3、水产品监测指标：</w:t>
      </w:r>
      <w:r/>
    </w:p>
    <w:p>
      <w:pPr>
        <w:pStyle w:val="728"/>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氯霉</w:t>
      </w:r>
      <w:r>
        <w:rPr>
          <w:rFonts w:hint="eastAsia" w:ascii="宋体" w:hAnsi="宋体" w:eastAsia="宋体" w:cs="宋体"/>
          <w:bCs/>
          <w:color w:val="auto"/>
          <w:sz w:val="24"/>
          <w:szCs w:val="24"/>
          <w:highlight w:val="none"/>
        </w:rPr>
        <w:t xml:space="preserve">素、酰胺醇类（甲砜霉素、氟苯尼考、氟苯尼考胺）、硝基呋喃类代谢物（呋喃唑酮代谢物、呋喃它酮代谢物、呋喃西林代谢物、呋喃妥因代谢物）、孔雀石绿（包括有色孔雀石绿和无色孔雀石绿）、地西泮、磺胺类（磺胺嘧啶、磺胺二甲基嘧啶、磺胺甲基异噁唑、磺胺异噁唑、磺胺间二甲氧嘧啶、磺胺噻唑、磺胺甲基嘧啶、磺胺多辛、磺胺喹噁啉、磺胺间甲氧嘧啶、磺胺氯哒嗪和磺胺甲噻二唑）、四环素类（四环素、土霉素、金霉素、多西环素）、氟喹诺酮类（诺氟沙星、氧氟沙星、培氟沙星、洛美沙星）、氟喹诺酮类（恩诺沙星、环丙沙星）、抗菌增效剂（甲氧苄啶）；</w:t>
      </w:r>
      <w:r/>
    </w:p>
    <w:p>
      <w:pPr>
        <w:pStyle w:val="728"/>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三、监督抽查指标</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bookmarkStart w:id="2" w:name="_Toc4860"/>
      <w:r>
        <w:rPr>
          <w:rFonts w:hint="eastAsia" w:ascii="宋体" w:hAnsi="宋体" w:eastAsia="宋体" w:cs="宋体"/>
          <w:bCs/>
          <w:color w:val="auto"/>
          <w:sz w:val="24"/>
          <w:szCs w:val="24"/>
          <w:highlight w:val="none"/>
        </w:rPr>
        <w:t xml:space="preserve">2025年食用农产品监督抽查数量为340个样品。检测农产品品种涉及种植业产品和水产品等。计划检测的农产品</w:t>
      </w:r>
      <w:r>
        <w:rPr>
          <w:rFonts w:hint="eastAsia" w:ascii="宋体" w:hAnsi="宋体" w:eastAsia="宋体" w:cs="宋体"/>
          <w:bCs/>
          <w:color w:val="auto"/>
          <w:sz w:val="24"/>
          <w:szCs w:val="24"/>
          <w:highlight w:val="none"/>
          <w:lang w:val="en-US" w:eastAsia="zh-CN"/>
        </w:rPr>
        <w:t xml:space="preserve">包含地</w:t>
      </w:r>
      <w:r>
        <w:rPr>
          <w:rFonts w:hint="eastAsia" w:ascii="宋体" w:hAnsi="宋体" w:eastAsia="宋体" w:cs="宋体"/>
          <w:bCs/>
          <w:color w:val="auto"/>
          <w:sz w:val="24"/>
          <w:szCs w:val="24"/>
          <w:highlight w:val="none"/>
        </w:rPr>
        <w:t xml:space="preserve">产农产品</w:t>
      </w:r>
      <w:r>
        <w:rPr>
          <w:rFonts w:hint="eastAsia" w:ascii="宋体" w:hAnsi="宋体" w:eastAsia="宋体" w:cs="宋体"/>
          <w:bCs/>
          <w:color w:val="auto"/>
          <w:sz w:val="24"/>
          <w:szCs w:val="24"/>
          <w:highlight w:val="none"/>
          <w:lang w:val="en-US" w:eastAsia="zh-CN"/>
        </w:rPr>
        <w:t xml:space="preserve">和市场经营农产品</w:t>
      </w:r>
      <w:r>
        <w:rPr>
          <w:rFonts w:hint="eastAsia" w:ascii="宋体" w:hAnsi="宋体" w:eastAsia="宋体" w:cs="宋体"/>
          <w:bCs/>
          <w:color w:val="auto"/>
          <w:sz w:val="24"/>
          <w:szCs w:val="24"/>
          <w:highlight w:val="none"/>
        </w:rPr>
        <w:t xml:space="preserve">，具有一定的动态性。如抽检样品品种不能满足数量要求，可调整抽检其他样品。</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1、种植业产品抽检指标：</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胺磷、甲拌磷（包括甲拌磷砜和甲拌磷亚砜）、氧乐果、水胺硫磷、甲基异柳磷、克百威（包括3-羟基克百威）、涕灭威（包括涕灭威砜和涕灭威亚砜）、毒死蜱、三唑磷、乐果、乙酰甲胺磷、灭多威、腐霉利、多菌灵、吡虫啉、氟虫腈（包括氟甲腈、氟虫腈硫醚、氟虫腈砜）、啶虫脒、嘧霉胺、烯酰吗啉、噻虫嗪、灭蝇胺、阿维菌素；</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2、水产品抽检指标：</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氯霉素、孔雀石绿、硝基呋喃类代谢物</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AOZ、SEM、AMOZ、AHD</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、地西泮、诺氟沙星、氧氟沙星、培氟沙星、洛美沙星、恩诺沙星和环丙沙星</w:t>
      </w:r>
      <w:r>
        <w:rPr>
          <w:rFonts w:hint="eastAsia" w:ascii="宋体" w:hAnsi="宋体" w:eastAsia="宋体" w:cs="宋体"/>
          <w:bCs/>
          <w:color w:val="auto"/>
          <w:sz w:val="24"/>
          <w:szCs w:val="24"/>
          <w:highlight w:val="none"/>
          <w:lang w:eastAsia="zh-CN"/>
        </w:rPr>
        <w:t xml:space="preserve">；</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四、采购要求</w:t>
      </w:r>
      <w:bookmarkEnd w:id="2"/>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1、项目基本要求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（1）风险监测：</w:t>
      </w:r>
      <w:r>
        <w:rPr>
          <w:rFonts w:hint="eastAsia" w:ascii="宋体" w:hAnsi="宋体" w:eastAsia="宋体" w:cs="宋体"/>
          <w:color w:val="auto"/>
          <w:sz w:val="24"/>
          <w:szCs w:val="24"/>
          <w:highlight w:val="none"/>
          <w:lang w:val="en-US" w:eastAsia="zh-CN"/>
        </w:rPr>
        <w:t xml:space="preserve">1020</w:t>
      </w:r>
      <w:r>
        <w:rPr>
          <w:rFonts w:hint="eastAsia" w:ascii="宋体" w:hAnsi="宋体" w:eastAsia="宋体" w:cs="宋体"/>
          <w:color w:val="auto"/>
          <w:sz w:val="24"/>
          <w:szCs w:val="24"/>
          <w:highlight w:val="none"/>
        </w:rPr>
        <w:t xml:space="preserve">批次、监督抽查：</w:t>
      </w:r>
      <w:r>
        <w:rPr>
          <w:rFonts w:hint="eastAsia" w:ascii="宋体" w:hAnsi="宋体" w:eastAsia="宋体" w:cs="宋体"/>
          <w:color w:val="auto"/>
          <w:sz w:val="24"/>
          <w:szCs w:val="24"/>
          <w:highlight w:val="none"/>
          <w:lang w:val="en-US" w:eastAsia="zh-CN"/>
        </w:rPr>
        <w:t xml:space="preserve">340</w:t>
      </w:r>
      <w:r>
        <w:rPr>
          <w:rFonts w:hint="eastAsia" w:ascii="宋体" w:hAnsi="宋体" w:eastAsia="宋体" w:cs="宋体"/>
          <w:color w:val="auto"/>
          <w:sz w:val="24"/>
          <w:szCs w:val="24"/>
          <w:highlight w:val="none"/>
        </w:rPr>
        <w:t xml:space="preserve">批次。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（2）服务期限：自合同签订之日起至</w:t>
      </w:r>
      <w:r>
        <w:rPr>
          <w:rFonts w:hint="eastAsia" w:ascii="宋体" w:hAnsi="宋体" w:eastAsia="宋体" w:cs="宋体"/>
          <w:color w:val="auto"/>
          <w:sz w:val="24"/>
          <w:szCs w:val="24"/>
          <w:highlight w:val="none"/>
          <w:lang w:val="en-US" w:eastAsia="zh-CN"/>
        </w:rPr>
        <w:t xml:space="preserve">2025</w:t>
      </w:r>
      <w:r>
        <w:rPr>
          <w:rFonts w:hint="eastAsia" w:ascii="宋体" w:hAnsi="宋体" w:eastAsia="宋体" w:cs="宋体"/>
          <w:color w:val="auto"/>
          <w:sz w:val="24"/>
          <w:szCs w:val="24"/>
          <w:highlight w:val="none"/>
        </w:rPr>
        <w:t xml:space="preserve">年12月31日。</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（3）实施地点：采购方指定地点。</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2、检测要求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（1）检验项目应依据检验任务、食品标准（国家标准）、标签明示值确定。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（2）抽样方法、检验标准、判定原则应依据国家相关标准以及农业相关行业标准抽样要求编制，涉及安全性指标的项目不得低于国家强制性标准要求。</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（3）如涉及标签的单项判定，应按国家相关标签标识标准要求判定。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检验结论应采用以下用语：样品检验项目全部合格时，其检验结论为“经抽样检验，所检项目符合GB标准要求”；样品检验项目有一项及以上不合格时，其检验结论为“经抽样检验，××项目不符合GB标准要求，检验结论为不合格”。</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3、时间要求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计划安排，所有采样检测工作按照采购人的实施方案执行，因采购人原因造成取样延迟的，不得追究承检机构责任；因承检机构原因造成取样延迟的，承检机构应当向采购人支付赔偿金。取样完成后当日送入检验实验室，承检机构应在10日内出具检验结果（监督抽查为5个工作日内），对检验结果不合格产品当日通报采购方，并在24小时内出具检验报告，对检验合格的产品在告知检验结果后10日内出具检验报告并完成监管系统上报，并保证检验结果准确。</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4、取样要求</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（1）采购人根据情况派出执法人员参加现场取样，确定被检单位，承检机构应当派两名以上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包括两名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有资质的工作人员参与取样，并确保按照国家规定的采样规则进行取样。具体取样农产品品种由采购人执法人员根据抽检计划决定，抽样过程填制《农产品抽样检验工作单》。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检机构取样时，应同时提取能够满足检测及复检需要的样品重量，并进行现场封样（监督性检测需现场制样，承检机构应准备好制样工具）。封样后分为四份，检样、备样各1份，留样各2份，检样、备样交由承检机构负责，留样交由采购方和被抽检单位封存。所有样品应当购买，购样费用由承检机构支付。</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5、样品保存要求</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农产品抽检的检验结论合格的，承检机构应当自检验结论作出之日起3个月内妥善保存复检备份样品；复检备份样品剩余保质期不足3个月的，应当保存至保质期结束。检验结论不合格的，承检机构应当自检验结论作出之日起6个月内妥善保存复检备份样品；复检备份样品剩余保质期不足6个月的，应当保存至保质期结束。</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针对农产品抽样过程中对有特殊保存要求的样品管理，承检机构应具备相应的速冻及冷藏运输条件。</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6、出具检测报告</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检机构应在采集完样品后12个小时内将样品移交检测实验室，并在10日内告知检验结果。检验报告出具后，承检机构应将不合格报告于24小时内及时送达采购人，对检验合格的产品在告知检验结果后十日内出具检验报告并完成监管系统上报。承检机构应在报告出具当天向采购人报送检测报告电子版（扫描件）。当月实施抽检的结果汇总表（电子版及文字版）等相关材料，承检机构于收集完全后2日内统一提交采购人。</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（2）检验结果为合格的，承检机构应印制检验报告一式四份，一份自己留存，三份交给采购人；检验结果为不合格的，承检机构应印制检验报告一式六份，一份自己留存，五份交给采购人。</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7、报告信息登录</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承检机构承担检测信息录入及检测数据汇总义务，在告知检验结果后十日内出具检验报告，将检测信息录入指定的食品安全监管信息平台，同时负责填报《江苏省202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年农产品质量安全监测数据汇总表》，并以电子文档形式提交给采购人。</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bookmarkStart w:id="3" w:name="_Toc459319302"/>
      <w:r>
        <w:rPr>
          <w:rFonts w:hint="eastAsia" w:ascii="宋体" w:hAnsi="宋体" w:eastAsia="宋体" w:cs="宋体"/>
          <w:b/>
          <w:color w:val="auto"/>
          <w:sz w:val="24"/>
          <w:szCs w:val="24"/>
          <w:highlight w:val="none"/>
        </w:rPr>
        <w:t xml:space="preserve">五、检测费用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单位应按双方确认报价单的价格结算费用。样品购买费用包含在报价中，采购人不再支付。样品检测完毕，应按采购人要求，交由采购人保管或处置。所有费用均包含在报价中，采购人不再支付任何费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2、检测机构应开具正式发票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注明商品名称（按类别）、批次、每批次费用及购样费等，如发票有有效期限的，则尽量不填写开票日期；发票上标注的名称、账号、开户行应与收款人一致；另附被抽检单位、抽样人员签字确认，并加盖检测机构公章（或财务章）的抽样清单。</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3、由于农业农村部抽检细则变更或其他因素，导致采购单位需要检测新的项目，检测费用参照清单里类似项目的单价乘以投标的折扣率定价，没有的按市场价格或甲乙双方协商价格乘以投标的折扣率定价。</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4、最高单价限价：风险监测</w:t>
      </w:r>
      <w:r>
        <w:rPr>
          <w:rFonts w:hint="eastAsia" w:ascii="宋体" w:hAnsi="宋体" w:eastAsia="宋体" w:cs="宋体"/>
          <w:color w:val="auto"/>
          <w:sz w:val="24"/>
          <w:szCs w:val="24"/>
          <w:highlight w:val="none"/>
          <w:lang w:val="en-US" w:eastAsia="zh-CN"/>
        </w:rPr>
        <w:t xml:space="preserve">670</w:t>
      </w:r>
      <w:r>
        <w:rPr>
          <w:rFonts w:hint="eastAsia" w:ascii="宋体" w:hAnsi="宋体" w:eastAsia="宋体" w:cs="宋体"/>
          <w:color w:val="auto"/>
          <w:sz w:val="24"/>
          <w:szCs w:val="24"/>
          <w:highlight w:val="none"/>
        </w:rPr>
        <w:t xml:space="preserve">元/次；监督抽查：</w:t>
      </w:r>
      <w:r>
        <w:rPr>
          <w:rFonts w:hint="eastAsia" w:ascii="宋体" w:hAnsi="宋体" w:eastAsia="宋体" w:cs="宋体"/>
          <w:color w:val="auto"/>
          <w:sz w:val="24"/>
          <w:szCs w:val="24"/>
          <w:highlight w:val="none"/>
          <w:lang w:val="en-US" w:eastAsia="zh-CN"/>
        </w:rPr>
        <w:t xml:space="preserve">670</w:t>
      </w:r>
      <w:r>
        <w:rPr>
          <w:rFonts w:hint="eastAsia" w:ascii="宋体" w:hAnsi="宋体" w:eastAsia="宋体" w:cs="宋体"/>
          <w:color w:val="auto"/>
          <w:sz w:val="24"/>
          <w:szCs w:val="24"/>
          <w:highlight w:val="none"/>
        </w:rPr>
        <w:t xml:space="preserve">元/次。</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w:t>
      </w:r>
      <w:bookmarkEnd w:id="3"/>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1.承检机构不得将检验任务外包或分包给其他检验机构，一经发现，立即取消承检资格。</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2.承检机构必须保证抽检过程公平、公正，出现较严重检验事故的，立即取消承检资格。</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3.每次任务的检验项目由委托方确定，承检机构必须具备所有确定的待检验项目的相关资质，方有资格承担该任务。</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4.因违反抽样、检验、信息披露等相关规定的，委托方有权取消其承检资格并追究其经济赔偿责任和法律责任。</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5.承检机构不得拒绝委托方委托的抽检任务，否则视为违约。</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七、付款要求</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1、项目根据时间和完成进度经甲方确认无问题后分两次支付。完成项目进度70%，支付项目款的60%，剩余40%项目款在全部完成后付清。</w:t>
      </w: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2、甲方不承担因财政资金不能及时到位给成交人造成的任何损失。</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3、乙方须向甲方出具合法有效完整的完税发票及凭证资料进行支付。</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八、报价要求</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本项目投标综合单价应包括检测成本（含交通费、机械仪器费、人工费等）、税费、利润、管理费、样品费等服务期间可能发生的所有费用。</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jc w:val="center"/>
        <w:spacing w:line="440" w:lineRule="exact"/>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四</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合同书（格式文本）</w:t>
      </w:r>
      <w:r/>
    </w:p>
    <w:p>
      <w:pPr>
        <w:ind w:firstLine="482"/>
        <w:jc w:val="left"/>
        <w:keepLines w:val="0"/>
        <w:keepNext w:val="0"/>
        <w:pageBreakBefore w:val="0"/>
        <w:spacing w:line="400" w:lineRule="exact"/>
        <w:rPr>
          <w:rFonts w:ascii="黑体" w:eastAsia="黑体"/>
          <w:b/>
          <w:color w:val="auto"/>
          <w:sz w:val="28"/>
          <w:szCs w:val="28"/>
          <w:highlight w:val="none"/>
        </w:rPr>
      </w:pPr>
      <w:r>
        <w:rPr>
          <w:rFonts w:hint="eastAsia" w:ascii="宋体" w:hAnsi="宋体"/>
          <w:b/>
          <w:color w:val="auto"/>
          <w:sz w:val="24"/>
          <w:szCs w:val="24"/>
          <w:highlight w:val="none"/>
        </w:rPr>
        <w:t xml:space="preserve">根据《中华人民共和国政府采购法》及相关法规、《中华人民共和国民法典》，遵循平等、自愿、公平和诚实信用的原则，供需双方就项目（项目编号：</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 ）实施及有关事项协商一致，共同达成如下协议：</w:t>
      </w:r>
      <w:r/>
    </w:p>
    <w:p>
      <w:pPr>
        <w:ind w:firstLine="480"/>
        <w:jc w:val="left"/>
        <w:keepLines w:val="0"/>
        <w:keepNext w:val="0"/>
        <w:pageBreakBefore w:val="0"/>
        <w:spacing w:line="40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0"/>
        <w:jc w:val="left"/>
        <w:keepLines w:val="0"/>
        <w:keepNext w:val="0"/>
        <w:pageBreakBefore w:val="0"/>
        <w:spacing w:line="40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0"/>
        <w:jc w:val="left"/>
        <w:keepLines w:val="0"/>
        <w:keepNext w:val="0"/>
        <w:pageBreakBefore w:val="0"/>
        <w:spacing w:line="400" w:lineRule="exact"/>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一、政府采购编号：  </w:t>
      </w:r>
      <w:r/>
    </w:p>
    <w:p>
      <w:pPr>
        <w:ind w:firstLine="480"/>
        <w:jc w:val="left"/>
        <w:keepLines w:val="0"/>
        <w:keepNext w:val="0"/>
        <w:pageBreakBefore w:val="0"/>
        <w:spacing w:line="400" w:lineRule="exact"/>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二、采购内容：</w:t>
      </w:r>
      <w:bookmarkStart w:id="4" w:name="_Hlk2066327"/>
      <w:r>
        <w:rPr>
          <w:rFonts w:hint="eastAsia" w:ascii="宋体" w:hAnsi="宋体" w:cs="宋体"/>
          <w:bCs/>
          <w:color w:val="auto"/>
          <w:sz w:val="24"/>
          <w:highlight w:val="none"/>
          <w:u w:val="single"/>
        </w:rPr>
        <w:t xml:space="preserve">                                                          </w:t>
      </w:r>
      <w:bookmarkEnd w:id="4"/>
      <w:r/>
      <w:r/>
    </w:p>
    <w:p>
      <w:pPr>
        <w:ind w:firstLine="480"/>
        <w:jc w:val="left"/>
        <w:keepLines w:val="0"/>
        <w:keepNext w:val="0"/>
        <w:pageBreakBefore w:val="0"/>
        <w:spacing w:line="40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三、中标总金额：</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大写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rPr>
        <w:t xml:space="preserve">小写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ind w:firstLine="480"/>
        <w:jc w:val="left"/>
        <w:keepLines w:val="0"/>
        <w:keepNext w:val="0"/>
        <w:pageBreakBefore w:val="0"/>
        <w:spacing w:line="40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四、质量要求及验收标准：</w:t>
      </w:r>
      <w:r>
        <w:rPr>
          <w:rFonts w:hint="eastAsia" w:ascii="宋体" w:hAnsi="宋体" w:cs="宋体"/>
          <w:bCs/>
          <w:color w:val="auto"/>
          <w:sz w:val="24"/>
          <w:highlight w:val="none"/>
          <w:u w:val="single"/>
        </w:rPr>
        <w:t xml:space="preserve">                                           </w:t>
      </w:r>
      <w:r/>
    </w:p>
    <w:p>
      <w:pPr>
        <w:ind w:firstLine="480"/>
        <w:jc w:val="left"/>
        <w:keepLines w:val="0"/>
        <w:keepNext w:val="0"/>
        <w:pageBreakBefore w:val="0"/>
        <w:spacing w:line="40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五、服务期或完工期：</w:t>
      </w:r>
      <w:r>
        <w:rPr>
          <w:rFonts w:hint="eastAsia" w:ascii="宋体" w:hAnsi="宋体" w:cs="宋体"/>
          <w:bCs/>
          <w:color w:val="auto"/>
          <w:sz w:val="24"/>
          <w:highlight w:val="none"/>
          <w:u w:val="single"/>
        </w:rPr>
        <w:t xml:space="preserve">                                             </w:t>
      </w:r>
      <w:r/>
    </w:p>
    <w:p>
      <w:pPr>
        <w:ind w:firstLine="480"/>
        <w:jc w:val="left"/>
        <w:keepLines w:val="0"/>
        <w:keepNext w:val="0"/>
        <w:pageBreakBefore w:val="0"/>
        <w:spacing w:line="40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六、服务地点和方式：</w:t>
      </w:r>
      <w:r>
        <w:rPr>
          <w:rFonts w:hint="eastAsia" w:ascii="宋体" w:hAnsi="宋体" w:cs="宋体"/>
          <w:bCs/>
          <w:color w:val="auto"/>
          <w:sz w:val="24"/>
          <w:highlight w:val="none"/>
          <w:u w:val="single"/>
        </w:rPr>
        <w:t xml:space="preserve">                                                     </w:t>
      </w:r>
      <w:r/>
    </w:p>
    <w:p>
      <w:pPr>
        <w:ind w:firstLine="480"/>
        <w:jc w:val="left"/>
        <w:keepLines w:val="0"/>
        <w:keepNext w:val="0"/>
        <w:pageBreakBefore w:val="0"/>
        <w:spacing w:line="400" w:lineRule="exact"/>
        <w:rPr>
          <w:rFonts w:hint="eastAsia" w:ascii="宋体" w:hAnsi="宋体" w:cs="宋体"/>
          <w:color w:val="auto"/>
          <w:sz w:val="24"/>
          <w:highlight w:val="none"/>
        </w:rPr>
      </w:pPr>
      <w:r>
        <w:rPr>
          <w:rFonts w:hint="eastAsia" w:ascii="宋体" w:hAnsi="宋体" w:cs="宋体"/>
          <w:bCs/>
          <w:color w:val="auto"/>
          <w:sz w:val="24"/>
          <w:highlight w:val="none"/>
        </w:rPr>
        <w:t xml:space="preserve">七、服务费支付步骤和办法：</w:t>
      </w:r>
      <w:r>
        <w:rPr>
          <w:rFonts w:hint="eastAsia" w:ascii="宋体" w:hAnsi="宋体" w:cs="宋体"/>
          <w:color w:val="auto"/>
          <w:sz w:val="24"/>
          <w:szCs w:val="24"/>
          <w:highlight w:val="none"/>
          <w:u w:val="single"/>
        </w:rPr>
        <w:t xml:space="preserve">项目根据时间和完成进度经甲方确认无问题后分</w:t>
      </w:r>
      <w:r>
        <w:rPr>
          <w:rFonts w:hint="eastAsia" w:ascii="宋体" w:hAnsi="宋体" w:cs="宋体"/>
          <w:color w:val="auto"/>
          <w:sz w:val="24"/>
          <w:szCs w:val="24"/>
          <w:highlight w:val="none"/>
          <w:u w:val="single"/>
          <w:lang w:eastAsia="zh-CN"/>
        </w:rPr>
        <w:t xml:space="preserve">两次支付</w:t>
      </w:r>
      <w:r>
        <w:rPr>
          <w:rFonts w:hint="eastAsia" w:ascii="宋体" w:hAnsi="宋体" w:cs="宋体"/>
          <w:color w:val="auto"/>
          <w:sz w:val="24"/>
          <w:szCs w:val="24"/>
          <w:highlight w:val="none"/>
          <w:u w:val="single"/>
        </w:rPr>
        <w:t xml:space="preserve">。完成项目进度70%，支付项目款的60%，剩余</w:t>
      </w:r>
      <w:r>
        <w:rPr>
          <w:rFonts w:hint="eastAsia" w:ascii="宋体" w:hAnsi="宋体" w:cs="宋体"/>
          <w:color w:val="auto"/>
          <w:sz w:val="24"/>
          <w:szCs w:val="24"/>
          <w:highlight w:val="none"/>
          <w:u w:val="single"/>
          <w:lang w:val="en-US" w:eastAsia="zh-CN"/>
        </w:rPr>
        <w:t xml:space="preserve">40%</w:t>
      </w:r>
      <w:r>
        <w:rPr>
          <w:rFonts w:hint="eastAsia" w:ascii="宋体" w:hAnsi="宋体" w:cs="宋体"/>
          <w:color w:val="auto"/>
          <w:sz w:val="24"/>
          <w:szCs w:val="24"/>
          <w:highlight w:val="none"/>
          <w:u w:val="single"/>
        </w:rPr>
        <w:t xml:space="preserve">项目款在全部完成后付清。</w:t>
      </w:r>
      <w:r/>
    </w:p>
    <w:p>
      <w:pPr>
        <w:ind w:firstLine="482"/>
        <w:jc w:val="left"/>
        <w:keepLines w:val="0"/>
        <w:keepNext w:val="0"/>
        <w:pageBreakBefore w:val="0"/>
        <w:spacing w:line="400" w:lineRule="exact"/>
        <w:tabs>
          <w:tab w:val="left" w:pos="0" w:leader="none"/>
          <w:tab w:val="left" w:pos="1260" w:leader="none"/>
        </w:tabs>
        <w:rPr>
          <w:rFonts w:hint="eastAsia" w:ascii="宋体" w:hAnsi="宋体"/>
          <w:bCs/>
          <w:color w:val="auto"/>
          <w:sz w:val="24"/>
          <w:highlight w:val="none"/>
        </w:rPr>
      </w:pPr>
      <w:r>
        <w:rPr>
          <w:rFonts w:hint="eastAsia" w:ascii="宋体" w:hAnsi="宋体"/>
          <w:b/>
          <w:color w:val="auto"/>
          <w:sz w:val="24"/>
          <w:highlight w:val="none"/>
        </w:rPr>
        <w:t xml:space="preserve">八、违约责任：</w:t>
      </w:r>
      <w:r>
        <w:rPr>
          <w:rFonts w:hint="eastAsia" w:ascii="宋体" w:hAnsi="宋体"/>
          <w:bCs/>
          <w:color w:val="auto"/>
          <w:sz w:val="24"/>
          <w:highlight w:val="none"/>
          <w:u w:val="single"/>
        </w:rPr>
        <w:t xml:space="preserve">详见合同条款</w:t>
      </w:r>
      <w:r>
        <w:rPr>
          <w:rFonts w:hint="eastAsia" w:ascii="宋体" w:hAnsi="宋体"/>
          <w:bCs/>
          <w:color w:val="auto"/>
          <w:sz w:val="24"/>
          <w:szCs w:val="24"/>
          <w:highlight w:val="none"/>
          <w:u w:val="single"/>
        </w:rPr>
        <w:t xml:space="preserve">。</w:t>
      </w:r>
      <w:r/>
    </w:p>
    <w:p>
      <w:pPr>
        <w:ind w:firstLine="482"/>
        <w:jc w:val="left"/>
        <w:keepLines w:val="0"/>
        <w:keepNext w:val="0"/>
        <w:pageBreakBefore w:val="0"/>
        <w:spacing w:line="400" w:lineRule="exact"/>
        <w:tabs>
          <w:tab w:val="left" w:pos="0" w:leader="none"/>
          <w:tab w:val="left" w:pos="1260" w:leader="none"/>
        </w:tabs>
        <w:rPr>
          <w:rFonts w:hint="eastAsia" w:ascii="宋体" w:hAnsi="宋体"/>
          <w:bCs/>
          <w:color w:val="auto"/>
          <w:sz w:val="24"/>
          <w:szCs w:val="24"/>
          <w:highlight w:val="none"/>
          <w:u w:val="single"/>
        </w:rPr>
      </w:pPr>
      <w:r>
        <w:rPr>
          <w:rFonts w:hint="eastAsia" w:ascii="宋体" w:hAnsi="宋体"/>
          <w:b/>
          <w:bCs/>
          <w:color w:val="auto"/>
          <w:sz w:val="24"/>
          <w:highlight w:val="none"/>
        </w:rPr>
        <w:t xml:space="preserve">九、</w:t>
      </w:r>
      <w:r>
        <w:rPr>
          <w:rFonts w:ascii="宋体" w:hAnsi="宋体"/>
          <w:b/>
          <w:bCs/>
          <w:color w:val="auto"/>
          <w:sz w:val="24"/>
          <w:highlight w:val="none"/>
        </w:rPr>
        <w:t xml:space="preserve">解决争议的方</w:t>
      </w:r>
      <w:r>
        <w:rPr>
          <w:rFonts w:hint="eastAsia" w:ascii="宋体" w:hAnsi="宋体"/>
          <w:b/>
          <w:bCs/>
          <w:color w:val="auto"/>
          <w:sz w:val="24"/>
          <w:highlight w:val="none"/>
        </w:rPr>
        <w:t xml:space="preserve">式：</w:t>
      </w:r>
      <w:r>
        <w:rPr>
          <w:rFonts w:hint="eastAsia" w:ascii="宋体" w:hAnsi="宋体"/>
          <w:color w:val="auto"/>
          <w:sz w:val="24"/>
          <w:highlight w:val="none"/>
          <w:u w:val="single"/>
        </w:rPr>
        <w:t xml:space="preserve">详见合同条款。</w:t>
      </w:r>
      <w:r/>
    </w:p>
    <w:p>
      <w:pPr>
        <w:ind w:firstLine="482"/>
        <w:jc w:val="left"/>
        <w:keepLines w:val="0"/>
        <w:keepNext w:val="0"/>
        <w:pageBreakBefore w:val="0"/>
        <w:spacing w:line="400" w:lineRule="exact"/>
        <w:widowControl/>
        <w:rPr>
          <w:rFonts w:hint="eastAsia" w:ascii="宋体" w:hAnsi="宋体"/>
          <w:bCs/>
          <w:color w:val="auto"/>
          <w:sz w:val="24"/>
          <w:highlight w:val="none"/>
        </w:rPr>
      </w:pPr>
      <w:r>
        <w:rPr>
          <w:rFonts w:hint="eastAsia" w:ascii="宋体" w:hAnsi="宋体"/>
          <w:b/>
          <w:color w:val="auto"/>
          <w:sz w:val="24"/>
          <w:highlight w:val="none"/>
        </w:rPr>
        <w:t xml:space="preserve">十、</w:t>
      </w:r>
      <w:r>
        <w:rPr>
          <w:rFonts w:hint="eastAsia" w:ascii="宋体" w:hAnsi="宋体"/>
          <w:b/>
          <w:color w:val="auto"/>
          <w:sz w:val="24"/>
          <w:highlight w:val="none"/>
          <w:lang w:eastAsia="zh-CN"/>
        </w:rPr>
        <w:t xml:space="preserve">其他</w:t>
      </w:r>
      <w:r>
        <w:rPr>
          <w:rFonts w:hint="eastAsia" w:ascii="宋体" w:hAnsi="宋体"/>
          <w:b/>
          <w:color w:val="auto"/>
          <w:sz w:val="24"/>
          <w:highlight w:val="none"/>
        </w:rPr>
        <w:t xml:space="preserve">事项：</w:t>
      </w:r>
      <w:r>
        <w:rPr>
          <w:rFonts w:hint="eastAsia" w:ascii="宋体" w:hAnsi="宋体"/>
          <w:bCs/>
          <w:color w:val="auto"/>
          <w:sz w:val="24"/>
          <w:highlight w:val="none"/>
          <w:u w:val="single"/>
        </w:rPr>
        <w:t xml:space="preserve">详见合同条款</w:t>
      </w:r>
      <w:r>
        <w:rPr>
          <w:rFonts w:hint="eastAsia" w:ascii="宋体" w:hAnsi="宋体"/>
          <w:bCs/>
          <w:color w:val="auto"/>
          <w:sz w:val="24"/>
          <w:szCs w:val="24"/>
          <w:highlight w:val="none"/>
          <w:u w:val="single"/>
        </w:rPr>
        <w:t xml:space="preserve">。</w:t>
      </w:r>
      <w:r/>
    </w:p>
    <w:p>
      <w:pPr>
        <w:ind w:firstLine="480"/>
        <w:jc w:val="left"/>
        <w:keepLines w:val="0"/>
        <w:keepNext w:val="0"/>
        <w:pageBreakBefore w:val="0"/>
        <w:spacing w:line="400" w:lineRule="exact"/>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十一、合同不可分割部分：招标文件、投标文件、合同条款及中标通知书，供方在投标、评标过程中所作</w:t>
      </w:r>
      <w:r>
        <w:rPr>
          <w:rFonts w:hint="eastAsia" w:ascii="宋体" w:hAnsi="宋体" w:cs="宋体"/>
          <w:bCs/>
          <w:color w:val="auto"/>
          <w:sz w:val="24"/>
          <w:highlight w:val="none"/>
          <w:lang w:eastAsia="zh-CN"/>
        </w:rPr>
        <w:t xml:space="preserve">其他</w:t>
      </w:r>
      <w:r>
        <w:rPr>
          <w:rFonts w:hint="eastAsia" w:ascii="宋体" w:hAnsi="宋体" w:cs="宋体"/>
          <w:bCs/>
          <w:color w:val="auto"/>
          <w:sz w:val="24"/>
          <w:highlight w:val="none"/>
        </w:rPr>
        <w:t xml:space="preserve">有关承诺、声明、书面澄清等均为合同不可分割的部分，与主合同具有同等法律效力。</w:t>
      </w:r>
      <w:r/>
    </w:p>
    <w:p>
      <w:pPr>
        <w:ind w:firstLine="480"/>
        <w:jc w:val="left"/>
        <w:keepLines w:val="0"/>
        <w:keepNext w:val="0"/>
        <w:pageBreakBefore w:val="0"/>
        <w:spacing w:line="400" w:lineRule="exact"/>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十二、合同备案：合同</w:t>
      </w:r>
      <w:r>
        <w:rPr>
          <w:rFonts w:hint="eastAsia" w:ascii="宋体" w:hAnsi="宋体" w:cs="宋体"/>
          <w:bCs/>
          <w:color w:val="auto"/>
          <w:sz w:val="24"/>
          <w:highlight w:val="none"/>
          <w:lang w:eastAsia="zh-CN"/>
        </w:rPr>
        <w:t xml:space="preserve">一式五份</w:t>
      </w:r>
      <w:r>
        <w:rPr>
          <w:rFonts w:hint="eastAsia" w:ascii="宋体" w:hAnsi="宋体" w:cs="宋体"/>
          <w:bCs/>
          <w:color w:val="auto"/>
          <w:sz w:val="24"/>
          <w:highlight w:val="none"/>
        </w:rPr>
        <w:t xml:space="preserve">，供需双方各执</w:t>
      </w:r>
      <w:r>
        <w:rPr>
          <w:rFonts w:hint="eastAsia" w:ascii="宋体" w:hAnsi="宋体" w:cs="宋体"/>
          <w:bCs/>
          <w:color w:val="auto"/>
          <w:sz w:val="24"/>
          <w:highlight w:val="none"/>
          <w:lang w:val="en-US" w:eastAsia="zh-CN"/>
        </w:rPr>
        <w:t xml:space="preserve">两</w:t>
      </w:r>
      <w:r>
        <w:rPr>
          <w:rFonts w:hint="eastAsia" w:ascii="宋体" w:hAnsi="宋体" w:cs="宋体"/>
          <w:bCs/>
          <w:color w:val="auto"/>
          <w:sz w:val="24"/>
          <w:highlight w:val="none"/>
        </w:rPr>
        <w:t xml:space="preserve">份，见证方</w:t>
      </w:r>
      <w:r>
        <w:rPr>
          <w:rFonts w:hint="eastAsia" w:ascii="宋体" w:hAnsi="宋体" w:cs="宋体"/>
          <w:bCs/>
          <w:color w:val="auto"/>
          <w:sz w:val="24"/>
          <w:highlight w:val="none"/>
          <w:lang w:val="en-US" w:eastAsia="zh-CN"/>
        </w:rPr>
        <w:t xml:space="preserve">一</w:t>
      </w:r>
      <w:r>
        <w:rPr>
          <w:rFonts w:hint="eastAsia" w:ascii="宋体" w:hAnsi="宋体" w:cs="宋体"/>
          <w:bCs/>
          <w:color w:val="auto"/>
          <w:sz w:val="24"/>
          <w:highlight w:val="none"/>
        </w:rPr>
        <w:t xml:space="preserve">份。</w:t>
      </w:r>
      <w:r/>
    </w:p>
    <w:p>
      <w:pPr>
        <w:ind w:firstLine="480"/>
        <w:jc w:val="left"/>
        <w:keepLines w:val="0"/>
        <w:keepNext w:val="0"/>
        <w:pageBreakBefore w:val="0"/>
        <w:spacing w:line="400" w:lineRule="exact"/>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十三、合同生效：本合同由供需双方签字、盖章，并经见证后生效。</w:t>
      </w:r>
      <w:r/>
    </w:p>
    <w:p>
      <w:pPr>
        <w:ind w:firstLine="480"/>
        <w:jc w:val="left"/>
        <w:keepLines w:val="0"/>
        <w:keepNext w:val="0"/>
        <w:pageBreakBefore w:val="0"/>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jc w:val="left"/>
        <w:keepLines w:val="0"/>
        <w:keepNext w:val="0"/>
        <w:pageBreakBefore w:val="0"/>
        <w:spacing w:line="400" w:lineRule="exact"/>
        <w:widowControl w:val="off"/>
        <w:tabs>
          <w:tab w:val="left" w:pos="5040"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ab/>
      </w:r>
      <w:r>
        <w:rPr>
          <w:rFonts w:hint="eastAsia" w:ascii="宋体" w:hAnsi="宋体" w:cs="宋体"/>
          <w:bCs/>
          <w:color w:val="auto"/>
          <w:sz w:val="24"/>
          <w:highlight w:val="none"/>
        </w:rPr>
        <w:t xml:space="preserve">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p>
    <w:p>
      <w:pPr>
        <w:ind w:firstLine="480"/>
        <w:jc w:val="left"/>
        <w:keepLines w:val="0"/>
        <w:keepNext w:val="0"/>
        <w:pageBreakBefore w:val="0"/>
        <w:spacing w:line="400" w:lineRule="exact"/>
        <w:widowControl w:val="off"/>
        <w:tabs>
          <w:tab w:val="left" w:pos="5040"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w:t>
      </w:r>
      <w:r>
        <w:rPr>
          <w:rFonts w:hint="eastAsia" w:ascii="宋体" w:hAnsi="宋体" w:cs="宋体"/>
          <w:bCs/>
          <w:color w:val="auto"/>
          <w:sz w:val="24"/>
          <w:highlight w:val="none"/>
          <w:lang w:val="en-US" w:eastAsia="zh-CN"/>
        </w:rPr>
        <w:tab/>
      </w:r>
      <w:r>
        <w:rPr>
          <w:rFonts w:hint="eastAsia" w:ascii="宋体" w:hAnsi="宋体" w:cs="宋体"/>
          <w:bCs/>
          <w:color w:val="auto"/>
          <w:sz w:val="24"/>
          <w:highlight w:val="none"/>
        </w:rPr>
        <w:t xml:space="preserve">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w:t>
      </w:r>
      <w:r/>
    </w:p>
    <w:p>
      <w:pPr>
        <w:ind w:firstLine="1440"/>
        <w:jc w:val="left"/>
        <w:keepLines w:val="0"/>
        <w:keepNext w:val="0"/>
        <w:pageBreakBefore w:val="0"/>
        <w:spacing w:line="400" w:lineRule="exact"/>
        <w:widowControl w:val="off"/>
        <w:tabs>
          <w:tab w:val="left" w:pos="5040"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年  月  日</w:t>
      </w:r>
      <w:r>
        <w:rPr>
          <w:rFonts w:hint="eastAsia" w:ascii="宋体" w:hAnsi="宋体" w:cs="宋体"/>
          <w:bCs/>
          <w:color w:val="auto"/>
          <w:sz w:val="24"/>
          <w:highlight w:val="none"/>
          <w:lang w:val="en-US" w:eastAsia="zh-CN"/>
        </w:rPr>
        <w:tab/>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年  月  日</w:t>
      </w:r>
      <w:r/>
    </w:p>
    <w:p>
      <w:pPr>
        <w:ind w:firstLine="480"/>
        <w:jc w:val="left"/>
        <w:keepLines w:val="0"/>
        <w:keepNext w:val="0"/>
        <w:pageBreakBefore w:val="0"/>
        <w:spacing w:line="400" w:lineRule="exact"/>
        <w:widowControl w:val="off"/>
        <w:tabs>
          <w:tab w:val="left" w:pos="5040"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ab/>
      </w:r>
      <w:r>
        <w:rPr>
          <w:rFonts w:hint="eastAsia" w:ascii="宋体" w:hAnsi="宋体" w:cs="宋体"/>
          <w:bCs/>
          <w:color w:val="auto"/>
          <w:sz w:val="24"/>
          <w:highlight w:val="none"/>
        </w:rPr>
        <w:t xml:space="preserve">供方户名：</w:t>
      </w:r>
      <w:r/>
    </w:p>
    <w:p>
      <w:pPr>
        <w:ind w:firstLine="480"/>
        <w:jc w:val="left"/>
        <w:keepLines w:val="0"/>
        <w:keepNext w:val="0"/>
        <w:pageBreakBefore w:val="0"/>
        <w:spacing w:line="400" w:lineRule="exact"/>
        <w:widowControl w:val="off"/>
        <w:tabs>
          <w:tab w:val="left" w:pos="5040" w:leader="none"/>
        </w:tabs>
        <w:rPr>
          <w:rFonts w:hint="eastAsia" w:ascii="宋体" w:hAnsi="宋体" w:cs="宋体"/>
          <w:bCs/>
          <w:color w:val="auto"/>
          <w:sz w:val="24"/>
          <w:highlight w:val="none"/>
          <w:u w:val="single"/>
        </w:rPr>
      </w:pPr>
      <w:r>
        <w:rPr>
          <w:rFonts w:hint="eastAsia" w:ascii="宋体" w:hAnsi="宋体" w:cs="宋体"/>
          <w:bCs/>
          <w:color w:val="auto"/>
          <w:sz w:val="24"/>
          <w:highlight w:val="none"/>
          <w:lang w:val="en-US" w:eastAsia="zh-CN"/>
        </w:rPr>
        <w:tab/>
      </w:r>
      <w:r>
        <w:rPr>
          <w:rFonts w:hint="eastAsia" w:ascii="宋体" w:hAnsi="宋体" w:cs="宋体"/>
          <w:bCs/>
          <w:color w:val="auto"/>
          <w:sz w:val="24"/>
          <w:highlight w:val="none"/>
        </w:rPr>
        <w:t xml:space="preserve">供方开户银行：</w:t>
      </w:r>
      <w:r/>
    </w:p>
    <w:p>
      <w:pPr>
        <w:ind w:firstLine="480"/>
        <w:jc w:val="left"/>
        <w:keepLines w:val="0"/>
        <w:keepNext w:val="0"/>
        <w:pageBreakBefore w:val="0"/>
        <w:spacing w:line="400" w:lineRule="exact"/>
        <w:widowControl w:val="off"/>
        <w:tabs>
          <w:tab w:val="left" w:pos="5040"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ab/>
      </w:r>
      <w:r>
        <w:rPr>
          <w:rFonts w:hint="eastAsia" w:ascii="宋体" w:hAnsi="宋体" w:cs="宋体"/>
          <w:bCs/>
          <w:color w:val="auto"/>
          <w:sz w:val="24"/>
          <w:highlight w:val="none"/>
        </w:rPr>
        <w:t xml:space="preserve">供方账号：</w:t>
      </w:r>
      <w:r/>
    </w:p>
    <w:p>
      <w:pPr>
        <w:ind w:firstLine="480"/>
        <w:jc w:val="left"/>
        <w:keepLines w:val="0"/>
        <w:keepNext w:val="0"/>
        <w:pageBreakBefore w:val="0"/>
        <w:spacing w:line="400" w:lineRule="exact"/>
        <w:widowControl w:val="off"/>
        <w:tabs>
          <w:tab w:val="left" w:pos="5040" w:leader="none"/>
        </w:tabs>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jc w:val="left"/>
        <w:keepLines w:val="0"/>
        <w:keepNext w:val="0"/>
        <w:pageBreakBefore w:val="0"/>
        <w:spacing w:line="400" w:lineRule="exact"/>
        <w:widowControl w:val="off"/>
        <w:tabs>
          <w:tab w:val="left" w:pos="50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见证方（公章）：</w:t>
      </w:r>
      <w:r/>
    </w:p>
    <w:p>
      <w:pPr>
        <w:ind w:firstLine="480"/>
        <w:jc w:val="left"/>
        <w:keepLines w:val="0"/>
        <w:keepNext w:val="0"/>
        <w:pageBreakBefore w:val="0"/>
        <w:spacing w:line="400" w:lineRule="exact"/>
        <w:widowControl w:val="off"/>
        <w:tabs>
          <w:tab w:val="left" w:pos="5040" w:leader="none"/>
        </w:tabs>
        <w:rPr>
          <w:rFonts w:ascii="宋体" w:hAnsi="宋体" w:cs="宋体"/>
          <w:bCs/>
          <w:color w:val="auto"/>
          <w:sz w:val="24"/>
          <w:highlight w:val="none"/>
        </w:rPr>
      </w:pPr>
      <w:r>
        <w:rPr>
          <w:rFonts w:hint="eastAsia" w:ascii="宋体" w:hAnsi="宋体" w:cs="宋体"/>
          <w:bCs/>
          <w:color w:val="auto"/>
          <w:sz w:val="24"/>
          <w:highlight w:val="none"/>
        </w:rPr>
        <w:t xml:space="preserve">日期：</w:t>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br w:type="page" w:clear="all"/>
      </w:r>
      <w:r/>
    </w:p>
    <w:p>
      <w:pPr>
        <w:jc w:val="center"/>
        <w:spacing w:line="440" w:lineRule="exact"/>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五</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合同条款</w:t>
      </w:r>
      <w:r/>
    </w:p>
    <w:p>
      <w:pPr>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（根据相关法律规定以及采购文件确定事项订立）</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highlight w:val="none"/>
        </w:rPr>
        <w:t xml:space="preserve">需方（采购方）</w:t>
      </w:r>
      <w:r>
        <w:rPr>
          <w:rFonts w:hint="eastAsia" w:ascii="宋体" w:hAnsi="宋体" w:cs="宋体"/>
          <w:bCs/>
          <w:color w:val="auto"/>
          <w:sz w:val="24"/>
          <w:szCs w:val="24"/>
          <w:highlight w:val="none"/>
        </w:rPr>
        <w:t xml:space="preserve">：</w:t>
      </w:r>
      <w:r>
        <w:rPr>
          <w:rFonts w:hint="eastAsia" w:ascii="宋体" w:hAnsi="宋体" w:cs="宋体"/>
          <w:bCs/>
          <w:color w:val="auto"/>
          <w:sz w:val="24"/>
          <w:highlight w:val="none"/>
          <w:u w:val="single"/>
        </w:rPr>
        <w:t xml:space="preserve">无锡国家高新技术产业开发区</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rPr>
        <w:t xml:space="preserve">无锡市新吴区</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rPr>
        <w:t xml:space="preserve">农业农村局 </w:t>
      </w:r>
      <w:r/>
    </w:p>
    <w:p>
      <w:pPr>
        <w:ind w:firstLine="480"/>
        <w:spacing w:line="360" w:lineRule="auto"/>
        <w:rPr>
          <w:rFonts w:ascii="宋体" w:hAnsi="宋体" w:cs="宋体"/>
          <w:bCs/>
          <w:color w:val="auto"/>
          <w:sz w:val="24"/>
          <w:szCs w:val="24"/>
          <w:highlight w:val="none"/>
          <w:u w:val="single"/>
        </w:rPr>
      </w:pPr>
      <w:r>
        <w:rPr>
          <w:rFonts w:hint="eastAsia" w:ascii="宋体" w:hAnsi="宋体" w:cs="宋体"/>
          <w:bCs/>
          <w:color w:val="auto"/>
          <w:sz w:val="24"/>
          <w:highlight w:val="none"/>
        </w:rPr>
        <w:t xml:space="preserve">供方（供应方）：</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u w:val="single"/>
        </w:rPr>
        <w:t xml:space="preserve">无锡国家高新技术产业开发区（无锡市新吴区）农业农村局（</w:t>
      </w:r>
      <w:r>
        <w:rPr>
          <w:rFonts w:hint="eastAsia" w:ascii="宋体" w:hAnsi="宋体"/>
          <w:color w:val="auto"/>
          <w:sz w:val="24"/>
          <w:highlight w:val="none"/>
        </w:rPr>
        <w:t xml:space="preserve">以下简称甲方）与</w:t>
      </w:r>
      <w:r>
        <w:rPr>
          <w:rFonts w:hint="eastAsia" w:ascii="宋体" w:hAnsi="宋体"/>
          <w:color w:val="auto"/>
          <w:sz w:val="24"/>
          <w:highlight w:val="none"/>
          <w:u w:val="single"/>
        </w:rPr>
        <w:t xml:space="preserve">   项目</w:t>
      </w:r>
      <w:r>
        <w:rPr>
          <w:rFonts w:hint="eastAsia" w:ascii="宋体" w:hAnsi="宋体"/>
          <w:color w:val="auto"/>
          <w:sz w:val="24"/>
          <w:highlight w:val="none"/>
        </w:rPr>
        <w:t xml:space="preserve">约定如下：</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1、甲方负责制定抽检方案和要求，乙方按照甲方制定的方案和要求执行。</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2、乙方中标总金额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元，抽检总数量为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批次，中标总金额包括甲方支付给乙方的买样、抽样、检测等费用，除此以外甲方不再支付其他任何费用。甲方应按双方确认的价格，</w:t>
      </w:r>
      <w:r>
        <w:rPr>
          <w:rFonts w:hint="eastAsia" w:ascii="宋体" w:hAnsi="宋体"/>
          <w:color w:val="auto"/>
          <w:sz w:val="24"/>
          <w:highlight w:val="none"/>
          <w:lang w:val="en-US" w:eastAsia="zh-CN"/>
        </w:rPr>
        <w:t xml:space="preserve">根据付款方式</w:t>
      </w:r>
      <w:r>
        <w:rPr>
          <w:rFonts w:hint="eastAsia" w:ascii="宋体" w:hAnsi="宋体"/>
          <w:color w:val="auto"/>
          <w:sz w:val="24"/>
          <w:highlight w:val="none"/>
        </w:rPr>
        <w:t xml:space="preserve">（出具检测报告后）结算费用。乙方</w:t>
      </w:r>
      <w:r>
        <w:rPr>
          <w:rFonts w:hint="eastAsia" w:ascii="宋体" w:hAnsi="宋体"/>
          <w:color w:val="auto"/>
          <w:sz w:val="24"/>
          <w:highlight w:val="none"/>
          <w:lang w:eastAsia="zh-CN"/>
        </w:rPr>
        <w:t xml:space="preserve">结账时</w:t>
      </w:r>
      <w:r>
        <w:rPr>
          <w:rFonts w:hint="eastAsia" w:ascii="宋体" w:hAnsi="宋体"/>
          <w:color w:val="auto"/>
          <w:sz w:val="24"/>
          <w:highlight w:val="none"/>
        </w:rPr>
        <w:t xml:space="preserve">需开具正式发票并附全部费用清单，注明商品名称（按类别）、批次、每批次费用及购样费等，如发票有有效期限的，则尽量不填写开票日期；发票上标注的名称、账号、开户行应与收款人一致；附加盖被抽检单位、抽样人员签字确认，并加盖检测机构公章（或财务章）的抽样清单。</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3、所有采样检测工作按照采购人的实施方案执行，因采购人原因造成取样延迟的，不得追究承检机构责任；因承检机构原因造成取样延迟的，承检机构应当向采购人支付赔偿金。取样完成后当日送入检验实验室，承检机构应在10日内出具检验结果（监督抽查为5个工作日内），对检验结果不合格产品当日通报采购方，并在24小时内出具检验报告，对检验合格的产品在告知检验结果后10日内出具检验报告并完成监管系统上报，并保证检验结果准确。</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4、乙方负责抽样工作时，要按照甲方的要求，做好抽样工作。乙方负责提供抽样时</w:t>
      </w:r>
      <w:r>
        <w:rPr>
          <w:rFonts w:hint="eastAsia" w:ascii="宋体" w:hAnsi="宋体"/>
          <w:color w:val="auto"/>
          <w:sz w:val="24"/>
          <w:highlight w:val="none"/>
          <w:lang w:eastAsia="zh-CN"/>
        </w:rPr>
        <w:t xml:space="preserve">必需的</w:t>
      </w:r>
      <w:r>
        <w:rPr>
          <w:rFonts w:hint="eastAsia" w:ascii="宋体" w:hAnsi="宋体"/>
          <w:color w:val="auto"/>
          <w:sz w:val="24"/>
          <w:highlight w:val="none"/>
        </w:rPr>
        <w:t xml:space="preserve">工具、用具和设备（包括采样瓶、标签、抽样单、复写纸等等），监督抽查需按要求现场制备和封存样品。</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5、抽样时要完整、清楚、真实</w:t>
      </w:r>
      <w:r>
        <w:rPr>
          <w:rFonts w:hint="eastAsia" w:ascii="宋体" w:hAnsi="宋体"/>
          <w:color w:val="auto"/>
          <w:sz w:val="24"/>
          <w:highlight w:val="none"/>
          <w:lang w:eastAsia="zh-CN"/>
        </w:rPr>
        <w:t xml:space="preserve">地</w:t>
      </w:r>
      <w:r>
        <w:rPr>
          <w:rFonts w:hint="eastAsia" w:ascii="宋体" w:hAnsi="宋体"/>
          <w:color w:val="auto"/>
          <w:sz w:val="24"/>
          <w:highlight w:val="none"/>
        </w:rPr>
        <w:t xml:space="preserve">填写相关单据，不得有缺项漏项。</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6、检测结果报告中样品信息填写必须真实可靠，严格按照样品抽样登记表内容填写。</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7、乙方在样品的检测过程中应严格按照国家标准进行检测，使用的检测和判定标准必须符合有关国家标准，确保检测结果准确可靠。对备检样品应按照检测规程做好封存保存，未过法定期限不得擅自处理。</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8、乙方对提供的检测设备、检测人员、检测报告负总责。因机构、人员资质、检测设备、检测过程、检测标准、判定标准等原因造成检测结果不准确或结果不被法律认可而导致的所有责任由乙方承担。</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9、乙方对在项目合作期间所获得的甲方的情报、资料、抽样检测内容、检测结果和相关技术资料等负有保密义务，未经甲方书面同意，不得擅自披漏、泄露或用于合同约定之外的目的，</w:t>
      </w:r>
      <w:r>
        <w:rPr>
          <w:rFonts w:hint="eastAsia" w:ascii="宋体" w:hAnsi="宋体"/>
          <w:color w:val="auto"/>
          <w:sz w:val="24"/>
          <w:highlight w:val="none"/>
          <w:lang w:eastAsia="zh-CN"/>
        </w:rPr>
        <w:t xml:space="preserve">泄露秘密</w:t>
      </w:r>
      <w:r>
        <w:rPr>
          <w:rFonts w:hint="eastAsia" w:ascii="宋体" w:hAnsi="宋体"/>
          <w:color w:val="auto"/>
          <w:sz w:val="24"/>
          <w:highlight w:val="none"/>
        </w:rPr>
        <w:t xml:space="preserve">应承担法律责任。不论本合同是否变更、解除、终止，本条款均有效</w:t>
      </w:r>
      <w:r>
        <w:rPr>
          <w:rFonts w:hint="eastAsia" w:ascii="宋体" w:hAnsi="宋体"/>
          <w:color w:val="auto"/>
          <w:sz w:val="24"/>
          <w:highlight w:val="none"/>
          <w:lang w:eastAsia="zh-CN"/>
        </w:rPr>
        <w:t xml:space="preserve">。</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没有甲方事先书面同意，乙方不得将由甲方提供的有关合同或任何合同条文、方案、计划或资料提供给与履行本合同无关的任何其他人。即使向履行本合同有关的人员提供，也应注意保密并限于履行合同的必需范围。</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10、乙方不能按照规定期限完成项目（以甲方收到检测报告和加盖乙方公章的检测结果汇总为准），乙方应当承担违约责任。承担方式和违约金额如下：每逾期一日，甲方每天扣合同金额的</w:t>
      </w:r>
      <w:r>
        <w:rPr>
          <w:rFonts w:ascii="宋体" w:hAnsi="宋体"/>
          <w:color w:val="auto"/>
          <w:sz w:val="24"/>
          <w:highlight w:val="none"/>
        </w:rPr>
        <w:t xml:space="preserve">3%</w:t>
      </w:r>
      <w:r>
        <w:rPr>
          <w:rFonts w:hint="eastAsia" w:ascii="宋体" w:hAnsi="宋体"/>
          <w:color w:val="auto"/>
          <w:sz w:val="24"/>
          <w:highlight w:val="none"/>
        </w:rPr>
        <w:t xml:space="preserve">作为违约金。逾期超过</w:t>
      </w:r>
      <w:r>
        <w:rPr>
          <w:rFonts w:ascii="宋体" w:hAnsi="宋体"/>
          <w:color w:val="auto"/>
          <w:sz w:val="24"/>
          <w:highlight w:val="none"/>
        </w:rPr>
        <w:t xml:space="preserve">15</w:t>
      </w:r>
      <w:r>
        <w:rPr>
          <w:rFonts w:hint="eastAsia" w:ascii="宋体" w:hAnsi="宋体"/>
          <w:color w:val="auto"/>
          <w:sz w:val="24"/>
          <w:highlight w:val="none"/>
        </w:rPr>
        <w:t xml:space="preserve">天的，甲方有权解除合同并要求乙方赔偿由此造成的各项直接和间接损失。</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乙方完成的工作经验收不合格的，应当向甲方支付合同金额50%的违约金。且乙方应无条件予以修改、更换或重作。再次验收仍不合格的，甲方有权解除合同并要求乙方赔偿由此造成的各项直接和间接损失。</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乙方违反本合同约定保密义务的，应当赔偿由此给甲方造成的各项直接和间接损失。</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本合同项下的全部义务，应由乙方直接提供，不得转让或分包他人。乙方如有转让或分包本合同项下义务的行为，应当向甲方支付合同金额50%的违约金。且甲方有权解除合同并要求乙方赔偿由此造成的各项直接和间接损失。</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乙方擅自</w:t>
      </w:r>
      <w:r>
        <w:rPr>
          <w:rFonts w:hint="eastAsia" w:ascii="宋体" w:hAnsi="宋体"/>
          <w:color w:val="auto"/>
          <w:sz w:val="24"/>
          <w:highlight w:val="none"/>
          <w:lang w:eastAsia="zh-CN"/>
        </w:rPr>
        <w:t xml:space="preserve">终止</w:t>
      </w:r>
      <w:r>
        <w:rPr>
          <w:rFonts w:hint="eastAsia" w:ascii="宋体" w:hAnsi="宋体"/>
          <w:color w:val="auto"/>
          <w:sz w:val="24"/>
          <w:highlight w:val="none"/>
        </w:rPr>
        <w:t xml:space="preserve">或解除合同的，应当向甲方支付合同金额100%的违约金并赔偿由此给甲方造成的各项直接和间接损失。</w:t>
      </w:r>
      <w:r/>
    </w:p>
    <w:p>
      <w:pPr>
        <w:pStyle w:val="750"/>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w:t>
      </w:r>
      <w:r>
        <w:rPr>
          <w:rFonts w:hint="eastAsia" w:ascii="宋体" w:hAnsi="宋体" w:eastAsia="宋体"/>
          <w:color w:val="auto"/>
          <w:sz w:val="24"/>
          <w:szCs w:val="24"/>
          <w:highlight w:val="none"/>
        </w:rPr>
        <w:t xml:space="preserve">、乙方应在规定的时间内完成甲方部署的抽检工作，在甲方规定的时间内依法出具检验报告，上报数据至无锡市食品检验信息共享平台和国抽系统，汇总样品抽检结果信息，提交抽检工作分析总结报告，协助做好检测报告归档工作，不得擅自发布抽检结果。上报国抽系统的数据务必准确。（1）乙方每月对国抽系统数据进行自查及1对1互查，1对1互查对象由甲方指定；（2）甲方将对各乙方进行考核，重点包括国抽系统数据准确率，根据考核结果挂钩后续临时任务及应急任务，考核排名靠前的单位将优先安排抽检任务，考核不合格的单位将按照剩余任务的9折进行结算。</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12、履行本合同的过程中，确因在现有水平和条件下难以克服的技术困难，导致抽检工作部分或全部失败所造成的损失，由乙方承担。</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13、在本合同履行过程中发生争议，双方应当协商解决。如从协商开始30天内仍不能解决，应将争议提交有关省、市政府或行业主管部门寻求可能解决的办法。如果提交有关省、市政府或行业主管部门后30天内仍得不到解决的，则双方均有权向甲方所在地人民法院提起诉讼。在诉讼期间，本合同应继续执行。</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14、适用法律：本合同应按照中华人民共和国的法律进行解释。</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15、乙方承诺履行本合同项下义务的行为不存在任何侵犯他人著作权、商标权或其他合法权利的情形，如有违反，乙方应当自行承担由此产生的全部法律后果和经济责任。给甲方造成损失的，乙方应当予以赔偿。</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16、中标单位报价清单详见附件。</w:t>
      </w:r>
      <w:r/>
    </w:p>
    <w:p>
      <w:pPr>
        <w:ind w:firstLine="480"/>
        <w:spacing w:line="440" w:lineRule="exact"/>
        <w:tabs>
          <w:tab w:val="left" w:pos="210" w:leader="none"/>
          <w:tab w:val="left" w:pos="840" w:leader="none"/>
          <w:tab w:val="left" w:pos="1155" w:leader="none"/>
        </w:tabs>
        <w:rPr>
          <w:rFonts w:hint="eastAsia" w:ascii="宋体"/>
          <w:color w:val="auto"/>
          <w:sz w:val="34"/>
          <w:highlight w:val="none"/>
        </w:rPr>
      </w:pPr>
      <w:r>
        <w:rPr>
          <w:rFonts w:hint="eastAsia" w:ascii="宋体" w:hAnsi="宋体"/>
          <w:color w:val="auto"/>
          <w:sz w:val="24"/>
          <w:highlight w:val="none"/>
        </w:rPr>
        <w:t xml:space="preserve">17、招标文件、投标文件、合同条款及成交通知书，供方在投标、评标过程中所作其它有关承诺、声明、书面澄清等均为合同不可分割的部分，与主合同具有同等法律效力。</w:t>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r>
      <w:r/>
    </w:p>
    <w:p>
      <w:pPr>
        <w:spacing w:line="440" w:lineRule="exact"/>
        <w:rPr>
          <w:rFonts w:ascii="宋体"/>
          <w:bCs/>
          <w:color w:val="auto"/>
          <w:sz w:val="24"/>
          <w:highlight w:val="none"/>
          <w:u w:val="single"/>
        </w:rPr>
      </w:pPr>
      <w:r>
        <w:rPr>
          <w:rFonts w:hint="eastAsia" w:ascii="宋体" w:hAnsi="宋体"/>
          <w:bCs/>
          <w:color w:val="auto"/>
          <w:sz w:val="24"/>
          <w:highlight w:val="none"/>
        </w:rPr>
        <w:t xml:space="preserve">需方（采购人）：</w:t>
      </w:r>
      <w:r>
        <w:rPr>
          <w:rFonts w:ascii="宋体" w:hAnsi="宋体"/>
          <w:bCs/>
          <w:color w:val="auto"/>
          <w:sz w:val="24"/>
          <w:highlight w:val="none"/>
          <w:u w:val="single"/>
        </w:rPr>
        <w:t xml:space="preserve">           </w:t>
      </w:r>
      <w:r>
        <w:rPr>
          <w:rFonts w:hint="eastAsia" w:ascii="宋体" w:hAnsi="宋体"/>
          <w:bCs/>
          <w:color w:val="auto"/>
          <w:sz w:val="24"/>
          <w:highlight w:val="none"/>
        </w:rPr>
        <w:t xml:space="preserve">（盖章）</w:t>
      </w:r>
      <w:r>
        <w:rPr>
          <w:rFonts w:ascii="宋体" w:hAnsi="宋体"/>
          <w:bCs/>
          <w:color w:val="auto"/>
          <w:sz w:val="24"/>
          <w:highlight w:val="none"/>
        </w:rPr>
        <w:t xml:space="preserve">   </w:t>
      </w:r>
      <w:r>
        <w:rPr>
          <w:rFonts w:hint="eastAsia" w:ascii="宋体" w:hAnsi="宋体"/>
          <w:bCs/>
          <w:color w:val="auto"/>
          <w:sz w:val="24"/>
          <w:highlight w:val="none"/>
        </w:rPr>
        <w:t xml:space="preserve">  供方（中标方）：</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（盖章）</w:t>
      </w:r>
      <w:r/>
    </w:p>
    <w:p>
      <w:pPr>
        <w:spacing w:line="440" w:lineRule="exact"/>
        <w:rPr>
          <w:rFonts w:ascii="宋体"/>
          <w:bCs/>
          <w:color w:val="auto"/>
          <w:sz w:val="24"/>
          <w:highlight w:val="none"/>
          <w:u w:val="single"/>
        </w:rPr>
      </w:pPr>
      <w:r>
        <w:rPr>
          <w:rFonts w:hint="eastAsia" w:ascii="宋体" w:hAnsi="宋体"/>
          <w:bCs/>
          <w:color w:val="auto"/>
          <w:sz w:val="24"/>
          <w:highlight w:val="none"/>
        </w:rPr>
        <w:t xml:space="preserve">法定（授权）代表人：</w:t>
      </w:r>
      <w:r>
        <w:rPr>
          <w:rFonts w:ascii="宋体" w:hAnsi="宋体"/>
          <w:bCs/>
          <w:color w:val="auto"/>
          <w:sz w:val="24"/>
          <w:highlight w:val="none"/>
          <w:u w:val="singl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法定（授权）代表人：</w:t>
      </w:r>
      <w:r>
        <w:rPr>
          <w:rFonts w:ascii="宋体" w:hAnsi="宋体"/>
          <w:bCs/>
          <w:color w:val="auto"/>
          <w:sz w:val="24"/>
          <w:highlight w:val="none"/>
          <w:u w:val="single"/>
        </w:rPr>
        <w:t xml:space="preserve">                  </w:t>
      </w:r>
      <w:r/>
    </w:p>
    <w:p>
      <w:pPr>
        <w:ind w:firstLine="960"/>
        <w:spacing w:line="440" w:lineRule="exact"/>
        <w:rPr>
          <w:rFonts w:ascii="宋体"/>
          <w:bCs/>
          <w:color w:val="auto"/>
          <w:sz w:val="24"/>
          <w:highlight w:val="none"/>
          <w:u w:val="single"/>
        </w:rPr>
      </w:pP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ascii="宋体"/>
          <w:bCs/>
          <w:color w:val="auto"/>
          <w:sz w:val="24"/>
          <w:highlight w:val="none"/>
          <w:u w:val="single"/>
        </w:rPr>
      </w:pPr>
      <w:r>
        <w:rPr>
          <w:rFonts w:hint="eastAsia" w:ascii="宋体" w:hAnsi="宋体"/>
          <w:bCs/>
          <w:color w:val="auto"/>
          <w:sz w:val="24"/>
          <w:highlight w:val="none"/>
        </w:rPr>
        <w:t xml:space="preserve">见证方：</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rPr>
          <w:rFonts w:ascii="宋体" w:hAnsi="宋体"/>
          <w:bCs/>
          <w:color w:val="auto"/>
          <w:sz w:val="24"/>
          <w:highlight w:val="none"/>
        </w:rPr>
        <w:t xml:space="preserve"> </w:t>
      </w:r>
      <w:r>
        <w:rPr>
          <w:rFonts w:hint="eastAsia" w:ascii="宋体" w:hAnsi="宋体"/>
          <w:bCs/>
          <w:color w:val="auto"/>
          <w:sz w:val="24"/>
          <w:highlight w:val="none"/>
        </w:rPr>
        <w:t xml:space="preserve"> 供方户名：</w:t>
      </w:r>
      <w:r>
        <w:rPr>
          <w:rFonts w:ascii="宋体" w:hAnsi="宋体"/>
          <w:bCs/>
          <w:color w:val="auto"/>
          <w:sz w:val="24"/>
          <w:highlight w:val="none"/>
          <w:u w:val="single"/>
        </w:rPr>
        <w:t xml:space="preserve">                            </w:t>
      </w:r>
      <w:r/>
    </w:p>
    <w:p>
      <w:pPr>
        <w:spacing w:line="360" w:lineRule="auto"/>
        <w:rPr>
          <w:rFonts w:ascii="宋体"/>
          <w:bCs/>
          <w:color w:val="auto"/>
          <w:sz w:val="24"/>
          <w:highlight w:val="none"/>
          <w:u w:val="single"/>
        </w:rPr>
      </w:pPr>
      <w:r>
        <w:rPr>
          <w:rFonts w:hint="eastAsia" w:ascii="宋体" w:hAnsi="宋体"/>
          <w:bCs/>
          <w:color w:val="auto"/>
          <w:sz w:val="24"/>
          <w:highlight w:val="none"/>
        </w:rPr>
        <w:t xml:space="preserve">见证人：</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供方开户银行：</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p>
    <w:p>
      <w:pPr>
        <w:spacing w:line="360" w:lineRule="auto"/>
        <w:rPr>
          <w:rFonts w:ascii="宋体" w:hAnsi="宋体"/>
          <w:bCs/>
          <w:color w:val="auto"/>
          <w:sz w:val="24"/>
          <w:highlight w:val="none"/>
          <w:u w:val="single"/>
        </w:rPr>
      </w:pP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rPr>
          <w:rFonts w:hint="eastAsia" w:ascii="宋体" w:hAnsi="宋体"/>
          <w:bCs/>
          <w:color w:val="auto"/>
          <w:sz w:val="24"/>
          <w:highlight w:val="none"/>
        </w:rPr>
        <w:t xml:space="preserve">      供方</w:t>
      </w:r>
      <w:r>
        <w:rPr>
          <w:rFonts w:hint="eastAsia" w:ascii="宋体" w:hAnsi="宋体"/>
          <w:bCs/>
          <w:color w:val="auto"/>
          <w:sz w:val="24"/>
          <w:highlight w:val="none"/>
          <w:lang w:eastAsia="zh-CN"/>
        </w:rPr>
        <w:t xml:space="preserve">账号</w:t>
      </w:r>
      <w:r>
        <w:rPr>
          <w:rFonts w:hint="eastAsia" w:ascii="宋体" w:hAnsi="宋体"/>
          <w:bCs/>
          <w:color w:val="auto"/>
          <w:sz w:val="24"/>
          <w:highlight w:val="none"/>
        </w:rPr>
        <w:t xml:space="preserve">：</w:t>
      </w:r>
      <w:r>
        <w:rPr>
          <w:rFonts w:ascii="宋体" w:hAnsi="宋体"/>
          <w:bCs/>
          <w:color w:val="auto"/>
          <w:sz w:val="24"/>
          <w:highlight w:val="none"/>
          <w:u w:val="single"/>
        </w:rPr>
        <w:t xml:space="preserve">                      </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60" w:lineRule="exact"/>
        <w:rPr>
          <w:rFonts w:ascii="宋体" w:hAnsi="宋体" w:cs="宋体"/>
          <w:bCs/>
          <w:color w:val="auto"/>
          <w:sz w:val="24"/>
          <w:highlight w:val="none"/>
          <w:shd w:val="clear" w:color="auto" w:fill="ffffff"/>
        </w:rPr>
      </w:pPr>
      <w:r>
        <w:rPr>
          <w:rFonts w:hint="eastAsia" w:ascii="宋体" w:hAnsi="宋体" w:cs="宋体"/>
          <w:color w:val="auto"/>
          <w:sz w:val="24"/>
          <w:highlight w:val="none"/>
        </w:rPr>
        <w:t xml:space="preserve">（注：本合同格式中部分条款未明确的内容、要求，将在确定中标人后，根据招标文件和投标文件中的约定和相关</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rPr>
        <w:t xml:space="preserve">的要求确定。）</w:t>
      </w:r>
      <w:r/>
    </w:p>
    <w:p>
      <w:pPr>
        <w:jc w:val="center"/>
        <w:rPr>
          <w:rFonts w:ascii="黑体" w:eastAsia="黑体"/>
          <w:bCs/>
          <w:color w:val="auto"/>
          <w:sz w:val="28"/>
          <w:szCs w:val="28"/>
          <w:highlight w:val="none"/>
        </w:rPr>
        <w:outlineLvl w:val="0"/>
      </w:pPr>
      <w:r>
        <w:rPr>
          <w:rFonts w:hint="eastAsia" w:ascii="宋体" w:hAnsi="宋体" w:cs="宋体"/>
          <w:b/>
          <w:color w:val="auto"/>
          <w:spacing w:val="-4"/>
          <w:sz w:val="24"/>
          <w:highlight w:val="none"/>
        </w:rPr>
        <w:br w:type="page" w:clear="all"/>
      </w:r>
      <w:r>
        <w:rPr>
          <w:rFonts w:hint="eastAsia" w:ascii="黑体" w:eastAsia="黑体"/>
          <w:bCs/>
          <w:color w:val="auto"/>
          <w:sz w:val="28"/>
          <w:szCs w:val="28"/>
          <w:highlight w:val="none"/>
        </w:rPr>
        <w:t xml:space="preserve">六</w:t>
      </w:r>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rPr>
        <w:t xml:space="preserve">附件</w:t>
      </w:r>
      <w:r/>
    </w:p>
    <w:p>
      <w:pPr>
        <w:jc w:val="left"/>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附件一：评分标准</w:t>
      </w:r>
      <w:r/>
    </w:p>
    <w:p>
      <w:pPr>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一标段</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二标段</w:t>
      </w:r>
      <w:r>
        <w:rPr>
          <w:rFonts w:hint="eastAsia" w:ascii="宋体" w:hAnsi="宋体" w:eastAsia="宋体" w:cs="宋体"/>
          <w:bCs/>
          <w:color w:val="auto"/>
          <w:sz w:val="24"/>
          <w:szCs w:val="24"/>
          <w:highlight w:val="none"/>
        </w:rPr>
        <w:t xml:space="preserve">：</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评分项目及分值（总分100分）</w:t>
      </w:r>
      <w:r/>
    </w:p>
    <w:p>
      <w:pPr>
        <w:ind w:firstLine="472"/>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1.投标报价                                  30分</w:t>
      </w:r>
      <w:r/>
    </w:p>
    <w:p>
      <w:pPr>
        <w:ind w:firstLine="472"/>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2.投标供应商评价                            2</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分</w:t>
      </w:r>
      <w:r/>
    </w:p>
    <w:p>
      <w:pPr>
        <w:ind w:firstLine="472"/>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3.技术文件                                  </w:t>
      </w:r>
      <w:r>
        <w:rPr>
          <w:rFonts w:hint="eastAsia" w:ascii="宋体" w:hAnsi="宋体" w:eastAsia="宋体" w:cs="宋体"/>
          <w:b/>
          <w:color w:val="auto"/>
          <w:sz w:val="24"/>
          <w:szCs w:val="24"/>
          <w:highlight w:val="none"/>
          <w:lang w:val="en-US" w:eastAsia="zh-CN"/>
        </w:rPr>
        <w:t xml:space="preserve">50</w:t>
      </w:r>
      <w:r>
        <w:rPr>
          <w:rFonts w:hint="eastAsia" w:ascii="宋体" w:hAnsi="宋体" w:eastAsia="宋体" w:cs="宋体"/>
          <w:b/>
          <w:color w:val="auto"/>
          <w:sz w:val="24"/>
          <w:szCs w:val="24"/>
          <w:highlight w:val="none"/>
        </w:rPr>
        <w:t xml:space="preserve">分</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各项目评分标准</w:t>
      </w:r>
      <w:r/>
    </w:p>
    <w:p>
      <w:pPr>
        <w:ind w:firstLine="482"/>
        <w:spacing w:line="440" w:lineRule="exact"/>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1.投标报价（30分）</w:t>
      </w:r>
      <w:r/>
    </w:p>
    <w:p>
      <w:pPr>
        <w:ind w:firstLine="480"/>
        <w:spacing w:line="440" w:lineRule="exact"/>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spacing w:line="440" w:lineRule="exact"/>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评标基准价／投标报价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×价格权值×100。</w:t>
      </w:r>
      <w:r/>
    </w:p>
    <w:p>
      <w:pPr>
        <w:ind w:firstLine="482"/>
        <w:spacing w:line="440" w:lineRule="exact"/>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2.投标供应商评价（2</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（1）投标供应商具有食品领域CATL资质的，得2分【提供证书扫描件上传至电子投标文件，未按要求提供不得分】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）项目人员配置情况（7分）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1）项目负责人具有农产品或食品检测类高级（副高）及以上工程师职称的，得1分；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2）项目团队主要负责人：有5年检测工作经验的得1分，有8年检测工作经验的得2分，有10年检测工作经验的得3分。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3）项目团队一线检验人员具有检验工程师职称的每人得0.3分，最高得3分；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【提供以上人员缴纳的近</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个月（不含投标当月）的社保缴费证明、职称证书及劳动合同（退休返聘人员提供退休证以及聘用合同）扫描件上传至电子投标文件，同一人员不可重复得分，未按要求提供不得分】</w:t>
      </w:r>
      <w:r/>
    </w:p>
    <w:p>
      <w:pPr>
        <w:numPr>
          <w:ilvl w:val="3"/>
          <w:numId w:val="0"/>
        </w:numPr>
        <w:ind w:firstLine="480"/>
        <w:spacing w:line="360" w:lineRule="auto"/>
        <w:rPr>
          <w:rFonts w:hint="eastAsia" w:ascii="宋体" w:hAnsi="宋体" w:eastAsia="宋体" w:cs="宋体"/>
          <w:bCs/>
          <w:color w:val="auto"/>
          <w:sz w:val="24"/>
          <w:szCs w:val="24"/>
          <w:highlight w:val="none"/>
        </w:rPr>
      </w:pPr>
      <w:r/>
      <w:bookmarkStart w:id="5" w:name="_Hlk69542968"/>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）本项目拟投入液质联用仪、气质联用仪、</w:t>
      </w:r>
      <w:r>
        <w:rPr>
          <w:rFonts w:hint="eastAsia" w:ascii="宋体" w:hAnsi="宋体" w:eastAsia="宋体" w:cs="宋体"/>
          <w:color w:val="auto"/>
          <w:sz w:val="24"/>
          <w:szCs w:val="24"/>
          <w:highlight w:val="none"/>
        </w:rPr>
        <w:t xml:space="preserve">液相色谱仪</w:t>
      </w:r>
      <w:r>
        <w:rPr>
          <w:rFonts w:hint="eastAsia" w:ascii="宋体" w:hAnsi="宋体" w:eastAsia="宋体" w:cs="宋体"/>
          <w:bCs/>
          <w:color w:val="auto"/>
          <w:sz w:val="24"/>
          <w:szCs w:val="24"/>
          <w:highlight w:val="none"/>
        </w:rPr>
        <w:t xml:space="preserve">、气相色谱仪、液相色谱-原子荧光联用仪等检测仪器设备，同时具有以上设备得3分，在此基础上每增加1台设备得0.5分，本项最高得5分【提供设备图片、发票原件的扫描件上传至电子投标文件；租赁设备还需提供租赁发票和租赁合同（合同期需覆盖整个服务期）扫描件上传至电子投标文件，未按要求提供不得分】</w:t>
      </w:r>
      <w:r/>
    </w:p>
    <w:p>
      <w:pPr>
        <w:numPr>
          <w:ilvl w:val="3"/>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供应商具有专用采样车的，最高得2分【车辆提供发票及行驶证原件扫描件上传至电子投标文件，设备提供发票原件的扫描件上传至电子投标文件；租赁车辆和设备还需提供租赁发票和租赁合同（合同期需覆盖整个服务期）的扫描件上传至电子投标文件，未按要求提供不得分】</w:t>
      </w:r>
      <w:r/>
    </w:p>
    <w:p>
      <w:pPr>
        <w:numPr>
          <w:ilvl w:val="3"/>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）投标供应商具有移动摄像记录仪设备的，有一个得0.5分，本项最高得1分【提供发票扫描件上传至电子投标文件，未按要求提供不得分】</w:t>
      </w:r>
      <w:r/>
    </w:p>
    <w:p>
      <w:pPr>
        <w:numPr>
          <w:ilvl w:val="3"/>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）2021年以来未发生因质量问题等原因被市级及以上农产品或食品质量安全监管部门约谈或暂停业务处理等事件的得2分【提供承诺函上传至电子投标文件，未按要求提供不得分】</w:t>
      </w:r>
      <w:r/>
    </w:p>
    <w:p>
      <w:pPr>
        <w:numPr>
          <w:ilvl w:val="3"/>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）投标供应商为中国绿色食品发展中心定点的绿色食品产品及产地环境检测机构以及农产品地理标志产品定点检测</w:t>
      </w:r>
      <w:r>
        <w:rPr>
          <w:rFonts w:hint="eastAsia" w:ascii="宋体" w:hAnsi="宋体" w:eastAsia="宋体" w:cs="宋体"/>
          <w:color w:val="auto"/>
          <w:sz w:val="24"/>
          <w:szCs w:val="24"/>
          <w:highlight w:val="none"/>
        </w:rPr>
        <w:t xml:space="preserve">机构，有一个得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分，本项目最高得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分【提供证明文件扫描件上传至电子投标文件，未按要求提供不得分】</w:t>
      </w:r>
      <w:bookmarkEnd w:id="5"/>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3.技术文件（</w:t>
      </w:r>
      <w:r>
        <w:rPr>
          <w:rFonts w:hint="eastAsia" w:ascii="宋体" w:hAnsi="宋体" w:eastAsia="宋体" w:cs="宋体"/>
          <w:b/>
          <w:color w:val="auto"/>
          <w:sz w:val="24"/>
          <w:szCs w:val="24"/>
          <w:highlight w:val="none"/>
          <w:lang w:val="en-US" w:eastAsia="zh-CN"/>
        </w:rPr>
        <w:t xml:space="preserve">50</w:t>
      </w:r>
      <w:r>
        <w:rPr>
          <w:rFonts w:hint="eastAsia" w:ascii="宋体" w:hAnsi="宋体" w:eastAsia="宋体" w:cs="宋体"/>
          <w:b/>
          <w:color w:val="auto"/>
          <w:sz w:val="24"/>
          <w:szCs w:val="24"/>
          <w:highlight w:val="none"/>
        </w:rPr>
        <w:t xml:space="preserve">分）</w:t>
      </w:r>
      <w:r/>
    </w:p>
    <w:p>
      <w:pPr>
        <w:ind w:firstLine="48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（1）项目实施方案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9分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工作实施方案及技术路线内容明确、细节清晰明了、保障力度高的得9分；工作实施方案及技术路线内容较为明确、细节比较清晰、保障力度较高的得6分；工作实施方案及技术路线内容不够明确、细节描述一般、保障力度一般的得3分；无内容不得分。</w:t>
      </w:r>
      <w:r/>
    </w:p>
    <w:p>
      <w:pPr>
        <w:ind w:firstLine="48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（2）具体检测方案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9分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：具体检测方案内容具体详细，措施可操作性强，针对性强的得9分；具体检测方案内容较具体，措施可操作性一般，较有针对性的得6分；具体检测方案简略，措施简单，针对性不明显的得3分；无内容不得分。</w:t>
      </w:r>
      <w:r/>
    </w:p>
    <w:p>
      <w:pPr>
        <w:ind w:firstLine="48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企业内部建制和管理状况（9分）：企业内部建制和管理状况全面、细致，考虑周到，内容合理有效，可实施性高的得9分；企业内部建制和管理状况较全面、细致，内容较合理，可实施性较高的得6分；企业内部建制和管理状况简略，内容不合理，可实施性一般的得3分；无内容不得分。</w:t>
      </w:r>
      <w:r/>
    </w:p>
    <w:p>
      <w:pPr>
        <w:ind w:firstLine="48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（4）人员配备方案（</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分）：人员配备方案内容具体详细，措施可操作性强，针对性强的得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分；人员配备方案内容较具体，措施可操作性一般，较有针对性的得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分；人员配备方案内容简略，措施简单，针对性不明显的得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分；无内容不得分。</w:t>
      </w:r>
      <w:r/>
    </w:p>
    <w:p>
      <w:pPr>
        <w:ind w:firstLine="48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其他增值服务（7分）：其他增值服务内容具体详细，措施可操作性强，针对性强的得7分；其他增值服务内容较具体，措施可操作性一般，较有针对性的得4分；其他增值服务内容简略，措施简单，针对性不明显的得2分；不提供的不得分。</w:t>
      </w:r>
      <w:r/>
    </w:p>
    <w:p>
      <w:pPr>
        <w:ind w:firstLine="48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应急方案（8分）：应急方案内容具体详细，措施可操作性强，针对性强的得8分；应急方案内容较具体，措施可操作性一般，较有针对性的得5分；应急方案内容简略，措施简单，针对性不明显的得3分；无内容不得分。</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未列入本评分细则的其他条件不作为评分内容。</w:t>
      </w:r>
      <w:r/>
    </w:p>
    <w:p>
      <w:pPr>
        <w:ind w:left="0" w:firstLine="482"/>
        <w:jc w:val="left"/>
        <w:keepLines w:val="0"/>
        <w:keepNext w:val="0"/>
        <w:pageBreakBefore w:val="0"/>
        <w:spacing w:line="360" w:lineRule="auto"/>
        <w:widowControl w:val="off"/>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br w:type="page" w:clear="all"/>
      </w: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pStyle w:val="778"/>
        <w:rPr>
          <w:rFonts w:ascii="黑体" w:eastAsia="黑体"/>
          <w:bCs/>
          <w:color w:val="auto"/>
          <w:sz w:val="32"/>
          <w:highlight w:val="none"/>
        </w:rPr>
      </w:pPr>
      <w:r>
        <w:rPr>
          <w:rFonts w:ascii="黑体" w:eastAsia="黑体"/>
          <w:bCs/>
          <w:color w:val="auto"/>
          <w:sz w:val="32"/>
          <w:highlight w:val="none"/>
        </w:rPr>
      </w:r>
      <w:r/>
    </w:p>
    <w:p>
      <w:pPr>
        <w:pStyle w:val="778"/>
        <w:rPr>
          <w:rFonts w:ascii="黑体" w:eastAsia="黑体"/>
          <w:bCs/>
          <w:color w:val="auto"/>
          <w:sz w:val="32"/>
          <w:highlight w:val="none"/>
        </w:rPr>
      </w:pPr>
      <w:r>
        <w:rPr>
          <w:rFonts w:ascii="黑体" w:eastAsia="黑体"/>
          <w:bCs/>
          <w:color w:val="auto"/>
          <w:sz w:val="32"/>
          <w:highlight w:val="none"/>
        </w:rPr>
      </w:r>
      <w:r/>
    </w:p>
    <w:p>
      <w:pPr>
        <w:pStyle w:val="778"/>
        <w:rPr>
          <w:rFonts w:ascii="黑体" w:eastAsia="黑体"/>
          <w:bCs/>
          <w:color w:val="auto"/>
          <w:sz w:val="32"/>
          <w:highlight w:val="none"/>
        </w:rPr>
      </w:pPr>
      <w:r>
        <w:rPr>
          <w:rFonts w:ascii="黑体" w:eastAsia="黑体"/>
          <w:bCs/>
          <w:color w:val="auto"/>
          <w:sz w:val="32"/>
          <w:highlight w:val="none"/>
        </w:rPr>
      </w:r>
      <w:r/>
    </w:p>
    <w:p>
      <w:pPr>
        <w:pStyle w:val="778"/>
        <w:rPr>
          <w:rFonts w:ascii="黑体" w:eastAsia="黑体"/>
          <w:bCs/>
          <w:color w:val="auto"/>
          <w:sz w:val="32"/>
          <w:highlight w:val="none"/>
        </w:rPr>
      </w:pPr>
      <w:r>
        <w:rPr>
          <w:rFonts w:ascii="黑体" w:eastAsia="黑体"/>
          <w:bCs/>
          <w:color w:val="auto"/>
          <w:sz w:val="32"/>
          <w:highlight w:val="none"/>
        </w:rPr>
      </w:r>
      <w:r/>
    </w:p>
    <w:p>
      <w:pPr>
        <w:pStyle w:val="778"/>
        <w:rPr>
          <w:rFonts w:ascii="黑体" w:eastAsia="黑体"/>
          <w:bCs/>
          <w:color w:val="auto"/>
          <w:sz w:val="32"/>
          <w:highlight w:val="none"/>
        </w:rPr>
      </w:pPr>
      <w:r>
        <w:rPr>
          <w:rFonts w:ascii="黑体" w:eastAsia="黑体"/>
          <w:bCs/>
          <w:color w:val="auto"/>
          <w:sz w:val="32"/>
          <w:highlight w:val="none"/>
        </w:rPr>
      </w:r>
      <w:r/>
    </w:p>
    <w:p>
      <w:pPr>
        <w:pStyle w:val="778"/>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JSZC-320214-JSZH-G2025-0021</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2025年新吴区农产品质量安全风险监测及监督抽查项目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二○二</w:t>
      </w:r>
      <w:r>
        <w:rPr>
          <w:rFonts w:hint="eastAsia" w:ascii="黑体" w:eastAsia="黑体"/>
          <w:bCs/>
          <w:color w:val="auto"/>
          <w:sz w:val="36"/>
          <w:szCs w:val="36"/>
          <w:highlight w:val="none"/>
          <w:lang w:val="en-US" w:eastAsia="zh-CN"/>
        </w:rPr>
        <w:t xml:space="preserve">五</w:t>
      </w:r>
      <w:r>
        <w:rPr>
          <w:rFonts w:hint="eastAsia" w:ascii="黑体" w:eastAsia="黑体"/>
          <w:bCs/>
          <w:color w:val="auto"/>
          <w:sz w:val="36"/>
          <w:szCs w:val="36"/>
          <w:highlight w:val="none"/>
        </w:rPr>
        <w:t xml:space="preserve">年</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月</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日</w:t>
      </w:r>
      <w:r/>
    </w:p>
    <w:p>
      <w:pPr>
        <w:rPr>
          <w:rFonts w:hint="eastAsia" w:ascii="黑体" w:hAnsi="宋体" w:eastAsia="黑体"/>
          <w:bCs/>
          <w:color w:val="auto"/>
          <w:sz w:val="24"/>
          <w:szCs w:val="24"/>
          <w:highlight w:val="none"/>
        </w:rPr>
      </w:pPr>
      <w:r/>
      <w:bookmarkStart w:id="6" w:name="一．报价函（格式）"/>
      <w:r/>
      <w:bookmarkEnd w:id="6"/>
      <w:r>
        <w:rPr>
          <w:rFonts w:hint="eastAsia" w:ascii="黑体" w:hAnsi="宋体" w:eastAsia="黑体"/>
          <w:bCs/>
          <w:color w:val="auto"/>
          <w:sz w:val="24"/>
          <w:szCs w:val="24"/>
          <w:highlight w:val="none"/>
        </w:rPr>
        <w:br w:type="page" w:clear="all"/>
      </w:r>
      <w:r/>
    </w:p>
    <w:p>
      <w:pPr>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无锡国家高新技术产业开发区（无锡市新吴区）农业农村局</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JSZC-320214-JSZH-G2025-0021</w:t>
      </w:r>
      <w:r>
        <w:rPr>
          <w:rFonts w:hint="eastAsia" w:ascii="宋体" w:hAnsi="宋体"/>
          <w:bCs/>
          <w:color w:val="auto"/>
          <w:sz w:val="24"/>
          <w:szCs w:val="24"/>
          <w:highlight w:val="none"/>
        </w:rPr>
        <w:t xml:space="preserve">招标文件，经仔细阅读和研究，我方决定参加此项目的投标。</w:t>
      </w:r>
      <w:r/>
    </w:p>
    <w:p>
      <w:pPr>
        <w:numPr>
          <w:ilvl w:val="0"/>
          <w:numId w:val="16"/>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757"/>
          <w:bCs/>
          <w:color w:val="auto"/>
          <w:highlight w:val="none"/>
        </w:rPr>
      </w:pPr>
      <w:r>
        <w:rPr>
          <w:rFonts w:hint="eastAsia" w:ascii="宋体" w:hAnsi="宋体"/>
          <w:bCs/>
          <w:color w:val="auto"/>
          <w:sz w:val="24"/>
          <w:szCs w:val="24"/>
          <w:highlight w:val="none"/>
        </w:rPr>
        <w:t xml:space="preserve">我方愿意提供江苏智汇锡建工程项目管理有限公司在招标文件中要求的文件、资料。</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邮编：</w:t>
      </w:r>
      <w:r/>
    </w:p>
    <w:p>
      <w:pPr>
        <w:rPr>
          <w:rFonts w:ascii="黑体" w:eastAsia="黑体"/>
          <w:bCs/>
          <w:color w:val="auto"/>
          <w:sz w:val="28"/>
          <w:szCs w:val="28"/>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outlineLvl w:val="9"/>
      </w:pPr>
      <w:r/>
      <w:bookmarkStart w:id="7" w:name="报价方关于资格的声明函（格式）"/>
      <w:r/>
      <w:bookmarkEnd w:id="7"/>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无锡国家高新技术产业开发区（无锡市新吴区）农业农村局</w:t>
      </w:r>
      <w:r>
        <w:rPr>
          <w:rFonts w:hint="eastAsia" w:ascii="宋体" w:hAns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JSZC-320214-JSZH-G2025-0021</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JSZC-320214-JSZH-G2025-0021</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outlineLvl w:val="9"/>
      </w:pPr>
      <w:r>
        <w:rPr>
          <w:rFonts w:hint="eastAsia"/>
          <w:color w:val="auto"/>
          <w:highlight w:val="none"/>
        </w:rPr>
        <w:t xml:space="preserve">备注：上述所称“重大违法记录”</w:t>
      </w:r>
      <w:r>
        <w:rPr>
          <w:rFonts w:hint="eastAsia"/>
          <w:color w:val="auto"/>
          <w:highlight w:val="none"/>
          <w:lang w:eastAsia="zh-CN"/>
        </w:rPr>
        <w:t xml:space="preserve">，</w:t>
      </w:r>
      <w:r>
        <w:rPr>
          <w:rFonts w:hint="eastAsia"/>
          <w:color w:val="auto"/>
          <w:highlight w:val="none"/>
        </w:rPr>
        <w:t xml:space="preserve">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rPr>
          <w:rFonts w:ascii="黑体" w:eastAsia="黑体"/>
          <w:bCs/>
          <w:color w:val="auto"/>
          <w:sz w:val="28"/>
          <w:szCs w:val="28"/>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lang w:eastAsia="zh-CN"/>
        </w:rPr>
        <w:t xml:space="preserve">无锡国家高新技术产业开发区（无锡市新吴区）农业农村局</w:t>
      </w:r>
      <w:r>
        <w:rPr>
          <w:rFonts w:hint="eastAsia" w:ascii="宋体" w:hAnsi="宋体"/>
          <w:bCs/>
          <w:color w:val="auto"/>
          <w:sz w:val="24"/>
          <w:szCs w:val="24"/>
          <w:highlight w:val="none"/>
        </w:rPr>
        <w:t xml:space="preserve">：</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JSZC-320214-JSZH-G2025-0021</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姓名：性别：电话：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41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rPr>
          <w:rFonts w:ascii="黑体" w:eastAsia="黑体"/>
          <w:bCs/>
          <w:color w:val="auto"/>
          <w:sz w:val="28"/>
          <w:szCs w:val="28"/>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outlineLvl w:val="9"/>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outlineLvl w:val="9"/>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ascii="黑体" w:hAnsi="宋体" w:eastAsia="黑体"/>
          <w:bCs/>
          <w:color w:val="auto"/>
          <w:sz w:val="24"/>
          <w:szCs w:val="24"/>
          <w:highlight w:val="none"/>
        </w:rPr>
        <w:outlineLvl w:val="9"/>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（六）承诺书（格式）：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JSZC-320214-JSZH-G2025-0021</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JSZC-320214-JSZH-G2025-0021</w:t>
      </w:r>
      <w:r>
        <w:rPr>
          <w:rFonts w:hint="eastAsia" w:ascii="宋体" w:hAnsi="宋体"/>
          <w:bCs/>
          <w:color w:val="auto"/>
          <w:sz w:val="24"/>
          <w:szCs w:val="24"/>
          <w:highlight w:val="none"/>
        </w:rPr>
        <w:t xml:space="preserve">）所提供的服务符合招标文件要求；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758"/>
          <w:rFonts w:hint="eastAsia" w:ascii="宋体" w:hAnsi="宋体"/>
          <w:bCs/>
          <w:color w:val="auto"/>
          <w:sz w:val="24"/>
          <w:szCs w:val="24"/>
          <w:highlight w:val="none"/>
        </w:rPr>
        <w:t xml:space="preserve">www.creditchina.gov.cn</w:t>
      </w:r>
      <w:r>
        <w:rPr>
          <w:rStyle w:val="758"/>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jc w:val="left"/>
        <w:rPr>
          <w:rFonts w:ascii="黑体" w:eastAsia="黑体"/>
          <w:bCs/>
          <w:color w:val="auto"/>
          <w:sz w:val="28"/>
          <w:szCs w:val="28"/>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开标一览表</w:t>
      </w:r>
      <w:r/>
    </w:p>
    <w:p>
      <w:pPr>
        <w:spacing w:line="300" w:lineRule="auto"/>
        <w:rPr>
          <w:rFonts w:ascii="宋体" w:hAnsi="宋体" w:cs="宋体"/>
          <w:color w:val="auto"/>
          <w:highlight w:val="none"/>
        </w:rPr>
      </w:pPr>
      <w:r>
        <w:rPr>
          <w:rFonts w:ascii="宋体" w:hAnsi="宋体" w:cs="宋体"/>
          <w:color w:val="auto"/>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w:t>
      </w:r>
      <w:r>
        <w:rPr>
          <w:rFonts w:hint="eastAsia" w:ascii="黑体" w:eastAsia="黑体"/>
          <w:bCs/>
          <w:color w:val="auto"/>
          <w:sz w:val="24"/>
          <w:szCs w:val="24"/>
          <w:highlight w:val="none"/>
          <w:lang w:val="en-US" w:eastAsia="zh-CN"/>
        </w:rPr>
        <w:t xml:space="preserve">                 </w:t>
      </w: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JSZC-320214-JSZH-G2025-0021</w:t>
      </w:r>
      <w:r/>
    </w:p>
    <w:tbl>
      <w:tblPr>
        <w:tblStyle w:val="715"/>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71"/>
        <w:gridCol w:w="6109"/>
      </w:tblGrid>
      <w:tr>
        <w:trPr>
          <w:cantSplit/>
          <w:jc w:val="center"/>
          <w:trHeight w:val="567"/>
        </w:trPr>
        <w:tc>
          <w:tcPr>
            <w:tcW w:w="3971"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6109"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609"/>
        </w:trPr>
        <w:tc>
          <w:tcPr>
            <w:tcW w:w="3971" w:type="dxa"/>
            <w:vAlign w:val="center"/>
            <w:vMerge w:val="restart"/>
            <w:textDirection w:val="lrTb"/>
            <w:noWrap/>
          </w:tcPr>
          <w:p>
            <w:pPr>
              <w:pStyle w:val="969"/>
              <w:jc w:val="left"/>
              <w:keepLines w:val="0"/>
              <w:keepNext w:val="0"/>
              <w:pageBreakBefore w:val="0"/>
              <w:spacing w:line="360" w:lineRule="auto"/>
              <w:widowControl w:val="off"/>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2025年新吴区农产品质量安全风险监测及监督抽查项目（</w:t>
            </w:r>
            <w:r>
              <w:rPr>
                <w:rFonts w:hint="eastAsia" w:hAnsi="宋体"/>
                <w:bCs/>
                <w:color w:val="auto"/>
                <w:szCs w:val="24"/>
                <w:highlight w:val="none"/>
                <w:u w:val="single"/>
                <w:lang w:val="en-US" w:eastAsia="zh-CN"/>
              </w:rPr>
              <w:t xml:space="preserve">   </w:t>
            </w:r>
            <w:r>
              <w:rPr>
                <w:rFonts w:hint="eastAsia" w:hAnsi="宋体"/>
                <w:bCs/>
                <w:color w:val="auto"/>
                <w:szCs w:val="24"/>
                <w:highlight w:val="none"/>
                <w:u w:val="none"/>
                <w:lang w:val="en-US" w:eastAsia="zh-CN"/>
              </w:rPr>
              <w:t xml:space="preserve">标段</w:t>
            </w:r>
            <w:r>
              <w:rPr>
                <w:rFonts w:hint="eastAsia" w:hAnsi="宋体"/>
                <w:bCs/>
                <w:color w:val="auto"/>
                <w:szCs w:val="24"/>
                <w:highlight w:val="none"/>
                <w:lang w:eastAsia="zh-CN"/>
              </w:rPr>
              <w:t xml:space="preserve">）</w:t>
            </w:r>
            <w:r/>
          </w:p>
        </w:tc>
        <w:tc>
          <w:tcPr>
            <w:tcW w:w="6109" w:type="dxa"/>
            <w:vAlign w:val="center"/>
            <w:textDirection w:val="lrTb"/>
            <w:noWrap/>
          </w:tcPr>
          <w:p>
            <w:pPr>
              <w:pStyle w:val="969"/>
              <w:jc w:val="left"/>
              <w:keepLines w:val="0"/>
              <w:keepNext w:val="0"/>
              <w:pageBreakBefore w:val="0"/>
              <w:spacing w:line="360" w:lineRule="auto"/>
              <w:widowControl w:val="off"/>
              <w:rPr>
                <w:rFonts w:hAnsi="宋体"/>
                <w:bCs/>
                <w:color w:val="auto"/>
                <w:szCs w:val="24"/>
                <w:highlight w:val="none"/>
              </w:rPr>
            </w:pPr>
            <w:r>
              <w:rPr>
                <w:rFonts w:hint="eastAsia" w:hAnsi="宋体"/>
                <w:bCs/>
                <w:color w:val="auto"/>
                <w:szCs w:val="24"/>
                <w:highlight w:val="none"/>
                <w:lang w:val="en-US" w:eastAsia="zh-CN"/>
              </w:rPr>
              <w:t xml:space="preserve">单价</w:t>
            </w:r>
            <w:r>
              <w:rPr>
                <w:rFonts w:hint="eastAsia" w:hAnsi="宋体"/>
                <w:bCs/>
                <w:color w:val="auto"/>
                <w:szCs w:val="24"/>
                <w:highlight w:val="none"/>
              </w:rPr>
              <w:t xml:space="preserve">（小写）：</w:t>
            </w:r>
            <w:r>
              <w:rPr>
                <w:rFonts w:hint="eastAsia" w:hAnsi="宋体"/>
                <w:bCs/>
                <w:color w:val="auto"/>
                <w:szCs w:val="24"/>
                <w:highlight w:val="none"/>
                <w:u w:val="single"/>
                <w:lang w:val="en-US" w:eastAsia="zh-CN"/>
              </w:rPr>
              <w:t xml:space="preserve">             </w:t>
            </w:r>
            <w:r>
              <w:rPr>
                <w:rFonts w:hint="eastAsia" w:hAnsi="宋体"/>
                <w:bCs/>
                <w:color w:val="auto"/>
                <w:szCs w:val="24"/>
                <w:highlight w:val="none"/>
              </w:rPr>
              <w:t xml:space="preserve">元</w:t>
            </w:r>
            <w:r/>
          </w:p>
          <w:p>
            <w:pPr>
              <w:pStyle w:val="969"/>
              <w:jc w:val="left"/>
              <w:keepLines w:val="0"/>
              <w:keepNext w:val="0"/>
              <w:pageBreakBefore w:val="0"/>
              <w:spacing w:line="360" w:lineRule="auto"/>
              <w:widowControl w:val="off"/>
              <w:rPr>
                <w:color w:val="auto"/>
                <w:highlight w:val="none"/>
              </w:rPr>
            </w:pPr>
            <w:r>
              <w:rPr>
                <w:rFonts w:hint="eastAsia" w:hAnsi="宋体"/>
                <w:bCs/>
                <w:color w:val="auto"/>
                <w:szCs w:val="24"/>
                <w:highlight w:val="none"/>
                <w:lang w:val="en-US" w:eastAsia="zh-CN"/>
              </w:rPr>
              <w:t xml:space="preserve">单价</w:t>
            </w:r>
            <w:r>
              <w:rPr>
                <w:rFonts w:hint="eastAsia" w:hAnsi="宋体"/>
                <w:bCs/>
                <w:color w:val="auto"/>
                <w:szCs w:val="24"/>
                <w:highlight w:val="none"/>
              </w:rPr>
              <w:t xml:space="preserve">（大写）：</w:t>
            </w:r>
            <w:r>
              <w:rPr>
                <w:rFonts w:hint="eastAsia" w:hAnsi="宋体"/>
                <w:bCs/>
                <w:color w:val="auto"/>
                <w:szCs w:val="24"/>
                <w:highlight w:val="none"/>
                <w:u w:val="single"/>
              </w:rPr>
              <w:t xml:space="preserve"> </w:t>
            </w:r>
            <w:r>
              <w:rPr>
                <w:rFonts w:hint="eastAsia" w:hAnsi="宋体"/>
                <w:bCs/>
                <w:color w:val="auto"/>
                <w:szCs w:val="24"/>
                <w:highlight w:val="none"/>
                <w:u w:val="single"/>
                <w:lang w:val="en-US" w:eastAsia="zh-CN"/>
              </w:rPr>
              <w:t xml:space="preserve">        </w:t>
            </w:r>
            <w:r>
              <w:rPr>
                <w:rFonts w:hint="eastAsia"/>
                <w:bCs/>
                <w:color w:val="auto"/>
                <w:highlight w:val="none"/>
                <w:u w:val="single"/>
              </w:rPr>
              <w:t xml:space="preserve">    </w:t>
            </w:r>
            <w:r/>
          </w:p>
        </w:tc>
      </w:tr>
      <w:tr>
        <w:trPr>
          <w:cantSplit/>
          <w:jc w:val="center"/>
          <w:trHeight w:val="609"/>
        </w:trPr>
        <w:tc>
          <w:tcPr>
            <w:tcW w:w="3971" w:type="dxa"/>
            <w:vAlign w:val="center"/>
            <w:vMerge w:val="continue"/>
            <w:textDirection w:val="lrTb"/>
            <w:noWrap/>
          </w:tcPr>
          <w:p>
            <w:pPr>
              <w:jc w:val="left"/>
              <w:keepLines w:val="0"/>
              <w:keepNext w:val="0"/>
              <w:pageBreakBefore w:val="0"/>
              <w:spacing w:line="360" w:lineRule="auto"/>
              <w:widowControl w:val="off"/>
              <w:rPr>
                <w:color w:val="auto"/>
                <w:highlight w:val="none"/>
              </w:rPr>
            </w:pPr>
            <w:r>
              <w:rPr>
                <w:color w:val="auto"/>
                <w:highlight w:val="none"/>
              </w:rPr>
            </w:r>
            <w:r/>
          </w:p>
        </w:tc>
        <w:tc>
          <w:tcPr>
            <w:tcW w:w="6109" w:type="dxa"/>
            <w:vAlign w:val="center"/>
            <w:textDirection w:val="lrTb"/>
            <w:noWrap/>
          </w:tcPr>
          <w:p>
            <w:pPr>
              <w:pStyle w:val="969"/>
              <w:jc w:val="left"/>
              <w:keepLines w:val="0"/>
              <w:keepNext w:val="0"/>
              <w:pageBreakBefore w:val="0"/>
              <w:spacing w:line="360" w:lineRule="auto"/>
              <w:widowControl w:val="off"/>
              <w:rPr>
                <w:rFonts w:hint="eastAsia" w:hAnsi="宋体"/>
                <w:bCs/>
                <w:color w:val="auto"/>
                <w:sz w:val="24"/>
                <w:szCs w:val="24"/>
                <w:highlight w:val="none"/>
              </w:rPr>
            </w:pPr>
            <w:r>
              <w:rPr>
                <w:rFonts w:hint="eastAsia" w:hAnsi="宋体"/>
                <w:bCs/>
                <w:color w:val="auto"/>
                <w:sz w:val="24"/>
                <w:szCs w:val="24"/>
                <w:highlight w:val="none"/>
                <w:lang w:val="en-US" w:eastAsia="zh-CN"/>
              </w:rPr>
              <w:t xml:space="preserve">总</w:t>
            </w:r>
            <w:r>
              <w:rPr>
                <w:rFonts w:hint="eastAsia" w:hAnsi="宋体"/>
                <w:bCs/>
                <w:color w:val="auto"/>
                <w:sz w:val="24"/>
                <w:szCs w:val="24"/>
                <w:highlight w:val="none"/>
              </w:rPr>
              <w:t xml:space="preserve">报价（小写）：</w:t>
            </w:r>
            <w:r>
              <w:rPr>
                <w:rFonts w:hint="eastAsia" w:hAnsi="宋体"/>
                <w:bCs/>
                <w:color w:val="auto"/>
                <w:sz w:val="24"/>
                <w:szCs w:val="24"/>
                <w:highlight w:val="none"/>
                <w:u w:val="single"/>
                <w:lang w:val="en-US" w:eastAsia="zh-CN"/>
              </w:rPr>
              <w:t xml:space="preserve">             </w:t>
            </w:r>
            <w:r>
              <w:rPr>
                <w:rFonts w:hint="eastAsia" w:hAnsi="宋体"/>
                <w:bCs/>
                <w:color w:val="auto"/>
                <w:sz w:val="24"/>
                <w:szCs w:val="24"/>
                <w:highlight w:val="none"/>
              </w:rPr>
              <w:t xml:space="preserve">元</w:t>
            </w:r>
            <w:r/>
          </w:p>
          <w:p>
            <w:pPr>
              <w:pStyle w:val="969"/>
              <w:jc w:val="left"/>
              <w:keepLines w:val="0"/>
              <w:keepNext w:val="0"/>
              <w:pageBreakBefore w:val="0"/>
              <w:spacing w:line="360" w:lineRule="auto"/>
              <w:widowControl w:val="off"/>
              <w:rPr>
                <w:color w:val="auto"/>
                <w:highlight w:val="none"/>
              </w:rPr>
            </w:pPr>
            <w:r>
              <w:rPr>
                <w:rFonts w:hint="eastAsia" w:hAnsi="宋体"/>
                <w:bCs/>
                <w:color w:val="auto"/>
                <w:sz w:val="24"/>
                <w:szCs w:val="24"/>
                <w:highlight w:val="none"/>
                <w:lang w:val="en-US" w:eastAsia="zh-CN"/>
              </w:rPr>
              <w:t xml:space="preserve">总</w:t>
            </w:r>
            <w:r>
              <w:rPr>
                <w:rFonts w:hint="eastAsia" w:hAnsi="宋体"/>
                <w:bCs/>
                <w:color w:val="auto"/>
                <w:sz w:val="24"/>
                <w:szCs w:val="24"/>
                <w:highlight w:val="none"/>
              </w:rPr>
              <w:t xml:space="preserve">报价（大写）：</w:t>
            </w:r>
            <w:r>
              <w:rPr>
                <w:rFonts w:hint="eastAsia" w:hAnsi="宋体"/>
                <w:bCs/>
                <w:color w:val="auto"/>
                <w:sz w:val="24"/>
                <w:szCs w:val="24"/>
                <w:highlight w:val="none"/>
                <w:u w:val="single"/>
              </w:rPr>
              <w:t xml:space="preserve"> </w:t>
            </w:r>
            <w:r>
              <w:rPr>
                <w:rFonts w:hint="eastAsia" w:hAnsi="宋体"/>
                <w:bCs/>
                <w:color w:val="auto"/>
                <w:sz w:val="24"/>
                <w:szCs w:val="24"/>
                <w:highlight w:val="none"/>
                <w:u w:val="single"/>
                <w:lang w:val="en-US" w:eastAsia="zh-CN"/>
              </w:rPr>
              <w:t xml:space="preserve">        </w:t>
            </w:r>
            <w:r>
              <w:rPr>
                <w:rFonts w:hint="eastAsia"/>
                <w:bCs/>
                <w:color w:val="auto"/>
                <w:sz w:val="24"/>
                <w:szCs w:val="24"/>
                <w:highlight w:val="none"/>
                <w:u w:val="single"/>
              </w:rPr>
              <w:t xml:space="preserve">    </w:t>
            </w:r>
            <w:r/>
          </w:p>
        </w:tc>
      </w:tr>
      <w:tr>
        <w:trPr>
          <w:cantSplit/>
          <w:jc w:val="center"/>
          <w:trHeight w:val="641"/>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olor w:val="auto"/>
                <w:sz w:val="24"/>
                <w:highlight w:val="none"/>
              </w:rPr>
              <w:t xml:space="preserve">服务期：</w:t>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服务质量：</w:t>
            </w:r>
            <w:r/>
          </w:p>
        </w:tc>
      </w:tr>
      <w:tr>
        <w:trPr>
          <w:cantSplit/>
          <w:jc w:val="center"/>
          <w:trHeight w:val="788"/>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项目负责人：</w:t>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spacing w:line="500" w:lineRule="exact"/>
        <w:rPr>
          <w:rFonts w:ascii="宋体" w:hAnsi="宋体" w:cs="宋体"/>
          <w:b/>
          <w:color w:val="auto"/>
          <w:sz w:val="24"/>
          <w:highlight w:val="none"/>
        </w:rPr>
      </w:pPr>
      <w:r>
        <w:rPr>
          <w:rFonts w:hint="eastAsia" w:ascii="宋体" w:hAnsi="宋体" w:cs="宋体"/>
          <w:b/>
          <w:bCs/>
          <w:color w:val="auto"/>
          <w:sz w:val="24"/>
          <w:highlight w:val="none"/>
        </w:rPr>
        <w:t xml:space="preserve">2.供应商的投标报价的总额应是供应商在报价文件中提出的各项支付金额的总和，也应是完成投标文件所列采购需求的全部费用。</w:t>
      </w:r>
      <w:r/>
    </w:p>
    <w:p>
      <w:pPr>
        <w:rPr>
          <w:rFonts w:ascii="黑体" w:eastAsia="黑体"/>
          <w:bCs/>
          <w:color w:val="auto"/>
          <w:sz w:val="28"/>
          <w:szCs w:val="28"/>
          <w:highlight w:val="none"/>
        </w:rPr>
        <w:outlineLvl w:val="9"/>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（八）报价明细表（格式）：</w:t>
      </w:r>
      <w:r/>
    </w:p>
    <w:p>
      <w:pPr>
        <w:jc w:val="center"/>
        <w:spacing w:line="400" w:lineRule="exact"/>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报价明细表（格式）</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投标供应商名称（盖章）                                 项目编号： </w:t>
      </w:r>
      <w:r/>
    </w:p>
    <w:p>
      <w:pPr>
        <w:ind w:left="630" w:hanging="630"/>
        <w:spacing w:line="400" w:lineRule="exact"/>
        <w:rPr>
          <w:rFonts w:ascii="宋体" w:hAnsi="宋体"/>
          <w:bCs/>
          <w:color w:val="auto"/>
          <w:szCs w:val="21"/>
          <w:highlight w:val="none"/>
        </w:rPr>
      </w:pPr>
      <w:r>
        <w:rPr>
          <w:rFonts w:ascii="宋体" w:hAnsi="宋体"/>
          <w:bCs/>
          <w:color w:val="auto"/>
          <w:szCs w:val="21"/>
          <w:highlight w:val="none"/>
        </w:rPr>
      </w:r>
      <w:r/>
    </w:p>
    <w:tbl>
      <w:tblPr>
        <w:tblStyle w:val="715"/>
        <w:tblW w:w="8931" w:type="dxa"/>
        <w:tblInd w:w="-34" w:type="dxa"/>
        <w:tblLayout w:type="fixed"/>
        <w:tblCellMar>
          <w:left w:w="108" w:type="dxa"/>
          <w:top w:w="0" w:type="dxa"/>
          <w:right w:w="108" w:type="dxa"/>
          <w:bottom w:w="0" w:type="dxa"/>
        </w:tblCellMar>
        <w:tblLook w:val="04A0" w:firstRow="1" w:lastRow="0" w:firstColumn="1" w:lastColumn="0" w:noHBand="0" w:noVBand="1"/>
      </w:tblPr>
      <w:tblGrid>
        <w:gridCol w:w="807"/>
        <w:gridCol w:w="3021"/>
        <w:gridCol w:w="1856"/>
        <w:gridCol w:w="1350"/>
        <w:gridCol w:w="1897"/>
      </w:tblGrid>
      <w:tr>
        <w:trPr>
          <w:trHeight w:val="712"/>
        </w:trPr>
        <w:tc>
          <w:tcPr>
            <w:tcBorders>
              <w:top w:val="single" w:color="auto" w:sz="4" w:space="0"/>
              <w:left w:val="single" w:color="auto" w:sz="4" w:space="0"/>
              <w:bottom w:val="single" w:color="auto" w:sz="4" w:space="0"/>
              <w:right w:val="single" w:color="auto" w:sz="4" w:space="0"/>
            </w:tcBorders>
            <w:tcW w:w="80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302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检验项目</w:t>
            </w:r>
            <w:r/>
          </w:p>
        </w:tc>
        <w:tc>
          <w:tcPr>
            <w:tcBorders>
              <w:top w:val="single" w:color="auto" w:sz="4" w:space="0"/>
              <w:left w:val="none" w:color="000000" w:sz="4" w:space="0"/>
              <w:bottom w:val="single" w:color="auto" w:sz="4" w:space="0"/>
              <w:right w:val="single" w:color="auto" w:sz="4" w:space="0"/>
            </w:tcBorders>
            <w:tcW w:w="185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批次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次</w:t>
            </w:r>
            <w:r>
              <w:rPr>
                <w:rFonts w:hint="eastAsia" w:ascii="宋体" w:hAnsi="宋体" w:cs="宋体"/>
                <w:color w:val="auto"/>
                <w:sz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投标单价（元/次）</w:t>
            </w:r>
            <w:r/>
          </w:p>
        </w:tc>
        <w:tc>
          <w:tcPr>
            <w:tcBorders>
              <w:top w:val="single" w:color="auto" w:sz="4" w:space="0"/>
              <w:left w:val="none" w:color="000000" w:sz="4" w:space="0"/>
              <w:bottom w:val="single" w:color="auto" w:sz="4" w:space="0"/>
              <w:right w:val="single" w:color="auto" w:sz="4" w:space="0"/>
            </w:tcBorders>
            <w:tcW w:w="18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合计（元）</w:t>
            </w:r>
            <w:r/>
          </w:p>
        </w:tc>
      </w:tr>
      <w:tr>
        <w:trPr>
          <w:trHeight w:val="712"/>
        </w:trPr>
        <w:tc>
          <w:tcPr>
            <w:tcBorders>
              <w:top w:val="none" w:color="000000" w:sz="4" w:space="0"/>
              <w:left w:val="single" w:color="auto" w:sz="4" w:space="0"/>
              <w:bottom w:val="single" w:color="auto" w:sz="4" w:space="0"/>
              <w:right w:val="single" w:color="auto" w:sz="4" w:space="0"/>
            </w:tcBorders>
            <w:tcW w:w="807"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Borders>
              <w:top w:val="none" w:color="000000" w:sz="4" w:space="0"/>
              <w:left w:val="none" w:color="000000" w:sz="4" w:space="0"/>
              <w:bottom w:val="single" w:color="auto" w:sz="4" w:space="0"/>
              <w:right w:val="single" w:color="auto" w:sz="4" w:space="0"/>
            </w:tcBorders>
            <w:tcW w:w="302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856"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50" w:type="dxa"/>
            <w:vAlign w:val="bottom"/>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897" w:type="dxa"/>
            <w:vAlign w:val="bottom"/>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trHeight w:val="712"/>
        </w:trPr>
        <w:tc>
          <w:tcPr>
            <w:tcBorders>
              <w:top w:val="none" w:color="000000" w:sz="4" w:space="0"/>
              <w:left w:val="single" w:color="auto" w:sz="4" w:space="0"/>
              <w:bottom w:val="single" w:color="auto" w:sz="4" w:space="0"/>
              <w:right w:val="single" w:color="auto" w:sz="4" w:space="0"/>
            </w:tcBorders>
            <w:tcW w:w="807"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Borders>
              <w:top w:val="none" w:color="000000" w:sz="4" w:space="0"/>
              <w:left w:val="none" w:color="000000" w:sz="4" w:space="0"/>
              <w:bottom w:val="single" w:color="auto" w:sz="4" w:space="0"/>
              <w:right w:val="single" w:color="auto" w:sz="4" w:space="0"/>
            </w:tcBorders>
            <w:tcW w:w="302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856"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50" w:type="dxa"/>
            <w:vAlign w:val="bottom"/>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897" w:type="dxa"/>
            <w:vAlign w:val="bottom"/>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trHeight w:val="712"/>
        </w:trPr>
        <w:tc>
          <w:tcPr>
            <w:tcBorders>
              <w:top w:val="none" w:color="000000" w:sz="4" w:space="0"/>
              <w:left w:val="single" w:color="auto" w:sz="4" w:space="0"/>
              <w:bottom w:val="single" w:color="auto" w:sz="4" w:space="0"/>
              <w:right w:val="single" w:color="auto" w:sz="4" w:space="0"/>
            </w:tcBorders>
            <w:tcW w:w="807"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Borders>
              <w:top w:val="none" w:color="000000" w:sz="4" w:space="0"/>
              <w:left w:val="none" w:color="000000" w:sz="4" w:space="0"/>
              <w:bottom w:val="single" w:color="auto" w:sz="4" w:space="0"/>
              <w:right w:val="single" w:color="auto" w:sz="4" w:space="0"/>
            </w:tcBorders>
            <w:tcW w:w="302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856"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50" w:type="dxa"/>
            <w:vAlign w:val="bottom"/>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897" w:type="dxa"/>
            <w:vAlign w:val="bottom"/>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trHeight w:val="712"/>
        </w:trPr>
        <w:tc>
          <w:tcPr>
            <w:tcBorders>
              <w:top w:val="none" w:color="000000" w:sz="4" w:space="0"/>
              <w:left w:val="single" w:color="auto" w:sz="4" w:space="0"/>
              <w:bottom w:val="single" w:color="auto" w:sz="4" w:space="0"/>
              <w:right w:val="single" w:color="auto" w:sz="4" w:space="0"/>
            </w:tcBorders>
            <w:tcW w:w="807"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Borders>
              <w:top w:val="none" w:color="000000" w:sz="4" w:space="0"/>
              <w:left w:val="none" w:color="000000" w:sz="4" w:space="0"/>
              <w:bottom w:val="single" w:color="auto" w:sz="4" w:space="0"/>
              <w:right w:val="single" w:color="auto" w:sz="4" w:space="0"/>
            </w:tcBorders>
            <w:tcW w:w="302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856"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50" w:type="dxa"/>
            <w:vAlign w:val="bottom"/>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897" w:type="dxa"/>
            <w:vAlign w:val="bottom"/>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trHeight w:val="712"/>
        </w:trPr>
        <w:tc>
          <w:tcPr>
            <w:tcBorders>
              <w:top w:val="none" w:color="000000" w:sz="4" w:space="0"/>
              <w:left w:val="single" w:color="auto" w:sz="4" w:space="0"/>
              <w:bottom w:val="single" w:color="auto" w:sz="4" w:space="0"/>
              <w:right w:val="single" w:color="auto" w:sz="4" w:space="0"/>
            </w:tcBorders>
            <w:tcW w:w="807"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Borders>
              <w:top w:val="none" w:color="000000" w:sz="4" w:space="0"/>
              <w:left w:val="none" w:color="000000" w:sz="4" w:space="0"/>
              <w:bottom w:val="single" w:color="auto" w:sz="4" w:space="0"/>
              <w:right w:val="single" w:color="auto" w:sz="4" w:space="0"/>
            </w:tcBorders>
            <w:tcW w:w="302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856"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50" w:type="dxa"/>
            <w:vAlign w:val="bottom"/>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897" w:type="dxa"/>
            <w:vAlign w:val="bottom"/>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trHeight w:val="712"/>
        </w:trPr>
        <w:tc>
          <w:tcPr>
            <w:tcBorders>
              <w:top w:val="none" w:color="000000" w:sz="4" w:space="0"/>
              <w:left w:val="single" w:color="auto" w:sz="4" w:space="0"/>
              <w:bottom w:val="single" w:color="auto" w:sz="4" w:space="0"/>
              <w:right w:val="single" w:color="auto" w:sz="4" w:space="0"/>
            </w:tcBorders>
            <w:tcW w:w="807"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Borders>
              <w:top w:val="none" w:color="000000" w:sz="4" w:space="0"/>
              <w:left w:val="none" w:color="000000" w:sz="4" w:space="0"/>
              <w:bottom w:val="single" w:color="auto" w:sz="4" w:space="0"/>
              <w:right w:val="single" w:color="auto" w:sz="4" w:space="0"/>
            </w:tcBorders>
            <w:tcW w:w="302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856"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50" w:type="dxa"/>
            <w:vAlign w:val="bottom"/>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897" w:type="dxa"/>
            <w:vAlign w:val="bottom"/>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trHeight w:val="712"/>
        </w:trPr>
        <w:tc>
          <w:tcPr>
            <w:tcBorders>
              <w:top w:val="none" w:color="000000" w:sz="4" w:space="0"/>
              <w:left w:val="single" w:color="auto" w:sz="4" w:space="0"/>
              <w:bottom w:val="single" w:color="auto" w:sz="4" w:space="0"/>
              <w:right w:val="single" w:color="auto" w:sz="4" w:space="0"/>
            </w:tcBorders>
            <w:tcW w:w="807"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Borders>
              <w:top w:val="none" w:color="000000" w:sz="4" w:space="0"/>
              <w:left w:val="none" w:color="000000" w:sz="4" w:space="0"/>
              <w:bottom w:val="single" w:color="auto" w:sz="4" w:space="0"/>
              <w:right w:val="single" w:color="auto" w:sz="4" w:space="0"/>
            </w:tcBorders>
            <w:tcW w:w="302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856"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50" w:type="dxa"/>
            <w:vAlign w:val="bottom"/>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897" w:type="dxa"/>
            <w:vAlign w:val="bottom"/>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trHeight w:val="712"/>
        </w:trPr>
        <w:tc>
          <w:tcPr>
            <w:tcBorders>
              <w:top w:val="none" w:color="000000" w:sz="4" w:space="0"/>
              <w:left w:val="single" w:color="auto" w:sz="4" w:space="0"/>
              <w:bottom w:val="single" w:color="auto" w:sz="4" w:space="0"/>
              <w:right w:val="single" w:color="auto" w:sz="4" w:space="0"/>
            </w:tcBorders>
            <w:tcW w:w="807"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Borders>
              <w:top w:val="none" w:color="000000" w:sz="4" w:space="0"/>
              <w:left w:val="none" w:color="000000" w:sz="4" w:space="0"/>
              <w:bottom w:val="single" w:color="auto" w:sz="4" w:space="0"/>
              <w:right w:val="single" w:color="auto" w:sz="4" w:space="0"/>
            </w:tcBorders>
            <w:tcW w:w="302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856"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50" w:type="dxa"/>
            <w:vAlign w:val="bottom"/>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897" w:type="dxa"/>
            <w:vAlign w:val="bottom"/>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trHeight w:val="712"/>
        </w:trPr>
        <w:tc>
          <w:tcPr>
            <w:tcBorders>
              <w:top w:val="none" w:color="000000" w:sz="4" w:space="0"/>
              <w:left w:val="single" w:color="auto" w:sz="4" w:space="0"/>
              <w:bottom w:val="single" w:color="auto" w:sz="4" w:space="0"/>
              <w:right w:val="single" w:color="auto" w:sz="4" w:space="0"/>
            </w:tcBorders>
            <w:tcW w:w="807"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Borders>
              <w:top w:val="none" w:color="000000" w:sz="4" w:space="0"/>
              <w:left w:val="none" w:color="000000" w:sz="4" w:space="0"/>
              <w:bottom w:val="single" w:color="auto" w:sz="4" w:space="0"/>
              <w:right w:val="single" w:color="auto" w:sz="4" w:space="0"/>
            </w:tcBorders>
            <w:tcW w:w="302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856"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50" w:type="dxa"/>
            <w:vAlign w:val="bottom"/>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897" w:type="dxa"/>
            <w:vAlign w:val="bottom"/>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trHeight w:val="712"/>
        </w:trPr>
        <w:tc>
          <w:tcPr>
            <w:tcBorders>
              <w:top w:val="none" w:color="000000" w:sz="4" w:space="0"/>
              <w:left w:val="single" w:color="auto" w:sz="4" w:space="0"/>
              <w:bottom w:val="single" w:color="auto" w:sz="4" w:space="0"/>
              <w:right w:val="single" w:color="auto" w:sz="4" w:space="0"/>
            </w:tcBorders>
            <w:tcW w:w="807"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Borders>
              <w:top w:val="none" w:color="000000" w:sz="4" w:space="0"/>
              <w:left w:val="none" w:color="000000" w:sz="4" w:space="0"/>
              <w:bottom w:val="single" w:color="auto" w:sz="4" w:space="0"/>
              <w:right w:val="single" w:color="auto" w:sz="4" w:space="0"/>
            </w:tcBorders>
            <w:tcW w:w="302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1856"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1350" w:type="dxa"/>
            <w:vAlign w:val="bottom"/>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897" w:type="dxa"/>
            <w:vAlign w:val="bottom"/>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bl>
    <w:p>
      <w:pPr>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法定代表人或法定代表人授权代表签字或盖章：</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400" w:lineRule="exact"/>
        <w:rPr>
          <w:rFonts w:ascii="宋体" w:hAnsi="宋体" w:cs="宋体"/>
          <w:bCs/>
          <w:color w:val="auto"/>
          <w:sz w:val="24"/>
          <w:highlight w:val="none"/>
        </w:rPr>
      </w:pPr>
      <w:r>
        <w:rPr>
          <w:rFonts w:hint="eastAsia" w:ascii="宋体" w:hAnsi="宋体" w:cs="宋体"/>
          <w:b/>
          <w:bCs/>
          <w:color w:val="auto"/>
          <w:sz w:val="24"/>
          <w:highlight w:val="none"/>
        </w:rPr>
        <w:t xml:space="preserve">注：</w:t>
      </w:r>
      <w:r/>
    </w:p>
    <w:p>
      <w:pPr>
        <w:pStyle w:val="750"/>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单价批次/元（含购样费）包括但不限于完成本项目所需的人员（工资和补贴）、办公场所及设施、保险、劳保、管理、各种税费、利润、税金、政策性文件规定及合同包含的所有风险、责任等各项应有费用。</w:t>
      </w:r>
      <w:r/>
    </w:p>
    <w:p>
      <w:pPr>
        <w:ind w:firstLine="480"/>
        <w:rPr>
          <w:rFonts w:hAnsi="宋体"/>
          <w:bCs/>
          <w:color w:val="auto"/>
          <w:szCs w:val="21"/>
          <w:highlight w:val="none"/>
        </w:rPr>
      </w:pPr>
      <w:r>
        <w:rPr>
          <w:rFonts w:hint="eastAsia" w:ascii="宋体" w:hAnsi="宋体"/>
          <w:bCs/>
          <w:color w:val="auto"/>
          <w:sz w:val="24"/>
          <w:highlight w:val="none"/>
        </w:rPr>
        <w:t xml:space="preserve">（</w:t>
      </w:r>
      <w:r>
        <w:rPr>
          <w:rFonts w:hint="eastAsia" w:ascii="宋体" w:hAnsi="宋体" w:cs="宋体"/>
          <w:bCs/>
          <w:color w:val="auto"/>
          <w:sz w:val="24"/>
          <w:highlight w:val="none"/>
        </w:rPr>
        <w:t xml:space="preserve">2）单价最高限价：风险监测</w:t>
      </w:r>
      <w:r>
        <w:rPr>
          <w:rFonts w:hint="eastAsia" w:ascii="宋体" w:hAnsi="宋体" w:cs="宋体"/>
          <w:bCs/>
          <w:color w:val="auto"/>
          <w:sz w:val="24"/>
          <w:highlight w:val="none"/>
          <w:lang w:val="en-US" w:eastAsia="zh-CN"/>
        </w:rPr>
        <w:t xml:space="preserve">670</w:t>
      </w:r>
      <w:r>
        <w:rPr>
          <w:rFonts w:hint="eastAsia" w:ascii="宋体" w:hAnsi="宋体" w:cs="宋体"/>
          <w:bCs/>
          <w:color w:val="auto"/>
          <w:sz w:val="24"/>
          <w:highlight w:val="none"/>
        </w:rPr>
        <w:t xml:space="preserve">元/次；监督抽查</w:t>
      </w:r>
      <w:r>
        <w:rPr>
          <w:rFonts w:hint="eastAsia" w:ascii="宋体" w:hAnsi="宋体" w:cs="宋体"/>
          <w:bCs/>
          <w:color w:val="auto"/>
          <w:sz w:val="24"/>
          <w:highlight w:val="none"/>
          <w:lang w:val="en-US" w:eastAsia="zh-CN"/>
        </w:rPr>
        <w:t xml:space="preserve">670</w:t>
      </w:r>
      <w:r>
        <w:rPr>
          <w:rFonts w:hint="eastAsia" w:ascii="宋体" w:hAnsi="宋体" w:cs="宋体"/>
          <w:bCs/>
          <w:color w:val="auto"/>
          <w:sz w:val="24"/>
          <w:highlight w:val="none"/>
        </w:rPr>
        <w:t xml:space="preserve">元/次；投标报价超出最高限价的按无效标书处理。</w:t>
      </w:r>
      <w:r/>
    </w:p>
    <w:p>
      <w:pPr>
        <w:ind w:firstLine="720"/>
        <w:spacing w:line="480" w:lineRule="auto"/>
        <w:rPr>
          <w:rFonts w:hint="eastAsia" w:ascii="黑体" w:eastAsia="黑体"/>
          <w:bCs/>
          <w:color w:val="auto"/>
          <w:sz w:val="28"/>
          <w:szCs w:val="28"/>
          <w:highlight w:val="none"/>
          <w:lang w:eastAsia="zh-CN"/>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（九）投标偏离表（格式）</w:t>
      </w:r>
      <w:r>
        <w:rPr>
          <w:rFonts w:hint="eastAsia" w:ascii="黑体" w:hAnsi="宋体" w:eastAsia="黑体"/>
          <w:bCs/>
          <w:color w:val="auto"/>
          <w:sz w:val="24"/>
          <w:szCs w:val="24"/>
          <w:highlight w:val="none"/>
          <w:lang w:eastAsia="zh-CN"/>
        </w:rPr>
        <w:t xml:space="preserve">：</w:t>
      </w:r>
      <w:r/>
    </w:p>
    <w:p>
      <w:pPr>
        <w:ind w:firstLine="490"/>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9"/>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w:t>
      </w:r>
      <w:r>
        <w:rPr>
          <w:rFonts w:hint="eastAsia" w:ascii="黑体" w:eastAsia="黑体"/>
          <w:bCs/>
          <w:color w:val="auto"/>
          <w:sz w:val="24"/>
          <w:szCs w:val="24"/>
          <w:highlight w:val="none"/>
          <w:lang w:val="en-US" w:eastAsia="zh-CN"/>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eastAsia="zh-CN"/>
        </w:rPr>
        <w:t xml:space="preserve">JSZC-320214-JSZH-G2025-0021</w:t>
      </w:r>
      <w:r/>
    </w:p>
    <w:tbl>
      <w:tblPr>
        <w:tblStyle w:val="715"/>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outlineLvl w:val="9"/>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outlineLvl w:val="9"/>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）如无任何服务偏离，请于本表“偏离说明”中注明“无偏离”；</w:t>
      </w:r>
      <w:r/>
    </w:p>
    <w:p>
      <w:pPr>
        <w:rPr>
          <w:rFonts w:ascii="宋体"/>
          <w:bCs/>
          <w:color w:val="auto"/>
          <w:sz w:val="24"/>
          <w:szCs w:val="24"/>
          <w:highlight w:val="none"/>
        </w:rPr>
        <w:outlineLvl w:val="9"/>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spacing w:line="480" w:lineRule="auto"/>
        <w:rPr>
          <w:rFonts w:ascii="宋体" w:hAnsi="宋体"/>
          <w:bCs/>
          <w:color w:val="auto"/>
          <w:szCs w:val="21"/>
          <w:highlight w:val="none"/>
        </w:rPr>
      </w:pPr>
      <w:r>
        <w:rPr>
          <w:rFonts w:ascii="黑体" w:hAnsi="宋体" w:eastAsia="黑体"/>
          <w:bCs/>
          <w:color w:val="auto"/>
          <w:sz w:val="24"/>
          <w:szCs w:val="24"/>
          <w:highlight w:val="none"/>
        </w:rPr>
        <w:br w:type="page" w:clear="all"/>
      </w:r>
      <w:r/>
    </w:p>
    <w:p>
      <w:pPr>
        <w:jc w:val="left"/>
        <w:spacing w:line="460" w:lineRule="exact"/>
        <w:rPr>
          <w:rFonts w:hint="eastAsia" w:ascii="黑体" w:hAnsi="宋体" w:eastAsia="黑体"/>
          <w:bCs/>
          <w:color w:val="auto"/>
          <w:sz w:val="24"/>
          <w:highlight w:val="none"/>
          <w:lang w:eastAsia="zh-CN"/>
        </w:rPr>
      </w:pPr>
      <w:r>
        <w:rPr>
          <w:rFonts w:hint="eastAsia" w:ascii="黑体" w:hAnsi="宋体" w:eastAsia="黑体"/>
          <w:bCs/>
          <w:color w:val="auto"/>
          <w:sz w:val="24"/>
          <w:szCs w:val="24"/>
          <w:highlight w:val="none"/>
        </w:rPr>
        <w:t xml:space="preserve">（十）投标人基本情况声明（格式）</w:t>
      </w:r>
      <w:r>
        <w:rPr>
          <w:rFonts w:hint="eastAsia" w:ascii="黑体" w:hAnsi="宋体" w:eastAsia="黑体"/>
          <w:bCs/>
          <w:color w:val="auto"/>
          <w:sz w:val="24"/>
          <w:szCs w:val="24"/>
          <w:highlight w:val="none"/>
          <w:lang w:eastAsia="zh-CN"/>
        </w:rPr>
        <w:t xml:space="preserve">：</w:t>
      </w:r>
      <w:r/>
    </w:p>
    <w:p>
      <w:pPr>
        <w:jc w:val="center"/>
        <w:spacing w:line="460" w:lineRule="exac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投标人基本情况声明</w:t>
      </w:r>
      <w:r/>
    </w:p>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718"/>
        <w:ind w:firstLine="480"/>
        <w:rPr>
          <w:rFonts w:ascii="宋体" w:hAnsi="宋体"/>
          <w:color w:val="auto"/>
          <w:sz w:val="24"/>
          <w:highlight w:val="none"/>
        </w:rPr>
      </w:pPr>
      <w:r>
        <w:rPr>
          <w:rFonts w:hint="eastAsia" w:ascii="宋体" w:hAnsi="宋体"/>
          <w:color w:val="auto"/>
          <w:sz w:val="24"/>
          <w:highlight w:val="none"/>
        </w:rPr>
        <w:t xml:space="preserve">投标人情况表1</w:t>
      </w:r>
      <w:r/>
    </w:p>
    <w:p>
      <w:pPr>
        <w:pStyle w:val="718"/>
        <w:ind w:firstLine="480"/>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7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法定代表人</w:t>
            </w:r>
            <w:r/>
          </w:p>
        </w:tc>
        <w:tc>
          <w:tcPr>
            <w:gridSpan w:val="2"/>
            <w:tcW w:w="2259" w:type="dxa"/>
            <w:textDirection w:val="lrTb"/>
            <w:noWrap/>
          </w:tcPr>
          <w:p>
            <w:pPr>
              <w:pStyle w:val="718"/>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成立日期</w:t>
            </w:r>
            <w:r/>
          </w:p>
        </w:tc>
        <w:tc>
          <w:tcPr>
            <w:tcW w:w="2601" w:type="dxa"/>
            <w:textDirection w:val="lrTb"/>
            <w:noWrap/>
          </w:tcPr>
          <w:p>
            <w:pPr>
              <w:pStyle w:val="718"/>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510" w:type="dxa"/>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企业地址</w:t>
            </w:r>
            <w:r/>
          </w:p>
        </w:tc>
        <w:tc>
          <w:tcPr>
            <w:gridSpan w:val="2"/>
            <w:tcW w:w="2259" w:type="dxa"/>
            <w:textDirection w:val="lrTb"/>
            <w:noWrap/>
          </w:tcPr>
          <w:p>
            <w:pPr>
              <w:pStyle w:val="718"/>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注册资本</w:t>
            </w:r>
            <w:r/>
          </w:p>
        </w:tc>
        <w:tc>
          <w:tcPr>
            <w:tcW w:w="2601" w:type="dxa"/>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经营范围</w:t>
            </w:r>
            <w:r/>
          </w:p>
        </w:tc>
        <w:tc>
          <w:tcPr>
            <w:gridSpan w:val="4"/>
            <w:tcW w:w="6617" w:type="dxa"/>
            <w:textDirection w:val="lrTb"/>
            <w:noWrap/>
          </w:tcPr>
          <w:p>
            <w:pPr>
              <w:pStyle w:val="718"/>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510" w:type="dxa"/>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职工人数</w:t>
            </w:r>
            <w:r/>
          </w:p>
        </w:tc>
        <w:tc>
          <w:tcPr>
            <w:tcW w:w="2110" w:type="dxa"/>
            <w:textDirection w:val="lrTb"/>
            <w:noWrap/>
          </w:tcPr>
          <w:p>
            <w:pPr>
              <w:pStyle w:val="718"/>
              <w:ind w:firstLine="0"/>
              <w:spacing w:line="400" w:lineRule="exact"/>
              <w:rPr>
                <w:rFonts w:ascii="宋体" w:hAnsi="宋体"/>
                <w:color w:val="auto"/>
                <w:sz w:val="24"/>
                <w:highlight w:val="none"/>
              </w:rPr>
            </w:pPr>
            <w:r>
              <w:rPr>
                <w:rFonts w:ascii="宋体" w:hAnsi="宋体"/>
                <w:color w:val="auto"/>
                <w:sz w:val="24"/>
                <w:highlight w:val="none"/>
              </w:rPr>
            </w:r>
            <w:r/>
          </w:p>
        </w:tc>
        <w:tc>
          <w:tcPr>
            <w:gridSpan w:val="3"/>
            <w:tcW w:w="4507" w:type="dxa"/>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p>
            <w:pPr>
              <w:pStyle w:val="718"/>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中级职称人数、</w:t>
            </w:r>
            <w:r/>
          </w:p>
          <w:p>
            <w:pPr>
              <w:pStyle w:val="718"/>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高级职称人数</w:t>
            </w:r>
            <w:r/>
          </w:p>
        </w:tc>
      </w:tr>
      <w:tr>
        <w:trPr>
          <w:trHeight w:val="566"/>
        </w:trPr>
        <w:tc>
          <w:tcPr>
            <w:tcW w:w="2510" w:type="dxa"/>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年12月资产总额</w:t>
            </w:r>
            <w:r/>
          </w:p>
        </w:tc>
        <w:tc>
          <w:tcPr>
            <w:tcW w:w="2110" w:type="dxa"/>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净资产</w:t>
            </w:r>
            <w:r/>
          </w:p>
        </w:tc>
        <w:tc>
          <w:tcPr>
            <w:tcW w:w="2601" w:type="dxa"/>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年12月股东权益</w:t>
            </w:r>
            <w:r/>
          </w:p>
        </w:tc>
        <w:tc>
          <w:tcPr>
            <w:tcW w:w="2110" w:type="dxa"/>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W w:w="2601" w:type="dxa"/>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510" w:type="dxa"/>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年实现利润</w:t>
            </w:r>
            <w:r/>
          </w:p>
        </w:tc>
        <w:tc>
          <w:tcPr>
            <w:tcW w:w="2110" w:type="dxa"/>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c>
          <w:tcPr>
            <w:gridSpan w:val="2"/>
            <w:tcW w:w="1906" w:type="dxa"/>
            <w:textDirection w:val="lrTb"/>
            <w:noWrap/>
          </w:tcPr>
          <w:p>
            <w:pPr>
              <w:pStyle w:val="718"/>
              <w:ind w:firstLine="0"/>
              <w:spacing w:line="400" w:lineRule="exact"/>
              <w:rPr>
                <w:rFonts w:ascii="宋体" w:hAnsi="宋体"/>
                <w:color w:val="auto"/>
                <w:sz w:val="24"/>
                <w:highlight w:val="none"/>
              </w:rPr>
            </w:pPr>
            <w:r>
              <w:rPr>
                <w:rFonts w:ascii="宋体" w:hAnsi="宋体"/>
                <w:color w:val="auto"/>
                <w:sz w:val="24"/>
                <w:highlight w:val="none"/>
              </w:rPr>
            </w:r>
            <w:r/>
          </w:p>
        </w:tc>
        <w:tc>
          <w:tcPr>
            <w:tcW w:w="2601" w:type="dxa"/>
            <w:textDirection w:val="lrTb"/>
            <w:noWrap/>
          </w:tcPr>
          <w:p>
            <w:pPr>
              <w:pStyle w:val="718"/>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510" w:type="dxa"/>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办公面积</w:t>
            </w:r>
            <w:r/>
          </w:p>
          <w:p>
            <w:pPr>
              <w:pStyle w:val="718"/>
              <w:ind w:firstLine="0"/>
              <w:spacing w:line="400" w:lineRule="exact"/>
              <w:rPr>
                <w:rFonts w:ascii="宋体" w:hAnsi="宋体"/>
                <w:color w:val="auto"/>
                <w:sz w:val="24"/>
                <w:highlight w:val="none"/>
              </w:rPr>
            </w:pPr>
            <w:r>
              <w:rPr>
                <w:rFonts w:ascii="宋体" w:hAnsi="宋体"/>
                <w:color w:val="auto"/>
                <w:sz w:val="24"/>
                <w:highlight w:val="none"/>
              </w:rPr>
            </w:r>
            <w:r/>
          </w:p>
        </w:tc>
        <w:tc>
          <w:tcPr>
            <w:tcW w:w="2110" w:type="dxa"/>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平方米</w:t>
            </w:r>
            <w:r/>
          </w:p>
        </w:tc>
        <w:tc>
          <w:tcPr>
            <w:gridSpan w:val="2"/>
            <w:tcW w:w="1906" w:type="dxa"/>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tc>
        <w:tc>
          <w:tcPr>
            <w:tcW w:w="2601" w:type="dxa"/>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rHeight w:val="590"/>
        </w:trPr>
        <w:tc>
          <w:tcPr>
            <w:gridSpan w:val="2"/>
            <w:tcW w:w="4620" w:type="dxa"/>
            <w:vAlign w:val="center"/>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W w:w="4507" w:type="dxa"/>
            <w:textDirection w:val="lrTb"/>
            <w:noWrap/>
          </w:tcPr>
          <w:p>
            <w:pPr>
              <w:pStyle w:val="718"/>
              <w:ind w:firstLine="0"/>
              <w:spacing w:line="400" w:lineRule="exact"/>
              <w:rPr>
                <w:rFonts w:ascii="宋体" w:hAnsi="宋体"/>
                <w:color w:val="auto"/>
                <w:sz w:val="24"/>
                <w:highlight w:val="none"/>
              </w:rPr>
            </w:pPr>
            <w:r>
              <w:rPr>
                <w:rFonts w:ascii="宋体" w:hAnsi="宋体"/>
                <w:color w:val="auto"/>
                <w:sz w:val="24"/>
                <w:highlight w:val="none"/>
              </w:rPr>
            </w:r>
            <w:r/>
          </w:p>
        </w:tc>
      </w:tr>
      <w:tr>
        <w:trPr>
          <w:trHeight w:val="595"/>
        </w:trPr>
        <w:tc>
          <w:tcPr>
            <w:gridSpan w:val="2"/>
            <w:tcW w:w="4620" w:type="dxa"/>
            <w:vAlign w:val="center"/>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3"/>
            <w:tcW w:w="4507" w:type="dxa"/>
            <w:textDirection w:val="lrTb"/>
            <w:noWrap/>
          </w:tcPr>
          <w:p>
            <w:pPr>
              <w:pStyle w:val="718"/>
              <w:ind w:firstLine="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W w:w="4620" w:type="dxa"/>
            <w:vAlign w:val="center"/>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W w:w="4507" w:type="dxa"/>
            <w:textDirection w:val="lrTb"/>
            <w:noWrap/>
          </w:tcPr>
          <w:p>
            <w:pPr>
              <w:pStyle w:val="718"/>
              <w:ind w:firstLine="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W w:w="4620" w:type="dxa"/>
            <w:vAlign w:val="center"/>
            <w:textDirection w:val="lrTb"/>
            <w:noWrap/>
          </w:tcPr>
          <w:p>
            <w:pPr>
              <w:pStyle w:val="718"/>
              <w:ind w:firstLine="0"/>
              <w:spacing w:line="400" w:lineRule="exact"/>
              <w:rPr>
                <w:rFonts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W w:w="4507" w:type="dxa"/>
            <w:textDirection w:val="lrTb"/>
            <w:noWrap/>
          </w:tcPr>
          <w:p>
            <w:pPr>
              <w:pStyle w:val="718"/>
              <w:ind w:firstLine="0"/>
              <w:spacing w:line="400" w:lineRule="exact"/>
              <w:rPr>
                <w:rFonts w:ascii="宋体" w:hAnsi="宋体"/>
                <w:color w:val="auto"/>
                <w:sz w:val="24"/>
                <w:highlight w:val="none"/>
              </w:rPr>
            </w:pPr>
            <w:r>
              <w:rPr>
                <w:rFonts w:ascii="宋体" w:hAnsi="宋体"/>
                <w:color w:val="auto"/>
                <w:sz w:val="24"/>
                <w:highlight w:val="none"/>
              </w:rPr>
            </w:r>
            <w:r/>
          </w:p>
        </w:tc>
      </w:tr>
      <w:tr>
        <w:trPr>
          <w:trHeight w:val="965"/>
        </w:trPr>
        <w:tc>
          <w:tcPr>
            <w:gridSpan w:val="2"/>
            <w:tcW w:w="4620" w:type="dxa"/>
            <w:vAlign w:val="center"/>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w:t>
            </w:r>
            <w:r>
              <w:rPr>
                <w:rFonts w:hint="eastAsia" w:ascii="宋体" w:hAnsi="宋体"/>
                <w:color w:val="auto"/>
                <w:sz w:val="24"/>
                <w:highlight w:val="none"/>
                <w:lang w:eastAsia="zh-CN"/>
              </w:rPr>
              <w:t xml:space="preserve">或</w:t>
            </w:r>
            <w:r>
              <w:rPr>
                <w:rFonts w:ascii="宋体" w:hAnsi="宋体"/>
                <w:color w:val="auto"/>
                <w:sz w:val="24"/>
                <w:highlight w:val="none"/>
              </w:rPr>
              <w:t xml:space="preserve">其他原因被投诉或起诉的情况及说明</w:t>
            </w:r>
            <w:r/>
          </w:p>
        </w:tc>
        <w:tc>
          <w:tcPr>
            <w:gridSpan w:val="3"/>
            <w:tcW w:w="4507" w:type="dxa"/>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trHeight w:val="1004"/>
        </w:trPr>
        <w:tc>
          <w:tcPr>
            <w:gridSpan w:val="2"/>
            <w:tcW w:w="4620" w:type="dxa"/>
            <w:vAlign w:val="center"/>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W w:w="450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747"/>
        </w:trPr>
        <w:tc>
          <w:tcPr>
            <w:gridSpan w:val="2"/>
            <w:tcW w:w="4620" w:type="dxa"/>
            <w:vAlign w:val="center"/>
            <w:textDirection w:val="lrTb"/>
            <w:noWrap/>
          </w:tcPr>
          <w:p>
            <w:pPr>
              <w:pStyle w:val="718"/>
              <w:ind w:firstLine="0"/>
              <w:spacing w:line="400" w:lineRule="exact"/>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W w:w="4507" w:type="dxa"/>
            <w:textDirection w:val="lrTb"/>
            <w:noWrap/>
          </w:tcPr>
          <w:p>
            <w:pPr>
              <w:pStyle w:val="718"/>
              <w:ind w:firstLine="0"/>
              <w:spacing w:line="400" w:lineRule="exact"/>
              <w:rPr>
                <w:rFonts w:ascii="宋体" w:hAnsi="宋体"/>
                <w:color w:val="auto"/>
                <w:sz w:val="24"/>
                <w:highlight w:val="none"/>
              </w:rPr>
            </w:pPr>
            <w:r>
              <w:rPr>
                <w:rFonts w:ascii="宋体" w:hAnsi="宋体"/>
                <w:color w:val="auto"/>
                <w:sz w:val="24"/>
                <w:highlight w:val="none"/>
              </w:rPr>
            </w:r>
            <w:r/>
          </w:p>
        </w:tc>
      </w:tr>
    </w:tbl>
    <w:p>
      <w:pPr>
        <w:pStyle w:val="718"/>
        <w:ind w:firstLine="480"/>
        <w:rPr>
          <w:rFonts w:ascii="宋体" w:hAnsi="宋体"/>
          <w:color w:val="auto"/>
          <w:sz w:val="24"/>
          <w:highlight w:val="none"/>
        </w:rPr>
      </w:pPr>
      <w:r>
        <w:rPr>
          <w:rFonts w:hint="eastAsia" w:ascii="宋体" w:hAnsi="宋体"/>
          <w:color w:val="auto"/>
          <w:sz w:val="24"/>
          <w:highlight w:val="none"/>
        </w:rPr>
        <w:t xml:space="preserve">注：本表可以扩展。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法定代表人或授权代表签字或盖章：</w:t>
      </w:r>
      <w:r/>
    </w:p>
    <w:p>
      <w:pPr>
        <w:rPr>
          <w:rFonts w:ascii="黑体" w:hAnsi="宋体" w:eastAsia="黑体"/>
          <w:bCs/>
          <w:color w:val="auto"/>
          <w:sz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二</w:t>
      </w:r>
      <w:r>
        <w:rPr>
          <w:rFonts w:hint="eastAsia" w:ascii="黑体" w:hAnsi="宋体" w:eastAsia="黑体"/>
          <w:bCs/>
          <w:color w:val="auto"/>
          <w:sz w:val="24"/>
          <w:szCs w:val="24"/>
          <w:highlight w:val="none"/>
        </w:rPr>
        <w:t xml:space="preserve">）</w:t>
      </w:r>
      <w:r>
        <w:rPr>
          <w:rFonts w:hint="eastAsia" w:ascii="黑体" w:hAnsi="宋体" w:eastAsia="黑体"/>
          <w:bCs/>
          <w:color w:val="auto"/>
          <w:sz w:val="24"/>
          <w:highlight w:val="none"/>
        </w:rPr>
        <w:t xml:space="preserve">人员配置表及拟派项目负责人简历表</w:t>
      </w:r>
      <w:r>
        <w:rPr>
          <w:rFonts w:hint="eastAsia" w:ascii="黑体" w:hAnsi="宋体" w:eastAsia="黑体"/>
          <w:bCs/>
          <w:color w:val="auto"/>
          <w:sz w:val="24"/>
          <w:highlight w:val="none"/>
          <w:lang w:eastAsia="zh-CN"/>
        </w:rPr>
        <w:t xml:space="preserve">（</w:t>
      </w:r>
      <w:r>
        <w:rPr>
          <w:rFonts w:hint="eastAsia" w:ascii="黑体" w:hAnsi="宋体" w:eastAsia="黑体"/>
          <w:bCs/>
          <w:color w:val="auto"/>
          <w:sz w:val="24"/>
          <w:highlight w:val="none"/>
        </w:rPr>
        <w:t xml:space="preserve">格式</w:t>
      </w:r>
      <w:r>
        <w:rPr>
          <w:rFonts w:hint="eastAsia" w:ascii="黑体" w:hAnsi="宋体" w:eastAsia="黑体"/>
          <w:bCs/>
          <w:color w:val="auto"/>
          <w:sz w:val="24"/>
          <w:highlight w:val="none"/>
          <w:lang w:eastAsia="zh-CN"/>
        </w:rPr>
        <w:t xml:space="preserve">）</w:t>
      </w:r>
      <w:r/>
    </w:p>
    <w:p>
      <w:pPr>
        <w:numPr>
          <w:ilvl w:val="0"/>
          <w:numId w:val="17"/>
        </w:num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项目人员配置表</w:t>
      </w:r>
      <w:r/>
    </w:p>
    <w:p>
      <w:pPr>
        <w:tabs>
          <w:tab w:val="left" w:pos="312" w:leader="none"/>
        </w:tabs>
        <w:rPr>
          <w:rFonts w:hint="eastAsia" w:ascii="宋体" w:hAnsi="宋体" w:cs="宋体"/>
          <w:bCs/>
          <w:color w:val="auto"/>
          <w:sz w:val="24"/>
          <w:highlight w:val="none"/>
        </w:rPr>
      </w:pPr>
      <w:r>
        <w:rPr>
          <w:rFonts w:hint="eastAsia" w:ascii="宋体" w:hAnsi="宋体"/>
          <w:bCs/>
          <w:color w:val="auto"/>
          <w:sz w:val="24"/>
          <w:highlight w:val="none"/>
        </w:rPr>
        <w:t xml:space="preserve">投标供应商名称（盖章）                                     采购编号：</w:t>
      </w:r>
      <w:r/>
    </w:p>
    <w:tbl>
      <w:tblPr>
        <w:tblStyle w:val="715"/>
        <w:tblW w:w="10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46"/>
        <w:gridCol w:w="1152"/>
        <w:gridCol w:w="945"/>
        <w:gridCol w:w="840"/>
        <w:gridCol w:w="1453"/>
        <w:gridCol w:w="950"/>
        <w:gridCol w:w="1470"/>
        <w:gridCol w:w="1013"/>
      </w:tblGrid>
      <w:tr>
        <w:trPr>
          <w:jc w:val="center"/>
          <w:trHeight w:val="607"/>
        </w:trPr>
        <w:tc>
          <w:tcPr>
            <w:tcW w:w="741"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1446"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姓名</w:t>
            </w:r>
            <w:r/>
          </w:p>
        </w:tc>
        <w:tc>
          <w:tcPr>
            <w:tcW w:w="1152"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性别</w:t>
            </w:r>
            <w:r/>
          </w:p>
        </w:tc>
        <w:tc>
          <w:tcPr>
            <w:tcW w:w="945"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年龄</w:t>
            </w:r>
            <w:r/>
          </w:p>
        </w:tc>
        <w:tc>
          <w:tcPr>
            <w:tcW w:w="840"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学历</w:t>
            </w:r>
            <w:r/>
          </w:p>
        </w:tc>
        <w:tc>
          <w:tcPr>
            <w:tcW w:w="1453"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身份证号</w:t>
            </w:r>
            <w:r/>
          </w:p>
        </w:tc>
        <w:tc>
          <w:tcPr>
            <w:tcW w:w="950"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职称</w:t>
            </w:r>
            <w:r/>
          </w:p>
        </w:tc>
        <w:tc>
          <w:tcPr>
            <w:tcW w:w="1470"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在本项目拟任职务</w:t>
            </w:r>
            <w:r/>
          </w:p>
        </w:tc>
        <w:tc>
          <w:tcPr>
            <w:tcW w:w="1013"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备注</w:t>
            </w:r>
            <w:r/>
          </w:p>
        </w:tc>
      </w:tr>
      <w:tr>
        <w:trPr>
          <w:jc w:val="center"/>
          <w:trHeight w:val="521"/>
        </w:trPr>
        <w:tc>
          <w:tcPr>
            <w:tcW w:w="7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4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15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5"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r>
            <w:r/>
          </w:p>
        </w:tc>
        <w:tc>
          <w:tcPr>
            <w:tcW w:w="840"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r>
            <w:r/>
          </w:p>
        </w:tc>
        <w:tc>
          <w:tcPr>
            <w:tcW w:w="145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7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57"/>
        </w:trPr>
        <w:tc>
          <w:tcPr>
            <w:tcW w:w="7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4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15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7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63"/>
        </w:trPr>
        <w:tc>
          <w:tcPr>
            <w:tcW w:w="7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4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15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7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41"/>
        </w:trPr>
        <w:tc>
          <w:tcPr>
            <w:tcW w:w="741"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w:t>
            </w:r>
            <w:r/>
          </w:p>
        </w:tc>
        <w:tc>
          <w:tcPr>
            <w:tcW w:w="1446" w:type="dxa"/>
            <w:vAlign w:val="top"/>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15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7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03"/>
        </w:trPr>
        <w:tc>
          <w:tcPr>
            <w:tcW w:w="7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46"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15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7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95"/>
        </w:trPr>
        <w:tc>
          <w:tcPr>
            <w:tcW w:w="7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46" w:type="dxa"/>
            <w:vAlign w:val="center"/>
            <w:textDirection w:val="lrTb"/>
            <w:noWrap w:val="false"/>
          </w:tcPr>
          <w:p>
            <w:pPr>
              <w:ind w:firstLine="600"/>
              <w:rPr>
                <w:rFonts w:hint="eastAsia" w:ascii="宋体" w:hAnsi="宋体" w:cs="宋体"/>
                <w:color w:val="auto"/>
                <w:sz w:val="24"/>
                <w:highlight w:val="none"/>
              </w:rPr>
            </w:pPr>
            <w:r>
              <w:rPr>
                <w:rFonts w:hint="eastAsia" w:ascii="宋体" w:hAnsi="宋体" w:cs="宋体"/>
                <w:color w:val="auto"/>
                <w:sz w:val="24"/>
                <w:highlight w:val="none"/>
              </w:rPr>
            </w:r>
            <w:r/>
          </w:p>
        </w:tc>
        <w:tc>
          <w:tcPr>
            <w:tcW w:w="115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7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95"/>
        </w:trPr>
        <w:tc>
          <w:tcPr>
            <w:tcW w:w="7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15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7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65"/>
        </w:trPr>
        <w:tc>
          <w:tcPr>
            <w:tcW w:w="7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46" w:type="dxa"/>
            <w:vAlign w:val="center"/>
            <w:textDirection w:val="lrTb"/>
            <w:noWrap w:val="false"/>
          </w:tcPr>
          <w:p>
            <w:pPr>
              <w:ind w:firstLine="360"/>
              <w:rPr>
                <w:rFonts w:hint="eastAsia" w:ascii="宋体" w:hAnsi="宋体" w:cs="宋体"/>
                <w:color w:val="auto"/>
                <w:sz w:val="24"/>
                <w:highlight w:val="none"/>
              </w:rPr>
            </w:pPr>
            <w:r>
              <w:rPr>
                <w:rFonts w:hint="eastAsia" w:ascii="宋体" w:hAnsi="宋体" w:cs="宋体"/>
                <w:color w:val="auto"/>
                <w:sz w:val="24"/>
                <w:highlight w:val="none"/>
              </w:rPr>
            </w:r>
            <w:r/>
          </w:p>
        </w:tc>
        <w:tc>
          <w:tcPr>
            <w:tcW w:w="115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7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50"/>
        </w:trPr>
        <w:tc>
          <w:tcPr>
            <w:tcW w:w="7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46" w:type="dxa"/>
            <w:vAlign w:val="center"/>
            <w:textDirection w:val="lrTb"/>
            <w:noWrap w:val="false"/>
          </w:tcPr>
          <w:p>
            <w:pPr>
              <w:ind w:firstLine="600"/>
              <w:rPr>
                <w:rFonts w:hint="eastAsia" w:ascii="宋体" w:hAnsi="宋体" w:cs="宋体"/>
                <w:color w:val="auto"/>
                <w:sz w:val="24"/>
                <w:highlight w:val="none"/>
              </w:rPr>
            </w:pPr>
            <w:r>
              <w:rPr>
                <w:rFonts w:hint="eastAsia" w:ascii="宋体" w:hAnsi="宋体" w:cs="宋体"/>
                <w:color w:val="auto"/>
                <w:sz w:val="24"/>
                <w:highlight w:val="none"/>
              </w:rPr>
            </w:r>
            <w:r/>
          </w:p>
        </w:tc>
        <w:tc>
          <w:tcPr>
            <w:tcW w:w="115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7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47"/>
        </w:trPr>
        <w:tc>
          <w:tcPr>
            <w:tcW w:w="7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15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7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30"/>
        </w:trPr>
        <w:tc>
          <w:tcPr>
            <w:tcW w:w="7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46" w:type="dxa"/>
            <w:vAlign w:val="center"/>
            <w:textDirection w:val="lrTb"/>
            <w:noWrap w:val="false"/>
          </w:tcPr>
          <w:p>
            <w:pPr>
              <w:ind w:firstLine="480"/>
              <w:rPr>
                <w:rFonts w:hint="eastAsia" w:ascii="宋体" w:hAnsi="宋体" w:cs="宋体"/>
                <w:color w:val="auto"/>
                <w:sz w:val="24"/>
                <w:highlight w:val="none"/>
              </w:rPr>
            </w:pPr>
            <w:r>
              <w:rPr>
                <w:rFonts w:hint="eastAsia" w:ascii="宋体" w:hAnsi="宋体" w:cs="宋体"/>
                <w:color w:val="auto"/>
                <w:sz w:val="24"/>
                <w:highlight w:val="none"/>
              </w:rPr>
            </w:r>
            <w:r/>
          </w:p>
        </w:tc>
        <w:tc>
          <w:tcPr>
            <w:tcW w:w="115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7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Fonts w:ascii="宋体" w:hAnsi="宋体" w:cs="宋体"/>
          <w:color w:val="auto"/>
          <w:sz w:val="24"/>
          <w:highlight w:val="none"/>
        </w:rPr>
      </w:pPr>
      <w:r>
        <w:rPr>
          <w:rFonts w:ascii="宋体" w:hAnsi="宋体" w:cs="宋体"/>
          <w:color w:val="auto"/>
          <w:sz w:val="24"/>
          <w:highlight w:val="none"/>
        </w:rPr>
      </w:r>
      <w:r/>
    </w:p>
    <w:p>
      <w:pPr>
        <w:rPr>
          <w:rFonts w:ascii="宋体" w:hAnsi="宋体" w:cs="宋体"/>
          <w:bCs/>
          <w:color w:val="auto"/>
          <w:sz w:val="24"/>
          <w:highlight w:val="none"/>
        </w:rPr>
      </w:pPr>
      <w:r>
        <w:rPr>
          <w:rFonts w:hint="eastAsia" w:ascii="宋体" w:hAnsi="宋体" w:cs="宋体"/>
          <w:bCs/>
          <w:color w:val="auto"/>
          <w:sz w:val="24"/>
          <w:highlight w:val="none"/>
        </w:rPr>
        <w:t xml:space="preserve">法定代表人或授权委托人（签字或盖章）：</w:t>
      </w:r>
      <w:r/>
    </w:p>
    <w:p>
      <w:pPr>
        <w:ind w:firstLine="2160"/>
        <w:rPr>
          <w:rFonts w:ascii="宋体" w:hAnsi="宋体" w:cs="宋体"/>
          <w:bCs/>
          <w:color w:val="auto"/>
          <w:sz w:val="24"/>
          <w:highlight w:val="none"/>
        </w:rPr>
      </w:pPr>
      <w:r>
        <w:rPr>
          <w:rFonts w:hint="eastAsia" w:ascii="宋体" w:hAnsi="宋体" w:cs="宋体"/>
          <w:bCs/>
          <w:color w:val="auto"/>
          <w:sz w:val="24"/>
          <w:highlight w:val="none"/>
        </w:rPr>
        <w:t xml:space="preserve">  年   月    日</w:t>
      </w:r>
      <w:r/>
    </w:p>
    <w:p>
      <w:pPr>
        <w:pStyle w:val="970"/>
        <w:rPr>
          <w:rFonts w:hint="eastAsia" w:cs="宋体"/>
          <w:color w:val="auto"/>
          <w:highlight w:val="none"/>
        </w:rPr>
      </w:pPr>
      <w:r>
        <w:rPr>
          <w:rFonts w:hint="eastAsia" w:cs="宋体"/>
          <w:color w:val="auto"/>
          <w:highlight w:val="none"/>
        </w:rPr>
      </w:r>
      <w:r/>
    </w:p>
    <w:p>
      <w:pPr>
        <w:pStyle w:val="970"/>
        <w:rPr>
          <w:rFonts w:hint="eastAsia" w:cs="宋体"/>
          <w:color w:val="auto"/>
          <w:highlight w:val="none"/>
        </w:rPr>
      </w:pPr>
      <w:r>
        <w:rPr>
          <w:rFonts w:hint="eastAsia" w:cs="宋体"/>
          <w:color w:val="auto"/>
          <w:highlight w:val="none"/>
        </w:rPr>
        <w:br w:type="page" w:clear="all"/>
      </w:r>
      <w:r>
        <w:rPr>
          <w:rFonts w:hint="eastAsia" w:cs="宋体"/>
          <w:color w:val="auto"/>
          <w:highlight w:val="none"/>
        </w:rPr>
        <w:t xml:space="preserve">（2）拟派项目负责人简历表</w:t>
      </w:r>
      <w:r/>
    </w:p>
    <w:p>
      <w:pPr>
        <w:pStyle w:val="970"/>
        <w:rPr>
          <w:rFonts w:hint="eastAsia" w:cs="宋体"/>
          <w:color w:val="auto"/>
          <w:highlight w:val="none"/>
        </w:rPr>
      </w:pPr>
      <w:r>
        <w:rPr>
          <w:rFonts w:hint="eastAsia" w:cs="宋体"/>
          <w:color w:val="auto"/>
          <w:highlight w:val="none"/>
        </w:rPr>
      </w:r>
      <w:r/>
    </w:p>
    <w:p>
      <w:pPr>
        <w:pStyle w:val="970"/>
        <w:rPr>
          <w:rFonts w:cs="宋体"/>
          <w:color w:val="auto"/>
          <w:highlight w:val="none"/>
        </w:rPr>
      </w:pPr>
      <w:r>
        <w:rPr>
          <w:rFonts w:hint="eastAsia" w:cs="宋体"/>
          <w:color w:val="auto"/>
          <w:highlight w:val="none"/>
        </w:rPr>
        <w:t xml:space="preserve">投标供应商名称（盖章）                    　  </w:t>
      </w:r>
      <w:r>
        <w:rPr>
          <w:rFonts w:cs="宋体"/>
          <w:color w:val="auto"/>
          <w:highlight w:val="none"/>
        </w:rPr>
        <w:t xml:space="preserve">     </w:t>
      </w:r>
      <w:r>
        <w:rPr>
          <w:rFonts w:hint="eastAsia" w:cs="宋体"/>
          <w:color w:val="auto"/>
          <w:highlight w:val="none"/>
        </w:rPr>
        <w:t xml:space="preserve"> </w:t>
      </w:r>
      <w:r>
        <w:rPr>
          <w:rFonts w:cs="宋体"/>
          <w:color w:val="auto"/>
          <w:highlight w:val="none"/>
        </w:rPr>
        <w:t xml:space="preserve"> </w:t>
      </w:r>
      <w:r>
        <w:rPr>
          <w:rFonts w:hint="eastAsia" w:cs="宋体"/>
          <w:color w:val="auto"/>
          <w:highlight w:val="none"/>
        </w:rPr>
        <w:t xml:space="preserve">采购编号：</w:t>
      </w:r>
      <w:r/>
    </w:p>
    <w:tbl>
      <w:tblPr>
        <w:tblStyle w:val="715"/>
        <w:tblW w:w="97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pStyle w:val="718"/>
              <w:ind w:firstLine="480"/>
              <w:jc w:val="center"/>
              <w:rPr>
                <w:rFonts w:ascii="宋体"/>
                <w:color w:val="auto"/>
                <w:sz w:val="24"/>
                <w:highlight w:val="none"/>
              </w:rPr>
            </w:pPr>
            <w:r>
              <w:rPr>
                <w:rFonts w:hint="eastAsia" w:ascii="宋体" w:hAnsi="宋体"/>
                <w:color w:val="auto"/>
                <w:sz w:val="24"/>
                <w:highlight w:val="none"/>
              </w:rPr>
              <w:t xml:space="preserve">1</w:t>
            </w:r>
            <w:r/>
          </w:p>
        </w:tc>
        <w:tc>
          <w:tcPr>
            <w:tcBorders>
              <w:top w:val="single" w:color="auto" w:sz="6" w:space="0"/>
              <w:left w:val="none" w:color="000000" w:sz="4" w:space="0"/>
              <w:bottom w:val="single" w:color="auto" w:sz="6" w:space="0"/>
              <w:right w:val="single" w:color="auto" w:sz="6" w:space="0"/>
            </w:tcBorders>
            <w:tcW w:w="1851" w:type="dxa"/>
            <w:vAlign w:val="center"/>
            <w:textDirection w:val="lrTb"/>
            <w:noWrap w:val="false"/>
          </w:tcPr>
          <w:p>
            <w:pPr>
              <w:jc w:val="center"/>
              <w:spacing w:line="500" w:lineRule="exact"/>
              <w:rPr>
                <w:rFonts w:hint="eastAsia" w:ascii="宋体" w:hAnsi="宋体" w:eastAsia="Times New Roman"/>
                <w:color w:val="auto"/>
                <w:sz w:val="24"/>
                <w:highlight w:val="none"/>
              </w:rPr>
            </w:pPr>
            <w:r>
              <w:rPr>
                <w:rFonts w:ascii="宋体"/>
                <w:color w:val="auto"/>
                <w:sz w:val="24"/>
                <w:highlight w:val="none"/>
              </w:rPr>
              <w:t xml:space="preserve">姓名</w:t>
            </w:r>
            <w:r/>
          </w:p>
        </w:tc>
        <w:tc>
          <w:tcPr>
            <w:tcBorders>
              <w:top w:val="single" w:color="auto" w:sz="6" w:space="0"/>
              <w:left w:val="none" w:color="000000" w:sz="4" w:space="0"/>
              <w:bottom w:val="single" w:color="auto" w:sz="6" w:space="0"/>
              <w:right w:val="single" w:color="auto" w:sz="6" w:space="0"/>
            </w:tcBorders>
            <w:tcW w:w="2394" w:type="dxa"/>
            <w:vAlign w:val="center"/>
            <w:textDirection w:val="lrTb"/>
            <w:noWrap w:val="false"/>
          </w:tcPr>
          <w:p>
            <w:pPr>
              <w:jc w:val="center"/>
              <w:spacing w:line="500" w:lineRule="exact"/>
              <w:rPr>
                <w:rFonts w:hint="eastAsia" w:ascii="宋体" w:hAnsi="宋体" w:eastAsia="Times New Roman"/>
                <w:color w:val="auto"/>
                <w:sz w:val="24"/>
                <w:highlight w:val="none"/>
              </w:rPr>
            </w:pPr>
            <w:r>
              <w:rPr>
                <w:rFonts w:hint="eastAsia" w:ascii="宋体" w:hAnsi="宋体" w:eastAsia="Times New Roman"/>
                <w:color w:val="auto"/>
                <w:sz w:val="24"/>
                <w:highlight w:val="none"/>
              </w:rPr>
            </w:r>
            <w:r/>
          </w:p>
        </w:tc>
        <w:tc>
          <w:tcPr>
            <w:tcBorders>
              <w:top w:val="single" w:color="auto" w:sz="6" w:space="0"/>
              <w:left w:val="none" w:color="000000" w:sz="4" w:space="0"/>
              <w:bottom w:val="single" w:color="auto" w:sz="6" w:space="0"/>
              <w:right w:val="single" w:color="auto" w:sz="6" w:space="0"/>
            </w:tcBorders>
            <w:tcW w:w="1083" w:type="dxa"/>
            <w:vAlign w:val="center"/>
            <w:textDirection w:val="lrTb"/>
            <w:noWrap w:val="false"/>
          </w:tcPr>
          <w:p>
            <w:pPr>
              <w:jc w:val="center"/>
              <w:spacing w:line="500" w:lineRule="exact"/>
              <w:rPr>
                <w:rFonts w:hint="eastAsia" w:ascii="宋体" w:hAnsi="宋体" w:eastAsia="Times New Roman"/>
                <w:color w:val="auto"/>
                <w:sz w:val="24"/>
                <w:highlight w:val="none"/>
              </w:rPr>
            </w:pPr>
            <w:r>
              <w:rPr>
                <w:rFonts w:ascii="宋体"/>
                <w:color w:val="auto"/>
                <w:sz w:val="24"/>
                <w:highlight w:val="none"/>
              </w:rPr>
              <w:t xml:space="preserve">性别</w:t>
            </w:r>
            <w:r/>
          </w:p>
        </w:tc>
        <w:tc>
          <w:tcPr>
            <w:gridSpan w:val="2"/>
            <w:tcBorders>
              <w:top w:val="single" w:color="auto" w:sz="6" w:space="0"/>
              <w:left w:val="none" w:color="000000" w:sz="4" w:space="0"/>
              <w:bottom w:val="single" w:color="auto" w:sz="6" w:space="0"/>
              <w:right w:val="single" w:color="auto" w:sz="6" w:space="0"/>
            </w:tcBorders>
            <w:tcW w:w="3612" w:type="dxa"/>
            <w:vAlign w:val="center"/>
            <w:textDirection w:val="lrTb"/>
            <w:noWrap w:val="false"/>
          </w:tcPr>
          <w:p>
            <w:pPr>
              <w:jc w:val="center"/>
              <w:spacing w:line="500" w:lineRule="exact"/>
              <w:rPr>
                <w:rFonts w:hint="eastAsia" w:ascii="宋体" w:hAnsi="宋体" w:eastAsia="Times New Roman"/>
                <w:color w:val="auto"/>
                <w:sz w:val="24"/>
                <w:highlight w:val="none"/>
              </w:rPr>
            </w:pPr>
            <w:r>
              <w:rPr>
                <w:rFonts w:hint="eastAsia" w:ascii="宋体" w:hAnsi="宋体" w:eastAsia="Times New Roman"/>
                <w:color w:val="auto"/>
                <w:sz w:val="24"/>
                <w:highlight w:val="none"/>
              </w:rPr>
            </w:r>
            <w:r/>
          </w:p>
        </w:tc>
      </w:tr>
      <w:tr>
        <w:trPr>
          <w:jc w:val="center"/>
          <w:trHeight w:val="645"/>
        </w:trPr>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pStyle w:val="718"/>
              <w:ind w:firstLine="480"/>
              <w:jc w:val="center"/>
              <w:rPr>
                <w:rFonts w:hint="eastAsia" w:ascii="宋体"/>
                <w:color w:val="auto"/>
                <w:sz w:val="24"/>
                <w:highlight w:val="none"/>
              </w:rPr>
            </w:pPr>
            <w:r>
              <w:rPr>
                <w:rFonts w:hint="eastAsia" w:ascii="宋体" w:hAnsi="宋体"/>
                <w:color w:val="auto"/>
                <w:sz w:val="24"/>
                <w:highlight w:val="none"/>
              </w:rPr>
              <w:t xml:space="preserve">2</w:t>
            </w:r>
            <w:r/>
          </w:p>
        </w:tc>
        <w:tc>
          <w:tcPr>
            <w:tcBorders>
              <w:top w:val="single" w:color="auto" w:sz="6" w:space="0"/>
              <w:left w:val="none" w:color="000000" w:sz="4" w:space="0"/>
              <w:bottom w:val="single" w:color="auto" w:sz="6" w:space="0"/>
              <w:right w:val="single" w:color="auto" w:sz="6" w:space="0"/>
            </w:tcBorders>
            <w:tcW w:w="1851" w:type="dxa"/>
            <w:vAlign w:val="center"/>
            <w:textDirection w:val="lrTb"/>
            <w:noWrap w:val="false"/>
          </w:tcPr>
          <w:p>
            <w:pPr>
              <w:jc w:val="center"/>
              <w:spacing w:line="500" w:lineRule="exact"/>
              <w:rPr>
                <w:rFonts w:hint="eastAsia" w:ascii="宋体" w:hAnsi="宋体" w:eastAsia="Times New Roman"/>
                <w:color w:val="auto"/>
                <w:sz w:val="24"/>
                <w:highlight w:val="none"/>
              </w:rPr>
            </w:pPr>
            <w:r>
              <w:rPr>
                <w:rFonts w:ascii="宋体"/>
                <w:color w:val="auto"/>
                <w:sz w:val="24"/>
                <w:highlight w:val="none"/>
              </w:rPr>
              <w:t xml:space="preserve">身份证号码</w:t>
            </w:r>
            <w:r/>
          </w:p>
        </w:tc>
        <w:tc>
          <w:tcPr>
            <w:gridSpan w:val="2"/>
            <w:tcBorders>
              <w:top w:val="single" w:color="auto" w:sz="6" w:space="0"/>
              <w:left w:val="none" w:color="000000" w:sz="4" w:space="0"/>
              <w:bottom w:val="single" w:color="auto" w:sz="6" w:space="0"/>
              <w:right w:val="single" w:color="auto" w:sz="6" w:space="0"/>
            </w:tcBorders>
            <w:tcW w:w="3477" w:type="dxa"/>
            <w:vAlign w:val="center"/>
            <w:textDirection w:val="lrTb"/>
            <w:noWrap w:val="false"/>
          </w:tcPr>
          <w:p>
            <w:pPr>
              <w:jc w:val="center"/>
              <w:spacing w:line="500" w:lineRule="exact"/>
              <w:rPr>
                <w:rFonts w:hint="eastAsia" w:ascii="宋体" w:hAnsi="宋体" w:eastAsia="Times New Roman"/>
                <w:color w:val="auto"/>
                <w:sz w:val="24"/>
                <w:highlight w:val="none"/>
              </w:rPr>
            </w:pPr>
            <w:r>
              <w:rPr>
                <w:rFonts w:hint="eastAsia" w:ascii="宋体" w:hAnsi="宋体" w:eastAsia="Times New Roman"/>
                <w:color w:val="auto"/>
                <w:sz w:val="24"/>
                <w:highlight w:val="none"/>
              </w:rPr>
            </w:r>
            <w:r/>
          </w:p>
        </w:tc>
        <w:tc>
          <w:tcPr>
            <w:tcBorders>
              <w:top w:val="single" w:color="auto" w:sz="6" w:space="0"/>
              <w:left w:val="none" w:color="000000" w:sz="4" w:space="0"/>
              <w:bottom w:val="single" w:color="auto" w:sz="6" w:space="0"/>
              <w:right w:val="single" w:color="auto" w:sz="6" w:space="0"/>
            </w:tcBorders>
            <w:tcW w:w="1254" w:type="dxa"/>
            <w:vAlign w:val="center"/>
            <w:textDirection w:val="lrTb"/>
            <w:noWrap w:val="false"/>
          </w:tcPr>
          <w:p>
            <w:pPr>
              <w:jc w:val="center"/>
              <w:spacing w:line="500" w:lineRule="exact"/>
              <w:rPr>
                <w:rFonts w:hint="eastAsia" w:ascii="宋体" w:hAnsi="宋体" w:eastAsia="Times New Roman"/>
                <w:color w:val="auto"/>
                <w:sz w:val="24"/>
                <w:highlight w:val="none"/>
              </w:rPr>
            </w:pPr>
            <w:r>
              <w:rPr>
                <w:rFonts w:ascii="宋体"/>
                <w:color w:val="auto"/>
                <w:sz w:val="24"/>
                <w:highlight w:val="none"/>
              </w:rPr>
              <w:t xml:space="preserve">出生年月</w:t>
            </w:r>
            <w:r/>
          </w:p>
        </w:tc>
        <w:tc>
          <w:tcPr>
            <w:tcBorders>
              <w:top w:val="single" w:color="auto" w:sz="6" w:space="0"/>
              <w:left w:val="none" w:color="000000" w:sz="4" w:space="0"/>
              <w:bottom w:val="single" w:color="auto" w:sz="6" w:space="0"/>
              <w:right w:val="single" w:color="auto" w:sz="6" w:space="0"/>
            </w:tcBorders>
            <w:tcW w:w="2358" w:type="dxa"/>
            <w:vAlign w:val="center"/>
            <w:textDirection w:val="lrTb"/>
            <w:noWrap w:val="false"/>
          </w:tcPr>
          <w:p>
            <w:pPr>
              <w:jc w:val="center"/>
              <w:spacing w:line="500" w:lineRule="exact"/>
              <w:rPr>
                <w:rFonts w:hint="eastAsia" w:ascii="宋体" w:hAnsi="宋体" w:eastAsia="Times New Roman"/>
                <w:color w:val="auto"/>
                <w:sz w:val="24"/>
                <w:highlight w:val="none"/>
              </w:rPr>
            </w:pPr>
            <w:r>
              <w:rPr>
                <w:rFonts w:ascii="宋体"/>
                <w:color w:val="auto"/>
                <w:sz w:val="24"/>
                <w:highlight w:val="none"/>
              </w:rPr>
              <w:t xml:space="preserve">年</w:t>
            </w:r>
            <w:r>
              <w:rPr>
                <w:rFonts w:hint="eastAsia" w:ascii="宋体" w:hAnsi="宋体" w:eastAsia="Times New Roman"/>
                <w:color w:val="auto"/>
                <w:sz w:val="24"/>
                <w:highlight w:val="none"/>
              </w:rPr>
              <w:t xml:space="preserve">     </w:t>
            </w:r>
            <w:r>
              <w:rPr>
                <w:rFonts w:ascii="宋体"/>
                <w:color w:val="auto"/>
                <w:sz w:val="24"/>
                <w:highlight w:val="none"/>
              </w:rPr>
              <w:t xml:space="preserve">月</w:t>
            </w:r>
            <w:r/>
          </w:p>
        </w:tc>
      </w:tr>
      <w:tr>
        <w:trPr>
          <w:cantSplit/>
          <w:jc w:val="center"/>
          <w:trHeight w:val="645"/>
        </w:trPr>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pStyle w:val="718"/>
              <w:ind w:firstLine="480"/>
              <w:jc w:val="center"/>
              <w:rPr>
                <w:rFonts w:hint="eastAsia" w:ascii="宋体"/>
                <w:color w:val="auto"/>
                <w:sz w:val="24"/>
                <w:highlight w:val="none"/>
              </w:rPr>
            </w:pPr>
            <w:r>
              <w:rPr>
                <w:rFonts w:hint="eastAsia" w:ascii="宋体" w:hAnsi="宋体"/>
                <w:color w:val="auto"/>
                <w:sz w:val="24"/>
                <w:highlight w:val="none"/>
              </w:rPr>
              <w:t xml:space="preserve">3</w:t>
            </w:r>
            <w:r/>
          </w:p>
        </w:tc>
        <w:tc>
          <w:tcPr>
            <w:gridSpan w:val="5"/>
            <w:tcBorders>
              <w:top w:val="single" w:color="auto" w:sz="6" w:space="0"/>
              <w:left w:val="none" w:color="000000" w:sz="4" w:space="0"/>
              <w:bottom w:val="single" w:color="auto" w:sz="6" w:space="0"/>
              <w:right w:val="single" w:color="auto" w:sz="6" w:space="0"/>
            </w:tcBorders>
            <w:tcW w:w="8940" w:type="dxa"/>
            <w:vAlign w:val="center"/>
            <w:textDirection w:val="lrTb"/>
            <w:noWrap w:val="false"/>
          </w:tcPr>
          <w:p>
            <w:pPr>
              <w:jc w:val="center"/>
              <w:spacing w:line="500" w:lineRule="exact"/>
              <w:rPr>
                <w:rFonts w:hint="eastAsia" w:ascii="宋体" w:hAnsi="宋体" w:eastAsia="Times New Roman"/>
                <w:color w:val="auto"/>
                <w:sz w:val="24"/>
                <w:highlight w:val="none"/>
              </w:rPr>
            </w:pPr>
            <w:r>
              <w:rPr>
                <w:rFonts w:ascii="宋体"/>
                <w:color w:val="auto"/>
                <w:sz w:val="24"/>
                <w:highlight w:val="none"/>
              </w:rPr>
              <w:t xml:space="preserve">联系电话</w:t>
            </w:r>
            <w:r>
              <w:rPr>
                <w:rFonts w:hint="eastAsia" w:ascii="宋体" w:hAnsi="宋体" w:eastAsia="Times New Roman"/>
                <w:color w:val="auto"/>
                <w:sz w:val="24"/>
                <w:highlight w:val="none"/>
              </w:rPr>
              <w:t xml:space="preserve">/</w:t>
            </w:r>
            <w:r>
              <w:rPr>
                <w:rFonts w:ascii="宋体"/>
                <w:color w:val="auto"/>
                <w:sz w:val="24"/>
                <w:highlight w:val="none"/>
              </w:rPr>
              <w:t xml:space="preserve">传真：</w:t>
            </w:r>
            <w:r>
              <w:rPr>
                <w:rFonts w:hint="eastAsia" w:ascii="宋体" w:hAnsi="宋体" w:eastAsia="Times New Roman"/>
                <w:color w:val="auto"/>
                <w:sz w:val="24"/>
                <w:highlight w:val="none"/>
              </w:rPr>
              <w:t xml:space="preserve"> </w:t>
            </w:r>
            <w:r/>
          </w:p>
        </w:tc>
      </w:tr>
      <w:tr>
        <w:trPr>
          <w:cantSplit/>
          <w:jc w:val="center"/>
          <w:trHeight w:val="1964"/>
        </w:trPr>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pStyle w:val="718"/>
              <w:ind w:firstLine="480"/>
              <w:jc w:val="center"/>
              <w:rPr>
                <w:rFonts w:hint="eastAsia" w:ascii="宋体"/>
                <w:color w:val="auto"/>
                <w:sz w:val="24"/>
                <w:highlight w:val="none"/>
              </w:rPr>
            </w:pPr>
            <w:r>
              <w:rPr>
                <w:rFonts w:hint="eastAsia" w:ascii="宋体" w:hAnsi="宋体"/>
                <w:color w:val="auto"/>
                <w:sz w:val="24"/>
                <w:highlight w:val="none"/>
              </w:rPr>
              <w:t xml:space="preserve">4</w:t>
            </w:r>
            <w:r/>
          </w:p>
        </w:tc>
        <w:tc>
          <w:tcPr>
            <w:gridSpan w:val="5"/>
            <w:tcBorders>
              <w:top w:val="single" w:color="auto" w:sz="6" w:space="0"/>
              <w:left w:val="none" w:color="000000" w:sz="4" w:space="0"/>
              <w:bottom w:val="single" w:color="auto" w:sz="6" w:space="0"/>
              <w:right w:val="single" w:color="auto" w:sz="6" w:space="0"/>
            </w:tcBorders>
            <w:tcW w:w="8940" w:type="dxa"/>
            <w:vAlign w:val="top"/>
            <w:textDirection w:val="lrTb"/>
            <w:noWrap w:val="false"/>
          </w:tcPr>
          <w:p>
            <w:pPr>
              <w:jc w:val="center"/>
              <w:spacing w:line="500" w:lineRule="exact"/>
              <w:rPr>
                <w:rFonts w:hint="eastAsia" w:ascii="宋体" w:hAnsi="宋体" w:eastAsia="Times New Roman"/>
                <w:color w:val="auto"/>
                <w:sz w:val="24"/>
                <w:highlight w:val="none"/>
              </w:rPr>
            </w:pPr>
            <w:r>
              <w:rPr>
                <w:rFonts w:ascii="宋体"/>
                <w:color w:val="auto"/>
                <w:sz w:val="24"/>
                <w:highlight w:val="none"/>
              </w:rPr>
              <w:t xml:space="preserve">从事本项工作时间及工作经历：</w:t>
            </w:r>
            <w:r/>
          </w:p>
        </w:tc>
      </w:tr>
      <w:tr>
        <w:trPr>
          <w:cantSplit/>
          <w:jc w:val="center"/>
          <w:trHeight w:val="625"/>
        </w:trPr>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pStyle w:val="718"/>
              <w:ind w:firstLine="480"/>
              <w:jc w:val="center"/>
              <w:rPr>
                <w:rFonts w:hint="eastAsia" w:ascii="宋体"/>
                <w:color w:val="auto"/>
                <w:sz w:val="24"/>
                <w:highlight w:val="none"/>
              </w:rPr>
            </w:pPr>
            <w:r>
              <w:rPr>
                <w:rFonts w:hint="eastAsia" w:ascii="宋体" w:hAnsi="宋体"/>
                <w:color w:val="auto"/>
                <w:sz w:val="24"/>
                <w:highlight w:val="none"/>
              </w:rPr>
              <w:t xml:space="preserve">5</w:t>
            </w:r>
            <w:r/>
          </w:p>
        </w:tc>
        <w:tc>
          <w:tcPr>
            <w:gridSpan w:val="5"/>
            <w:tcBorders>
              <w:top w:val="single" w:color="auto" w:sz="6" w:space="0"/>
              <w:left w:val="none" w:color="000000" w:sz="4" w:space="0"/>
              <w:bottom w:val="single" w:color="auto" w:sz="6" w:space="0"/>
              <w:right w:val="single" w:color="auto" w:sz="6" w:space="0"/>
            </w:tcBorders>
            <w:tcW w:w="8940" w:type="dxa"/>
            <w:vAlign w:val="center"/>
            <w:textDirection w:val="lrTb"/>
            <w:noWrap w:val="false"/>
          </w:tcPr>
          <w:p>
            <w:pPr>
              <w:jc w:val="center"/>
              <w:spacing w:line="500" w:lineRule="exact"/>
              <w:rPr>
                <w:rFonts w:hint="eastAsia" w:ascii="宋体" w:hAnsi="宋体" w:eastAsia="Times New Roman"/>
                <w:color w:val="auto"/>
                <w:sz w:val="24"/>
                <w:highlight w:val="none"/>
              </w:rPr>
            </w:pPr>
            <w:r>
              <w:rPr>
                <w:rFonts w:ascii="宋体"/>
                <w:color w:val="auto"/>
                <w:sz w:val="24"/>
                <w:highlight w:val="none"/>
              </w:rPr>
              <w:t xml:space="preserve">拥有关于本项服务方面的职称：</w:t>
            </w:r>
            <w:r/>
          </w:p>
        </w:tc>
      </w:tr>
      <w:tr>
        <w:trPr>
          <w:cantSplit/>
          <w:jc w:val="center"/>
          <w:trHeight w:val="641"/>
        </w:trPr>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ind w:left="-2"/>
              <w:jc w:val="center"/>
              <w:rPr>
                <w:rFonts w:hint="eastAsia" w:ascii="宋体" w:hAnsi="宋体"/>
                <w:color w:val="auto"/>
                <w:sz w:val="24"/>
                <w:highlight w:val="none"/>
              </w:rPr>
            </w:pPr>
            <w:r>
              <w:rPr>
                <w:rFonts w:hint="eastAsia" w:ascii="宋体" w:hAnsi="宋体"/>
                <w:color w:val="auto"/>
                <w:sz w:val="24"/>
                <w:highlight w:val="none"/>
              </w:rPr>
              <w:t xml:space="preserve">6</w:t>
            </w:r>
            <w:r/>
          </w:p>
        </w:tc>
        <w:tc>
          <w:tcPr>
            <w:gridSpan w:val="5"/>
            <w:tcBorders>
              <w:top w:val="single" w:color="auto" w:sz="6" w:space="0"/>
              <w:left w:val="none" w:color="000000" w:sz="4" w:space="0"/>
              <w:bottom w:val="single" w:color="auto" w:sz="6" w:space="0"/>
              <w:right w:val="single" w:color="auto" w:sz="6" w:space="0"/>
            </w:tcBorders>
            <w:tcW w:w="8940" w:type="dxa"/>
            <w:vAlign w:val="center"/>
            <w:textDirection w:val="lrTb"/>
            <w:noWrap w:val="false"/>
          </w:tcPr>
          <w:p>
            <w:pPr>
              <w:jc w:val="center"/>
              <w:spacing w:line="500" w:lineRule="exact"/>
              <w:rPr>
                <w:rFonts w:hint="eastAsia" w:ascii="宋体" w:hAnsi="宋体" w:eastAsia="Times New Roman"/>
                <w:color w:val="auto"/>
                <w:sz w:val="24"/>
                <w:highlight w:val="none"/>
              </w:rPr>
            </w:pPr>
            <w:r>
              <w:rPr>
                <w:rFonts w:ascii="宋体"/>
                <w:color w:val="auto"/>
                <w:sz w:val="24"/>
                <w:highlight w:val="none"/>
              </w:rPr>
              <w:t xml:space="preserve">曾获得的关于本项服务方面的奖励情况：</w:t>
            </w:r>
            <w:r/>
          </w:p>
        </w:tc>
      </w:tr>
      <w:tr>
        <w:trPr>
          <w:cantSplit/>
          <w:jc w:val="center"/>
          <w:trHeight w:val="1708"/>
        </w:trPr>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ind w:left="-2"/>
              <w:jc w:val="center"/>
              <w:rPr>
                <w:rFonts w:hint="eastAsia" w:ascii="宋体" w:hAnsi="宋体"/>
                <w:color w:val="auto"/>
                <w:sz w:val="24"/>
                <w:highlight w:val="none"/>
              </w:rPr>
            </w:pPr>
            <w:r>
              <w:rPr>
                <w:rFonts w:hint="eastAsia" w:ascii="宋体" w:hAnsi="宋体"/>
                <w:color w:val="auto"/>
                <w:sz w:val="24"/>
                <w:highlight w:val="none"/>
              </w:rPr>
              <w:t xml:space="preserve">7</w:t>
            </w:r>
            <w:r/>
          </w:p>
        </w:tc>
        <w:tc>
          <w:tcPr>
            <w:gridSpan w:val="5"/>
            <w:tcBorders>
              <w:top w:val="single" w:color="auto" w:sz="6" w:space="0"/>
              <w:left w:val="none" w:color="000000" w:sz="4" w:space="0"/>
              <w:bottom w:val="single" w:color="auto" w:sz="6" w:space="0"/>
              <w:right w:val="single" w:color="auto" w:sz="6" w:space="0"/>
            </w:tcBorders>
            <w:tcW w:w="8940" w:type="dxa"/>
            <w:vAlign w:val="top"/>
            <w:textDirection w:val="lrTb"/>
            <w:noWrap w:val="false"/>
          </w:tcPr>
          <w:p>
            <w:pPr>
              <w:jc w:val="center"/>
              <w:spacing w:line="500" w:lineRule="exact"/>
              <w:rPr>
                <w:rFonts w:hint="eastAsia" w:ascii="宋体" w:hAnsi="宋体" w:eastAsia="Times New Roman"/>
                <w:color w:val="auto"/>
                <w:sz w:val="24"/>
                <w:highlight w:val="none"/>
              </w:rPr>
            </w:pPr>
            <w:r>
              <w:rPr>
                <w:rFonts w:ascii="宋体"/>
                <w:color w:val="auto"/>
                <w:sz w:val="24"/>
                <w:highlight w:val="none"/>
              </w:rPr>
              <w:t xml:space="preserve">近</w:t>
            </w:r>
            <w:r>
              <w:rPr>
                <w:rFonts w:hint="eastAsia" w:ascii="宋体" w:hAnsi="宋体" w:eastAsia="Times New Roman"/>
                <w:color w:val="auto"/>
                <w:sz w:val="24"/>
                <w:highlight w:val="none"/>
              </w:rPr>
              <w:t xml:space="preserve">3</w:t>
            </w:r>
            <w:r>
              <w:rPr>
                <w:rFonts w:ascii="宋体"/>
                <w:color w:val="auto"/>
                <w:sz w:val="24"/>
                <w:highlight w:val="none"/>
              </w:rPr>
              <w:t xml:space="preserve">年内负责的相关项目：</w:t>
            </w:r>
            <w:r/>
          </w:p>
        </w:tc>
      </w:tr>
      <w:tr>
        <w:trPr>
          <w:cantSplit/>
          <w:jc w:val="center"/>
          <w:trHeight w:val="607"/>
        </w:trPr>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ind w:left="-2"/>
              <w:jc w:val="center"/>
              <w:rPr>
                <w:rFonts w:hint="eastAsia" w:ascii="宋体" w:hAnsi="宋体"/>
                <w:color w:val="auto"/>
                <w:sz w:val="24"/>
                <w:highlight w:val="none"/>
              </w:rPr>
            </w:pPr>
            <w:r>
              <w:rPr>
                <w:rFonts w:hint="eastAsia" w:ascii="宋体" w:hAnsi="宋体"/>
                <w:color w:val="auto"/>
                <w:sz w:val="24"/>
                <w:highlight w:val="none"/>
              </w:rPr>
              <w:t xml:space="preserve">8</w:t>
            </w:r>
            <w:r/>
          </w:p>
        </w:tc>
        <w:tc>
          <w:tcPr>
            <w:gridSpan w:val="5"/>
            <w:tcBorders>
              <w:top w:val="single" w:color="auto" w:sz="6" w:space="0"/>
              <w:left w:val="none" w:color="000000" w:sz="4" w:space="0"/>
              <w:bottom w:val="single" w:color="auto" w:sz="6" w:space="0"/>
              <w:right w:val="single" w:color="auto" w:sz="6" w:space="0"/>
            </w:tcBorders>
            <w:tcW w:w="8940" w:type="dxa"/>
            <w:vAlign w:val="center"/>
            <w:textDirection w:val="lrTb"/>
            <w:noWrap w:val="false"/>
          </w:tcPr>
          <w:p>
            <w:pPr>
              <w:jc w:val="center"/>
              <w:spacing w:line="500" w:lineRule="exact"/>
              <w:rPr>
                <w:rFonts w:hint="eastAsia" w:ascii="宋体" w:hAnsi="宋体" w:eastAsia="Times New Roman"/>
                <w:color w:val="auto"/>
                <w:sz w:val="24"/>
                <w:highlight w:val="none"/>
              </w:rPr>
            </w:pPr>
            <w:r>
              <w:rPr>
                <w:rFonts w:ascii="宋体"/>
                <w:color w:val="auto"/>
                <w:sz w:val="24"/>
                <w:highlight w:val="none"/>
              </w:rPr>
              <w:t xml:space="preserve">其他需要说明的情况</w:t>
            </w:r>
            <w:r/>
          </w:p>
        </w:tc>
      </w:tr>
    </w:tbl>
    <w:p>
      <w:pPr>
        <w:spacing w:line="520" w:lineRule="exact"/>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法定代表人或法定代表人授权委托人（签字或盖章）：</w:t>
      </w:r>
      <w:r/>
    </w:p>
    <w:p>
      <w:pPr>
        <w:ind w:firstLine="2160"/>
        <w:rPr>
          <w:rFonts w:ascii="宋体" w:hAnsi="宋体" w:cs="宋体"/>
          <w:bCs/>
          <w:color w:val="auto"/>
          <w:sz w:val="24"/>
          <w:highlight w:val="none"/>
        </w:rPr>
      </w:pPr>
      <w:r>
        <w:rPr>
          <w:rFonts w:hint="eastAsia" w:ascii="宋体" w:hAnsi="宋体" w:cs="宋体"/>
          <w:bCs/>
          <w:color w:val="auto"/>
          <w:sz w:val="24"/>
          <w:highlight w:val="none"/>
        </w:rPr>
        <w:t xml:space="preserve">  年   月    日</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ind w:firstLine="480"/>
        <w:spacing w:line="360" w:lineRule="auto"/>
        <w:rPr>
          <w:rFonts w:hint="eastAsia" w:ascii="黑体" w:hAnsi="宋体" w:eastAsia="黑体"/>
          <w:bCs/>
          <w:color w:val="auto"/>
          <w:sz w:val="24"/>
          <w:szCs w:val="24"/>
          <w:highlight w:val="none"/>
          <w:lang w:eastAsia="zh-CN"/>
        </w:rPr>
      </w:pPr>
      <w:r>
        <w:rPr>
          <w:rFonts w:hint="eastAsia" w:ascii="黑体" w:hAnsi="宋体" w:eastAsia="黑体"/>
          <w:bCs/>
          <w:color w:val="auto"/>
          <w:sz w:val="24"/>
          <w:szCs w:val="24"/>
          <w:highlight w:val="none"/>
        </w:rPr>
        <w:t xml:space="preserve">（十三）</w:t>
      </w:r>
      <w:r>
        <w:rPr>
          <w:rFonts w:hint="eastAsia" w:ascii="黑体" w:hAnsi="黑体" w:eastAsia="黑体" w:cs="黑体"/>
          <w:bCs/>
          <w:color w:val="auto"/>
          <w:sz w:val="24"/>
          <w:szCs w:val="24"/>
          <w:highlight w:val="none"/>
        </w:rPr>
        <w:t xml:space="preserve">中标标段优先顺序承诺函</w:t>
      </w:r>
      <w:r>
        <w:rPr>
          <w:rFonts w:hint="eastAsia" w:ascii="黑体" w:hAnsi="宋体" w:eastAsia="黑体"/>
          <w:bCs/>
          <w:color w:val="auto"/>
          <w:sz w:val="24"/>
          <w:szCs w:val="24"/>
          <w:highlight w:val="none"/>
        </w:rPr>
        <w:t xml:space="preserve">（格式）</w:t>
      </w:r>
      <w:r>
        <w:rPr>
          <w:rFonts w:hint="eastAsia" w:ascii="黑体" w:hAnsi="宋体" w:eastAsia="黑体"/>
          <w:bCs/>
          <w:color w:val="auto"/>
          <w:sz w:val="24"/>
          <w:szCs w:val="24"/>
          <w:highlight w:val="none"/>
          <w:lang w:eastAsia="zh-CN"/>
        </w:rPr>
        <w:t xml:space="preserve">：</w:t>
      </w:r>
      <w:r/>
    </w:p>
    <w:p>
      <w:pPr>
        <w:pStyle w:val="718"/>
        <w:rPr>
          <w:rFonts w:hint="eastAsia"/>
          <w:color w:val="auto"/>
          <w:highlight w:val="none"/>
        </w:rPr>
      </w:pPr>
      <w:r>
        <w:rPr>
          <w:rFonts w:hint="eastAsia"/>
          <w:color w:val="auto"/>
          <w:highlight w:val="none"/>
        </w:rPr>
      </w:r>
      <w:r/>
    </w:p>
    <w:p>
      <w:pPr>
        <w:jc w:val="center"/>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t xml:space="preserve">中标标段优先顺序承诺函</w:t>
      </w:r>
      <w:r/>
    </w:p>
    <w:p>
      <w:pPr>
        <w:pStyle w:val="718"/>
        <w:rPr>
          <w:rFonts w:hint="eastAsia"/>
          <w:color w:val="auto"/>
          <w:highlight w:val="none"/>
        </w:rPr>
      </w:pPr>
      <w:r>
        <w:rPr>
          <w:rFonts w:hint="eastAsia"/>
          <w:color w:val="auto"/>
          <w:highlight w:val="none"/>
        </w:rPr>
      </w:r>
      <w:r/>
    </w:p>
    <w:p>
      <w:pPr>
        <w:rPr>
          <w:rFonts w:hint="eastAsia" w:ascii="宋体" w:hAnsi="宋体" w:cs="宋体"/>
          <w:b/>
          <w:bCs/>
          <w:color w:val="auto"/>
          <w:sz w:val="24"/>
          <w:highlight w:val="none"/>
          <w:u w:val="single"/>
        </w:rPr>
      </w:pPr>
      <w:r>
        <w:rPr>
          <w:rFonts w:hint="eastAsia" w:ascii="宋体" w:hAnsi="宋体" w:cs="宋体"/>
          <w:bCs/>
          <w:color w:val="auto"/>
          <w:sz w:val="24"/>
          <w:highlight w:val="none"/>
        </w:rPr>
        <w:t xml:space="preserve">致：</w:t>
      </w:r>
      <w:r>
        <w:rPr>
          <w:rFonts w:hint="eastAsia" w:ascii="宋体" w:hAnsi="宋体" w:cs="宋体"/>
          <w:b/>
          <w:bCs/>
          <w:color w:val="auto"/>
          <w:sz w:val="24"/>
          <w:highlight w:val="none"/>
          <w:u w:val="single"/>
        </w:rPr>
        <w:t xml:space="preserve">    （采购人）             ：</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1、我公司完全理解</w:t>
      </w:r>
      <w:r>
        <w:rPr>
          <w:rFonts w:hint="eastAsia" w:ascii="宋体" w:hAnsi="宋体" w:cs="宋体"/>
          <w:color w:val="auto"/>
          <w:sz w:val="24"/>
          <w:highlight w:val="none"/>
        </w:rPr>
        <w:t xml:space="preserve">本次投标最多可中一个标段的要求。</w:t>
      </w:r>
      <w:r>
        <w:rPr>
          <w:rFonts w:hint="eastAsia" w:ascii="宋体" w:hAnsi="宋体" w:cs="宋体"/>
          <w:bCs/>
          <w:color w:val="auto"/>
          <w:sz w:val="24"/>
          <w:highlight w:val="none"/>
        </w:rPr>
        <w:t xml:space="preserve">将按照供应商承诺的中标标段优先顺序确定成交标段，并放弃对这方面有不明或误解的权利。</w:t>
      </w:r>
      <w:r/>
    </w:p>
    <w:p>
      <w:pPr>
        <w:ind w:firstLine="480"/>
        <w:spacing w:line="40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2、如果我公司经评委评审后在多个标段评分排名均为第一名时，我公司愿意按照下表的优先顺序选择排列于前的标段中标，放弃其余标段的中标权。</w:t>
      </w:r>
      <w:r/>
    </w:p>
    <w:p>
      <w:pPr>
        <w:ind w:firstLine="480"/>
        <w:spacing w:line="40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r>
      <w:r/>
    </w:p>
    <w:tbl>
      <w:tblPr>
        <w:tblStyle w:val="715"/>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37"/>
        <w:gridCol w:w="6817"/>
      </w:tblGrid>
      <w:tr>
        <w:trPr>
          <w:jc w:val="center"/>
          <w:trHeight w:val="399"/>
        </w:trPr>
        <w:tc>
          <w:tcPr>
            <w:tcW w:w="313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中标优先顺序</w:t>
            </w:r>
            <w:r/>
          </w:p>
        </w:tc>
        <w:tc>
          <w:tcPr>
            <w:tcW w:w="681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标段</w:t>
            </w:r>
            <w:r/>
          </w:p>
        </w:tc>
      </w:tr>
      <w:tr>
        <w:trPr>
          <w:jc w:val="center"/>
          <w:trHeight w:val="447"/>
        </w:trPr>
        <w:tc>
          <w:tcPr>
            <w:tcW w:w="313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1</w:t>
            </w:r>
            <w:r/>
          </w:p>
        </w:tc>
        <w:tc>
          <w:tcPr>
            <w:tcW w:w="6818" w:type="dxa"/>
            <w:vAlign w:val="center"/>
            <w:textDirection w:val="lrTb"/>
            <w:noWrap w:val="false"/>
          </w:tcPr>
          <w:p>
            <w:pPr>
              <w:ind w:firstLine="560"/>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454"/>
        </w:trPr>
        <w:tc>
          <w:tcPr>
            <w:tcW w:w="3138"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2</w:t>
            </w:r>
            <w:r/>
          </w:p>
        </w:tc>
        <w:tc>
          <w:tcPr>
            <w:tcW w:w="6818" w:type="dxa"/>
            <w:vAlign w:val="center"/>
            <w:textDirection w:val="lrTb"/>
            <w:noWrap w:val="false"/>
          </w:tcPr>
          <w:p>
            <w:pPr>
              <w:ind w:firstLine="560"/>
              <w:jc w:val="center"/>
              <w:rPr>
                <w:rFonts w:hint="eastAsia" w:ascii="宋体" w:hAnsi="宋体" w:cs="宋体"/>
                <w:bCs/>
                <w:color w:val="auto"/>
                <w:sz w:val="24"/>
                <w:highlight w:val="none"/>
              </w:rPr>
            </w:pPr>
            <w:r>
              <w:rPr>
                <w:rFonts w:hint="eastAsia" w:ascii="宋体" w:hAnsi="宋体" w:cs="宋体"/>
                <w:bCs/>
                <w:color w:val="auto"/>
                <w:sz w:val="24"/>
                <w:highlight w:val="none"/>
              </w:rPr>
            </w:r>
            <w:r/>
          </w:p>
        </w:tc>
      </w:tr>
    </w:tbl>
    <w:p>
      <w:pPr>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560"/>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                             供应商（盖章）：</w:t>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5760"/>
        <w:jc w:val="left"/>
        <w:rPr>
          <w:rFonts w:hint="eastAsia" w:ascii="宋体" w:hAnsi="宋体" w:cs="宋体"/>
          <w:color w:val="auto"/>
          <w:sz w:val="24"/>
          <w:highlight w:val="none"/>
        </w:rPr>
      </w:pPr>
      <w:r>
        <w:rPr>
          <w:rFonts w:hint="eastAsia" w:ascii="宋体" w:hAnsi="宋体" w:cs="宋体"/>
          <w:color w:val="auto"/>
          <w:sz w:val="24"/>
          <w:highlight w:val="none"/>
        </w:rPr>
        <w:t xml:space="preserve">日期：</w:t>
      </w:r>
      <w:r/>
    </w:p>
    <w:p>
      <w:pPr>
        <w:rPr>
          <w:rFonts w:ascii="宋体" w:hAnsi="宋体"/>
          <w:bCs/>
          <w:color w:val="auto"/>
          <w:szCs w:val="21"/>
          <w:highlight w:val="none"/>
        </w:rPr>
      </w:pPr>
      <w:r>
        <w:rPr>
          <w:rFonts w:ascii="宋体" w:hAnsi="宋体"/>
          <w:bCs/>
          <w:color w:val="auto"/>
          <w:szCs w:val="21"/>
          <w:highlight w:val="none"/>
        </w:rPr>
        <w:br w:type="page" w:clear="all"/>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lang w:val="en-US" w:eastAsia="zh-CN"/>
        </w:rPr>
        <w:t xml:space="preserve">十四</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技术方案（格式自拟）</w:t>
      </w:r>
      <w:r/>
    </w:p>
    <w:p>
      <w:pPr>
        <w:ind w:firstLine="48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968"/>
        <w:ind w:firstLine="0"/>
        <w:rPr>
          <w:rFonts w:ascii="宋体" w:hAnsi="宋体"/>
          <w:bCs/>
          <w:color w:val="auto"/>
          <w:sz w:val="24"/>
          <w:szCs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bookmarkEnd w:id="8"/>
      <w:r/>
      <w:r/>
    </w:p>
    <w:sectPr>
      <w:headerReference w:type="default" r:id="rId9"/>
      <w:headerReference w:type="first" r:id="rId10"/>
      <w:footerReference w:type="default" r:id="rId11"/>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Arial">
    <w:panose1 w:val="020B0604020202020204"/>
  </w:font>
  <w:font w:name="华文细黑">
    <w:panose1 w:val="02010600040101010101"/>
  </w:font>
  <w:font w:name="Cambria">
    <w:panose1 w:val="02040503050406030204"/>
  </w:font>
  <w:font w:name="Courier New">
    <w:panose1 w:val="02070309020205020404"/>
  </w:font>
  <w:font w:name="黑体">
    <w:panose1 w:val="02010609060101010101"/>
  </w:font>
  <w:font w:name="仿宋_GB2312">
    <w:panose1 w:val="02010609060101010101"/>
  </w:font>
  <w:font w:name="华文中宋">
    <w:panose1 w:val="02010600040101010101"/>
  </w:font>
  <w:font w:name="楷体_GB2312">
    <w:panose1 w:val="0201060906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Pr>
        <w:rFonts w:hint="eastAsia" w:ascii="宋体" w:hAnsi="宋体"/>
        <w:lang w:eastAsia="zh-CN"/>
      </w:rPr>
      <w:t xml:space="preserve">JSZC-320214-JSZH-G2025-0021</w:t>
    </w:r>
    <w:r>
      <w:rPr>
        <w:rFonts w:hint="eastAsia" w:ascii="宋体" w:hAnsi="宋体"/>
        <w:lang w:val="en-US" w:eastAsia="zh-CN"/>
      </w:rPr>
      <w:t xml:space="preserve">                   </w:t>
    </w:r>
    <w:r>
      <w:rPr>
        <w:rFonts w:hint="eastAsia" w:ascii="宋体" w:hAnsi="宋体"/>
        <w:lang w:eastAsia="zh-CN"/>
      </w:rPr>
      <w:t xml:space="preserve">2025年新吴区农产品质量安全风险监测及监督抽查项目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Pr>
        <w:rFonts w:hint="eastAsia" w:ascii="宋体" w:hAnsi="宋体"/>
        <w:lang w:eastAsia="zh-CN"/>
      </w:rPr>
      <w:t xml:space="preserve">JSZC-320214-JSZH-G2025-00212025年新吴区农产品质量安全风险监测及监督抽查项目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73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7">
    <w:multiLevelType w:val="hybridMultilevel"/>
    <w:lvl w:ilvl="0">
      <w:start w:val="1"/>
      <w:numFmt w:val="bullet"/>
      <w:pStyle w:val="720"/>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713"/>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2">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5">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num w:numId="1">
    <w:abstractNumId w:val="9"/>
  </w:num>
  <w:num w:numId="2">
    <w:abstractNumId w:val="7"/>
  </w:num>
  <w:num w:numId="3">
    <w:abstractNumId w:val="6"/>
  </w:num>
  <w:num w:numId="4">
    <w:abstractNumId w:val="5"/>
  </w:num>
  <w:num w:numId="5">
    <w:abstractNumId w:val="2"/>
  </w:num>
  <w:num w:numId="6">
    <w:abstractNumId w:val="12"/>
  </w:num>
  <w:num w:numId="7">
    <w:abstractNumId w:val="13"/>
  </w:num>
  <w:num w:numId="8">
    <w:abstractNumId w:val="8"/>
  </w:num>
  <w:num w:numId="9">
    <w:abstractNumId w:val="11"/>
  </w:num>
  <w:num w:numId="10">
    <w:abstractNumId w:val="3"/>
  </w:num>
  <w:num w:numId="11">
    <w:abstractNumId w:val="16"/>
  </w:num>
  <w:num w:numId="12">
    <w:abstractNumId w:val="15"/>
  </w:num>
  <w:num w:numId="13">
    <w:abstractNumId w:val="4"/>
  </w:num>
  <w:num w:numId="14">
    <w:abstractNumId w:val="14"/>
  </w:num>
  <w:num w:numId="15">
    <w:abstractNumId w:val="0"/>
  </w:num>
  <w:num w:numId="16">
    <w:abstractNumId w:val="1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16"/>
    <w:uiPriority w:val="0"/>
    <w:qFormat/>
    <w:pPr>
      <w:jc w:val="both"/>
      <w:widowControl w:val="off"/>
    </w:pPr>
    <w:rPr>
      <w:rFonts w:hint="default" w:ascii="Times New Roman" w:hAnsi="Times New Roman" w:eastAsia="宋体" w:cs="Times New Roman"/>
      <w:sz w:val="21"/>
      <w:lang w:val="en-US" w:eastAsia="zh-CN" w:bidi="ar-SA"/>
    </w:rPr>
  </w:style>
  <w:style w:type="paragraph" w:styleId="709">
    <w:name w:val="Heading 1"/>
    <w:basedOn w:val="708"/>
    <w:next w:val="708"/>
    <w:link w:val="938"/>
    <w:uiPriority w:val="99"/>
    <w:qFormat/>
    <w:pPr>
      <w:jc w:val="center"/>
      <w:keepNext/>
      <w:outlineLvl w:val="0"/>
    </w:pPr>
    <w:rPr>
      <w:rFonts w:ascii="楷体_GB2312" w:eastAsia="楷体_GB2312"/>
      <w:b/>
      <w:sz w:val="28"/>
    </w:rPr>
  </w:style>
  <w:style w:type="paragraph" w:styleId="710">
    <w:name w:val="Heading 2"/>
    <w:basedOn w:val="708"/>
    <w:next w:val="708"/>
    <w:link w:val="939"/>
    <w:uiPriority w:val="99"/>
    <w:qFormat/>
    <w:pPr>
      <w:jc w:val="center"/>
      <w:keepNext/>
      <w:outlineLvl w:val="1"/>
    </w:pPr>
    <w:rPr>
      <w:rFonts w:ascii="楷体_GB2312" w:eastAsia="楷体_GB2312"/>
      <w:b/>
      <w:bCs/>
      <w:sz w:val="18"/>
    </w:rPr>
  </w:style>
  <w:style w:type="paragraph" w:styleId="711">
    <w:name w:val="Heading 3"/>
    <w:basedOn w:val="708"/>
    <w:next w:val="708"/>
    <w:link w:val="940"/>
    <w:uiPriority w:val="99"/>
    <w:qFormat/>
    <w:pPr>
      <w:jc w:val="center"/>
      <w:keepNext/>
      <w:outlineLvl w:val="2"/>
    </w:pPr>
    <w:rPr>
      <w:rFonts w:eastAsia="楷体_GB2312"/>
      <w:b/>
      <w:bCs/>
      <w:sz w:val="15"/>
    </w:rPr>
  </w:style>
  <w:style w:type="paragraph" w:styleId="712">
    <w:name w:val="Heading 4"/>
    <w:basedOn w:val="708"/>
    <w:next w:val="708"/>
    <w:link w:val="941"/>
    <w:uiPriority w:val="99"/>
    <w:qFormat/>
    <w:pPr>
      <w:jc w:val="center"/>
      <w:keepNext/>
      <w:outlineLvl w:val="3"/>
    </w:pPr>
    <w:rPr>
      <w:rFonts w:eastAsia="楷体_GB2312"/>
      <w:b/>
      <w:bCs/>
      <w:sz w:val="13"/>
    </w:rPr>
  </w:style>
  <w:style w:type="paragraph" w:styleId="713">
    <w:name w:val="Heading 5"/>
    <w:basedOn w:val="708"/>
    <w:next w:val="708"/>
    <w:link w:val="942"/>
    <w:uiPriority w:val="99"/>
    <w:qFormat/>
    <w:pPr>
      <w:numPr>
        <w:ilvl w:val="0"/>
        <w:numId w:val="1"/>
      </w:numPr>
      <w:keepNext/>
      <w:outlineLvl w:val="4"/>
    </w:pPr>
    <w:rPr>
      <w:rFonts w:ascii="楷体_GB2312" w:eastAsia="楷体_GB2312"/>
      <w:bCs/>
      <w:sz w:val="28"/>
    </w:rPr>
  </w:style>
  <w:style w:type="character" w:styleId="714" w:default="1">
    <w:name w:val="Default Paragraph Font"/>
    <w:uiPriority w:val="1"/>
    <w:qFormat/>
  </w:style>
  <w:style w:type="table" w:styleId="715" w:default="1">
    <w:name w:val="Normal Table"/>
    <w:uiPriority w:val="99"/>
    <w:qFormat/>
    <w:tblPr>
      <w:tblCellMar>
        <w:left w:w="108" w:type="dxa"/>
        <w:top w:w="0" w:type="dxa"/>
        <w:right w:w="108" w:type="dxa"/>
        <w:bottom w:w="0" w:type="dxa"/>
      </w:tblCellMar>
    </w:tblPr>
  </w:style>
  <w:style w:type="paragraph" w:styleId="716" w:customStyle="1">
    <w:name w:val="段"/>
    <w:next w:val="708"/>
    <w:uiPriority w:val="0"/>
    <w:qFormat/>
    <w:pPr>
      <w:ind w:firstLine="200"/>
      <w:jc w:val="both"/>
    </w:pPr>
    <w:rPr>
      <w:rFonts w:hint="default" w:ascii="宋体" w:hAnsi="Times New Roman" w:eastAsia="宋体" w:cs="Times New Roman"/>
      <w:sz w:val="21"/>
      <w:lang w:val="en-US" w:eastAsia="zh-CN" w:bidi="ar-SA"/>
    </w:rPr>
  </w:style>
  <w:style w:type="paragraph" w:styleId="717">
    <w:name w:val="toc 7"/>
    <w:basedOn w:val="708"/>
    <w:next w:val="708"/>
    <w:uiPriority w:val="39"/>
    <w:qFormat/>
    <w:pPr>
      <w:ind w:left="1701"/>
      <w:spacing w:after="57"/>
    </w:pPr>
  </w:style>
  <w:style w:type="paragraph" w:styleId="718">
    <w:name w:val="Normal Indent"/>
    <w:basedOn w:val="708"/>
    <w:link w:val="943"/>
    <w:uiPriority w:val="0"/>
    <w:qFormat/>
    <w:pPr>
      <w:ind w:firstLine="420"/>
    </w:pPr>
    <w:rPr>
      <w:szCs w:val="24"/>
    </w:rPr>
  </w:style>
  <w:style w:type="paragraph" w:styleId="719">
    <w:name w:val="index 5"/>
    <w:basedOn w:val="708"/>
    <w:next w:val="708"/>
    <w:uiPriority w:val="99"/>
    <w:qFormat/>
    <w:pPr>
      <w:ind w:left="800"/>
    </w:pPr>
  </w:style>
  <w:style w:type="paragraph" w:styleId="720">
    <w:name w:val="List Bullet"/>
    <w:basedOn w:val="708"/>
    <w:uiPriority w:val="99"/>
    <w:semiHidden/>
    <w:unhideWhenUsed/>
    <w:qFormat/>
    <w:pPr>
      <w:numPr>
        <w:ilvl w:val="0"/>
        <w:numId w:val="2"/>
      </w:numPr>
    </w:pPr>
  </w:style>
  <w:style w:type="paragraph" w:styleId="721">
    <w:name w:val="Document Map"/>
    <w:basedOn w:val="708"/>
    <w:next w:val="708"/>
    <w:link w:val="944"/>
    <w:uiPriority w:val="99"/>
    <w:qFormat/>
    <w:pPr>
      <w:shd w:val="clear" w:color="auto" w:fill="000080"/>
    </w:pPr>
    <w:rPr>
      <w:sz w:val="20"/>
    </w:rPr>
  </w:style>
  <w:style w:type="paragraph" w:styleId="722">
    <w:name w:val="annotation text"/>
    <w:basedOn w:val="708"/>
    <w:link w:val="945"/>
    <w:uiPriority w:val="0"/>
    <w:qFormat/>
    <w:pPr>
      <w:jc w:val="left"/>
    </w:pPr>
    <w:rPr>
      <w:sz w:val="20"/>
      <w:szCs w:val="24"/>
    </w:rPr>
  </w:style>
  <w:style w:type="paragraph" w:styleId="723">
    <w:name w:val="Body Text"/>
    <w:basedOn w:val="708"/>
    <w:link w:val="946"/>
    <w:uiPriority w:val="99"/>
    <w:qFormat/>
    <w:rPr>
      <w:rFonts w:ascii="华文中宋" w:eastAsia="华文中宋"/>
      <w:bCs/>
      <w:sz w:val="28"/>
    </w:rPr>
  </w:style>
  <w:style w:type="paragraph" w:styleId="724">
    <w:name w:val="Body Text Indent"/>
    <w:basedOn w:val="708"/>
    <w:next w:val="725"/>
    <w:link w:val="947"/>
    <w:uiPriority w:val="0"/>
    <w:qFormat/>
    <w:pPr>
      <w:ind w:firstLine="576"/>
    </w:pPr>
    <w:rPr>
      <w:b/>
      <w:sz w:val="30"/>
    </w:rPr>
  </w:style>
  <w:style w:type="paragraph" w:styleId="725" w:customStyle="1">
    <w:name w:val="正文文本首行缩进 2"/>
    <w:basedOn w:val="724"/>
    <w:uiPriority w:val="99"/>
    <w:qFormat/>
    <w:pPr>
      <w:ind w:left="156" w:firstLine="420"/>
      <w:spacing w:line="200" w:lineRule="atLeast"/>
      <w:widowControl/>
    </w:pPr>
    <w:rPr>
      <w:rFonts w:ascii="宋体" w:hAnsi="Courier New" w:eastAsia="仿宋_GB2312"/>
      <w:b w:val="0"/>
      <w:spacing w:val="-4"/>
      <w:sz w:val="18"/>
    </w:rPr>
  </w:style>
  <w:style w:type="paragraph" w:styleId="726">
    <w:name w:val="toc 5"/>
    <w:basedOn w:val="708"/>
    <w:next w:val="708"/>
    <w:uiPriority w:val="39"/>
    <w:qFormat/>
    <w:pPr>
      <w:ind w:left="1134"/>
      <w:spacing w:after="57"/>
    </w:pPr>
  </w:style>
  <w:style w:type="paragraph" w:styleId="727">
    <w:name w:val="toc 3"/>
    <w:basedOn w:val="708"/>
    <w:next w:val="708"/>
    <w:uiPriority w:val="39"/>
    <w:qFormat/>
    <w:pPr>
      <w:ind w:left="567"/>
      <w:spacing w:after="57"/>
    </w:pPr>
  </w:style>
  <w:style w:type="paragraph" w:styleId="728">
    <w:name w:val="Plain Text"/>
    <w:basedOn w:val="708"/>
    <w:link w:val="948"/>
    <w:uiPriority w:val="0"/>
    <w:qFormat/>
    <w:rPr>
      <w:rFonts w:ascii="宋体" w:hAnsi="Courier New"/>
      <w:szCs w:val="21"/>
    </w:rPr>
  </w:style>
  <w:style w:type="paragraph" w:styleId="729">
    <w:name w:val="toc 8"/>
    <w:basedOn w:val="708"/>
    <w:next w:val="708"/>
    <w:uiPriority w:val="39"/>
    <w:qFormat/>
    <w:pPr>
      <w:ind w:left="1984"/>
      <w:spacing w:after="57"/>
    </w:pPr>
  </w:style>
  <w:style w:type="paragraph" w:styleId="730">
    <w:name w:val="Date"/>
    <w:basedOn w:val="708"/>
    <w:next w:val="708"/>
    <w:link w:val="949"/>
    <w:uiPriority w:val="99"/>
    <w:qFormat/>
    <w:rPr>
      <w:rFonts w:eastAsia="黑体"/>
      <w:b/>
      <w:sz w:val="36"/>
    </w:rPr>
  </w:style>
  <w:style w:type="paragraph" w:styleId="731">
    <w:name w:val="Body Text Indent 2"/>
    <w:basedOn w:val="708"/>
    <w:link w:val="950"/>
    <w:uiPriority w:val="99"/>
    <w:qFormat/>
    <w:pPr>
      <w:ind w:left="900"/>
    </w:pPr>
    <w:rPr>
      <w:rFonts w:ascii="楷体_GB2312" w:eastAsia="楷体_GB2312"/>
      <w:b/>
      <w:sz w:val="28"/>
    </w:rPr>
  </w:style>
  <w:style w:type="paragraph" w:styleId="732">
    <w:name w:val="endnote text"/>
    <w:basedOn w:val="708"/>
    <w:link w:val="936"/>
    <w:uiPriority w:val="99"/>
    <w:qFormat/>
    <w:rPr>
      <w:sz w:val="20"/>
    </w:rPr>
  </w:style>
  <w:style w:type="paragraph" w:styleId="733">
    <w:name w:val="Balloon Text"/>
    <w:basedOn w:val="708"/>
    <w:link w:val="951"/>
    <w:uiPriority w:val="99"/>
    <w:qFormat/>
    <w:rPr>
      <w:sz w:val="18"/>
      <w:szCs w:val="18"/>
    </w:rPr>
  </w:style>
  <w:style w:type="paragraph" w:styleId="734">
    <w:name w:val="Footer"/>
    <w:basedOn w:val="708"/>
    <w:link w:val="952"/>
    <w:uiPriority w:val="99"/>
    <w:qFormat/>
    <w:pPr>
      <w:jc w:val="left"/>
      <w:tabs>
        <w:tab w:val="center" w:pos="4153" w:leader="none"/>
        <w:tab w:val="right" w:pos="8306" w:leader="none"/>
      </w:tabs>
    </w:pPr>
    <w:rPr>
      <w:sz w:val="18"/>
      <w:szCs w:val="18"/>
    </w:rPr>
  </w:style>
  <w:style w:type="paragraph" w:styleId="735">
    <w:name w:val="Header"/>
    <w:basedOn w:val="708"/>
    <w:link w:val="953"/>
    <w:uiPriority w:val="0"/>
    <w:qFormat/>
    <w:pPr>
      <w:jc w:val="center"/>
      <w:tabs>
        <w:tab w:val="center" w:pos="4153" w:leader="none"/>
        <w:tab w:val="right" w:pos="8306" w:leader="none"/>
      </w:tabs>
      <w:pBdr>
        <w:bottom w:val="single" w:color="000000" w:sz="6" w:space="1"/>
      </w:pBdr>
    </w:pPr>
    <w:rPr>
      <w:sz w:val="18"/>
      <w:szCs w:val="18"/>
    </w:rPr>
  </w:style>
  <w:style w:type="paragraph" w:styleId="736">
    <w:name w:val="toc 1"/>
    <w:basedOn w:val="708"/>
    <w:next w:val="708"/>
    <w:uiPriority w:val="39"/>
    <w:qFormat/>
    <w:pPr>
      <w:spacing w:after="57"/>
    </w:pPr>
  </w:style>
  <w:style w:type="paragraph" w:styleId="737">
    <w:name w:val="toc 4"/>
    <w:basedOn w:val="708"/>
    <w:next w:val="708"/>
    <w:uiPriority w:val="39"/>
    <w:qFormat/>
    <w:pPr>
      <w:ind w:left="850"/>
      <w:spacing w:after="57"/>
    </w:pPr>
  </w:style>
  <w:style w:type="paragraph" w:styleId="738">
    <w:name w:val="Subtitle"/>
    <w:basedOn w:val="708"/>
    <w:next w:val="708"/>
    <w:link w:val="799"/>
    <w:uiPriority w:val="11"/>
    <w:qFormat/>
    <w:pPr>
      <w:spacing w:before="200" w:after="200"/>
    </w:pPr>
    <w:rPr>
      <w:sz w:val="24"/>
      <w:szCs w:val="24"/>
    </w:rPr>
  </w:style>
  <w:style w:type="paragraph" w:styleId="739">
    <w:name w:val="List"/>
    <w:basedOn w:val="708"/>
    <w:uiPriority w:val="0"/>
    <w:qFormat/>
    <w:pPr>
      <w:numPr>
        <w:ilvl w:val="0"/>
        <w:numId w:val="3"/>
      </w:numPr>
      <w:spacing w:after="20" w:line="288" w:lineRule="auto"/>
    </w:pPr>
    <w:rPr>
      <w:lang w:val="en-GB"/>
    </w:rPr>
  </w:style>
  <w:style w:type="paragraph" w:styleId="740">
    <w:name w:val="footnote text"/>
    <w:basedOn w:val="708"/>
    <w:next w:val="719"/>
    <w:link w:val="954"/>
    <w:uiPriority w:val="0"/>
    <w:qFormat/>
    <w:pPr>
      <w:ind w:firstLine="425"/>
      <w:jc w:val="left"/>
      <w:spacing w:before="120" w:line="360" w:lineRule="auto"/>
    </w:pPr>
    <w:rPr>
      <w:sz w:val="18"/>
    </w:rPr>
  </w:style>
  <w:style w:type="paragraph" w:styleId="741">
    <w:name w:val="toc 6"/>
    <w:basedOn w:val="708"/>
    <w:next w:val="708"/>
    <w:uiPriority w:val="39"/>
    <w:qFormat/>
    <w:pPr>
      <w:ind w:left="1417"/>
      <w:spacing w:after="57"/>
    </w:pPr>
  </w:style>
  <w:style w:type="paragraph" w:styleId="742">
    <w:name w:val="Body Text Indent 3"/>
    <w:basedOn w:val="708"/>
    <w:link w:val="955"/>
    <w:uiPriority w:val="99"/>
    <w:qFormat/>
    <w:pPr>
      <w:ind w:left="359" w:firstLine="359"/>
    </w:pPr>
    <w:rPr>
      <w:sz w:val="20"/>
    </w:rPr>
  </w:style>
  <w:style w:type="paragraph" w:styleId="743">
    <w:name w:val="table of figures"/>
    <w:basedOn w:val="708"/>
    <w:next w:val="708"/>
    <w:uiPriority w:val="99"/>
    <w:qFormat/>
  </w:style>
  <w:style w:type="paragraph" w:styleId="744">
    <w:name w:val="toc 2"/>
    <w:basedOn w:val="708"/>
    <w:next w:val="708"/>
    <w:uiPriority w:val="39"/>
    <w:qFormat/>
    <w:pPr>
      <w:ind w:left="283"/>
      <w:spacing w:after="57"/>
    </w:pPr>
  </w:style>
  <w:style w:type="paragraph" w:styleId="745">
    <w:name w:val="toc 9"/>
    <w:basedOn w:val="708"/>
    <w:next w:val="708"/>
    <w:uiPriority w:val="39"/>
    <w:qFormat/>
    <w:pPr>
      <w:ind w:left="2268"/>
      <w:spacing w:after="57"/>
    </w:pPr>
  </w:style>
  <w:style w:type="paragraph" w:styleId="746">
    <w:name w:val="Body Text 2"/>
    <w:basedOn w:val="708"/>
    <w:link w:val="956"/>
    <w:uiPriority w:val="99"/>
    <w:qFormat/>
    <w:pPr>
      <w:spacing w:after="120" w:line="480" w:lineRule="auto"/>
    </w:pPr>
    <w:rPr>
      <w:sz w:val="20"/>
    </w:rPr>
  </w:style>
  <w:style w:type="paragraph" w:styleId="747">
    <w:name w:val="Normal (Web)"/>
    <w:basedOn w:val="708"/>
    <w:link w:val="957"/>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48">
    <w:name w:val="Title"/>
    <w:basedOn w:val="708"/>
    <w:next w:val="708"/>
    <w:link w:val="798"/>
    <w:uiPriority w:val="10"/>
    <w:qFormat/>
    <w:pPr>
      <w:contextualSpacing/>
      <w:spacing w:before="300" w:after="200"/>
    </w:pPr>
    <w:rPr>
      <w:sz w:val="48"/>
      <w:szCs w:val="48"/>
    </w:rPr>
  </w:style>
  <w:style w:type="paragraph" w:styleId="749">
    <w:name w:val="annotation subject"/>
    <w:basedOn w:val="722"/>
    <w:next w:val="722"/>
    <w:link w:val="958"/>
    <w:uiPriority w:val="0"/>
    <w:qFormat/>
    <w:rPr>
      <w:b/>
      <w:bCs/>
    </w:rPr>
  </w:style>
  <w:style w:type="paragraph" w:styleId="750">
    <w:name w:val="Body Text First Indent"/>
    <w:basedOn w:val="723"/>
    <w:link w:val="959"/>
    <w:uiPriority w:val="99"/>
    <w:qFormat/>
    <w:pPr>
      <w:ind w:firstLine="420"/>
      <w:spacing w:after="120"/>
    </w:pPr>
    <w:rPr>
      <w:rFonts w:eastAsia="华文中宋"/>
    </w:rPr>
  </w:style>
  <w:style w:type="paragraph" w:styleId="751">
    <w:name w:val="Body Text First Indent 2"/>
    <w:basedOn w:val="724"/>
    <w:uiPriority w:val="0"/>
    <w:qFormat/>
    <w:pPr>
      <w:ind w:left="420" w:firstLine="420"/>
      <w:spacing w:after="120"/>
    </w:pPr>
    <w:rPr>
      <w:rFonts w:ascii="Cambria" w:hAnsi="Cambria" w:eastAsia="华文细黑"/>
      <w:sz w:val="21"/>
    </w:rPr>
  </w:style>
  <w:style w:type="table" w:styleId="7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Strong"/>
    <w:uiPriority w:val="99"/>
    <w:qFormat/>
    <w:rPr>
      <w:rFonts w:cs="Times New Roman"/>
      <w:b/>
      <w:bCs/>
    </w:rPr>
  </w:style>
  <w:style w:type="character" w:styleId="754">
    <w:name w:val="endnote reference"/>
    <w:uiPriority w:val="99"/>
    <w:qFormat/>
    <w:rPr>
      <w:vertAlign w:val="superscript"/>
    </w:rPr>
  </w:style>
  <w:style w:type="character" w:styleId="755">
    <w:name w:val="page number"/>
    <w:uiPriority w:val="0"/>
    <w:qFormat/>
    <w:rPr>
      <w:rFonts w:cs="Times New Roman"/>
    </w:rPr>
  </w:style>
  <w:style w:type="character" w:styleId="756">
    <w:name w:val="FollowedHyperlink"/>
    <w:uiPriority w:val="99"/>
    <w:qFormat/>
    <w:rPr>
      <w:rFonts w:cs="Times New Roman"/>
      <w:color w:val="000000"/>
      <w:u w:val="none"/>
    </w:rPr>
  </w:style>
  <w:style w:type="character" w:styleId="757">
    <w:name w:val="HTML Typewriter"/>
    <w:uiPriority w:val="99"/>
    <w:qFormat/>
    <w:rPr>
      <w:rFonts w:ascii="宋体" w:hAnsi="宋体" w:eastAsia="宋体" w:cs="宋体"/>
      <w:sz w:val="24"/>
      <w:szCs w:val="24"/>
    </w:rPr>
  </w:style>
  <w:style w:type="character" w:styleId="758">
    <w:name w:val="Hyperlink"/>
    <w:uiPriority w:val="0"/>
    <w:qFormat/>
    <w:rPr>
      <w:color w:val="000000"/>
      <w:u w:val="none"/>
    </w:rPr>
  </w:style>
  <w:style w:type="character" w:styleId="759">
    <w:name w:val="annotation reference"/>
    <w:uiPriority w:val="0"/>
    <w:qFormat/>
    <w:rPr>
      <w:sz w:val="21"/>
      <w:szCs w:val="21"/>
    </w:rPr>
  </w:style>
  <w:style w:type="character" w:styleId="760">
    <w:name w:val="footnote reference"/>
    <w:uiPriority w:val="99"/>
    <w:qFormat/>
    <w:rPr>
      <w:vertAlign w:val="superscript"/>
    </w:rPr>
  </w:style>
  <w:style w:type="character" w:styleId="761" w:customStyle="1">
    <w:name w:val="Heading 1 Char"/>
    <w:basedOn w:val="714"/>
    <w:uiPriority w:val="9"/>
    <w:qFormat/>
    <w:rPr>
      <w:rFonts w:ascii="Arial" w:hAnsi="Arial" w:eastAsia="Arial" w:cs="Arial"/>
      <w:sz w:val="40"/>
      <w:szCs w:val="40"/>
    </w:rPr>
  </w:style>
  <w:style w:type="character" w:styleId="762" w:customStyle="1">
    <w:name w:val="Heading 2 Char"/>
    <w:basedOn w:val="714"/>
    <w:uiPriority w:val="9"/>
    <w:qFormat/>
    <w:rPr>
      <w:rFonts w:ascii="Arial" w:hAnsi="Arial" w:eastAsia="Arial" w:cs="Arial"/>
      <w:sz w:val="34"/>
    </w:rPr>
  </w:style>
  <w:style w:type="character" w:styleId="763" w:customStyle="1">
    <w:name w:val="Heading 3 Char"/>
    <w:basedOn w:val="714"/>
    <w:uiPriority w:val="9"/>
    <w:qFormat/>
    <w:rPr>
      <w:rFonts w:ascii="Arial" w:hAnsi="Arial" w:eastAsia="Arial" w:cs="Arial"/>
      <w:sz w:val="30"/>
      <w:szCs w:val="30"/>
    </w:rPr>
  </w:style>
  <w:style w:type="character" w:styleId="764" w:customStyle="1">
    <w:name w:val="Heading 4 Char"/>
    <w:basedOn w:val="714"/>
    <w:uiPriority w:val="9"/>
    <w:qFormat/>
    <w:rPr>
      <w:rFonts w:ascii="Arial" w:hAnsi="Arial" w:eastAsia="Arial" w:cs="Arial"/>
      <w:b/>
      <w:bCs/>
      <w:sz w:val="26"/>
      <w:szCs w:val="26"/>
    </w:rPr>
  </w:style>
  <w:style w:type="character" w:styleId="765" w:customStyle="1">
    <w:name w:val="Heading 5 Char"/>
    <w:basedOn w:val="714"/>
    <w:uiPriority w:val="9"/>
    <w:qFormat/>
    <w:rPr>
      <w:rFonts w:ascii="Arial" w:hAnsi="Arial" w:eastAsia="Arial" w:cs="Arial"/>
      <w:b/>
      <w:bCs/>
      <w:sz w:val="24"/>
      <w:szCs w:val="24"/>
    </w:rPr>
  </w:style>
  <w:style w:type="character" w:styleId="766" w:customStyle="1">
    <w:name w:val="Heading 6 Char"/>
    <w:basedOn w:val="714"/>
    <w:uiPriority w:val="9"/>
    <w:qFormat/>
    <w:rPr>
      <w:rFonts w:ascii="Arial" w:hAnsi="Arial" w:eastAsia="Arial" w:cs="Arial"/>
      <w:b/>
      <w:bCs/>
      <w:sz w:val="22"/>
      <w:szCs w:val="22"/>
    </w:rPr>
  </w:style>
  <w:style w:type="character" w:styleId="767" w:customStyle="1">
    <w:name w:val="Heading 7 Char"/>
    <w:basedOn w:val="714"/>
    <w:uiPriority w:val="9"/>
    <w:qFormat/>
    <w:rPr>
      <w:rFonts w:ascii="Arial" w:hAnsi="Arial" w:eastAsia="Arial" w:cs="Arial"/>
      <w:b/>
      <w:bCs/>
      <w:i/>
      <w:iCs/>
      <w:sz w:val="22"/>
      <w:szCs w:val="22"/>
    </w:rPr>
  </w:style>
  <w:style w:type="character" w:styleId="768" w:customStyle="1">
    <w:name w:val="Heading 8 Char"/>
    <w:basedOn w:val="714"/>
    <w:uiPriority w:val="9"/>
    <w:qFormat/>
    <w:rPr>
      <w:rFonts w:ascii="Arial" w:hAnsi="Arial" w:eastAsia="Arial" w:cs="Arial"/>
      <w:i/>
      <w:iCs/>
      <w:sz w:val="22"/>
      <w:szCs w:val="22"/>
    </w:rPr>
  </w:style>
  <w:style w:type="character" w:styleId="769" w:customStyle="1">
    <w:name w:val="Heading 9 Char"/>
    <w:basedOn w:val="714"/>
    <w:uiPriority w:val="9"/>
    <w:qFormat/>
    <w:rPr>
      <w:rFonts w:ascii="Arial" w:hAnsi="Arial" w:eastAsia="Arial" w:cs="Arial"/>
      <w:i/>
      <w:iCs/>
      <w:sz w:val="21"/>
      <w:szCs w:val="21"/>
    </w:rPr>
  </w:style>
  <w:style w:type="character" w:styleId="770" w:customStyle="1">
    <w:name w:val="Title Char"/>
    <w:basedOn w:val="714"/>
    <w:uiPriority w:val="10"/>
    <w:qFormat/>
    <w:rPr>
      <w:sz w:val="48"/>
      <w:szCs w:val="48"/>
    </w:rPr>
  </w:style>
  <w:style w:type="character" w:styleId="771" w:customStyle="1">
    <w:name w:val="Subtitle Char"/>
    <w:basedOn w:val="714"/>
    <w:uiPriority w:val="11"/>
    <w:qFormat/>
    <w:rPr>
      <w:sz w:val="24"/>
      <w:szCs w:val="24"/>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Header Char"/>
    <w:basedOn w:val="714"/>
    <w:uiPriority w:val="99"/>
    <w:qFormat/>
  </w:style>
  <w:style w:type="character" w:styleId="775" w:customStyle="1">
    <w:name w:val="Footer Char"/>
    <w:basedOn w:val="714"/>
    <w:uiPriority w:val="99"/>
    <w:qFormat/>
  </w:style>
  <w:style w:type="character" w:styleId="776" w:customStyle="1">
    <w:name w:val="Endnote Text Char"/>
    <w:uiPriority w:val="99"/>
    <w:qFormat/>
    <w:rPr>
      <w:sz w:val="20"/>
    </w:rPr>
  </w:style>
  <w:style w:type="paragraph" w:styleId="777" w:customStyle="1">
    <w:name w:val="TOC Heading"/>
    <w:uiPriority w:val="39"/>
    <w:unhideWhenUsed/>
    <w:qFormat/>
    <w:rPr>
      <w:rFonts w:hint="default" w:ascii="Times New Roman" w:hAnsi="Times New Roman" w:eastAsia="宋体" w:cs="Times New Roman"/>
    </w:rPr>
  </w:style>
  <w:style w:type="paragraph" w:styleId="778" w:customStyle="1">
    <w:name w:val="正文文本1"/>
    <w:basedOn w:val="708"/>
    <w:uiPriority w:val="0"/>
    <w:qFormat/>
    <w:rPr>
      <w:rFonts w:ascii="华文中宋" w:eastAsia="华文中宋"/>
      <w:bCs/>
      <w:sz w:val="28"/>
    </w:rPr>
  </w:style>
  <w:style w:type="paragraph" w:styleId="779" w:customStyle="1">
    <w:name w:val="Heading 1"/>
    <w:basedOn w:val="708"/>
    <w:next w:val="708"/>
    <w:link w:val="780"/>
    <w:uiPriority w:val="9"/>
    <w:qFormat/>
    <w:pPr>
      <w:keepLines/>
      <w:keepNext/>
      <w:spacing w:before="480" w:after="200"/>
      <w:outlineLvl w:val="0"/>
    </w:pPr>
    <w:rPr>
      <w:rFonts w:ascii="Arial" w:hAnsi="Arial" w:eastAsia="Arial" w:cs="Arial"/>
      <w:sz w:val="40"/>
      <w:szCs w:val="40"/>
    </w:rPr>
  </w:style>
  <w:style w:type="character" w:styleId="780" w:customStyle="1">
    <w:name w:val="Heading 1 Char_0d9d6434-8aef-434f-b4cf-07c27d364c24"/>
    <w:link w:val="779"/>
    <w:uiPriority w:val="9"/>
    <w:qFormat/>
    <w:rPr>
      <w:rFonts w:ascii="Arial" w:hAnsi="Arial" w:eastAsia="Arial" w:cs="Arial"/>
      <w:sz w:val="40"/>
      <w:szCs w:val="40"/>
    </w:rPr>
  </w:style>
  <w:style w:type="paragraph" w:styleId="781" w:customStyle="1">
    <w:name w:val="Heading 2"/>
    <w:basedOn w:val="708"/>
    <w:next w:val="708"/>
    <w:link w:val="782"/>
    <w:uiPriority w:val="9"/>
    <w:qFormat/>
    <w:pPr>
      <w:keepLines/>
      <w:keepNext/>
      <w:spacing w:before="360" w:after="200"/>
      <w:outlineLvl w:val="1"/>
    </w:pPr>
    <w:rPr>
      <w:rFonts w:ascii="Arial" w:hAnsi="Arial" w:eastAsia="Arial" w:cs="Arial"/>
      <w:sz w:val="34"/>
    </w:rPr>
  </w:style>
  <w:style w:type="character" w:styleId="782" w:customStyle="1">
    <w:name w:val="Heading 2 Char_23f81bc3-ec57-4402-8e13-eaba3a985afa"/>
    <w:link w:val="781"/>
    <w:uiPriority w:val="9"/>
    <w:qFormat/>
    <w:rPr>
      <w:rFonts w:ascii="Arial" w:hAnsi="Arial" w:eastAsia="Arial" w:cs="Arial"/>
      <w:sz w:val="34"/>
    </w:rPr>
  </w:style>
  <w:style w:type="paragraph" w:styleId="783" w:customStyle="1">
    <w:name w:val="Heading 3"/>
    <w:basedOn w:val="708"/>
    <w:next w:val="708"/>
    <w:link w:val="784"/>
    <w:uiPriority w:val="9"/>
    <w:qFormat/>
    <w:pPr>
      <w:keepLines/>
      <w:keepNext/>
      <w:spacing w:before="320" w:after="200"/>
      <w:outlineLvl w:val="2"/>
    </w:pPr>
    <w:rPr>
      <w:rFonts w:ascii="Arial" w:hAnsi="Arial" w:eastAsia="Arial" w:cs="Arial"/>
      <w:sz w:val="30"/>
      <w:szCs w:val="30"/>
    </w:rPr>
  </w:style>
  <w:style w:type="character" w:styleId="784" w:customStyle="1">
    <w:name w:val="Heading 3 Char_a972020d-e2de-423e-8ccf-32b62e9782f5"/>
    <w:link w:val="783"/>
    <w:uiPriority w:val="9"/>
    <w:qFormat/>
    <w:rPr>
      <w:rFonts w:ascii="Arial" w:hAnsi="Arial" w:eastAsia="Arial" w:cs="Arial"/>
      <w:sz w:val="30"/>
      <w:szCs w:val="30"/>
    </w:rPr>
  </w:style>
  <w:style w:type="paragraph" w:styleId="785" w:customStyle="1">
    <w:name w:val="Heading 4"/>
    <w:basedOn w:val="708"/>
    <w:next w:val="708"/>
    <w:link w:val="786"/>
    <w:uiPriority w:val="9"/>
    <w:qFormat/>
    <w:pPr>
      <w:keepLines/>
      <w:keepNext/>
      <w:spacing w:before="320" w:after="200"/>
      <w:outlineLvl w:val="3"/>
    </w:pPr>
    <w:rPr>
      <w:rFonts w:ascii="Arial" w:hAnsi="Arial" w:eastAsia="Arial" w:cs="Arial"/>
      <w:b/>
      <w:bCs/>
      <w:sz w:val="26"/>
      <w:szCs w:val="26"/>
    </w:rPr>
  </w:style>
  <w:style w:type="character" w:styleId="786" w:customStyle="1">
    <w:name w:val="Heading 4 Char_c737420b-353d-4424-86d3-425d70bb16f0"/>
    <w:link w:val="785"/>
    <w:uiPriority w:val="9"/>
    <w:qFormat/>
    <w:rPr>
      <w:rFonts w:ascii="Arial" w:hAnsi="Arial" w:eastAsia="Arial" w:cs="Arial"/>
      <w:b/>
      <w:bCs/>
      <w:sz w:val="26"/>
      <w:szCs w:val="26"/>
    </w:rPr>
  </w:style>
  <w:style w:type="paragraph" w:styleId="787" w:customStyle="1">
    <w:name w:val="Heading 5"/>
    <w:basedOn w:val="708"/>
    <w:next w:val="708"/>
    <w:link w:val="788"/>
    <w:uiPriority w:val="9"/>
    <w:qFormat/>
    <w:pPr>
      <w:keepLines/>
      <w:keepNext/>
      <w:spacing w:before="320" w:after="200"/>
      <w:outlineLvl w:val="4"/>
    </w:pPr>
    <w:rPr>
      <w:rFonts w:ascii="Arial" w:hAnsi="Arial" w:eastAsia="Arial" w:cs="Arial"/>
      <w:b/>
      <w:bCs/>
      <w:sz w:val="24"/>
      <w:szCs w:val="24"/>
    </w:rPr>
  </w:style>
  <w:style w:type="character" w:styleId="788" w:customStyle="1">
    <w:name w:val="Heading 5 Char_f1483993-90ab-4a83-891e-aa61b1a8567c"/>
    <w:link w:val="787"/>
    <w:uiPriority w:val="9"/>
    <w:qFormat/>
    <w:rPr>
      <w:rFonts w:ascii="Arial" w:hAnsi="Arial" w:eastAsia="Arial" w:cs="Arial"/>
      <w:b/>
      <w:bCs/>
      <w:sz w:val="24"/>
      <w:szCs w:val="24"/>
    </w:rPr>
  </w:style>
  <w:style w:type="paragraph" w:styleId="789" w:customStyle="1">
    <w:name w:val="Heading 6"/>
    <w:basedOn w:val="708"/>
    <w:next w:val="708"/>
    <w:link w:val="790"/>
    <w:uiPriority w:val="9"/>
    <w:qFormat/>
    <w:pPr>
      <w:keepLines/>
      <w:keepNext/>
      <w:spacing w:before="320" w:after="200"/>
      <w:outlineLvl w:val="5"/>
    </w:pPr>
    <w:rPr>
      <w:rFonts w:ascii="Arial" w:hAnsi="Arial" w:eastAsia="Arial" w:cs="Arial"/>
      <w:b/>
      <w:bCs/>
      <w:sz w:val="22"/>
      <w:szCs w:val="22"/>
    </w:rPr>
  </w:style>
  <w:style w:type="character" w:styleId="790" w:customStyle="1">
    <w:name w:val="Heading 6 Char_95307583-6a43-4f74-9f95-be30b6ad72b6"/>
    <w:link w:val="789"/>
    <w:uiPriority w:val="9"/>
    <w:qFormat/>
    <w:rPr>
      <w:rFonts w:ascii="Arial" w:hAnsi="Arial" w:eastAsia="Arial" w:cs="Arial"/>
      <w:b/>
      <w:bCs/>
      <w:sz w:val="22"/>
      <w:szCs w:val="22"/>
    </w:rPr>
  </w:style>
  <w:style w:type="paragraph" w:styleId="791" w:customStyle="1">
    <w:name w:val="Heading 7"/>
    <w:basedOn w:val="708"/>
    <w:next w:val="708"/>
    <w:link w:val="792"/>
    <w:uiPriority w:val="9"/>
    <w:qFormat/>
    <w:pPr>
      <w:keepLines/>
      <w:keepNext/>
      <w:spacing w:before="320" w:after="200"/>
      <w:outlineLvl w:val="6"/>
    </w:pPr>
    <w:rPr>
      <w:rFonts w:ascii="Arial" w:hAnsi="Arial" w:eastAsia="Arial" w:cs="Arial"/>
      <w:b/>
      <w:bCs/>
      <w:i/>
      <w:iCs/>
      <w:sz w:val="22"/>
      <w:szCs w:val="22"/>
    </w:rPr>
  </w:style>
  <w:style w:type="character" w:styleId="792" w:customStyle="1">
    <w:name w:val="Heading 7 Char_f24e9cd0-472e-495e-8828-91abe7bea686"/>
    <w:link w:val="791"/>
    <w:uiPriority w:val="9"/>
    <w:qFormat/>
    <w:rPr>
      <w:rFonts w:ascii="Arial" w:hAnsi="Arial" w:eastAsia="Arial" w:cs="Arial"/>
      <w:b/>
      <w:bCs/>
      <w:i/>
      <w:iCs/>
      <w:sz w:val="22"/>
      <w:szCs w:val="22"/>
    </w:rPr>
  </w:style>
  <w:style w:type="paragraph" w:styleId="793" w:customStyle="1">
    <w:name w:val="Heading 8"/>
    <w:basedOn w:val="708"/>
    <w:next w:val="708"/>
    <w:link w:val="794"/>
    <w:uiPriority w:val="9"/>
    <w:qFormat/>
    <w:pPr>
      <w:keepLines/>
      <w:keepNext/>
      <w:spacing w:before="320" w:after="200"/>
      <w:outlineLvl w:val="7"/>
    </w:pPr>
    <w:rPr>
      <w:rFonts w:ascii="Arial" w:hAnsi="Arial" w:eastAsia="Arial" w:cs="Arial"/>
      <w:i/>
      <w:iCs/>
      <w:sz w:val="22"/>
      <w:szCs w:val="22"/>
    </w:rPr>
  </w:style>
  <w:style w:type="character" w:styleId="794" w:customStyle="1">
    <w:name w:val="Heading 8 Char_949354d7-fea5-452e-b32d-28b774b8e361"/>
    <w:link w:val="793"/>
    <w:uiPriority w:val="9"/>
    <w:qFormat/>
    <w:rPr>
      <w:rFonts w:ascii="Arial" w:hAnsi="Arial" w:eastAsia="Arial" w:cs="Arial"/>
      <w:i/>
      <w:iCs/>
      <w:sz w:val="22"/>
      <w:szCs w:val="22"/>
    </w:rPr>
  </w:style>
  <w:style w:type="paragraph" w:styleId="795" w:customStyle="1">
    <w:name w:val="Heading 9"/>
    <w:basedOn w:val="708"/>
    <w:next w:val="708"/>
    <w:link w:val="796"/>
    <w:uiPriority w:val="9"/>
    <w:qFormat/>
    <w:pPr>
      <w:keepLines/>
      <w:keepNext/>
      <w:spacing w:before="320" w:after="200"/>
      <w:outlineLvl w:val="8"/>
    </w:pPr>
    <w:rPr>
      <w:rFonts w:ascii="Arial" w:hAnsi="Arial" w:eastAsia="Arial" w:cs="Arial"/>
      <w:i/>
      <w:iCs/>
      <w:szCs w:val="21"/>
    </w:rPr>
  </w:style>
  <w:style w:type="character" w:styleId="796" w:customStyle="1">
    <w:name w:val="Heading 9 Char_334f07fe-e714-48c5-92e4-af04d7a4d58e"/>
    <w:link w:val="795"/>
    <w:uiPriority w:val="9"/>
    <w:qFormat/>
    <w:rPr>
      <w:rFonts w:ascii="Arial" w:hAnsi="Arial" w:eastAsia="Arial" w:cs="Arial"/>
      <w:i/>
      <w:iCs/>
      <w:sz w:val="21"/>
      <w:szCs w:val="21"/>
    </w:rPr>
  </w:style>
  <w:style w:type="paragraph" w:styleId="797">
    <w:name w:val="No Spacing"/>
    <w:uiPriority w:val="1"/>
    <w:qFormat/>
    <w:rPr>
      <w:rFonts w:hint="default" w:ascii="Times New Roman" w:hAnsi="Times New Roman" w:eastAsia="宋体" w:cs="Times New Roman"/>
      <w:lang w:val="en-US" w:eastAsia="zh-CN" w:bidi="ar-SA"/>
    </w:rPr>
  </w:style>
  <w:style w:type="character" w:styleId="798" w:customStyle="1">
    <w:name w:val="标题 Char"/>
    <w:link w:val="748"/>
    <w:uiPriority w:val="10"/>
    <w:qFormat/>
    <w:rPr>
      <w:sz w:val="48"/>
      <w:szCs w:val="48"/>
    </w:rPr>
  </w:style>
  <w:style w:type="character" w:styleId="799" w:customStyle="1">
    <w:name w:val="副标题 Char"/>
    <w:link w:val="738"/>
    <w:uiPriority w:val="11"/>
    <w:qFormat/>
    <w:rPr>
      <w:sz w:val="24"/>
      <w:szCs w:val="24"/>
    </w:rPr>
  </w:style>
  <w:style w:type="paragraph" w:styleId="800">
    <w:name w:val="Quote"/>
    <w:basedOn w:val="708"/>
    <w:next w:val="708"/>
    <w:link w:val="801"/>
    <w:uiPriority w:val="29"/>
    <w:qFormat/>
    <w:pPr>
      <w:ind w:left="720" w:right="720"/>
    </w:pPr>
    <w:rPr>
      <w:i/>
    </w:rPr>
  </w:style>
  <w:style w:type="character" w:styleId="801" w:customStyle="1">
    <w:name w:val="引用 Char"/>
    <w:link w:val="800"/>
    <w:uiPriority w:val="29"/>
    <w:qFormat/>
    <w:rPr>
      <w:i/>
    </w:rPr>
  </w:style>
  <w:style w:type="paragraph" w:styleId="802">
    <w:name w:val="Intense Quote"/>
    <w:basedOn w:val="708"/>
    <w:next w:val="708"/>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Char"/>
    <w:link w:val="802"/>
    <w:uiPriority w:val="30"/>
    <w:qFormat/>
    <w:rPr>
      <w:i/>
    </w:rPr>
  </w:style>
  <w:style w:type="paragraph" w:styleId="804" w:customStyle="1">
    <w:name w:val="Header"/>
    <w:basedOn w:val="708"/>
    <w:link w:val="805"/>
    <w:uiPriority w:val="99"/>
    <w:qFormat/>
    <w:pPr>
      <w:tabs>
        <w:tab w:val="center" w:pos="7143" w:leader="none"/>
        <w:tab w:val="right" w:pos="14287" w:leader="none"/>
      </w:tabs>
    </w:pPr>
  </w:style>
  <w:style w:type="character" w:styleId="805" w:customStyle="1">
    <w:name w:val="Header Char_0b364515-3a76-4734-91ae-7a75fdd67d1d"/>
    <w:link w:val="804"/>
    <w:uiPriority w:val="99"/>
    <w:qFormat/>
  </w:style>
  <w:style w:type="paragraph" w:styleId="806" w:customStyle="1">
    <w:name w:val="Footer"/>
    <w:basedOn w:val="708"/>
    <w:link w:val="809"/>
    <w:uiPriority w:val="99"/>
    <w:qFormat/>
    <w:pPr>
      <w:tabs>
        <w:tab w:val="center" w:pos="7143" w:leader="none"/>
        <w:tab w:val="right" w:pos="14287" w:leader="none"/>
      </w:tabs>
    </w:pPr>
  </w:style>
  <w:style w:type="character" w:styleId="807" w:customStyle="1">
    <w:name w:val="Footer Char_7e8afb0f-436d-41ae-8f0b-04c613e42983"/>
    <w:link w:val="806"/>
    <w:uiPriority w:val="99"/>
    <w:qFormat/>
  </w:style>
  <w:style w:type="paragraph" w:styleId="808" w:customStyle="1">
    <w:name w:val="Caption"/>
    <w:basedOn w:val="708"/>
    <w:next w:val="708"/>
    <w:uiPriority w:val="35"/>
    <w:qFormat/>
    <w:pPr>
      <w:spacing w:line="276" w:lineRule="auto"/>
    </w:pPr>
    <w:rPr>
      <w:b/>
      <w:bCs/>
      <w:color w:val="4f81bd"/>
      <w:sz w:val="18"/>
      <w:szCs w:val="18"/>
    </w:rPr>
  </w:style>
  <w:style w:type="character" w:styleId="809" w:customStyle="1">
    <w:name w:val="Caption Char"/>
    <w:link w:val="806"/>
    <w:uiPriority w:val="99"/>
    <w:qFormat/>
  </w:style>
  <w:style w:type="table" w:styleId="810"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11"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17"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18"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1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2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21"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2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23"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24"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25"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26"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2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2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2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30"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3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39"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4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4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4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4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4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4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4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4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4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4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5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51"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5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53"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54"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5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5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5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58"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5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60"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61"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6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6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6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65"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6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67"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68"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6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7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71"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72"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7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74"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7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7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7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7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7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1"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82"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8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8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8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8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8"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8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9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9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9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93"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9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95"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96"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9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9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9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00"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0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02"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03"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0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0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0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07"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0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09"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10"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1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1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1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1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1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1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1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1"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22"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23"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24"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2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8"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29"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30"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3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3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33"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3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35" w:customStyle="1">
    <w:name w:val="Footnote Text Char"/>
    <w:link w:val="740"/>
    <w:uiPriority w:val="99"/>
    <w:qFormat/>
    <w:rPr>
      <w:sz w:val="18"/>
    </w:rPr>
  </w:style>
  <w:style w:type="character" w:styleId="936" w:customStyle="1">
    <w:name w:val="尾注文本 Char"/>
    <w:link w:val="732"/>
    <w:uiPriority w:val="99"/>
    <w:qFormat/>
    <w:rPr>
      <w:sz w:val="20"/>
    </w:rPr>
  </w:style>
  <w:style w:type="paragraph" w:styleId="937" w:customStyle="1">
    <w:name w:val="TOC 标题1"/>
    <w:uiPriority w:val="39"/>
    <w:qFormat/>
    <w:rPr>
      <w:rFonts w:hint="default" w:ascii="Times New Roman" w:hAnsi="Times New Roman" w:eastAsia="宋体" w:cs="Times New Roman"/>
      <w:lang w:val="en-US" w:eastAsia="zh-CN" w:bidi="ar-SA"/>
    </w:rPr>
  </w:style>
  <w:style w:type="character" w:styleId="938" w:customStyle="1">
    <w:name w:val="标题 1 Char"/>
    <w:link w:val="709"/>
    <w:uiPriority w:val="99"/>
    <w:qFormat/>
    <w:rPr>
      <w:rFonts w:ascii="楷体_GB2312" w:hAnsi="Times New Roman" w:eastAsia="楷体_GB2312" w:cs="Times New Roman"/>
      <w:b/>
      <w:sz w:val="28"/>
      <w:szCs w:val="20"/>
    </w:rPr>
  </w:style>
  <w:style w:type="character" w:styleId="939" w:customStyle="1">
    <w:name w:val="标题 2 Char"/>
    <w:link w:val="710"/>
    <w:uiPriority w:val="99"/>
    <w:qFormat/>
    <w:rPr>
      <w:rFonts w:ascii="楷体_GB2312" w:hAnsi="Times New Roman" w:eastAsia="楷体_GB2312" w:cs="Times New Roman"/>
      <w:b/>
      <w:bCs/>
      <w:sz w:val="18"/>
      <w:szCs w:val="20"/>
    </w:rPr>
  </w:style>
  <w:style w:type="character" w:styleId="940" w:customStyle="1">
    <w:name w:val="标题 3 Char"/>
    <w:link w:val="711"/>
    <w:uiPriority w:val="99"/>
    <w:qFormat/>
    <w:rPr>
      <w:rFonts w:ascii="Times New Roman" w:hAnsi="Times New Roman" w:eastAsia="楷体_GB2312" w:cs="Times New Roman"/>
      <w:b/>
      <w:bCs/>
      <w:sz w:val="15"/>
      <w:szCs w:val="20"/>
    </w:rPr>
  </w:style>
  <w:style w:type="character" w:styleId="941" w:customStyle="1">
    <w:name w:val="标题 4 Char"/>
    <w:link w:val="712"/>
    <w:uiPriority w:val="99"/>
    <w:qFormat/>
    <w:rPr>
      <w:rFonts w:ascii="Times New Roman" w:hAnsi="Times New Roman" w:eastAsia="楷体_GB2312" w:cs="Times New Roman"/>
      <w:b/>
      <w:bCs/>
      <w:sz w:val="13"/>
      <w:szCs w:val="20"/>
    </w:rPr>
  </w:style>
  <w:style w:type="character" w:styleId="942" w:customStyle="1">
    <w:name w:val="标题 5 Char"/>
    <w:link w:val="713"/>
    <w:uiPriority w:val="99"/>
    <w:qFormat/>
    <w:rPr>
      <w:rFonts w:ascii="楷体_GB2312" w:hAnsi="Times New Roman" w:eastAsia="楷体_GB2312" w:cs="Times New Roman"/>
      <w:bCs/>
      <w:sz w:val="28"/>
      <w:szCs w:val="20"/>
    </w:rPr>
  </w:style>
  <w:style w:type="character" w:styleId="943" w:customStyle="1">
    <w:name w:val="正文缩进 Char"/>
    <w:link w:val="718"/>
    <w:uiPriority w:val="0"/>
    <w:qFormat/>
    <w:rPr>
      <w:rFonts w:ascii="Times New Roman" w:hAnsi="Times New Roman"/>
      <w:sz w:val="21"/>
      <w:szCs w:val="24"/>
    </w:rPr>
  </w:style>
  <w:style w:type="character" w:styleId="944" w:customStyle="1">
    <w:name w:val="文档结构图 Char"/>
    <w:link w:val="721"/>
    <w:uiPriority w:val="99"/>
    <w:qFormat/>
    <w:rPr>
      <w:rFonts w:ascii="Times New Roman" w:hAnsi="Times New Roman" w:eastAsia="宋体" w:cs="Times New Roman"/>
      <w:szCs w:val="20"/>
      <w:shd w:val="clear" w:color="auto" w:fill="000080"/>
    </w:rPr>
  </w:style>
  <w:style w:type="character" w:styleId="945" w:customStyle="1">
    <w:name w:val="批注文字 Char"/>
    <w:link w:val="722"/>
    <w:uiPriority w:val="0"/>
    <w:qFormat/>
    <w:rPr>
      <w:rFonts w:ascii="Times New Roman" w:hAnsi="Times New Roman" w:eastAsia="宋体" w:cs="Times New Roman"/>
      <w:szCs w:val="24"/>
    </w:rPr>
  </w:style>
  <w:style w:type="character" w:styleId="946" w:customStyle="1">
    <w:name w:val="正文文本 Char"/>
    <w:link w:val="723"/>
    <w:uiPriority w:val="99"/>
    <w:qFormat/>
    <w:rPr>
      <w:rFonts w:ascii="华文中宋" w:hAnsi="Times New Roman" w:eastAsia="华文中宋" w:cs="Times New Roman"/>
      <w:bCs/>
      <w:sz w:val="28"/>
      <w:szCs w:val="20"/>
    </w:rPr>
  </w:style>
  <w:style w:type="character" w:styleId="947" w:customStyle="1">
    <w:name w:val="正文文本缩进 Char"/>
    <w:link w:val="724"/>
    <w:uiPriority w:val="0"/>
    <w:qFormat/>
    <w:rPr>
      <w:rFonts w:ascii="Times New Roman" w:hAnsi="Times New Roman" w:eastAsia="宋体" w:cs="Times New Roman"/>
      <w:b/>
      <w:sz w:val="30"/>
      <w:szCs w:val="20"/>
    </w:rPr>
  </w:style>
  <w:style w:type="character" w:styleId="948" w:customStyle="1">
    <w:name w:val="纯文本 Char"/>
    <w:link w:val="728"/>
    <w:uiPriority w:val="0"/>
    <w:qFormat/>
    <w:rPr>
      <w:rFonts w:ascii="宋体" w:hAnsi="Courier New"/>
      <w:sz w:val="21"/>
      <w:szCs w:val="21"/>
    </w:rPr>
  </w:style>
  <w:style w:type="character" w:styleId="949" w:customStyle="1">
    <w:name w:val="日期 Char"/>
    <w:link w:val="730"/>
    <w:uiPriority w:val="99"/>
    <w:qFormat/>
    <w:rPr>
      <w:rFonts w:ascii="Times New Roman" w:hAnsi="Times New Roman" w:eastAsia="黑体" w:cs="Times New Roman"/>
      <w:b/>
      <w:sz w:val="36"/>
      <w:szCs w:val="20"/>
    </w:rPr>
  </w:style>
  <w:style w:type="character" w:styleId="950" w:customStyle="1">
    <w:name w:val="正文文本缩进 2 Char"/>
    <w:link w:val="731"/>
    <w:uiPriority w:val="99"/>
    <w:qFormat/>
    <w:rPr>
      <w:rFonts w:ascii="楷体_GB2312" w:hAnsi="Times New Roman" w:eastAsia="楷体_GB2312" w:cs="Times New Roman"/>
      <w:b/>
      <w:sz w:val="28"/>
      <w:szCs w:val="20"/>
    </w:rPr>
  </w:style>
  <w:style w:type="character" w:styleId="951" w:customStyle="1">
    <w:name w:val="批注框文本 Char"/>
    <w:link w:val="733"/>
    <w:uiPriority w:val="99"/>
    <w:qFormat/>
    <w:rPr>
      <w:rFonts w:ascii="Times New Roman" w:hAnsi="Times New Roman" w:eastAsia="宋体" w:cs="Times New Roman"/>
      <w:sz w:val="18"/>
      <w:szCs w:val="18"/>
    </w:rPr>
  </w:style>
  <w:style w:type="character" w:styleId="952" w:customStyle="1">
    <w:name w:val="页脚 Char"/>
    <w:link w:val="734"/>
    <w:uiPriority w:val="99"/>
    <w:qFormat/>
    <w:rPr>
      <w:sz w:val="18"/>
      <w:szCs w:val="18"/>
    </w:rPr>
  </w:style>
  <w:style w:type="character" w:styleId="953" w:customStyle="1">
    <w:name w:val="页眉 Char"/>
    <w:link w:val="735"/>
    <w:uiPriority w:val="0"/>
    <w:qFormat/>
    <w:rPr>
      <w:sz w:val="18"/>
      <w:szCs w:val="18"/>
    </w:rPr>
  </w:style>
  <w:style w:type="character" w:styleId="954" w:customStyle="1">
    <w:name w:val="脚注文本 Char"/>
    <w:link w:val="740"/>
    <w:uiPriority w:val="0"/>
    <w:qFormat/>
    <w:rPr>
      <w:rFonts w:ascii="Times New Roman" w:hAnsi="Times New Roman"/>
      <w:sz w:val="18"/>
    </w:rPr>
  </w:style>
  <w:style w:type="character" w:styleId="955" w:customStyle="1">
    <w:name w:val="正文文本缩进 3 Char"/>
    <w:link w:val="742"/>
    <w:uiPriority w:val="99"/>
    <w:qFormat/>
    <w:rPr>
      <w:rFonts w:ascii="Times New Roman" w:hAnsi="Times New Roman" w:eastAsia="宋体" w:cs="Times New Roman"/>
      <w:szCs w:val="20"/>
    </w:rPr>
  </w:style>
  <w:style w:type="character" w:styleId="956" w:customStyle="1">
    <w:name w:val="正文文本 2 Char"/>
    <w:link w:val="746"/>
    <w:uiPriority w:val="99"/>
    <w:qFormat/>
    <w:rPr>
      <w:rFonts w:ascii="Times New Roman" w:hAnsi="Times New Roman" w:eastAsia="宋体" w:cs="Times New Roman"/>
      <w:szCs w:val="20"/>
    </w:rPr>
  </w:style>
  <w:style w:type="character" w:styleId="957" w:customStyle="1">
    <w:name w:val="普通(网站) Char"/>
    <w:link w:val="747"/>
    <w:uiPriority w:val="0"/>
    <w:qFormat/>
    <w:rPr>
      <w:rFonts w:ascii="宋体" w:hAnsi="宋体"/>
      <w:sz w:val="24"/>
      <w:szCs w:val="24"/>
    </w:rPr>
  </w:style>
  <w:style w:type="character" w:styleId="958" w:customStyle="1">
    <w:name w:val="批注主题 Char"/>
    <w:link w:val="749"/>
    <w:uiPriority w:val="0"/>
    <w:qFormat/>
    <w:rPr>
      <w:rFonts w:ascii="Times New Roman" w:hAnsi="Times New Roman" w:eastAsia="宋体" w:cs="Times New Roman"/>
      <w:b/>
      <w:bCs/>
      <w:szCs w:val="24"/>
    </w:rPr>
  </w:style>
  <w:style w:type="character" w:styleId="959" w:customStyle="1">
    <w:name w:val="正文首行缩进 Char"/>
    <w:link w:val="750"/>
    <w:uiPriority w:val="99"/>
    <w:qFormat/>
    <w:rPr>
      <w:rFonts w:ascii="Times New Roman" w:hAnsi="Times New Roman" w:eastAsia="华文中宋" w:cs="Times New Roman"/>
      <w:sz w:val="21"/>
      <w:szCs w:val="20"/>
    </w:rPr>
  </w:style>
  <w:style w:type="character" w:styleId="960" w:customStyle="1">
    <w:name w:val="批注框文本 Char1"/>
    <w:uiPriority w:val="99"/>
    <w:qFormat/>
    <w:rPr>
      <w:rFonts w:ascii="Times New Roman" w:hAnsi="Times New Roman" w:eastAsia="宋体" w:cs="Times New Roman"/>
      <w:sz w:val="18"/>
      <w:szCs w:val="18"/>
    </w:rPr>
  </w:style>
  <w:style w:type="character" w:styleId="961" w:customStyle="1">
    <w:name w:val="正文文本 2 Char1"/>
    <w:uiPriority w:val="99"/>
    <w:qFormat/>
    <w:rPr>
      <w:rFonts w:ascii="Times New Roman" w:hAnsi="Times New Roman" w:eastAsia="宋体" w:cs="Times New Roman"/>
      <w:szCs w:val="20"/>
    </w:rPr>
  </w:style>
  <w:style w:type="character" w:styleId="962" w:customStyle="1">
    <w:name w:val="文档结构图 Char1"/>
    <w:uiPriority w:val="99"/>
    <w:qFormat/>
    <w:rPr>
      <w:rFonts w:ascii="宋体" w:hAnsi="Times New Roman" w:eastAsia="宋体" w:cs="Times New Roman"/>
      <w:sz w:val="18"/>
      <w:szCs w:val="18"/>
    </w:rPr>
  </w:style>
  <w:style w:type="character" w:styleId="963" w:customStyle="1">
    <w:name w:val="正文文本缩进 Char1"/>
    <w:uiPriority w:val="99"/>
    <w:qFormat/>
    <w:rPr>
      <w:rFonts w:ascii="Times New Roman" w:hAnsi="Times New Roman" w:eastAsia="宋体" w:cs="Times New Roman"/>
      <w:szCs w:val="20"/>
    </w:rPr>
  </w:style>
  <w:style w:type="character" w:styleId="964" w:customStyle="1">
    <w:name w:val="15"/>
    <w:uiPriority w:val="0"/>
    <w:qFormat/>
    <w:rPr>
      <w:rFonts w:ascii="Times New Roman" w:hAnsi="Times New Roman" w:cs="Times New Roman"/>
    </w:rPr>
  </w:style>
  <w:style w:type="character" w:styleId="965" w:customStyle="1">
    <w:name w:val="正文文本缩进 2 Char1"/>
    <w:uiPriority w:val="99"/>
    <w:qFormat/>
    <w:rPr>
      <w:rFonts w:ascii="Times New Roman" w:hAnsi="Times New Roman" w:eastAsia="宋体" w:cs="Times New Roman"/>
      <w:szCs w:val="20"/>
    </w:rPr>
  </w:style>
  <w:style w:type="character" w:styleId="966" w:customStyle="1">
    <w:name w:val="日期 Char1"/>
    <w:uiPriority w:val="99"/>
    <w:qFormat/>
    <w:rPr>
      <w:rFonts w:ascii="Times New Roman" w:hAnsi="Times New Roman" w:eastAsia="宋体" w:cs="Times New Roman"/>
      <w:szCs w:val="20"/>
    </w:rPr>
  </w:style>
  <w:style w:type="character" w:styleId="967" w:customStyle="1">
    <w:name w:val="正文文本缩进 3 Char1"/>
    <w:uiPriority w:val="99"/>
    <w:qFormat/>
    <w:rPr>
      <w:rFonts w:ascii="Times New Roman" w:hAnsi="Times New Roman" w:eastAsia="宋体" w:cs="Times New Roman"/>
      <w:sz w:val="16"/>
      <w:szCs w:val="16"/>
    </w:rPr>
  </w:style>
  <w:style w:type="paragraph" w:styleId="968">
    <w:name w:val="List Paragraph"/>
    <w:basedOn w:val="708"/>
    <w:uiPriority w:val="0"/>
    <w:qFormat/>
    <w:pPr>
      <w:ind w:firstLine="420"/>
    </w:pPr>
    <w:rPr>
      <w:szCs w:val="21"/>
    </w:rPr>
  </w:style>
  <w:style w:type="paragraph" w:styleId="969" w:customStyle="1">
    <w:name w:val="普通文字"/>
    <w:basedOn w:val="708"/>
    <w:next w:val="708"/>
    <w:uiPriority w:val="0"/>
    <w:qFormat/>
    <w:rPr>
      <w:rFonts w:ascii="宋体"/>
      <w:sz w:val="24"/>
    </w:rPr>
  </w:style>
  <w:style w:type="paragraph" w:styleId="970" w:customStyle="1">
    <w:name w:val="样式 小四 段前: 5 磅 段后: 5 磅 首行缩进:  2 字符"/>
    <w:basedOn w:val="708"/>
    <w:uiPriority w:val="0"/>
    <w:qFormat/>
    <w:pPr>
      <w:jc w:val="center"/>
      <w:spacing w:line="360" w:lineRule="auto"/>
    </w:pPr>
    <w:rPr>
      <w:rFonts w:ascii="宋体" w:hAnsi="宋体"/>
      <w:bCs/>
      <w:color w:val="ff0000"/>
      <w:sz w:val="24"/>
      <w:szCs w:val="24"/>
    </w:rPr>
  </w:style>
  <w:style w:type="paragraph" w:styleId="971" w:customStyle="1">
    <w:name w:val="列出段落1"/>
    <w:basedOn w:val="708"/>
    <w:uiPriority w:val="0"/>
    <w:qFormat/>
    <w:pPr>
      <w:ind w:firstLine="420"/>
    </w:pPr>
    <w:rPr>
      <w:szCs w:val="24"/>
    </w:rPr>
  </w:style>
  <w:style w:type="paragraph" w:styleId="97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73"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974" w:customStyle="1">
    <w:name w:val="Other|1"/>
    <w:basedOn w:val="708"/>
    <w:uiPriority w:val="0"/>
    <w:qFormat/>
    <w:pPr>
      <w:ind w:firstLine="220"/>
    </w:pPr>
    <w:rPr>
      <w:rFonts w:ascii="宋体" w:hAnsi="宋体" w:cs="宋体"/>
      <w:sz w:val="20"/>
      <w:lang w:val="zh-TW" w:eastAsia="zh-TW" w:bidi="zh-TW"/>
    </w:rPr>
  </w:style>
  <w:style w:type="character" w:styleId="975" w:customStyle="1">
    <w:name w:val="font11"/>
    <w:uiPriority w:val="0"/>
    <w:qFormat/>
    <w:rPr>
      <w:rFonts w:hint="eastAsia" w:ascii="宋体" w:hAnsi="宋体" w:eastAsia="宋体" w:cs="宋体"/>
      <w:color w:val="333333"/>
      <w:sz w:val="20"/>
      <w:szCs w:val="20"/>
      <w:u w:val="none"/>
    </w:rPr>
  </w:style>
  <w:style w:type="paragraph" w:styleId="976" w:customStyle="1">
    <w:name w:val="纯文本1"/>
    <w:basedOn w:val="708"/>
    <w:uiPriority w:val="0"/>
    <w:qFormat/>
    <w:rPr>
      <w:rFonts w:ascii="宋体" w:hAnsi="Courier New" w:eastAsia="楷体_GB2312"/>
      <w:sz w:val="26"/>
    </w:rPr>
  </w:style>
  <w:style w:type="character" w:styleId="977" w:customStyle="1">
    <w:name w:val="font21"/>
    <w:uiPriority w:val="0"/>
    <w:qFormat/>
    <w:rPr>
      <w:rFonts w:hint="eastAsia" w:ascii="宋体" w:hAnsi="宋体" w:eastAsia="宋体" w:cs="宋体"/>
      <w:color w:val="000000"/>
      <w:sz w:val="20"/>
      <w:szCs w:val="20"/>
      <w:u w:val="none"/>
    </w:rPr>
  </w:style>
  <w:style w:type="character" w:styleId="978" w:customStyle="1">
    <w:name w:val="font01"/>
    <w:uiPriority w:val="0"/>
    <w:qFormat/>
    <w:rPr>
      <w:rFonts w:ascii="Tahoma" w:hAnsi="Tahoma" w:eastAsia="Tahoma" w:cs="Tahoma"/>
      <w:color w:val="333333"/>
      <w:sz w:val="20"/>
      <w:szCs w:val="20"/>
      <w:u w:val="none"/>
    </w:rPr>
  </w:style>
  <w:style w:type="paragraph" w:styleId="979" w:customStyle="1">
    <w:name w:val="列出段落2"/>
    <w:basedOn w:val="708"/>
    <w:uiPriority w:val="34"/>
    <w:qFormat/>
    <w:pPr>
      <w:ind w:firstLine="420"/>
    </w:pPr>
  </w:style>
  <w:style w:type="paragraph" w:styleId="980" w:customStyle="1">
    <w:name w:val="正文文本2"/>
    <w:basedOn w:val="708"/>
    <w:next w:val="981"/>
    <w:uiPriority w:val="0"/>
    <w:qFormat/>
    <w:rPr>
      <w:rFonts w:ascii="华文中宋" w:eastAsia="华文中宋"/>
      <w:bCs/>
      <w:sz w:val="28"/>
    </w:rPr>
  </w:style>
  <w:style w:type="paragraph" w:styleId="981" w:customStyle="1">
    <w:name w:val="列表项目符号 51"/>
    <w:basedOn w:val="708"/>
    <w:uiPriority w:val="0"/>
    <w:qFormat/>
    <w:pPr>
      <w:ind w:left="2040" w:hanging="360"/>
      <w:spacing w:line="360" w:lineRule="exact"/>
      <w:widowControl/>
      <w:tabs>
        <w:tab w:val="left" w:pos="2040" w:leader="none"/>
      </w:tabs>
    </w:pPr>
    <w:rPr>
      <w:rFonts w:eastAsia="楷体_GB2312"/>
      <w:sz w:val="24"/>
    </w:rPr>
  </w:style>
  <w:style w:type="paragraph" w:styleId="982" w:customStyle="1">
    <w:name w:val="页脚1"/>
    <w:basedOn w:val="708"/>
    <w:next w:val="708"/>
    <w:uiPriority w:val="99"/>
    <w:qFormat/>
    <w:pPr>
      <w:jc w:val="left"/>
      <w:tabs>
        <w:tab w:val="center" w:pos="4153" w:leader="none"/>
        <w:tab w:val="right" w:pos="8306" w:leader="none"/>
      </w:tabs>
    </w:pPr>
    <w:rPr>
      <w:sz w:val="18"/>
      <w:szCs w:val="18"/>
    </w:rPr>
  </w:style>
  <w:style w:type="character" w:styleId="983" w:customStyle="1">
    <w:name w:val="font51"/>
    <w:basedOn w:val="714"/>
    <w:uiPriority w:val="0"/>
    <w:qFormat/>
    <w:rPr>
      <w:rFonts w:hint="eastAsia" w:ascii="宋体" w:hAnsi="宋体" w:eastAsia="宋体" w:cs="宋体"/>
      <w:color w:val="ff0000"/>
      <w:sz w:val="22"/>
      <w:szCs w:val="22"/>
      <w:u w:val="none"/>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12</cp:revision>
  <dcterms:created xsi:type="dcterms:W3CDTF">2024-07-29T10:25:00Z</dcterms:created>
  <dcterms:modified xsi:type="dcterms:W3CDTF">2025-02-24T04:12:26Z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BDD7C4AEB69B49878E1B1AB26AB105F3_13</vt:lpwstr>
  </property>
  <property fmtid="{D5CDD505-2E9C-101B-9397-08002B2CF9AE}" pid="4" name="KSOTemplateDocerSaveRecord">
    <vt:lpwstr>eyJoZGlkIjoiZGRiZWYzNTkzYmEwYTZmYjk3ZGQ3OGQwNTA0ZmI1YWIiLCJ1c2VySWQiOiIxMDI1MzcwNjcwIn0=</vt:lpwstr>
  </property>
</Properties>
</file>